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D663A" w14:textId="073ACC4E" w:rsidR="009F64C5" w:rsidRPr="00715C4F" w:rsidRDefault="009F64C5" w:rsidP="00715C4F">
      <w:pPr>
        <w:spacing w:after="158" w:line="360" w:lineRule="auto"/>
        <w:ind w:left="49"/>
        <w:jc w:val="both"/>
        <w:rPr>
          <w:rFonts w:ascii="Arial" w:hAnsi="Arial" w:cs="Arial"/>
        </w:rPr>
      </w:pPr>
      <w:r w:rsidRPr="00715C4F">
        <w:rPr>
          <w:rFonts w:ascii="Arial" w:eastAsia="Calibri" w:hAnsi="Arial" w:cs="Arial"/>
        </w:rPr>
        <w:t xml:space="preserve"> </w:t>
      </w:r>
    </w:p>
    <w:p w14:paraId="0C4D53A1" w14:textId="08193D95" w:rsidR="009F64C5" w:rsidRPr="00715C4F" w:rsidRDefault="009F64C5" w:rsidP="00715C4F">
      <w:pPr>
        <w:spacing w:after="158" w:line="360" w:lineRule="auto"/>
        <w:ind w:left="49"/>
        <w:jc w:val="center"/>
        <w:rPr>
          <w:rFonts w:ascii="Arial" w:hAnsi="Arial" w:cs="Arial"/>
        </w:rPr>
      </w:pPr>
      <w:r w:rsidRPr="00715C4F">
        <w:rPr>
          <w:rFonts w:ascii="Arial" w:hAnsi="Arial" w:cs="Arial"/>
          <w:noProof/>
          <w:lang w:val="en-US" w:eastAsia="en-US"/>
        </w:rPr>
        <w:drawing>
          <wp:inline distT="0" distB="0" distL="0" distR="0" wp14:anchorId="0851FAE4" wp14:editId="3CDBFB4B">
            <wp:extent cx="4273550" cy="17793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0132" cy="1807073"/>
                    </a:xfrm>
                    <a:prstGeom prst="rect">
                      <a:avLst/>
                    </a:prstGeom>
                    <a:noFill/>
                  </pic:spPr>
                </pic:pic>
              </a:graphicData>
            </a:graphic>
          </wp:inline>
        </w:drawing>
      </w:r>
    </w:p>
    <w:p w14:paraId="196BF838" w14:textId="5F437D1A" w:rsidR="009F64C5" w:rsidRPr="000E7642" w:rsidRDefault="00FC1941" w:rsidP="000E7642">
      <w:pPr>
        <w:spacing w:after="157" w:line="360" w:lineRule="auto"/>
        <w:ind w:left="89"/>
        <w:jc w:val="center"/>
        <w:rPr>
          <w:rFonts w:ascii="Arial" w:hAnsi="Arial" w:cs="Arial"/>
          <w:sz w:val="36"/>
          <w:szCs w:val="36"/>
        </w:rPr>
      </w:pPr>
      <w:r w:rsidRPr="000E7642">
        <w:rPr>
          <w:rFonts w:ascii="Arial" w:hAnsi="Arial" w:cs="Arial"/>
          <w:sz w:val="36"/>
          <w:szCs w:val="36"/>
        </w:rPr>
        <w:t>Prevalence and Determ</w:t>
      </w:r>
      <w:r w:rsidR="00C5757B">
        <w:rPr>
          <w:rFonts w:ascii="Arial" w:hAnsi="Arial" w:cs="Arial"/>
          <w:sz w:val="36"/>
          <w:szCs w:val="36"/>
        </w:rPr>
        <w:t xml:space="preserve">inants of Vitamin D Deficiency </w:t>
      </w:r>
      <w:proofErr w:type="gramStart"/>
      <w:r w:rsidR="00C5757B">
        <w:rPr>
          <w:rFonts w:ascii="Arial" w:hAnsi="Arial" w:cs="Arial"/>
          <w:sz w:val="36"/>
          <w:szCs w:val="36"/>
        </w:rPr>
        <w:t>A</w:t>
      </w:r>
      <w:r w:rsidRPr="000E7642">
        <w:rPr>
          <w:rFonts w:ascii="Arial" w:hAnsi="Arial" w:cs="Arial"/>
          <w:sz w:val="36"/>
          <w:szCs w:val="36"/>
        </w:rPr>
        <w:t>mong</w:t>
      </w:r>
      <w:proofErr w:type="gramEnd"/>
      <w:r w:rsidRPr="000E7642">
        <w:rPr>
          <w:rFonts w:ascii="Arial" w:hAnsi="Arial" w:cs="Arial"/>
          <w:sz w:val="36"/>
          <w:szCs w:val="36"/>
        </w:rPr>
        <w:t xml:space="preserve"> Ethnic Minority Po</w:t>
      </w:r>
      <w:r w:rsidR="002A431E" w:rsidRPr="000E7642">
        <w:rPr>
          <w:rFonts w:ascii="Arial" w:hAnsi="Arial" w:cs="Arial"/>
          <w:sz w:val="36"/>
          <w:szCs w:val="36"/>
        </w:rPr>
        <w:t>pulations in the United Kingdom: A Systematic Review</w:t>
      </w:r>
    </w:p>
    <w:p w14:paraId="5E1E2E05" w14:textId="73E06323" w:rsidR="009F64C5" w:rsidRPr="00715C4F" w:rsidRDefault="009F64C5" w:rsidP="00D03E3D">
      <w:pPr>
        <w:spacing w:after="42" w:line="360" w:lineRule="auto"/>
        <w:jc w:val="both"/>
        <w:rPr>
          <w:rFonts w:ascii="Arial" w:hAnsi="Arial" w:cs="Arial"/>
        </w:rPr>
      </w:pPr>
    </w:p>
    <w:p w14:paraId="75EA3561" w14:textId="293161C0" w:rsidR="009F64C5" w:rsidRPr="00715C4F" w:rsidRDefault="009F64C5" w:rsidP="00D03E3D">
      <w:pPr>
        <w:spacing w:after="158" w:line="360" w:lineRule="auto"/>
        <w:jc w:val="both"/>
        <w:rPr>
          <w:rFonts w:ascii="Arial" w:hAnsi="Arial" w:cs="Arial"/>
        </w:rPr>
      </w:pPr>
    </w:p>
    <w:p w14:paraId="27305DF3" w14:textId="7AFDC2B2" w:rsidR="00067A6A" w:rsidRPr="000E7642" w:rsidRDefault="003A66D9" w:rsidP="000E7642">
      <w:pPr>
        <w:spacing w:after="158" w:line="360" w:lineRule="auto"/>
        <w:ind w:left="59"/>
        <w:jc w:val="center"/>
        <w:rPr>
          <w:rFonts w:ascii="Arial" w:hAnsi="Arial" w:cs="Arial"/>
          <w:sz w:val="24"/>
        </w:rPr>
      </w:pPr>
      <w:r>
        <w:rPr>
          <w:rFonts w:ascii="Arial" w:hAnsi="Arial" w:cs="Arial"/>
          <w:sz w:val="24"/>
        </w:rPr>
        <w:t xml:space="preserve">Student Name: </w:t>
      </w:r>
      <w:r w:rsidR="00067A6A" w:rsidRPr="000E7642">
        <w:rPr>
          <w:rFonts w:ascii="Arial" w:hAnsi="Arial" w:cs="Arial"/>
          <w:sz w:val="24"/>
        </w:rPr>
        <w:t xml:space="preserve">Md. </w:t>
      </w:r>
      <w:proofErr w:type="spellStart"/>
      <w:r w:rsidR="00067A6A" w:rsidRPr="000E7642">
        <w:rPr>
          <w:rFonts w:ascii="Arial" w:hAnsi="Arial" w:cs="Arial"/>
          <w:sz w:val="24"/>
        </w:rPr>
        <w:t>Mukhlesur</w:t>
      </w:r>
      <w:proofErr w:type="spellEnd"/>
      <w:r w:rsidR="00067A6A" w:rsidRPr="000E7642">
        <w:rPr>
          <w:rFonts w:ascii="Arial" w:hAnsi="Arial" w:cs="Arial"/>
          <w:sz w:val="24"/>
        </w:rPr>
        <w:t xml:space="preserve"> Rahman </w:t>
      </w:r>
      <w:proofErr w:type="spellStart"/>
      <w:r w:rsidR="00067A6A" w:rsidRPr="000E7642">
        <w:rPr>
          <w:rFonts w:ascii="Arial" w:hAnsi="Arial" w:cs="Arial"/>
          <w:sz w:val="24"/>
        </w:rPr>
        <w:t>Shepon</w:t>
      </w:r>
      <w:proofErr w:type="spellEnd"/>
    </w:p>
    <w:p w14:paraId="0590EEA0" w14:textId="3AAB6B69" w:rsidR="00067A6A" w:rsidRPr="000E7642" w:rsidRDefault="003A66D9" w:rsidP="000E7642">
      <w:pPr>
        <w:spacing w:after="158" w:line="360" w:lineRule="auto"/>
        <w:ind w:left="59"/>
        <w:jc w:val="center"/>
        <w:rPr>
          <w:rFonts w:ascii="Arial" w:hAnsi="Arial" w:cs="Arial"/>
          <w:sz w:val="24"/>
        </w:rPr>
      </w:pPr>
      <w:r>
        <w:rPr>
          <w:rFonts w:ascii="Arial" w:hAnsi="Arial" w:cs="Arial"/>
          <w:sz w:val="24"/>
        </w:rPr>
        <w:t>Student ID</w:t>
      </w:r>
      <w:r w:rsidR="00067A6A" w:rsidRPr="000E7642">
        <w:rPr>
          <w:rFonts w:ascii="Arial" w:hAnsi="Arial" w:cs="Arial"/>
          <w:sz w:val="24"/>
        </w:rPr>
        <w:t>: 2435264</w:t>
      </w:r>
    </w:p>
    <w:p w14:paraId="241F1E35" w14:textId="79937B2D" w:rsidR="00067A6A" w:rsidRPr="000E7642" w:rsidRDefault="008C6839" w:rsidP="000E7642">
      <w:pPr>
        <w:spacing w:after="158" w:line="360" w:lineRule="auto"/>
        <w:ind w:left="59"/>
        <w:jc w:val="center"/>
        <w:rPr>
          <w:rFonts w:ascii="Arial" w:hAnsi="Arial" w:cs="Arial"/>
          <w:sz w:val="24"/>
        </w:rPr>
      </w:pPr>
      <w:r>
        <w:rPr>
          <w:rFonts w:ascii="Arial" w:hAnsi="Arial" w:cs="Arial"/>
          <w:sz w:val="24"/>
        </w:rPr>
        <w:t>Word count: 16</w:t>
      </w:r>
      <w:r w:rsidR="00FB245A">
        <w:rPr>
          <w:rFonts w:ascii="Arial" w:hAnsi="Arial" w:cs="Arial"/>
          <w:sz w:val="24"/>
        </w:rPr>
        <w:t>,002</w:t>
      </w:r>
    </w:p>
    <w:p w14:paraId="58D6A5ED" w14:textId="77777777" w:rsidR="00067A6A" w:rsidRPr="000E7642" w:rsidRDefault="00067A6A" w:rsidP="000E7642">
      <w:pPr>
        <w:spacing w:after="158" w:line="360" w:lineRule="auto"/>
        <w:ind w:left="59"/>
        <w:jc w:val="center"/>
        <w:rPr>
          <w:rFonts w:ascii="Arial" w:hAnsi="Arial" w:cs="Arial"/>
          <w:sz w:val="24"/>
        </w:rPr>
      </w:pPr>
      <w:r w:rsidRPr="000E7642">
        <w:rPr>
          <w:rFonts w:ascii="Arial" w:hAnsi="Arial" w:cs="Arial"/>
          <w:sz w:val="24"/>
        </w:rPr>
        <w:t xml:space="preserve">Supervisor: Christopher </w:t>
      </w:r>
      <w:proofErr w:type="spellStart"/>
      <w:r w:rsidRPr="000E7642">
        <w:rPr>
          <w:rFonts w:ascii="Arial" w:hAnsi="Arial" w:cs="Arial"/>
          <w:sz w:val="24"/>
        </w:rPr>
        <w:t>Mafuva</w:t>
      </w:r>
      <w:proofErr w:type="spellEnd"/>
    </w:p>
    <w:p w14:paraId="76002A97" w14:textId="50893847" w:rsidR="007D4977" w:rsidRPr="000E7642" w:rsidRDefault="00067A6A" w:rsidP="000E7642">
      <w:pPr>
        <w:spacing w:after="158" w:line="360" w:lineRule="auto"/>
        <w:ind w:left="59"/>
        <w:jc w:val="center"/>
        <w:rPr>
          <w:rFonts w:ascii="Arial" w:hAnsi="Arial" w:cs="Arial"/>
          <w:sz w:val="24"/>
        </w:rPr>
      </w:pPr>
      <w:r w:rsidRPr="000E7642">
        <w:rPr>
          <w:rFonts w:ascii="Arial" w:hAnsi="Arial" w:cs="Arial"/>
          <w:sz w:val="24"/>
        </w:rPr>
        <w:t xml:space="preserve">Submission Date: </w:t>
      </w:r>
      <w:r w:rsidR="0064584A">
        <w:rPr>
          <w:rFonts w:ascii="Arial" w:hAnsi="Arial" w:cs="Arial"/>
          <w:sz w:val="24"/>
        </w:rPr>
        <w:t>24</w:t>
      </w:r>
      <w:r w:rsidR="0064584A">
        <w:rPr>
          <w:rFonts w:ascii="Arial" w:hAnsi="Arial" w:cs="Arial"/>
          <w:sz w:val="24"/>
          <w:vertAlign w:val="superscript"/>
        </w:rPr>
        <w:t>th</w:t>
      </w:r>
      <w:r w:rsidR="00C06290" w:rsidRPr="008C6839">
        <w:rPr>
          <w:rFonts w:ascii="Arial" w:hAnsi="Arial" w:cs="Arial"/>
          <w:sz w:val="24"/>
        </w:rPr>
        <w:t xml:space="preserve"> </w:t>
      </w:r>
      <w:r w:rsidRPr="008C6839">
        <w:rPr>
          <w:rFonts w:ascii="Arial" w:hAnsi="Arial" w:cs="Arial"/>
          <w:sz w:val="24"/>
        </w:rPr>
        <w:t>September 2026</w:t>
      </w:r>
    </w:p>
    <w:p w14:paraId="054C85F1" w14:textId="77777777" w:rsidR="007D4977" w:rsidRPr="000E7642" w:rsidRDefault="007D4977" w:rsidP="000E7642">
      <w:pPr>
        <w:spacing w:after="158" w:line="360" w:lineRule="auto"/>
        <w:ind w:left="59"/>
        <w:jc w:val="center"/>
        <w:rPr>
          <w:rFonts w:ascii="Arial" w:hAnsi="Arial" w:cs="Arial"/>
          <w:sz w:val="24"/>
        </w:rPr>
      </w:pPr>
    </w:p>
    <w:p w14:paraId="5CAC7C58" w14:textId="6F2F83DF" w:rsidR="009F64C5" w:rsidRPr="000E7642" w:rsidRDefault="009F64C5" w:rsidP="000F2207">
      <w:pPr>
        <w:spacing w:after="158" w:line="360" w:lineRule="auto"/>
        <w:jc w:val="center"/>
        <w:rPr>
          <w:rFonts w:ascii="Arial" w:hAnsi="Arial" w:cs="Arial"/>
          <w:sz w:val="24"/>
        </w:rPr>
      </w:pPr>
    </w:p>
    <w:p w14:paraId="35162975" w14:textId="77777777" w:rsidR="004D22F1" w:rsidRPr="000E7642" w:rsidRDefault="004D22F1" w:rsidP="000E7642">
      <w:pPr>
        <w:spacing w:after="158" w:line="360" w:lineRule="auto"/>
        <w:ind w:left="59"/>
        <w:jc w:val="center"/>
        <w:rPr>
          <w:rFonts w:ascii="Arial" w:hAnsi="Arial" w:cs="Arial"/>
          <w:sz w:val="24"/>
        </w:rPr>
      </w:pPr>
    </w:p>
    <w:p w14:paraId="75DE2693" w14:textId="655E269B" w:rsidR="007D4977" w:rsidRPr="000E7642" w:rsidRDefault="009F64C5" w:rsidP="000E7642">
      <w:pPr>
        <w:spacing w:after="156" w:line="360" w:lineRule="auto"/>
        <w:ind w:left="59"/>
        <w:jc w:val="center"/>
        <w:rPr>
          <w:rFonts w:ascii="Arial" w:hAnsi="Arial" w:cs="Arial"/>
          <w:sz w:val="24"/>
        </w:rPr>
      </w:pPr>
      <w:r w:rsidRPr="000E7642">
        <w:rPr>
          <w:rFonts w:ascii="Arial" w:hAnsi="Arial" w:cs="Arial"/>
          <w:sz w:val="24"/>
        </w:rPr>
        <w:t>A Dissertation submitted in partial fulfilment of the requirements for the degree of Masters of Science in Public Health and Social Care in Practice</w:t>
      </w:r>
    </w:p>
    <w:p w14:paraId="27F9FD1B" w14:textId="32D56334" w:rsidR="007D4977" w:rsidRDefault="007D4977" w:rsidP="000E7642">
      <w:pPr>
        <w:spacing w:line="360" w:lineRule="auto"/>
        <w:rPr>
          <w:rFonts w:ascii="Arial" w:hAnsi="Arial" w:cs="Arial"/>
        </w:rPr>
      </w:pPr>
    </w:p>
    <w:p w14:paraId="3F4B91EA" w14:textId="77777777" w:rsidR="000E7642" w:rsidRPr="00715C4F" w:rsidRDefault="000E7642" w:rsidP="000E7642">
      <w:pPr>
        <w:spacing w:line="360" w:lineRule="auto"/>
        <w:rPr>
          <w:rFonts w:ascii="Arial" w:hAnsi="Arial" w:cs="Arial"/>
        </w:rPr>
      </w:pPr>
    </w:p>
    <w:p w14:paraId="1B4FCED3" w14:textId="3205092F" w:rsidR="00A63DA9" w:rsidRPr="00715C4F" w:rsidRDefault="00A63DA9" w:rsidP="00092116">
      <w:pPr>
        <w:pStyle w:val="Heading1"/>
        <w:rPr>
          <w:lang w:val="hr-HR"/>
        </w:rPr>
      </w:pPr>
      <w:bookmarkStart w:id="0" w:name="_Toc241025861"/>
      <w:r w:rsidRPr="00715C4F">
        <w:rPr>
          <w:lang w:val="hr-HR"/>
        </w:rPr>
        <w:lastRenderedPageBreak/>
        <w:t>DECLARATION</w:t>
      </w:r>
      <w:bookmarkEnd w:id="0"/>
    </w:p>
    <w:p w14:paraId="15B549C8" w14:textId="77777777" w:rsidR="009E281C" w:rsidRPr="009E281C" w:rsidRDefault="009E281C" w:rsidP="009E281C">
      <w:pPr>
        <w:spacing w:line="360" w:lineRule="auto"/>
        <w:jc w:val="both"/>
        <w:rPr>
          <w:rFonts w:ascii="Arial" w:hAnsi="Arial" w:cs="Arial"/>
          <w:noProof/>
          <w:lang w:val="en-US" w:eastAsia="en-US"/>
        </w:rPr>
      </w:pPr>
      <w:r w:rsidRPr="009E281C">
        <w:rPr>
          <w:rFonts w:ascii="Arial" w:hAnsi="Arial" w:cs="Arial"/>
          <w:noProof/>
          <w:lang w:val="en-US" w:eastAsia="en-US"/>
        </w:rPr>
        <w:t xml:space="preserve">I, Md. Mukhlesur Rahman Shepon hereby declare that this dissertation is the result of my own work and that the information herein are original and authentic, unless otherwise stated in the body of this dissertation, in which case the information is acknowledged as such. </w:t>
      </w:r>
    </w:p>
    <w:p w14:paraId="66DC3986" w14:textId="77777777" w:rsidR="009E281C" w:rsidRPr="009E281C" w:rsidRDefault="009E281C" w:rsidP="009E281C">
      <w:pPr>
        <w:spacing w:line="360" w:lineRule="auto"/>
        <w:jc w:val="both"/>
        <w:rPr>
          <w:rFonts w:ascii="Arial" w:hAnsi="Arial" w:cs="Arial"/>
          <w:noProof/>
          <w:lang w:val="en-US" w:eastAsia="en-US"/>
        </w:rPr>
      </w:pPr>
    </w:p>
    <w:p w14:paraId="2997A88A" w14:textId="77777777" w:rsidR="009E281C" w:rsidRPr="009E281C" w:rsidRDefault="009E281C" w:rsidP="009E281C">
      <w:pPr>
        <w:spacing w:line="360" w:lineRule="auto"/>
        <w:jc w:val="both"/>
        <w:rPr>
          <w:rFonts w:ascii="Arial" w:hAnsi="Arial" w:cs="Arial"/>
          <w:noProof/>
          <w:lang w:val="en-US" w:eastAsia="en-US"/>
        </w:rPr>
      </w:pPr>
    </w:p>
    <w:p w14:paraId="3A298E53" w14:textId="77777777" w:rsidR="009E281C" w:rsidRPr="009E281C" w:rsidRDefault="009E281C" w:rsidP="009E281C">
      <w:pPr>
        <w:spacing w:line="360" w:lineRule="auto"/>
        <w:jc w:val="both"/>
        <w:rPr>
          <w:rFonts w:ascii="Arial" w:hAnsi="Arial" w:cs="Arial"/>
          <w:noProof/>
          <w:lang w:val="en-US" w:eastAsia="en-US"/>
        </w:rPr>
      </w:pPr>
    </w:p>
    <w:p w14:paraId="6745D7F9" w14:textId="77777777" w:rsidR="009E281C" w:rsidRPr="009E281C" w:rsidRDefault="009E281C" w:rsidP="009E281C">
      <w:pPr>
        <w:spacing w:line="360" w:lineRule="auto"/>
        <w:jc w:val="both"/>
        <w:rPr>
          <w:rFonts w:ascii="Arial" w:hAnsi="Arial" w:cs="Arial"/>
          <w:noProof/>
          <w:lang w:val="en-US" w:eastAsia="en-US"/>
        </w:rPr>
      </w:pPr>
    </w:p>
    <w:p w14:paraId="7D7B52C8" w14:textId="77777777" w:rsidR="009E281C" w:rsidRPr="009E281C" w:rsidRDefault="009E281C" w:rsidP="009E281C">
      <w:pPr>
        <w:spacing w:line="360" w:lineRule="auto"/>
        <w:jc w:val="both"/>
        <w:rPr>
          <w:rFonts w:ascii="Arial" w:hAnsi="Arial" w:cs="Arial"/>
          <w:noProof/>
          <w:lang w:val="en-US" w:eastAsia="en-US"/>
        </w:rPr>
      </w:pPr>
    </w:p>
    <w:p w14:paraId="7F23AF00" w14:textId="77777777" w:rsidR="009E281C" w:rsidRPr="009E281C" w:rsidRDefault="009E281C" w:rsidP="009E281C">
      <w:pPr>
        <w:spacing w:line="360" w:lineRule="auto"/>
        <w:jc w:val="both"/>
        <w:rPr>
          <w:rFonts w:ascii="Arial" w:hAnsi="Arial" w:cs="Arial"/>
          <w:noProof/>
          <w:lang w:val="en-US" w:eastAsia="en-US"/>
        </w:rPr>
      </w:pPr>
    </w:p>
    <w:p w14:paraId="16FD8605" w14:textId="77777777" w:rsidR="009E281C" w:rsidRPr="009E281C" w:rsidRDefault="009E281C" w:rsidP="009E281C">
      <w:pPr>
        <w:spacing w:line="360" w:lineRule="auto"/>
        <w:jc w:val="both"/>
        <w:rPr>
          <w:rFonts w:ascii="Arial" w:hAnsi="Arial" w:cs="Arial"/>
          <w:noProof/>
          <w:lang w:val="en-US" w:eastAsia="en-US"/>
        </w:rPr>
      </w:pPr>
      <w:r w:rsidRPr="009E281C">
        <w:rPr>
          <w:rFonts w:ascii="Arial" w:hAnsi="Arial" w:cs="Arial"/>
          <w:noProof/>
          <w:lang w:val="en-US" w:eastAsia="en-US"/>
        </w:rPr>
        <w:t>Signed: Md. Mukhlesur Rahman Shepon</w:t>
      </w:r>
    </w:p>
    <w:p w14:paraId="30839C40" w14:textId="3BDF9F29" w:rsidR="009E281C" w:rsidRDefault="009E281C" w:rsidP="009E281C">
      <w:pPr>
        <w:spacing w:line="360" w:lineRule="auto"/>
        <w:jc w:val="both"/>
        <w:rPr>
          <w:rFonts w:ascii="Arial" w:hAnsi="Arial" w:cs="Arial"/>
          <w:noProof/>
          <w:lang w:val="en-US" w:eastAsia="en-US"/>
        </w:rPr>
      </w:pPr>
      <w:r w:rsidRPr="009E281C">
        <w:rPr>
          <w:rFonts w:ascii="Arial" w:hAnsi="Arial" w:cs="Arial"/>
          <w:noProof/>
          <w:lang w:val="en-US" w:eastAsia="en-US"/>
        </w:rPr>
        <w:t xml:space="preserve">Date: </w:t>
      </w:r>
      <w:r w:rsidR="0064584A">
        <w:rPr>
          <w:rFonts w:ascii="Arial" w:hAnsi="Arial" w:cs="Arial"/>
          <w:noProof/>
          <w:lang w:val="en-US" w:eastAsia="en-US"/>
        </w:rPr>
        <w:t>24</w:t>
      </w:r>
      <w:r w:rsidR="0064584A">
        <w:rPr>
          <w:rFonts w:ascii="Arial" w:hAnsi="Arial" w:cs="Arial"/>
          <w:noProof/>
          <w:vertAlign w:val="superscript"/>
          <w:lang w:val="en-US" w:eastAsia="en-US"/>
        </w:rPr>
        <w:t>th</w:t>
      </w:r>
      <w:r w:rsidR="00DD3ECA" w:rsidRPr="008C6839">
        <w:rPr>
          <w:rFonts w:ascii="Arial" w:hAnsi="Arial" w:cs="Arial"/>
          <w:noProof/>
          <w:lang w:val="en-US" w:eastAsia="en-US"/>
        </w:rPr>
        <w:t xml:space="preserve"> </w:t>
      </w:r>
      <w:r w:rsidRPr="008C6839">
        <w:rPr>
          <w:rFonts w:ascii="Arial" w:hAnsi="Arial" w:cs="Arial"/>
          <w:noProof/>
          <w:lang w:val="en-US" w:eastAsia="en-US"/>
        </w:rPr>
        <w:t>September 2026</w:t>
      </w:r>
      <w:r w:rsidR="00246D6E">
        <w:rPr>
          <w:rFonts w:ascii="Arial" w:hAnsi="Arial" w:cs="Arial"/>
          <w:noProof/>
          <w:lang w:val="en-US" w:eastAsia="en-US"/>
        </w:rPr>
        <w:t xml:space="preserve"> </w:t>
      </w:r>
    </w:p>
    <w:p w14:paraId="3CEF27DA" w14:textId="77777777" w:rsidR="009E281C" w:rsidRPr="00715C4F" w:rsidRDefault="009E281C" w:rsidP="00715C4F">
      <w:pPr>
        <w:spacing w:line="360" w:lineRule="auto"/>
        <w:jc w:val="both"/>
        <w:rPr>
          <w:rFonts w:ascii="Arial" w:hAnsi="Arial" w:cs="Arial"/>
          <w:noProof/>
          <w:lang w:val="en-US" w:eastAsia="en-US"/>
        </w:rPr>
      </w:pPr>
    </w:p>
    <w:p w14:paraId="7F5273EE" w14:textId="237F04CC" w:rsidR="005A71FB" w:rsidRPr="00715C4F" w:rsidRDefault="005A71FB" w:rsidP="00715C4F">
      <w:pPr>
        <w:spacing w:line="360" w:lineRule="auto"/>
        <w:jc w:val="both"/>
        <w:rPr>
          <w:rFonts w:ascii="Arial" w:eastAsia="Times New Roman" w:hAnsi="Arial" w:cs="Arial"/>
          <w:color w:val="000000" w:themeColor="text1"/>
          <w:lang w:val="hr-HR"/>
        </w:rPr>
      </w:pPr>
      <w:r w:rsidRPr="00715C4F">
        <w:rPr>
          <w:rFonts w:ascii="Arial" w:eastAsia="Times New Roman" w:hAnsi="Arial" w:cs="Arial"/>
          <w:color w:val="000000" w:themeColor="text1"/>
          <w:lang w:val="hr-HR"/>
        </w:rPr>
        <w:br w:type="page"/>
      </w:r>
    </w:p>
    <w:p w14:paraId="631D1484" w14:textId="523648E4" w:rsidR="007072A1" w:rsidRPr="00715C4F" w:rsidRDefault="005416AA" w:rsidP="00092116">
      <w:pPr>
        <w:pStyle w:val="Heading1"/>
      </w:pPr>
      <w:bookmarkStart w:id="1" w:name="_Toc241025862"/>
      <w:r w:rsidRPr="00715C4F">
        <w:lastRenderedPageBreak/>
        <w:t>ACKNOWLEDGEMENTS</w:t>
      </w:r>
      <w:bookmarkEnd w:id="1"/>
    </w:p>
    <w:p w14:paraId="7F03F96E" w14:textId="2A5628EE" w:rsidR="00D8499A" w:rsidRPr="00EF416A" w:rsidRDefault="00D8499A" w:rsidP="00D8499A">
      <w:pPr>
        <w:spacing w:line="360" w:lineRule="auto"/>
        <w:jc w:val="both"/>
        <w:rPr>
          <w:rFonts w:ascii="Arial" w:hAnsi="Arial" w:cs="Arial"/>
        </w:rPr>
      </w:pPr>
      <w:r w:rsidRPr="00EF416A">
        <w:rPr>
          <w:rFonts w:ascii="Arial" w:hAnsi="Arial" w:cs="Arial"/>
        </w:rPr>
        <w:t>I would like to thank my supervisor</w:t>
      </w:r>
      <w:r w:rsidR="00EF416A" w:rsidRPr="00EF416A">
        <w:rPr>
          <w:rFonts w:ascii="Arial" w:hAnsi="Arial" w:cs="Arial"/>
        </w:rPr>
        <w:t xml:space="preserve">, </w:t>
      </w:r>
      <w:r w:rsidR="00EF416A" w:rsidRPr="00EF416A">
        <w:rPr>
          <w:rFonts w:ascii="Arial" w:hAnsi="Arial" w:cs="Arial"/>
        </w:rPr>
        <w:t xml:space="preserve">Christopher </w:t>
      </w:r>
      <w:proofErr w:type="spellStart"/>
      <w:r w:rsidR="00EF416A" w:rsidRPr="00EF416A">
        <w:rPr>
          <w:rFonts w:ascii="Arial" w:hAnsi="Arial" w:cs="Arial"/>
        </w:rPr>
        <w:t>Mafuva</w:t>
      </w:r>
      <w:proofErr w:type="spellEnd"/>
      <w:r w:rsidR="00EF416A" w:rsidRPr="00EF416A">
        <w:rPr>
          <w:rFonts w:ascii="Arial" w:hAnsi="Arial" w:cs="Arial"/>
        </w:rPr>
        <w:t>,</w:t>
      </w:r>
      <w:r w:rsidRPr="00EF416A">
        <w:rPr>
          <w:rFonts w:ascii="Arial" w:hAnsi="Arial" w:cs="Arial"/>
        </w:rPr>
        <w:t xml:space="preserve"> for his helpful guidance and inputs, critical comments and ongoing support during the preparation of this dissertation. He gave me a lot of guidance and encouragement to help narrow the focus of my research, to hone the methodology and overall structure of this study. </w:t>
      </w:r>
    </w:p>
    <w:p w14:paraId="5684DCB5" w14:textId="77777777" w:rsidR="00D8499A" w:rsidRPr="00EF416A" w:rsidRDefault="00D8499A" w:rsidP="00D8499A">
      <w:pPr>
        <w:spacing w:line="360" w:lineRule="auto"/>
        <w:jc w:val="both"/>
        <w:rPr>
          <w:rFonts w:ascii="Arial" w:hAnsi="Arial" w:cs="Arial"/>
        </w:rPr>
      </w:pPr>
      <w:r w:rsidRPr="00EF416A">
        <w:rPr>
          <w:rFonts w:ascii="Arial" w:hAnsi="Arial" w:cs="Arial"/>
        </w:rPr>
        <w:t>I would also like to express my gratitude to the academic staff and faculty members who gave me valuable knowledge and guidance and supported me in my master's programme in Public Health and Social Care in Practice. Their teaching and feedback greatly helped in the development of my studies and in achieving success on this research work.</w:t>
      </w:r>
    </w:p>
    <w:p w14:paraId="4213ED63" w14:textId="77777777" w:rsidR="00D8499A" w:rsidRPr="00EF416A" w:rsidRDefault="00D8499A" w:rsidP="00D8499A">
      <w:pPr>
        <w:spacing w:line="360" w:lineRule="auto"/>
        <w:jc w:val="both"/>
        <w:rPr>
          <w:rFonts w:ascii="Arial" w:hAnsi="Arial" w:cs="Arial"/>
        </w:rPr>
      </w:pPr>
      <w:r w:rsidRPr="00EF416A">
        <w:rPr>
          <w:rFonts w:ascii="Arial" w:hAnsi="Arial" w:cs="Arial"/>
        </w:rPr>
        <w:t>Finally, I would like to thank my friends and colleagues for their encouragement, understanding and support during the whole research and writing period. For their motivation and encouragement, I was able to stay focused in difficult times in my dissertation.</w:t>
      </w:r>
    </w:p>
    <w:p w14:paraId="1186BC72" w14:textId="77777777" w:rsidR="00D8499A" w:rsidRPr="00EF416A" w:rsidRDefault="00D8499A" w:rsidP="00D8499A">
      <w:pPr>
        <w:spacing w:line="360" w:lineRule="auto"/>
        <w:jc w:val="both"/>
        <w:rPr>
          <w:rFonts w:ascii="Arial" w:hAnsi="Arial" w:cs="Arial"/>
        </w:rPr>
      </w:pPr>
      <w:r w:rsidRPr="00EF416A">
        <w:rPr>
          <w:rFonts w:ascii="Arial" w:hAnsi="Arial" w:cs="Arial"/>
        </w:rPr>
        <w:t>Last but not least, I would like to thank my family for their unconditional love, patience and constant encouragement. They have been encouraging and supportive during my studies, giving me the motivation and strength to complete this dissertation.</w:t>
      </w:r>
    </w:p>
    <w:p w14:paraId="27CB662C" w14:textId="46D4736F" w:rsidR="009E281C" w:rsidRPr="00EF416A" w:rsidRDefault="00D8499A" w:rsidP="00D8499A">
      <w:pPr>
        <w:spacing w:line="360" w:lineRule="auto"/>
        <w:jc w:val="both"/>
        <w:rPr>
          <w:rFonts w:ascii="Arial" w:hAnsi="Arial" w:cs="Arial"/>
        </w:rPr>
      </w:pPr>
      <w:r w:rsidRPr="00EF416A">
        <w:rPr>
          <w:rFonts w:ascii="Arial" w:hAnsi="Arial" w:cs="Arial"/>
        </w:rPr>
        <w:t xml:space="preserve">I would like to thank and appreciate everyone who has helped in any way to complete this work. </w:t>
      </w:r>
    </w:p>
    <w:p w14:paraId="32DAC1AC" w14:textId="77777777" w:rsidR="009E281C" w:rsidRPr="00715C4F" w:rsidRDefault="009E281C" w:rsidP="00715C4F">
      <w:pPr>
        <w:spacing w:line="360" w:lineRule="auto"/>
        <w:jc w:val="both"/>
        <w:rPr>
          <w:rFonts w:ascii="Arial" w:hAnsi="Arial" w:cs="Arial"/>
        </w:rPr>
      </w:pPr>
    </w:p>
    <w:p w14:paraId="7C4ECE05" w14:textId="133C0A13" w:rsidR="00E45E94" w:rsidRPr="00715C4F" w:rsidRDefault="00E45E94" w:rsidP="00715C4F">
      <w:pPr>
        <w:spacing w:line="360" w:lineRule="auto"/>
        <w:jc w:val="both"/>
        <w:rPr>
          <w:rFonts w:ascii="Arial" w:hAnsi="Arial" w:cs="Arial"/>
        </w:rPr>
      </w:pPr>
      <w:r w:rsidRPr="00715C4F">
        <w:rPr>
          <w:rFonts w:ascii="Arial" w:hAnsi="Arial" w:cs="Arial"/>
        </w:rPr>
        <w:br w:type="page"/>
      </w:r>
    </w:p>
    <w:p w14:paraId="6CC008EA" w14:textId="03BAFFA0" w:rsidR="00D14926" w:rsidRPr="00715C4F" w:rsidRDefault="005416AA" w:rsidP="00092116">
      <w:pPr>
        <w:pStyle w:val="Heading1"/>
        <w:rPr>
          <w:lang w:eastAsia="en-GB"/>
        </w:rPr>
      </w:pPr>
      <w:bookmarkStart w:id="2" w:name="_Toc241025863"/>
      <w:r w:rsidRPr="00715C4F">
        <w:rPr>
          <w:lang w:eastAsia="en-GB"/>
        </w:rPr>
        <w:lastRenderedPageBreak/>
        <w:t>ABSTRACT</w:t>
      </w:r>
      <w:bookmarkEnd w:id="2"/>
    </w:p>
    <w:p w14:paraId="7A879EA4" w14:textId="7BEAB1D3" w:rsidR="00BA69AA" w:rsidRPr="006D03D8" w:rsidRDefault="00BA69AA" w:rsidP="00BA69AA">
      <w:pPr>
        <w:spacing w:line="360" w:lineRule="auto"/>
        <w:jc w:val="both"/>
        <w:rPr>
          <w:rFonts w:ascii="Arial" w:hAnsi="Arial" w:cs="Arial"/>
        </w:rPr>
      </w:pPr>
      <w:r w:rsidRPr="006D03D8">
        <w:rPr>
          <w:rFonts w:ascii="Arial" w:hAnsi="Arial" w:cs="Arial"/>
          <w:b/>
        </w:rPr>
        <w:t>Background:</w:t>
      </w:r>
      <w:r w:rsidRPr="006D03D8">
        <w:rPr>
          <w:rFonts w:ascii="Arial" w:hAnsi="Arial" w:cs="Arial"/>
        </w:rPr>
        <w:t xml:space="preserve"> Vitamin D deficiency is a major public health concern in the United Kingdom (UK), particularly among ethnic minority groups. Ethnic group, demographic, socioeconomic, </w:t>
      </w:r>
      <w:proofErr w:type="gramStart"/>
      <w:r w:rsidRPr="006D03D8">
        <w:rPr>
          <w:rFonts w:ascii="Arial" w:hAnsi="Arial" w:cs="Arial"/>
        </w:rPr>
        <w:t>cultural</w:t>
      </w:r>
      <w:proofErr w:type="gramEnd"/>
      <w:r w:rsidRPr="006D03D8">
        <w:rPr>
          <w:rFonts w:ascii="Arial" w:hAnsi="Arial" w:cs="Arial"/>
        </w:rPr>
        <w:t xml:space="preserve"> and lifestyle factors, sun exposure and the amount of vitamin D consumed or taken as a supplement have been identified as factors affecting vitamin D status. </w:t>
      </w:r>
      <w:r w:rsidR="002778AD" w:rsidRPr="006D03D8">
        <w:rPr>
          <w:rFonts w:ascii="Arial" w:eastAsia="Times New Roman" w:hAnsi="Arial" w:cs="Arial"/>
          <w:lang w:eastAsia="en-GB"/>
        </w:rPr>
        <w:t>T</w:t>
      </w:r>
      <w:r w:rsidRPr="006D03D8">
        <w:rPr>
          <w:rFonts w:ascii="Arial" w:hAnsi="Arial" w:cs="Arial"/>
        </w:rPr>
        <w:t xml:space="preserve">he determinants of vitamin D deficiency among ethnic minority groups in the UK remain unclear. The aim of this systematic review was to evaluate the prevalence and risk factors for vitamin D deficiency in ethnic minority groups in the UK, specifically those relating to demographic, cultural, lifestyle and socioeconomic factors. </w:t>
      </w:r>
    </w:p>
    <w:p w14:paraId="3FDDE33A" w14:textId="17E32C41" w:rsidR="00BA69AA" w:rsidRPr="006D03D8" w:rsidRDefault="00BA69AA" w:rsidP="00BA69AA">
      <w:pPr>
        <w:spacing w:line="360" w:lineRule="auto"/>
        <w:jc w:val="both"/>
        <w:rPr>
          <w:rFonts w:ascii="Arial" w:hAnsi="Arial" w:cs="Arial"/>
        </w:rPr>
      </w:pPr>
      <w:r w:rsidRPr="006D03D8">
        <w:rPr>
          <w:rFonts w:ascii="Arial" w:hAnsi="Arial" w:cs="Arial"/>
          <w:b/>
        </w:rPr>
        <w:t>Methods:</w:t>
      </w:r>
      <w:r w:rsidRPr="006D03D8">
        <w:rPr>
          <w:rFonts w:ascii="Arial" w:hAnsi="Arial" w:cs="Arial"/>
        </w:rPr>
        <w:t xml:space="preserve"> The Medline, PubMed, </w:t>
      </w:r>
      <w:proofErr w:type="spellStart"/>
      <w:r w:rsidRPr="006D03D8">
        <w:rPr>
          <w:rFonts w:ascii="Arial" w:hAnsi="Arial" w:cs="Arial"/>
        </w:rPr>
        <w:t>Embase</w:t>
      </w:r>
      <w:proofErr w:type="spellEnd"/>
      <w:r w:rsidRPr="006D03D8">
        <w:rPr>
          <w:rFonts w:ascii="Arial" w:hAnsi="Arial" w:cs="Arial"/>
        </w:rPr>
        <w:t>, Scopus, Web of Science, CINAHL, and Google Scholar search engines were used to search for articles from 24 July to 2 August 2026. Eligible studies were identified and selected according to predefined inclusion and exclusion criteria using the PRISMA 2020 framework. Relevant information was extracted from the included studies, including participant characteristics, ethnicity, vitamin D status, demographic, socioeconomic, lifestyle, environmental and cultural factors, and supplementation practises. The Joanna Briggs Institute and Critical Appraisal Skil</w:t>
      </w:r>
      <w:r w:rsidR="00622C5D" w:rsidRPr="006D03D8">
        <w:rPr>
          <w:rFonts w:ascii="Arial" w:hAnsi="Arial" w:cs="Arial"/>
        </w:rPr>
        <w:t>ls Programme tools were used to evaluate</w:t>
      </w:r>
      <w:r w:rsidRPr="006D03D8">
        <w:rPr>
          <w:rFonts w:ascii="Arial" w:hAnsi="Arial" w:cs="Arial"/>
        </w:rPr>
        <w:t xml:space="preserve"> the quality of the studies and</w:t>
      </w:r>
      <w:r w:rsidR="00D5404B" w:rsidRPr="006D03D8">
        <w:rPr>
          <w:rFonts w:ascii="Arial" w:hAnsi="Arial" w:cs="Arial"/>
        </w:rPr>
        <w:t xml:space="preserve"> thematic synthesis was used to synthesise the findings. </w:t>
      </w:r>
    </w:p>
    <w:p w14:paraId="3E630668" w14:textId="77777777" w:rsidR="00BA69AA" w:rsidRPr="006D03D8" w:rsidRDefault="00BA69AA" w:rsidP="00BA69AA">
      <w:pPr>
        <w:spacing w:line="360" w:lineRule="auto"/>
        <w:jc w:val="both"/>
        <w:rPr>
          <w:rFonts w:ascii="Arial" w:hAnsi="Arial" w:cs="Arial"/>
        </w:rPr>
      </w:pPr>
      <w:r w:rsidRPr="006D03D8">
        <w:rPr>
          <w:rFonts w:ascii="Arial" w:hAnsi="Arial" w:cs="Arial"/>
          <w:b/>
        </w:rPr>
        <w:t>Results:</w:t>
      </w:r>
      <w:r w:rsidRPr="006D03D8">
        <w:rPr>
          <w:rFonts w:ascii="Arial" w:hAnsi="Arial" w:cs="Arial"/>
        </w:rPr>
        <w:t xml:space="preserve"> Fifteen studies met the inclusion criteria: eight cross-sectional, two qualitative, three cohort and two case-control studies. Five themes arose: ethnicity; socioeconomic determinants; lifestyle, environment and occupational factors; knowledge, awareness and cultural perceptions; and supplementation and prevention. There was a higher prevalence of vitamin D deficiency in the population of South Asian and Black. Season, sunlight exposure, diet, supplementation, socioeconomic circumstances and cultural factors were also associated with vitamin D status. </w:t>
      </w:r>
    </w:p>
    <w:p w14:paraId="77F9918E" w14:textId="77777777" w:rsidR="00BA69AA" w:rsidRPr="006D03D8" w:rsidRDefault="00BA69AA" w:rsidP="00BA69AA">
      <w:pPr>
        <w:spacing w:line="360" w:lineRule="auto"/>
        <w:jc w:val="both"/>
        <w:rPr>
          <w:rFonts w:ascii="Arial" w:hAnsi="Arial" w:cs="Arial"/>
        </w:rPr>
      </w:pPr>
      <w:r w:rsidRPr="006D03D8">
        <w:rPr>
          <w:rFonts w:ascii="Arial" w:hAnsi="Arial" w:cs="Arial"/>
          <w:b/>
        </w:rPr>
        <w:t>Conclusions:</w:t>
      </w:r>
      <w:r w:rsidRPr="006D03D8">
        <w:rPr>
          <w:rFonts w:ascii="Arial" w:hAnsi="Arial" w:cs="Arial"/>
        </w:rPr>
        <w:t xml:space="preserve"> Ethnic minority groups in the UK are at increased risk of vitamin D deficiency due to interacting demographic, socioeconomic, cultural, lifestyle and environmental factors. Targeted, culturally responsive prevention and supplementation strategies are needed to address these inequalities. </w:t>
      </w:r>
    </w:p>
    <w:p w14:paraId="3C51E341" w14:textId="79E94E62" w:rsidR="00BA69AA" w:rsidRPr="006D03D8" w:rsidRDefault="00BA69AA" w:rsidP="00BA69AA">
      <w:pPr>
        <w:spacing w:line="360" w:lineRule="auto"/>
        <w:jc w:val="both"/>
        <w:rPr>
          <w:rFonts w:ascii="Arial" w:hAnsi="Arial" w:cs="Arial"/>
        </w:rPr>
      </w:pPr>
      <w:r w:rsidRPr="006D03D8">
        <w:rPr>
          <w:rFonts w:ascii="Arial" w:hAnsi="Arial" w:cs="Arial"/>
        </w:rPr>
        <w:t xml:space="preserve">Keywords: </w:t>
      </w:r>
      <w:r w:rsidRPr="006D03D8">
        <w:rPr>
          <w:rFonts w:ascii="Arial" w:hAnsi="Arial" w:cs="Arial"/>
          <w:i/>
        </w:rPr>
        <w:t>Vitamin D deficiency; ethnic minority populations; United Kingdom; South Asian; Black populations; socioeconomic determinants; lifestyle factors; sunlight exposure; vitamin D supplementation; systematic review.</w:t>
      </w:r>
      <w:r w:rsidRPr="006D03D8">
        <w:rPr>
          <w:rFonts w:ascii="Arial" w:hAnsi="Arial" w:cs="Arial"/>
        </w:rPr>
        <w:t xml:space="preserve">  </w:t>
      </w:r>
    </w:p>
    <w:p w14:paraId="2DE4BC20" w14:textId="77777777" w:rsidR="00344B50" w:rsidRDefault="00344B50" w:rsidP="00237523">
      <w:pPr>
        <w:spacing w:after="0"/>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sdt>
      <w:sdtPr>
        <w:rPr>
          <w:rFonts w:ascii="Arial" w:eastAsiaTheme="minorEastAsia" w:hAnsi="Arial" w:cs="Arial"/>
          <w:bCs w:val="0"/>
          <w:color w:val="auto"/>
          <w:kern w:val="2"/>
          <w:sz w:val="22"/>
          <w:szCs w:val="22"/>
          <w:lang w:val="en-GB" w:eastAsia="zh-CN"/>
          <w14:ligatures w14:val="standardContextual"/>
        </w:rPr>
        <w:id w:val="1540167825"/>
        <w:docPartObj>
          <w:docPartGallery w:val="Table of Contents"/>
          <w:docPartUnique/>
        </w:docPartObj>
      </w:sdtPr>
      <w:sdtEndPr>
        <w:rPr>
          <w:b/>
          <w:noProof/>
        </w:rPr>
      </w:sdtEndPr>
      <w:sdtContent>
        <w:bookmarkStart w:id="3" w:name="_GoBack" w:displacedByCustomXml="prev"/>
        <w:bookmarkEnd w:id="3" w:displacedByCustomXml="prev"/>
        <w:p w14:paraId="53141AE0" w14:textId="4E587BB0" w:rsidR="00F20E2F" w:rsidRPr="001A60C1" w:rsidRDefault="00F20E2F" w:rsidP="001A60C1">
          <w:pPr>
            <w:pStyle w:val="TOCHeading"/>
            <w:spacing w:line="360" w:lineRule="auto"/>
            <w:jc w:val="center"/>
            <w:rPr>
              <w:rFonts w:ascii="Arial" w:hAnsi="Arial" w:cs="Arial"/>
              <w:szCs w:val="22"/>
            </w:rPr>
          </w:pPr>
          <w:r w:rsidRPr="001A60C1">
            <w:rPr>
              <w:rFonts w:ascii="Arial" w:hAnsi="Arial" w:cs="Arial"/>
              <w:szCs w:val="22"/>
            </w:rPr>
            <w:t>Contents</w:t>
          </w:r>
        </w:p>
        <w:p w14:paraId="7C8DCF38" w14:textId="2C3D9BC5" w:rsidR="001A60C1" w:rsidRPr="001A60C1" w:rsidRDefault="00F20E2F" w:rsidP="001A60C1">
          <w:pPr>
            <w:pStyle w:val="TOC1"/>
            <w:tabs>
              <w:tab w:val="right" w:leader="dot" w:pos="8296"/>
            </w:tabs>
            <w:spacing w:line="360" w:lineRule="auto"/>
            <w:rPr>
              <w:rFonts w:ascii="Arial" w:eastAsiaTheme="minorEastAsia" w:hAnsi="Arial" w:cs="Arial"/>
              <w:noProof/>
              <w:color w:val="auto"/>
              <w:kern w:val="0"/>
              <w:sz w:val="22"/>
              <w:lang w:val="en-US" w:eastAsia="en-US"/>
              <w14:ligatures w14:val="none"/>
            </w:rPr>
          </w:pPr>
          <w:r w:rsidRPr="001A60C1">
            <w:rPr>
              <w:rFonts w:ascii="Arial" w:hAnsi="Arial" w:cs="Arial"/>
              <w:sz w:val="22"/>
            </w:rPr>
            <w:fldChar w:fldCharType="begin"/>
          </w:r>
          <w:r w:rsidRPr="001A60C1">
            <w:rPr>
              <w:rFonts w:ascii="Arial" w:hAnsi="Arial" w:cs="Arial"/>
              <w:sz w:val="22"/>
            </w:rPr>
            <w:instrText xml:space="preserve"> TOC \o "1-3" \h \z \u </w:instrText>
          </w:r>
          <w:r w:rsidRPr="001A60C1">
            <w:rPr>
              <w:rFonts w:ascii="Arial" w:hAnsi="Arial" w:cs="Arial"/>
              <w:sz w:val="22"/>
            </w:rPr>
            <w:fldChar w:fldCharType="separate"/>
          </w:r>
          <w:hyperlink w:anchor="_Toc241025861" w:history="1">
            <w:r w:rsidR="001A60C1" w:rsidRPr="001A60C1">
              <w:rPr>
                <w:rStyle w:val="Hyperlink"/>
                <w:rFonts w:ascii="Arial" w:hAnsi="Arial" w:cs="Arial"/>
                <w:noProof/>
                <w:sz w:val="22"/>
                <w:lang w:val="hr-HR"/>
              </w:rPr>
              <w:t>DECLARATION</w:t>
            </w:r>
            <w:r w:rsidR="001A60C1" w:rsidRPr="001A60C1">
              <w:rPr>
                <w:rFonts w:ascii="Arial" w:hAnsi="Arial" w:cs="Arial"/>
                <w:noProof/>
                <w:webHidden/>
                <w:sz w:val="22"/>
              </w:rPr>
              <w:tab/>
            </w:r>
            <w:r w:rsidR="001A60C1" w:rsidRPr="001A60C1">
              <w:rPr>
                <w:rFonts w:ascii="Arial" w:hAnsi="Arial" w:cs="Arial"/>
                <w:noProof/>
                <w:webHidden/>
                <w:sz w:val="22"/>
              </w:rPr>
              <w:fldChar w:fldCharType="begin"/>
            </w:r>
            <w:r w:rsidR="001A60C1" w:rsidRPr="001A60C1">
              <w:rPr>
                <w:rFonts w:ascii="Arial" w:hAnsi="Arial" w:cs="Arial"/>
                <w:noProof/>
                <w:webHidden/>
                <w:sz w:val="22"/>
              </w:rPr>
              <w:instrText xml:space="preserve"> PAGEREF _Toc241025861 \h </w:instrText>
            </w:r>
            <w:r w:rsidR="001A60C1" w:rsidRPr="001A60C1">
              <w:rPr>
                <w:rFonts w:ascii="Arial" w:hAnsi="Arial" w:cs="Arial"/>
                <w:noProof/>
                <w:webHidden/>
                <w:sz w:val="22"/>
              </w:rPr>
            </w:r>
            <w:r w:rsidR="001A60C1" w:rsidRPr="001A60C1">
              <w:rPr>
                <w:rFonts w:ascii="Arial" w:hAnsi="Arial" w:cs="Arial"/>
                <w:noProof/>
                <w:webHidden/>
                <w:sz w:val="22"/>
              </w:rPr>
              <w:fldChar w:fldCharType="separate"/>
            </w:r>
            <w:r w:rsidR="003B53EF">
              <w:rPr>
                <w:rFonts w:ascii="Arial" w:hAnsi="Arial" w:cs="Arial"/>
                <w:noProof/>
                <w:webHidden/>
                <w:sz w:val="22"/>
              </w:rPr>
              <w:t>ii</w:t>
            </w:r>
            <w:r w:rsidR="001A60C1" w:rsidRPr="001A60C1">
              <w:rPr>
                <w:rFonts w:ascii="Arial" w:hAnsi="Arial" w:cs="Arial"/>
                <w:noProof/>
                <w:webHidden/>
                <w:sz w:val="22"/>
              </w:rPr>
              <w:fldChar w:fldCharType="end"/>
            </w:r>
          </w:hyperlink>
        </w:p>
        <w:p w14:paraId="67539A2B" w14:textId="3B77A3FE" w:rsidR="001A60C1" w:rsidRPr="001A60C1" w:rsidRDefault="0028144C" w:rsidP="001A60C1">
          <w:pPr>
            <w:pStyle w:val="TOC1"/>
            <w:tabs>
              <w:tab w:val="right" w:leader="dot" w:pos="8296"/>
            </w:tabs>
            <w:spacing w:line="360" w:lineRule="auto"/>
            <w:rPr>
              <w:rFonts w:ascii="Arial" w:eastAsiaTheme="minorEastAsia" w:hAnsi="Arial" w:cs="Arial"/>
              <w:noProof/>
              <w:color w:val="auto"/>
              <w:kern w:val="0"/>
              <w:sz w:val="22"/>
              <w:lang w:val="en-US" w:eastAsia="en-US"/>
              <w14:ligatures w14:val="none"/>
            </w:rPr>
          </w:pPr>
          <w:hyperlink w:anchor="_Toc241025862" w:history="1">
            <w:r w:rsidR="001A60C1" w:rsidRPr="001A60C1">
              <w:rPr>
                <w:rStyle w:val="Hyperlink"/>
                <w:rFonts w:ascii="Arial" w:hAnsi="Arial" w:cs="Arial"/>
                <w:noProof/>
                <w:sz w:val="22"/>
              </w:rPr>
              <w:t>ACKNOWLEDGEMENTS</w:t>
            </w:r>
            <w:r w:rsidR="001A60C1" w:rsidRPr="001A60C1">
              <w:rPr>
                <w:rFonts w:ascii="Arial" w:hAnsi="Arial" w:cs="Arial"/>
                <w:noProof/>
                <w:webHidden/>
                <w:sz w:val="22"/>
              </w:rPr>
              <w:tab/>
            </w:r>
            <w:r w:rsidR="001A60C1" w:rsidRPr="001A60C1">
              <w:rPr>
                <w:rFonts w:ascii="Arial" w:hAnsi="Arial" w:cs="Arial"/>
                <w:noProof/>
                <w:webHidden/>
                <w:sz w:val="22"/>
              </w:rPr>
              <w:fldChar w:fldCharType="begin"/>
            </w:r>
            <w:r w:rsidR="001A60C1" w:rsidRPr="001A60C1">
              <w:rPr>
                <w:rFonts w:ascii="Arial" w:hAnsi="Arial" w:cs="Arial"/>
                <w:noProof/>
                <w:webHidden/>
                <w:sz w:val="22"/>
              </w:rPr>
              <w:instrText xml:space="preserve"> PAGEREF _Toc241025862 \h </w:instrText>
            </w:r>
            <w:r w:rsidR="001A60C1" w:rsidRPr="001A60C1">
              <w:rPr>
                <w:rFonts w:ascii="Arial" w:hAnsi="Arial" w:cs="Arial"/>
                <w:noProof/>
                <w:webHidden/>
                <w:sz w:val="22"/>
              </w:rPr>
            </w:r>
            <w:r w:rsidR="001A60C1" w:rsidRPr="001A60C1">
              <w:rPr>
                <w:rFonts w:ascii="Arial" w:hAnsi="Arial" w:cs="Arial"/>
                <w:noProof/>
                <w:webHidden/>
                <w:sz w:val="22"/>
              </w:rPr>
              <w:fldChar w:fldCharType="separate"/>
            </w:r>
            <w:r w:rsidR="003B53EF">
              <w:rPr>
                <w:rFonts w:ascii="Arial" w:hAnsi="Arial" w:cs="Arial"/>
                <w:noProof/>
                <w:webHidden/>
                <w:sz w:val="22"/>
              </w:rPr>
              <w:t>iii</w:t>
            </w:r>
            <w:r w:rsidR="001A60C1" w:rsidRPr="001A60C1">
              <w:rPr>
                <w:rFonts w:ascii="Arial" w:hAnsi="Arial" w:cs="Arial"/>
                <w:noProof/>
                <w:webHidden/>
                <w:sz w:val="22"/>
              </w:rPr>
              <w:fldChar w:fldCharType="end"/>
            </w:r>
          </w:hyperlink>
        </w:p>
        <w:p w14:paraId="0D4E4328" w14:textId="72304603" w:rsidR="001A60C1" w:rsidRPr="001A60C1" w:rsidRDefault="0028144C" w:rsidP="001A60C1">
          <w:pPr>
            <w:pStyle w:val="TOC1"/>
            <w:tabs>
              <w:tab w:val="right" w:leader="dot" w:pos="8296"/>
            </w:tabs>
            <w:spacing w:line="360" w:lineRule="auto"/>
            <w:rPr>
              <w:rFonts w:ascii="Arial" w:eastAsiaTheme="minorEastAsia" w:hAnsi="Arial" w:cs="Arial"/>
              <w:noProof/>
              <w:color w:val="auto"/>
              <w:kern w:val="0"/>
              <w:sz w:val="22"/>
              <w:lang w:val="en-US" w:eastAsia="en-US"/>
              <w14:ligatures w14:val="none"/>
            </w:rPr>
          </w:pPr>
          <w:hyperlink w:anchor="_Toc241025863" w:history="1">
            <w:r w:rsidR="001A60C1" w:rsidRPr="001A60C1">
              <w:rPr>
                <w:rStyle w:val="Hyperlink"/>
                <w:rFonts w:ascii="Arial" w:hAnsi="Arial" w:cs="Arial"/>
                <w:noProof/>
                <w:sz w:val="22"/>
                <w:lang w:eastAsia="en-GB"/>
              </w:rPr>
              <w:t>ABSTRACT</w:t>
            </w:r>
            <w:r w:rsidR="001A60C1" w:rsidRPr="001A60C1">
              <w:rPr>
                <w:rFonts w:ascii="Arial" w:hAnsi="Arial" w:cs="Arial"/>
                <w:noProof/>
                <w:webHidden/>
                <w:sz w:val="22"/>
              </w:rPr>
              <w:tab/>
            </w:r>
            <w:r w:rsidR="001A60C1" w:rsidRPr="001A60C1">
              <w:rPr>
                <w:rFonts w:ascii="Arial" w:hAnsi="Arial" w:cs="Arial"/>
                <w:noProof/>
                <w:webHidden/>
                <w:sz w:val="22"/>
              </w:rPr>
              <w:fldChar w:fldCharType="begin"/>
            </w:r>
            <w:r w:rsidR="001A60C1" w:rsidRPr="001A60C1">
              <w:rPr>
                <w:rFonts w:ascii="Arial" w:hAnsi="Arial" w:cs="Arial"/>
                <w:noProof/>
                <w:webHidden/>
                <w:sz w:val="22"/>
              </w:rPr>
              <w:instrText xml:space="preserve"> PAGEREF _Toc241025863 \h </w:instrText>
            </w:r>
            <w:r w:rsidR="001A60C1" w:rsidRPr="001A60C1">
              <w:rPr>
                <w:rFonts w:ascii="Arial" w:hAnsi="Arial" w:cs="Arial"/>
                <w:noProof/>
                <w:webHidden/>
                <w:sz w:val="22"/>
              </w:rPr>
            </w:r>
            <w:r w:rsidR="001A60C1" w:rsidRPr="001A60C1">
              <w:rPr>
                <w:rFonts w:ascii="Arial" w:hAnsi="Arial" w:cs="Arial"/>
                <w:noProof/>
                <w:webHidden/>
                <w:sz w:val="22"/>
              </w:rPr>
              <w:fldChar w:fldCharType="separate"/>
            </w:r>
            <w:r w:rsidR="003B53EF">
              <w:rPr>
                <w:rFonts w:ascii="Arial" w:hAnsi="Arial" w:cs="Arial"/>
                <w:noProof/>
                <w:webHidden/>
                <w:sz w:val="22"/>
              </w:rPr>
              <w:t>iv</w:t>
            </w:r>
            <w:r w:rsidR="001A60C1" w:rsidRPr="001A60C1">
              <w:rPr>
                <w:rFonts w:ascii="Arial" w:hAnsi="Arial" w:cs="Arial"/>
                <w:noProof/>
                <w:webHidden/>
                <w:sz w:val="22"/>
              </w:rPr>
              <w:fldChar w:fldCharType="end"/>
            </w:r>
          </w:hyperlink>
        </w:p>
        <w:p w14:paraId="0E731FB7" w14:textId="3129BC05" w:rsidR="001A60C1" w:rsidRPr="001A60C1" w:rsidRDefault="0028144C" w:rsidP="001A60C1">
          <w:pPr>
            <w:pStyle w:val="TOC1"/>
            <w:tabs>
              <w:tab w:val="right" w:leader="dot" w:pos="8296"/>
            </w:tabs>
            <w:spacing w:line="360" w:lineRule="auto"/>
            <w:rPr>
              <w:rFonts w:ascii="Arial" w:eastAsiaTheme="minorEastAsia" w:hAnsi="Arial" w:cs="Arial"/>
              <w:noProof/>
              <w:color w:val="auto"/>
              <w:kern w:val="0"/>
              <w:sz w:val="22"/>
              <w:lang w:val="en-US" w:eastAsia="en-US"/>
              <w14:ligatures w14:val="none"/>
            </w:rPr>
          </w:pPr>
          <w:hyperlink w:anchor="_Toc241025864" w:history="1">
            <w:r w:rsidR="001A60C1" w:rsidRPr="001A60C1">
              <w:rPr>
                <w:rStyle w:val="Hyperlink"/>
                <w:rFonts w:ascii="Arial" w:hAnsi="Arial" w:cs="Arial"/>
                <w:noProof/>
                <w:sz w:val="22"/>
              </w:rPr>
              <w:t>List of Table</w:t>
            </w:r>
            <w:r w:rsidR="001A60C1" w:rsidRPr="001A60C1">
              <w:rPr>
                <w:rFonts w:ascii="Arial" w:hAnsi="Arial" w:cs="Arial"/>
                <w:noProof/>
                <w:webHidden/>
                <w:sz w:val="22"/>
              </w:rPr>
              <w:tab/>
            </w:r>
            <w:r w:rsidR="001A60C1" w:rsidRPr="001A60C1">
              <w:rPr>
                <w:rFonts w:ascii="Arial" w:hAnsi="Arial" w:cs="Arial"/>
                <w:noProof/>
                <w:webHidden/>
                <w:sz w:val="22"/>
              </w:rPr>
              <w:fldChar w:fldCharType="begin"/>
            </w:r>
            <w:r w:rsidR="001A60C1" w:rsidRPr="001A60C1">
              <w:rPr>
                <w:rFonts w:ascii="Arial" w:hAnsi="Arial" w:cs="Arial"/>
                <w:noProof/>
                <w:webHidden/>
                <w:sz w:val="22"/>
              </w:rPr>
              <w:instrText xml:space="preserve"> PAGEREF _Toc241025864 \h </w:instrText>
            </w:r>
            <w:r w:rsidR="001A60C1" w:rsidRPr="001A60C1">
              <w:rPr>
                <w:rFonts w:ascii="Arial" w:hAnsi="Arial" w:cs="Arial"/>
                <w:noProof/>
                <w:webHidden/>
                <w:sz w:val="22"/>
              </w:rPr>
            </w:r>
            <w:r w:rsidR="001A60C1" w:rsidRPr="001A60C1">
              <w:rPr>
                <w:rFonts w:ascii="Arial" w:hAnsi="Arial" w:cs="Arial"/>
                <w:noProof/>
                <w:webHidden/>
                <w:sz w:val="22"/>
              </w:rPr>
              <w:fldChar w:fldCharType="separate"/>
            </w:r>
            <w:r w:rsidR="003B53EF">
              <w:rPr>
                <w:rFonts w:ascii="Arial" w:hAnsi="Arial" w:cs="Arial"/>
                <w:noProof/>
                <w:webHidden/>
                <w:sz w:val="22"/>
              </w:rPr>
              <w:t>ix</w:t>
            </w:r>
            <w:r w:rsidR="001A60C1" w:rsidRPr="001A60C1">
              <w:rPr>
                <w:rFonts w:ascii="Arial" w:hAnsi="Arial" w:cs="Arial"/>
                <w:noProof/>
                <w:webHidden/>
                <w:sz w:val="22"/>
              </w:rPr>
              <w:fldChar w:fldCharType="end"/>
            </w:r>
          </w:hyperlink>
        </w:p>
        <w:p w14:paraId="71945C36" w14:textId="10E2C9D9" w:rsidR="001A60C1" w:rsidRPr="001A60C1" w:rsidRDefault="0028144C" w:rsidP="001A60C1">
          <w:pPr>
            <w:pStyle w:val="TOC1"/>
            <w:tabs>
              <w:tab w:val="right" w:leader="dot" w:pos="8296"/>
            </w:tabs>
            <w:spacing w:line="360" w:lineRule="auto"/>
            <w:rPr>
              <w:rFonts w:ascii="Arial" w:eastAsiaTheme="minorEastAsia" w:hAnsi="Arial" w:cs="Arial"/>
              <w:noProof/>
              <w:color w:val="auto"/>
              <w:kern w:val="0"/>
              <w:sz w:val="22"/>
              <w:lang w:val="en-US" w:eastAsia="en-US"/>
              <w14:ligatures w14:val="none"/>
            </w:rPr>
          </w:pPr>
          <w:hyperlink w:anchor="_Toc241025865" w:history="1">
            <w:r w:rsidR="001A60C1" w:rsidRPr="001A60C1">
              <w:rPr>
                <w:rStyle w:val="Hyperlink"/>
                <w:rFonts w:ascii="Arial" w:hAnsi="Arial" w:cs="Arial"/>
                <w:noProof/>
                <w:sz w:val="22"/>
              </w:rPr>
              <w:t>List of Abbreviations</w:t>
            </w:r>
            <w:r w:rsidR="001A60C1" w:rsidRPr="001A60C1">
              <w:rPr>
                <w:rFonts w:ascii="Arial" w:hAnsi="Arial" w:cs="Arial"/>
                <w:noProof/>
                <w:webHidden/>
                <w:sz w:val="22"/>
              </w:rPr>
              <w:tab/>
            </w:r>
            <w:r w:rsidR="001A60C1" w:rsidRPr="001A60C1">
              <w:rPr>
                <w:rFonts w:ascii="Arial" w:hAnsi="Arial" w:cs="Arial"/>
                <w:noProof/>
                <w:webHidden/>
                <w:sz w:val="22"/>
              </w:rPr>
              <w:fldChar w:fldCharType="begin"/>
            </w:r>
            <w:r w:rsidR="001A60C1" w:rsidRPr="001A60C1">
              <w:rPr>
                <w:rFonts w:ascii="Arial" w:hAnsi="Arial" w:cs="Arial"/>
                <w:noProof/>
                <w:webHidden/>
                <w:sz w:val="22"/>
              </w:rPr>
              <w:instrText xml:space="preserve"> PAGEREF _Toc241025865 \h </w:instrText>
            </w:r>
            <w:r w:rsidR="001A60C1" w:rsidRPr="001A60C1">
              <w:rPr>
                <w:rFonts w:ascii="Arial" w:hAnsi="Arial" w:cs="Arial"/>
                <w:noProof/>
                <w:webHidden/>
                <w:sz w:val="22"/>
              </w:rPr>
            </w:r>
            <w:r w:rsidR="001A60C1" w:rsidRPr="001A60C1">
              <w:rPr>
                <w:rFonts w:ascii="Arial" w:hAnsi="Arial" w:cs="Arial"/>
                <w:noProof/>
                <w:webHidden/>
                <w:sz w:val="22"/>
              </w:rPr>
              <w:fldChar w:fldCharType="separate"/>
            </w:r>
            <w:r w:rsidR="003B53EF">
              <w:rPr>
                <w:rFonts w:ascii="Arial" w:hAnsi="Arial" w:cs="Arial"/>
                <w:noProof/>
                <w:webHidden/>
                <w:sz w:val="22"/>
              </w:rPr>
              <w:t>x</w:t>
            </w:r>
            <w:r w:rsidR="001A60C1" w:rsidRPr="001A60C1">
              <w:rPr>
                <w:rFonts w:ascii="Arial" w:hAnsi="Arial" w:cs="Arial"/>
                <w:noProof/>
                <w:webHidden/>
                <w:sz w:val="22"/>
              </w:rPr>
              <w:fldChar w:fldCharType="end"/>
            </w:r>
          </w:hyperlink>
        </w:p>
        <w:p w14:paraId="63A26E50" w14:textId="0E2F5A2C" w:rsidR="001A60C1" w:rsidRPr="001A60C1" w:rsidRDefault="0028144C" w:rsidP="001A60C1">
          <w:pPr>
            <w:pStyle w:val="TOC1"/>
            <w:tabs>
              <w:tab w:val="right" w:leader="dot" w:pos="8296"/>
            </w:tabs>
            <w:spacing w:line="360" w:lineRule="auto"/>
            <w:rPr>
              <w:rFonts w:ascii="Arial" w:eastAsiaTheme="minorEastAsia" w:hAnsi="Arial" w:cs="Arial"/>
              <w:noProof/>
              <w:color w:val="auto"/>
              <w:kern w:val="0"/>
              <w:sz w:val="22"/>
              <w:lang w:val="en-US" w:eastAsia="en-US"/>
              <w14:ligatures w14:val="none"/>
            </w:rPr>
          </w:pPr>
          <w:hyperlink w:anchor="_Toc241025866" w:history="1">
            <w:r w:rsidR="001A60C1" w:rsidRPr="001A60C1">
              <w:rPr>
                <w:rStyle w:val="Hyperlink"/>
                <w:rFonts w:ascii="Arial" w:hAnsi="Arial" w:cs="Arial"/>
                <w:noProof/>
                <w:sz w:val="22"/>
              </w:rPr>
              <w:t>Chapter One: Introduction</w:t>
            </w:r>
            <w:r w:rsidR="001A60C1" w:rsidRPr="001A60C1">
              <w:rPr>
                <w:rFonts w:ascii="Arial" w:hAnsi="Arial" w:cs="Arial"/>
                <w:noProof/>
                <w:webHidden/>
                <w:sz w:val="22"/>
              </w:rPr>
              <w:tab/>
            </w:r>
            <w:r w:rsidR="001A60C1" w:rsidRPr="001A60C1">
              <w:rPr>
                <w:rFonts w:ascii="Arial" w:hAnsi="Arial" w:cs="Arial"/>
                <w:noProof/>
                <w:webHidden/>
                <w:sz w:val="22"/>
              </w:rPr>
              <w:fldChar w:fldCharType="begin"/>
            </w:r>
            <w:r w:rsidR="001A60C1" w:rsidRPr="001A60C1">
              <w:rPr>
                <w:rFonts w:ascii="Arial" w:hAnsi="Arial" w:cs="Arial"/>
                <w:noProof/>
                <w:webHidden/>
                <w:sz w:val="22"/>
              </w:rPr>
              <w:instrText xml:space="preserve"> PAGEREF _Toc241025866 \h </w:instrText>
            </w:r>
            <w:r w:rsidR="001A60C1" w:rsidRPr="001A60C1">
              <w:rPr>
                <w:rFonts w:ascii="Arial" w:hAnsi="Arial" w:cs="Arial"/>
                <w:noProof/>
                <w:webHidden/>
                <w:sz w:val="22"/>
              </w:rPr>
            </w:r>
            <w:r w:rsidR="001A60C1" w:rsidRPr="001A60C1">
              <w:rPr>
                <w:rFonts w:ascii="Arial" w:hAnsi="Arial" w:cs="Arial"/>
                <w:noProof/>
                <w:webHidden/>
                <w:sz w:val="22"/>
              </w:rPr>
              <w:fldChar w:fldCharType="separate"/>
            </w:r>
            <w:r w:rsidR="003B53EF">
              <w:rPr>
                <w:rFonts w:ascii="Arial" w:hAnsi="Arial" w:cs="Arial"/>
                <w:noProof/>
                <w:webHidden/>
                <w:sz w:val="22"/>
              </w:rPr>
              <w:t>1</w:t>
            </w:r>
            <w:r w:rsidR="001A60C1" w:rsidRPr="001A60C1">
              <w:rPr>
                <w:rFonts w:ascii="Arial" w:hAnsi="Arial" w:cs="Arial"/>
                <w:noProof/>
                <w:webHidden/>
                <w:sz w:val="22"/>
              </w:rPr>
              <w:fldChar w:fldCharType="end"/>
            </w:r>
          </w:hyperlink>
        </w:p>
        <w:p w14:paraId="696EE613" w14:textId="78B743CD"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67" w:history="1">
            <w:r w:rsidR="001A60C1" w:rsidRPr="001A60C1">
              <w:rPr>
                <w:rStyle w:val="Hyperlink"/>
                <w:rFonts w:ascii="Arial" w:hAnsi="Arial" w:cs="Arial"/>
                <w:noProof/>
              </w:rPr>
              <w:t>1.1 Introduction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_Toc241025867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w:t>
            </w:r>
            <w:r w:rsidR="001A60C1" w:rsidRPr="001A60C1">
              <w:rPr>
                <w:rFonts w:ascii="Arial" w:hAnsi="Arial" w:cs="Arial"/>
                <w:noProof/>
                <w:webHidden/>
              </w:rPr>
              <w:fldChar w:fldCharType="end"/>
            </w:r>
          </w:hyperlink>
        </w:p>
        <w:p w14:paraId="5E7D6023" w14:textId="7BA12BCB"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68" w:history="1">
            <w:r w:rsidR="001A60C1" w:rsidRPr="001A60C1">
              <w:rPr>
                <w:rStyle w:val="Hyperlink"/>
                <w:rFonts w:ascii="Arial" w:hAnsi="Arial" w:cs="Arial"/>
                <w:noProof/>
              </w:rPr>
              <w:t>1.2 Background of the Study</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_Toc241025868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w:t>
            </w:r>
            <w:r w:rsidR="001A60C1" w:rsidRPr="001A60C1">
              <w:rPr>
                <w:rFonts w:ascii="Arial" w:hAnsi="Arial" w:cs="Arial"/>
                <w:noProof/>
                <w:webHidden/>
              </w:rPr>
              <w:fldChar w:fldCharType="end"/>
            </w:r>
          </w:hyperlink>
        </w:p>
        <w:p w14:paraId="0ADDF483" w14:textId="5DCF5C62"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69" w:history="1">
            <w:r w:rsidR="001A60C1" w:rsidRPr="001A60C1">
              <w:rPr>
                <w:rStyle w:val="Hyperlink"/>
                <w:rFonts w:ascii="Arial" w:hAnsi="Arial" w:cs="Arial"/>
                <w:noProof/>
              </w:rPr>
              <w:t>1.3 Statement of the Problem</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_Toc241025869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w:t>
            </w:r>
            <w:r w:rsidR="001A60C1" w:rsidRPr="001A60C1">
              <w:rPr>
                <w:rFonts w:ascii="Arial" w:hAnsi="Arial" w:cs="Arial"/>
                <w:noProof/>
                <w:webHidden/>
              </w:rPr>
              <w:fldChar w:fldCharType="end"/>
            </w:r>
          </w:hyperlink>
        </w:p>
        <w:p w14:paraId="7FF9F83D" w14:textId="0B235162"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70" w:history="1">
            <w:r w:rsidR="001A60C1" w:rsidRPr="001A60C1">
              <w:rPr>
                <w:rStyle w:val="Hyperlink"/>
                <w:rFonts w:ascii="Arial" w:hAnsi="Arial" w:cs="Arial"/>
                <w:noProof/>
              </w:rPr>
              <w:t>1.4 Rationale of the Research</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_Toc241025870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3</w:t>
            </w:r>
            <w:r w:rsidR="001A60C1" w:rsidRPr="001A60C1">
              <w:rPr>
                <w:rFonts w:ascii="Arial" w:hAnsi="Arial" w:cs="Arial"/>
                <w:noProof/>
                <w:webHidden/>
              </w:rPr>
              <w:fldChar w:fldCharType="end"/>
            </w:r>
          </w:hyperlink>
        </w:p>
        <w:p w14:paraId="33B53445" w14:textId="4FAED5C5"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71" w:history="1">
            <w:r w:rsidR="001A60C1" w:rsidRPr="001A60C1">
              <w:rPr>
                <w:rStyle w:val="Hyperlink"/>
                <w:rFonts w:ascii="Arial" w:hAnsi="Arial" w:cs="Arial"/>
                <w:noProof/>
              </w:rPr>
              <w:t>1.5 Research Question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_Toc241025871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3</w:t>
            </w:r>
            <w:r w:rsidR="001A60C1" w:rsidRPr="001A60C1">
              <w:rPr>
                <w:rFonts w:ascii="Arial" w:hAnsi="Arial" w:cs="Arial"/>
                <w:noProof/>
                <w:webHidden/>
              </w:rPr>
              <w:fldChar w:fldCharType="end"/>
            </w:r>
          </w:hyperlink>
        </w:p>
        <w:p w14:paraId="49A31B80" w14:textId="00093B6F"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72" w:history="1">
            <w:r w:rsidR="001A60C1" w:rsidRPr="001A60C1">
              <w:rPr>
                <w:rStyle w:val="Hyperlink"/>
                <w:rFonts w:ascii="Arial" w:hAnsi="Arial" w:cs="Arial"/>
                <w:noProof/>
              </w:rPr>
              <w:t>1.6 Research Aim</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_Toc241025872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w:t>
            </w:r>
            <w:r w:rsidR="001A60C1" w:rsidRPr="001A60C1">
              <w:rPr>
                <w:rFonts w:ascii="Arial" w:hAnsi="Arial" w:cs="Arial"/>
                <w:noProof/>
                <w:webHidden/>
              </w:rPr>
              <w:fldChar w:fldCharType="end"/>
            </w:r>
          </w:hyperlink>
        </w:p>
        <w:p w14:paraId="1162CE93" w14:textId="5DA73D36"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73" w:history="1">
            <w:r w:rsidR="001A60C1" w:rsidRPr="001A60C1">
              <w:rPr>
                <w:rStyle w:val="Hyperlink"/>
                <w:rFonts w:ascii="Arial" w:hAnsi="Arial" w:cs="Arial"/>
                <w:noProof/>
              </w:rPr>
              <w:t>1.7 Research Objectives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_Toc241025873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w:t>
            </w:r>
            <w:r w:rsidR="001A60C1" w:rsidRPr="001A60C1">
              <w:rPr>
                <w:rFonts w:ascii="Arial" w:hAnsi="Arial" w:cs="Arial"/>
                <w:noProof/>
                <w:webHidden/>
              </w:rPr>
              <w:fldChar w:fldCharType="end"/>
            </w:r>
          </w:hyperlink>
        </w:p>
        <w:p w14:paraId="169BA569" w14:textId="23E316AE"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74" w:history="1">
            <w:r w:rsidR="001A60C1" w:rsidRPr="001A60C1">
              <w:rPr>
                <w:rStyle w:val="Hyperlink"/>
                <w:rFonts w:ascii="Arial" w:hAnsi="Arial" w:cs="Arial"/>
                <w:noProof/>
              </w:rPr>
              <w:t>1.8 Significance of the Study</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_Toc241025874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w:t>
            </w:r>
            <w:r w:rsidR="001A60C1" w:rsidRPr="001A60C1">
              <w:rPr>
                <w:rFonts w:ascii="Arial" w:hAnsi="Arial" w:cs="Arial"/>
                <w:noProof/>
                <w:webHidden/>
              </w:rPr>
              <w:fldChar w:fldCharType="end"/>
            </w:r>
          </w:hyperlink>
        </w:p>
        <w:p w14:paraId="6C2575F9" w14:textId="5CB06C26"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75" w:history="1">
            <w:r w:rsidR="001A60C1" w:rsidRPr="001A60C1">
              <w:rPr>
                <w:rStyle w:val="Hyperlink"/>
                <w:rFonts w:ascii="Arial" w:hAnsi="Arial" w:cs="Arial"/>
                <w:noProof/>
              </w:rPr>
              <w:t>1.9 Summary of the Chapter</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_Toc241025875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w:t>
            </w:r>
            <w:r w:rsidR="001A60C1" w:rsidRPr="001A60C1">
              <w:rPr>
                <w:rFonts w:ascii="Arial" w:hAnsi="Arial" w:cs="Arial"/>
                <w:noProof/>
                <w:webHidden/>
              </w:rPr>
              <w:fldChar w:fldCharType="end"/>
            </w:r>
          </w:hyperlink>
        </w:p>
        <w:p w14:paraId="742BC093" w14:textId="23A1CAB7" w:rsidR="001A60C1" w:rsidRPr="001A60C1" w:rsidRDefault="0028144C" w:rsidP="001A60C1">
          <w:pPr>
            <w:pStyle w:val="TOC1"/>
            <w:tabs>
              <w:tab w:val="right" w:leader="dot" w:pos="8296"/>
            </w:tabs>
            <w:spacing w:line="360" w:lineRule="auto"/>
            <w:rPr>
              <w:rFonts w:ascii="Arial" w:eastAsiaTheme="minorEastAsia" w:hAnsi="Arial" w:cs="Arial"/>
              <w:noProof/>
              <w:color w:val="auto"/>
              <w:kern w:val="0"/>
              <w:sz w:val="22"/>
              <w:lang w:val="en-US" w:eastAsia="en-US"/>
              <w14:ligatures w14:val="none"/>
            </w:rPr>
          </w:pPr>
          <w:hyperlink w:anchor="_Toc241025876" w:history="1">
            <w:r w:rsidR="001A60C1" w:rsidRPr="001A60C1">
              <w:rPr>
                <w:rStyle w:val="Hyperlink"/>
                <w:rFonts w:ascii="Arial" w:hAnsi="Arial" w:cs="Arial"/>
                <w:noProof/>
                <w:sz w:val="22"/>
              </w:rPr>
              <w:t>Chapter Two: Literature Review</w:t>
            </w:r>
            <w:r w:rsidR="001A60C1" w:rsidRPr="001A60C1">
              <w:rPr>
                <w:rFonts w:ascii="Arial" w:hAnsi="Arial" w:cs="Arial"/>
                <w:noProof/>
                <w:webHidden/>
                <w:sz w:val="22"/>
              </w:rPr>
              <w:tab/>
            </w:r>
            <w:r w:rsidR="001A60C1" w:rsidRPr="001A60C1">
              <w:rPr>
                <w:rFonts w:ascii="Arial" w:hAnsi="Arial" w:cs="Arial"/>
                <w:noProof/>
                <w:webHidden/>
                <w:sz w:val="22"/>
              </w:rPr>
              <w:fldChar w:fldCharType="begin"/>
            </w:r>
            <w:r w:rsidR="001A60C1" w:rsidRPr="001A60C1">
              <w:rPr>
                <w:rFonts w:ascii="Arial" w:hAnsi="Arial" w:cs="Arial"/>
                <w:noProof/>
                <w:webHidden/>
                <w:sz w:val="22"/>
              </w:rPr>
              <w:instrText xml:space="preserve"> PAGEREF _Toc241025876 \h </w:instrText>
            </w:r>
            <w:r w:rsidR="001A60C1" w:rsidRPr="001A60C1">
              <w:rPr>
                <w:rFonts w:ascii="Arial" w:hAnsi="Arial" w:cs="Arial"/>
                <w:noProof/>
                <w:webHidden/>
                <w:sz w:val="22"/>
              </w:rPr>
            </w:r>
            <w:r w:rsidR="001A60C1" w:rsidRPr="001A60C1">
              <w:rPr>
                <w:rFonts w:ascii="Arial" w:hAnsi="Arial" w:cs="Arial"/>
                <w:noProof/>
                <w:webHidden/>
                <w:sz w:val="22"/>
              </w:rPr>
              <w:fldChar w:fldCharType="separate"/>
            </w:r>
            <w:r w:rsidR="003B53EF">
              <w:rPr>
                <w:rFonts w:ascii="Arial" w:hAnsi="Arial" w:cs="Arial"/>
                <w:noProof/>
                <w:webHidden/>
                <w:sz w:val="22"/>
              </w:rPr>
              <w:t>6</w:t>
            </w:r>
            <w:r w:rsidR="001A60C1" w:rsidRPr="001A60C1">
              <w:rPr>
                <w:rFonts w:ascii="Arial" w:hAnsi="Arial" w:cs="Arial"/>
                <w:noProof/>
                <w:webHidden/>
                <w:sz w:val="22"/>
              </w:rPr>
              <w:fldChar w:fldCharType="end"/>
            </w:r>
          </w:hyperlink>
        </w:p>
        <w:p w14:paraId="4D87AFA1" w14:textId="25D34E7B"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77" w:history="1">
            <w:r w:rsidR="001A60C1" w:rsidRPr="001A60C1">
              <w:rPr>
                <w:rStyle w:val="Hyperlink"/>
                <w:rFonts w:ascii="Arial" w:hAnsi="Arial" w:cs="Arial"/>
                <w:noProof/>
              </w:rPr>
              <w:t>2.1 Introduction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_Toc241025877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6</w:t>
            </w:r>
            <w:r w:rsidR="001A60C1" w:rsidRPr="001A60C1">
              <w:rPr>
                <w:rFonts w:ascii="Arial" w:hAnsi="Arial" w:cs="Arial"/>
                <w:noProof/>
                <w:webHidden/>
              </w:rPr>
              <w:fldChar w:fldCharType="end"/>
            </w:r>
          </w:hyperlink>
        </w:p>
        <w:p w14:paraId="69698070" w14:textId="75597930"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78" w:history="1">
            <w:r w:rsidR="001A60C1" w:rsidRPr="001A60C1">
              <w:rPr>
                <w:rStyle w:val="Hyperlink"/>
                <w:rFonts w:ascii="Arial" w:hAnsi="Arial" w:cs="Arial"/>
                <w:noProof/>
              </w:rPr>
              <w:t>2.2 Literature Search Strategy</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_Toc241025878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6</w:t>
            </w:r>
            <w:r w:rsidR="001A60C1" w:rsidRPr="001A60C1">
              <w:rPr>
                <w:rFonts w:ascii="Arial" w:hAnsi="Arial" w:cs="Arial"/>
                <w:noProof/>
                <w:webHidden/>
              </w:rPr>
              <w:fldChar w:fldCharType="end"/>
            </w:r>
          </w:hyperlink>
        </w:p>
        <w:p w14:paraId="0F71376F" w14:textId="0FA0AFFA"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79" w:history="1">
            <w:r w:rsidR="001A60C1" w:rsidRPr="001A60C1">
              <w:rPr>
                <w:rStyle w:val="Hyperlink"/>
                <w:rFonts w:ascii="Arial" w:hAnsi="Arial" w:cs="Arial"/>
                <w:noProof/>
              </w:rPr>
              <w:t>2.3 Literature Review</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_Toc241025879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7</w:t>
            </w:r>
            <w:r w:rsidR="001A60C1" w:rsidRPr="001A60C1">
              <w:rPr>
                <w:rFonts w:ascii="Arial" w:hAnsi="Arial" w:cs="Arial"/>
                <w:noProof/>
                <w:webHidden/>
              </w:rPr>
              <w:fldChar w:fldCharType="end"/>
            </w:r>
          </w:hyperlink>
        </w:p>
        <w:p w14:paraId="056862A3" w14:textId="731E36DD"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880" w:history="1">
            <w:r w:rsidR="001A60C1" w:rsidRPr="001A60C1">
              <w:rPr>
                <w:rStyle w:val="Hyperlink"/>
                <w:rFonts w:ascii="Arial" w:hAnsi="Arial" w:cs="Arial"/>
                <w:noProof/>
              </w:rPr>
              <w:t>2.3.1 Overview of Vitamin D</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_Toc241025880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7</w:t>
            </w:r>
            <w:r w:rsidR="001A60C1" w:rsidRPr="001A60C1">
              <w:rPr>
                <w:rFonts w:ascii="Arial" w:hAnsi="Arial" w:cs="Arial"/>
                <w:noProof/>
                <w:webHidden/>
              </w:rPr>
              <w:fldChar w:fldCharType="end"/>
            </w:r>
          </w:hyperlink>
        </w:p>
        <w:p w14:paraId="109CBB5E" w14:textId="6EDDC988"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881" w:history="1">
            <w:r w:rsidR="001A60C1" w:rsidRPr="001A60C1">
              <w:rPr>
                <w:rStyle w:val="Hyperlink"/>
                <w:rFonts w:ascii="Arial" w:hAnsi="Arial" w:cs="Arial"/>
                <w:noProof/>
              </w:rPr>
              <w:t>2.3.2 Vitamin D Absorption, Transport and Storage</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_Toc241025881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7</w:t>
            </w:r>
            <w:r w:rsidR="001A60C1" w:rsidRPr="001A60C1">
              <w:rPr>
                <w:rFonts w:ascii="Arial" w:hAnsi="Arial" w:cs="Arial"/>
                <w:noProof/>
                <w:webHidden/>
              </w:rPr>
              <w:fldChar w:fldCharType="end"/>
            </w:r>
          </w:hyperlink>
        </w:p>
        <w:p w14:paraId="67CCC8CE" w14:textId="4B9ED7C3"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882" w:history="1">
            <w:r w:rsidR="001A60C1" w:rsidRPr="001A60C1">
              <w:rPr>
                <w:rStyle w:val="Hyperlink"/>
                <w:rFonts w:ascii="Arial" w:hAnsi="Arial" w:cs="Arial"/>
                <w:noProof/>
              </w:rPr>
              <w:t>2.3.3 Prevalence of Vitamin D Deficiency</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_Toc241025882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8</w:t>
            </w:r>
            <w:r w:rsidR="001A60C1" w:rsidRPr="001A60C1">
              <w:rPr>
                <w:rFonts w:ascii="Arial" w:hAnsi="Arial" w:cs="Arial"/>
                <w:noProof/>
                <w:webHidden/>
              </w:rPr>
              <w:fldChar w:fldCharType="end"/>
            </w:r>
          </w:hyperlink>
        </w:p>
        <w:p w14:paraId="364087DD" w14:textId="118C6C1F"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883" w:history="1">
            <w:r w:rsidR="001A60C1" w:rsidRPr="001A60C1">
              <w:rPr>
                <w:rStyle w:val="Hyperlink"/>
                <w:rFonts w:ascii="Arial" w:hAnsi="Arial" w:cs="Arial"/>
                <w:noProof/>
              </w:rPr>
              <w:t>2.3.4 Demographic Determinants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_Toc241025883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8</w:t>
            </w:r>
            <w:r w:rsidR="001A60C1" w:rsidRPr="001A60C1">
              <w:rPr>
                <w:rFonts w:ascii="Arial" w:hAnsi="Arial" w:cs="Arial"/>
                <w:noProof/>
                <w:webHidden/>
              </w:rPr>
              <w:fldChar w:fldCharType="end"/>
            </w:r>
          </w:hyperlink>
        </w:p>
        <w:p w14:paraId="64A8FAE1" w14:textId="3D787B59"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884" w:history="1">
            <w:r w:rsidR="001A60C1" w:rsidRPr="001A60C1">
              <w:rPr>
                <w:rStyle w:val="Hyperlink"/>
                <w:rFonts w:ascii="Arial" w:hAnsi="Arial" w:cs="Arial"/>
                <w:noProof/>
              </w:rPr>
              <w:t>2.3.5 Cultural and Lifestyle Determinants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_Toc241025884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10</w:t>
            </w:r>
            <w:r w:rsidR="001A60C1" w:rsidRPr="001A60C1">
              <w:rPr>
                <w:rFonts w:ascii="Arial" w:hAnsi="Arial" w:cs="Arial"/>
                <w:noProof/>
                <w:webHidden/>
              </w:rPr>
              <w:fldChar w:fldCharType="end"/>
            </w:r>
          </w:hyperlink>
        </w:p>
        <w:p w14:paraId="41AD8286" w14:textId="1B7C36C5"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885" w:history="1">
            <w:r w:rsidR="001A60C1" w:rsidRPr="001A60C1">
              <w:rPr>
                <w:rStyle w:val="Hyperlink"/>
                <w:rFonts w:ascii="Arial" w:hAnsi="Arial" w:cs="Arial"/>
                <w:noProof/>
              </w:rPr>
              <w:t>2.3.6 Socioeconomic Determinants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_Toc241025885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11</w:t>
            </w:r>
            <w:r w:rsidR="001A60C1" w:rsidRPr="001A60C1">
              <w:rPr>
                <w:rFonts w:ascii="Arial" w:hAnsi="Arial" w:cs="Arial"/>
                <w:noProof/>
                <w:webHidden/>
              </w:rPr>
              <w:fldChar w:fldCharType="end"/>
            </w:r>
          </w:hyperlink>
        </w:p>
        <w:p w14:paraId="38752107" w14:textId="318D2C31"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886" w:history="1">
            <w:r w:rsidR="001A60C1" w:rsidRPr="001A60C1">
              <w:rPr>
                <w:rStyle w:val="Hyperlink"/>
                <w:rFonts w:ascii="Arial" w:hAnsi="Arial" w:cs="Arial"/>
                <w:noProof/>
              </w:rPr>
              <w:t>2.3.7 Public Health Policies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_Toc241025886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11</w:t>
            </w:r>
            <w:r w:rsidR="001A60C1" w:rsidRPr="001A60C1">
              <w:rPr>
                <w:rFonts w:ascii="Arial" w:hAnsi="Arial" w:cs="Arial"/>
                <w:noProof/>
                <w:webHidden/>
              </w:rPr>
              <w:fldChar w:fldCharType="end"/>
            </w:r>
          </w:hyperlink>
        </w:p>
        <w:p w14:paraId="0080D4ED" w14:textId="64B714F1"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887" w:history="1">
            <w:r w:rsidR="001A60C1" w:rsidRPr="001A60C1">
              <w:rPr>
                <w:rStyle w:val="Hyperlink"/>
                <w:rFonts w:ascii="Arial" w:hAnsi="Arial" w:cs="Arial"/>
                <w:noProof/>
              </w:rPr>
              <w:t>2.3.8 Existing Interventions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_Toc241025887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12</w:t>
            </w:r>
            <w:r w:rsidR="001A60C1" w:rsidRPr="001A60C1">
              <w:rPr>
                <w:rFonts w:ascii="Arial" w:hAnsi="Arial" w:cs="Arial"/>
                <w:noProof/>
                <w:webHidden/>
              </w:rPr>
              <w:fldChar w:fldCharType="end"/>
            </w:r>
          </w:hyperlink>
        </w:p>
        <w:p w14:paraId="6975313B" w14:textId="5A0654EB"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88" w:history="1">
            <w:r w:rsidR="001A60C1" w:rsidRPr="001A60C1">
              <w:rPr>
                <w:rStyle w:val="Hyperlink"/>
                <w:rFonts w:ascii="Arial" w:hAnsi="Arial" w:cs="Arial"/>
                <w:noProof/>
              </w:rPr>
              <w:t>2.4 Gaps in the Literature</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_Toc241025888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13</w:t>
            </w:r>
            <w:r w:rsidR="001A60C1" w:rsidRPr="001A60C1">
              <w:rPr>
                <w:rFonts w:ascii="Arial" w:hAnsi="Arial" w:cs="Arial"/>
                <w:noProof/>
                <w:webHidden/>
              </w:rPr>
              <w:fldChar w:fldCharType="end"/>
            </w:r>
          </w:hyperlink>
        </w:p>
        <w:p w14:paraId="4FEE99EC" w14:textId="78388D96"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89" w:history="1">
            <w:r w:rsidR="001A60C1" w:rsidRPr="001A60C1">
              <w:rPr>
                <w:rStyle w:val="Hyperlink"/>
                <w:rFonts w:ascii="Arial" w:hAnsi="Arial" w:cs="Arial"/>
                <w:noProof/>
              </w:rPr>
              <w:t>2.5 Theoretical Framework</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_Toc241025889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14</w:t>
            </w:r>
            <w:r w:rsidR="001A60C1" w:rsidRPr="001A60C1">
              <w:rPr>
                <w:rFonts w:ascii="Arial" w:hAnsi="Arial" w:cs="Arial"/>
                <w:noProof/>
                <w:webHidden/>
              </w:rPr>
              <w:fldChar w:fldCharType="end"/>
            </w:r>
          </w:hyperlink>
        </w:p>
        <w:p w14:paraId="0F93D0D9" w14:textId="1F681125"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90" w:history="1">
            <w:r w:rsidR="001A60C1" w:rsidRPr="001A60C1">
              <w:rPr>
                <w:rStyle w:val="Hyperlink"/>
                <w:rFonts w:ascii="Arial" w:hAnsi="Arial" w:cs="Arial"/>
                <w:noProof/>
              </w:rPr>
              <w:t>2.6 Summary to the Chapter</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_Toc241025890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15</w:t>
            </w:r>
            <w:r w:rsidR="001A60C1" w:rsidRPr="001A60C1">
              <w:rPr>
                <w:rFonts w:ascii="Arial" w:hAnsi="Arial" w:cs="Arial"/>
                <w:noProof/>
                <w:webHidden/>
              </w:rPr>
              <w:fldChar w:fldCharType="end"/>
            </w:r>
          </w:hyperlink>
        </w:p>
        <w:p w14:paraId="34BFCDB4" w14:textId="78A04BEE" w:rsidR="001A60C1" w:rsidRPr="001A60C1" w:rsidRDefault="0028144C" w:rsidP="001A60C1">
          <w:pPr>
            <w:pStyle w:val="TOC1"/>
            <w:tabs>
              <w:tab w:val="right" w:leader="dot" w:pos="8296"/>
            </w:tabs>
            <w:spacing w:line="360" w:lineRule="auto"/>
            <w:rPr>
              <w:rFonts w:ascii="Arial" w:eastAsiaTheme="minorEastAsia" w:hAnsi="Arial" w:cs="Arial"/>
              <w:noProof/>
              <w:color w:val="auto"/>
              <w:kern w:val="0"/>
              <w:sz w:val="22"/>
              <w:lang w:val="en-US" w:eastAsia="en-US"/>
              <w14:ligatures w14:val="none"/>
            </w:rPr>
          </w:pPr>
          <w:hyperlink w:anchor="_Toc241025891" w:history="1">
            <w:r w:rsidR="001A60C1" w:rsidRPr="001A60C1">
              <w:rPr>
                <w:rStyle w:val="Hyperlink"/>
                <w:rFonts w:ascii="Arial" w:hAnsi="Arial" w:cs="Arial"/>
                <w:noProof/>
                <w:sz w:val="22"/>
                <w:lang w:eastAsia="en-GB"/>
              </w:rPr>
              <w:t>Chapter Three: Research Methodology</w:t>
            </w:r>
            <w:r w:rsidR="001A60C1" w:rsidRPr="001A60C1">
              <w:rPr>
                <w:rFonts w:ascii="Arial" w:hAnsi="Arial" w:cs="Arial"/>
                <w:noProof/>
                <w:webHidden/>
                <w:sz w:val="22"/>
              </w:rPr>
              <w:tab/>
            </w:r>
            <w:r w:rsidR="001A60C1" w:rsidRPr="001A60C1">
              <w:rPr>
                <w:rFonts w:ascii="Arial" w:hAnsi="Arial" w:cs="Arial"/>
                <w:noProof/>
                <w:webHidden/>
                <w:sz w:val="22"/>
              </w:rPr>
              <w:fldChar w:fldCharType="begin"/>
            </w:r>
            <w:r w:rsidR="001A60C1" w:rsidRPr="001A60C1">
              <w:rPr>
                <w:rFonts w:ascii="Arial" w:hAnsi="Arial" w:cs="Arial"/>
                <w:noProof/>
                <w:webHidden/>
                <w:sz w:val="22"/>
              </w:rPr>
              <w:instrText xml:space="preserve"> PAGEREF _Toc241025891 \h </w:instrText>
            </w:r>
            <w:r w:rsidR="001A60C1" w:rsidRPr="001A60C1">
              <w:rPr>
                <w:rFonts w:ascii="Arial" w:hAnsi="Arial" w:cs="Arial"/>
                <w:noProof/>
                <w:webHidden/>
                <w:sz w:val="22"/>
              </w:rPr>
            </w:r>
            <w:r w:rsidR="001A60C1" w:rsidRPr="001A60C1">
              <w:rPr>
                <w:rFonts w:ascii="Arial" w:hAnsi="Arial" w:cs="Arial"/>
                <w:noProof/>
                <w:webHidden/>
                <w:sz w:val="22"/>
              </w:rPr>
              <w:fldChar w:fldCharType="separate"/>
            </w:r>
            <w:r w:rsidR="003B53EF">
              <w:rPr>
                <w:rFonts w:ascii="Arial" w:hAnsi="Arial" w:cs="Arial"/>
                <w:noProof/>
                <w:webHidden/>
                <w:sz w:val="22"/>
              </w:rPr>
              <w:t>16</w:t>
            </w:r>
            <w:r w:rsidR="001A60C1" w:rsidRPr="001A60C1">
              <w:rPr>
                <w:rFonts w:ascii="Arial" w:hAnsi="Arial" w:cs="Arial"/>
                <w:noProof/>
                <w:webHidden/>
                <w:sz w:val="22"/>
              </w:rPr>
              <w:fldChar w:fldCharType="end"/>
            </w:r>
          </w:hyperlink>
        </w:p>
        <w:p w14:paraId="3D43470F" w14:textId="738B9EB2"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92" w:history="1">
            <w:r w:rsidR="001A60C1" w:rsidRPr="001A60C1">
              <w:rPr>
                <w:rStyle w:val="Hyperlink"/>
                <w:rFonts w:ascii="Arial" w:hAnsi="Arial" w:cs="Arial"/>
                <w:noProof/>
                <w:lang w:eastAsia="en-GB"/>
              </w:rPr>
              <w:t>3.1 Introduction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_Toc241025892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16</w:t>
            </w:r>
            <w:r w:rsidR="001A60C1" w:rsidRPr="001A60C1">
              <w:rPr>
                <w:rFonts w:ascii="Arial" w:hAnsi="Arial" w:cs="Arial"/>
                <w:noProof/>
                <w:webHidden/>
              </w:rPr>
              <w:fldChar w:fldCharType="end"/>
            </w:r>
          </w:hyperlink>
        </w:p>
        <w:p w14:paraId="5909EE07" w14:textId="23F80E16"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93" w:history="1">
            <w:r w:rsidR="001A60C1" w:rsidRPr="001A60C1">
              <w:rPr>
                <w:rStyle w:val="Hyperlink"/>
                <w:rFonts w:ascii="Arial" w:hAnsi="Arial" w:cs="Arial"/>
                <w:noProof/>
                <w:lang w:eastAsia="en-GB"/>
              </w:rPr>
              <w:t>3.2 Research Philosophy</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_Toc241025893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16</w:t>
            </w:r>
            <w:r w:rsidR="001A60C1" w:rsidRPr="001A60C1">
              <w:rPr>
                <w:rFonts w:ascii="Arial" w:hAnsi="Arial" w:cs="Arial"/>
                <w:noProof/>
                <w:webHidden/>
              </w:rPr>
              <w:fldChar w:fldCharType="end"/>
            </w:r>
          </w:hyperlink>
        </w:p>
        <w:p w14:paraId="6CFD6BBD" w14:textId="0752BA61"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94" w:history="1">
            <w:r w:rsidR="001A60C1" w:rsidRPr="001A60C1">
              <w:rPr>
                <w:rStyle w:val="Hyperlink"/>
                <w:rFonts w:ascii="Arial" w:hAnsi="Arial" w:cs="Arial"/>
                <w:noProof/>
                <w:lang w:eastAsia="en-GB"/>
              </w:rPr>
              <w:t>3.3 Ethical Considerations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_Toc241025894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17</w:t>
            </w:r>
            <w:r w:rsidR="001A60C1" w:rsidRPr="001A60C1">
              <w:rPr>
                <w:rFonts w:ascii="Arial" w:hAnsi="Arial" w:cs="Arial"/>
                <w:noProof/>
                <w:webHidden/>
              </w:rPr>
              <w:fldChar w:fldCharType="end"/>
            </w:r>
          </w:hyperlink>
        </w:p>
        <w:p w14:paraId="511B32C3" w14:textId="316DDACB"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95" w:history="1">
            <w:r w:rsidR="001A60C1" w:rsidRPr="001A60C1">
              <w:rPr>
                <w:rStyle w:val="Hyperlink"/>
                <w:rFonts w:ascii="Arial" w:hAnsi="Arial" w:cs="Arial"/>
                <w:noProof/>
                <w:lang w:eastAsia="en-GB"/>
              </w:rPr>
              <w:t>3.4 Research Approach</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_Toc241025895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17</w:t>
            </w:r>
            <w:r w:rsidR="001A60C1" w:rsidRPr="001A60C1">
              <w:rPr>
                <w:rFonts w:ascii="Arial" w:hAnsi="Arial" w:cs="Arial"/>
                <w:noProof/>
                <w:webHidden/>
              </w:rPr>
              <w:fldChar w:fldCharType="end"/>
            </w:r>
          </w:hyperlink>
        </w:p>
        <w:p w14:paraId="1B773B7C" w14:textId="3C8B8CC5"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96" w:history="1">
            <w:r w:rsidR="001A60C1" w:rsidRPr="001A60C1">
              <w:rPr>
                <w:rStyle w:val="Hyperlink"/>
                <w:rFonts w:ascii="Arial" w:hAnsi="Arial" w:cs="Arial"/>
                <w:noProof/>
                <w:lang w:eastAsia="en-GB"/>
              </w:rPr>
              <w:t>3.5 Research Strategy</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_Toc241025896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18</w:t>
            </w:r>
            <w:r w:rsidR="001A60C1" w:rsidRPr="001A60C1">
              <w:rPr>
                <w:rFonts w:ascii="Arial" w:hAnsi="Arial" w:cs="Arial"/>
                <w:noProof/>
                <w:webHidden/>
              </w:rPr>
              <w:fldChar w:fldCharType="end"/>
            </w:r>
          </w:hyperlink>
        </w:p>
        <w:p w14:paraId="4831B2F4" w14:textId="02AADFFE"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97" w:history="1">
            <w:r w:rsidR="001A60C1" w:rsidRPr="001A60C1">
              <w:rPr>
                <w:rStyle w:val="Hyperlink"/>
                <w:rFonts w:ascii="Arial" w:hAnsi="Arial" w:cs="Arial"/>
                <w:noProof/>
                <w:lang w:eastAsia="en-GB"/>
              </w:rPr>
              <w:t>3.6 Study Design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_Toc241025897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19</w:t>
            </w:r>
            <w:r w:rsidR="001A60C1" w:rsidRPr="001A60C1">
              <w:rPr>
                <w:rFonts w:ascii="Arial" w:hAnsi="Arial" w:cs="Arial"/>
                <w:noProof/>
                <w:webHidden/>
              </w:rPr>
              <w:fldChar w:fldCharType="end"/>
            </w:r>
          </w:hyperlink>
        </w:p>
        <w:p w14:paraId="35AB093E" w14:textId="790C2BED"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898" w:history="1">
            <w:r w:rsidR="001A60C1" w:rsidRPr="001A60C1">
              <w:rPr>
                <w:rStyle w:val="Hyperlink"/>
                <w:rFonts w:ascii="Arial" w:hAnsi="Arial" w:cs="Arial"/>
                <w:noProof/>
                <w:lang w:eastAsia="en-GB"/>
              </w:rPr>
              <w:t>3.7 Method of Data Collection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_Toc241025898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19</w:t>
            </w:r>
            <w:r w:rsidR="001A60C1" w:rsidRPr="001A60C1">
              <w:rPr>
                <w:rFonts w:ascii="Arial" w:hAnsi="Arial" w:cs="Arial"/>
                <w:noProof/>
                <w:webHidden/>
              </w:rPr>
              <w:fldChar w:fldCharType="end"/>
            </w:r>
          </w:hyperlink>
        </w:p>
        <w:p w14:paraId="7D8E57C0" w14:textId="635493BF"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899" w:history="1">
            <w:r w:rsidR="001A60C1" w:rsidRPr="001A60C1">
              <w:rPr>
                <w:rStyle w:val="Hyperlink"/>
                <w:rFonts w:ascii="Arial" w:hAnsi="Arial" w:cs="Arial"/>
                <w:noProof/>
                <w:lang w:eastAsia="en-GB"/>
              </w:rPr>
              <w:t>3.7.1 Search Strategy</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_Toc241025899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20</w:t>
            </w:r>
            <w:r w:rsidR="001A60C1" w:rsidRPr="001A60C1">
              <w:rPr>
                <w:rFonts w:ascii="Arial" w:hAnsi="Arial" w:cs="Arial"/>
                <w:noProof/>
                <w:webHidden/>
              </w:rPr>
              <w:fldChar w:fldCharType="end"/>
            </w:r>
          </w:hyperlink>
        </w:p>
        <w:p w14:paraId="58C964D9" w14:textId="2FEA60C3"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00" w:history="1">
            <w:r w:rsidR="001A60C1" w:rsidRPr="001A60C1">
              <w:rPr>
                <w:rStyle w:val="Hyperlink"/>
                <w:rFonts w:ascii="Arial" w:hAnsi="Arial" w:cs="Arial"/>
                <w:noProof/>
                <w:lang w:eastAsia="en-GB"/>
              </w:rPr>
              <w:t>3.7.2 PICO Framework</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_Toc241025900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20</w:t>
            </w:r>
            <w:r w:rsidR="001A60C1" w:rsidRPr="001A60C1">
              <w:rPr>
                <w:rFonts w:ascii="Arial" w:hAnsi="Arial" w:cs="Arial"/>
                <w:noProof/>
                <w:webHidden/>
              </w:rPr>
              <w:fldChar w:fldCharType="end"/>
            </w:r>
          </w:hyperlink>
        </w:p>
        <w:p w14:paraId="412EBBAA" w14:textId="2CDC6E27"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01" w:history="1">
            <w:r w:rsidR="001A60C1" w:rsidRPr="001A60C1">
              <w:rPr>
                <w:rStyle w:val="Hyperlink"/>
                <w:rFonts w:ascii="Arial" w:hAnsi="Arial" w:cs="Arial"/>
                <w:noProof/>
                <w:lang w:eastAsia="en-GB"/>
              </w:rPr>
              <w:t>3.7.3 Database Search Procedure</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_Toc241025901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21</w:t>
            </w:r>
            <w:r w:rsidR="001A60C1" w:rsidRPr="001A60C1">
              <w:rPr>
                <w:rFonts w:ascii="Arial" w:hAnsi="Arial" w:cs="Arial"/>
                <w:noProof/>
                <w:webHidden/>
              </w:rPr>
              <w:fldChar w:fldCharType="end"/>
            </w:r>
          </w:hyperlink>
        </w:p>
        <w:p w14:paraId="38E232A3" w14:textId="1E8D8EC0"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02" w:history="1">
            <w:r w:rsidR="001A60C1" w:rsidRPr="001A60C1">
              <w:rPr>
                <w:rStyle w:val="Hyperlink"/>
                <w:rFonts w:ascii="Arial" w:hAnsi="Arial" w:cs="Arial"/>
                <w:noProof/>
                <w:lang w:eastAsia="en-GB"/>
              </w:rPr>
              <w:t>3.7.4 Hand Search</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_Toc241025902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22</w:t>
            </w:r>
            <w:r w:rsidR="001A60C1" w:rsidRPr="001A60C1">
              <w:rPr>
                <w:rFonts w:ascii="Arial" w:hAnsi="Arial" w:cs="Arial"/>
                <w:noProof/>
                <w:webHidden/>
              </w:rPr>
              <w:fldChar w:fldCharType="end"/>
            </w:r>
          </w:hyperlink>
        </w:p>
        <w:p w14:paraId="58BD74CD" w14:textId="1729A5F2"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03" w:history="1">
            <w:r w:rsidR="001A60C1" w:rsidRPr="001A60C1">
              <w:rPr>
                <w:rStyle w:val="Hyperlink"/>
                <w:rFonts w:ascii="Arial" w:hAnsi="Arial" w:cs="Arial"/>
                <w:noProof/>
                <w:lang w:eastAsia="en-GB"/>
              </w:rPr>
              <w:t>3.7.5 Grey Literature</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_Toc241025903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22</w:t>
            </w:r>
            <w:r w:rsidR="001A60C1" w:rsidRPr="001A60C1">
              <w:rPr>
                <w:rFonts w:ascii="Arial" w:hAnsi="Arial" w:cs="Arial"/>
                <w:noProof/>
                <w:webHidden/>
              </w:rPr>
              <w:fldChar w:fldCharType="end"/>
            </w:r>
          </w:hyperlink>
        </w:p>
        <w:p w14:paraId="7736B14A" w14:textId="749AFEEC"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04" w:history="1">
            <w:r w:rsidR="001A60C1" w:rsidRPr="001A60C1">
              <w:rPr>
                <w:rStyle w:val="Hyperlink"/>
                <w:rFonts w:ascii="Arial" w:hAnsi="Arial" w:cs="Arial"/>
                <w:noProof/>
                <w:lang w:eastAsia="en-GB"/>
              </w:rPr>
              <w:t>3.7.6 Inclusion and Exclusion Criteria</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_Toc241025904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22</w:t>
            </w:r>
            <w:r w:rsidR="001A60C1" w:rsidRPr="001A60C1">
              <w:rPr>
                <w:rFonts w:ascii="Arial" w:hAnsi="Arial" w:cs="Arial"/>
                <w:noProof/>
                <w:webHidden/>
              </w:rPr>
              <w:fldChar w:fldCharType="end"/>
            </w:r>
          </w:hyperlink>
        </w:p>
        <w:p w14:paraId="083C5567" w14:textId="190714BC"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05" w:history="1">
            <w:r w:rsidR="001A60C1" w:rsidRPr="001A60C1">
              <w:rPr>
                <w:rStyle w:val="Hyperlink"/>
                <w:rFonts w:ascii="Arial" w:hAnsi="Arial" w:cs="Arial"/>
                <w:noProof/>
                <w:lang w:eastAsia="en-GB"/>
              </w:rPr>
              <w:t>3.8 Study Selection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_Toc241025905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23</w:t>
            </w:r>
            <w:r w:rsidR="001A60C1" w:rsidRPr="001A60C1">
              <w:rPr>
                <w:rFonts w:ascii="Arial" w:hAnsi="Arial" w:cs="Arial"/>
                <w:noProof/>
                <w:webHidden/>
              </w:rPr>
              <w:fldChar w:fldCharType="end"/>
            </w:r>
          </w:hyperlink>
        </w:p>
        <w:p w14:paraId="0DA50B17" w14:textId="40909F35"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06" w:history="1">
            <w:r w:rsidR="001A60C1" w:rsidRPr="001A60C1">
              <w:rPr>
                <w:rStyle w:val="Hyperlink"/>
                <w:rFonts w:ascii="Arial" w:hAnsi="Arial" w:cs="Arial"/>
                <w:noProof/>
                <w:lang w:eastAsia="en-GB"/>
              </w:rPr>
              <w:t>3.9 Quality Assessment</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_Toc241025906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23</w:t>
            </w:r>
            <w:r w:rsidR="001A60C1" w:rsidRPr="001A60C1">
              <w:rPr>
                <w:rFonts w:ascii="Arial" w:hAnsi="Arial" w:cs="Arial"/>
                <w:noProof/>
                <w:webHidden/>
              </w:rPr>
              <w:fldChar w:fldCharType="end"/>
            </w:r>
          </w:hyperlink>
        </w:p>
        <w:p w14:paraId="0FA72D74" w14:textId="45A765F9"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07" w:history="1">
            <w:r w:rsidR="001A60C1" w:rsidRPr="001A60C1">
              <w:rPr>
                <w:rStyle w:val="Hyperlink"/>
                <w:rFonts w:ascii="Arial" w:hAnsi="Arial" w:cs="Arial"/>
                <w:noProof/>
                <w:lang w:eastAsia="en-GB"/>
              </w:rPr>
              <w:t>3.9.1 Cross-sectional Studies – JBI Checklist</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_Toc241025907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25</w:t>
            </w:r>
            <w:r w:rsidR="001A60C1" w:rsidRPr="001A60C1">
              <w:rPr>
                <w:rFonts w:ascii="Arial" w:hAnsi="Arial" w:cs="Arial"/>
                <w:noProof/>
                <w:webHidden/>
              </w:rPr>
              <w:fldChar w:fldCharType="end"/>
            </w:r>
          </w:hyperlink>
        </w:p>
        <w:p w14:paraId="1B87622E" w14:textId="7AE6C3BF"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08" w:history="1">
            <w:r w:rsidR="001A60C1" w:rsidRPr="001A60C1">
              <w:rPr>
                <w:rStyle w:val="Hyperlink"/>
                <w:rFonts w:ascii="Arial" w:hAnsi="Arial" w:cs="Arial"/>
                <w:noProof/>
                <w:lang w:eastAsia="en-GB"/>
              </w:rPr>
              <w:t>3.9.2 Qualitative Studies – CASP Checklist</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_Toc241025908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26</w:t>
            </w:r>
            <w:r w:rsidR="001A60C1" w:rsidRPr="001A60C1">
              <w:rPr>
                <w:rFonts w:ascii="Arial" w:hAnsi="Arial" w:cs="Arial"/>
                <w:noProof/>
                <w:webHidden/>
              </w:rPr>
              <w:fldChar w:fldCharType="end"/>
            </w:r>
          </w:hyperlink>
        </w:p>
        <w:p w14:paraId="33CE4A8A" w14:textId="331C8448"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09" w:history="1">
            <w:r w:rsidR="001A60C1" w:rsidRPr="001A60C1">
              <w:rPr>
                <w:rStyle w:val="Hyperlink"/>
                <w:rFonts w:ascii="Arial" w:hAnsi="Arial" w:cs="Arial"/>
                <w:noProof/>
                <w:lang w:eastAsia="en-GB"/>
              </w:rPr>
              <w:t>3.9.3 Cohort Study – CASP Checklist</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_Toc241025909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27</w:t>
            </w:r>
            <w:r w:rsidR="001A60C1" w:rsidRPr="001A60C1">
              <w:rPr>
                <w:rFonts w:ascii="Arial" w:hAnsi="Arial" w:cs="Arial"/>
                <w:noProof/>
                <w:webHidden/>
              </w:rPr>
              <w:fldChar w:fldCharType="end"/>
            </w:r>
          </w:hyperlink>
        </w:p>
        <w:p w14:paraId="0C0E6315" w14:textId="0BD045B8"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10" w:history="1">
            <w:r w:rsidR="001A60C1" w:rsidRPr="001A60C1">
              <w:rPr>
                <w:rStyle w:val="Hyperlink"/>
                <w:rFonts w:ascii="Arial" w:hAnsi="Arial" w:cs="Arial"/>
                <w:noProof/>
                <w:lang w:eastAsia="en-GB"/>
              </w:rPr>
              <w:t>3.9.4 Case-Control Study – CASP Checklist</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_Toc241025910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28</w:t>
            </w:r>
            <w:r w:rsidR="001A60C1" w:rsidRPr="001A60C1">
              <w:rPr>
                <w:rFonts w:ascii="Arial" w:hAnsi="Arial" w:cs="Arial"/>
                <w:noProof/>
                <w:webHidden/>
              </w:rPr>
              <w:fldChar w:fldCharType="end"/>
            </w:r>
          </w:hyperlink>
        </w:p>
        <w:p w14:paraId="1EFBD307" w14:textId="3DABDBCA"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11" w:history="1">
            <w:r w:rsidR="001A60C1" w:rsidRPr="001A60C1">
              <w:rPr>
                <w:rStyle w:val="Hyperlink"/>
                <w:rFonts w:ascii="Arial" w:hAnsi="Arial" w:cs="Arial"/>
                <w:noProof/>
                <w:lang w:eastAsia="en-GB"/>
              </w:rPr>
              <w:t>3.10 Data Extraction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_Toc241025911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28</w:t>
            </w:r>
            <w:r w:rsidR="001A60C1" w:rsidRPr="001A60C1">
              <w:rPr>
                <w:rFonts w:ascii="Arial" w:hAnsi="Arial" w:cs="Arial"/>
                <w:noProof/>
                <w:webHidden/>
              </w:rPr>
              <w:fldChar w:fldCharType="end"/>
            </w:r>
          </w:hyperlink>
        </w:p>
        <w:p w14:paraId="3DDB8870" w14:textId="641AC51E"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12" w:history="1">
            <w:r w:rsidR="001A60C1" w:rsidRPr="001A60C1">
              <w:rPr>
                <w:rStyle w:val="Hyperlink"/>
                <w:rFonts w:ascii="Arial" w:hAnsi="Arial" w:cs="Arial"/>
                <w:noProof/>
                <w:lang w:eastAsia="en-GB"/>
              </w:rPr>
              <w:t>3.11 Data Synthesis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_Toc241025912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29</w:t>
            </w:r>
            <w:r w:rsidR="001A60C1" w:rsidRPr="001A60C1">
              <w:rPr>
                <w:rFonts w:ascii="Arial" w:hAnsi="Arial" w:cs="Arial"/>
                <w:noProof/>
                <w:webHidden/>
              </w:rPr>
              <w:fldChar w:fldCharType="end"/>
            </w:r>
          </w:hyperlink>
        </w:p>
        <w:p w14:paraId="2A0E02D0" w14:textId="763190CE"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13" w:history="1">
            <w:r w:rsidR="001A60C1" w:rsidRPr="001A60C1">
              <w:rPr>
                <w:rStyle w:val="Hyperlink"/>
                <w:rFonts w:ascii="Arial" w:hAnsi="Arial" w:cs="Arial"/>
                <w:noProof/>
                <w:lang w:eastAsia="en-GB"/>
              </w:rPr>
              <w:t>3.12 Limitations and Risk of Bias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_Toc241025913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29</w:t>
            </w:r>
            <w:r w:rsidR="001A60C1" w:rsidRPr="001A60C1">
              <w:rPr>
                <w:rFonts w:ascii="Arial" w:hAnsi="Arial" w:cs="Arial"/>
                <w:noProof/>
                <w:webHidden/>
              </w:rPr>
              <w:fldChar w:fldCharType="end"/>
            </w:r>
          </w:hyperlink>
        </w:p>
        <w:p w14:paraId="768E9C08" w14:textId="2A4D6B81"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14" w:history="1">
            <w:r w:rsidR="001A60C1" w:rsidRPr="001A60C1">
              <w:rPr>
                <w:rStyle w:val="Hyperlink"/>
                <w:rFonts w:ascii="Arial" w:hAnsi="Arial" w:cs="Arial"/>
                <w:noProof/>
                <w:lang w:eastAsia="en-GB"/>
              </w:rPr>
              <w:t>3.13 Summary</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_Toc241025914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29</w:t>
            </w:r>
            <w:r w:rsidR="001A60C1" w:rsidRPr="001A60C1">
              <w:rPr>
                <w:rFonts w:ascii="Arial" w:hAnsi="Arial" w:cs="Arial"/>
                <w:noProof/>
                <w:webHidden/>
              </w:rPr>
              <w:fldChar w:fldCharType="end"/>
            </w:r>
          </w:hyperlink>
        </w:p>
        <w:p w14:paraId="5804E121" w14:textId="2F9EF46A" w:rsidR="001A60C1" w:rsidRPr="001A60C1" w:rsidRDefault="0028144C" w:rsidP="001A60C1">
          <w:pPr>
            <w:pStyle w:val="TOC1"/>
            <w:tabs>
              <w:tab w:val="right" w:leader="dot" w:pos="8296"/>
            </w:tabs>
            <w:spacing w:line="360" w:lineRule="auto"/>
            <w:rPr>
              <w:rFonts w:ascii="Arial" w:eastAsiaTheme="minorEastAsia" w:hAnsi="Arial" w:cs="Arial"/>
              <w:noProof/>
              <w:color w:val="auto"/>
              <w:kern w:val="0"/>
              <w:sz w:val="22"/>
              <w:lang w:val="en-US" w:eastAsia="en-US"/>
              <w14:ligatures w14:val="none"/>
            </w:rPr>
          </w:pPr>
          <w:hyperlink w:anchor="_Toc241025915" w:history="1">
            <w:r w:rsidR="001A60C1" w:rsidRPr="001A60C1">
              <w:rPr>
                <w:rStyle w:val="Hyperlink"/>
                <w:rFonts w:ascii="Arial" w:hAnsi="Arial" w:cs="Arial"/>
                <w:noProof/>
                <w:sz w:val="22"/>
                <w:lang w:eastAsia="en-GB"/>
              </w:rPr>
              <w:t>Chapter Four: Results</w:t>
            </w:r>
            <w:r w:rsidR="001A60C1" w:rsidRPr="001A60C1">
              <w:rPr>
                <w:rFonts w:ascii="Arial" w:hAnsi="Arial" w:cs="Arial"/>
                <w:noProof/>
                <w:webHidden/>
                <w:sz w:val="22"/>
              </w:rPr>
              <w:tab/>
            </w:r>
            <w:r w:rsidR="001A60C1" w:rsidRPr="001A60C1">
              <w:rPr>
                <w:rFonts w:ascii="Arial" w:hAnsi="Arial" w:cs="Arial"/>
                <w:noProof/>
                <w:webHidden/>
                <w:sz w:val="22"/>
              </w:rPr>
              <w:fldChar w:fldCharType="begin"/>
            </w:r>
            <w:r w:rsidR="001A60C1" w:rsidRPr="001A60C1">
              <w:rPr>
                <w:rFonts w:ascii="Arial" w:hAnsi="Arial" w:cs="Arial"/>
                <w:noProof/>
                <w:webHidden/>
                <w:sz w:val="22"/>
              </w:rPr>
              <w:instrText xml:space="preserve"> PAGEREF _Toc241025915 \h </w:instrText>
            </w:r>
            <w:r w:rsidR="001A60C1" w:rsidRPr="001A60C1">
              <w:rPr>
                <w:rFonts w:ascii="Arial" w:hAnsi="Arial" w:cs="Arial"/>
                <w:noProof/>
                <w:webHidden/>
                <w:sz w:val="22"/>
              </w:rPr>
            </w:r>
            <w:r w:rsidR="001A60C1" w:rsidRPr="001A60C1">
              <w:rPr>
                <w:rFonts w:ascii="Arial" w:hAnsi="Arial" w:cs="Arial"/>
                <w:noProof/>
                <w:webHidden/>
                <w:sz w:val="22"/>
              </w:rPr>
              <w:fldChar w:fldCharType="separate"/>
            </w:r>
            <w:r w:rsidR="003B53EF">
              <w:rPr>
                <w:rFonts w:ascii="Arial" w:hAnsi="Arial" w:cs="Arial"/>
                <w:noProof/>
                <w:webHidden/>
                <w:sz w:val="22"/>
              </w:rPr>
              <w:t>31</w:t>
            </w:r>
            <w:r w:rsidR="001A60C1" w:rsidRPr="001A60C1">
              <w:rPr>
                <w:rFonts w:ascii="Arial" w:hAnsi="Arial" w:cs="Arial"/>
                <w:noProof/>
                <w:webHidden/>
                <w:sz w:val="22"/>
              </w:rPr>
              <w:fldChar w:fldCharType="end"/>
            </w:r>
          </w:hyperlink>
        </w:p>
        <w:p w14:paraId="4E3DA380" w14:textId="3F128AB0"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16" w:history="1">
            <w:r w:rsidR="001A60C1" w:rsidRPr="001A60C1">
              <w:rPr>
                <w:rStyle w:val="Hyperlink"/>
                <w:rFonts w:ascii="Arial" w:hAnsi="Arial" w:cs="Arial"/>
                <w:noProof/>
                <w:lang w:eastAsia="en-GB"/>
              </w:rPr>
              <w:t>4.1 Introduction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_Toc241025916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31</w:t>
            </w:r>
            <w:r w:rsidR="001A60C1" w:rsidRPr="001A60C1">
              <w:rPr>
                <w:rFonts w:ascii="Arial" w:hAnsi="Arial" w:cs="Arial"/>
                <w:noProof/>
                <w:webHidden/>
              </w:rPr>
              <w:fldChar w:fldCharType="end"/>
            </w:r>
          </w:hyperlink>
        </w:p>
        <w:p w14:paraId="2DB650A6" w14:textId="7781BF25"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17" w:history="1">
            <w:r w:rsidR="001A60C1" w:rsidRPr="001A60C1">
              <w:rPr>
                <w:rStyle w:val="Hyperlink"/>
                <w:rFonts w:ascii="Arial" w:hAnsi="Arial" w:cs="Arial"/>
                <w:noProof/>
                <w:lang w:eastAsia="en-GB"/>
              </w:rPr>
              <w:t>4.2 Systematic Search Results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_Toc241025917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31</w:t>
            </w:r>
            <w:r w:rsidR="001A60C1" w:rsidRPr="001A60C1">
              <w:rPr>
                <w:rFonts w:ascii="Arial" w:hAnsi="Arial" w:cs="Arial"/>
                <w:noProof/>
                <w:webHidden/>
              </w:rPr>
              <w:fldChar w:fldCharType="end"/>
            </w:r>
          </w:hyperlink>
        </w:p>
        <w:p w14:paraId="4640C067" w14:textId="04C098AC"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18" w:history="1">
            <w:r w:rsidR="001A60C1" w:rsidRPr="001A60C1">
              <w:rPr>
                <w:rStyle w:val="Hyperlink"/>
                <w:rFonts w:ascii="Arial" w:hAnsi="Arial" w:cs="Arial"/>
                <w:noProof/>
                <w:lang w:eastAsia="en-GB"/>
              </w:rPr>
              <w:t>4.3 PRISMA Flow Diagram</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_Toc241025918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32</w:t>
            </w:r>
            <w:r w:rsidR="001A60C1" w:rsidRPr="001A60C1">
              <w:rPr>
                <w:rFonts w:ascii="Arial" w:hAnsi="Arial" w:cs="Arial"/>
                <w:noProof/>
                <w:webHidden/>
              </w:rPr>
              <w:fldChar w:fldCharType="end"/>
            </w:r>
          </w:hyperlink>
        </w:p>
        <w:p w14:paraId="3D220FED" w14:textId="4A2BB8DB"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19" w:history="1">
            <w:r w:rsidR="001A60C1" w:rsidRPr="001A60C1">
              <w:rPr>
                <w:rStyle w:val="Hyperlink"/>
                <w:rFonts w:ascii="Arial" w:hAnsi="Arial" w:cs="Arial"/>
                <w:noProof/>
                <w:lang w:eastAsia="en-GB"/>
              </w:rPr>
              <w:t>4.4 Characteristics of Included Studies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_Toc241025919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33</w:t>
            </w:r>
            <w:r w:rsidR="001A60C1" w:rsidRPr="001A60C1">
              <w:rPr>
                <w:rFonts w:ascii="Arial" w:hAnsi="Arial" w:cs="Arial"/>
                <w:noProof/>
                <w:webHidden/>
              </w:rPr>
              <w:fldChar w:fldCharType="end"/>
            </w:r>
          </w:hyperlink>
        </w:p>
        <w:p w14:paraId="5EC9CF23" w14:textId="4E3FCE08"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20" w:history="1">
            <w:r w:rsidR="001A60C1" w:rsidRPr="001A60C1">
              <w:rPr>
                <w:rStyle w:val="Hyperlink"/>
                <w:rFonts w:ascii="Arial" w:hAnsi="Arial" w:cs="Arial"/>
                <w:noProof/>
                <w:lang w:eastAsia="en-GB"/>
              </w:rPr>
              <w:t>4.5 Quality Assessment Results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_Toc241025920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38</w:t>
            </w:r>
            <w:r w:rsidR="001A60C1" w:rsidRPr="001A60C1">
              <w:rPr>
                <w:rFonts w:ascii="Arial" w:hAnsi="Arial" w:cs="Arial"/>
                <w:noProof/>
                <w:webHidden/>
              </w:rPr>
              <w:fldChar w:fldCharType="end"/>
            </w:r>
          </w:hyperlink>
        </w:p>
        <w:p w14:paraId="7F1C5BF6" w14:textId="663FD31D"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21" w:history="1">
            <w:r w:rsidR="001A60C1" w:rsidRPr="001A60C1">
              <w:rPr>
                <w:rStyle w:val="Hyperlink"/>
                <w:rFonts w:ascii="Arial" w:hAnsi="Arial" w:cs="Arial"/>
                <w:noProof/>
                <w:lang w:eastAsia="en-GB"/>
              </w:rPr>
              <w:t>4.6. Outcome of Quality Assessment</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_Toc241025921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38</w:t>
            </w:r>
            <w:r w:rsidR="001A60C1" w:rsidRPr="001A60C1">
              <w:rPr>
                <w:rFonts w:ascii="Arial" w:hAnsi="Arial" w:cs="Arial"/>
                <w:noProof/>
                <w:webHidden/>
              </w:rPr>
              <w:fldChar w:fldCharType="end"/>
            </w:r>
          </w:hyperlink>
        </w:p>
        <w:p w14:paraId="7E00DBEF" w14:textId="457BDDCF"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22" w:history="1">
            <w:r w:rsidR="001A60C1" w:rsidRPr="001A60C1">
              <w:rPr>
                <w:rStyle w:val="Hyperlink"/>
                <w:rFonts w:ascii="Arial" w:hAnsi="Arial" w:cs="Arial"/>
                <w:noProof/>
                <w:lang w:eastAsia="en-GB"/>
              </w:rPr>
              <w:t>4.7 Data Extraction and Synthesis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_Toc241025922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38</w:t>
            </w:r>
            <w:r w:rsidR="001A60C1" w:rsidRPr="001A60C1">
              <w:rPr>
                <w:rFonts w:ascii="Arial" w:hAnsi="Arial" w:cs="Arial"/>
                <w:noProof/>
                <w:webHidden/>
              </w:rPr>
              <w:fldChar w:fldCharType="end"/>
            </w:r>
          </w:hyperlink>
        </w:p>
        <w:p w14:paraId="02024B80" w14:textId="5096C06C"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23" w:history="1">
            <w:r w:rsidR="001A60C1" w:rsidRPr="001A60C1">
              <w:rPr>
                <w:rStyle w:val="Hyperlink"/>
                <w:rFonts w:ascii="Arial" w:hAnsi="Arial" w:cs="Arial"/>
                <w:noProof/>
                <w:lang w:eastAsia="en-GB"/>
              </w:rPr>
              <w:t>4.8 Theme 1: Ethnicity and Vitamin D Deficiency</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_Toc241025923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39</w:t>
            </w:r>
            <w:r w:rsidR="001A60C1" w:rsidRPr="001A60C1">
              <w:rPr>
                <w:rFonts w:ascii="Arial" w:hAnsi="Arial" w:cs="Arial"/>
                <w:noProof/>
                <w:webHidden/>
              </w:rPr>
              <w:fldChar w:fldCharType="end"/>
            </w:r>
          </w:hyperlink>
        </w:p>
        <w:p w14:paraId="2D1721BA" w14:textId="4EB6AF2D"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24" w:history="1">
            <w:r w:rsidR="001A60C1" w:rsidRPr="001A60C1">
              <w:rPr>
                <w:rStyle w:val="Hyperlink"/>
                <w:rFonts w:ascii="Arial" w:hAnsi="Arial" w:cs="Arial"/>
                <w:noProof/>
                <w:lang w:eastAsia="en-GB"/>
              </w:rPr>
              <w:t>4.9 Theme 2: Socioeconomic Determinants of Vitamin D Status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_Toc241025924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40</w:t>
            </w:r>
            <w:r w:rsidR="001A60C1" w:rsidRPr="001A60C1">
              <w:rPr>
                <w:rFonts w:ascii="Arial" w:hAnsi="Arial" w:cs="Arial"/>
                <w:noProof/>
                <w:webHidden/>
              </w:rPr>
              <w:fldChar w:fldCharType="end"/>
            </w:r>
          </w:hyperlink>
        </w:p>
        <w:p w14:paraId="6B75A733" w14:textId="6B068178"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25" w:history="1">
            <w:r w:rsidR="001A60C1" w:rsidRPr="001A60C1">
              <w:rPr>
                <w:rStyle w:val="Hyperlink"/>
                <w:rFonts w:ascii="Arial" w:hAnsi="Arial" w:cs="Arial"/>
                <w:noProof/>
                <w:lang w:eastAsia="en-GB"/>
              </w:rPr>
              <w:t>4.10 Theme 3: Lifestyle, Environmental and Occupational Factors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_Toc241025925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41</w:t>
            </w:r>
            <w:r w:rsidR="001A60C1" w:rsidRPr="001A60C1">
              <w:rPr>
                <w:rFonts w:ascii="Arial" w:hAnsi="Arial" w:cs="Arial"/>
                <w:noProof/>
                <w:webHidden/>
              </w:rPr>
              <w:fldChar w:fldCharType="end"/>
            </w:r>
          </w:hyperlink>
        </w:p>
        <w:p w14:paraId="1B9C3D13" w14:textId="697F4755"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26" w:history="1">
            <w:r w:rsidR="001A60C1" w:rsidRPr="001A60C1">
              <w:rPr>
                <w:rStyle w:val="Hyperlink"/>
                <w:rFonts w:ascii="Arial" w:hAnsi="Arial" w:cs="Arial"/>
                <w:noProof/>
                <w:lang w:eastAsia="en-GB"/>
              </w:rPr>
              <w:t>4.11 Theme 4: Knowledge, Awareness and Cultural Perceptions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_Toc241025926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42</w:t>
            </w:r>
            <w:r w:rsidR="001A60C1" w:rsidRPr="001A60C1">
              <w:rPr>
                <w:rFonts w:ascii="Arial" w:hAnsi="Arial" w:cs="Arial"/>
                <w:noProof/>
                <w:webHidden/>
              </w:rPr>
              <w:fldChar w:fldCharType="end"/>
            </w:r>
          </w:hyperlink>
        </w:p>
        <w:p w14:paraId="53DFCAF5" w14:textId="7DF9D997"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27" w:history="1">
            <w:r w:rsidR="001A60C1" w:rsidRPr="001A60C1">
              <w:rPr>
                <w:rStyle w:val="Hyperlink"/>
                <w:rFonts w:ascii="Arial" w:hAnsi="Arial" w:cs="Arial"/>
                <w:noProof/>
                <w:lang w:eastAsia="en-GB"/>
              </w:rPr>
              <w:t>4.12 Theme 5: Vitamin D Supplementation and Prevention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_Toc241025927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42</w:t>
            </w:r>
            <w:r w:rsidR="001A60C1" w:rsidRPr="001A60C1">
              <w:rPr>
                <w:rFonts w:ascii="Arial" w:hAnsi="Arial" w:cs="Arial"/>
                <w:noProof/>
                <w:webHidden/>
              </w:rPr>
              <w:fldChar w:fldCharType="end"/>
            </w:r>
          </w:hyperlink>
        </w:p>
        <w:p w14:paraId="4B79F6AA" w14:textId="161C9CB7"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28" w:history="1">
            <w:r w:rsidR="001A60C1" w:rsidRPr="001A60C1">
              <w:rPr>
                <w:rStyle w:val="Hyperlink"/>
                <w:rFonts w:ascii="Arial" w:hAnsi="Arial" w:cs="Arial"/>
                <w:noProof/>
                <w:lang w:eastAsia="en-GB"/>
              </w:rPr>
              <w:t>4.13 Summary of Main Findings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_Toc241025928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43</w:t>
            </w:r>
            <w:r w:rsidR="001A60C1" w:rsidRPr="001A60C1">
              <w:rPr>
                <w:rFonts w:ascii="Arial" w:hAnsi="Arial" w:cs="Arial"/>
                <w:noProof/>
                <w:webHidden/>
              </w:rPr>
              <w:fldChar w:fldCharType="end"/>
            </w:r>
          </w:hyperlink>
        </w:p>
        <w:p w14:paraId="20F8B38C" w14:textId="60639BAA"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29" w:history="1">
            <w:r w:rsidR="001A60C1" w:rsidRPr="001A60C1">
              <w:rPr>
                <w:rStyle w:val="Hyperlink"/>
                <w:rFonts w:ascii="Arial" w:hAnsi="Arial" w:cs="Arial"/>
                <w:noProof/>
                <w:lang w:eastAsia="en-GB"/>
              </w:rPr>
              <w:t>4.14 Chapter Summary</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_Toc241025929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44</w:t>
            </w:r>
            <w:r w:rsidR="001A60C1" w:rsidRPr="001A60C1">
              <w:rPr>
                <w:rFonts w:ascii="Arial" w:hAnsi="Arial" w:cs="Arial"/>
                <w:noProof/>
                <w:webHidden/>
              </w:rPr>
              <w:fldChar w:fldCharType="end"/>
            </w:r>
          </w:hyperlink>
        </w:p>
        <w:p w14:paraId="000CC8E5" w14:textId="798B7B12" w:rsidR="001A60C1" w:rsidRPr="001A60C1" w:rsidRDefault="0028144C" w:rsidP="001A60C1">
          <w:pPr>
            <w:pStyle w:val="TOC1"/>
            <w:tabs>
              <w:tab w:val="right" w:leader="dot" w:pos="8296"/>
            </w:tabs>
            <w:spacing w:line="360" w:lineRule="auto"/>
            <w:rPr>
              <w:rFonts w:ascii="Arial" w:eastAsiaTheme="minorEastAsia" w:hAnsi="Arial" w:cs="Arial"/>
              <w:noProof/>
              <w:color w:val="auto"/>
              <w:kern w:val="0"/>
              <w:sz w:val="22"/>
              <w:lang w:val="en-US" w:eastAsia="en-US"/>
              <w14:ligatures w14:val="none"/>
            </w:rPr>
          </w:pPr>
          <w:hyperlink w:anchor="_Toc241025930" w:history="1">
            <w:r w:rsidR="001A60C1" w:rsidRPr="001A60C1">
              <w:rPr>
                <w:rStyle w:val="Hyperlink"/>
                <w:rFonts w:ascii="Arial" w:hAnsi="Arial" w:cs="Arial"/>
                <w:noProof/>
                <w:sz w:val="22"/>
              </w:rPr>
              <w:t>Chapter Five: Discussion</w:t>
            </w:r>
            <w:r w:rsidR="001A60C1" w:rsidRPr="001A60C1">
              <w:rPr>
                <w:rFonts w:ascii="Arial" w:hAnsi="Arial" w:cs="Arial"/>
                <w:noProof/>
                <w:webHidden/>
                <w:sz w:val="22"/>
              </w:rPr>
              <w:tab/>
            </w:r>
            <w:r w:rsidR="001A60C1" w:rsidRPr="001A60C1">
              <w:rPr>
                <w:rFonts w:ascii="Arial" w:hAnsi="Arial" w:cs="Arial"/>
                <w:noProof/>
                <w:webHidden/>
                <w:sz w:val="22"/>
              </w:rPr>
              <w:fldChar w:fldCharType="begin"/>
            </w:r>
            <w:r w:rsidR="001A60C1" w:rsidRPr="001A60C1">
              <w:rPr>
                <w:rFonts w:ascii="Arial" w:hAnsi="Arial" w:cs="Arial"/>
                <w:noProof/>
                <w:webHidden/>
                <w:sz w:val="22"/>
              </w:rPr>
              <w:instrText xml:space="preserve"> PAGEREF _Toc241025930 \h </w:instrText>
            </w:r>
            <w:r w:rsidR="001A60C1" w:rsidRPr="001A60C1">
              <w:rPr>
                <w:rFonts w:ascii="Arial" w:hAnsi="Arial" w:cs="Arial"/>
                <w:noProof/>
                <w:webHidden/>
                <w:sz w:val="22"/>
              </w:rPr>
            </w:r>
            <w:r w:rsidR="001A60C1" w:rsidRPr="001A60C1">
              <w:rPr>
                <w:rFonts w:ascii="Arial" w:hAnsi="Arial" w:cs="Arial"/>
                <w:noProof/>
                <w:webHidden/>
                <w:sz w:val="22"/>
              </w:rPr>
              <w:fldChar w:fldCharType="separate"/>
            </w:r>
            <w:r w:rsidR="003B53EF">
              <w:rPr>
                <w:rFonts w:ascii="Arial" w:hAnsi="Arial" w:cs="Arial"/>
                <w:noProof/>
                <w:webHidden/>
                <w:sz w:val="22"/>
              </w:rPr>
              <w:t>45</w:t>
            </w:r>
            <w:r w:rsidR="001A60C1" w:rsidRPr="001A60C1">
              <w:rPr>
                <w:rFonts w:ascii="Arial" w:hAnsi="Arial" w:cs="Arial"/>
                <w:noProof/>
                <w:webHidden/>
                <w:sz w:val="22"/>
              </w:rPr>
              <w:fldChar w:fldCharType="end"/>
            </w:r>
          </w:hyperlink>
        </w:p>
        <w:p w14:paraId="0583B42A" w14:textId="29F76F65"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31" w:history="1">
            <w:r w:rsidR="001A60C1" w:rsidRPr="001A60C1">
              <w:rPr>
                <w:rStyle w:val="Hyperlink"/>
                <w:rFonts w:ascii="Arial" w:hAnsi="Arial" w:cs="Arial"/>
                <w:noProof/>
                <w:lang w:eastAsia="en-GB"/>
              </w:rPr>
              <w:t>5.1 Introduction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_Toc241025931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45</w:t>
            </w:r>
            <w:r w:rsidR="001A60C1" w:rsidRPr="001A60C1">
              <w:rPr>
                <w:rFonts w:ascii="Arial" w:hAnsi="Arial" w:cs="Arial"/>
                <w:noProof/>
                <w:webHidden/>
              </w:rPr>
              <w:fldChar w:fldCharType="end"/>
            </w:r>
          </w:hyperlink>
        </w:p>
        <w:p w14:paraId="28A360DD" w14:textId="30D982A6"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32" w:history="1">
            <w:r w:rsidR="001A60C1" w:rsidRPr="001A60C1">
              <w:rPr>
                <w:rStyle w:val="Hyperlink"/>
                <w:rFonts w:ascii="Arial" w:hAnsi="Arial" w:cs="Arial"/>
                <w:noProof/>
                <w:lang w:eastAsia="en-GB"/>
              </w:rPr>
              <w:t>5.2 Discussion of Main Findings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_Toc241025932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45</w:t>
            </w:r>
            <w:r w:rsidR="001A60C1" w:rsidRPr="001A60C1">
              <w:rPr>
                <w:rFonts w:ascii="Arial" w:hAnsi="Arial" w:cs="Arial"/>
                <w:noProof/>
                <w:webHidden/>
              </w:rPr>
              <w:fldChar w:fldCharType="end"/>
            </w:r>
          </w:hyperlink>
        </w:p>
        <w:p w14:paraId="1EC7C8DC" w14:textId="183F8DDD"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33" w:history="1">
            <w:r w:rsidR="001A60C1" w:rsidRPr="001A60C1">
              <w:rPr>
                <w:rStyle w:val="Hyperlink"/>
                <w:rFonts w:ascii="Arial" w:hAnsi="Arial" w:cs="Arial"/>
                <w:noProof/>
                <w:lang w:eastAsia="en-GB"/>
              </w:rPr>
              <w:t>5.2.1 Theme 1: Ethnicity and Vitamin D Deficiency</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_Toc241025933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45</w:t>
            </w:r>
            <w:r w:rsidR="001A60C1" w:rsidRPr="001A60C1">
              <w:rPr>
                <w:rFonts w:ascii="Arial" w:hAnsi="Arial" w:cs="Arial"/>
                <w:noProof/>
                <w:webHidden/>
              </w:rPr>
              <w:fldChar w:fldCharType="end"/>
            </w:r>
          </w:hyperlink>
        </w:p>
        <w:p w14:paraId="717167A0" w14:textId="475F907E"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34" w:history="1">
            <w:r w:rsidR="001A60C1" w:rsidRPr="001A60C1">
              <w:rPr>
                <w:rStyle w:val="Hyperlink"/>
                <w:rFonts w:ascii="Arial" w:hAnsi="Arial" w:cs="Arial"/>
                <w:noProof/>
                <w:lang w:eastAsia="en-GB"/>
              </w:rPr>
              <w:t>5.2.2 Theme 2: Socioeconomic Determinants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_Toc241025934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46</w:t>
            </w:r>
            <w:r w:rsidR="001A60C1" w:rsidRPr="001A60C1">
              <w:rPr>
                <w:rFonts w:ascii="Arial" w:hAnsi="Arial" w:cs="Arial"/>
                <w:noProof/>
                <w:webHidden/>
              </w:rPr>
              <w:fldChar w:fldCharType="end"/>
            </w:r>
          </w:hyperlink>
        </w:p>
        <w:p w14:paraId="26A15ECF" w14:textId="7F03887C"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35" w:history="1">
            <w:r w:rsidR="001A60C1" w:rsidRPr="001A60C1">
              <w:rPr>
                <w:rStyle w:val="Hyperlink"/>
                <w:rFonts w:ascii="Arial" w:hAnsi="Arial" w:cs="Arial"/>
                <w:noProof/>
                <w:lang w:eastAsia="en-GB"/>
              </w:rPr>
              <w:t>5.2.3 Theme 3: Lifestyle, Environmental and Occupational Factors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_Toc241025935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47</w:t>
            </w:r>
            <w:r w:rsidR="001A60C1" w:rsidRPr="001A60C1">
              <w:rPr>
                <w:rFonts w:ascii="Arial" w:hAnsi="Arial" w:cs="Arial"/>
                <w:noProof/>
                <w:webHidden/>
              </w:rPr>
              <w:fldChar w:fldCharType="end"/>
            </w:r>
          </w:hyperlink>
        </w:p>
        <w:p w14:paraId="17BF0471" w14:textId="628B0C8B"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36" w:history="1">
            <w:r w:rsidR="001A60C1" w:rsidRPr="001A60C1">
              <w:rPr>
                <w:rStyle w:val="Hyperlink"/>
                <w:rFonts w:ascii="Arial" w:hAnsi="Arial" w:cs="Arial"/>
                <w:noProof/>
                <w:lang w:eastAsia="en-GB"/>
              </w:rPr>
              <w:t>5.2.4 Theme 4: Knowledge, Awareness and Cultural Perceptions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_Toc241025936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47</w:t>
            </w:r>
            <w:r w:rsidR="001A60C1" w:rsidRPr="001A60C1">
              <w:rPr>
                <w:rFonts w:ascii="Arial" w:hAnsi="Arial" w:cs="Arial"/>
                <w:noProof/>
                <w:webHidden/>
              </w:rPr>
              <w:fldChar w:fldCharType="end"/>
            </w:r>
          </w:hyperlink>
        </w:p>
        <w:p w14:paraId="161A2358" w14:textId="5A3FE287"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37" w:history="1">
            <w:r w:rsidR="001A60C1" w:rsidRPr="001A60C1">
              <w:rPr>
                <w:rStyle w:val="Hyperlink"/>
                <w:rFonts w:ascii="Arial" w:hAnsi="Arial" w:cs="Arial"/>
                <w:noProof/>
                <w:lang w:eastAsia="en-GB"/>
              </w:rPr>
              <w:t>5.2.5 Theme 5: Vitamin D Supplementation and Prevention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_Toc241025937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48</w:t>
            </w:r>
            <w:r w:rsidR="001A60C1" w:rsidRPr="001A60C1">
              <w:rPr>
                <w:rFonts w:ascii="Arial" w:hAnsi="Arial" w:cs="Arial"/>
                <w:noProof/>
                <w:webHidden/>
              </w:rPr>
              <w:fldChar w:fldCharType="end"/>
            </w:r>
          </w:hyperlink>
        </w:p>
        <w:p w14:paraId="03CA949B" w14:textId="5F845DCD"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38" w:history="1">
            <w:r w:rsidR="001A60C1" w:rsidRPr="001A60C1">
              <w:rPr>
                <w:rStyle w:val="Hyperlink"/>
                <w:rFonts w:ascii="Arial" w:hAnsi="Arial" w:cs="Arial"/>
                <w:noProof/>
                <w:lang w:eastAsia="en-GB"/>
              </w:rPr>
              <w:t>5.3 Findings in Relation to Research Question and Objectives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_Toc241025938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49</w:t>
            </w:r>
            <w:r w:rsidR="001A60C1" w:rsidRPr="001A60C1">
              <w:rPr>
                <w:rFonts w:ascii="Arial" w:hAnsi="Arial" w:cs="Arial"/>
                <w:noProof/>
                <w:webHidden/>
              </w:rPr>
              <w:fldChar w:fldCharType="end"/>
            </w:r>
          </w:hyperlink>
        </w:p>
        <w:p w14:paraId="0DB3A32D" w14:textId="71369F0E"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39" w:history="1">
            <w:r w:rsidR="001A60C1" w:rsidRPr="001A60C1">
              <w:rPr>
                <w:rStyle w:val="Hyperlink"/>
                <w:rFonts w:ascii="Arial" w:hAnsi="Arial" w:cs="Arial"/>
                <w:noProof/>
              </w:rPr>
              <w:t>5.3.1 Research Question -</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_Toc241025939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49</w:t>
            </w:r>
            <w:r w:rsidR="001A60C1" w:rsidRPr="001A60C1">
              <w:rPr>
                <w:rFonts w:ascii="Arial" w:hAnsi="Arial" w:cs="Arial"/>
                <w:noProof/>
                <w:webHidden/>
              </w:rPr>
              <w:fldChar w:fldCharType="end"/>
            </w:r>
          </w:hyperlink>
        </w:p>
        <w:p w14:paraId="3F87B6E9" w14:textId="09EB113D"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40" w:history="1">
            <w:r w:rsidR="001A60C1" w:rsidRPr="001A60C1">
              <w:rPr>
                <w:rStyle w:val="Hyperlink"/>
                <w:rFonts w:ascii="Arial" w:hAnsi="Arial" w:cs="Arial"/>
                <w:noProof/>
              </w:rPr>
              <w:t>5.3.2 Objective 1</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_Toc241025940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49</w:t>
            </w:r>
            <w:r w:rsidR="001A60C1" w:rsidRPr="001A60C1">
              <w:rPr>
                <w:rFonts w:ascii="Arial" w:hAnsi="Arial" w:cs="Arial"/>
                <w:noProof/>
                <w:webHidden/>
              </w:rPr>
              <w:fldChar w:fldCharType="end"/>
            </w:r>
          </w:hyperlink>
        </w:p>
        <w:p w14:paraId="5480E003" w14:textId="4B049823"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41" w:history="1">
            <w:r w:rsidR="001A60C1" w:rsidRPr="001A60C1">
              <w:rPr>
                <w:rStyle w:val="Hyperlink"/>
                <w:rFonts w:ascii="Arial" w:hAnsi="Arial" w:cs="Arial"/>
                <w:noProof/>
              </w:rPr>
              <w:t>5.3.3 Objective 2</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_Toc241025941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49</w:t>
            </w:r>
            <w:r w:rsidR="001A60C1" w:rsidRPr="001A60C1">
              <w:rPr>
                <w:rFonts w:ascii="Arial" w:hAnsi="Arial" w:cs="Arial"/>
                <w:noProof/>
                <w:webHidden/>
              </w:rPr>
              <w:fldChar w:fldCharType="end"/>
            </w:r>
          </w:hyperlink>
        </w:p>
        <w:p w14:paraId="6F1EA4FC" w14:textId="5713D6BA"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42" w:history="1">
            <w:r w:rsidR="001A60C1" w:rsidRPr="001A60C1">
              <w:rPr>
                <w:rStyle w:val="Hyperlink"/>
                <w:rFonts w:ascii="Arial" w:hAnsi="Arial" w:cs="Arial"/>
                <w:noProof/>
              </w:rPr>
              <w:t>5.3.4 Objective 3</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_Toc241025942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50</w:t>
            </w:r>
            <w:r w:rsidR="001A60C1" w:rsidRPr="001A60C1">
              <w:rPr>
                <w:rFonts w:ascii="Arial" w:hAnsi="Arial" w:cs="Arial"/>
                <w:noProof/>
                <w:webHidden/>
              </w:rPr>
              <w:fldChar w:fldCharType="end"/>
            </w:r>
          </w:hyperlink>
        </w:p>
        <w:p w14:paraId="05AC45D8" w14:textId="3A99BC10"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43" w:history="1">
            <w:r w:rsidR="001A60C1" w:rsidRPr="001A60C1">
              <w:rPr>
                <w:rStyle w:val="Hyperlink"/>
                <w:rFonts w:ascii="Arial" w:hAnsi="Arial" w:cs="Arial"/>
                <w:noProof/>
              </w:rPr>
              <w:t>5.3.5 Objective 4</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_Toc241025943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50</w:t>
            </w:r>
            <w:r w:rsidR="001A60C1" w:rsidRPr="001A60C1">
              <w:rPr>
                <w:rFonts w:ascii="Arial" w:hAnsi="Arial" w:cs="Arial"/>
                <w:noProof/>
                <w:webHidden/>
              </w:rPr>
              <w:fldChar w:fldCharType="end"/>
            </w:r>
          </w:hyperlink>
        </w:p>
        <w:p w14:paraId="3D003155" w14:textId="4571B4B2"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44" w:history="1">
            <w:r w:rsidR="001A60C1" w:rsidRPr="001A60C1">
              <w:rPr>
                <w:rStyle w:val="Hyperlink"/>
                <w:rFonts w:ascii="Arial" w:hAnsi="Arial" w:cs="Arial"/>
                <w:noProof/>
                <w:lang w:eastAsia="en-GB"/>
              </w:rPr>
              <w:t>5.4 Implications and Future Research Needs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_Toc241025944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50</w:t>
            </w:r>
            <w:r w:rsidR="001A60C1" w:rsidRPr="001A60C1">
              <w:rPr>
                <w:rFonts w:ascii="Arial" w:hAnsi="Arial" w:cs="Arial"/>
                <w:noProof/>
                <w:webHidden/>
              </w:rPr>
              <w:fldChar w:fldCharType="end"/>
            </w:r>
          </w:hyperlink>
        </w:p>
        <w:p w14:paraId="4B7156C1" w14:textId="48DD796A"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45" w:history="1">
            <w:r w:rsidR="001A60C1" w:rsidRPr="001A60C1">
              <w:rPr>
                <w:rStyle w:val="Hyperlink"/>
                <w:rFonts w:ascii="Arial" w:hAnsi="Arial" w:cs="Arial"/>
                <w:noProof/>
                <w:lang w:eastAsia="en-GB"/>
              </w:rPr>
              <w:t>5.4.1 Public Health Implications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_Toc241025945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50</w:t>
            </w:r>
            <w:r w:rsidR="001A60C1" w:rsidRPr="001A60C1">
              <w:rPr>
                <w:rFonts w:ascii="Arial" w:hAnsi="Arial" w:cs="Arial"/>
                <w:noProof/>
                <w:webHidden/>
              </w:rPr>
              <w:fldChar w:fldCharType="end"/>
            </w:r>
          </w:hyperlink>
        </w:p>
        <w:p w14:paraId="561A11E3" w14:textId="1C486D09"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46" w:history="1">
            <w:r w:rsidR="001A60C1" w:rsidRPr="001A60C1">
              <w:rPr>
                <w:rStyle w:val="Hyperlink"/>
                <w:rFonts w:ascii="Arial" w:hAnsi="Arial" w:cs="Arial"/>
                <w:noProof/>
                <w:lang w:eastAsia="en-GB"/>
              </w:rPr>
              <w:t>5.4.2 Implications for Healthcare Professionals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_Toc241025946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50</w:t>
            </w:r>
            <w:r w:rsidR="001A60C1" w:rsidRPr="001A60C1">
              <w:rPr>
                <w:rFonts w:ascii="Arial" w:hAnsi="Arial" w:cs="Arial"/>
                <w:noProof/>
                <w:webHidden/>
              </w:rPr>
              <w:fldChar w:fldCharType="end"/>
            </w:r>
          </w:hyperlink>
        </w:p>
        <w:p w14:paraId="412D2142" w14:textId="1C2EAAA5"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47" w:history="1">
            <w:r w:rsidR="001A60C1" w:rsidRPr="001A60C1">
              <w:rPr>
                <w:rStyle w:val="Hyperlink"/>
                <w:rFonts w:ascii="Arial" w:hAnsi="Arial" w:cs="Arial"/>
                <w:noProof/>
                <w:lang w:eastAsia="en-GB"/>
              </w:rPr>
              <w:t>5.4.3 Prevention and Supplementation</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_Toc241025947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51</w:t>
            </w:r>
            <w:r w:rsidR="001A60C1" w:rsidRPr="001A60C1">
              <w:rPr>
                <w:rFonts w:ascii="Arial" w:hAnsi="Arial" w:cs="Arial"/>
                <w:noProof/>
                <w:webHidden/>
              </w:rPr>
              <w:fldChar w:fldCharType="end"/>
            </w:r>
          </w:hyperlink>
        </w:p>
        <w:p w14:paraId="7B61BB1D" w14:textId="0945B8D7"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48" w:history="1">
            <w:r w:rsidR="001A60C1" w:rsidRPr="001A60C1">
              <w:rPr>
                <w:rStyle w:val="Hyperlink"/>
                <w:rFonts w:ascii="Arial" w:hAnsi="Arial" w:cs="Arial"/>
                <w:noProof/>
                <w:lang w:eastAsia="en-GB"/>
              </w:rPr>
              <w:t>5.4.4 Future Research Needs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_Toc241025948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51</w:t>
            </w:r>
            <w:r w:rsidR="001A60C1" w:rsidRPr="001A60C1">
              <w:rPr>
                <w:rFonts w:ascii="Arial" w:hAnsi="Arial" w:cs="Arial"/>
                <w:noProof/>
                <w:webHidden/>
              </w:rPr>
              <w:fldChar w:fldCharType="end"/>
            </w:r>
          </w:hyperlink>
        </w:p>
        <w:p w14:paraId="6F543514" w14:textId="5B0ECC65"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49" w:history="1">
            <w:r w:rsidR="001A60C1" w:rsidRPr="001A60C1">
              <w:rPr>
                <w:rStyle w:val="Hyperlink"/>
                <w:rFonts w:ascii="Arial" w:hAnsi="Arial" w:cs="Arial"/>
                <w:noProof/>
                <w:lang w:eastAsia="en-GB"/>
              </w:rPr>
              <w:t>5.5 Strengths, Limitations and Potential Bias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_Toc241025949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51</w:t>
            </w:r>
            <w:r w:rsidR="001A60C1" w:rsidRPr="001A60C1">
              <w:rPr>
                <w:rFonts w:ascii="Arial" w:hAnsi="Arial" w:cs="Arial"/>
                <w:noProof/>
                <w:webHidden/>
              </w:rPr>
              <w:fldChar w:fldCharType="end"/>
            </w:r>
          </w:hyperlink>
        </w:p>
        <w:p w14:paraId="0C852FB0" w14:textId="40818345"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50" w:history="1">
            <w:r w:rsidR="001A60C1" w:rsidRPr="001A60C1">
              <w:rPr>
                <w:rStyle w:val="Hyperlink"/>
                <w:rFonts w:ascii="Arial" w:hAnsi="Arial" w:cs="Arial"/>
                <w:noProof/>
                <w:lang w:eastAsia="en-GB"/>
              </w:rPr>
              <w:t>5.5.1 Strengths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_Toc241025950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51</w:t>
            </w:r>
            <w:r w:rsidR="001A60C1" w:rsidRPr="001A60C1">
              <w:rPr>
                <w:rFonts w:ascii="Arial" w:hAnsi="Arial" w:cs="Arial"/>
                <w:noProof/>
                <w:webHidden/>
              </w:rPr>
              <w:fldChar w:fldCharType="end"/>
            </w:r>
          </w:hyperlink>
        </w:p>
        <w:p w14:paraId="6C832A4F" w14:textId="744D5F05" w:rsidR="001A60C1" w:rsidRPr="001A60C1" w:rsidRDefault="0028144C" w:rsidP="001A60C1">
          <w:pPr>
            <w:pStyle w:val="TOC3"/>
            <w:tabs>
              <w:tab w:val="right" w:leader="dot" w:pos="8296"/>
            </w:tabs>
            <w:spacing w:line="360" w:lineRule="auto"/>
            <w:rPr>
              <w:rFonts w:ascii="Arial" w:hAnsi="Arial" w:cs="Arial"/>
              <w:noProof/>
              <w:kern w:val="0"/>
              <w:lang w:val="en-US" w:eastAsia="en-US"/>
              <w14:ligatures w14:val="none"/>
            </w:rPr>
          </w:pPr>
          <w:hyperlink w:anchor="_Toc241025951" w:history="1">
            <w:r w:rsidR="001A60C1" w:rsidRPr="001A60C1">
              <w:rPr>
                <w:rStyle w:val="Hyperlink"/>
                <w:rFonts w:ascii="Arial" w:hAnsi="Arial" w:cs="Arial"/>
                <w:noProof/>
                <w:lang w:eastAsia="en-GB"/>
              </w:rPr>
              <w:t>5.5.2 Limitations and Potential Bias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_Toc241025951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51</w:t>
            </w:r>
            <w:r w:rsidR="001A60C1" w:rsidRPr="001A60C1">
              <w:rPr>
                <w:rFonts w:ascii="Arial" w:hAnsi="Arial" w:cs="Arial"/>
                <w:noProof/>
                <w:webHidden/>
              </w:rPr>
              <w:fldChar w:fldCharType="end"/>
            </w:r>
          </w:hyperlink>
        </w:p>
        <w:p w14:paraId="7EFAFB74" w14:textId="68D238BF" w:rsidR="001A60C1" w:rsidRPr="001A60C1" w:rsidRDefault="0028144C" w:rsidP="001A60C1">
          <w:pPr>
            <w:pStyle w:val="TOC2"/>
            <w:tabs>
              <w:tab w:val="right" w:leader="dot" w:pos="8296"/>
            </w:tabs>
            <w:spacing w:line="360" w:lineRule="auto"/>
            <w:rPr>
              <w:rFonts w:ascii="Arial" w:hAnsi="Arial" w:cs="Arial"/>
              <w:noProof/>
              <w:kern w:val="0"/>
              <w:lang w:val="en-US" w:eastAsia="en-US"/>
              <w14:ligatures w14:val="none"/>
            </w:rPr>
          </w:pPr>
          <w:hyperlink w:anchor="_Toc241025952" w:history="1">
            <w:r w:rsidR="001A60C1" w:rsidRPr="001A60C1">
              <w:rPr>
                <w:rStyle w:val="Hyperlink"/>
                <w:rFonts w:ascii="Arial" w:hAnsi="Arial" w:cs="Arial"/>
                <w:noProof/>
                <w:lang w:eastAsia="en-GB"/>
              </w:rPr>
              <w:t>5.6 Conclusions</w:t>
            </w:r>
            <w:r w:rsidR="001A60C1" w:rsidRPr="001A60C1">
              <w:rPr>
                <w:rFonts w:ascii="Arial" w:hAnsi="Arial" w:cs="Arial"/>
                <w:noProof/>
                <w:webHidden/>
              </w:rPr>
              <w:tab/>
            </w:r>
            <w:r w:rsidR="001A60C1" w:rsidRPr="001A60C1">
              <w:rPr>
                <w:rFonts w:ascii="Arial" w:hAnsi="Arial" w:cs="Arial"/>
                <w:noProof/>
                <w:webHidden/>
              </w:rPr>
              <w:fldChar w:fldCharType="begin"/>
            </w:r>
            <w:r w:rsidR="001A60C1" w:rsidRPr="001A60C1">
              <w:rPr>
                <w:rFonts w:ascii="Arial" w:hAnsi="Arial" w:cs="Arial"/>
                <w:noProof/>
                <w:webHidden/>
              </w:rPr>
              <w:instrText xml:space="preserve"> PAGEREF _Toc241025952 \h </w:instrText>
            </w:r>
            <w:r w:rsidR="001A60C1" w:rsidRPr="001A60C1">
              <w:rPr>
                <w:rFonts w:ascii="Arial" w:hAnsi="Arial" w:cs="Arial"/>
                <w:noProof/>
                <w:webHidden/>
              </w:rPr>
            </w:r>
            <w:r w:rsidR="001A60C1" w:rsidRPr="001A60C1">
              <w:rPr>
                <w:rFonts w:ascii="Arial" w:hAnsi="Arial" w:cs="Arial"/>
                <w:noProof/>
                <w:webHidden/>
              </w:rPr>
              <w:fldChar w:fldCharType="separate"/>
            </w:r>
            <w:r w:rsidR="003B53EF">
              <w:rPr>
                <w:rFonts w:ascii="Arial" w:hAnsi="Arial" w:cs="Arial"/>
                <w:noProof/>
                <w:webHidden/>
              </w:rPr>
              <w:t>52</w:t>
            </w:r>
            <w:r w:rsidR="001A60C1" w:rsidRPr="001A60C1">
              <w:rPr>
                <w:rFonts w:ascii="Arial" w:hAnsi="Arial" w:cs="Arial"/>
                <w:noProof/>
                <w:webHidden/>
              </w:rPr>
              <w:fldChar w:fldCharType="end"/>
            </w:r>
          </w:hyperlink>
        </w:p>
        <w:p w14:paraId="7D8D7A90" w14:textId="21E4E426" w:rsidR="001A60C1" w:rsidRPr="001A60C1" w:rsidRDefault="0028144C" w:rsidP="001A60C1">
          <w:pPr>
            <w:pStyle w:val="TOC1"/>
            <w:tabs>
              <w:tab w:val="right" w:leader="dot" w:pos="8296"/>
            </w:tabs>
            <w:spacing w:line="360" w:lineRule="auto"/>
            <w:rPr>
              <w:rFonts w:ascii="Arial" w:eastAsiaTheme="minorEastAsia" w:hAnsi="Arial" w:cs="Arial"/>
              <w:noProof/>
              <w:color w:val="auto"/>
              <w:kern w:val="0"/>
              <w:sz w:val="22"/>
              <w:lang w:val="en-US" w:eastAsia="en-US"/>
              <w14:ligatures w14:val="none"/>
            </w:rPr>
          </w:pPr>
          <w:hyperlink w:anchor="_Toc241025953" w:history="1">
            <w:r w:rsidR="001A60C1" w:rsidRPr="001A60C1">
              <w:rPr>
                <w:rStyle w:val="Hyperlink"/>
                <w:rFonts w:ascii="Arial" w:hAnsi="Arial" w:cs="Arial"/>
                <w:noProof/>
                <w:sz w:val="22"/>
                <w:lang w:eastAsia="en-GB"/>
              </w:rPr>
              <w:t>References</w:t>
            </w:r>
            <w:r w:rsidR="001A60C1" w:rsidRPr="001A60C1">
              <w:rPr>
                <w:rFonts w:ascii="Arial" w:hAnsi="Arial" w:cs="Arial"/>
                <w:noProof/>
                <w:webHidden/>
                <w:sz w:val="22"/>
              </w:rPr>
              <w:tab/>
            </w:r>
            <w:r w:rsidR="001A60C1" w:rsidRPr="001A60C1">
              <w:rPr>
                <w:rFonts w:ascii="Arial" w:hAnsi="Arial" w:cs="Arial"/>
                <w:noProof/>
                <w:webHidden/>
                <w:sz w:val="22"/>
              </w:rPr>
              <w:fldChar w:fldCharType="begin"/>
            </w:r>
            <w:r w:rsidR="001A60C1" w:rsidRPr="001A60C1">
              <w:rPr>
                <w:rFonts w:ascii="Arial" w:hAnsi="Arial" w:cs="Arial"/>
                <w:noProof/>
                <w:webHidden/>
                <w:sz w:val="22"/>
              </w:rPr>
              <w:instrText xml:space="preserve"> PAGEREF _Toc241025953 \h </w:instrText>
            </w:r>
            <w:r w:rsidR="001A60C1" w:rsidRPr="001A60C1">
              <w:rPr>
                <w:rFonts w:ascii="Arial" w:hAnsi="Arial" w:cs="Arial"/>
                <w:noProof/>
                <w:webHidden/>
                <w:sz w:val="22"/>
              </w:rPr>
            </w:r>
            <w:r w:rsidR="001A60C1" w:rsidRPr="001A60C1">
              <w:rPr>
                <w:rFonts w:ascii="Arial" w:hAnsi="Arial" w:cs="Arial"/>
                <w:noProof/>
                <w:webHidden/>
                <w:sz w:val="22"/>
              </w:rPr>
              <w:fldChar w:fldCharType="separate"/>
            </w:r>
            <w:r w:rsidR="003B53EF">
              <w:rPr>
                <w:rFonts w:ascii="Arial" w:hAnsi="Arial" w:cs="Arial"/>
                <w:noProof/>
                <w:webHidden/>
                <w:sz w:val="22"/>
              </w:rPr>
              <w:t>53</w:t>
            </w:r>
            <w:r w:rsidR="001A60C1" w:rsidRPr="001A60C1">
              <w:rPr>
                <w:rFonts w:ascii="Arial" w:hAnsi="Arial" w:cs="Arial"/>
                <w:noProof/>
                <w:webHidden/>
                <w:sz w:val="22"/>
              </w:rPr>
              <w:fldChar w:fldCharType="end"/>
            </w:r>
          </w:hyperlink>
        </w:p>
        <w:p w14:paraId="7648CD94" w14:textId="5CF9F737" w:rsidR="00B00956" w:rsidRPr="00D1620D" w:rsidRDefault="00F20E2F" w:rsidP="001A60C1">
          <w:pPr>
            <w:spacing w:line="360" w:lineRule="auto"/>
            <w:jc w:val="both"/>
            <w:rPr>
              <w:rFonts w:ascii="Arial" w:hAnsi="Arial" w:cs="Arial"/>
            </w:rPr>
          </w:pPr>
          <w:r w:rsidRPr="001A60C1">
            <w:rPr>
              <w:rFonts w:ascii="Arial" w:hAnsi="Arial" w:cs="Arial"/>
              <w:b/>
              <w:bCs/>
              <w:noProof/>
            </w:rPr>
            <w:fldChar w:fldCharType="end"/>
          </w:r>
        </w:p>
      </w:sdtContent>
    </w:sdt>
    <w:p w14:paraId="163F704B" w14:textId="62D02DD7" w:rsidR="00C36602" w:rsidRDefault="00C36602">
      <w:pPr>
        <w:rPr>
          <w:rFonts w:ascii="Arial" w:hAnsi="Arial" w:cs="Arial"/>
          <w:b/>
          <w:bCs/>
        </w:rPr>
      </w:pPr>
      <w:r>
        <w:rPr>
          <w:rFonts w:ascii="Arial" w:hAnsi="Arial" w:cs="Arial"/>
          <w:b/>
          <w:bCs/>
        </w:rPr>
        <w:br w:type="page"/>
      </w:r>
    </w:p>
    <w:p w14:paraId="19325400" w14:textId="0B63816D" w:rsidR="003A3104" w:rsidRPr="00242E23" w:rsidRDefault="003A3104" w:rsidP="00092116">
      <w:pPr>
        <w:pStyle w:val="Heading1"/>
        <w:rPr>
          <w:rFonts w:cs="Times New Roman"/>
          <w:sz w:val="44"/>
          <w:lang w:eastAsia="en-GB"/>
        </w:rPr>
      </w:pPr>
      <w:bookmarkStart w:id="4" w:name="_Toc241025864"/>
      <w:r w:rsidRPr="00242E23">
        <w:lastRenderedPageBreak/>
        <w:t>List of Table</w:t>
      </w:r>
      <w:bookmarkEnd w:id="4"/>
      <w:r w:rsidR="00242E23" w:rsidRPr="00242E23">
        <w:rPr>
          <w:sz w:val="44"/>
        </w:rPr>
        <w:t xml:space="preserve"> </w:t>
      </w:r>
    </w:p>
    <w:p w14:paraId="50D33313" w14:textId="41990524" w:rsidR="005B7E91" w:rsidRPr="005B7E91" w:rsidRDefault="00C90469" w:rsidP="005B7E91">
      <w:pPr>
        <w:pStyle w:val="TableofFigures"/>
        <w:tabs>
          <w:tab w:val="right" w:leader="dot" w:pos="8296"/>
        </w:tabs>
        <w:spacing w:after="240" w:line="360" w:lineRule="auto"/>
        <w:rPr>
          <w:rFonts w:ascii="Arial" w:hAnsi="Arial" w:cs="Arial"/>
          <w:noProof/>
          <w:kern w:val="0"/>
          <w:lang w:val="en-US" w:eastAsia="en-US"/>
          <w14:ligatures w14:val="none"/>
        </w:rPr>
      </w:pPr>
      <w:r w:rsidRPr="00715C4F">
        <w:rPr>
          <w:rFonts w:ascii="Arial" w:hAnsi="Arial" w:cs="Arial"/>
          <w:b/>
          <w:bCs/>
        </w:rPr>
        <w:fldChar w:fldCharType="begin"/>
      </w:r>
      <w:r w:rsidRPr="00715C4F">
        <w:rPr>
          <w:rFonts w:ascii="Arial" w:hAnsi="Arial" w:cs="Arial"/>
          <w:b/>
          <w:bCs/>
        </w:rPr>
        <w:instrText xml:space="preserve"> TOC \h \z \c "Table" </w:instrText>
      </w:r>
      <w:r w:rsidRPr="00715C4F">
        <w:rPr>
          <w:rFonts w:ascii="Arial" w:hAnsi="Arial" w:cs="Arial"/>
          <w:b/>
          <w:bCs/>
        </w:rPr>
        <w:fldChar w:fldCharType="separate"/>
      </w:r>
      <w:hyperlink w:anchor="_Toc240929911" w:history="1">
        <w:r w:rsidR="005B7E91" w:rsidRPr="005B7E91">
          <w:rPr>
            <w:rStyle w:val="Hyperlink"/>
            <w:rFonts w:ascii="Arial" w:hAnsi="Arial" w:cs="Arial"/>
            <w:noProof/>
            <w:lang w:eastAsia="en-GB"/>
          </w:rPr>
          <w:t xml:space="preserve">Table </w:t>
        </w:r>
        <w:r w:rsidR="005B7E91" w:rsidRPr="005B7E91">
          <w:rPr>
            <w:rStyle w:val="Hyperlink"/>
            <w:rFonts w:ascii="Arial" w:hAnsi="Arial" w:cs="Arial"/>
            <w:noProof/>
          </w:rPr>
          <w:t>1. PICO Framework</w:t>
        </w:r>
        <w:r w:rsidR="005B7E91" w:rsidRPr="005B7E91">
          <w:rPr>
            <w:rFonts w:ascii="Arial" w:hAnsi="Arial" w:cs="Arial"/>
            <w:noProof/>
            <w:webHidden/>
          </w:rPr>
          <w:tab/>
        </w:r>
        <w:r w:rsidR="005B7E91" w:rsidRPr="005B7E91">
          <w:rPr>
            <w:rFonts w:ascii="Arial" w:hAnsi="Arial" w:cs="Arial"/>
            <w:noProof/>
            <w:webHidden/>
          </w:rPr>
          <w:fldChar w:fldCharType="begin"/>
        </w:r>
        <w:r w:rsidR="005B7E91" w:rsidRPr="005B7E91">
          <w:rPr>
            <w:rFonts w:ascii="Arial" w:hAnsi="Arial" w:cs="Arial"/>
            <w:noProof/>
            <w:webHidden/>
          </w:rPr>
          <w:instrText xml:space="preserve"> PAGEREF _Toc240929911 \h </w:instrText>
        </w:r>
        <w:r w:rsidR="005B7E91" w:rsidRPr="005B7E91">
          <w:rPr>
            <w:rFonts w:ascii="Arial" w:hAnsi="Arial" w:cs="Arial"/>
            <w:noProof/>
            <w:webHidden/>
          </w:rPr>
        </w:r>
        <w:r w:rsidR="005B7E91" w:rsidRPr="005B7E91">
          <w:rPr>
            <w:rFonts w:ascii="Arial" w:hAnsi="Arial" w:cs="Arial"/>
            <w:noProof/>
            <w:webHidden/>
          </w:rPr>
          <w:fldChar w:fldCharType="separate"/>
        </w:r>
        <w:r w:rsidR="007A42EC">
          <w:rPr>
            <w:rFonts w:ascii="Arial" w:hAnsi="Arial" w:cs="Arial"/>
            <w:noProof/>
            <w:webHidden/>
          </w:rPr>
          <w:t>20</w:t>
        </w:r>
        <w:r w:rsidR="005B7E91" w:rsidRPr="005B7E91">
          <w:rPr>
            <w:rFonts w:ascii="Arial" w:hAnsi="Arial" w:cs="Arial"/>
            <w:noProof/>
            <w:webHidden/>
          </w:rPr>
          <w:fldChar w:fldCharType="end"/>
        </w:r>
      </w:hyperlink>
    </w:p>
    <w:p w14:paraId="515B516B" w14:textId="6DD1B9FF" w:rsidR="005B7E91" w:rsidRPr="005B7E91" w:rsidRDefault="0028144C" w:rsidP="005B7E91">
      <w:pPr>
        <w:pStyle w:val="TableofFigures"/>
        <w:tabs>
          <w:tab w:val="right" w:leader="dot" w:pos="8296"/>
        </w:tabs>
        <w:spacing w:after="240" w:line="360" w:lineRule="auto"/>
        <w:rPr>
          <w:rFonts w:ascii="Arial" w:hAnsi="Arial" w:cs="Arial"/>
          <w:noProof/>
          <w:kern w:val="0"/>
          <w:lang w:val="en-US" w:eastAsia="en-US"/>
          <w14:ligatures w14:val="none"/>
        </w:rPr>
      </w:pPr>
      <w:hyperlink w:anchor="_Toc240929912" w:history="1">
        <w:r w:rsidR="005B7E91" w:rsidRPr="005B7E91">
          <w:rPr>
            <w:rStyle w:val="Hyperlink"/>
            <w:rFonts w:ascii="Arial" w:hAnsi="Arial" w:cs="Arial"/>
            <w:noProof/>
            <w:lang w:eastAsia="en-GB"/>
          </w:rPr>
          <w:t>Table</w:t>
        </w:r>
        <w:r w:rsidR="0063625B">
          <w:rPr>
            <w:rStyle w:val="Hyperlink"/>
            <w:rFonts w:ascii="Arial" w:hAnsi="Arial" w:cs="Arial"/>
            <w:noProof/>
          </w:rPr>
          <w:t xml:space="preserve"> 2. </w:t>
        </w:r>
        <w:r w:rsidR="005B7E91" w:rsidRPr="005B7E91">
          <w:rPr>
            <w:rStyle w:val="Hyperlink"/>
            <w:rFonts w:ascii="Arial" w:hAnsi="Arial" w:cs="Arial"/>
            <w:noProof/>
          </w:rPr>
          <w:t>Database Search Procedure</w:t>
        </w:r>
        <w:r w:rsidR="005B7E91" w:rsidRPr="005B7E91">
          <w:rPr>
            <w:rFonts w:ascii="Arial" w:hAnsi="Arial" w:cs="Arial"/>
            <w:noProof/>
            <w:webHidden/>
          </w:rPr>
          <w:tab/>
        </w:r>
        <w:r w:rsidR="005B7E91" w:rsidRPr="005B7E91">
          <w:rPr>
            <w:rFonts w:ascii="Arial" w:hAnsi="Arial" w:cs="Arial"/>
            <w:noProof/>
            <w:webHidden/>
          </w:rPr>
          <w:fldChar w:fldCharType="begin"/>
        </w:r>
        <w:r w:rsidR="005B7E91" w:rsidRPr="005B7E91">
          <w:rPr>
            <w:rFonts w:ascii="Arial" w:hAnsi="Arial" w:cs="Arial"/>
            <w:noProof/>
            <w:webHidden/>
          </w:rPr>
          <w:instrText xml:space="preserve"> PAGEREF _Toc240929912 \h </w:instrText>
        </w:r>
        <w:r w:rsidR="005B7E91" w:rsidRPr="005B7E91">
          <w:rPr>
            <w:rFonts w:ascii="Arial" w:hAnsi="Arial" w:cs="Arial"/>
            <w:noProof/>
            <w:webHidden/>
          </w:rPr>
        </w:r>
        <w:r w:rsidR="005B7E91" w:rsidRPr="005B7E91">
          <w:rPr>
            <w:rFonts w:ascii="Arial" w:hAnsi="Arial" w:cs="Arial"/>
            <w:noProof/>
            <w:webHidden/>
          </w:rPr>
          <w:fldChar w:fldCharType="separate"/>
        </w:r>
        <w:r w:rsidR="007A42EC">
          <w:rPr>
            <w:rFonts w:ascii="Arial" w:hAnsi="Arial" w:cs="Arial"/>
            <w:noProof/>
            <w:webHidden/>
          </w:rPr>
          <w:t>21</w:t>
        </w:r>
        <w:r w:rsidR="005B7E91" w:rsidRPr="005B7E91">
          <w:rPr>
            <w:rFonts w:ascii="Arial" w:hAnsi="Arial" w:cs="Arial"/>
            <w:noProof/>
            <w:webHidden/>
          </w:rPr>
          <w:fldChar w:fldCharType="end"/>
        </w:r>
      </w:hyperlink>
    </w:p>
    <w:p w14:paraId="374F56D4" w14:textId="675717C2" w:rsidR="005B7E91" w:rsidRPr="005B7E91" w:rsidRDefault="0028144C" w:rsidP="005B7E91">
      <w:pPr>
        <w:pStyle w:val="TableofFigures"/>
        <w:tabs>
          <w:tab w:val="right" w:leader="dot" w:pos="8296"/>
        </w:tabs>
        <w:spacing w:after="240" w:line="360" w:lineRule="auto"/>
        <w:rPr>
          <w:rFonts w:ascii="Arial" w:hAnsi="Arial" w:cs="Arial"/>
          <w:noProof/>
          <w:kern w:val="0"/>
          <w:lang w:val="en-US" w:eastAsia="en-US"/>
          <w14:ligatures w14:val="none"/>
        </w:rPr>
      </w:pPr>
      <w:hyperlink w:anchor="_Toc240929913" w:history="1">
        <w:r w:rsidR="0063625B">
          <w:rPr>
            <w:rStyle w:val="Hyperlink"/>
            <w:rFonts w:ascii="Arial" w:hAnsi="Arial" w:cs="Arial"/>
            <w:noProof/>
          </w:rPr>
          <w:t xml:space="preserve">Table 3. </w:t>
        </w:r>
        <w:r w:rsidR="005B7E91" w:rsidRPr="005B7E91">
          <w:rPr>
            <w:rStyle w:val="Hyperlink"/>
            <w:rFonts w:ascii="Arial" w:hAnsi="Arial" w:cs="Arial"/>
            <w:noProof/>
          </w:rPr>
          <w:t>Inclusion and Exclusion Criteria</w:t>
        </w:r>
        <w:r w:rsidR="005B7E91" w:rsidRPr="005B7E91">
          <w:rPr>
            <w:rFonts w:ascii="Arial" w:hAnsi="Arial" w:cs="Arial"/>
            <w:noProof/>
            <w:webHidden/>
          </w:rPr>
          <w:tab/>
        </w:r>
        <w:r w:rsidR="005B7E91" w:rsidRPr="005B7E91">
          <w:rPr>
            <w:rFonts w:ascii="Arial" w:hAnsi="Arial" w:cs="Arial"/>
            <w:noProof/>
            <w:webHidden/>
          </w:rPr>
          <w:fldChar w:fldCharType="begin"/>
        </w:r>
        <w:r w:rsidR="005B7E91" w:rsidRPr="005B7E91">
          <w:rPr>
            <w:rFonts w:ascii="Arial" w:hAnsi="Arial" w:cs="Arial"/>
            <w:noProof/>
            <w:webHidden/>
          </w:rPr>
          <w:instrText xml:space="preserve"> PAGEREF _Toc240929913 \h </w:instrText>
        </w:r>
        <w:r w:rsidR="005B7E91" w:rsidRPr="005B7E91">
          <w:rPr>
            <w:rFonts w:ascii="Arial" w:hAnsi="Arial" w:cs="Arial"/>
            <w:noProof/>
            <w:webHidden/>
          </w:rPr>
        </w:r>
        <w:r w:rsidR="005B7E91" w:rsidRPr="005B7E91">
          <w:rPr>
            <w:rFonts w:ascii="Arial" w:hAnsi="Arial" w:cs="Arial"/>
            <w:noProof/>
            <w:webHidden/>
          </w:rPr>
          <w:fldChar w:fldCharType="separate"/>
        </w:r>
        <w:r w:rsidR="007A42EC">
          <w:rPr>
            <w:rFonts w:ascii="Arial" w:hAnsi="Arial" w:cs="Arial"/>
            <w:noProof/>
            <w:webHidden/>
          </w:rPr>
          <w:t>22</w:t>
        </w:r>
        <w:r w:rsidR="005B7E91" w:rsidRPr="005B7E91">
          <w:rPr>
            <w:rFonts w:ascii="Arial" w:hAnsi="Arial" w:cs="Arial"/>
            <w:noProof/>
            <w:webHidden/>
          </w:rPr>
          <w:fldChar w:fldCharType="end"/>
        </w:r>
      </w:hyperlink>
    </w:p>
    <w:p w14:paraId="79C2DE80" w14:textId="6261B7D3" w:rsidR="005B7E91" w:rsidRPr="005B7E91" w:rsidRDefault="0028144C" w:rsidP="005B7E91">
      <w:pPr>
        <w:pStyle w:val="TableofFigures"/>
        <w:tabs>
          <w:tab w:val="right" w:leader="dot" w:pos="8296"/>
        </w:tabs>
        <w:spacing w:after="240" w:line="360" w:lineRule="auto"/>
        <w:rPr>
          <w:rFonts w:ascii="Arial" w:hAnsi="Arial" w:cs="Arial"/>
          <w:noProof/>
          <w:kern w:val="0"/>
          <w:lang w:val="en-US" w:eastAsia="en-US"/>
          <w14:ligatures w14:val="none"/>
        </w:rPr>
      </w:pPr>
      <w:hyperlink w:anchor="_Toc240929914" w:history="1">
        <w:r w:rsidR="0063625B">
          <w:rPr>
            <w:rStyle w:val="Hyperlink"/>
            <w:rFonts w:ascii="Arial" w:hAnsi="Arial" w:cs="Arial"/>
            <w:noProof/>
          </w:rPr>
          <w:t>Table 4.</w:t>
        </w:r>
        <w:r w:rsidR="005B7E91" w:rsidRPr="005B7E91">
          <w:rPr>
            <w:rStyle w:val="Hyperlink"/>
            <w:rFonts w:ascii="Arial" w:hAnsi="Arial" w:cs="Arial"/>
            <w:noProof/>
          </w:rPr>
          <w:t xml:space="preserve"> Quality assessment of included cross-sectional studies using the JBI Critical Appraisal Checklist for Analytical Cross-sectional Studies</w:t>
        </w:r>
        <w:r w:rsidR="005B7E91" w:rsidRPr="005B7E91">
          <w:rPr>
            <w:rFonts w:ascii="Arial" w:hAnsi="Arial" w:cs="Arial"/>
            <w:noProof/>
            <w:webHidden/>
          </w:rPr>
          <w:tab/>
        </w:r>
        <w:r w:rsidR="005B7E91" w:rsidRPr="005B7E91">
          <w:rPr>
            <w:rFonts w:ascii="Arial" w:hAnsi="Arial" w:cs="Arial"/>
            <w:noProof/>
            <w:webHidden/>
          </w:rPr>
          <w:fldChar w:fldCharType="begin"/>
        </w:r>
        <w:r w:rsidR="005B7E91" w:rsidRPr="005B7E91">
          <w:rPr>
            <w:rFonts w:ascii="Arial" w:hAnsi="Arial" w:cs="Arial"/>
            <w:noProof/>
            <w:webHidden/>
          </w:rPr>
          <w:instrText xml:space="preserve"> PAGEREF _Toc240929914 \h </w:instrText>
        </w:r>
        <w:r w:rsidR="005B7E91" w:rsidRPr="005B7E91">
          <w:rPr>
            <w:rFonts w:ascii="Arial" w:hAnsi="Arial" w:cs="Arial"/>
            <w:noProof/>
            <w:webHidden/>
          </w:rPr>
        </w:r>
        <w:r w:rsidR="005B7E91" w:rsidRPr="005B7E91">
          <w:rPr>
            <w:rFonts w:ascii="Arial" w:hAnsi="Arial" w:cs="Arial"/>
            <w:noProof/>
            <w:webHidden/>
          </w:rPr>
          <w:fldChar w:fldCharType="separate"/>
        </w:r>
        <w:r w:rsidR="007A42EC">
          <w:rPr>
            <w:rFonts w:ascii="Arial" w:hAnsi="Arial" w:cs="Arial"/>
            <w:noProof/>
            <w:webHidden/>
          </w:rPr>
          <w:t>25</w:t>
        </w:r>
        <w:r w:rsidR="005B7E91" w:rsidRPr="005B7E91">
          <w:rPr>
            <w:rFonts w:ascii="Arial" w:hAnsi="Arial" w:cs="Arial"/>
            <w:noProof/>
            <w:webHidden/>
          </w:rPr>
          <w:fldChar w:fldCharType="end"/>
        </w:r>
      </w:hyperlink>
    </w:p>
    <w:p w14:paraId="43DECC63" w14:textId="629EF07B" w:rsidR="005B7E91" w:rsidRPr="005B7E91" w:rsidRDefault="0028144C" w:rsidP="005B7E91">
      <w:pPr>
        <w:pStyle w:val="TableofFigures"/>
        <w:tabs>
          <w:tab w:val="right" w:leader="dot" w:pos="8296"/>
        </w:tabs>
        <w:spacing w:after="240" w:line="360" w:lineRule="auto"/>
        <w:rPr>
          <w:rFonts w:ascii="Arial" w:hAnsi="Arial" w:cs="Arial"/>
          <w:noProof/>
          <w:kern w:val="0"/>
          <w:lang w:val="en-US" w:eastAsia="en-US"/>
          <w14:ligatures w14:val="none"/>
        </w:rPr>
      </w:pPr>
      <w:hyperlink w:anchor="_Toc240929915" w:history="1">
        <w:r w:rsidR="0063625B">
          <w:rPr>
            <w:rStyle w:val="Hyperlink"/>
            <w:rFonts w:ascii="Arial" w:hAnsi="Arial" w:cs="Arial"/>
            <w:noProof/>
          </w:rPr>
          <w:t>Table 5.</w:t>
        </w:r>
        <w:r w:rsidR="005B7E91" w:rsidRPr="005B7E91">
          <w:rPr>
            <w:rStyle w:val="Hyperlink"/>
            <w:rFonts w:ascii="Arial" w:hAnsi="Arial" w:cs="Arial"/>
            <w:noProof/>
          </w:rPr>
          <w:t xml:space="preserve"> Quality assessment of included qualitative studies using the CASP Qualitative Studies Checklist</w:t>
        </w:r>
        <w:r w:rsidR="005B7E91" w:rsidRPr="005B7E91">
          <w:rPr>
            <w:rFonts w:ascii="Arial" w:hAnsi="Arial" w:cs="Arial"/>
            <w:noProof/>
            <w:webHidden/>
          </w:rPr>
          <w:tab/>
        </w:r>
        <w:r w:rsidR="005B7E91" w:rsidRPr="005B7E91">
          <w:rPr>
            <w:rFonts w:ascii="Arial" w:hAnsi="Arial" w:cs="Arial"/>
            <w:noProof/>
            <w:webHidden/>
          </w:rPr>
          <w:fldChar w:fldCharType="begin"/>
        </w:r>
        <w:r w:rsidR="005B7E91" w:rsidRPr="005B7E91">
          <w:rPr>
            <w:rFonts w:ascii="Arial" w:hAnsi="Arial" w:cs="Arial"/>
            <w:noProof/>
            <w:webHidden/>
          </w:rPr>
          <w:instrText xml:space="preserve"> PAGEREF _Toc240929915 \h </w:instrText>
        </w:r>
        <w:r w:rsidR="005B7E91" w:rsidRPr="005B7E91">
          <w:rPr>
            <w:rFonts w:ascii="Arial" w:hAnsi="Arial" w:cs="Arial"/>
            <w:noProof/>
            <w:webHidden/>
          </w:rPr>
        </w:r>
        <w:r w:rsidR="005B7E91" w:rsidRPr="005B7E91">
          <w:rPr>
            <w:rFonts w:ascii="Arial" w:hAnsi="Arial" w:cs="Arial"/>
            <w:noProof/>
            <w:webHidden/>
          </w:rPr>
          <w:fldChar w:fldCharType="separate"/>
        </w:r>
        <w:r w:rsidR="007A42EC">
          <w:rPr>
            <w:rFonts w:ascii="Arial" w:hAnsi="Arial" w:cs="Arial"/>
            <w:noProof/>
            <w:webHidden/>
          </w:rPr>
          <w:t>26</w:t>
        </w:r>
        <w:r w:rsidR="005B7E91" w:rsidRPr="005B7E91">
          <w:rPr>
            <w:rFonts w:ascii="Arial" w:hAnsi="Arial" w:cs="Arial"/>
            <w:noProof/>
            <w:webHidden/>
          </w:rPr>
          <w:fldChar w:fldCharType="end"/>
        </w:r>
      </w:hyperlink>
    </w:p>
    <w:p w14:paraId="5553BD6B" w14:textId="32EEF19C" w:rsidR="005B7E91" w:rsidRPr="005B7E91" w:rsidRDefault="0028144C" w:rsidP="005B7E91">
      <w:pPr>
        <w:pStyle w:val="TableofFigures"/>
        <w:tabs>
          <w:tab w:val="right" w:leader="dot" w:pos="8296"/>
        </w:tabs>
        <w:spacing w:after="240" w:line="360" w:lineRule="auto"/>
        <w:rPr>
          <w:rFonts w:ascii="Arial" w:hAnsi="Arial" w:cs="Arial"/>
          <w:noProof/>
          <w:kern w:val="0"/>
          <w:lang w:val="en-US" w:eastAsia="en-US"/>
          <w14:ligatures w14:val="none"/>
        </w:rPr>
      </w:pPr>
      <w:hyperlink w:anchor="_Toc240929916" w:history="1">
        <w:r w:rsidR="0063625B">
          <w:rPr>
            <w:rStyle w:val="Hyperlink"/>
            <w:rFonts w:ascii="Arial" w:hAnsi="Arial" w:cs="Arial"/>
            <w:noProof/>
          </w:rPr>
          <w:t>Table 6.</w:t>
        </w:r>
        <w:r w:rsidR="005B7E91" w:rsidRPr="005B7E91">
          <w:rPr>
            <w:rStyle w:val="Hyperlink"/>
            <w:rFonts w:ascii="Arial" w:hAnsi="Arial" w:cs="Arial"/>
            <w:noProof/>
          </w:rPr>
          <w:t xml:space="preserve"> Quality assessment of the included cohort study using the CASP Cohort Study Checklist</w:t>
        </w:r>
        <w:r w:rsidR="005B7E91" w:rsidRPr="005B7E91">
          <w:rPr>
            <w:rFonts w:ascii="Arial" w:hAnsi="Arial" w:cs="Arial"/>
            <w:noProof/>
            <w:webHidden/>
          </w:rPr>
          <w:tab/>
        </w:r>
        <w:r w:rsidR="005B7E91" w:rsidRPr="005B7E91">
          <w:rPr>
            <w:rFonts w:ascii="Arial" w:hAnsi="Arial" w:cs="Arial"/>
            <w:noProof/>
            <w:webHidden/>
          </w:rPr>
          <w:fldChar w:fldCharType="begin"/>
        </w:r>
        <w:r w:rsidR="005B7E91" w:rsidRPr="005B7E91">
          <w:rPr>
            <w:rFonts w:ascii="Arial" w:hAnsi="Arial" w:cs="Arial"/>
            <w:noProof/>
            <w:webHidden/>
          </w:rPr>
          <w:instrText xml:space="preserve"> PAGEREF _Toc240929916 \h </w:instrText>
        </w:r>
        <w:r w:rsidR="005B7E91" w:rsidRPr="005B7E91">
          <w:rPr>
            <w:rFonts w:ascii="Arial" w:hAnsi="Arial" w:cs="Arial"/>
            <w:noProof/>
            <w:webHidden/>
          </w:rPr>
        </w:r>
        <w:r w:rsidR="005B7E91" w:rsidRPr="005B7E91">
          <w:rPr>
            <w:rFonts w:ascii="Arial" w:hAnsi="Arial" w:cs="Arial"/>
            <w:noProof/>
            <w:webHidden/>
          </w:rPr>
          <w:fldChar w:fldCharType="separate"/>
        </w:r>
        <w:r w:rsidR="007A42EC">
          <w:rPr>
            <w:rFonts w:ascii="Arial" w:hAnsi="Arial" w:cs="Arial"/>
            <w:noProof/>
            <w:webHidden/>
          </w:rPr>
          <w:t>27</w:t>
        </w:r>
        <w:r w:rsidR="005B7E91" w:rsidRPr="005B7E91">
          <w:rPr>
            <w:rFonts w:ascii="Arial" w:hAnsi="Arial" w:cs="Arial"/>
            <w:noProof/>
            <w:webHidden/>
          </w:rPr>
          <w:fldChar w:fldCharType="end"/>
        </w:r>
      </w:hyperlink>
    </w:p>
    <w:p w14:paraId="08968858" w14:textId="2610596C" w:rsidR="005B7E91" w:rsidRPr="005B7E91" w:rsidRDefault="0028144C" w:rsidP="005B7E91">
      <w:pPr>
        <w:pStyle w:val="TableofFigures"/>
        <w:tabs>
          <w:tab w:val="right" w:leader="dot" w:pos="8296"/>
        </w:tabs>
        <w:spacing w:after="240" w:line="360" w:lineRule="auto"/>
        <w:rPr>
          <w:rFonts w:ascii="Arial" w:hAnsi="Arial" w:cs="Arial"/>
          <w:noProof/>
          <w:kern w:val="0"/>
          <w:lang w:val="en-US" w:eastAsia="en-US"/>
          <w14:ligatures w14:val="none"/>
        </w:rPr>
      </w:pPr>
      <w:hyperlink w:anchor="_Toc240929917" w:history="1">
        <w:r w:rsidR="0063625B">
          <w:rPr>
            <w:rStyle w:val="Hyperlink"/>
            <w:rFonts w:ascii="Arial" w:hAnsi="Arial" w:cs="Arial"/>
            <w:noProof/>
          </w:rPr>
          <w:t>Table 7.</w:t>
        </w:r>
        <w:r w:rsidR="005B7E91" w:rsidRPr="005B7E91">
          <w:rPr>
            <w:rStyle w:val="Hyperlink"/>
            <w:rFonts w:ascii="Arial" w:hAnsi="Arial" w:cs="Arial"/>
            <w:noProof/>
          </w:rPr>
          <w:t xml:space="preserve"> Quality assessment of the included case-control study using the CASP Case-Control Study Checklist</w:t>
        </w:r>
        <w:r w:rsidR="005B7E91" w:rsidRPr="005B7E91">
          <w:rPr>
            <w:rFonts w:ascii="Arial" w:hAnsi="Arial" w:cs="Arial"/>
            <w:noProof/>
            <w:webHidden/>
          </w:rPr>
          <w:tab/>
        </w:r>
        <w:r w:rsidR="005B7E91" w:rsidRPr="005B7E91">
          <w:rPr>
            <w:rFonts w:ascii="Arial" w:hAnsi="Arial" w:cs="Arial"/>
            <w:noProof/>
            <w:webHidden/>
          </w:rPr>
          <w:fldChar w:fldCharType="begin"/>
        </w:r>
        <w:r w:rsidR="005B7E91" w:rsidRPr="005B7E91">
          <w:rPr>
            <w:rFonts w:ascii="Arial" w:hAnsi="Arial" w:cs="Arial"/>
            <w:noProof/>
            <w:webHidden/>
          </w:rPr>
          <w:instrText xml:space="preserve"> PAGEREF _Toc240929917 \h </w:instrText>
        </w:r>
        <w:r w:rsidR="005B7E91" w:rsidRPr="005B7E91">
          <w:rPr>
            <w:rFonts w:ascii="Arial" w:hAnsi="Arial" w:cs="Arial"/>
            <w:noProof/>
            <w:webHidden/>
          </w:rPr>
        </w:r>
        <w:r w:rsidR="005B7E91" w:rsidRPr="005B7E91">
          <w:rPr>
            <w:rFonts w:ascii="Arial" w:hAnsi="Arial" w:cs="Arial"/>
            <w:noProof/>
            <w:webHidden/>
          </w:rPr>
          <w:fldChar w:fldCharType="separate"/>
        </w:r>
        <w:r w:rsidR="007A42EC">
          <w:rPr>
            <w:rFonts w:ascii="Arial" w:hAnsi="Arial" w:cs="Arial"/>
            <w:noProof/>
            <w:webHidden/>
          </w:rPr>
          <w:t>28</w:t>
        </w:r>
        <w:r w:rsidR="005B7E91" w:rsidRPr="005B7E91">
          <w:rPr>
            <w:rFonts w:ascii="Arial" w:hAnsi="Arial" w:cs="Arial"/>
            <w:noProof/>
            <w:webHidden/>
          </w:rPr>
          <w:fldChar w:fldCharType="end"/>
        </w:r>
      </w:hyperlink>
    </w:p>
    <w:p w14:paraId="11F93C9D" w14:textId="7169BA2B" w:rsidR="005B7E91" w:rsidRPr="005B7E91" w:rsidRDefault="0028144C" w:rsidP="005B7E91">
      <w:pPr>
        <w:pStyle w:val="TableofFigures"/>
        <w:tabs>
          <w:tab w:val="right" w:leader="dot" w:pos="8296"/>
        </w:tabs>
        <w:spacing w:after="240" w:line="360" w:lineRule="auto"/>
        <w:rPr>
          <w:rFonts w:ascii="Arial" w:hAnsi="Arial" w:cs="Arial"/>
          <w:noProof/>
          <w:kern w:val="0"/>
          <w:lang w:val="en-US" w:eastAsia="en-US"/>
          <w14:ligatures w14:val="none"/>
        </w:rPr>
      </w:pPr>
      <w:hyperlink w:anchor="_Toc240929918" w:history="1">
        <w:r w:rsidR="0063625B">
          <w:rPr>
            <w:rStyle w:val="Hyperlink"/>
            <w:rFonts w:ascii="Arial" w:hAnsi="Arial" w:cs="Arial"/>
            <w:noProof/>
          </w:rPr>
          <w:t>Table 8.</w:t>
        </w:r>
        <w:r w:rsidR="005B7E91" w:rsidRPr="005B7E91">
          <w:rPr>
            <w:rStyle w:val="Hyperlink"/>
            <w:rFonts w:ascii="Arial" w:hAnsi="Arial" w:cs="Arial"/>
            <w:noProof/>
          </w:rPr>
          <w:t xml:space="preserve"> Characteristics and Data Extraction of the Included Studies</w:t>
        </w:r>
        <w:r w:rsidR="005B7E91" w:rsidRPr="005B7E91">
          <w:rPr>
            <w:rFonts w:ascii="Arial" w:hAnsi="Arial" w:cs="Arial"/>
            <w:noProof/>
            <w:webHidden/>
          </w:rPr>
          <w:tab/>
        </w:r>
        <w:r w:rsidR="005B7E91" w:rsidRPr="005B7E91">
          <w:rPr>
            <w:rFonts w:ascii="Arial" w:hAnsi="Arial" w:cs="Arial"/>
            <w:noProof/>
            <w:webHidden/>
          </w:rPr>
          <w:fldChar w:fldCharType="begin"/>
        </w:r>
        <w:r w:rsidR="005B7E91" w:rsidRPr="005B7E91">
          <w:rPr>
            <w:rFonts w:ascii="Arial" w:hAnsi="Arial" w:cs="Arial"/>
            <w:noProof/>
            <w:webHidden/>
          </w:rPr>
          <w:instrText xml:space="preserve"> PAGEREF _Toc240929918 \h </w:instrText>
        </w:r>
        <w:r w:rsidR="005B7E91" w:rsidRPr="005B7E91">
          <w:rPr>
            <w:rFonts w:ascii="Arial" w:hAnsi="Arial" w:cs="Arial"/>
            <w:noProof/>
            <w:webHidden/>
          </w:rPr>
        </w:r>
        <w:r w:rsidR="005B7E91" w:rsidRPr="005B7E91">
          <w:rPr>
            <w:rFonts w:ascii="Arial" w:hAnsi="Arial" w:cs="Arial"/>
            <w:noProof/>
            <w:webHidden/>
          </w:rPr>
          <w:fldChar w:fldCharType="separate"/>
        </w:r>
        <w:r w:rsidR="007A42EC">
          <w:rPr>
            <w:rFonts w:ascii="Arial" w:hAnsi="Arial" w:cs="Arial"/>
            <w:noProof/>
            <w:webHidden/>
          </w:rPr>
          <w:t>34</w:t>
        </w:r>
        <w:r w:rsidR="005B7E91" w:rsidRPr="005B7E91">
          <w:rPr>
            <w:rFonts w:ascii="Arial" w:hAnsi="Arial" w:cs="Arial"/>
            <w:noProof/>
            <w:webHidden/>
          </w:rPr>
          <w:fldChar w:fldCharType="end"/>
        </w:r>
      </w:hyperlink>
    </w:p>
    <w:p w14:paraId="46ED24EE" w14:textId="74392F29" w:rsidR="00527B6F" w:rsidRPr="00715C4F" w:rsidRDefault="00C90469" w:rsidP="00715C4F">
      <w:pPr>
        <w:spacing w:line="360" w:lineRule="auto"/>
        <w:jc w:val="both"/>
        <w:rPr>
          <w:rFonts w:ascii="Arial" w:hAnsi="Arial" w:cs="Arial"/>
          <w:b/>
          <w:bCs/>
        </w:rPr>
      </w:pPr>
      <w:r w:rsidRPr="00715C4F">
        <w:rPr>
          <w:rFonts w:ascii="Arial" w:hAnsi="Arial" w:cs="Arial"/>
          <w:b/>
          <w:bCs/>
        </w:rPr>
        <w:fldChar w:fldCharType="end"/>
      </w:r>
      <w:bookmarkStart w:id="5" w:name="_Toc12216"/>
    </w:p>
    <w:p w14:paraId="55909326" w14:textId="77777777" w:rsidR="00527B6F" w:rsidRPr="00715C4F" w:rsidRDefault="00527B6F" w:rsidP="00715C4F">
      <w:pPr>
        <w:spacing w:line="360" w:lineRule="auto"/>
        <w:jc w:val="both"/>
        <w:rPr>
          <w:rFonts w:ascii="Arial" w:hAnsi="Arial" w:cs="Arial"/>
          <w:b/>
          <w:bCs/>
        </w:rPr>
      </w:pPr>
      <w:r w:rsidRPr="00715C4F">
        <w:rPr>
          <w:rFonts w:ascii="Arial" w:hAnsi="Arial" w:cs="Arial"/>
          <w:b/>
          <w:bCs/>
        </w:rPr>
        <w:br w:type="page"/>
      </w:r>
    </w:p>
    <w:p w14:paraId="1B1A15F9" w14:textId="538ED33B" w:rsidR="00711251" w:rsidRPr="00715C4F" w:rsidRDefault="00711251" w:rsidP="00092116">
      <w:pPr>
        <w:pStyle w:val="Heading1"/>
      </w:pPr>
      <w:bookmarkStart w:id="6" w:name="_Toc241025865"/>
      <w:r w:rsidRPr="00715C4F">
        <w:lastRenderedPageBreak/>
        <w:t>List of Abbreviations</w:t>
      </w:r>
      <w:bookmarkEnd w:id="6"/>
    </w:p>
    <w:tbl>
      <w:tblPr>
        <w:tblStyle w:val="TableGrid"/>
        <w:tblW w:w="0" w:type="auto"/>
        <w:tblLook w:val="04A0" w:firstRow="1" w:lastRow="0" w:firstColumn="1" w:lastColumn="0" w:noHBand="0" w:noVBand="1"/>
      </w:tblPr>
      <w:tblGrid>
        <w:gridCol w:w="1975"/>
        <w:gridCol w:w="6321"/>
      </w:tblGrid>
      <w:tr w:rsidR="00711251" w:rsidRPr="00715C4F" w14:paraId="43289482" w14:textId="77777777" w:rsidTr="00EF2CEE">
        <w:tc>
          <w:tcPr>
            <w:tcW w:w="1975" w:type="dxa"/>
          </w:tcPr>
          <w:p w14:paraId="01192C1E" w14:textId="77777777" w:rsidR="00711251" w:rsidRPr="00715C4F" w:rsidRDefault="00711251" w:rsidP="002C2721">
            <w:pPr>
              <w:spacing w:line="360" w:lineRule="auto"/>
              <w:jc w:val="center"/>
              <w:rPr>
                <w:rFonts w:ascii="Arial" w:hAnsi="Arial" w:cs="Arial"/>
                <w:b/>
              </w:rPr>
            </w:pPr>
            <w:r w:rsidRPr="00715C4F">
              <w:rPr>
                <w:rFonts w:ascii="Arial" w:hAnsi="Arial" w:cs="Arial"/>
                <w:b/>
              </w:rPr>
              <w:t>Abbreviation</w:t>
            </w:r>
          </w:p>
        </w:tc>
        <w:tc>
          <w:tcPr>
            <w:tcW w:w="6321" w:type="dxa"/>
          </w:tcPr>
          <w:p w14:paraId="3DBE289B" w14:textId="16AD0E06" w:rsidR="00711251" w:rsidRPr="00715C4F" w:rsidRDefault="006955E4" w:rsidP="002C2721">
            <w:pPr>
              <w:spacing w:line="360" w:lineRule="auto"/>
              <w:jc w:val="center"/>
              <w:rPr>
                <w:rFonts w:ascii="Arial" w:hAnsi="Arial" w:cs="Arial"/>
                <w:b/>
              </w:rPr>
            </w:pPr>
            <w:r>
              <w:rPr>
                <w:rFonts w:ascii="Arial" w:hAnsi="Arial" w:cs="Arial"/>
                <w:b/>
              </w:rPr>
              <w:t>Full T</w:t>
            </w:r>
            <w:r w:rsidR="00711251" w:rsidRPr="00715C4F">
              <w:rPr>
                <w:rFonts w:ascii="Arial" w:hAnsi="Arial" w:cs="Arial"/>
                <w:b/>
              </w:rPr>
              <w:t>erm</w:t>
            </w:r>
          </w:p>
        </w:tc>
      </w:tr>
      <w:tr w:rsidR="00711251" w:rsidRPr="00715C4F" w14:paraId="72F54CEE" w14:textId="77777777" w:rsidTr="00EF2CEE">
        <w:tc>
          <w:tcPr>
            <w:tcW w:w="1975" w:type="dxa"/>
          </w:tcPr>
          <w:p w14:paraId="06D60823" w14:textId="77777777" w:rsidR="00711251" w:rsidRPr="00715C4F" w:rsidRDefault="00711251" w:rsidP="00715C4F">
            <w:pPr>
              <w:spacing w:line="360" w:lineRule="auto"/>
              <w:jc w:val="both"/>
              <w:rPr>
                <w:rFonts w:ascii="Arial" w:hAnsi="Arial" w:cs="Arial"/>
              </w:rPr>
            </w:pPr>
            <w:r w:rsidRPr="00715C4F">
              <w:rPr>
                <w:rFonts w:ascii="Arial" w:hAnsi="Arial" w:cs="Arial"/>
              </w:rPr>
              <w:t>25(OH)D</w:t>
            </w:r>
          </w:p>
        </w:tc>
        <w:tc>
          <w:tcPr>
            <w:tcW w:w="6321" w:type="dxa"/>
          </w:tcPr>
          <w:p w14:paraId="5C02D013" w14:textId="77777777" w:rsidR="00711251" w:rsidRPr="00715C4F" w:rsidRDefault="00711251" w:rsidP="00715C4F">
            <w:pPr>
              <w:spacing w:line="360" w:lineRule="auto"/>
              <w:jc w:val="both"/>
              <w:rPr>
                <w:rFonts w:ascii="Arial" w:hAnsi="Arial" w:cs="Arial"/>
              </w:rPr>
            </w:pPr>
            <w:r w:rsidRPr="00715C4F">
              <w:rPr>
                <w:rFonts w:ascii="Arial" w:hAnsi="Arial" w:cs="Arial"/>
              </w:rPr>
              <w:t>25-Hydroxyvitamin D</w:t>
            </w:r>
          </w:p>
        </w:tc>
      </w:tr>
      <w:tr w:rsidR="00711251" w:rsidRPr="00715C4F" w14:paraId="5C4654A1" w14:textId="77777777" w:rsidTr="00EF2CEE">
        <w:tc>
          <w:tcPr>
            <w:tcW w:w="1975" w:type="dxa"/>
          </w:tcPr>
          <w:p w14:paraId="4795331B" w14:textId="77777777" w:rsidR="00711251" w:rsidRPr="00715C4F" w:rsidRDefault="00711251" w:rsidP="00715C4F">
            <w:pPr>
              <w:spacing w:line="360" w:lineRule="auto"/>
              <w:jc w:val="both"/>
              <w:rPr>
                <w:rFonts w:ascii="Arial" w:hAnsi="Arial" w:cs="Arial"/>
              </w:rPr>
            </w:pPr>
            <w:r w:rsidRPr="00715C4F">
              <w:rPr>
                <w:rFonts w:ascii="Arial" w:hAnsi="Arial" w:cs="Arial"/>
              </w:rPr>
              <w:t>AMED</w:t>
            </w:r>
          </w:p>
        </w:tc>
        <w:tc>
          <w:tcPr>
            <w:tcW w:w="6321" w:type="dxa"/>
          </w:tcPr>
          <w:p w14:paraId="41D67B55" w14:textId="77777777" w:rsidR="00711251" w:rsidRPr="00715C4F" w:rsidRDefault="00711251" w:rsidP="00715C4F">
            <w:pPr>
              <w:spacing w:line="360" w:lineRule="auto"/>
              <w:jc w:val="both"/>
              <w:rPr>
                <w:rFonts w:ascii="Arial" w:hAnsi="Arial" w:cs="Arial"/>
              </w:rPr>
            </w:pPr>
            <w:r w:rsidRPr="00715C4F">
              <w:rPr>
                <w:rFonts w:ascii="Arial" w:hAnsi="Arial" w:cs="Arial"/>
              </w:rPr>
              <w:t>Allied and Complementary Medicine Database</w:t>
            </w:r>
          </w:p>
        </w:tc>
      </w:tr>
      <w:tr w:rsidR="00711251" w:rsidRPr="00715C4F" w14:paraId="30FEB08C" w14:textId="77777777" w:rsidTr="00EF2CEE">
        <w:tc>
          <w:tcPr>
            <w:tcW w:w="1975" w:type="dxa"/>
          </w:tcPr>
          <w:p w14:paraId="11297BC8" w14:textId="77777777" w:rsidR="00711251" w:rsidRPr="00715C4F" w:rsidRDefault="00711251" w:rsidP="00715C4F">
            <w:pPr>
              <w:spacing w:line="360" w:lineRule="auto"/>
              <w:jc w:val="both"/>
              <w:rPr>
                <w:rFonts w:ascii="Arial" w:hAnsi="Arial" w:cs="Arial"/>
              </w:rPr>
            </w:pPr>
            <w:r w:rsidRPr="00715C4F">
              <w:rPr>
                <w:rFonts w:ascii="Arial" w:hAnsi="Arial" w:cs="Arial"/>
              </w:rPr>
              <w:t>BMI</w:t>
            </w:r>
          </w:p>
        </w:tc>
        <w:tc>
          <w:tcPr>
            <w:tcW w:w="6321" w:type="dxa"/>
          </w:tcPr>
          <w:p w14:paraId="7F7E7295" w14:textId="77777777" w:rsidR="00711251" w:rsidRPr="00715C4F" w:rsidRDefault="00711251" w:rsidP="00715C4F">
            <w:pPr>
              <w:spacing w:line="360" w:lineRule="auto"/>
              <w:jc w:val="both"/>
              <w:rPr>
                <w:rFonts w:ascii="Arial" w:hAnsi="Arial" w:cs="Arial"/>
              </w:rPr>
            </w:pPr>
            <w:r w:rsidRPr="00715C4F">
              <w:rPr>
                <w:rFonts w:ascii="Arial" w:hAnsi="Arial" w:cs="Arial"/>
              </w:rPr>
              <w:t>Body Mass Index</w:t>
            </w:r>
          </w:p>
        </w:tc>
      </w:tr>
      <w:tr w:rsidR="00711251" w:rsidRPr="00715C4F" w14:paraId="3B551FD8" w14:textId="77777777" w:rsidTr="00EF2CEE">
        <w:tc>
          <w:tcPr>
            <w:tcW w:w="1975" w:type="dxa"/>
          </w:tcPr>
          <w:p w14:paraId="35C7AC6C" w14:textId="77777777" w:rsidR="00711251" w:rsidRPr="00715C4F" w:rsidRDefault="00711251" w:rsidP="00715C4F">
            <w:pPr>
              <w:spacing w:line="360" w:lineRule="auto"/>
              <w:jc w:val="both"/>
              <w:rPr>
                <w:rFonts w:ascii="Arial" w:hAnsi="Arial" w:cs="Arial"/>
              </w:rPr>
            </w:pPr>
            <w:r w:rsidRPr="00715C4F">
              <w:rPr>
                <w:rFonts w:ascii="Arial" w:hAnsi="Arial" w:cs="Arial"/>
              </w:rPr>
              <w:t>CASP</w:t>
            </w:r>
          </w:p>
        </w:tc>
        <w:tc>
          <w:tcPr>
            <w:tcW w:w="6321" w:type="dxa"/>
          </w:tcPr>
          <w:p w14:paraId="482E829A" w14:textId="77777777" w:rsidR="00711251" w:rsidRPr="00715C4F" w:rsidRDefault="00711251" w:rsidP="00715C4F">
            <w:pPr>
              <w:spacing w:line="360" w:lineRule="auto"/>
              <w:jc w:val="both"/>
              <w:rPr>
                <w:rFonts w:ascii="Arial" w:hAnsi="Arial" w:cs="Arial"/>
              </w:rPr>
            </w:pPr>
            <w:r w:rsidRPr="00715C4F">
              <w:rPr>
                <w:rFonts w:ascii="Arial" w:hAnsi="Arial" w:cs="Arial"/>
              </w:rPr>
              <w:t>Critical Appraisal Skills Programme</w:t>
            </w:r>
          </w:p>
        </w:tc>
      </w:tr>
      <w:tr w:rsidR="00711251" w:rsidRPr="00715C4F" w14:paraId="5EFDD508" w14:textId="77777777" w:rsidTr="00EF2CEE">
        <w:tc>
          <w:tcPr>
            <w:tcW w:w="1975" w:type="dxa"/>
          </w:tcPr>
          <w:p w14:paraId="4BB36966" w14:textId="77777777" w:rsidR="00711251" w:rsidRPr="00715C4F" w:rsidRDefault="00711251" w:rsidP="00715C4F">
            <w:pPr>
              <w:spacing w:line="360" w:lineRule="auto"/>
              <w:jc w:val="both"/>
              <w:rPr>
                <w:rFonts w:ascii="Arial" w:hAnsi="Arial" w:cs="Arial"/>
              </w:rPr>
            </w:pPr>
            <w:r w:rsidRPr="00715C4F">
              <w:rPr>
                <w:rFonts w:ascii="Arial" w:hAnsi="Arial" w:cs="Arial"/>
              </w:rPr>
              <w:t>CI</w:t>
            </w:r>
          </w:p>
        </w:tc>
        <w:tc>
          <w:tcPr>
            <w:tcW w:w="6321" w:type="dxa"/>
          </w:tcPr>
          <w:p w14:paraId="3CDF5648" w14:textId="77777777" w:rsidR="00711251" w:rsidRPr="00715C4F" w:rsidRDefault="00711251" w:rsidP="00715C4F">
            <w:pPr>
              <w:spacing w:line="360" w:lineRule="auto"/>
              <w:jc w:val="both"/>
              <w:rPr>
                <w:rFonts w:ascii="Arial" w:hAnsi="Arial" w:cs="Arial"/>
              </w:rPr>
            </w:pPr>
            <w:r w:rsidRPr="00715C4F">
              <w:rPr>
                <w:rFonts w:ascii="Arial" w:hAnsi="Arial" w:cs="Arial"/>
              </w:rPr>
              <w:t>Confidence Interval</w:t>
            </w:r>
          </w:p>
        </w:tc>
      </w:tr>
      <w:tr w:rsidR="00711251" w:rsidRPr="00715C4F" w14:paraId="084CAA81" w14:textId="77777777" w:rsidTr="00EF2CEE">
        <w:tc>
          <w:tcPr>
            <w:tcW w:w="1975" w:type="dxa"/>
          </w:tcPr>
          <w:p w14:paraId="4AE27BAE" w14:textId="77777777" w:rsidR="00711251" w:rsidRPr="00715C4F" w:rsidRDefault="00711251" w:rsidP="00715C4F">
            <w:pPr>
              <w:spacing w:line="360" w:lineRule="auto"/>
              <w:jc w:val="both"/>
              <w:rPr>
                <w:rFonts w:ascii="Arial" w:hAnsi="Arial" w:cs="Arial"/>
              </w:rPr>
            </w:pPr>
            <w:r w:rsidRPr="00715C4F">
              <w:rPr>
                <w:rFonts w:ascii="Arial" w:hAnsi="Arial" w:cs="Arial"/>
              </w:rPr>
              <w:t>CINAHL</w:t>
            </w:r>
          </w:p>
        </w:tc>
        <w:tc>
          <w:tcPr>
            <w:tcW w:w="6321" w:type="dxa"/>
          </w:tcPr>
          <w:p w14:paraId="6DAFB200" w14:textId="77777777" w:rsidR="00711251" w:rsidRPr="00715C4F" w:rsidRDefault="00711251" w:rsidP="00715C4F">
            <w:pPr>
              <w:spacing w:line="360" w:lineRule="auto"/>
              <w:jc w:val="both"/>
              <w:rPr>
                <w:rFonts w:ascii="Arial" w:hAnsi="Arial" w:cs="Arial"/>
              </w:rPr>
            </w:pPr>
            <w:r w:rsidRPr="00715C4F">
              <w:rPr>
                <w:rFonts w:ascii="Arial" w:hAnsi="Arial" w:cs="Arial"/>
              </w:rPr>
              <w:t>Cumulative Index to Nursing and Allied Health Literature</w:t>
            </w:r>
          </w:p>
        </w:tc>
      </w:tr>
      <w:tr w:rsidR="00711251" w:rsidRPr="00715C4F" w14:paraId="18F8D952" w14:textId="77777777" w:rsidTr="00EF2CEE">
        <w:tc>
          <w:tcPr>
            <w:tcW w:w="1975" w:type="dxa"/>
          </w:tcPr>
          <w:p w14:paraId="0035DE20" w14:textId="77777777" w:rsidR="00711251" w:rsidRPr="00715C4F" w:rsidRDefault="00711251" w:rsidP="00715C4F">
            <w:pPr>
              <w:spacing w:line="360" w:lineRule="auto"/>
              <w:jc w:val="both"/>
              <w:rPr>
                <w:rFonts w:ascii="Arial" w:hAnsi="Arial" w:cs="Arial"/>
              </w:rPr>
            </w:pPr>
            <w:r w:rsidRPr="00715C4F">
              <w:rPr>
                <w:rFonts w:ascii="Arial" w:hAnsi="Arial" w:cs="Arial"/>
              </w:rPr>
              <w:t>DBS</w:t>
            </w:r>
          </w:p>
        </w:tc>
        <w:tc>
          <w:tcPr>
            <w:tcW w:w="6321" w:type="dxa"/>
          </w:tcPr>
          <w:p w14:paraId="2D971B23" w14:textId="77777777" w:rsidR="00711251" w:rsidRPr="00715C4F" w:rsidRDefault="00711251" w:rsidP="00715C4F">
            <w:pPr>
              <w:spacing w:line="360" w:lineRule="auto"/>
              <w:jc w:val="both"/>
              <w:rPr>
                <w:rFonts w:ascii="Arial" w:hAnsi="Arial" w:cs="Arial"/>
              </w:rPr>
            </w:pPr>
            <w:r w:rsidRPr="00715C4F">
              <w:rPr>
                <w:rFonts w:ascii="Arial" w:hAnsi="Arial" w:cs="Arial"/>
              </w:rPr>
              <w:t>Dried Blood Spot</w:t>
            </w:r>
          </w:p>
        </w:tc>
      </w:tr>
      <w:tr w:rsidR="00711251" w:rsidRPr="00715C4F" w14:paraId="0C2695DC" w14:textId="77777777" w:rsidTr="00EF2CEE">
        <w:tc>
          <w:tcPr>
            <w:tcW w:w="1975" w:type="dxa"/>
          </w:tcPr>
          <w:p w14:paraId="1DB5EB38" w14:textId="77777777" w:rsidR="00711251" w:rsidRPr="00715C4F" w:rsidRDefault="00711251" w:rsidP="00715C4F">
            <w:pPr>
              <w:spacing w:line="360" w:lineRule="auto"/>
              <w:jc w:val="both"/>
              <w:rPr>
                <w:rFonts w:ascii="Arial" w:hAnsi="Arial" w:cs="Arial"/>
              </w:rPr>
            </w:pPr>
            <w:r w:rsidRPr="00715C4F">
              <w:rPr>
                <w:rFonts w:ascii="Arial" w:hAnsi="Arial" w:cs="Arial"/>
              </w:rPr>
              <w:t>DOI</w:t>
            </w:r>
          </w:p>
        </w:tc>
        <w:tc>
          <w:tcPr>
            <w:tcW w:w="6321" w:type="dxa"/>
          </w:tcPr>
          <w:p w14:paraId="670D814F" w14:textId="77777777" w:rsidR="00711251" w:rsidRPr="00715C4F" w:rsidRDefault="00711251" w:rsidP="00715C4F">
            <w:pPr>
              <w:spacing w:line="360" w:lineRule="auto"/>
              <w:jc w:val="both"/>
              <w:rPr>
                <w:rFonts w:ascii="Arial" w:hAnsi="Arial" w:cs="Arial"/>
              </w:rPr>
            </w:pPr>
            <w:r w:rsidRPr="00715C4F">
              <w:rPr>
                <w:rFonts w:ascii="Arial" w:hAnsi="Arial" w:cs="Arial"/>
              </w:rPr>
              <w:t>Digital Object Identifier</w:t>
            </w:r>
          </w:p>
        </w:tc>
      </w:tr>
      <w:tr w:rsidR="00711251" w:rsidRPr="00715C4F" w14:paraId="405695CE" w14:textId="77777777" w:rsidTr="00EF2CEE">
        <w:tc>
          <w:tcPr>
            <w:tcW w:w="1975" w:type="dxa"/>
          </w:tcPr>
          <w:p w14:paraId="3F4FCA73" w14:textId="77777777" w:rsidR="00711251" w:rsidRPr="00715C4F" w:rsidRDefault="00711251" w:rsidP="00715C4F">
            <w:pPr>
              <w:spacing w:line="360" w:lineRule="auto"/>
              <w:jc w:val="both"/>
              <w:rPr>
                <w:rFonts w:ascii="Arial" w:hAnsi="Arial" w:cs="Arial"/>
              </w:rPr>
            </w:pPr>
            <w:proofErr w:type="spellStart"/>
            <w:r w:rsidRPr="00715C4F">
              <w:rPr>
                <w:rFonts w:ascii="Arial" w:hAnsi="Arial" w:cs="Arial"/>
              </w:rPr>
              <w:t>Embase</w:t>
            </w:r>
            <w:proofErr w:type="spellEnd"/>
          </w:p>
        </w:tc>
        <w:tc>
          <w:tcPr>
            <w:tcW w:w="6321" w:type="dxa"/>
          </w:tcPr>
          <w:p w14:paraId="73167A16" w14:textId="77777777" w:rsidR="00711251" w:rsidRPr="00715C4F" w:rsidRDefault="00711251" w:rsidP="00715C4F">
            <w:pPr>
              <w:spacing w:line="360" w:lineRule="auto"/>
              <w:jc w:val="both"/>
              <w:rPr>
                <w:rFonts w:ascii="Arial" w:hAnsi="Arial" w:cs="Arial"/>
              </w:rPr>
            </w:pPr>
            <w:proofErr w:type="spellStart"/>
            <w:r w:rsidRPr="00715C4F">
              <w:rPr>
                <w:rFonts w:ascii="Arial" w:hAnsi="Arial" w:cs="Arial"/>
              </w:rPr>
              <w:t>Excerpta</w:t>
            </w:r>
            <w:proofErr w:type="spellEnd"/>
            <w:r w:rsidRPr="00715C4F">
              <w:rPr>
                <w:rFonts w:ascii="Arial" w:hAnsi="Arial" w:cs="Arial"/>
              </w:rPr>
              <w:t xml:space="preserve"> </w:t>
            </w:r>
            <w:proofErr w:type="spellStart"/>
            <w:r w:rsidRPr="00715C4F">
              <w:rPr>
                <w:rFonts w:ascii="Arial" w:hAnsi="Arial" w:cs="Arial"/>
              </w:rPr>
              <w:t>Medica</w:t>
            </w:r>
            <w:proofErr w:type="spellEnd"/>
            <w:r w:rsidRPr="00715C4F">
              <w:rPr>
                <w:rFonts w:ascii="Arial" w:hAnsi="Arial" w:cs="Arial"/>
              </w:rPr>
              <w:t xml:space="preserve"> Database</w:t>
            </w:r>
          </w:p>
        </w:tc>
      </w:tr>
      <w:tr w:rsidR="00711251" w:rsidRPr="00715C4F" w14:paraId="7B8EB5C1" w14:textId="77777777" w:rsidTr="00EF2CEE">
        <w:tc>
          <w:tcPr>
            <w:tcW w:w="1975" w:type="dxa"/>
          </w:tcPr>
          <w:p w14:paraId="54BDC465" w14:textId="77777777" w:rsidR="00711251" w:rsidRPr="00715C4F" w:rsidRDefault="00711251" w:rsidP="00715C4F">
            <w:pPr>
              <w:spacing w:line="360" w:lineRule="auto"/>
              <w:jc w:val="both"/>
              <w:rPr>
                <w:rFonts w:ascii="Arial" w:hAnsi="Arial" w:cs="Arial"/>
              </w:rPr>
            </w:pPr>
            <w:r w:rsidRPr="00715C4F">
              <w:rPr>
                <w:rFonts w:ascii="Arial" w:hAnsi="Arial" w:cs="Arial"/>
              </w:rPr>
              <w:t>HCPs</w:t>
            </w:r>
          </w:p>
        </w:tc>
        <w:tc>
          <w:tcPr>
            <w:tcW w:w="6321" w:type="dxa"/>
          </w:tcPr>
          <w:p w14:paraId="0F243840" w14:textId="77777777" w:rsidR="00711251" w:rsidRPr="00715C4F" w:rsidRDefault="00711251" w:rsidP="00715C4F">
            <w:pPr>
              <w:spacing w:line="360" w:lineRule="auto"/>
              <w:jc w:val="both"/>
              <w:rPr>
                <w:rFonts w:ascii="Arial" w:hAnsi="Arial" w:cs="Arial"/>
              </w:rPr>
            </w:pPr>
            <w:r w:rsidRPr="00715C4F">
              <w:rPr>
                <w:rFonts w:ascii="Arial" w:hAnsi="Arial" w:cs="Arial"/>
              </w:rPr>
              <w:t>Healthcare Professionals</w:t>
            </w:r>
          </w:p>
        </w:tc>
      </w:tr>
      <w:tr w:rsidR="00711251" w:rsidRPr="00715C4F" w14:paraId="4C1D4CBC" w14:textId="77777777" w:rsidTr="00EF2CEE">
        <w:tc>
          <w:tcPr>
            <w:tcW w:w="1975" w:type="dxa"/>
          </w:tcPr>
          <w:p w14:paraId="2CDFAA65" w14:textId="77777777" w:rsidR="00711251" w:rsidRPr="00715C4F" w:rsidRDefault="00711251" w:rsidP="00715C4F">
            <w:pPr>
              <w:spacing w:line="360" w:lineRule="auto"/>
              <w:jc w:val="both"/>
              <w:rPr>
                <w:rFonts w:ascii="Arial" w:hAnsi="Arial" w:cs="Arial"/>
              </w:rPr>
            </w:pPr>
            <w:r w:rsidRPr="00715C4F">
              <w:rPr>
                <w:rFonts w:ascii="Arial" w:hAnsi="Arial" w:cs="Arial"/>
              </w:rPr>
              <w:t>HR</w:t>
            </w:r>
          </w:p>
        </w:tc>
        <w:tc>
          <w:tcPr>
            <w:tcW w:w="6321" w:type="dxa"/>
          </w:tcPr>
          <w:p w14:paraId="1B98B325" w14:textId="77777777" w:rsidR="00711251" w:rsidRPr="00715C4F" w:rsidRDefault="00711251" w:rsidP="00715C4F">
            <w:pPr>
              <w:spacing w:line="360" w:lineRule="auto"/>
              <w:jc w:val="both"/>
              <w:rPr>
                <w:rFonts w:ascii="Arial" w:hAnsi="Arial" w:cs="Arial"/>
              </w:rPr>
            </w:pPr>
            <w:r w:rsidRPr="00715C4F">
              <w:rPr>
                <w:rFonts w:ascii="Arial" w:hAnsi="Arial" w:cs="Arial"/>
              </w:rPr>
              <w:t>Hazard Ratio</w:t>
            </w:r>
          </w:p>
        </w:tc>
      </w:tr>
      <w:tr w:rsidR="00711251" w:rsidRPr="00715C4F" w14:paraId="0230B3A5" w14:textId="77777777" w:rsidTr="00EF2CEE">
        <w:tc>
          <w:tcPr>
            <w:tcW w:w="1975" w:type="dxa"/>
          </w:tcPr>
          <w:p w14:paraId="1B15AE47" w14:textId="77777777" w:rsidR="00711251" w:rsidRPr="00715C4F" w:rsidRDefault="00711251" w:rsidP="00715C4F">
            <w:pPr>
              <w:spacing w:line="360" w:lineRule="auto"/>
              <w:jc w:val="both"/>
              <w:rPr>
                <w:rFonts w:ascii="Arial" w:hAnsi="Arial" w:cs="Arial"/>
              </w:rPr>
            </w:pPr>
            <w:r w:rsidRPr="00715C4F">
              <w:rPr>
                <w:rFonts w:ascii="Arial" w:hAnsi="Arial" w:cs="Arial"/>
              </w:rPr>
              <w:t>IMD</w:t>
            </w:r>
          </w:p>
        </w:tc>
        <w:tc>
          <w:tcPr>
            <w:tcW w:w="6321" w:type="dxa"/>
          </w:tcPr>
          <w:p w14:paraId="29CB9570" w14:textId="77777777" w:rsidR="00711251" w:rsidRPr="00715C4F" w:rsidRDefault="00711251" w:rsidP="00715C4F">
            <w:pPr>
              <w:spacing w:line="360" w:lineRule="auto"/>
              <w:jc w:val="both"/>
              <w:rPr>
                <w:rFonts w:ascii="Arial" w:hAnsi="Arial" w:cs="Arial"/>
              </w:rPr>
            </w:pPr>
            <w:r w:rsidRPr="00715C4F">
              <w:rPr>
                <w:rFonts w:ascii="Arial" w:hAnsi="Arial" w:cs="Arial"/>
              </w:rPr>
              <w:t>Index of Multiple Deprivation</w:t>
            </w:r>
          </w:p>
        </w:tc>
      </w:tr>
      <w:tr w:rsidR="00711251" w:rsidRPr="00715C4F" w14:paraId="3AF53141" w14:textId="77777777" w:rsidTr="00EF2CEE">
        <w:tc>
          <w:tcPr>
            <w:tcW w:w="1975" w:type="dxa"/>
          </w:tcPr>
          <w:p w14:paraId="21687F22" w14:textId="77777777" w:rsidR="00711251" w:rsidRPr="00715C4F" w:rsidRDefault="00711251" w:rsidP="00715C4F">
            <w:pPr>
              <w:spacing w:line="360" w:lineRule="auto"/>
              <w:jc w:val="both"/>
              <w:rPr>
                <w:rFonts w:ascii="Arial" w:hAnsi="Arial" w:cs="Arial"/>
              </w:rPr>
            </w:pPr>
            <w:r w:rsidRPr="00715C4F">
              <w:rPr>
                <w:rFonts w:ascii="Arial" w:hAnsi="Arial" w:cs="Arial"/>
              </w:rPr>
              <w:t>IU</w:t>
            </w:r>
          </w:p>
        </w:tc>
        <w:tc>
          <w:tcPr>
            <w:tcW w:w="6321" w:type="dxa"/>
          </w:tcPr>
          <w:p w14:paraId="40E20C0D" w14:textId="77777777" w:rsidR="00711251" w:rsidRPr="00715C4F" w:rsidRDefault="00711251" w:rsidP="00715C4F">
            <w:pPr>
              <w:spacing w:line="360" w:lineRule="auto"/>
              <w:jc w:val="both"/>
              <w:rPr>
                <w:rFonts w:ascii="Arial" w:hAnsi="Arial" w:cs="Arial"/>
              </w:rPr>
            </w:pPr>
            <w:r w:rsidRPr="00715C4F">
              <w:rPr>
                <w:rFonts w:ascii="Arial" w:hAnsi="Arial" w:cs="Arial"/>
              </w:rPr>
              <w:t>International Unit</w:t>
            </w:r>
          </w:p>
        </w:tc>
      </w:tr>
      <w:tr w:rsidR="00711251" w:rsidRPr="00715C4F" w14:paraId="31EBDE02" w14:textId="77777777" w:rsidTr="00EF2CEE">
        <w:tc>
          <w:tcPr>
            <w:tcW w:w="1975" w:type="dxa"/>
          </w:tcPr>
          <w:p w14:paraId="6B6F5EFB" w14:textId="77777777" w:rsidR="00711251" w:rsidRPr="00715C4F" w:rsidRDefault="00711251" w:rsidP="00715C4F">
            <w:pPr>
              <w:spacing w:line="360" w:lineRule="auto"/>
              <w:jc w:val="both"/>
              <w:rPr>
                <w:rFonts w:ascii="Arial" w:hAnsi="Arial" w:cs="Arial"/>
              </w:rPr>
            </w:pPr>
            <w:r w:rsidRPr="00715C4F">
              <w:rPr>
                <w:rFonts w:ascii="Arial" w:hAnsi="Arial" w:cs="Arial"/>
              </w:rPr>
              <w:t>JBI</w:t>
            </w:r>
          </w:p>
        </w:tc>
        <w:tc>
          <w:tcPr>
            <w:tcW w:w="6321" w:type="dxa"/>
          </w:tcPr>
          <w:p w14:paraId="2A9BB141" w14:textId="77777777" w:rsidR="00711251" w:rsidRPr="00715C4F" w:rsidRDefault="00711251" w:rsidP="00715C4F">
            <w:pPr>
              <w:spacing w:line="360" w:lineRule="auto"/>
              <w:jc w:val="both"/>
              <w:rPr>
                <w:rFonts w:ascii="Arial" w:hAnsi="Arial" w:cs="Arial"/>
              </w:rPr>
            </w:pPr>
            <w:r w:rsidRPr="00715C4F">
              <w:rPr>
                <w:rFonts w:ascii="Arial" w:hAnsi="Arial" w:cs="Arial"/>
              </w:rPr>
              <w:t>Joanna Briggs Institute</w:t>
            </w:r>
          </w:p>
        </w:tc>
      </w:tr>
      <w:tr w:rsidR="00711251" w:rsidRPr="00715C4F" w14:paraId="3A3C606E" w14:textId="77777777" w:rsidTr="00EF2CEE">
        <w:tc>
          <w:tcPr>
            <w:tcW w:w="1975" w:type="dxa"/>
          </w:tcPr>
          <w:p w14:paraId="40B0D2EF" w14:textId="77777777" w:rsidR="00711251" w:rsidRPr="00715C4F" w:rsidRDefault="00711251" w:rsidP="00715C4F">
            <w:pPr>
              <w:spacing w:line="360" w:lineRule="auto"/>
              <w:jc w:val="both"/>
              <w:rPr>
                <w:rFonts w:ascii="Arial" w:hAnsi="Arial" w:cs="Arial"/>
              </w:rPr>
            </w:pPr>
            <w:r w:rsidRPr="00715C4F">
              <w:rPr>
                <w:rFonts w:ascii="Arial" w:hAnsi="Arial" w:cs="Arial"/>
              </w:rPr>
              <w:t>MEDLINE</w:t>
            </w:r>
          </w:p>
        </w:tc>
        <w:tc>
          <w:tcPr>
            <w:tcW w:w="6321" w:type="dxa"/>
          </w:tcPr>
          <w:p w14:paraId="5A98FD5B" w14:textId="77777777" w:rsidR="00711251" w:rsidRPr="00715C4F" w:rsidRDefault="00711251" w:rsidP="00715C4F">
            <w:pPr>
              <w:spacing w:line="360" w:lineRule="auto"/>
              <w:jc w:val="both"/>
              <w:rPr>
                <w:rFonts w:ascii="Arial" w:hAnsi="Arial" w:cs="Arial"/>
              </w:rPr>
            </w:pPr>
            <w:r w:rsidRPr="00715C4F">
              <w:rPr>
                <w:rFonts w:ascii="Arial" w:hAnsi="Arial" w:cs="Arial"/>
              </w:rPr>
              <w:t>Medical Literature Analysis and Retrieval System Online</w:t>
            </w:r>
          </w:p>
        </w:tc>
      </w:tr>
      <w:tr w:rsidR="00711251" w:rsidRPr="00715C4F" w14:paraId="7CC60A49" w14:textId="77777777" w:rsidTr="00EF2CEE">
        <w:tc>
          <w:tcPr>
            <w:tcW w:w="1975" w:type="dxa"/>
          </w:tcPr>
          <w:p w14:paraId="394C23AB" w14:textId="77777777" w:rsidR="00711251" w:rsidRPr="00715C4F" w:rsidRDefault="00711251" w:rsidP="00715C4F">
            <w:pPr>
              <w:spacing w:line="360" w:lineRule="auto"/>
              <w:jc w:val="both"/>
              <w:rPr>
                <w:rFonts w:ascii="Arial" w:hAnsi="Arial" w:cs="Arial"/>
              </w:rPr>
            </w:pPr>
            <w:r w:rsidRPr="00715C4F">
              <w:rPr>
                <w:rFonts w:ascii="Arial" w:hAnsi="Arial" w:cs="Arial"/>
              </w:rPr>
              <w:t>NHS</w:t>
            </w:r>
          </w:p>
        </w:tc>
        <w:tc>
          <w:tcPr>
            <w:tcW w:w="6321" w:type="dxa"/>
          </w:tcPr>
          <w:p w14:paraId="39012A71" w14:textId="77777777" w:rsidR="00711251" w:rsidRPr="00715C4F" w:rsidRDefault="00711251" w:rsidP="00715C4F">
            <w:pPr>
              <w:spacing w:line="360" w:lineRule="auto"/>
              <w:jc w:val="both"/>
              <w:rPr>
                <w:rFonts w:ascii="Arial" w:hAnsi="Arial" w:cs="Arial"/>
              </w:rPr>
            </w:pPr>
            <w:r w:rsidRPr="00715C4F">
              <w:rPr>
                <w:rFonts w:ascii="Arial" w:hAnsi="Arial" w:cs="Arial"/>
              </w:rPr>
              <w:t>National Health Service</w:t>
            </w:r>
          </w:p>
        </w:tc>
      </w:tr>
      <w:tr w:rsidR="00711251" w:rsidRPr="00715C4F" w14:paraId="0E1CD02D" w14:textId="77777777" w:rsidTr="00EF2CEE">
        <w:tc>
          <w:tcPr>
            <w:tcW w:w="1975" w:type="dxa"/>
          </w:tcPr>
          <w:p w14:paraId="54859F89" w14:textId="77777777" w:rsidR="00711251" w:rsidRPr="00715C4F" w:rsidRDefault="00711251" w:rsidP="00715C4F">
            <w:pPr>
              <w:spacing w:line="360" w:lineRule="auto"/>
              <w:jc w:val="both"/>
              <w:rPr>
                <w:rFonts w:ascii="Arial" w:hAnsi="Arial" w:cs="Arial"/>
              </w:rPr>
            </w:pPr>
            <w:r w:rsidRPr="00715C4F">
              <w:rPr>
                <w:rFonts w:ascii="Arial" w:hAnsi="Arial" w:cs="Arial"/>
              </w:rPr>
              <w:t>NIH</w:t>
            </w:r>
          </w:p>
        </w:tc>
        <w:tc>
          <w:tcPr>
            <w:tcW w:w="6321" w:type="dxa"/>
          </w:tcPr>
          <w:p w14:paraId="25461EEA" w14:textId="77777777" w:rsidR="00711251" w:rsidRPr="00715C4F" w:rsidRDefault="00711251" w:rsidP="00715C4F">
            <w:pPr>
              <w:spacing w:line="360" w:lineRule="auto"/>
              <w:jc w:val="both"/>
              <w:rPr>
                <w:rFonts w:ascii="Arial" w:hAnsi="Arial" w:cs="Arial"/>
              </w:rPr>
            </w:pPr>
            <w:r w:rsidRPr="00715C4F">
              <w:rPr>
                <w:rFonts w:ascii="Arial" w:hAnsi="Arial" w:cs="Arial"/>
              </w:rPr>
              <w:t>National Institutes of Health</w:t>
            </w:r>
          </w:p>
        </w:tc>
      </w:tr>
      <w:tr w:rsidR="00711251" w:rsidRPr="00715C4F" w14:paraId="51130604" w14:textId="77777777" w:rsidTr="00EF2CEE">
        <w:tc>
          <w:tcPr>
            <w:tcW w:w="1975" w:type="dxa"/>
          </w:tcPr>
          <w:p w14:paraId="026B07AC" w14:textId="77777777" w:rsidR="00711251" w:rsidRPr="00715C4F" w:rsidRDefault="00711251" w:rsidP="00715C4F">
            <w:pPr>
              <w:spacing w:line="360" w:lineRule="auto"/>
              <w:jc w:val="both"/>
              <w:rPr>
                <w:rFonts w:ascii="Arial" w:hAnsi="Arial" w:cs="Arial"/>
              </w:rPr>
            </w:pPr>
            <w:r w:rsidRPr="00715C4F">
              <w:rPr>
                <w:rFonts w:ascii="Arial" w:hAnsi="Arial" w:cs="Arial"/>
              </w:rPr>
              <w:t>NICE</w:t>
            </w:r>
          </w:p>
        </w:tc>
        <w:tc>
          <w:tcPr>
            <w:tcW w:w="6321" w:type="dxa"/>
          </w:tcPr>
          <w:p w14:paraId="5F12033C" w14:textId="77777777" w:rsidR="00711251" w:rsidRPr="00715C4F" w:rsidRDefault="00711251" w:rsidP="00715C4F">
            <w:pPr>
              <w:spacing w:line="360" w:lineRule="auto"/>
              <w:jc w:val="both"/>
              <w:rPr>
                <w:rFonts w:ascii="Arial" w:hAnsi="Arial" w:cs="Arial"/>
              </w:rPr>
            </w:pPr>
            <w:r w:rsidRPr="00715C4F">
              <w:rPr>
                <w:rFonts w:ascii="Arial" w:hAnsi="Arial" w:cs="Arial"/>
              </w:rPr>
              <w:t>National Institute for Health and Care Excellence</w:t>
            </w:r>
          </w:p>
        </w:tc>
      </w:tr>
      <w:tr w:rsidR="00711251" w:rsidRPr="00715C4F" w14:paraId="4DC6F87B" w14:textId="77777777" w:rsidTr="00EF2CEE">
        <w:tc>
          <w:tcPr>
            <w:tcW w:w="1975" w:type="dxa"/>
          </w:tcPr>
          <w:p w14:paraId="61DAA38A" w14:textId="77777777" w:rsidR="00711251" w:rsidRPr="00715C4F" w:rsidRDefault="00711251" w:rsidP="00715C4F">
            <w:pPr>
              <w:spacing w:line="360" w:lineRule="auto"/>
              <w:jc w:val="both"/>
              <w:rPr>
                <w:rFonts w:ascii="Arial" w:hAnsi="Arial" w:cs="Arial"/>
              </w:rPr>
            </w:pPr>
            <w:r w:rsidRPr="00715C4F">
              <w:rPr>
                <w:rFonts w:ascii="Arial" w:hAnsi="Arial" w:cs="Arial"/>
              </w:rPr>
              <w:t>OR</w:t>
            </w:r>
          </w:p>
        </w:tc>
        <w:tc>
          <w:tcPr>
            <w:tcW w:w="6321" w:type="dxa"/>
          </w:tcPr>
          <w:p w14:paraId="1BC0C80A" w14:textId="77777777" w:rsidR="00711251" w:rsidRPr="00715C4F" w:rsidRDefault="00711251" w:rsidP="00715C4F">
            <w:pPr>
              <w:spacing w:line="360" w:lineRule="auto"/>
              <w:jc w:val="both"/>
              <w:rPr>
                <w:rFonts w:ascii="Arial" w:hAnsi="Arial" w:cs="Arial"/>
              </w:rPr>
            </w:pPr>
            <w:r w:rsidRPr="00715C4F">
              <w:rPr>
                <w:rFonts w:ascii="Arial" w:hAnsi="Arial" w:cs="Arial"/>
              </w:rPr>
              <w:t>Odds Ratio</w:t>
            </w:r>
          </w:p>
        </w:tc>
      </w:tr>
      <w:tr w:rsidR="00711251" w:rsidRPr="00715C4F" w14:paraId="2B2C32A2" w14:textId="77777777" w:rsidTr="00EF2CEE">
        <w:tc>
          <w:tcPr>
            <w:tcW w:w="1975" w:type="dxa"/>
          </w:tcPr>
          <w:p w14:paraId="65376025" w14:textId="77777777" w:rsidR="00711251" w:rsidRPr="00715C4F" w:rsidRDefault="00711251" w:rsidP="00715C4F">
            <w:pPr>
              <w:spacing w:line="360" w:lineRule="auto"/>
              <w:jc w:val="both"/>
              <w:rPr>
                <w:rFonts w:ascii="Arial" w:hAnsi="Arial" w:cs="Arial"/>
              </w:rPr>
            </w:pPr>
            <w:r w:rsidRPr="00715C4F">
              <w:rPr>
                <w:rFonts w:ascii="Arial" w:hAnsi="Arial" w:cs="Arial"/>
              </w:rPr>
              <w:t>PICO</w:t>
            </w:r>
          </w:p>
        </w:tc>
        <w:tc>
          <w:tcPr>
            <w:tcW w:w="6321" w:type="dxa"/>
          </w:tcPr>
          <w:p w14:paraId="18706700" w14:textId="77777777" w:rsidR="00711251" w:rsidRPr="00715C4F" w:rsidRDefault="00711251" w:rsidP="00715C4F">
            <w:pPr>
              <w:spacing w:line="360" w:lineRule="auto"/>
              <w:jc w:val="both"/>
              <w:rPr>
                <w:rFonts w:ascii="Arial" w:hAnsi="Arial" w:cs="Arial"/>
              </w:rPr>
            </w:pPr>
            <w:r w:rsidRPr="00715C4F">
              <w:rPr>
                <w:rFonts w:ascii="Arial" w:hAnsi="Arial" w:cs="Arial"/>
              </w:rPr>
              <w:t>Population, Intervention/Exposure, Comparison and Outcome</w:t>
            </w:r>
          </w:p>
        </w:tc>
      </w:tr>
      <w:tr w:rsidR="00711251" w:rsidRPr="00715C4F" w14:paraId="73976A86" w14:textId="77777777" w:rsidTr="00EF2CEE">
        <w:tc>
          <w:tcPr>
            <w:tcW w:w="1975" w:type="dxa"/>
          </w:tcPr>
          <w:p w14:paraId="599F3D34" w14:textId="77777777" w:rsidR="00711251" w:rsidRPr="00715C4F" w:rsidRDefault="00711251" w:rsidP="00715C4F">
            <w:pPr>
              <w:spacing w:line="360" w:lineRule="auto"/>
              <w:jc w:val="both"/>
              <w:rPr>
                <w:rFonts w:ascii="Arial" w:hAnsi="Arial" w:cs="Arial"/>
              </w:rPr>
            </w:pPr>
            <w:r w:rsidRPr="00715C4F">
              <w:rPr>
                <w:rFonts w:ascii="Arial" w:hAnsi="Arial" w:cs="Arial"/>
              </w:rPr>
              <w:t>PRISMA</w:t>
            </w:r>
          </w:p>
        </w:tc>
        <w:tc>
          <w:tcPr>
            <w:tcW w:w="6321" w:type="dxa"/>
          </w:tcPr>
          <w:p w14:paraId="4CFBD140" w14:textId="77777777" w:rsidR="00711251" w:rsidRPr="00715C4F" w:rsidRDefault="00711251" w:rsidP="00715C4F">
            <w:pPr>
              <w:spacing w:line="360" w:lineRule="auto"/>
              <w:jc w:val="both"/>
              <w:rPr>
                <w:rFonts w:ascii="Arial" w:hAnsi="Arial" w:cs="Arial"/>
              </w:rPr>
            </w:pPr>
            <w:r w:rsidRPr="00715C4F">
              <w:rPr>
                <w:rFonts w:ascii="Arial" w:hAnsi="Arial" w:cs="Arial"/>
              </w:rPr>
              <w:t>Preferred Reporting Items for Systematic Reviews and Meta-Analyses</w:t>
            </w:r>
          </w:p>
        </w:tc>
      </w:tr>
      <w:tr w:rsidR="00711251" w:rsidRPr="00715C4F" w14:paraId="1E150BB6" w14:textId="77777777" w:rsidTr="00EF2CEE">
        <w:tc>
          <w:tcPr>
            <w:tcW w:w="1975" w:type="dxa"/>
          </w:tcPr>
          <w:p w14:paraId="12DE9490" w14:textId="77777777" w:rsidR="00711251" w:rsidRPr="00715C4F" w:rsidRDefault="00711251" w:rsidP="00715C4F">
            <w:pPr>
              <w:spacing w:line="360" w:lineRule="auto"/>
              <w:jc w:val="both"/>
              <w:rPr>
                <w:rFonts w:ascii="Arial" w:hAnsi="Arial" w:cs="Arial"/>
              </w:rPr>
            </w:pPr>
            <w:r w:rsidRPr="00715C4F">
              <w:rPr>
                <w:rFonts w:ascii="Arial" w:hAnsi="Arial" w:cs="Arial"/>
              </w:rPr>
              <w:t>RCT</w:t>
            </w:r>
          </w:p>
        </w:tc>
        <w:tc>
          <w:tcPr>
            <w:tcW w:w="6321" w:type="dxa"/>
          </w:tcPr>
          <w:p w14:paraId="7FF611C7" w14:textId="77777777" w:rsidR="00711251" w:rsidRPr="00715C4F" w:rsidRDefault="00711251" w:rsidP="00715C4F">
            <w:pPr>
              <w:spacing w:line="360" w:lineRule="auto"/>
              <w:jc w:val="both"/>
              <w:rPr>
                <w:rFonts w:ascii="Arial" w:hAnsi="Arial" w:cs="Arial"/>
              </w:rPr>
            </w:pPr>
            <w:r w:rsidRPr="00715C4F">
              <w:rPr>
                <w:rFonts w:ascii="Arial" w:hAnsi="Arial" w:cs="Arial"/>
              </w:rPr>
              <w:t>Randomised Controlled Trial</w:t>
            </w:r>
          </w:p>
        </w:tc>
      </w:tr>
      <w:tr w:rsidR="00711251" w:rsidRPr="00715C4F" w14:paraId="540255E9" w14:textId="77777777" w:rsidTr="00EF2CEE">
        <w:tc>
          <w:tcPr>
            <w:tcW w:w="1975" w:type="dxa"/>
          </w:tcPr>
          <w:p w14:paraId="286F07E1" w14:textId="77777777" w:rsidR="00711251" w:rsidRPr="00715C4F" w:rsidRDefault="00711251" w:rsidP="00715C4F">
            <w:pPr>
              <w:spacing w:line="360" w:lineRule="auto"/>
              <w:jc w:val="both"/>
              <w:rPr>
                <w:rFonts w:ascii="Arial" w:hAnsi="Arial" w:cs="Arial"/>
              </w:rPr>
            </w:pPr>
            <w:r w:rsidRPr="00715C4F">
              <w:rPr>
                <w:rFonts w:ascii="Arial" w:hAnsi="Arial" w:cs="Arial"/>
              </w:rPr>
              <w:t>RNI</w:t>
            </w:r>
          </w:p>
        </w:tc>
        <w:tc>
          <w:tcPr>
            <w:tcW w:w="6321" w:type="dxa"/>
          </w:tcPr>
          <w:p w14:paraId="468E1682" w14:textId="77777777" w:rsidR="00711251" w:rsidRPr="00715C4F" w:rsidRDefault="00711251" w:rsidP="00715C4F">
            <w:pPr>
              <w:spacing w:line="360" w:lineRule="auto"/>
              <w:jc w:val="both"/>
              <w:rPr>
                <w:rFonts w:ascii="Arial" w:hAnsi="Arial" w:cs="Arial"/>
              </w:rPr>
            </w:pPr>
            <w:r w:rsidRPr="00715C4F">
              <w:rPr>
                <w:rFonts w:ascii="Arial" w:hAnsi="Arial" w:cs="Arial"/>
              </w:rPr>
              <w:t>Reference Nutrient Intake</w:t>
            </w:r>
          </w:p>
        </w:tc>
      </w:tr>
      <w:tr w:rsidR="00711251" w:rsidRPr="00715C4F" w14:paraId="0B750AB7" w14:textId="77777777" w:rsidTr="00EF2CEE">
        <w:tc>
          <w:tcPr>
            <w:tcW w:w="1975" w:type="dxa"/>
          </w:tcPr>
          <w:p w14:paraId="78A6BFEE" w14:textId="77777777" w:rsidR="00711251" w:rsidRPr="00715C4F" w:rsidRDefault="00711251" w:rsidP="00715C4F">
            <w:pPr>
              <w:spacing w:line="360" w:lineRule="auto"/>
              <w:jc w:val="both"/>
              <w:rPr>
                <w:rFonts w:ascii="Arial" w:hAnsi="Arial" w:cs="Arial"/>
              </w:rPr>
            </w:pPr>
            <w:r w:rsidRPr="00715C4F">
              <w:rPr>
                <w:rFonts w:ascii="Arial" w:hAnsi="Arial" w:cs="Arial"/>
              </w:rPr>
              <w:t>RR</w:t>
            </w:r>
          </w:p>
        </w:tc>
        <w:tc>
          <w:tcPr>
            <w:tcW w:w="6321" w:type="dxa"/>
          </w:tcPr>
          <w:p w14:paraId="301E0A11" w14:textId="77777777" w:rsidR="00711251" w:rsidRPr="00715C4F" w:rsidRDefault="00711251" w:rsidP="00715C4F">
            <w:pPr>
              <w:spacing w:line="360" w:lineRule="auto"/>
              <w:jc w:val="both"/>
              <w:rPr>
                <w:rFonts w:ascii="Arial" w:hAnsi="Arial" w:cs="Arial"/>
              </w:rPr>
            </w:pPr>
            <w:r w:rsidRPr="00715C4F">
              <w:rPr>
                <w:rFonts w:ascii="Arial" w:hAnsi="Arial" w:cs="Arial"/>
              </w:rPr>
              <w:t>Relative Risk</w:t>
            </w:r>
          </w:p>
        </w:tc>
      </w:tr>
      <w:tr w:rsidR="00711251" w:rsidRPr="00715C4F" w14:paraId="3FC0CAFA" w14:textId="77777777" w:rsidTr="00EF2CEE">
        <w:tc>
          <w:tcPr>
            <w:tcW w:w="1975" w:type="dxa"/>
          </w:tcPr>
          <w:p w14:paraId="2428CE79" w14:textId="77777777" w:rsidR="00711251" w:rsidRPr="00715C4F" w:rsidRDefault="00711251" w:rsidP="00715C4F">
            <w:pPr>
              <w:spacing w:line="360" w:lineRule="auto"/>
              <w:jc w:val="both"/>
              <w:rPr>
                <w:rFonts w:ascii="Arial" w:hAnsi="Arial" w:cs="Arial"/>
              </w:rPr>
            </w:pPr>
            <w:r w:rsidRPr="00715C4F">
              <w:rPr>
                <w:rFonts w:ascii="Arial" w:hAnsi="Arial" w:cs="Arial"/>
              </w:rPr>
              <w:t>SACN</w:t>
            </w:r>
          </w:p>
        </w:tc>
        <w:tc>
          <w:tcPr>
            <w:tcW w:w="6321" w:type="dxa"/>
          </w:tcPr>
          <w:p w14:paraId="4C85B014" w14:textId="77777777" w:rsidR="00711251" w:rsidRPr="00715C4F" w:rsidRDefault="00711251" w:rsidP="00715C4F">
            <w:pPr>
              <w:spacing w:line="360" w:lineRule="auto"/>
              <w:jc w:val="both"/>
              <w:rPr>
                <w:rFonts w:ascii="Arial" w:hAnsi="Arial" w:cs="Arial"/>
              </w:rPr>
            </w:pPr>
            <w:r w:rsidRPr="00715C4F">
              <w:rPr>
                <w:rFonts w:ascii="Arial" w:hAnsi="Arial" w:cs="Arial"/>
              </w:rPr>
              <w:t>Scientific Advisory Committee on Nutrition</w:t>
            </w:r>
          </w:p>
        </w:tc>
      </w:tr>
      <w:tr w:rsidR="00711251" w:rsidRPr="00715C4F" w14:paraId="09C31633" w14:textId="77777777" w:rsidTr="00EF2CEE">
        <w:tc>
          <w:tcPr>
            <w:tcW w:w="1975" w:type="dxa"/>
          </w:tcPr>
          <w:p w14:paraId="6237BF3F" w14:textId="77777777" w:rsidR="00711251" w:rsidRPr="00715C4F" w:rsidRDefault="00711251" w:rsidP="00715C4F">
            <w:pPr>
              <w:spacing w:line="360" w:lineRule="auto"/>
              <w:jc w:val="both"/>
              <w:rPr>
                <w:rFonts w:ascii="Arial" w:hAnsi="Arial" w:cs="Arial"/>
              </w:rPr>
            </w:pPr>
            <w:r w:rsidRPr="00715C4F">
              <w:rPr>
                <w:rFonts w:ascii="Arial" w:hAnsi="Arial" w:cs="Arial"/>
              </w:rPr>
              <w:t>SD</w:t>
            </w:r>
          </w:p>
        </w:tc>
        <w:tc>
          <w:tcPr>
            <w:tcW w:w="6321" w:type="dxa"/>
          </w:tcPr>
          <w:p w14:paraId="0FB0B958" w14:textId="77777777" w:rsidR="00711251" w:rsidRPr="00715C4F" w:rsidRDefault="00711251" w:rsidP="00715C4F">
            <w:pPr>
              <w:spacing w:line="360" w:lineRule="auto"/>
              <w:jc w:val="both"/>
              <w:rPr>
                <w:rFonts w:ascii="Arial" w:hAnsi="Arial" w:cs="Arial"/>
              </w:rPr>
            </w:pPr>
            <w:r w:rsidRPr="00715C4F">
              <w:rPr>
                <w:rFonts w:ascii="Arial" w:hAnsi="Arial" w:cs="Arial"/>
              </w:rPr>
              <w:t>Standard Deviation</w:t>
            </w:r>
          </w:p>
        </w:tc>
      </w:tr>
      <w:tr w:rsidR="00711251" w:rsidRPr="00715C4F" w14:paraId="0D1A5FBF" w14:textId="77777777" w:rsidTr="00EF2CEE">
        <w:tc>
          <w:tcPr>
            <w:tcW w:w="1975" w:type="dxa"/>
          </w:tcPr>
          <w:p w14:paraId="1C3762F8" w14:textId="77777777" w:rsidR="00711251" w:rsidRPr="00715C4F" w:rsidRDefault="00711251" w:rsidP="00715C4F">
            <w:pPr>
              <w:spacing w:line="360" w:lineRule="auto"/>
              <w:jc w:val="both"/>
              <w:rPr>
                <w:rFonts w:ascii="Arial" w:hAnsi="Arial" w:cs="Arial"/>
              </w:rPr>
            </w:pPr>
            <w:r w:rsidRPr="00715C4F">
              <w:rPr>
                <w:rFonts w:ascii="Arial" w:hAnsi="Arial" w:cs="Arial"/>
              </w:rPr>
              <w:t>SLR</w:t>
            </w:r>
          </w:p>
        </w:tc>
        <w:tc>
          <w:tcPr>
            <w:tcW w:w="6321" w:type="dxa"/>
          </w:tcPr>
          <w:p w14:paraId="13DC7FAA" w14:textId="77777777" w:rsidR="00711251" w:rsidRPr="00715C4F" w:rsidRDefault="00711251" w:rsidP="00715C4F">
            <w:pPr>
              <w:spacing w:line="360" w:lineRule="auto"/>
              <w:jc w:val="both"/>
              <w:rPr>
                <w:rFonts w:ascii="Arial" w:hAnsi="Arial" w:cs="Arial"/>
              </w:rPr>
            </w:pPr>
            <w:r w:rsidRPr="00715C4F">
              <w:rPr>
                <w:rFonts w:ascii="Arial" w:hAnsi="Arial" w:cs="Arial"/>
              </w:rPr>
              <w:t>Systematic Literature Review</w:t>
            </w:r>
          </w:p>
        </w:tc>
      </w:tr>
      <w:tr w:rsidR="00711251" w:rsidRPr="00715C4F" w14:paraId="428886BF" w14:textId="77777777" w:rsidTr="00EF2CEE">
        <w:tc>
          <w:tcPr>
            <w:tcW w:w="1975" w:type="dxa"/>
          </w:tcPr>
          <w:p w14:paraId="47D7E4B3" w14:textId="77777777" w:rsidR="00711251" w:rsidRPr="00715C4F" w:rsidRDefault="00711251" w:rsidP="00715C4F">
            <w:pPr>
              <w:spacing w:line="360" w:lineRule="auto"/>
              <w:jc w:val="both"/>
              <w:rPr>
                <w:rFonts w:ascii="Arial" w:hAnsi="Arial" w:cs="Arial"/>
              </w:rPr>
            </w:pPr>
            <w:r w:rsidRPr="00715C4F">
              <w:rPr>
                <w:rFonts w:ascii="Arial" w:hAnsi="Arial" w:cs="Arial"/>
              </w:rPr>
              <w:t>UVB</w:t>
            </w:r>
          </w:p>
        </w:tc>
        <w:tc>
          <w:tcPr>
            <w:tcW w:w="6321" w:type="dxa"/>
          </w:tcPr>
          <w:p w14:paraId="406D775A" w14:textId="77777777" w:rsidR="00711251" w:rsidRPr="00715C4F" w:rsidRDefault="00711251" w:rsidP="00715C4F">
            <w:pPr>
              <w:spacing w:line="360" w:lineRule="auto"/>
              <w:jc w:val="both"/>
              <w:rPr>
                <w:rFonts w:ascii="Arial" w:hAnsi="Arial" w:cs="Arial"/>
              </w:rPr>
            </w:pPr>
            <w:r w:rsidRPr="00715C4F">
              <w:rPr>
                <w:rFonts w:ascii="Arial" w:hAnsi="Arial" w:cs="Arial"/>
              </w:rPr>
              <w:t>Ultraviolet B</w:t>
            </w:r>
          </w:p>
        </w:tc>
      </w:tr>
      <w:tr w:rsidR="00711251" w:rsidRPr="00715C4F" w14:paraId="5988FE14" w14:textId="77777777" w:rsidTr="00EF2CEE">
        <w:tc>
          <w:tcPr>
            <w:tcW w:w="1975" w:type="dxa"/>
          </w:tcPr>
          <w:p w14:paraId="0AA61911" w14:textId="77777777" w:rsidR="00711251" w:rsidRPr="00715C4F" w:rsidRDefault="00711251" w:rsidP="00715C4F">
            <w:pPr>
              <w:spacing w:line="360" w:lineRule="auto"/>
              <w:jc w:val="both"/>
              <w:rPr>
                <w:rFonts w:ascii="Arial" w:hAnsi="Arial" w:cs="Arial"/>
              </w:rPr>
            </w:pPr>
            <w:r w:rsidRPr="00715C4F">
              <w:rPr>
                <w:rFonts w:ascii="Arial" w:hAnsi="Arial" w:cs="Arial"/>
              </w:rPr>
              <w:t>UK</w:t>
            </w:r>
          </w:p>
        </w:tc>
        <w:tc>
          <w:tcPr>
            <w:tcW w:w="6321" w:type="dxa"/>
          </w:tcPr>
          <w:p w14:paraId="211C6630" w14:textId="77777777" w:rsidR="00711251" w:rsidRPr="00715C4F" w:rsidRDefault="00711251" w:rsidP="00715C4F">
            <w:pPr>
              <w:spacing w:line="360" w:lineRule="auto"/>
              <w:jc w:val="both"/>
              <w:rPr>
                <w:rFonts w:ascii="Arial" w:hAnsi="Arial" w:cs="Arial"/>
              </w:rPr>
            </w:pPr>
            <w:r w:rsidRPr="00715C4F">
              <w:rPr>
                <w:rFonts w:ascii="Arial" w:hAnsi="Arial" w:cs="Arial"/>
              </w:rPr>
              <w:t>United Kingdom</w:t>
            </w:r>
          </w:p>
        </w:tc>
      </w:tr>
      <w:tr w:rsidR="00711251" w:rsidRPr="00715C4F" w14:paraId="2DE97889" w14:textId="77777777" w:rsidTr="00EF2CEE">
        <w:tc>
          <w:tcPr>
            <w:tcW w:w="1975" w:type="dxa"/>
          </w:tcPr>
          <w:p w14:paraId="77881968" w14:textId="77777777" w:rsidR="00711251" w:rsidRPr="00715C4F" w:rsidRDefault="00711251" w:rsidP="00715C4F">
            <w:pPr>
              <w:spacing w:line="360" w:lineRule="auto"/>
              <w:jc w:val="both"/>
              <w:rPr>
                <w:rFonts w:ascii="Arial" w:hAnsi="Arial" w:cs="Arial"/>
              </w:rPr>
            </w:pPr>
            <w:r w:rsidRPr="00715C4F">
              <w:rPr>
                <w:rFonts w:ascii="Arial" w:hAnsi="Arial" w:cs="Arial"/>
              </w:rPr>
              <w:t>UK Biobank</w:t>
            </w:r>
          </w:p>
        </w:tc>
        <w:tc>
          <w:tcPr>
            <w:tcW w:w="6321" w:type="dxa"/>
          </w:tcPr>
          <w:p w14:paraId="3B43AA4F" w14:textId="77777777" w:rsidR="00711251" w:rsidRPr="00715C4F" w:rsidRDefault="00711251" w:rsidP="00715C4F">
            <w:pPr>
              <w:spacing w:line="360" w:lineRule="auto"/>
              <w:jc w:val="both"/>
              <w:rPr>
                <w:rFonts w:ascii="Arial" w:hAnsi="Arial" w:cs="Arial"/>
              </w:rPr>
            </w:pPr>
            <w:r w:rsidRPr="00715C4F">
              <w:rPr>
                <w:rFonts w:ascii="Arial" w:hAnsi="Arial" w:cs="Arial"/>
              </w:rPr>
              <w:t>United Kingdom Biobank</w:t>
            </w:r>
          </w:p>
        </w:tc>
      </w:tr>
      <w:tr w:rsidR="00711251" w:rsidRPr="00715C4F" w14:paraId="04CF5898" w14:textId="77777777" w:rsidTr="00EF2CEE">
        <w:tc>
          <w:tcPr>
            <w:tcW w:w="1975" w:type="dxa"/>
          </w:tcPr>
          <w:p w14:paraId="70C1DF75" w14:textId="77777777" w:rsidR="00711251" w:rsidRPr="00715C4F" w:rsidRDefault="00711251" w:rsidP="00715C4F">
            <w:pPr>
              <w:spacing w:line="360" w:lineRule="auto"/>
              <w:jc w:val="both"/>
              <w:rPr>
                <w:rFonts w:ascii="Arial" w:hAnsi="Arial" w:cs="Arial"/>
              </w:rPr>
            </w:pPr>
            <w:r w:rsidRPr="00715C4F">
              <w:rPr>
                <w:rFonts w:ascii="Arial" w:hAnsi="Arial" w:cs="Arial"/>
              </w:rPr>
              <w:t>WHO</w:t>
            </w:r>
          </w:p>
        </w:tc>
        <w:tc>
          <w:tcPr>
            <w:tcW w:w="6321" w:type="dxa"/>
          </w:tcPr>
          <w:p w14:paraId="58A6747A" w14:textId="78EA4EC5" w:rsidR="00711251" w:rsidRPr="00715C4F" w:rsidRDefault="00063342" w:rsidP="00715C4F">
            <w:pPr>
              <w:spacing w:line="360" w:lineRule="auto"/>
              <w:jc w:val="both"/>
              <w:rPr>
                <w:rFonts w:ascii="Arial" w:hAnsi="Arial" w:cs="Arial"/>
              </w:rPr>
            </w:pPr>
            <w:r>
              <w:rPr>
                <w:rFonts w:ascii="Arial" w:hAnsi="Arial" w:cs="Arial"/>
              </w:rPr>
              <w:t>World Health Organis</w:t>
            </w:r>
            <w:r w:rsidR="00711251" w:rsidRPr="00715C4F">
              <w:rPr>
                <w:rFonts w:ascii="Arial" w:hAnsi="Arial" w:cs="Arial"/>
              </w:rPr>
              <w:t>ation</w:t>
            </w:r>
          </w:p>
        </w:tc>
      </w:tr>
    </w:tbl>
    <w:p w14:paraId="4285C44B" w14:textId="6282D11B" w:rsidR="00970582" w:rsidRPr="00715C4F" w:rsidRDefault="00970582" w:rsidP="00715C4F">
      <w:pPr>
        <w:spacing w:line="360" w:lineRule="auto"/>
        <w:jc w:val="both"/>
        <w:rPr>
          <w:rFonts w:ascii="Arial" w:hAnsi="Arial" w:cs="Arial"/>
        </w:rPr>
      </w:pPr>
    </w:p>
    <w:p w14:paraId="58A49F4A" w14:textId="77777777" w:rsidR="00970582" w:rsidRPr="00715C4F" w:rsidRDefault="00970582" w:rsidP="00092116">
      <w:pPr>
        <w:pStyle w:val="Heading1"/>
        <w:sectPr w:rsidR="00970582" w:rsidRPr="00715C4F" w:rsidSect="000F32B8">
          <w:footerReference w:type="even" r:id="rId9"/>
          <w:footerReference w:type="default" r:id="rId10"/>
          <w:footerReference w:type="first" r:id="rId11"/>
          <w:pgSz w:w="11906" w:h="16838"/>
          <w:pgMar w:top="1440" w:right="1800" w:bottom="1440" w:left="1800" w:header="708" w:footer="708" w:gutter="0"/>
          <w:pgNumType w:fmt="lowerRoman" w:start="1"/>
          <w:cols w:space="708"/>
          <w:titlePg/>
          <w:docGrid w:linePitch="360"/>
        </w:sectPr>
      </w:pPr>
    </w:p>
    <w:p w14:paraId="4B704ED9" w14:textId="67BC0748" w:rsidR="00722DA8" w:rsidRPr="00715C4F" w:rsidRDefault="00092116" w:rsidP="00092116">
      <w:pPr>
        <w:pStyle w:val="Heading1"/>
      </w:pPr>
      <w:bookmarkStart w:id="7" w:name="_Toc241025866"/>
      <w:r w:rsidRPr="00715C4F">
        <w:lastRenderedPageBreak/>
        <w:t>Chapter One: Introduction</w:t>
      </w:r>
      <w:bookmarkEnd w:id="5"/>
      <w:bookmarkEnd w:id="7"/>
    </w:p>
    <w:p w14:paraId="5E57C530" w14:textId="7AEF5A83" w:rsidR="00AD2AEC" w:rsidRPr="0022637B" w:rsidRDefault="00A26EA4" w:rsidP="0022637B">
      <w:pPr>
        <w:pStyle w:val="Heading2"/>
      </w:pPr>
      <w:bookmarkStart w:id="8" w:name="_Toc241025867"/>
      <w:r w:rsidRPr="0022637B">
        <w:t>1.1 Introduction</w:t>
      </w:r>
      <w:bookmarkEnd w:id="8"/>
    </w:p>
    <w:p w14:paraId="5F41FCA7" w14:textId="0B3088F8" w:rsidR="00A26EA4" w:rsidRPr="00715C4F" w:rsidRDefault="00A26EA4" w:rsidP="00715C4F">
      <w:pPr>
        <w:spacing w:after="167" w:line="360" w:lineRule="auto"/>
        <w:jc w:val="both"/>
        <w:rPr>
          <w:rFonts w:ascii="Arial" w:hAnsi="Arial" w:cs="Arial"/>
        </w:rPr>
      </w:pPr>
      <w:r w:rsidRPr="00715C4F">
        <w:rPr>
          <w:rFonts w:ascii="Arial" w:hAnsi="Arial" w:cs="Arial"/>
        </w:rPr>
        <w:t xml:space="preserve">The research topic will be </w:t>
      </w:r>
      <w:r w:rsidR="000146D1" w:rsidRPr="000146D1">
        <w:rPr>
          <w:rFonts w:ascii="Arial" w:hAnsi="Arial" w:cs="Arial"/>
        </w:rPr>
        <w:t>discussed</w:t>
      </w:r>
      <w:r w:rsidRPr="00715C4F">
        <w:rPr>
          <w:rFonts w:ascii="Arial" w:hAnsi="Arial" w:cs="Arial"/>
        </w:rPr>
        <w:t xml:space="preserve"> in this chapter, with vitamin D deficiency being discussed as an important public health concern for ethnic minority groups in the United Kingdom (UK). </w:t>
      </w:r>
      <w:r w:rsidR="00E54C0A" w:rsidRPr="00E54C0A">
        <w:rPr>
          <w:rFonts w:ascii="Arial" w:hAnsi="Arial" w:cs="Arial"/>
        </w:rPr>
        <w:t xml:space="preserve">Vitamin D has an important role in </w:t>
      </w:r>
      <w:r w:rsidRPr="00715C4F">
        <w:rPr>
          <w:rFonts w:ascii="Arial" w:hAnsi="Arial" w:cs="Arial"/>
        </w:rPr>
        <w:t xml:space="preserve">bone health, immune function, muscle strength, and physiological </w:t>
      </w:r>
      <w:r w:rsidR="00D60F7B" w:rsidRPr="00715C4F">
        <w:rPr>
          <w:rFonts w:ascii="Arial" w:hAnsi="Arial" w:cs="Arial"/>
        </w:rPr>
        <w:t>wellbeing (</w:t>
      </w:r>
      <w:proofErr w:type="spellStart"/>
      <w:r w:rsidR="00D60F7B" w:rsidRPr="00715C4F">
        <w:rPr>
          <w:rFonts w:ascii="Arial" w:hAnsi="Arial" w:cs="Arial"/>
        </w:rPr>
        <w:t>Pilz</w:t>
      </w:r>
      <w:proofErr w:type="spellEnd"/>
      <w:r w:rsidR="00D60F7B" w:rsidRPr="00715C4F">
        <w:rPr>
          <w:rFonts w:ascii="Arial" w:hAnsi="Arial" w:cs="Arial"/>
        </w:rPr>
        <w:t xml:space="preserve"> et al., 2019; Scientific Advisory Committee on Nutrition (SACN), 2020).</w:t>
      </w:r>
      <w:r w:rsidR="00EC0087">
        <w:rPr>
          <w:rFonts w:ascii="Arial" w:hAnsi="Arial" w:cs="Arial"/>
        </w:rPr>
        <w:t xml:space="preserve"> </w:t>
      </w:r>
      <w:r w:rsidRPr="00715C4F">
        <w:rPr>
          <w:rFonts w:ascii="Arial" w:hAnsi="Arial" w:cs="Arial"/>
        </w:rPr>
        <w:t xml:space="preserve">Despite this, vitamin D deficiency will remain a major public health issue in the </w:t>
      </w:r>
      <w:r w:rsidR="00DB3EDB" w:rsidRPr="00DB3EDB">
        <w:rPr>
          <w:rFonts w:ascii="Arial" w:hAnsi="Arial" w:cs="Arial"/>
        </w:rPr>
        <w:t>United Kingdom</w:t>
      </w:r>
      <w:r w:rsidRPr="00715C4F">
        <w:rPr>
          <w:rFonts w:ascii="Arial" w:hAnsi="Arial" w:cs="Arial"/>
        </w:rPr>
        <w:t xml:space="preserve"> as a large proportion of the population will have reduced exposure to sunlig</w:t>
      </w:r>
      <w:r w:rsidR="00DB3EDB">
        <w:rPr>
          <w:rFonts w:ascii="Arial" w:hAnsi="Arial" w:cs="Arial"/>
        </w:rPr>
        <w:t>ht and dietary intake, and</w:t>
      </w:r>
      <w:r w:rsidRPr="00715C4F">
        <w:rPr>
          <w:rFonts w:ascii="Arial" w:hAnsi="Arial" w:cs="Arial"/>
        </w:rPr>
        <w:t xml:space="preserve"> demographic inequalities will increase their risk of vitamin D deficiency (</w:t>
      </w:r>
      <w:proofErr w:type="spellStart"/>
      <w:r w:rsidRPr="00715C4F">
        <w:rPr>
          <w:rFonts w:ascii="Arial" w:hAnsi="Arial" w:cs="Arial"/>
        </w:rPr>
        <w:t>Pilz</w:t>
      </w:r>
      <w:proofErr w:type="spellEnd"/>
      <w:r w:rsidRPr="00715C4F">
        <w:rPr>
          <w:rFonts w:ascii="Arial" w:hAnsi="Arial" w:cs="Arial"/>
        </w:rPr>
        <w:t xml:space="preserve"> et al., 2019; </w:t>
      </w:r>
      <w:r w:rsidR="00851ADD">
        <w:rPr>
          <w:rFonts w:ascii="Arial" w:hAnsi="Arial" w:cs="Arial"/>
        </w:rPr>
        <w:t>SACN</w:t>
      </w:r>
      <w:r w:rsidRPr="00715C4F">
        <w:rPr>
          <w:rFonts w:ascii="Arial" w:hAnsi="Arial" w:cs="Arial"/>
        </w:rPr>
        <w:t xml:space="preserve">, </w:t>
      </w:r>
      <w:r w:rsidR="008163F6" w:rsidRPr="00715C4F">
        <w:rPr>
          <w:rFonts w:ascii="Arial" w:hAnsi="Arial" w:cs="Arial"/>
        </w:rPr>
        <w:t>2020).</w:t>
      </w:r>
      <w:r w:rsidR="00EC0087">
        <w:rPr>
          <w:rFonts w:ascii="Arial" w:hAnsi="Arial" w:cs="Arial"/>
        </w:rPr>
        <w:t xml:space="preserve"> </w:t>
      </w:r>
      <w:r w:rsidRPr="00715C4F">
        <w:rPr>
          <w:rFonts w:ascii="Arial" w:hAnsi="Arial" w:cs="Arial"/>
        </w:rPr>
        <w:t>This chapter will give background to the study, discuss the research problem and research rationale and state the research question, aim and objectives. In addition, it will outline the relevance of the study and show how a systematic review of existing evidence will be conducted to collate existing literature on prevalence and factors of vitamin D deficiency in ethnic minority groups in the UK.</w:t>
      </w:r>
    </w:p>
    <w:p w14:paraId="018674D4" w14:textId="77777777" w:rsidR="00A26EA4" w:rsidRPr="00715C4F" w:rsidRDefault="00A26EA4" w:rsidP="0022637B">
      <w:pPr>
        <w:pStyle w:val="Heading2"/>
      </w:pPr>
      <w:bookmarkStart w:id="9" w:name="_Toc241025868"/>
      <w:r w:rsidRPr="00715C4F">
        <w:t>1.2 Background of the Study</w:t>
      </w:r>
      <w:bookmarkEnd w:id="9"/>
    </w:p>
    <w:p w14:paraId="1E3C9A8C" w14:textId="0976A305" w:rsidR="00A26EA4" w:rsidRPr="00715C4F" w:rsidRDefault="00A26EA4" w:rsidP="00CF4986">
      <w:pPr>
        <w:spacing w:line="360" w:lineRule="auto"/>
        <w:jc w:val="both"/>
        <w:rPr>
          <w:rFonts w:ascii="Arial" w:hAnsi="Arial" w:cs="Arial"/>
        </w:rPr>
      </w:pPr>
      <w:r w:rsidRPr="00715C4F">
        <w:rPr>
          <w:rFonts w:ascii="Arial" w:hAnsi="Arial" w:cs="Arial"/>
        </w:rPr>
        <w:t>Vitamin D is a fat-soluble vitamin which is a key component of</w:t>
      </w:r>
      <w:r w:rsidR="00884828">
        <w:rPr>
          <w:rFonts w:ascii="Arial" w:hAnsi="Arial" w:cs="Arial"/>
        </w:rPr>
        <w:t xml:space="preserve"> calcium and </w:t>
      </w:r>
      <w:r w:rsidR="001726AA" w:rsidRPr="00715C4F">
        <w:rPr>
          <w:rFonts w:ascii="Arial" w:hAnsi="Arial" w:cs="Arial"/>
        </w:rPr>
        <w:t>phosphorus metabolism</w:t>
      </w:r>
      <w:r w:rsidRPr="00715C4F">
        <w:rPr>
          <w:rFonts w:ascii="Arial" w:hAnsi="Arial" w:cs="Arial"/>
        </w:rPr>
        <w:t xml:space="preserve"> and has roles in bone mineralisation, musculoskeletal health, immune regulation, and other physiological </w:t>
      </w:r>
      <w:r w:rsidR="006077DD" w:rsidRPr="00715C4F">
        <w:rPr>
          <w:rFonts w:ascii="Arial" w:hAnsi="Arial" w:cs="Arial"/>
        </w:rPr>
        <w:t>processes (</w:t>
      </w:r>
      <w:r w:rsidR="00CF5280">
        <w:rPr>
          <w:rFonts w:ascii="Arial" w:hAnsi="Arial" w:cs="Arial"/>
        </w:rPr>
        <w:t>SACN</w:t>
      </w:r>
      <w:r w:rsidR="006077DD" w:rsidRPr="00715C4F">
        <w:rPr>
          <w:rFonts w:ascii="Arial" w:hAnsi="Arial" w:cs="Arial"/>
        </w:rPr>
        <w:t xml:space="preserve">, 2020; </w:t>
      </w:r>
      <w:proofErr w:type="spellStart"/>
      <w:r w:rsidR="006077DD" w:rsidRPr="00715C4F">
        <w:rPr>
          <w:rFonts w:ascii="Arial" w:hAnsi="Arial" w:cs="Arial"/>
        </w:rPr>
        <w:t>Jolliffe</w:t>
      </w:r>
      <w:proofErr w:type="spellEnd"/>
      <w:r w:rsidR="006077DD" w:rsidRPr="00715C4F">
        <w:rPr>
          <w:rFonts w:ascii="Arial" w:hAnsi="Arial" w:cs="Arial"/>
        </w:rPr>
        <w:t xml:space="preserve"> et al., 2023)</w:t>
      </w:r>
      <w:r w:rsidRPr="00715C4F">
        <w:rPr>
          <w:rFonts w:ascii="Arial" w:hAnsi="Arial" w:cs="Arial"/>
        </w:rPr>
        <w:t>. Synthesis of vitamin D in the skin after exposure to UVB radiation is the major source</w:t>
      </w:r>
      <w:r w:rsidR="003601C6">
        <w:rPr>
          <w:rFonts w:ascii="Arial" w:hAnsi="Arial" w:cs="Arial"/>
        </w:rPr>
        <w:t>,</w:t>
      </w:r>
      <w:r w:rsidRPr="00715C4F">
        <w:rPr>
          <w:rFonts w:ascii="Arial" w:hAnsi="Arial" w:cs="Arial"/>
        </w:rPr>
        <w:t xml:space="preserve"> whereas dietary intake and vitamin D supplements are other sources. Low vitamin D levels have been linked to health issues like rickets in children, </w:t>
      </w:r>
      <w:proofErr w:type="spellStart"/>
      <w:r w:rsidRPr="00715C4F">
        <w:rPr>
          <w:rFonts w:ascii="Arial" w:hAnsi="Arial" w:cs="Arial"/>
        </w:rPr>
        <w:t>osteomalacia</w:t>
      </w:r>
      <w:proofErr w:type="spellEnd"/>
      <w:r w:rsidRPr="00715C4F">
        <w:rPr>
          <w:rFonts w:ascii="Arial" w:hAnsi="Arial" w:cs="Arial"/>
        </w:rPr>
        <w:t xml:space="preserve"> in adults, osteoporosis, weak immune system, and </w:t>
      </w:r>
      <w:r w:rsidR="003601C6">
        <w:rPr>
          <w:rFonts w:ascii="Arial" w:hAnsi="Arial" w:cs="Arial"/>
        </w:rPr>
        <w:t xml:space="preserve">a </w:t>
      </w:r>
      <w:r w:rsidRPr="00715C4F">
        <w:rPr>
          <w:rFonts w:ascii="Arial" w:hAnsi="Arial" w:cs="Arial"/>
        </w:rPr>
        <w:t>higher risk of developing some chronic diseases (</w:t>
      </w:r>
      <w:proofErr w:type="spellStart"/>
      <w:r w:rsidRPr="00715C4F">
        <w:rPr>
          <w:rFonts w:ascii="Arial" w:hAnsi="Arial" w:cs="Arial"/>
        </w:rPr>
        <w:t>Pilz</w:t>
      </w:r>
      <w:proofErr w:type="spellEnd"/>
      <w:r w:rsidRPr="00715C4F">
        <w:rPr>
          <w:rFonts w:ascii="Arial" w:hAnsi="Arial" w:cs="Arial"/>
        </w:rPr>
        <w:t xml:space="preserve"> et al., 2019; </w:t>
      </w:r>
      <w:proofErr w:type="spellStart"/>
      <w:r w:rsidRPr="00715C4F">
        <w:rPr>
          <w:rFonts w:ascii="Arial" w:hAnsi="Arial" w:cs="Arial"/>
        </w:rPr>
        <w:t>Jolliffe</w:t>
      </w:r>
      <w:proofErr w:type="spellEnd"/>
      <w:r w:rsidRPr="00715C4F">
        <w:rPr>
          <w:rFonts w:ascii="Arial" w:hAnsi="Arial" w:cs="Arial"/>
        </w:rPr>
        <w:t xml:space="preserve"> et al., 2023).</w:t>
      </w:r>
    </w:p>
    <w:p w14:paraId="1601A2D0" w14:textId="69E47E08" w:rsidR="00A26EA4" w:rsidRPr="00715C4F" w:rsidRDefault="00A26EA4" w:rsidP="005A357B">
      <w:pPr>
        <w:spacing w:line="360" w:lineRule="auto"/>
        <w:jc w:val="both"/>
        <w:rPr>
          <w:rFonts w:ascii="Arial" w:hAnsi="Arial" w:cs="Arial"/>
        </w:rPr>
      </w:pPr>
      <w:r w:rsidRPr="00715C4F">
        <w:rPr>
          <w:rFonts w:ascii="Arial" w:hAnsi="Arial" w:cs="Arial"/>
        </w:rPr>
        <w:t>Although awareness and prevention measures have grown, vitamin D deficiency has emerged as a significant global public health challenge, impacting more than one billion people worldwide (</w:t>
      </w:r>
      <w:proofErr w:type="spellStart"/>
      <w:r w:rsidRPr="00715C4F">
        <w:rPr>
          <w:rFonts w:ascii="Arial" w:hAnsi="Arial" w:cs="Arial"/>
        </w:rPr>
        <w:t>Amrein</w:t>
      </w:r>
      <w:proofErr w:type="spellEnd"/>
      <w:r w:rsidRPr="00715C4F">
        <w:rPr>
          <w:rFonts w:ascii="Arial" w:hAnsi="Arial" w:cs="Arial"/>
        </w:rPr>
        <w:t xml:space="preserve"> et al., 2020). UVB deficiency is especially prev</w:t>
      </w:r>
      <w:r w:rsidR="00A03AC4">
        <w:rPr>
          <w:rFonts w:ascii="Arial" w:hAnsi="Arial" w:cs="Arial"/>
        </w:rPr>
        <w:t>alent in the UK</w:t>
      </w:r>
      <w:r w:rsidRPr="00715C4F">
        <w:rPr>
          <w:rFonts w:ascii="Arial" w:hAnsi="Arial" w:cs="Arial"/>
        </w:rPr>
        <w:t>, where there is not enough UVB exposure to ensure adequate vitamin D synthesis in the fall and winter whe</w:t>
      </w:r>
      <w:r w:rsidR="00A52B74">
        <w:rPr>
          <w:rFonts w:ascii="Arial" w:hAnsi="Arial" w:cs="Arial"/>
        </w:rPr>
        <w:t>n there is less sunlight. The</w:t>
      </w:r>
      <w:r w:rsidRPr="00715C4F">
        <w:rPr>
          <w:rFonts w:ascii="Arial" w:hAnsi="Arial" w:cs="Arial"/>
        </w:rPr>
        <w:t xml:space="preserve"> </w:t>
      </w:r>
      <w:r w:rsidR="00EE362E">
        <w:rPr>
          <w:rFonts w:ascii="Arial" w:hAnsi="Arial" w:cs="Arial"/>
        </w:rPr>
        <w:t>SACN</w:t>
      </w:r>
      <w:r w:rsidRPr="00715C4F">
        <w:rPr>
          <w:rFonts w:ascii="Arial" w:hAnsi="Arial" w:cs="Arial"/>
        </w:rPr>
        <w:t xml:space="preserve"> therefore advises a daily dose of 10µg (400 IU) vitamin D for people aged four years and older, especially those who are at risk of being deficient</w:t>
      </w:r>
      <w:r w:rsidR="00E34452" w:rsidRPr="00715C4F">
        <w:rPr>
          <w:rFonts w:ascii="Arial" w:hAnsi="Arial" w:cs="Arial"/>
        </w:rPr>
        <w:t xml:space="preserve"> (SACN, 2020)</w:t>
      </w:r>
      <w:r w:rsidRPr="00715C4F">
        <w:rPr>
          <w:rFonts w:ascii="Arial" w:hAnsi="Arial" w:cs="Arial"/>
        </w:rPr>
        <w:t>. Food fortification has also been discussed in recent reviews as a population level approach to enhance vitamin D status.</w:t>
      </w:r>
    </w:p>
    <w:p w14:paraId="57CFBC26" w14:textId="405CA46E" w:rsidR="00A26EA4" w:rsidRPr="00715C4F" w:rsidRDefault="00A26EA4" w:rsidP="005A357B">
      <w:pPr>
        <w:spacing w:line="360" w:lineRule="auto"/>
        <w:jc w:val="both"/>
        <w:rPr>
          <w:rFonts w:ascii="Arial" w:hAnsi="Arial" w:cs="Arial"/>
        </w:rPr>
      </w:pPr>
      <w:r w:rsidRPr="00715C4F">
        <w:rPr>
          <w:rFonts w:ascii="Arial" w:hAnsi="Arial" w:cs="Arial"/>
        </w:rPr>
        <w:lastRenderedPageBreak/>
        <w:t>There are significant ethnic differences in UK vitamin D status which are consistently shown. Ethnic minority groups such as individuals from South Asian, Black African, Black Caribbean, Middle Eastern and other ethnic minority backgrounds are at higher risk of vitamin D deficiency than the White British population</w:t>
      </w:r>
      <w:r w:rsidR="001B1F4D" w:rsidRPr="00715C4F">
        <w:rPr>
          <w:rFonts w:ascii="Arial" w:hAnsi="Arial" w:cs="Arial"/>
        </w:rPr>
        <w:t xml:space="preserve"> (Darling et al., 2020; Sutherland et al., 2021)</w:t>
      </w:r>
      <w:r w:rsidRPr="00715C4F">
        <w:rPr>
          <w:rFonts w:ascii="Arial" w:hAnsi="Arial" w:cs="Arial"/>
        </w:rPr>
        <w:t>. The differences are thought to be due to differences in skin pigmentation, with a lower ability to sy</w:t>
      </w:r>
      <w:r w:rsidR="00422CF3">
        <w:rPr>
          <w:rFonts w:ascii="Arial" w:hAnsi="Arial" w:cs="Arial"/>
        </w:rPr>
        <w:t>nthesis</w:t>
      </w:r>
      <w:r w:rsidRPr="00715C4F">
        <w:rPr>
          <w:rFonts w:ascii="Arial" w:hAnsi="Arial" w:cs="Arial"/>
        </w:rPr>
        <w:t>e vitamin D in darker skin, cultural styles of clothing, lower consumption of vitamin D in the diet, less sun exposure, socioeconomic disadvantage, and less intake of vitamin D supplements (Darling et al., 2020; Sutherland et al., 2021). The analysis of large UK populations has also revealed that ethnicity and socioeconomic deprivation are each associated with a higher risk of vitamin D deficiency, with a significant and continuing health divide.</w:t>
      </w:r>
    </w:p>
    <w:p w14:paraId="5771D0F0" w14:textId="77777777" w:rsidR="00A26EA4" w:rsidRPr="00715C4F" w:rsidRDefault="00A26EA4" w:rsidP="00CF4986">
      <w:pPr>
        <w:spacing w:after="167" w:line="360" w:lineRule="auto"/>
        <w:jc w:val="both"/>
        <w:rPr>
          <w:rFonts w:ascii="Arial" w:hAnsi="Arial" w:cs="Arial"/>
        </w:rPr>
      </w:pPr>
      <w:r w:rsidRPr="00715C4F">
        <w:rPr>
          <w:rFonts w:ascii="Arial" w:hAnsi="Arial" w:cs="Arial"/>
        </w:rPr>
        <w:t>Whilst there are national recommendations for vitamin D supplementation of at-risk groups, vitamin D deficiency remains disproportionately affecting ethnic minority groups, indicating that existing barriers are not being witnessed in current public health actions. A knowledge of the prevalence and the demographic, cultural, lifestyle and socioeconomic risk factors for vitamin D deficiency is therefore crucial for the creation of culturally-relevant and evidence-based public health actions to reduce health inequalities in the UK.</w:t>
      </w:r>
    </w:p>
    <w:p w14:paraId="44696227" w14:textId="77777777" w:rsidR="00A26EA4" w:rsidRPr="00715C4F" w:rsidRDefault="00A26EA4" w:rsidP="0022637B">
      <w:pPr>
        <w:pStyle w:val="Heading2"/>
      </w:pPr>
      <w:bookmarkStart w:id="10" w:name="_Toc241025869"/>
      <w:r w:rsidRPr="00715C4F">
        <w:t>1.3 Statement of the Problem</w:t>
      </w:r>
      <w:bookmarkEnd w:id="10"/>
    </w:p>
    <w:p w14:paraId="19E73947" w14:textId="54B25BC1" w:rsidR="00A26EA4" w:rsidRPr="00715C4F" w:rsidRDefault="00A26EA4" w:rsidP="005A357B">
      <w:pPr>
        <w:spacing w:after="0" w:line="360" w:lineRule="auto"/>
        <w:jc w:val="both"/>
        <w:rPr>
          <w:rFonts w:ascii="Arial" w:hAnsi="Arial" w:cs="Arial"/>
        </w:rPr>
      </w:pPr>
      <w:r w:rsidRPr="00715C4F">
        <w:rPr>
          <w:rFonts w:ascii="Arial" w:hAnsi="Arial" w:cs="Arial"/>
        </w:rPr>
        <w:t>Despite national advice to supplement with vitamin D routinely and encouraging the public to increase their vitamin D intake, vitamin D deficiency still appears to be a major public health pr</w:t>
      </w:r>
      <w:r w:rsidR="00A50A71">
        <w:rPr>
          <w:rFonts w:ascii="Arial" w:hAnsi="Arial" w:cs="Arial"/>
        </w:rPr>
        <w:t>oblem in the UK</w:t>
      </w:r>
      <w:r w:rsidRPr="00715C4F">
        <w:rPr>
          <w:rFonts w:ascii="Arial" w:hAnsi="Arial" w:cs="Arial"/>
        </w:rPr>
        <w:t xml:space="preserve">. It is linked to poor health, such as impaired bone mineralisation, osteoporosis, </w:t>
      </w:r>
      <w:proofErr w:type="spellStart"/>
      <w:r w:rsidRPr="00715C4F">
        <w:rPr>
          <w:rFonts w:ascii="Arial" w:hAnsi="Arial" w:cs="Arial"/>
        </w:rPr>
        <w:t>osteomalacia</w:t>
      </w:r>
      <w:proofErr w:type="spellEnd"/>
      <w:r w:rsidRPr="00715C4F">
        <w:rPr>
          <w:rFonts w:ascii="Arial" w:hAnsi="Arial" w:cs="Arial"/>
        </w:rPr>
        <w:t xml:space="preserve">, decreased muscle function, and decreased immune health, leading to an increased healthcare burden and </w:t>
      </w:r>
      <w:r w:rsidR="003601C6">
        <w:rPr>
          <w:rFonts w:ascii="Arial" w:hAnsi="Arial" w:cs="Arial"/>
        </w:rPr>
        <w:t xml:space="preserve">a </w:t>
      </w:r>
      <w:r w:rsidRPr="00715C4F">
        <w:rPr>
          <w:rFonts w:ascii="Arial" w:hAnsi="Arial" w:cs="Arial"/>
        </w:rPr>
        <w:t>lower quality of life (</w:t>
      </w:r>
      <w:r w:rsidR="00A46FD0">
        <w:rPr>
          <w:rFonts w:ascii="Arial" w:hAnsi="Arial" w:cs="Arial"/>
        </w:rPr>
        <w:t>SACN</w:t>
      </w:r>
      <w:r w:rsidRPr="00715C4F">
        <w:rPr>
          <w:rFonts w:ascii="Arial" w:hAnsi="Arial" w:cs="Arial"/>
        </w:rPr>
        <w:t xml:space="preserve">, 2020; </w:t>
      </w:r>
      <w:proofErr w:type="spellStart"/>
      <w:r w:rsidRPr="00715C4F">
        <w:rPr>
          <w:rFonts w:ascii="Arial" w:hAnsi="Arial" w:cs="Arial"/>
        </w:rPr>
        <w:t>Jolliffe</w:t>
      </w:r>
      <w:proofErr w:type="spellEnd"/>
      <w:r w:rsidRPr="00715C4F">
        <w:rPr>
          <w:rFonts w:ascii="Arial" w:hAnsi="Arial" w:cs="Arial"/>
        </w:rPr>
        <w:t xml:space="preserve"> et al., 2023). Vitamin D deficiency is seen in all population groups but there is a consistent body of evidence that ethnic minority populations have a significantly higher risk of having vitamin D deficiency than the White British population (Darling et al., 2020; Sutherland et al., 2021).</w:t>
      </w:r>
    </w:p>
    <w:p w14:paraId="568D1ABB" w14:textId="7294A9ED" w:rsidR="00A26EA4" w:rsidRPr="00715C4F" w:rsidRDefault="00A26EA4" w:rsidP="005A357B">
      <w:pPr>
        <w:spacing w:before="240" w:after="167" w:line="360" w:lineRule="auto"/>
        <w:jc w:val="both"/>
        <w:rPr>
          <w:rFonts w:ascii="Arial" w:hAnsi="Arial" w:cs="Arial"/>
        </w:rPr>
      </w:pPr>
      <w:r w:rsidRPr="00715C4F">
        <w:rPr>
          <w:rFonts w:ascii="Arial" w:hAnsi="Arial" w:cs="Arial"/>
        </w:rPr>
        <w:t xml:space="preserve">Several complex factors are contributing in the disproportionately higher prevalence in ethnic minority compared to white populations, such as pigmentation of skin, lower vitamin D synthesis in skin, cultural clothing habits, lower vitamin D intake from food, less exposure to sunlight, socio-economic deprivation, and unequal access to healthcare information and preventive services (Cashman et al., 2022; </w:t>
      </w:r>
      <w:proofErr w:type="spellStart"/>
      <w:r w:rsidRPr="00715C4F">
        <w:rPr>
          <w:rFonts w:ascii="Arial" w:hAnsi="Arial" w:cs="Arial"/>
        </w:rPr>
        <w:t>Pilz</w:t>
      </w:r>
      <w:proofErr w:type="spellEnd"/>
      <w:r w:rsidRPr="00715C4F">
        <w:rPr>
          <w:rFonts w:ascii="Arial" w:hAnsi="Arial" w:cs="Arial"/>
        </w:rPr>
        <w:t xml:space="preserve"> et al., 2019). Failure to tackle these inequalities effectively could leave affected populations with growing health inequalities, higher incidence of preventable musculoskeletal </w:t>
      </w:r>
      <w:r w:rsidRPr="00715C4F">
        <w:rPr>
          <w:rFonts w:ascii="Arial" w:hAnsi="Arial" w:cs="Arial"/>
        </w:rPr>
        <w:lastRenderedPageBreak/>
        <w:t xml:space="preserve">conditions and higher burden on </w:t>
      </w:r>
      <w:r w:rsidR="008A1345">
        <w:rPr>
          <w:rFonts w:ascii="Arial" w:hAnsi="Arial" w:cs="Arial"/>
        </w:rPr>
        <w:t xml:space="preserve">the </w:t>
      </w:r>
      <w:r w:rsidR="008A1345" w:rsidRPr="008A1345">
        <w:rPr>
          <w:rFonts w:ascii="Arial" w:hAnsi="Arial" w:cs="Arial"/>
        </w:rPr>
        <w:t>National Health Service</w:t>
      </w:r>
      <w:r w:rsidR="008A1345">
        <w:rPr>
          <w:rFonts w:ascii="Arial" w:hAnsi="Arial" w:cs="Arial"/>
        </w:rPr>
        <w:t xml:space="preserve"> (NHS)</w:t>
      </w:r>
      <w:r w:rsidRPr="00715C4F">
        <w:rPr>
          <w:rFonts w:ascii="Arial" w:hAnsi="Arial" w:cs="Arial"/>
        </w:rPr>
        <w:t xml:space="preserve"> services due to un</w:t>
      </w:r>
      <w:r w:rsidR="00063342">
        <w:rPr>
          <w:rFonts w:ascii="Arial" w:hAnsi="Arial" w:cs="Arial"/>
        </w:rPr>
        <w:t>necessary health services utilis</w:t>
      </w:r>
      <w:r w:rsidRPr="00715C4F">
        <w:rPr>
          <w:rFonts w:ascii="Arial" w:hAnsi="Arial" w:cs="Arial"/>
        </w:rPr>
        <w:t>ation.</w:t>
      </w:r>
    </w:p>
    <w:p w14:paraId="624262C5" w14:textId="5BCE3B51" w:rsidR="003C6B33" w:rsidRPr="00715C4F" w:rsidRDefault="00A26EA4" w:rsidP="00715C4F">
      <w:pPr>
        <w:spacing w:before="240" w:after="167" w:line="360" w:lineRule="auto"/>
        <w:jc w:val="both"/>
        <w:rPr>
          <w:rFonts w:ascii="Arial" w:hAnsi="Arial" w:cs="Arial"/>
        </w:rPr>
      </w:pPr>
      <w:r w:rsidRPr="00715C4F">
        <w:rPr>
          <w:rFonts w:ascii="Arial" w:hAnsi="Arial" w:cs="Arial"/>
        </w:rPr>
        <w:t>Therefore, it is crucial to tackle this issue to derive a global picture of the factors associated with vitamin D deficiency in ethnic minorities in the UK. This evidence will inform the design of targeted, culturally relevant public health interventions and policies to help l</w:t>
      </w:r>
      <w:r w:rsidR="00E40475">
        <w:rPr>
          <w:rFonts w:ascii="Arial" w:hAnsi="Arial" w:cs="Arial"/>
        </w:rPr>
        <w:t>ower health disparities, optimis</w:t>
      </w:r>
      <w:r w:rsidRPr="00715C4F">
        <w:rPr>
          <w:rFonts w:ascii="Arial" w:hAnsi="Arial" w:cs="Arial"/>
        </w:rPr>
        <w:t>e vitamin D levels and ensure good health outcomes for a wide range of communities.</w:t>
      </w:r>
    </w:p>
    <w:p w14:paraId="3FDF870C" w14:textId="60E2CCCE" w:rsidR="009225B9" w:rsidRPr="00715C4F" w:rsidRDefault="007944E2" w:rsidP="0022637B">
      <w:pPr>
        <w:pStyle w:val="Heading2"/>
      </w:pPr>
      <w:bookmarkStart w:id="11" w:name="_Toc241025870"/>
      <w:r w:rsidRPr="00715C4F">
        <w:t>1.4 Rationale of the Research</w:t>
      </w:r>
      <w:bookmarkEnd w:id="11"/>
    </w:p>
    <w:p w14:paraId="68069445" w14:textId="000C98C6" w:rsidR="007944E2" w:rsidRPr="00715C4F" w:rsidRDefault="007944E2" w:rsidP="00715C4F">
      <w:pPr>
        <w:spacing w:after="167" w:line="360" w:lineRule="auto"/>
        <w:jc w:val="both"/>
        <w:rPr>
          <w:rFonts w:ascii="Arial" w:hAnsi="Arial" w:cs="Arial"/>
        </w:rPr>
      </w:pPr>
      <w:r w:rsidRPr="00715C4F">
        <w:rPr>
          <w:rFonts w:ascii="Arial" w:hAnsi="Arial" w:cs="Arial"/>
        </w:rPr>
        <w:t>There is already good evidence that vitamin D deficiency is found in a high proportion of the population in the</w:t>
      </w:r>
      <w:r w:rsidR="0032304E">
        <w:rPr>
          <w:rFonts w:ascii="Arial" w:hAnsi="Arial" w:cs="Arial"/>
        </w:rPr>
        <w:t xml:space="preserve"> UK</w:t>
      </w:r>
      <w:r w:rsidRPr="00715C4F">
        <w:rPr>
          <w:rFonts w:ascii="Arial" w:hAnsi="Arial" w:cs="Arial"/>
        </w:rPr>
        <w:t xml:space="preserve">, consistently more in ethnic minority groups than in the White British </w:t>
      </w:r>
      <w:r w:rsidR="001A7775" w:rsidRPr="00715C4F">
        <w:rPr>
          <w:rFonts w:ascii="Arial" w:hAnsi="Arial" w:cs="Arial"/>
        </w:rPr>
        <w:t xml:space="preserve">population (Sutherland et al., 2021; </w:t>
      </w:r>
      <w:proofErr w:type="spellStart"/>
      <w:r w:rsidR="001A7775" w:rsidRPr="00715C4F">
        <w:rPr>
          <w:rFonts w:ascii="Arial" w:hAnsi="Arial" w:cs="Arial"/>
        </w:rPr>
        <w:t>Deschasaux</w:t>
      </w:r>
      <w:proofErr w:type="spellEnd"/>
      <w:r w:rsidR="001A7775" w:rsidRPr="00715C4F">
        <w:rPr>
          <w:rFonts w:ascii="Arial" w:hAnsi="Arial" w:cs="Arial"/>
        </w:rPr>
        <w:t xml:space="preserve"> et al., 2021). </w:t>
      </w:r>
      <w:r w:rsidRPr="00715C4F">
        <w:rPr>
          <w:rFonts w:ascii="Arial" w:hAnsi="Arial" w:cs="Arial"/>
        </w:rPr>
        <w:t>Several factors have been identified in studies that contribute to this situation, these include less sun exposure, darker skin pigment</w:t>
      </w:r>
      <w:r w:rsidR="00D00182">
        <w:rPr>
          <w:rFonts w:ascii="Arial" w:hAnsi="Arial" w:cs="Arial"/>
        </w:rPr>
        <w:t>ation, cultural clothing practis</w:t>
      </w:r>
      <w:r w:rsidRPr="00715C4F">
        <w:rPr>
          <w:rFonts w:ascii="Arial" w:hAnsi="Arial" w:cs="Arial"/>
        </w:rPr>
        <w:t>es, low dietary intake, socioeconomic deprivation and the low use of supplementation (Cashman et al., 2022; Sutherland et al., 2021). Although there are national guidelines for vitamin D supplementation, deficiency is still a public health problem, with a high prevalence (SACN, 2020).</w:t>
      </w:r>
    </w:p>
    <w:p w14:paraId="598BCA0B" w14:textId="3E5DFC99" w:rsidR="007944E2" w:rsidRPr="00715C4F" w:rsidRDefault="007944E2" w:rsidP="00715C4F">
      <w:pPr>
        <w:spacing w:before="240" w:after="167" w:line="360" w:lineRule="auto"/>
        <w:jc w:val="both"/>
        <w:rPr>
          <w:rFonts w:ascii="Arial" w:hAnsi="Arial" w:cs="Arial"/>
        </w:rPr>
      </w:pPr>
      <w:r w:rsidRPr="00715C4F">
        <w:rPr>
          <w:rFonts w:ascii="Arial" w:hAnsi="Arial" w:cs="Arial"/>
        </w:rPr>
        <w:t xml:space="preserve">There is, however, little current synthesis, with individual studies generally investigating isolated determinants or specific ethnic groups and not providing a comprehensive synthesis of all the factors. Demographic, cultural and socioeconomic factors are also shown to be inconsistently associated with the level of change across different populations in the UK. In addition, there have been recent shifts in migration patterns, lifestyle behaviours and public health interventions, indicating the need for </w:t>
      </w:r>
      <w:r w:rsidR="00C938ED" w:rsidRPr="00715C4F">
        <w:rPr>
          <w:rFonts w:ascii="Arial" w:hAnsi="Arial" w:cs="Arial"/>
        </w:rPr>
        <w:t>more recent evidence synthesis.</w:t>
      </w:r>
    </w:p>
    <w:p w14:paraId="53A3CD12" w14:textId="6E5AA56B" w:rsidR="007944E2" w:rsidRPr="00715C4F" w:rsidRDefault="007944E2" w:rsidP="00715C4F">
      <w:pPr>
        <w:spacing w:before="240" w:after="167" w:line="360" w:lineRule="auto"/>
        <w:jc w:val="both"/>
        <w:rPr>
          <w:rFonts w:ascii="Arial" w:hAnsi="Arial" w:cs="Arial"/>
        </w:rPr>
      </w:pPr>
      <w:r w:rsidRPr="00715C4F">
        <w:rPr>
          <w:rFonts w:ascii="Arial" w:hAnsi="Arial" w:cs="Arial"/>
        </w:rPr>
        <w:t>There is therefore a need for a systematic review to be conducted to summarise the current research, critically evaluate the quality of the studies and look for a consistent pattern that emerges across the different studies. This will allow for a more complete and substantial understanding of factors associat</w:t>
      </w:r>
      <w:r w:rsidR="00C938ED" w:rsidRPr="00715C4F">
        <w:rPr>
          <w:rFonts w:ascii="Arial" w:hAnsi="Arial" w:cs="Arial"/>
        </w:rPr>
        <w:t>ed with vitamin D deficiencies.</w:t>
      </w:r>
    </w:p>
    <w:p w14:paraId="3B7A445A" w14:textId="0D84E3E0" w:rsidR="00B91A1F" w:rsidRPr="00715C4F" w:rsidRDefault="00367725" w:rsidP="0022637B">
      <w:pPr>
        <w:pStyle w:val="Heading2"/>
      </w:pPr>
      <w:bookmarkStart w:id="12" w:name="_Toc241025871"/>
      <w:r w:rsidRPr="00715C4F">
        <w:t>1.5 Research Question</w:t>
      </w:r>
      <w:bookmarkEnd w:id="12"/>
    </w:p>
    <w:p w14:paraId="03756CD4" w14:textId="7F9B9036" w:rsidR="00B91A1F" w:rsidRPr="00715C4F" w:rsidRDefault="00B91A1F" w:rsidP="00715C4F">
      <w:pPr>
        <w:spacing w:after="167" w:line="360" w:lineRule="auto"/>
        <w:jc w:val="both"/>
        <w:rPr>
          <w:rFonts w:ascii="Arial" w:hAnsi="Arial" w:cs="Arial"/>
        </w:rPr>
      </w:pPr>
      <w:r w:rsidRPr="00715C4F">
        <w:rPr>
          <w:rFonts w:ascii="Arial" w:hAnsi="Arial" w:cs="Arial"/>
        </w:rPr>
        <w:t>What is the key demographic, cultural, and socioeconomic determinants associated with vitamin D deficiency among ethnic minority populations in the United Kingdom?</w:t>
      </w:r>
    </w:p>
    <w:p w14:paraId="2035DED5" w14:textId="77777777" w:rsidR="00367725" w:rsidRPr="00715C4F" w:rsidRDefault="00367725" w:rsidP="0022637B">
      <w:pPr>
        <w:pStyle w:val="Heading2"/>
      </w:pPr>
      <w:bookmarkStart w:id="13" w:name="_Toc241025872"/>
      <w:r w:rsidRPr="00715C4F">
        <w:lastRenderedPageBreak/>
        <w:t>1.6 Research Aim</w:t>
      </w:r>
      <w:bookmarkEnd w:id="13"/>
    </w:p>
    <w:p w14:paraId="4DB25B08" w14:textId="5C663E7C" w:rsidR="00367725" w:rsidRPr="00715C4F" w:rsidRDefault="00C8564B" w:rsidP="00715C4F">
      <w:pPr>
        <w:spacing w:after="167" w:line="360" w:lineRule="auto"/>
        <w:jc w:val="both"/>
        <w:rPr>
          <w:rFonts w:ascii="Arial" w:hAnsi="Arial" w:cs="Arial"/>
        </w:rPr>
      </w:pPr>
      <w:r w:rsidRPr="00715C4F">
        <w:rPr>
          <w:rFonts w:ascii="Arial" w:hAnsi="Arial" w:cs="Arial"/>
        </w:rPr>
        <w:t>To investigate the prevalence of vitamin D deficiency and to identify the key demographic, cultural and socioeconomic determinants associated with vitamin D deficiency among ethnic minority populations in the United Kingdom.</w:t>
      </w:r>
    </w:p>
    <w:p w14:paraId="39746CE5" w14:textId="44CD0EDD" w:rsidR="0018409F" w:rsidRPr="00715C4F" w:rsidRDefault="00B00956" w:rsidP="0022637B">
      <w:pPr>
        <w:pStyle w:val="Heading2"/>
      </w:pPr>
      <w:bookmarkStart w:id="14" w:name="_Toc241025873"/>
      <w:r w:rsidRPr="00715C4F">
        <w:t>1.7 Research Objectives</w:t>
      </w:r>
      <w:bookmarkEnd w:id="14"/>
    </w:p>
    <w:p w14:paraId="46025F30" w14:textId="21E978C0" w:rsidR="00265B85" w:rsidRPr="00715C4F" w:rsidRDefault="00265B85" w:rsidP="00715C4F">
      <w:pPr>
        <w:pStyle w:val="ListParagraph"/>
        <w:numPr>
          <w:ilvl w:val="0"/>
          <w:numId w:val="1"/>
        </w:numPr>
        <w:spacing w:after="167" w:line="360" w:lineRule="auto"/>
        <w:jc w:val="both"/>
        <w:rPr>
          <w:rFonts w:ascii="Arial" w:hAnsi="Arial" w:cs="Arial"/>
        </w:rPr>
      </w:pPr>
      <w:r w:rsidRPr="00715C4F">
        <w:rPr>
          <w:rFonts w:ascii="Arial" w:hAnsi="Arial" w:cs="Arial"/>
        </w:rPr>
        <w:t>To determine the underlying reasons, influences and prevalence of vitamin D deficiency among ethnic minority populations living in the United Kingdom.</w:t>
      </w:r>
    </w:p>
    <w:p w14:paraId="7F7A2312" w14:textId="7660FC27" w:rsidR="00265B85" w:rsidRPr="00715C4F" w:rsidRDefault="00265B85" w:rsidP="00715C4F">
      <w:pPr>
        <w:pStyle w:val="ListParagraph"/>
        <w:numPr>
          <w:ilvl w:val="0"/>
          <w:numId w:val="1"/>
        </w:numPr>
        <w:spacing w:before="240" w:after="167" w:line="360" w:lineRule="auto"/>
        <w:jc w:val="both"/>
        <w:rPr>
          <w:rFonts w:ascii="Arial" w:hAnsi="Arial" w:cs="Arial"/>
        </w:rPr>
      </w:pPr>
      <w:r w:rsidRPr="00715C4F">
        <w:rPr>
          <w:rFonts w:ascii="Arial" w:hAnsi="Arial" w:cs="Arial"/>
        </w:rPr>
        <w:t>To examine the association between demographic factors (such as age, gender, ethnicity, and duration of residence in the UK) and vitamin D deficiency.</w:t>
      </w:r>
    </w:p>
    <w:p w14:paraId="209E76E2" w14:textId="62E1710D" w:rsidR="00265B85" w:rsidRPr="00715C4F" w:rsidRDefault="00265B85" w:rsidP="00715C4F">
      <w:pPr>
        <w:pStyle w:val="ListParagraph"/>
        <w:numPr>
          <w:ilvl w:val="0"/>
          <w:numId w:val="1"/>
        </w:numPr>
        <w:spacing w:before="240" w:after="167" w:line="360" w:lineRule="auto"/>
        <w:jc w:val="both"/>
        <w:rPr>
          <w:rFonts w:ascii="Arial" w:hAnsi="Arial" w:cs="Arial"/>
        </w:rPr>
      </w:pPr>
      <w:r w:rsidRPr="00715C4F">
        <w:rPr>
          <w:rFonts w:ascii="Arial" w:hAnsi="Arial" w:cs="Arial"/>
        </w:rPr>
        <w:t>To assess the influence of cultural and lifestyle factors (including clothing practices, dietary habits, sun exposure, and supplementation use) on vitamin D status</w:t>
      </w:r>
      <w:r w:rsidR="00872D75">
        <w:rPr>
          <w:rFonts w:ascii="Arial" w:hAnsi="Arial" w:cs="Arial"/>
        </w:rPr>
        <w:t xml:space="preserve">. </w:t>
      </w:r>
    </w:p>
    <w:p w14:paraId="1B71BB76" w14:textId="167E1935" w:rsidR="00367725" w:rsidRPr="00715C4F" w:rsidRDefault="00265B85" w:rsidP="00715C4F">
      <w:pPr>
        <w:pStyle w:val="ListParagraph"/>
        <w:numPr>
          <w:ilvl w:val="0"/>
          <w:numId w:val="1"/>
        </w:numPr>
        <w:spacing w:before="240" w:after="167" w:line="360" w:lineRule="auto"/>
        <w:jc w:val="both"/>
        <w:rPr>
          <w:rFonts w:ascii="Arial" w:hAnsi="Arial" w:cs="Arial"/>
        </w:rPr>
      </w:pPr>
      <w:r w:rsidRPr="00715C4F">
        <w:rPr>
          <w:rFonts w:ascii="Arial" w:hAnsi="Arial" w:cs="Arial"/>
        </w:rPr>
        <w:t>To evaluate the impact of socioeconomic factors (such as income level, education, and access to healthcare services) on the risk of vitamin D deficiency among ethnic minority in the UK.</w:t>
      </w:r>
    </w:p>
    <w:p w14:paraId="319584A5" w14:textId="0345D8FE" w:rsidR="00052D36" w:rsidRPr="00715C4F" w:rsidRDefault="00C938ED" w:rsidP="0022637B">
      <w:pPr>
        <w:pStyle w:val="Heading2"/>
      </w:pPr>
      <w:bookmarkStart w:id="15" w:name="_Toc241025874"/>
      <w:r w:rsidRPr="00715C4F">
        <w:t>1.8 Significance of the Study</w:t>
      </w:r>
      <w:bookmarkEnd w:id="15"/>
    </w:p>
    <w:p w14:paraId="55B2F566" w14:textId="26DE5DAB" w:rsidR="00052D36" w:rsidRPr="00715C4F" w:rsidRDefault="00052D36" w:rsidP="00715C4F">
      <w:pPr>
        <w:spacing w:after="167" w:line="360" w:lineRule="auto"/>
        <w:jc w:val="both"/>
        <w:rPr>
          <w:rFonts w:ascii="Arial" w:hAnsi="Arial" w:cs="Arial"/>
        </w:rPr>
      </w:pPr>
      <w:r w:rsidRPr="00715C4F">
        <w:rPr>
          <w:rFonts w:ascii="Arial" w:hAnsi="Arial" w:cs="Arial"/>
        </w:rPr>
        <w:t>This is an important study as it will help provide better understanding of the prevalence and risk factors of vitamin D deficiency in ethnic minority groups in the</w:t>
      </w:r>
      <w:r w:rsidR="003C0FF5">
        <w:rPr>
          <w:rFonts w:ascii="Arial" w:hAnsi="Arial" w:cs="Arial"/>
        </w:rPr>
        <w:t xml:space="preserve"> UK</w:t>
      </w:r>
      <w:r w:rsidRPr="00715C4F">
        <w:rPr>
          <w:rFonts w:ascii="Arial" w:hAnsi="Arial" w:cs="Arial"/>
        </w:rPr>
        <w:t>. The results will help the NHS make better decisions when planning resources, early detection strategies and the targeting of prevention programmes to reduce the impact of vitamin D deficiency related complications, and the subsequent healthcare costs. The study will give public health practitioners data to develop cultural</w:t>
      </w:r>
      <w:r w:rsidR="003601C6">
        <w:rPr>
          <w:rFonts w:ascii="Arial" w:hAnsi="Arial" w:cs="Arial"/>
        </w:rPr>
        <w:t xml:space="preserve">ly appropriate interventions </w:t>
      </w:r>
      <w:r w:rsidRPr="00715C4F">
        <w:rPr>
          <w:rFonts w:ascii="Arial" w:hAnsi="Arial" w:cs="Arial"/>
        </w:rPr>
        <w:t>target</w:t>
      </w:r>
      <w:r w:rsidR="003601C6">
        <w:rPr>
          <w:rFonts w:ascii="Arial" w:hAnsi="Arial" w:cs="Arial"/>
        </w:rPr>
        <w:t>ing</w:t>
      </w:r>
      <w:r w:rsidRPr="00715C4F">
        <w:rPr>
          <w:rFonts w:ascii="Arial" w:hAnsi="Arial" w:cs="Arial"/>
        </w:rPr>
        <w:t xml:space="preserve"> behavioural, dietary, and environmental risk factors.</w:t>
      </w:r>
    </w:p>
    <w:p w14:paraId="3CC664BE" w14:textId="02869FDB" w:rsidR="00367725" w:rsidRPr="00715C4F" w:rsidRDefault="00052D36" w:rsidP="00715C4F">
      <w:pPr>
        <w:spacing w:before="240" w:after="167" w:line="360" w:lineRule="auto"/>
        <w:jc w:val="both"/>
        <w:rPr>
          <w:rFonts w:ascii="Arial" w:hAnsi="Arial" w:cs="Arial"/>
        </w:rPr>
      </w:pPr>
      <w:r w:rsidRPr="00715C4F">
        <w:rPr>
          <w:rFonts w:ascii="Arial" w:hAnsi="Arial" w:cs="Arial"/>
        </w:rPr>
        <w:t>The evidence produced will be used to inform the development and refinement of national vitamin D supplementation and fortification policy, especially among high-risk groups, for policy-makers. Researchers will benefit from a synthesis of previous research that is streamlined and identifies gaps in research for the future. The benefits of the activities for ethnic minorities will be indirect, including through increased awareness, the development of tailored health promotion strategies and the decrease of health inequalities. Lastly, healthcare providers will have better knowledge of the risk factors to help educate patients, screen, and prevent disease. Overall, the study will help to shrink inequalities and enhance equitable health outcomes among different populations in the UK</w:t>
      </w:r>
      <w:r w:rsidR="006B19D1" w:rsidRPr="00715C4F">
        <w:rPr>
          <w:rFonts w:ascii="Arial" w:hAnsi="Arial" w:cs="Arial"/>
        </w:rPr>
        <w:t>.</w:t>
      </w:r>
    </w:p>
    <w:p w14:paraId="24B3EC1C" w14:textId="6A67D5DD" w:rsidR="008F4A2C" w:rsidRPr="00715C4F" w:rsidRDefault="00C938ED" w:rsidP="0022637B">
      <w:pPr>
        <w:pStyle w:val="Heading2"/>
      </w:pPr>
      <w:bookmarkStart w:id="16" w:name="_Toc241025875"/>
      <w:r w:rsidRPr="00715C4F">
        <w:lastRenderedPageBreak/>
        <w:t>1.9 Summary of the Chapter</w:t>
      </w:r>
      <w:bookmarkEnd w:id="16"/>
    </w:p>
    <w:p w14:paraId="63541F54" w14:textId="7828987D" w:rsidR="008176F1" w:rsidRPr="00715C4F" w:rsidRDefault="00E57BA7" w:rsidP="00E10C85">
      <w:pPr>
        <w:spacing w:after="0" w:line="360" w:lineRule="auto"/>
        <w:jc w:val="both"/>
        <w:rPr>
          <w:rFonts w:ascii="Arial" w:hAnsi="Arial" w:cs="Arial"/>
        </w:rPr>
      </w:pPr>
      <w:r>
        <w:rPr>
          <w:rFonts w:ascii="Arial" w:hAnsi="Arial" w:cs="Arial"/>
        </w:rPr>
        <w:t>In t</w:t>
      </w:r>
      <w:r w:rsidR="007E45FE" w:rsidRPr="00715C4F">
        <w:rPr>
          <w:rFonts w:ascii="Arial" w:hAnsi="Arial" w:cs="Arial"/>
        </w:rPr>
        <w:t>his chapter</w:t>
      </w:r>
      <w:r w:rsidR="002A54D3">
        <w:rPr>
          <w:rFonts w:ascii="Arial" w:hAnsi="Arial" w:cs="Arial"/>
        </w:rPr>
        <w:t>,</w:t>
      </w:r>
      <w:r w:rsidR="008176F1" w:rsidRPr="00715C4F">
        <w:rPr>
          <w:rFonts w:ascii="Arial" w:hAnsi="Arial" w:cs="Arial"/>
        </w:rPr>
        <w:t xml:space="preserve"> this topic of research had been introduced, with an overview of vitamin D deficiency as a major public health problem in the</w:t>
      </w:r>
      <w:r w:rsidR="004D03F0">
        <w:rPr>
          <w:rFonts w:ascii="Arial" w:hAnsi="Arial" w:cs="Arial"/>
        </w:rPr>
        <w:t xml:space="preserve"> UK</w:t>
      </w:r>
      <w:r w:rsidR="008176F1" w:rsidRPr="00715C4F">
        <w:rPr>
          <w:rFonts w:ascii="Arial" w:hAnsi="Arial" w:cs="Arial"/>
        </w:rPr>
        <w:t>, especially amongst ethnic minority populations.</w:t>
      </w:r>
      <w:r w:rsidR="00F93E87">
        <w:rPr>
          <w:rFonts w:ascii="Arial" w:hAnsi="Arial" w:cs="Arial"/>
        </w:rPr>
        <w:t xml:space="preserve"> The background to the study</w:t>
      </w:r>
      <w:r w:rsidR="008176F1" w:rsidRPr="00715C4F">
        <w:rPr>
          <w:rFonts w:ascii="Arial" w:hAnsi="Arial" w:cs="Arial"/>
        </w:rPr>
        <w:t xml:space="preserve"> mentioned the physiological role of Vitamin D, its prevalence globally and in the UK, and inequalities in prevalence </w:t>
      </w:r>
      <w:r w:rsidR="00760D43" w:rsidRPr="00C60FCF">
        <w:rPr>
          <w:rFonts w:ascii="Arial" w:hAnsi="Arial" w:cs="Arial"/>
        </w:rPr>
        <w:t>among ethnic groups</w:t>
      </w:r>
      <w:r w:rsidR="008176F1" w:rsidRPr="00715C4F">
        <w:rPr>
          <w:rFonts w:ascii="Arial" w:hAnsi="Arial" w:cs="Arial"/>
        </w:rPr>
        <w:t>. The persistent burden of deficiency and the health implications thereof, particularly the health impacts of disadvantaged communities, had been highlighted i</w:t>
      </w:r>
      <w:r w:rsidR="00C938ED" w:rsidRPr="00715C4F">
        <w:rPr>
          <w:rFonts w:ascii="Arial" w:hAnsi="Arial" w:cs="Arial"/>
        </w:rPr>
        <w:t>n the statement of the problem.</w:t>
      </w:r>
      <w:r w:rsidR="000C7125">
        <w:rPr>
          <w:rFonts w:ascii="Arial" w:hAnsi="Arial" w:cs="Arial"/>
        </w:rPr>
        <w:t xml:space="preserve"> </w:t>
      </w:r>
    </w:p>
    <w:p w14:paraId="0EF5AC8F" w14:textId="526E8F01" w:rsidR="002A7778" w:rsidRDefault="008176F1" w:rsidP="00715C4F">
      <w:pPr>
        <w:spacing w:before="240" w:after="167" w:line="360" w:lineRule="auto"/>
        <w:jc w:val="both"/>
        <w:rPr>
          <w:rFonts w:ascii="Arial" w:hAnsi="Arial" w:cs="Arial"/>
        </w:rPr>
      </w:pPr>
      <w:r w:rsidRPr="00715C4F">
        <w:rPr>
          <w:rFonts w:ascii="Arial" w:hAnsi="Arial" w:cs="Arial"/>
        </w:rPr>
        <w:t xml:space="preserve">In addition, gaps in the existing literature were identified in the rationale of the study and its need for a systematic review approach was justified. The research question, aim and objectives were well formulated and guided the investigation. The importance of the study had been discussed with key stakeholders, such as NHS, public health practitioners, policymakers, researchers, ethnic minority communities and healthcare professionals. </w:t>
      </w:r>
    </w:p>
    <w:p w14:paraId="7670FD04" w14:textId="77777777" w:rsidR="002A7778" w:rsidRDefault="002A7778">
      <w:pPr>
        <w:rPr>
          <w:rFonts w:ascii="Arial" w:hAnsi="Arial" w:cs="Arial"/>
        </w:rPr>
      </w:pPr>
      <w:r>
        <w:rPr>
          <w:rFonts w:ascii="Arial" w:hAnsi="Arial" w:cs="Arial"/>
        </w:rPr>
        <w:br w:type="page"/>
      </w:r>
    </w:p>
    <w:p w14:paraId="112AF4FC" w14:textId="42A1C8E6" w:rsidR="00E06F4A" w:rsidRPr="00715C4F" w:rsidRDefault="00092116" w:rsidP="00092116">
      <w:pPr>
        <w:pStyle w:val="Heading1"/>
      </w:pPr>
      <w:bookmarkStart w:id="17" w:name="_Toc241025876"/>
      <w:r w:rsidRPr="00715C4F">
        <w:lastRenderedPageBreak/>
        <w:t>Chapter Two: Literature Review</w:t>
      </w:r>
      <w:bookmarkEnd w:id="17"/>
    </w:p>
    <w:p w14:paraId="73C48D0F" w14:textId="55BB4A46" w:rsidR="00DF3CB3" w:rsidRPr="00715C4F" w:rsidRDefault="00DF3CB3" w:rsidP="0022637B">
      <w:pPr>
        <w:pStyle w:val="Heading2"/>
      </w:pPr>
      <w:bookmarkStart w:id="18" w:name="_Toc241025877"/>
      <w:r w:rsidRPr="00715C4F">
        <w:t>2.1 Introduction</w:t>
      </w:r>
      <w:bookmarkEnd w:id="18"/>
    </w:p>
    <w:p w14:paraId="03B94FA3" w14:textId="1814D445" w:rsidR="00617F80" w:rsidRPr="00715C4F" w:rsidRDefault="00617F80" w:rsidP="00715C4F">
      <w:pPr>
        <w:spacing w:line="360" w:lineRule="auto"/>
        <w:jc w:val="both"/>
        <w:rPr>
          <w:rFonts w:ascii="Arial" w:hAnsi="Arial" w:cs="Arial"/>
        </w:rPr>
      </w:pPr>
      <w:r w:rsidRPr="00715C4F">
        <w:rPr>
          <w:rFonts w:ascii="Arial" w:hAnsi="Arial" w:cs="Arial"/>
        </w:rPr>
        <w:t>The current literature will be critically assessed with regards to the prevalence and associated risk factors of vitamin D deficiency in ethnic minority groups in the United Kingdom (UK). It will start by exploring the physiology of vitamin D and the epidemiology of vitamin D deficiency, including the importance of vitamin D deficiency as a current public health issue, both</w:t>
      </w:r>
      <w:r w:rsidR="00F41BE7">
        <w:rPr>
          <w:rFonts w:ascii="Arial" w:hAnsi="Arial" w:cs="Arial"/>
        </w:rPr>
        <w:t xml:space="preserve"> internationally and in the UK</w:t>
      </w:r>
      <w:r w:rsidR="00055DDA" w:rsidRPr="00715C4F">
        <w:rPr>
          <w:rFonts w:ascii="Arial" w:hAnsi="Arial" w:cs="Arial"/>
        </w:rPr>
        <w:t xml:space="preserve">. </w:t>
      </w:r>
      <w:r w:rsidRPr="00715C4F">
        <w:rPr>
          <w:rFonts w:ascii="Arial" w:hAnsi="Arial" w:cs="Arial"/>
        </w:rPr>
        <w:t>The frequency of vitamin D deficiency in ethnic minority communities will then be discussed and demographic factors that affect vitamin D status (including age, gender, ethnicity and length of time residing in the U</w:t>
      </w:r>
      <w:r w:rsidR="00055DDA" w:rsidRPr="00715C4F">
        <w:rPr>
          <w:rFonts w:ascii="Arial" w:hAnsi="Arial" w:cs="Arial"/>
        </w:rPr>
        <w:t xml:space="preserve">K) will be analysed </w:t>
      </w:r>
      <w:r w:rsidR="00153A51" w:rsidRPr="00715C4F">
        <w:rPr>
          <w:rFonts w:ascii="Arial" w:hAnsi="Arial" w:cs="Arial"/>
        </w:rPr>
        <w:t>critically.</w:t>
      </w:r>
      <w:r w:rsidRPr="00715C4F">
        <w:rPr>
          <w:rFonts w:ascii="Arial" w:hAnsi="Arial" w:cs="Arial"/>
        </w:rPr>
        <w:t xml:space="preserve"> Lastly, the chapter will discuss lacunae in the existing literature that support the need for this systematic review and will present the theoretical framework that will support the study to explain the relationships between the identified determinants and vitamin D deficiency in ethnic minority populations in the UK.</w:t>
      </w:r>
    </w:p>
    <w:p w14:paraId="7730D230" w14:textId="77777777" w:rsidR="00617F80" w:rsidRPr="00715C4F" w:rsidRDefault="00617F80" w:rsidP="0022637B">
      <w:pPr>
        <w:pStyle w:val="Heading2"/>
      </w:pPr>
      <w:bookmarkStart w:id="19" w:name="_Toc241025878"/>
      <w:r w:rsidRPr="00715C4F">
        <w:t>2.2 Literature Search Strategy</w:t>
      </w:r>
      <w:bookmarkEnd w:id="19"/>
    </w:p>
    <w:p w14:paraId="26FC8190" w14:textId="776C1320" w:rsidR="00617F80" w:rsidRPr="00715C4F" w:rsidRDefault="00617F80" w:rsidP="00715C4F">
      <w:pPr>
        <w:spacing w:line="360" w:lineRule="auto"/>
        <w:jc w:val="both"/>
        <w:rPr>
          <w:rFonts w:ascii="Arial" w:hAnsi="Arial" w:cs="Arial"/>
        </w:rPr>
      </w:pPr>
      <w:r w:rsidRPr="00715C4F">
        <w:rPr>
          <w:rFonts w:ascii="Arial" w:hAnsi="Arial" w:cs="Arial"/>
        </w:rPr>
        <w:t>An initial scoping literature search will be carried out to scope and review t</w:t>
      </w:r>
      <w:r w:rsidR="00BE6F21">
        <w:rPr>
          <w:rFonts w:ascii="Arial" w:hAnsi="Arial" w:cs="Arial"/>
        </w:rPr>
        <w:t>he existing body of knowledge on</w:t>
      </w:r>
      <w:r w:rsidRPr="00715C4F">
        <w:rPr>
          <w:rFonts w:ascii="Arial" w:hAnsi="Arial" w:cs="Arial"/>
        </w:rPr>
        <w:t xml:space="preserve"> vitamin D deficiency in ethnic minority g</w:t>
      </w:r>
      <w:r w:rsidR="00CB57A1">
        <w:rPr>
          <w:rFonts w:ascii="Arial" w:hAnsi="Arial" w:cs="Arial"/>
        </w:rPr>
        <w:t>roups in the UK</w:t>
      </w:r>
      <w:r w:rsidRPr="00715C4F">
        <w:rPr>
          <w:rFonts w:ascii="Arial" w:hAnsi="Arial" w:cs="Arial"/>
        </w:rPr>
        <w:t>. This scoping search will not be the actual search for the systematic review, but will be used to help inform the scope, the research question and the subsequent methodology of the systematic review (</w:t>
      </w:r>
      <w:proofErr w:type="spellStart"/>
      <w:r w:rsidRPr="00715C4F">
        <w:rPr>
          <w:rFonts w:ascii="Arial" w:hAnsi="Arial" w:cs="Arial"/>
        </w:rPr>
        <w:t>Arksey</w:t>
      </w:r>
      <w:proofErr w:type="spellEnd"/>
      <w:r w:rsidRPr="00715C4F">
        <w:rPr>
          <w:rFonts w:ascii="Arial" w:hAnsi="Arial" w:cs="Arial"/>
        </w:rPr>
        <w:t xml:space="preserve"> and O'Malley, 2005; Peters et al., 2020).</w:t>
      </w:r>
    </w:p>
    <w:p w14:paraId="547621BE" w14:textId="181EA3F4" w:rsidR="00617F80" w:rsidRPr="00715C4F" w:rsidRDefault="00617F80" w:rsidP="00715C4F">
      <w:pPr>
        <w:spacing w:before="240" w:line="360" w:lineRule="auto"/>
        <w:jc w:val="both"/>
        <w:rPr>
          <w:rFonts w:ascii="Arial" w:hAnsi="Arial" w:cs="Arial"/>
        </w:rPr>
      </w:pPr>
      <w:r w:rsidRPr="00715C4F">
        <w:rPr>
          <w:rFonts w:ascii="Arial" w:hAnsi="Arial" w:cs="Arial"/>
        </w:rPr>
        <w:t xml:space="preserve">Several electronic databases (PubMed, MEDLINE, Scopus, Web of Science, CINAHL, </w:t>
      </w:r>
      <w:proofErr w:type="spellStart"/>
      <w:r w:rsidRPr="00715C4F">
        <w:rPr>
          <w:rFonts w:ascii="Arial" w:hAnsi="Arial" w:cs="Arial"/>
        </w:rPr>
        <w:t>Embase</w:t>
      </w:r>
      <w:proofErr w:type="spellEnd"/>
      <w:r w:rsidRPr="00715C4F">
        <w:rPr>
          <w:rFonts w:ascii="Arial" w:hAnsi="Arial" w:cs="Arial"/>
        </w:rPr>
        <w:t>, and Google Scholar) will be searched for relevant literature. These will be chosen due to their extensive coverage of biomedical, public health, nutrition, and healthcare research and their established reputation as sources of peer-reviewed scientific li</w:t>
      </w:r>
      <w:r w:rsidR="00CC7121" w:rsidRPr="00715C4F">
        <w:rPr>
          <w:rFonts w:ascii="Arial" w:hAnsi="Arial" w:cs="Arial"/>
        </w:rPr>
        <w:t>terature (</w:t>
      </w:r>
      <w:proofErr w:type="spellStart"/>
      <w:r w:rsidR="00CC7121" w:rsidRPr="00715C4F">
        <w:rPr>
          <w:rFonts w:ascii="Arial" w:hAnsi="Arial" w:cs="Arial"/>
        </w:rPr>
        <w:t>Bramer</w:t>
      </w:r>
      <w:proofErr w:type="spellEnd"/>
      <w:r w:rsidR="00CC7121" w:rsidRPr="00715C4F">
        <w:rPr>
          <w:rFonts w:ascii="Arial" w:hAnsi="Arial" w:cs="Arial"/>
        </w:rPr>
        <w:t xml:space="preserve"> et al., 2017). </w:t>
      </w:r>
      <w:r w:rsidRPr="00715C4F">
        <w:rPr>
          <w:rFonts w:ascii="Arial" w:hAnsi="Arial" w:cs="Arial"/>
        </w:rPr>
        <w:t>The search strategy will be tailored by including keywords and Boolean operators from the research question. Key words used will be vitamin D deficiency, vitamin D insufficiency, ethnic minority, South Asian, Black African, Black Caribbean, United Kingdom, UK, sun exposure, diet, socioeconomic factors</w:t>
      </w:r>
      <w:r w:rsidR="00CC7121" w:rsidRPr="00715C4F">
        <w:rPr>
          <w:rFonts w:ascii="Arial" w:hAnsi="Arial" w:cs="Arial"/>
        </w:rPr>
        <w:t xml:space="preserve"> and vitamin D supplementation.</w:t>
      </w:r>
    </w:p>
    <w:p w14:paraId="52F9599A" w14:textId="77777777" w:rsidR="00617F80" w:rsidRPr="00715C4F" w:rsidRDefault="00617F80" w:rsidP="00715C4F">
      <w:pPr>
        <w:spacing w:before="240" w:after="0" w:line="360" w:lineRule="auto"/>
        <w:jc w:val="both"/>
        <w:rPr>
          <w:rFonts w:ascii="Arial" w:hAnsi="Arial" w:cs="Arial"/>
          <w:b/>
        </w:rPr>
      </w:pPr>
      <w:r w:rsidRPr="00715C4F">
        <w:rPr>
          <w:rFonts w:ascii="Arial" w:hAnsi="Arial" w:cs="Arial"/>
          <w:b/>
        </w:rPr>
        <w:t>((Vitamin D deficiency) OR (Vitamin D insufficiency)) AND (ethnic minority) OR (South Asian) OR (Black African) OR (Black Caribbean)) AND (United Kingdom) OR (UK))</w:t>
      </w:r>
    </w:p>
    <w:p w14:paraId="722F302D" w14:textId="6D1B5DAC" w:rsidR="00617F80" w:rsidRPr="00715C4F" w:rsidRDefault="00617F80" w:rsidP="00715C4F">
      <w:pPr>
        <w:spacing w:line="360" w:lineRule="auto"/>
        <w:jc w:val="both"/>
        <w:rPr>
          <w:rFonts w:ascii="Arial" w:hAnsi="Arial" w:cs="Arial"/>
        </w:rPr>
      </w:pPr>
      <w:r w:rsidRPr="00715C4F">
        <w:rPr>
          <w:rFonts w:ascii="Arial" w:hAnsi="Arial" w:cs="Arial"/>
        </w:rPr>
        <w:t xml:space="preserve">Only peer-reviewed journal articles in the English language will be considered, as this will ensure the relevance and quality of the literature reviewed. The review will exclude </w:t>
      </w:r>
      <w:r w:rsidRPr="00715C4F">
        <w:rPr>
          <w:rFonts w:ascii="Arial" w:hAnsi="Arial" w:cs="Arial"/>
        </w:rPr>
        <w:lastRenderedPageBreak/>
        <w:t>studies published prior to 2020, and focus on those published during 2020-2026, to reflect the most up-to-date information on the prevalence and risk fa</w:t>
      </w:r>
      <w:r w:rsidR="00CC7121" w:rsidRPr="00715C4F">
        <w:rPr>
          <w:rFonts w:ascii="Arial" w:hAnsi="Arial" w:cs="Arial"/>
        </w:rPr>
        <w:t xml:space="preserve">ctors for vitamin D deficiency. </w:t>
      </w:r>
      <w:r w:rsidRPr="00715C4F">
        <w:rPr>
          <w:rFonts w:ascii="Arial" w:hAnsi="Arial" w:cs="Arial"/>
        </w:rPr>
        <w:t xml:space="preserve">The literature retrieved from this scoping search will be critically appraised to establish the background of this study, identify common themes and gaps in knowledge and provide support for the formulation of the proposed systematic review protocol. The systematic review search, eligibility criteria and study selection process will be </w:t>
      </w:r>
      <w:r w:rsidR="007E3423">
        <w:rPr>
          <w:rFonts w:ascii="Arial" w:hAnsi="Arial" w:cs="Arial"/>
        </w:rPr>
        <w:t xml:space="preserve">described in detail in Chapter </w:t>
      </w:r>
      <w:r w:rsidR="00D70773">
        <w:rPr>
          <w:rFonts w:ascii="Arial" w:hAnsi="Arial" w:cs="Arial"/>
        </w:rPr>
        <w:t>T</w:t>
      </w:r>
      <w:r w:rsidRPr="00715C4F">
        <w:rPr>
          <w:rFonts w:ascii="Arial" w:hAnsi="Arial" w:cs="Arial"/>
        </w:rPr>
        <w:t>hree following PRISMA guidelines (Page et al., 2021).</w:t>
      </w:r>
    </w:p>
    <w:p w14:paraId="17582D47" w14:textId="77777777" w:rsidR="00617F80" w:rsidRPr="00715C4F" w:rsidRDefault="00617F80" w:rsidP="0022637B">
      <w:pPr>
        <w:pStyle w:val="Heading2"/>
      </w:pPr>
      <w:bookmarkStart w:id="20" w:name="_Toc241025879"/>
      <w:r w:rsidRPr="00715C4F">
        <w:t>2.3 Literature Review</w:t>
      </w:r>
      <w:bookmarkEnd w:id="20"/>
    </w:p>
    <w:p w14:paraId="6C303561" w14:textId="481B07AB" w:rsidR="00CD4246" w:rsidRPr="0022637B" w:rsidRDefault="00CD4246" w:rsidP="00F051EC">
      <w:pPr>
        <w:pStyle w:val="Heading3"/>
      </w:pPr>
      <w:bookmarkStart w:id="21" w:name="_Toc241025880"/>
      <w:r w:rsidRPr="0022637B">
        <w:t>2.3.1 Overview of Vitamin D</w:t>
      </w:r>
      <w:bookmarkEnd w:id="21"/>
    </w:p>
    <w:p w14:paraId="2CCDCB3F" w14:textId="04B192A1" w:rsidR="00617F80" w:rsidRPr="00715C4F" w:rsidRDefault="00617F80" w:rsidP="00715C4F">
      <w:pPr>
        <w:spacing w:line="360" w:lineRule="auto"/>
        <w:jc w:val="both"/>
        <w:rPr>
          <w:rFonts w:ascii="Arial" w:hAnsi="Arial" w:cs="Arial"/>
        </w:rPr>
      </w:pPr>
      <w:r w:rsidRPr="00715C4F">
        <w:rPr>
          <w:rFonts w:ascii="Arial" w:hAnsi="Arial" w:cs="Arial"/>
        </w:rPr>
        <w:t xml:space="preserve">It starts with an overview of the physiology, metabolism, sources, deficiency and health effects of vitamin D, followed by an overview of the global and UK prevalence. The review then critically reviews the demographic, cultural, </w:t>
      </w:r>
      <w:r w:rsidR="00CC7121" w:rsidRPr="00715C4F">
        <w:rPr>
          <w:rFonts w:ascii="Arial" w:hAnsi="Arial" w:cs="Arial"/>
        </w:rPr>
        <w:t>life course</w:t>
      </w:r>
      <w:r w:rsidRPr="00715C4F">
        <w:rPr>
          <w:rFonts w:ascii="Arial" w:hAnsi="Arial" w:cs="Arial"/>
        </w:rPr>
        <w:t xml:space="preserve"> and socioeconomic factors related to vitamin D deficiency and associated public health policies and interventions. This section aims to compare and synthesise the conclusions of previous studies to highlight areas of agreement, disagreement and gaps in knowledge, which would support the need for the current systematic review (SACN, 2020; </w:t>
      </w:r>
      <w:proofErr w:type="spellStart"/>
      <w:r w:rsidRPr="00715C4F">
        <w:rPr>
          <w:rFonts w:ascii="Arial" w:hAnsi="Arial" w:cs="Arial"/>
        </w:rPr>
        <w:t>Amrein</w:t>
      </w:r>
      <w:proofErr w:type="spellEnd"/>
      <w:r w:rsidRPr="00715C4F">
        <w:rPr>
          <w:rFonts w:ascii="Arial" w:hAnsi="Arial" w:cs="Arial"/>
        </w:rPr>
        <w:t xml:space="preserve"> et al., 2020).</w:t>
      </w:r>
      <w:r w:rsidR="00B9298F">
        <w:rPr>
          <w:rFonts w:ascii="Arial" w:hAnsi="Arial" w:cs="Arial"/>
        </w:rPr>
        <w:t xml:space="preserve"> </w:t>
      </w:r>
    </w:p>
    <w:p w14:paraId="6DFAEA2E" w14:textId="03C8A1BE" w:rsidR="00617F80" w:rsidRPr="00715C4F" w:rsidRDefault="009F7956" w:rsidP="00F051EC">
      <w:pPr>
        <w:pStyle w:val="Heading3"/>
      </w:pPr>
      <w:bookmarkStart w:id="22" w:name="_Toc241025881"/>
      <w:r>
        <w:t>2.3.2 Vitamin D Absorption, Transport and S</w:t>
      </w:r>
      <w:r w:rsidR="00617F80" w:rsidRPr="00715C4F">
        <w:t>torage</w:t>
      </w:r>
      <w:bookmarkEnd w:id="22"/>
    </w:p>
    <w:p w14:paraId="515434F3" w14:textId="1A4A3BA2" w:rsidR="006D5C94" w:rsidRPr="00715C4F" w:rsidRDefault="00617F80" w:rsidP="00715C4F">
      <w:pPr>
        <w:spacing w:line="360" w:lineRule="auto"/>
        <w:jc w:val="both"/>
        <w:rPr>
          <w:rFonts w:ascii="Arial" w:hAnsi="Arial" w:cs="Arial"/>
        </w:rPr>
      </w:pPr>
      <w:r w:rsidRPr="00715C4F">
        <w:rPr>
          <w:rFonts w:ascii="Arial" w:hAnsi="Arial" w:cs="Arial"/>
        </w:rPr>
        <w:t xml:space="preserve">Vitamin D is a fat-soluble </w:t>
      </w:r>
      <w:proofErr w:type="spellStart"/>
      <w:r w:rsidRPr="00715C4F">
        <w:rPr>
          <w:rFonts w:ascii="Arial" w:hAnsi="Arial" w:cs="Arial"/>
        </w:rPr>
        <w:t>secosteroid</w:t>
      </w:r>
      <w:proofErr w:type="spellEnd"/>
      <w:r w:rsidRPr="00715C4F">
        <w:rPr>
          <w:rFonts w:ascii="Arial" w:hAnsi="Arial" w:cs="Arial"/>
        </w:rPr>
        <w:t xml:space="preserve"> which plays an essential role in the regulation of calcium and phosphorus and consequently in the mineralisation of bones, muscle function and skeleton health. It is generally agreed upon that it is of crucial importance for musculoskeletal health, but its contribution to chronic disease prevention is not entirely clear. </w:t>
      </w:r>
      <w:proofErr w:type="spellStart"/>
      <w:r w:rsidRPr="00715C4F">
        <w:rPr>
          <w:rFonts w:ascii="Arial" w:hAnsi="Arial" w:cs="Arial"/>
        </w:rPr>
        <w:t>Pilz</w:t>
      </w:r>
      <w:proofErr w:type="spellEnd"/>
      <w:r w:rsidRPr="00715C4F">
        <w:rPr>
          <w:rFonts w:ascii="Arial" w:hAnsi="Arial" w:cs="Arial"/>
        </w:rPr>
        <w:t xml:space="preserve"> </w:t>
      </w:r>
      <w:r w:rsidR="0098684B" w:rsidRPr="00715C4F">
        <w:rPr>
          <w:rFonts w:ascii="Arial" w:hAnsi="Arial" w:cs="Arial"/>
        </w:rPr>
        <w:t xml:space="preserve">et al., </w:t>
      </w:r>
      <w:r w:rsidRPr="00715C4F">
        <w:rPr>
          <w:rFonts w:ascii="Arial" w:hAnsi="Arial" w:cs="Arial"/>
        </w:rPr>
        <w:t xml:space="preserve">(2019) suggest that sufficient vitamin D levels could help lower the risk of cardiovascular, diabetes and autoimmune diseases, while </w:t>
      </w:r>
      <w:proofErr w:type="spellStart"/>
      <w:r w:rsidRPr="00715C4F">
        <w:rPr>
          <w:rFonts w:ascii="Arial" w:hAnsi="Arial" w:cs="Arial"/>
        </w:rPr>
        <w:t>Jolliffe</w:t>
      </w:r>
      <w:proofErr w:type="spellEnd"/>
      <w:r w:rsidRPr="00715C4F">
        <w:rPr>
          <w:rFonts w:ascii="Arial" w:hAnsi="Arial" w:cs="Arial"/>
        </w:rPr>
        <w:t xml:space="preserve"> </w:t>
      </w:r>
      <w:r w:rsidR="006D5C94" w:rsidRPr="00715C4F">
        <w:rPr>
          <w:rFonts w:ascii="Arial" w:hAnsi="Arial" w:cs="Arial"/>
        </w:rPr>
        <w:t>et al., (</w:t>
      </w:r>
      <w:r w:rsidRPr="00715C4F">
        <w:rPr>
          <w:rFonts w:ascii="Arial" w:hAnsi="Arial" w:cs="Arial"/>
        </w:rPr>
        <w:t>2023) propose that data from RCTs are inconsistent and further studies are needed.</w:t>
      </w:r>
    </w:p>
    <w:p w14:paraId="3DEF846B" w14:textId="2166536B" w:rsidR="00F05414" w:rsidRPr="00715C4F" w:rsidRDefault="00617F80" w:rsidP="00715C4F">
      <w:pPr>
        <w:spacing w:before="240" w:line="360" w:lineRule="auto"/>
        <w:jc w:val="both"/>
        <w:rPr>
          <w:rFonts w:ascii="Arial" w:hAnsi="Arial" w:cs="Arial"/>
        </w:rPr>
      </w:pPr>
      <w:r w:rsidRPr="00715C4F">
        <w:rPr>
          <w:rFonts w:ascii="Arial" w:hAnsi="Arial" w:cs="Arial"/>
        </w:rPr>
        <w:t>The metabolism of vitamin D starts with the synthesis in the skin, after exposure to ultraviolet B (UVB) radiation, or after absorption from food and supplements</w:t>
      </w:r>
      <w:r w:rsidR="009244D1" w:rsidRPr="00715C4F">
        <w:rPr>
          <w:rFonts w:ascii="Arial" w:hAnsi="Arial" w:cs="Arial"/>
        </w:rPr>
        <w:t xml:space="preserve"> </w:t>
      </w:r>
      <w:r w:rsidR="00B6721D" w:rsidRPr="00B6721D">
        <w:rPr>
          <w:rFonts w:ascii="Arial" w:hAnsi="Arial" w:cs="Arial"/>
        </w:rPr>
        <w:t xml:space="preserve">(SACN, 2016; </w:t>
      </w:r>
      <w:proofErr w:type="spellStart"/>
      <w:r w:rsidR="00B6721D" w:rsidRPr="00B6721D">
        <w:rPr>
          <w:rFonts w:ascii="Arial" w:hAnsi="Arial" w:cs="Arial"/>
        </w:rPr>
        <w:t>Pilz</w:t>
      </w:r>
      <w:proofErr w:type="spellEnd"/>
      <w:r w:rsidR="00B6721D" w:rsidRPr="00B6721D">
        <w:rPr>
          <w:rFonts w:ascii="Arial" w:hAnsi="Arial" w:cs="Arial"/>
        </w:rPr>
        <w:t xml:space="preserve"> et al., 2019)</w:t>
      </w:r>
      <w:r w:rsidR="00B6721D">
        <w:rPr>
          <w:rFonts w:ascii="Arial" w:hAnsi="Arial" w:cs="Arial"/>
        </w:rPr>
        <w:t xml:space="preserve">. </w:t>
      </w:r>
      <w:r w:rsidRPr="00715C4F">
        <w:rPr>
          <w:rFonts w:ascii="Arial" w:hAnsi="Arial" w:cs="Arial"/>
        </w:rPr>
        <w:t xml:space="preserve">The vitamin is initially </w:t>
      </w:r>
      <w:proofErr w:type="spellStart"/>
      <w:r w:rsidRPr="00715C4F">
        <w:rPr>
          <w:rFonts w:ascii="Arial" w:hAnsi="Arial" w:cs="Arial"/>
        </w:rPr>
        <w:t>hydroxylated</w:t>
      </w:r>
      <w:proofErr w:type="spellEnd"/>
      <w:r w:rsidRPr="00715C4F">
        <w:rPr>
          <w:rFonts w:ascii="Arial" w:hAnsi="Arial" w:cs="Arial"/>
        </w:rPr>
        <w:t xml:space="preserve"> in the liver to 25-hydroxyvitamin D [25(OH</w:t>
      </w:r>
      <w:proofErr w:type="gramStart"/>
      <w:r w:rsidRPr="00715C4F">
        <w:rPr>
          <w:rFonts w:ascii="Arial" w:hAnsi="Arial" w:cs="Arial"/>
        </w:rPr>
        <w:t>)D</w:t>
      </w:r>
      <w:proofErr w:type="gramEnd"/>
      <w:r w:rsidRPr="00715C4F">
        <w:rPr>
          <w:rFonts w:ascii="Arial" w:hAnsi="Arial" w:cs="Arial"/>
        </w:rPr>
        <w:t xml:space="preserve">] which is the major vitamin D biomarker, and then further </w:t>
      </w:r>
      <w:proofErr w:type="spellStart"/>
      <w:r w:rsidRPr="00715C4F">
        <w:rPr>
          <w:rFonts w:ascii="Arial" w:hAnsi="Arial" w:cs="Arial"/>
        </w:rPr>
        <w:t>hydroxylated</w:t>
      </w:r>
      <w:proofErr w:type="spellEnd"/>
      <w:r w:rsidRPr="00715C4F">
        <w:rPr>
          <w:rFonts w:ascii="Arial" w:hAnsi="Arial" w:cs="Arial"/>
        </w:rPr>
        <w:t xml:space="preserve"> in the kidneys to the biologically active form, 1,25-dihydroxyvitamin D (SACN, 2020). </w:t>
      </w:r>
      <w:proofErr w:type="spellStart"/>
      <w:r w:rsidRPr="00715C4F">
        <w:rPr>
          <w:rFonts w:ascii="Arial" w:hAnsi="Arial" w:cs="Arial"/>
        </w:rPr>
        <w:t>Pilz</w:t>
      </w:r>
      <w:proofErr w:type="spellEnd"/>
      <w:r w:rsidRPr="00715C4F">
        <w:rPr>
          <w:rFonts w:ascii="Arial" w:hAnsi="Arial" w:cs="Arial"/>
        </w:rPr>
        <w:t xml:space="preserve"> </w:t>
      </w:r>
      <w:r w:rsidR="009244D1" w:rsidRPr="00715C4F">
        <w:rPr>
          <w:rFonts w:ascii="Arial" w:hAnsi="Arial" w:cs="Arial"/>
        </w:rPr>
        <w:t>et al., (</w:t>
      </w:r>
      <w:r w:rsidRPr="00715C4F">
        <w:rPr>
          <w:rFonts w:ascii="Arial" w:hAnsi="Arial" w:cs="Arial"/>
        </w:rPr>
        <w:t>2019) found that 25(OH</w:t>
      </w:r>
      <w:proofErr w:type="gramStart"/>
      <w:r w:rsidRPr="00715C4F">
        <w:rPr>
          <w:rFonts w:ascii="Arial" w:hAnsi="Arial" w:cs="Arial"/>
        </w:rPr>
        <w:t>)D</w:t>
      </w:r>
      <w:proofErr w:type="gramEnd"/>
      <w:r w:rsidRPr="00715C4F">
        <w:rPr>
          <w:rFonts w:ascii="Arial" w:hAnsi="Arial" w:cs="Arial"/>
        </w:rPr>
        <w:t xml:space="preserve"> in the blood is the best indicator of vitamin D status, as it reflects both production in the body by the skin and consumption in the diet. Therefore, supplementation is recommended for individuals </w:t>
      </w:r>
      <w:r w:rsidRPr="00715C4F">
        <w:rPr>
          <w:rFonts w:ascii="Arial" w:hAnsi="Arial" w:cs="Arial"/>
        </w:rPr>
        <w:lastRenderedPageBreak/>
        <w:t>who are at higher risk of deficiency, for example during autumn and winter in the</w:t>
      </w:r>
      <w:r w:rsidR="004F7A04">
        <w:rPr>
          <w:rFonts w:ascii="Arial" w:hAnsi="Arial" w:cs="Arial"/>
        </w:rPr>
        <w:t xml:space="preserve"> UK</w:t>
      </w:r>
      <w:r w:rsidRPr="00715C4F">
        <w:rPr>
          <w:rFonts w:ascii="Arial" w:hAnsi="Arial" w:cs="Arial"/>
        </w:rPr>
        <w:t xml:space="preserve"> where there is limit</w:t>
      </w:r>
      <w:r w:rsidR="00CC7121" w:rsidRPr="00715C4F">
        <w:rPr>
          <w:rFonts w:ascii="Arial" w:hAnsi="Arial" w:cs="Arial"/>
        </w:rPr>
        <w:t>ed UV-B radiation (SACN, 2020).</w:t>
      </w:r>
      <w:r w:rsidR="00F4500B">
        <w:rPr>
          <w:rFonts w:ascii="Arial" w:hAnsi="Arial" w:cs="Arial"/>
        </w:rPr>
        <w:t xml:space="preserve"> </w:t>
      </w:r>
    </w:p>
    <w:p w14:paraId="689BB717" w14:textId="78DE7B50" w:rsidR="00F05414" w:rsidRPr="00715C4F" w:rsidRDefault="000E6D17" w:rsidP="00F051EC">
      <w:pPr>
        <w:pStyle w:val="Heading3"/>
      </w:pPr>
      <w:bookmarkStart w:id="23" w:name="_Toc241025882"/>
      <w:r w:rsidRPr="00715C4F">
        <w:t>2.3.3</w:t>
      </w:r>
      <w:r w:rsidR="00F05414" w:rsidRPr="00715C4F">
        <w:t xml:space="preserve"> Prevalence of Vitamin D Deficiency</w:t>
      </w:r>
      <w:bookmarkEnd w:id="23"/>
      <w:r w:rsidR="00F4500B">
        <w:t xml:space="preserve"> </w:t>
      </w:r>
    </w:p>
    <w:p w14:paraId="5B4B18E1" w14:textId="7BFE36B3" w:rsidR="00E63C5F" w:rsidRPr="00715C4F" w:rsidRDefault="00E63C5F" w:rsidP="00715C4F">
      <w:pPr>
        <w:spacing w:line="360" w:lineRule="auto"/>
        <w:jc w:val="both"/>
        <w:rPr>
          <w:rFonts w:ascii="Arial" w:hAnsi="Arial" w:cs="Arial"/>
        </w:rPr>
      </w:pPr>
      <w:r w:rsidRPr="00715C4F">
        <w:rPr>
          <w:rFonts w:ascii="Arial" w:hAnsi="Arial" w:cs="Arial"/>
        </w:rPr>
        <w:t xml:space="preserve">Global vitamin D deficiency is acknowledged as a significant public health issue, impacting a broad spectrum of populations and age groups worldwide. More than one billion people worldwide have insufficient levels of vitamin D, although the prevalence rate reported varies widely, depending on the threshold used to diagnose </w:t>
      </w:r>
      <w:proofErr w:type="spellStart"/>
      <w:r w:rsidRPr="00715C4F">
        <w:rPr>
          <w:rFonts w:ascii="Arial" w:hAnsi="Arial" w:cs="Arial"/>
        </w:rPr>
        <w:t>hypovitaminosis</w:t>
      </w:r>
      <w:proofErr w:type="spellEnd"/>
      <w:r w:rsidRPr="00715C4F">
        <w:rPr>
          <w:rFonts w:ascii="Arial" w:hAnsi="Arial" w:cs="Arial"/>
        </w:rPr>
        <w:t xml:space="preserve"> D, target population, latitude, and the methods employed to measure serum 25-hydroxyvitamin D [25(OH)D] concentrations (</w:t>
      </w:r>
      <w:proofErr w:type="spellStart"/>
      <w:r w:rsidRPr="00715C4F">
        <w:rPr>
          <w:rFonts w:ascii="Arial" w:hAnsi="Arial" w:cs="Arial"/>
        </w:rPr>
        <w:t>Amrein</w:t>
      </w:r>
      <w:proofErr w:type="spellEnd"/>
      <w:r w:rsidRPr="00715C4F">
        <w:rPr>
          <w:rFonts w:ascii="Arial" w:hAnsi="Arial" w:cs="Arial"/>
        </w:rPr>
        <w:t xml:space="preserve"> et al., 2020). People living in higher latitudes (such as the UK) are especially vulnerable since they may have a reduction in sources of ultraviolet B (UVB) radiation for several months a year, which </w:t>
      </w:r>
      <w:r w:rsidR="00063342">
        <w:rPr>
          <w:rFonts w:ascii="Arial" w:hAnsi="Arial" w:cs="Arial"/>
        </w:rPr>
        <w:t>reduces the ability to synthesis</w:t>
      </w:r>
      <w:r w:rsidRPr="00715C4F">
        <w:rPr>
          <w:rFonts w:ascii="Arial" w:hAnsi="Arial" w:cs="Arial"/>
        </w:rPr>
        <w:t>e vitamin D (</w:t>
      </w:r>
      <w:r w:rsidR="002A443F" w:rsidRPr="00715C4F">
        <w:rPr>
          <w:rFonts w:ascii="Arial" w:hAnsi="Arial" w:cs="Arial"/>
        </w:rPr>
        <w:t>SACN, 2020).</w:t>
      </w:r>
    </w:p>
    <w:p w14:paraId="6DFC0502" w14:textId="21F25E0E" w:rsidR="00E63C5F" w:rsidRPr="00715C4F" w:rsidRDefault="00E63C5F" w:rsidP="00715C4F">
      <w:pPr>
        <w:spacing w:before="240" w:line="360" w:lineRule="auto"/>
        <w:jc w:val="both"/>
        <w:rPr>
          <w:rFonts w:ascii="Arial" w:hAnsi="Arial" w:cs="Arial"/>
        </w:rPr>
      </w:pPr>
      <w:r w:rsidRPr="00715C4F">
        <w:rPr>
          <w:rFonts w:ascii="Arial" w:hAnsi="Arial" w:cs="Arial"/>
        </w:rPr>
        <w:t>Vitamin D deficiency continues to be a chronic public health problem in the UK in the face of national recommendations for supplementation. The National Diet and Nutrition Survey (NDNS) has consistently shown that a large proportion of the UK population have serum 25(OH)D levels below recommended levels, with ethnic minority groups more likely to be deficient, and winter and spring being the most prevalent time of year for 25(OH)D deficiency (Public Health England, 2020). Likewise, vitamin D status has been shown to be significantly different between South Asian (and Black) and White British ethnic groups in analyses of UK Biobank data, with higher rates of deficiency among South Asian and Black gr</w:t>
      </w:r>
      <w:r w:rsidR="00CC7121" w:rsidRPr="00715C4F">
        <w:rPr>
          <w:rFonts w:ascii="Arial" w:hAnsi="Arial" w:cs="Arial"/>
        </w:rPr>
        <w:t>oups (Sutherland et al., 2021).</w:t>
      </w:r>
    </w:p>
    <w:p w14:paraId="0D374CB6" w14:textId="2899532F" w:rsidR="00E63C5F" w:rsidRPr="00715C4F" w:rsidRDefault="00E63C5F" w:rsidP="00715C4F">
      <w:pPr>
        <w:spacing w:before="240" w:line="360" w:lineRule="auto"/>
        <w:jc w:val="both"/>
        <w:rPr>
          <w:rFonts w:ascii="Arial" w:hAnsi="Arial" w:cs="Arial"/>
        </w:rPr>
      </w:pPr>
      <w:r w:rsidRPr="00715C4F">
        <w:rPr>
          <w:rFonts w:ascii="Arial" w:hAnsi="Arial" w:cs="Arial"/>
        </w:rPr>
        <w:t>While both the NDNS and the UK Biobank report vitamin D deficiency as an important area of public health concern, there are some significant differences between them. The purpose of the NDNS is to gather nationally representative estimates of diet and biochemical status over a large, representative sample of the UK population. UK Biobank, however, is a large cohort of middle aged and elderly citizens who are volunteers, allowing extensive study of demographic, ethnic and socioeconomic factors, but with less population representation (Sutherland et al., 2021). As a result, UK Biobank provides more statistical power to study the risk factors, while the NDNS provides more precise es</w:t>
      </w:r>
      <w:r w:rsidR="00CC7121" w:rsidRPr="00715C4F">
        <w:rPr>
          <w:rFonts w:ascii="Arial" w:hAnsi="Arial" w:cs="Arial"/>
        </w:rPr>
        <w:t>timates of national prevalence.</w:t>
      </w:r>
    </w:p>
    <w:p w14:paraId="32026EB2" w14:textId="0D819144" w:rsidR="00E63C5F" w:rsidRPr="00715C4F" w:rsidRDefault="000E6D17" w:rsidP="00F051EC">
      <w:pPr>
        <w:pStyle w:val="Heading3"/>
      </w:pPr>
      <w:bookmarkStart w:id="24" w:name="_Toc241025883"/>
      <w:r w:rsidRPr="00715C4F">
        <w:t>2.3.4</w:t>
      </w:r>
      <w:r w:rsidR="00E63C5F" w:rsidRPr="00715C4F">
        <w:t xml:space="preserve"> Demographic Determinants</w:t>
      </w:r>
      <w:bookmarkEnd w:id="24"/>
    </w:p>
    <w:p w14:paraId="75D1E5CD" w14:textId="6A361582" w:rsidR="00E63C5F" w:rsidRPr="00715C4F" w:rsidRDefault="00E63C5F" w:rsidP="00715C4F">
      <w:pPr>
        <w:spacing w:line="360" w:lineRule="auto"/>
        <w:jc w:val="both"/>
        <w:rPr>
          <w:rFonts w:ascii="Arial" w:hAnsi="Arial" w:cs="Arial"/>
        </w:rPr>
      </w:pPr>
      <w:r w:rsidRPr="00715C4F">
        <w:rPr>
          <w:rFonts w:ascii="Arial" w:hAnsi="Arial" w:cs="Arial"/>
        </w:rPr>
        <w:t>Demographic factors have been well established as modifiable factors affecting vitamin D status and are well recognised as playing an important role in the observed differ</w:t>
      </w:r>
      <w:r w:rsidR="006A6787">
        <w:rPr>
          <w:rFonts w:ascii="Arial" w:hAnsi="Arial" w:cs="Arial"/>
        </w:rPr>
        <w:t>ences in vitamin D deficiency among</w:t>
      </w:r>
      <w:r w:rsidRPr="00715C4F">
        <w:rPr>
          <w:rFonts w:ascii="Arial" w:hAnsi="Arial" w:cs="Arial"/>
        </w:rPr>
        <w:t xml:space="preserve"> ethnic minority g</w:t>
      </w:r>
      <w:r w:rsidR="000E4ED5">
        <w:rPr>
          <w:rFonts w:ascii="Arial" w:hAnsi="Arial" w:cs="Arial"/>
        </w:rPr>
        <w:t>roups in the UK</w:t>
      </w:r>
      <w:r w:rsidR="008B237C" w:rsidRPr="00715C4F">
        <w:rPr>
          <w:rFonts w:ascii="Arial" w:hAnsi="Arial" w:cs="Arial"/>
        </w:rPr>
        <w:t xml:space="preserve"> (Sutherland </w:t>
      </w:r>
      <w:r w:rsidR="008B237C" w:rsidRPr="00715C4F">
        <w:rPr>
          <w:rFonts w:ascii="Arial" w:hAnsi="Arial" w:cs="Arial"/>
        </w:rPr>
        <w:lastRenderedPageBreak/>
        <w:t xml:space="preserve">et al., 2021; </w:t>
      </w:r>
      <w:r w:rsidR="00CF5280">
        <w:rPr>
          <w:rFonts w:ascii="Arial" w:hAnsi="Arial" w:cs="Arial"/>
        </w:rPr>
        <w:t>SACN</w:t>
      </w:r>
      <w:r w:rsidR="008B237C" w:rsidRPr="00715C4F">
        <w:rPr>
          <w:rFonts w:ascii="Arial" w:hAnsi="Arial" w:cs="Arial"/>
        </w:rPr>
        <w:t>, 2020)</w:t>
      </w:r>
      <w:r w:rsidRPr="00715C4F">
        <w:rPr>
          <w:rFonts w:ascii="Arial" w:hAnsi="Arial" w:cs="Arial"/>
        </w:rPr>
        <w:t>. Vitamin D synthesis, metabolism and total exposure to environmental and behavioural risk factors are affected by factors such as age, gender, ethnicity, migration history and skin pigmentation (</w:t>
      </w:r>
      <w:r w:rsidR="00CC7121" w:rsidRPr="00715C4F">
        <w:rPr>
          <w:rFonts w:ascii="Arial" w:hAnsi="Arial" w:cs="Arial"/>
        </w:rPr>
        <w:t>SACN, 2020).</w:t>
      </w:r>
    </w:p>
    <w:p w14:paraId="4A2DC3E8" w14:textId="6C467DB8" w:rsidR="00E63C5F" w:rsidRPr="00715C4F" w:rsidRDefault="00E63C5F" w:rsidP="00715C4F">
      <w:pPr>
        <w:spacing w:before="240" w:line="360" w:lineRule="auto"/>
        <w:jc w:val="both"/>
        <w:rPr>
          <w:rFonts w:ascii="Arial" w:hAnsi="Arial" w:cs="Arial"/>
        </w:rPr>
      </w:pPr>
      <w:r w:rsidRPr="00715C4F">
        <w:rPr>
          <w:rFonts w:ascii="Arial" w:hAnsi="Arial" w:cs="Arial"/>
        </w:rPr>
        <w:t xml:space="preserve">Age has always been linked to Vitamin D deficiency. The elderly </w:t>
      </w:r>
      <w:r w:rsidR="00593A4C">
        <w:rPr>
          <w:rFonts w:ascii="Arial" w:hAnsi="Arial" w:cs="Arial"/>
        </w:rPr>
        <w:t>are</w:t>
      </w:r>
      <w:r w:rsidRPr="00715C4F">
        <w:rPr>
          <w:rFonts w:ascii="Arial" w:hAnsi="Arial" w:cs="Arial"/>
        </w:rPr>
        <w:t xml:space="preserve"> at higher risk as with ageing, the skin has decreased ability to produce vitamin D after exposure to ultra-violet B (UVB), and they may have less outdoor activity and less intake of food (</w:t>
      </w:r>
      <w:proofErr w:type="spellStart"/>
      <w:r w:rsidRPr="00715C4F">
        <w:rPr>
          <w:rFonts w:ascii="Arial" w:hAnsi="Arial" w:cs="Arial"/>
        </w:rPr>
        <w:t>Amrein</w:t>
      </w:r>
      <w:proofErr w:type="spellEnd"/>
      <w:r w:rsidRPr="00715C4F">
        <w:rPr>
          <w:rFonts w:ascii="Arial" w:hAnsi="Arial" w:cs="Arial"/>
        </w:rPr>
        <w:t xml:space="preserve"> et al., 2020). However, children and adolescents from ethnic minority communities are also considered vulnerable, particularly due to high vitamin D demands during rapid growth and difficulties in ensuring sufficient exposure to sunlight due to cultural and </w:t>
      </w:r>
      <w:r w:rsidR="003F58D8" w:rsidRPr="00715C4F">
        <w:rPr>
          <w:rFonts w:ascii="Arial" w:hAnsi="Arial" w:cs="Arial"/>
        </w:rPr>
        <w:t>behavioural</w:t>
      </w:r>
      <w:r w:rsidRPr="00715C4F">
        <w:rPr>
          <w:rFonts w:ascii="Arial" w:hAnsi="Arial" w:cs="Arial"/>
        </w:rPr>
        <w:t xml:space="preserve"> differences (Darling et al., 2020). </w:t>
      </w:r>
    </w:p>
    <w:p w14:paraId="12800360" w14:textId="1F519CCC" w:rsidR="00E63C5F" w:rsidRPr="00715C4F" w:rsidRDefault="00DF2C6E" w:rsidP="00715C4F">
      <w:pPr>
        <w:spacing w:before="240" w:line="360" w:lineRule="auto"/>
        <w:jc w:val="both"/>
        <w:rPr>
          <w:rFonts w:ascii="Arial" w:hAnsi="Arial" w:cs="Arial"/>
        </w:rPr>
      </w:pPr>
      <w:r w:rsidRPr="00715C4F">
        <w:rPr>
          <w:rFonts w:ascii="Arial" w:hAnsi="Arial" w:cs="Arial"/>
        </w:rPr>
        <w:t>Evidence regarding gender differences in vitamin D status has been inconsistent. Nevertheless, several studies have reported that vitamin D deficiency is more prevalent among women than men, particularly within South Asian and Middle Eastern communities in the</w:t>
      </w:r>
      <w:r w:rsidR="00883620">
        <w:rPr>
          <w:rFonts w:ascii="Arial" w:hAnsi="Arial" w:cs="Arial"/>
        </w:rPr>
        <w:t xml:space="preserve"> UK</w:t>
      </w:r>
      <w:r w:rsidRPr="00715C4F">
        <w:rPr>
          <w:rFonts w:ascii="Arial" w:hAnsi="Arial" w:cs="Arial"/>
        </w:rPr>
        <w:t>. This disparity has been attributed to factors inc</w:t>
      </w:r>
      <w:r w:rsidR="00925E5A">
        <w:rPr>
          <w:rFonts w:ascii="Arial" w:hAnsi="Arial" w:cs="Arial"/>
        </w:rPr>
        <w:t>luding cultural clothing practis</w:t>
      </w:r>
      <w:r w:rsidRPr="00715C4F">
        <w:rPr>
          <w:rFonts w:ascii="Arial" w:hAnsi="Arial" w:cs="Arial"/>
        </w:rPr>
        <w:t>es, lower levels of sunlight exposure, pregnancy-related nutritional demands, and differences in dietary intake and supplementation behaviours (Darling et al., 2020; Cashman et al., 2022; SACN, 2020).</w:t>
      </w:r>
      <w:r w:rsidR="005E38C7">
        <w:rPr>
          <w:rFonts w:ascii="Arial" w:hAnsi="Arial" w:cs="Arial"/>
        </w:rPr>
        <w:t xml:space="preserve"> </w:t>
      </w:r>
      <w:r w:rsidR="00E63C5F" w:rsidRPr="00715C4F">
        <w:rPr>
          <w:rFonts w:ascii="Arial" w:hAnsi="Arial" w:cs="Arial"/>
        </w:rPr>
        <w:t>Some other studies, however, have found only small gender differences when ethnicity and socioeconomic status have been taken into account, meaning gender may have some interactions with other factors that contribute to the risk, but are not considered an independent risk fa</w:t>
      </w:r>
      <w:r w:rsidR="00CC7121" w:rsidRPr="00715C4F">
        <w:rPr>
          <w:rFonts w:ascii="Arial" w:hAnsi="Arial" w:cs="Arial"/>
        </w:rPr>
        <w:t>ctor (Sutherland et al., 2021).</w:t>
      </w:r>
    </w:p>
    <w:p w14:paraId="3E678D72" w14:textId="5622E805" w:rsidR="00E63C5F" w:rsidRPr="00715C4F" w:rsidRDefault="00E63C5F" w:rsidP="00715C4F">
      <w:pPr>
        <w:spacing w:before="240" w:line="360" w:lineRule="auto"/>
        <w:jc w:val="both"/>
        <w:rPr>
          <w:rFonts w:ascii="Arial" w:hAnsi="Arial" w:cs="Arial"/>
        </w:rPr>
      </w:pPr>
      <w:r w:rsidRPr="00715C4F">
        <w:rPr>
          <w:rFonts w:ascii="Arial" w:hAnsi="Arial" w:cs="Arial"/>
        </w:rPr>
        <w:t>The South Asian, Black African, Black Caribbean and Middle Eastern populations are significantly more likely to have low levels of serum 25-hydroxyvitamin D [25(OH)D] than the White British population, as shown by large population-based studies (Sutherland et al., 2021). Migration status is an additional factor affecting vitamin D status, with people who migrate from areas with high year-round sun exposure potentially having reduced cutaneous synthesis of vitamin D when they move to northern regions</w:t>
      </w:r>
      <w:r w:rsidR="005E38C7">
        <w:rPr>
          <w:rFonts w:ascii="Arial" w:hAnsi="Arial" w:cs="Arial"/>
        </w:rPr>
        <w:t>,</w:t>
      </w:r>
      <w:r w:rsidRPr="00715C4F">
        <w:rPr>
          <w:rFonts w:ascii="Arial" w:hAnsi="Arial" w:cs="Arial"/>
        </w:rPr>
        <w:t xml:space="preserve"> </w:t>
      </w:r>
      <w:r w:rsidR="009D77BA" w:rsidRPr="00715C4F">
        <w:rPr>
          <w:rFonts w:ascii="Arial" w:hAnsi="Arial" w:cs="Arial"/>
        </w:rPr>
        <w:t>for example UK where</w:t>
      </w:r>
      <w:r w:rsidRPr="00715C4F">
        <w:rPr>
          <w:rFonts w:ascii="Arial" w:hAnsi="Arial" w:cs="Arial"/>
        </w:rPr>
        <w:t xml:space="preserve"> there is low year-round sun e</w:t>
      </w:r>
      <w:r w:rsidR="00CC7121" w:rsidRPr="00715C4F">
        <w:rPr>
          <w:rFonts w:ascii="Arial" w:hAnsi="Arial" w:cs="Arial"/>
        </w:rPr>
        <w:t>xposure (Darling et al., 2020).</w:t>
      </w:r>
    </w:p>
    <w:p w14:paraId="0DDB2718" w14:textId="24007265" w:rsidR="00CC7121" w:rsidRPr="00715C4F" w:rsidRDefault="00E63C5F" w:rsidP="00715C4F">
      <w:pPr>
        <w:spacing w:before="240" w:line="360" w:lineRule="auto"/>
        <w:jc w:val="both"/>
        <w:rPr>
          <w:rFonts w:ascii="Arial" w:hAnsi="Arial" w:cs="Arial"/>
        </w:rPr>
      </w:pPr>
      <w:r w:rsidRPr="00715C4F">
        <w:rPr>
          <w:rFonts w:ascii="Arial" w:hAnsi="Arial" w:cs="Arial"/>
        </w:rPr>
        <w:t xml:space="preserve">While it is agreed there is a major role of ethnicity and pigmentation in determining vitamin D deficiency, the relative importance of the biological and social factors has been debated. Although reduced vitamin D synthesis is mainly due to the biological factors, Sutherland </w:t>
      </w:r>
      <w:r w:rsidR="006D5C94" w:rsidRPr="00715C4F">
        <w:rPr>
          <w:rFonts w:ascii="Arial" w:hAnsi="Arial" w:cs="Arial"/>
        </w:rPr>
        <w:t>et al., (</w:t>
      </w:r>
      <w:r w:rsidRPr="00715C4F">
        <w:rPr>
          <w:rFonts w:ascii="Arial" w:hAnsi="Arial" w:cs="Arial"/>
        </w:rPr>
        <w:t>2021) suggest that socioeconomi</w:t>
      </w:r>
      <w:r w:rsidR="002D5D5E">
        <w:rPr>
          <w:rFonts w:ascii="Arial" w:hAnsi="Arial" w:cs="Arial"/>
        </w:rPr>
        <w:t>c disadvantage, cultural practis</w:t>
      </w:r>
      <w:r w:rsidRPr="00715C4F">
        <w:rPr>
          <w:rFonts w:ascii="Arial" w:hAnsi="Arial" w:cs="Arial"/>
        </w:rPr>
        <w:t xml:space="preserve">es, and health behaviours significantly exacerbate these risks. Therefore, when </w:t>
      </w:r>
      <w:r w:rsidRPr="00715C4F">
        <w:rPr>
          <w:rFonts w:ascii="Arial" w:hAnsi="Arial" w:cs="Arial"/>
        </w:rPr>
        <w:lastRenderedPageBreak/>
        <w:t>assessing the disproportionately high prevalence of vitamin D deficiency in ethnic minority groups, demographic factors should be taken into account together with the broader cultural and socioeconomic factors</w:t>
      </w:r>
      <w:r w:rsidR="007E7FD5" w:rsidRPr="00715C4F">
        <w:rPr>
          <w:rFonts w:ascii="Arial" w:hAnsi="Arial" w:cs="Arial"/>
        </w:rPr>
        <w:t>.</w:t>
      </w:r>
    </w:p>
    <w:p w14:paraId="0E9DF3FE" w14:textId="25DFAE85" w:rsidR="003B7F62" w:rsidRPr="00F051EC" w:rsidRDefault="000E6D17" w:rsidP="00F051EC">
      <w:pPr>
        <w:pStyle w:val="Heading3"/>
      </w:pPr>
      <w:bookmarkStart w:id="25" w:name="_Toc241025884"/>
      <w:r w:rsidRPr="00F051EC">
        <w:t>2.3.5</w:t>
      </w:r>
      <w:r w:rsidR="003B7F62" w:rsidRPr="00F051EC">
        <w:t xml:space="preserve"> Cultural and Lifestyle Determinants</w:t>
      </w:r>
      <w:bookmarkEnd w:id="25"/>
    </w:p>
    <w:p w14:paraId="018203C2" w14:textId="2250ABF8" w:rsidR="001502B1" w:rsidRPr="00715C4F" w:rsidRDefault="001502B1" w:rsidP="00715C4F">
      <w:pPr>
        <w:spacing w:line="360" w:lineRule="auto"/>
        <w:jc w:val="both"/>
        <w:rPr>
          <w:rFonts w:ascii="Arial" w:hAnsi="Arial" w:cs="Arial"/>
        </w:rPr>
      </w:pPr>
      <w:r w:rsidRPr="00715C4F">
        <w:rPr>
          <w:rFonts w:ascii="Arial" w:hAnsi="Arial" w:cs="Arial"/>
        </w:rPr>
        <w:t>Ethnic minority g</w:t>
      </w:r>
      <w:r w:rsidR="00527C95">
        <w:rPr>
          <w:rFonts w:ascii="Arial" w:hAnsi="Arial" w:cs="Arial"/>
        </w:rPr>
        <w:t>roups in the UK</w:t>
      </w:r>
      <w:r w:rsidRPr="00715C4F">
        <w:rPr>
          <w:rFonts w:ascii="Arial" w:hAnsi="Arial" w:cs="Arial"/>
        </w:rPr>
        <w:t xml:space="preserve"> have a disproportionately high prevalence of vitamin D deficiency and this is recognised to be influenced by cultural and lifestyle factors. The determinants are engineered by behaviours, culture, religion and environment in the individual and can be potentially changed, whereas the </w:t>
      </w:r>
      <w:r w:rsidR="00CC7121" w:rsidRPr="00715C4F">
        <w:rPr>
          <w:rFonts w:ascii="Arial" w:hAnsi="Arial" w:cs="Arial"/>
        </w:rPr>
        <w:t>biological determinants cannot.</w:t>
      </w:r>
    </w:p>
    <w:p w14:paraId="124F4C31" w14:textId="13CB0C6E" w:rsidR="001502B1" w:rsidRPr="00715C4F" w:rsidRDefault="001502B1" w:rsidP="00715C4F">
      <w:pPr>
        <w:spacing w:before="240" w:line="360" w:lineRule="auto"/>
        <w:jc w:val="both"/>
        <w:rPr>
          <w:rFonts w:ascii="Arial" w:hAnsi="Arial" w:cs="Arial"/>
        </w:rPr>
      </w:pPr>
      <w:r w:rsidRPr="00715C4F">
        <w:rPr>
          <w:rFonts w:ascii="Arial" w:hAnsi="Arial" w:cs="Arial"/>
        </w:rPr>
        <w:t xml:space="preserve">However, natural food sources of vitamin D are limited and multiple studies have consistently noted that some ethnic minority populations have lower vitamin D intake because cultural food preferences, vegetarian diets, lactose intolerance and limited intake of oily fish or fortified foods may explain this (Darling et al., 2020; Cashman et al., 2022). </w:t>
      </w:r>
    </w:p>
    <w:p w14:paraId="0AFB597C" w14:textId="58E0ABF3" w:rsidR="001502B1" w:rsidRPr="00715C4F" w:rsidRDefault="00D00182" w:rsidP="00715C4F">
      <w:pPr>
        <w:spacing w:before="240" w:line="360" w:lineRule="auto"/>
        <w:jc w:val="both"/>
        <w:rPr>
          <w:rFonts w:ascii="Arial" w:hAnsi="Arial" w:cs="Arial"/>
        </w:rPr>
      </w:pPr>
      <w:r>
        <w:rPr>
          <w:rFonts w:ascii="Arial" w:hAnsi="Arial" w:cs="Arial"/>
        </w:rPr>
        <w:t>Religious and cultural practis</w:t>
      </w:r>
      <w:r w:rsidR="001502B1" w:rsidRPr="00715C4F">
        <w:rPr>
          <w:rFonts w:ascii="Arial" w:hAnsi="Arial" w:cs="Arial"/>
        </w:rPr>
        <w:t xml:space="preserve">es when it comes to clothing, too, have been identified as being important factors for vitamin D deficiency. Clothing that provides protection for the majority of the body, which is typical in some cultural and Muslim communities, will dampen skin exposure to sunlight and thus endogenous vitamin D production (SACN, 2020). However, as several authors have noted, there is a lack of consensus regarding the importance of socioeconomic factors and occupation, as these are often linked to cultural </w:t>
      </w:r>
      <w:r w:rsidR="00DB143E" w:rsidRPr="00715C4F">
        <w:rPr>
          <w:rFonts w:ascii="Arial" w:hAnsi="Arial" w:cs="Arial"/>
        </w:rPr>
        <w:t>behaviours</w:t>
      </w:r>
      <w:r w:rsidR="001502B1" w:rsidRPr="00715C4F">
        <w:rPr>
          <w:rFonts w:ascii="Arial" w:hAnsi="Arial" w:cs="Arial"/>
        </w:rPr>
        <w:t xml:space="preserve">, which in turn can be influential in relation to vitamin D deficiency (Sutherland et al., 2021). </w:t>
      </w:r>
    </w:p>
    <w:p w14:paraId="324FE2F0" w14:textId="4E787FA3" w:rsidR="001502B1" w:rsidRPr="00715C4F" w:rsidRDefault="001502B1" w:rsidP="00715C4F">
      <w:pPr>
        <w:spacing w:before="240" w:line="360" w:lineRule="auto"/>
        <w:jc w:val="both"/>
        <w:rPr>
          <w:rFonts w:ascii="Arial" w:hAnsi="Arial" w:cs="Arial"/>
        </w:rPr>
      </w:pPr>
      <w:r w:rsidRPr="00715C4F">
        <w:rPr>
          <w:rFonts w:ascii="Arial" w:hAnsi="Arial" w:cs="Arial"/>
        </w:rPr>
        <w:t>Vitamin D production is tightly coupled to exposure to sunlight and outdoor physical activity. Reduced sun exposure, low physical activity, urban living and fear of skin cancer have all been associated with lower levels of UVB exposure and vitamin D levels (</w:t>
      </w:r>
      <w:proofErr w:type="spellStart"/>
      <w:r w:rsidRPr="00715C4F">
        <w:rPr>
          <w:rFonts w:ascii="Arial" w:hAnsi="Arial" w:cs="Arial"/>
        </w:rPr>
        <w:t>Amrein</w:t>
      </w:r>
      <w:proofErr w:type="spellEnd"/>
      <w:r w:rsidRPr="00715C4F">
        <w:rPr>
          <w:rFonts w:ascii="Arial" w:hAnsi="Arial" w:cs="Arial"/>
        </w:rPr>
        <w:t xml:space="preserve"> et al., 2020). The connection between sunlight and vitamin D levels is also complicated by season, latitude, weather conditions, and skin colour, however, so greater outdoor activity may not be enough to prevent vitamin D deficiency among people with darker skin at higher latitudes—including the UK.</w:t>
      </w:r>
    </w:p>
    <w:p w14:paraId="3DC1DE97" w14:textId="4A89D50B" w:rsidR="001502B1" w:rsidRPr="00715C4F" w:rsidRDefault="001502B1" w:rsidP="00715C4F">
      <w:pPr>
        <w:spacing w:before="240" w:line="360" w:lineRule="auto"/>
        <w:jc w:val="both"/>
        <w:rPr>
          <w:rFonts w:ascii="Arial" w:hAnsi="Arial" w:cs="Arial"/>
        </w:rPr>
      </w:pPr>
      <w:r w:rsidRPr="00715C4F">
        <w:rPr>
          <w:rFonts w:ascii="Arial" w:hAnsi="Arial" w:cs="Arial"/>
        </w:rPr>
        <w:t xml:space="preserve">Higher risk groups for deficiency are encouraged for vitamin D supplementation such as ethnic minority groups (SACN, 2020). Multiple studies have shown that vitamin D supplementation is effective in boosting 25-hydroxyvitamin D levels and lowering the risk of deficiency (Cashman et al., 2022). Other studies, however, have reported low compliance with supplementation advice throughout, which has been attributed to lack </w:t>
      </w:r>
      <w:r w:rsidRPr="00715C4F">
        <w:rPr>
          <w:rFonts w:ascii="Arial" w:hAnsi="Arial" w:cs="Arial"/>
        </w:rPr>
        <w:lastRenderedPageBreak/>
        <w:t xml:space="preserve">of awareness, cost, cultural beliefs and inconsistent health care advice (Darling et al., 2020). The conflicting results suggest that supplementation policies are not enough; they need to be implemented along with culturally appropriate health education, increased access and targeted public health interventions. </w:t>
      </w:r>
    </w:p>
    <w:p w14:paraId="792A9684" w14:textId="6F429D82" w:rsidR="001502B1" w:rsidRPr="00715C4F" w:rsidRDefault="000E6D17" w:rsidP="00F051EC">
      <w:pPr>
        <w:pStyle w:val="Heading3"/>
      </w:pPr>
      <w:bookmarkStart w:id="26" w:name="_Toc241025885"/>
      <w:r w:rsidRPr="00715C4F">
        <w:t>2.3.6</w:t>
      </w:r>
      <w:r w:rsidR="001502B1" w:rsidRPr="00715C4F">
        <w:t xml:space="preserve"> Socioeconomic Determinants</w:t>
      </w:r>
      <w:bookmarkEnd w:id="26"/>
    </w:p>
    <w:p w14:paraId="5149594F" w14:textId="102BF44D" w:rsidR="001502B1" w:rsidRPr="00715C4F" w:rsidRDefault="001502B1" w:rsidP="00715C4F">
      <w:pPr>
        <w:spacing w:line="360" w:lineRule="auto"/>
        <w:jc w:val="both"/>
        <w:rPr>
          <w:rFonts w:ascii="Arial" w:hAnsi="Arial" w:cs="Arial"/>
        </w:rPr>
      </w:pPr>
      <w:r w:rsidRPr="00715C4F">
        <w:rPr>
          <w:rFonts w:ascii="Arial" w:hAnsi="Arial" w:cs="Arial"/>
        </w:rPr>
        <w:t>Socioeconomic factors are also important in determining vitam</w:t>
      </w:r>
      <w:r w:rsidR="00D54FC6">
        <w:rPr>
          <w:rFonts w:ascii="Arial" w:hAnsi="Arial" w:cs="Arial"/>
        </w:rPr>
        <w:t>in D status and contribute</w:t>
      </w:r>
      <w:r w:rsidRPr="00715C4F">
        <w:rPr>
          <w:rFonts w:ascii="Arial" w:hAnsi="Arial" w:cs="Arial"/>
        </w:rPr>
        <w:t xml:space="preserve"> to the health disparities in vitamin D deficiency among ethnic minority groups in the</w:t>
      </w:r>
      <w:r w:rsidR="00F051EC">
        <w:rPr>
          <w:rFonts w:ascii="Arial" w:hAnsi="Arial" w:cs="Arial"/>
        </w:rPr>
        <w:t xml:space="preserve"> UK</w:t>
      </w:r>
      <w:r w:rsidRPr="00715C4F">
        <w:rPr>
          <w:rFonts w:ascii="Arial" w:hAnsi="Arial" w:cs="Arial"/>
        </w:rPr>
        <w:t>. Dietary habits, opportunities to access the sun, health literacy and access to preventive healthcare services are influenced by income, education, occupation, housing, and neighbourhood deprivation (SA</w:t>
      </w:r>
      <w:r w:rsidR="009D57B3">
        <w:rPr>
          <w:rFonts w:ascii="Arial" w:hAnsi="Arial" w:cs="Arial"/>
        </w:rPr>
        <w:t>CN</w:t>
      </w:r>
      <w:r w:rsidRPr="00715C4F">
        <w:rPr>
          <w:rFonts w:ascii="Arial" w:hAnsi="Arial" w:cs="Arial"/>
        </w:rPr>
        <w:t xml:space="preserve">, </w:t>
      </w:r>
      <w:r w:rsidR="00CC7121" w:rsidRPr="00715C4F">
        <w:rPr>
          <w:rFonts w:ascii="Arial" w:hAnsi="Arial" w:cs="Arial"/>
        </w:rPr>
        <w:t>2020; Sutherland et al., 2021).</w:t>
      </w:r>
      <w:r w:rsidR="009D57B3">
        <w:rPr>
          <w:rFonts w:ascii="Arial" w:hAnsi="Arial" w:cs="Arial"/>
        </w:rPr>
        <w:t xml:space="preserve"> </w:t>
      </w:r>
    </w:p>
    <w:p w14:paraId="360D7867" w14:textId="485F5759" w:rsidR="001502B1" w:rsidRPr="00715C4F" w:rsidRDefault="001502B1" w:rsidP="00715C4F">
      <w:pPr>
        <w:spacing w:before="240" w:line="360" w:lineRule="auto"/>
        <w:jc w:val="both"/>
        <w:rPr>
          <w:rFonts w:ascii="Arial" w:hAnsi="Arial" w:cs="Arial"/>
        </w:rPr>
      </w:pPr>
      <w:r w:rsidRPr="00715C4F">
        <w:rPr>
          <w:rFonts w:ascii="Arial" w:hAnsi="Arial" w:cs="Arial"/>
        </w:rPr>
        <w:t>Low household income has been found to be consistently associated with increased vitamin D deficiency. Limited food access to vitamin D sources, fortified foods, as well as nutritional supplements, coupled with competing economic priorities, may decrease participation in preventive health behaviours (Cashman et al., 2022). Moreover, lower education levels have been associated with decreased knowledge of vitamin D recommendations, and with less understanding of the health consequences of vitamin D deficiency, which subsequently leads to less uptake of vitamin D supplements and poorer dietary intake (Darling et al., 2020). The vitamin D level is also influenced by occupation because of the difference in working environments and daily routine. People with indoor jobs or shift work may receive less sunlight than those who work during the day, and those who are unemployed or working precariously may have even less access to nutritious foods and healthcare services (</w:t>
      </w:r>
      <w:proofErr w:type="spellStart"/>
      <w:r w:rsidRPr="00715C4F">
        <w:rPr>
          <w:rFonts w:ascii="Arial" w:hAnsi="Arial" w:cs="Arial"/>
        </w:rPr>
        <w:t>Amrein</w:t>
      </w:r>
      <w:proofErr w:type="spellEnd"/>
      <w:r w:rsidRPr="00715C4F">
        <w:rPr>
          <w:rFonts w:ascii="Arial" w:hAnsi="Arial" w:cs="Arial"/>
        </w:rPr>
        <w:t xml:space="preserve"> et al., 2020). </w:t>
      </w:r>
    </w:p>
    <w:p w14:paraId="00437A27" w14:textId="686A95CD" w:rsidR="00144FA5" w:rsidRPr="00715C4F" w:rsidRDefault="001502B1" w:rsidP="00715C4F">
      <w:pPr>
        <w:spacing w:before="240" w:line="360" w:lineRule="auto"/>
        <w:jc w:val="both"/>
        <w:rPr>
          <w:rFonts w:ascii="Arial" w:hAnsi="Arial" w:cs="Arial"/>
        </w:rPr>
      </w:pPr>
      <w:r w:rsidRPr="00715C4F">
        <w:rPr>
          <w:rFonts w:ascii="Arial" w:hAnsi="Arial" w:cs="Arial"/>
        </w:rPr>
        <w:t xml:space="preserve">Access to health services and neighbourhood deprivation are other factors influencing inequalities in vitamin D status. The provision of health services to ethnic minority groups in deprived neighbourhoods is often challenging, as they're likely to have language barriers, lack access to primary care, and receive less advice on preventive care and supplementation (Sutherland et al., 2021). </w:t>
      </w:r>
    </w:p>
    <w:p w14:paraId="7D72F136" w14:textId="486BF2DE" w:rsidR="007A31BD" w:rsidRPr="00D50099" w:rsidRDefault="000E6D17" w:rsidP="00F051EC">
      <w:pPr>
        <w:pStyle w:val="Heading3"/>
      </w:pPr>
      <w:bookmarkStart w:id="27" w:name="_Toc241025886"/>
      <w:r w:rsidRPr="00D50099">
        <w:t>2.3.7</w:t>
      </w:r>
      <w:r w:rsidR="007A31BD" w:rsidRPr="00D50099">
        <w:t xml:space="preserve"> Public Health Policies</w:t>
      </w:r>
      <w:bookmarkEnd w:id="27"/>
    </w:p>
    <w:p w14:paraId="29BA3245" w14:textId="4C2D62AD" w:rsidR="00EC4266" w:rsidRPr="00715C4F" w:rsidRDefault="00FC2818" w:rsidP="00715C4F">
      <w:pPr>
        <w:spacing w:line="360" w:lineRule="auto"/>
        <w:jc w:val="both"/>
        <w:rPr>
          <w:rFonts w:ascii="Arial" w:hAnsi="Arial" w:cs="Arial"/>
        </w:rPr>
      </w:pPr>
      <w:r w:rsidRPr="00715C4F">
        <w:rPr>
          <w:rFonts w:ascii="Arial" w:hAnsi="Arial" w:cs="Arial"/>
        </w:rPr>
        <w:t>Several public health policies have been implem</w:t>
      </w:r>
      <w:r w:rsidR="005F167D">
        <w:rPr>
          <w:rFonts w:ascii="Arial" w:hAnsi="Arial" w:cs="Arial"/>
        </w:rPr>
        <w:t>ented in the UK</w:t>
      </w:r>
      <w:r w:rsidRPr="00715C4F">
        <w:rPr>
          <w:rFonts w:ascii="Arial" w:hAnsi="Arial" w:cs="Arial"/>
        </w:rPr>
        <w:t xml:space="preserve"> to address vitamin D deficiency; however, concerns remain regarding their effectiveness in reducing health inequalities among ethnic minority populations. The </w:t>
      </w:r>
      <w:r w:rsidR="005B6591">
        <w:rPr>
          <w:rFonts w:ascii="Arial" w:hAnsi="Arial" w:cs="Arial"/>
        </w:rPr>
        <w:t>SACN</w:t>
      </w:r>
      <w:r w:rsidRPr="00715C4F">
        <w:rPr>
          <w:rFonts w:ascii="Arial" w:hAnsi="Arial" w:cs="Arial"/>
        </w:rPr>
        <w:t xml:space="preserve"> recommends a daily intake of 10 micrograms (400 IU) of vitamin D for everyone aged four years and over throughout the year.</w:t>
      </w:r>
      <w:r w:rsidR="000C5681">
        <w:rPr>
          <w:rFonts w:ascii="Arial" w:hAnsi="Arial" w:cs="Arial"/>
        </w:rPr>
        <w:t xml:space="preserve"> The</w:t>
      </w:r>
      <w:r w:rsidRPr="00715C4F">
        <w:rPr>
          <w:rFonts w:ascii="Arial" w:hAnsi="Arial" w:cs="Arial"/>
        </w:rPr>
        <w:t xml:space="preserve"> SACN also identifies individuals with darker skin pigmentation </w:t>
      </w:r>
      <w:r w:rsidRPr="00715C4F">
        <w:rPr>
          <w:rFonts w:ascii="Arial" w:hAnsi="Arial" w:cs="Arial"/>
        </w:rPr>
        <w:lastRenderedPageBreak/>
        <w:t>and those with limited exposure to sunlight as being at increased risk of vitamin D deficiency (</w:t>
      </w:r>
      <w:r w:rsidR="00906624">
        <w:rPr>
          <w:rFonts w:ascii="Arial" w:hAnsi="Arial" w:cs="Arial"/>
        </w:rPr>
        <w:t>SACN</w:t>
      </w:r>
      <w:r w:rsidRPr="00715C4F">
        <w:rPr>
          <w:rFonts w:ascii="Arial" w:hAnsi="Arial" w:cs="Arial"/>
        </w:rPr>
        <w:t xml:space="preserve">, 2020). </w:t>
      </w:r>
    </w:p>
    <w:p w14:paraId="6AAC5567" w14:textId="307EF1B9" w:rsidR="00EC4266" w:rsidRPr="00715C4F" w:rsidRDefault="00EC4266" w:rsidP="00715C4F">
      <w:pPr>
        <w:spacing w:before="240" w:line="360" w:lineRule="auto"/>
        <w:jc w:val="both"/>
        <w:rPr>
          <w:rFonts w:ascii="Arial" w:hAnsi="Arial" w:cs="Arial"/>
        </w:rPr>
      </w:pPr>
      <w:r w:rsidRPr="00D03383">
        <w:rPr>
          <w:rFonts w:ascii="Arial" w:hAnsi="Arial" w:cs="Arial"/>
        </w:rPr>
        <w:t>The NHS advocates vitamin D supplementation via public health messaging and clinical guidance – especially during autumn and winter and in people at high risk</w:t>
      </w:r>
      <w:r w:rsidR="00350D3F" w:rsidRPr="00D03383">
        <w:rPr>
          <w:rFonts w:ascii="Arial" w:hAnsi="Arial" w:cs="Arial"/>
        </w:rPr>
        <w:t xml:space="preserve"> (NHS, 2023; National Institute for Health and Care Excellence (NICE), 2023)</w:t>
      </w:r>
      <w:r w:rsidRPr="00D03383">
        <w:rPr>
          <w:rFonts w:ascii="Arial" w:hAnsi="Arial" w:cs="Arial"/>
        </w:rPr>
        <w:t>. The NICE also supports targeted supplementation for vulnerable groups in maternal and child health guidance and recommends that anyone identified as being at higher risk of deficiency should be provided with targeted supplementation (</w:t>
      </w:r>
      <w:r w:rsidRPr="00715C4F">
        <w:rPr>
          <w:rFonts w:ascii="Arial" w:hAnsi="Arial" w:cs="Arial"/>
        </w:rPr>
        <w:t>NICE, 2023). However, there is still not consistency in implementation across healthcare services and awareness of national recommendations across ethnic minority groups is als</w:t>
      </w:r>
      <w:r w:rsidR="00CC7121" w:rsidRPr="00715C4F">
        <w:rPr>
          <w:rFonts w:ascii="Arial" w:hAnsi="Arial" w:cs="Arial"/>
        </w:rPr>
        <w:t>o lower (Darling et al., 2020).</w:t>
      </w:r>
    </w:p>
    <w:p w14:paraId="0F2EAD0C" w14:textId="70132204" w:rsidR="00EC4266" w:rsidRPr="00715C4F" w:rsidRDefault="00EC4266" w:rsidP="00715C4F">
      <w:pPr>
        <w:spacing w:before="240" w:line="360" w:lineRule="auto"/>
        <w:jc w:val="both"/>
        <w:rPr>
          <w:rFonts w:ascii="Arial" w:hAnsi="Arial" w:cs="Arial"/>
        </w:rPr>
      </w:pPr>
      <w:r w:rsidRPr="00715C4F">
        <w:rPr>
          <w:rFonts w:ascii="Arial" w:hAnsi="Arial" w:cs="Arial"/>
        </w:rPr>
        <w:t xml:space="preserve">Food fortification is under consideration as an extra population-level solution to increase vitamin D consumption. Nordic countries have found that mandatory or universal voluntary fortification can significantly boost vitamin D levels and prevent vitamin D deficiency at the population level (Cashman et al., 2022). The situation in the UK is different, with a </w:t>
      </w:r>
      <w:r w:rsidR="00CD4246" w:rsidRPr="00715C4F">
        <w:rPr>
          <w:rFonts w:ascii="Arial" w:hAnsi="Arial" w:cs="Arial"/>
        </w:rPr>
        <w:t>narrower</w:t>
      </w:r>
      <w:r w:rsidRPr="00715C4F">
        <w:rPr>
          <w:rFonts w:ascii="Arial" w:hAnsi="Arial" w:cs="Arial"/>
        </w:rPr>
        <w:t xml:space="preserve"> and voluntary strategy for fortification, meaning that the fortified food availability and coverage among the population have been inconsistent</w:t>
      </w:r>
      <w:r w:rsidR="00FD1ADF" w:rsidRPr="00715C4F">
        <w:rPr>
          <w:rFonts w:ascii="Arial" w:hAnsi="Arial" w:cs="Arial"/>
        </w:rPr>
        <w:t xml:space="preserve"> (Cashman et al., 2022; </w:t>
      </w:r>
      <w:r w:rsidR="00413752">
        <w:rPr>
          <w:rFonts w:ascii="Arial" w:hAnsi="Arial" w:cs="Arial"/>
        </w:rPr>
        <w:t>SACN</w:t>
      </w:r>
      <w:r w:rsidR="00FD1ADF" w:rsidRPr="00715C4F">
        <w:rPr>
          <w:rFonts w:ascii="Arial" w:hAnsi="Arial" w:cs="Arial"/>
        </w:rPr>
        <w:t>, 2020)</w:t>
      </w:r>
      <w:r w:rsidRPr="00715C4F">
        <w:rPr>
          <w:rFonts w:ascii="Arial" w:hAnsi="Arial" w:cs="Arial"/>
        </w:rPr>
        <w:t>. However, researchers suggest that supplementing alone will only be a partial solution to the problem of widespread deficiency, especially for socioeconomically disadvantaged and ethnically divers</w:t>
      </w:r>
      <w:r w:rsidR="00CC7121" w:rsidRPr="00715C4F">
        <w:rPr>
          <w:rFonts w:ascii="Arial" w:hAnsi="Arial" w:cs="Arial"/>
        </w:rPr>
        <w:t>e groups (</w:t>
      </w:r>
      <w:proofErr w:type="spellStart"/>
      <w:r w:rsidR="00CC7121" w:rsidRPr="00715C4F">
        <w:rPr>
          <w:rFonts w:ascii="Arial" w:hAnsi="Arial" w:cs="Arial"/>
        </w:rPr>
        <w:t>Amrein</w:t>
      </w:r>
      <w:proofErr w:type="spellEnd"/>
      <w:r w:rsidR="00CC7121" w:rsidRPr="00715C4F">
        <w:rPr>
          <w:rFonts w:ascii="Arial" w:hAnsi="Arial" w:cs="Arial"/>
        </w:rPr>
        <w:t xml:space="preserve"> et al., 2020).</w:t>
      </w:r>
    </w:p>
    <w:p w14:paraId="52A158D6" w14:textId="099D86FA" w:rsidR="00EC4266" w:rsidRPr="00715C4F" w:rsidRDefault="000E6D17" w:rsidP="00F051EC">
      <w:pPr>
        <w:pStyle w:val="Heading3"/>
      </w:pPr>
      <w:bookmarkStart w:id="28" w:name="_Toc241025887"/>
      <w:r w:rsidRPr="00715C4F">
        <w:t>2.3.8</w:t>
      </w:r>
      <w:r w:rsidR="00EC4266" w:rsidRPr="00715C4F">
        <w:t xml:space="preserve"> Existing Interventions</w:t>
      </w:r>
      <w:bookmarkEnd w:id="28"/>
    </w:p>
    <w:p w14:paraId="4F69555B" w14:textId="5BAF1CA1" w:rsidR="00EC4266" w:rsidRPr="00715C4F" w:rsidRDefault="00EC4266" w:rsidP="00715C4F">
      <w:pPr>
        <w:spacing w:line="360" w:lineRule="auto"/>
        <w:jc w:val="both"/>
        <w:rPr>
          <w:rFonts w:ascii="Arial" w:hAnsi="Arial" w:cs="Arial"/>
        </w:rPr>
      </w:pPr>
      <w:r w:rsidRPr="00131206">
        <w:rPr>
          <w:rFonts w:ascii="Arial" w:hAnsi="Arial" w:cs="Arial"/>
        </w:rPr>
        <w:t xml:space="preserve">There have been </w:t>
      </w:r>
      <w:r w:rsidR="00F23B2C" w:rsidRPr="00F23B2C">
        <w:rPr>
          <w:rFonts w:ascii="Arial" w:hAnsi="Arial" w:cs="Arial"/>
        </w:rPr>
        <w:t xml:space="preserve">several </w:t>
      </w:r>
      <w:r w:rsidRPr="00131206">
        <w:rPr>
          <w:rFonts w:ascii="Arial" w:hAnsi="Arial" w:cs="Arial"/>
        </w:rPr>
        <w:t>interventions put in place to tackle vitamin D defic</w:t>
      </w:r>
      <w:r w:rsidR="00D50099" w:rsidRPr="00131206">
        <w:rPr>
          <w:rFonts w:ascii="Arial" w:hAnsi="Arial" w:cs="Arial"/>
        </w:rPr>
        <w:t>iency in the UK</w:t>
      </w:r>
      <w:r w:rsidRPr="00131206">
        <w:rPr>
          <w:rFonts w:ascii="Arial" w:hAnsi="Arial" w:cs="Arial"/>
        </w:rPr>
        <w:t xml:space="preserve">, especially targeting groups thought to be at higher risk (such as ethnic minorities). The interventions are mainly community interventions, vitamin D supplementation, food fortification, and health promotion interventions. </w:t>
      </w:r>
    </w:p>
    <w:p w14:paraId="6BF5A35A" w14:textId="3B9551D4" w:rsidR="00EC4266" w:rsidRPr="00715C4F" w:rsidRDefault="00EC4266" w:rsidP="00715C4F">
      <w:pPr>
        <w:spacing w:before="240" w:line="360" w:lineRule="auto"/>
        <w:jc w:val="both"/>
        <w:rPr>
          <w:rFonts w:ascii="Arial" w:hAnsi="Arial" w:cs="Arial"/>
        </w:rPr>
      </w:pPr>
      <w:r w:rsidRPr="00715C4F">
        <w:rPr>
          <w:rFonts w:ascii="Arial" w:hAnsi="Arial" w:cs="Arial"/>
        </w:rPr>
        <w:t xml:space="preserve">Community-based programmes have increasingly targeted increasing awareness of vitamin D deficiency with culturally appropriate education, community engagement activities, collaborations with community organisations and faith groups. These have been found to increase knowledge and encourage healthier behaviours, but are often poorly implemented, have limited funding and mixed engagement in different ethnic communities (Darling et al., 2020). </w:t>
      </w:r>
    </w:p>
    <w:p w14:paraId="1A50C86A" w14:textId="5472D1DD" w:rsidR="00EC4266" w:rsidRPr="00715C4F" w:rsidRDefault="00EC4266" w:rsidP="00715C4F">
      <w:pPr>
        <w:spacing w:before="240" w:line="360" w:lineRule="auto"/>
        <w:jc w:val="both"/>
        <w:rPr>
          <w:rFonts w:ascii="Arial" w:hAnsi="Arial" w:cs="Arial"/>
        </w:rPr>
      </w:pPr>
      <w:r w:rsidRPr="00715C4F">
        <w:rPr>
          <w:rFonts w:ascii="Arial" w:hAnsi="Arial" w:cs="Arial"/>
        </w:rPr>
        <w:t xml:space="preserve">The mainstay of current prevention strategies is vitamin D supplementation. Systematic reviews have shown that regular supplementation is effective in improving </w:t>
      </w:r>
      <w:r w:rsidRPr="00715C4F">
        <w:rPr>
          <w:rFonts w:ascii="Arial" w:hAnsi="Arial" w:cs="Arial"/>
        </w:rPr>
        <w:lastRenderedPageBreak/>
        <w:t xml:space="preserve">serum 25-hydroxyvitamin D levels and lowering the incidence of 25-hydroxyvitamin D deficiency, especially in people who are not exposed </w:t>
      </w:r>
      <w:proofErr w:type="gramStart"/>
      <w:r w:rsidRPr="00715C4F">
        <w:rPr>
          <w:rFonts w:ascii="Arial" w:hAnsi="Arial" w:cs="Arial"/>
        </w:rPr>
        <w:t>to</w:t>
      </w:r>
      <w:proofErr w:type="gramEnd"/>
      <w:r w:rsidRPr="00715C4F">
        <w:rPr>
          <w:rFonts w:ascii="Arial" w:hAnsi="Arial" w:cs="Arial"/>
        </w:rPr>
        <w:t xml:space="preserve"> much sunlight (</w:t>
      </w:r>
      <w:proofErr w:type="spellStart"/>
      <w:r w:rsidRPr="00715C4F">
        <w:rPr>
          <w:rFonts w:ascii="Arial" w:hAnsi="Arial" w:cs="Arial"/>
        </w:rPr>
        <w:t>Jolliffe</w:t>
      </w:r>
      <w:proofErr w:type="spellEnd"/>
      <w:r w:rsidRPr="00715C4F">
        <w:rPr>
          <w:rFonts w:ascii="Arial" w:hAnsi="Arial" w:cs="Arial"/>
        </w:rPr>
        <w:t xml:space="preserve"> et al., 2023). However, compliance with the recommendations for supplementation is still low, partly because of low awareness, cultural beliefs, financial constraints and varying health care provider recommen</w:t>
      </w:r>
      <w:r w:rsidR="00CC7121" w:rsidRPr="00715C4F">
        <w:rPr>
          <w:rFonts w:ascii="Arial" w:hAnsi="Arial" w:cs="Arial"/>
        </w:rPr>
        <w:t>dations (Cashman et al., 2022).</w:t>
      </w:r>
    </w:p>
    <w:p w14:paraId="282540E8" w14:textId="4E1E5560" w:rsidR="00EC4266" w:rsidRPr="00715C4F" w:rsidRDefault="00EC4266" w:rsidP="00715C4F">
      <w:pPr>
        <w:spacing w:before="240" w:line="360" w:lineRule="auto"/>
        <w:jc w:val="both"/>
        <w:rPr>
          <w:rFonts w:ascii="Arial" w:hAnsi="Arial" w:cs="Arial"/>
        </w:rPr>
      </w:pPr>
      <w:r w:rsidRPr="00715C4F">
        <w:rPr>
          <w:rFonts w:ascii="Arial" w:hAnsi="Arial" w:cs="Arial"/>
        </w:rPr>
        <w:t>Vitamin D promotion programmes via t</w:t>
      </w:r>
      <w:r w:rsidR="00DF1EE6">
        <w:rPr>
          <w:rFonts w:ascii="Arial" w:hAnsi="Arial" w:cs="Arial"/>
        </w:rPr>
        <w:t>he NHS</w:t>
      </w:r>
      <w:r w:rsidRPr="00715C4F">
        <w:rPr>
          <w:rFonts w:ascii="Arial" w:hAnsi="Arial" w:cs="Arial"/>
        </w:rPr>
        <w:t>, primary health care and public health environments should aim to raise awareness of the vitamin D recommendations and promote supplementation among the high-risk groups. These campaigns have led to better awareness of the population but there is clear evidence that ethnic and socioeconomic disparities still exist (Sutherland et al., 2021). In general, the literature indicates that comprehensive interventions that involve culturally appropriate education, readily available supplementation, extended food fortification, and community involvement are more likely to result in sustained vitamin D status improvement than single interventions alone.</w:t>
      </w:r>
      <w:r w:rsidR="001A0EB5">
        <w:rPr>
          <w:rFonts w:ascii="Arial" w:hAnsi="Arial" w:cs="Arial"/>
        </w:rPr>
        <w:t xml:space="preserve"> </w:t>
      </w:r>
    </w:p>
    <w:p w14:paraId="51936578" w14:textId="6F6E1A14" w:rsidR="00EC4266" w:rsidRPr="00715C4F" w:rsidRDefault="00CC7121" w:rsidP="0022637B">
      <w:pPr>
        <w:pStyle w:val="Heading2"/>
      </w:pPr>
      <w:bookmarkStart w:id="29" w:name="_Toc241025888"/>
      <w:r w:rsidRPr="00715C4F">
        <w:t>2.4 Gaps in the Literature</w:t>
      </w:r>
      <w:bookmarkEnd w:id="29"/>
    </w:p>
    <w:p w14:paraId="42AD1CD3" w14:textId="4BE83D7B" w:rsidR="00EC4266" w:rsidRPr="00715C4F" w:rsidRDefault="00EC4266" w:rsidP="00715C4F">
      <w:pPr>
        <w:spacing w:line="360" w:lineRule="auto"/>
        <w:jc w:val="both"/>
        <w:rPr>
          <w:rFonts w:ascii="Arial" w:hAnsi="Arial" w:cs="Arial"/>
        </w:rPr>
      </w:pPr>
      <w:r w:rsidRPr="00715C4F">
        <w:rPr>
          <w:rFonts w:ascii="Arial" w:hAnsi="Arial" w:cs="Arial"/>
        </w:rPr>
        <w:t>A large amount of literature has been written on vitamin D defic</w:t>
      </w:r>
      <w:r w:rsidR="004D29F1">
        <w:rPr>
          <w:rFonts w:ascii="Arial" w:hAnsi="Arial" w:cs="Arial"/>
        </w:rPr>
        <w:t>iency in the UK</w:t>
      </w:r>
      <w:r w:rsidRPr="00715C4F">
        <w:rPr>
          <w:rFonts w:ascii="Arial" w:hAnsi="Arial" w:cs="Arial"/>
        </w:rPr>
        <w:t>, yet there are some major drawbacks in the current literature. First, there have been many UK studies that have compared one ethnic group (</w:t>
      </w:r>
      <w:r w:rsidR="006359BA" w:rsidRPr="00715C4F">
        <w:rPr>
          <w:rFonts w:ascii="Arial" w:hAnsi="Arial" w:cs="Arial"/>
        </w:rPr>
        <w:t>For example, South Asi</w:t>
      </w:r>
      <w:r w:rsidR="00F21B3E">
        <w:rPr>
          <w:rFonts w:ascii="Arial" w:hAnsi="Arial" w:cs="Arial"/>
        </w:rPr>
        <w:t>an or Black African populations</w:t>
      </w:r>
      <w:r w:rsidRPr="00715C4F">
        <w:rPr>
          <w:rFonts w:ascii="Arial" w:hAnsi="Arial" w:cs="Arial"/>
        </w:rPr>
        <w:t xml:space="preserve">) to the general population, but not a study that has compared a range of ethnic minority groups to the general population. However, the prevalence and determinants of vitamin D deficiency vary across ethnic groups and this is still not fully understood (Darling et al., </w:t>
      </w:r>
      <w:r w:rsidR="00CD4246" w:rsidRPr="00715C4F">
        <w:rPr>
          <w:rFonts w:ascii="Arial" w:hAnsi="Arial" w:cs="Arial"/>
        </w:rPr>
        <w:t>2020; Sutherland et al., 2021).</w:t>
      </w:r>
    </w:p>
    <w:p w14:paraId="1DE81BE2" w14:textId="1EEDD588" w:rsidR="00EC4266" w:rsidRPr="00715C4F" w:rsidRDefault="00EC4266" w:rsidP="00715C4F">
      <w:pPr>
        <w:spacing w:before="240" w:line="360" w:lineRule="auto"/>
        <w:jc w:val="both"/>
        <w:rPr>
          <w:rFonts w:ascii="Arial" w:hAnsi="Arial" w:cs="Arial"/>
        </w:rPr>
      </w:pPr>
      <w:r w:rsidRPr="00715C4F">
        <w:rPr>
          <w:rFonts w:ascii="Arial" w:hAnsi="Arial" w:cs="Arial"/>
        </w:rPr>
        <w:t>Second, although there are many studies conducted on biological factors such as skin pigmentation and age, the studies conducted on cultural and lifestyle factors are relatively few. Much of the research around factors that affect vitamin D status tends to focus on one factor at a time, but this approach does not capture how these factors interact to affect vitamin D status (Cashman et al., 2022). In a similar way, socioeconomic factors (such as income, education, employment, housing, and neighbourhood deprivation) are not uniformly measured in studies and comparisons or evid</w:t>
      </w:r>
      <w:r w:rsidR="00CD4246" w:rsidRPr="00715C4F">
        <w:rPr>
          <w:rFonts w:ascii="Arial" w:hAnsi="Arial" w:cs="Arial"/>
        </w:rPr>
        <w:t>ence synthesis are complicated</w:t>
      </w:r>
      <w:r w:rsidR="00F21B3E">
        <w:rPr>
          <w:rFonts w:ascii="Arial" w:hAnsi="Arial" w:cs="Arial"/>
        </w:rPr>
        <w:t xml:space="preserve">. </w:t>
      </w:r>
    </w:p>
    <w:p w14:paraId="55F5CF72" w14:textId="09007B90" w:rsidR="00161BA9" w:rsidRPr="00715C4F" w:rsidRDefault="00EC4266" w:rsidP="00715C4F">
      <w:pPr>
        <w:spacing w:before="240" w:line="360" w:lineRule="auto"/>
        <w:jc w:val="both"/>
        <w:rPr>
          <w:rFonts w:ascii="Arial" w:hAnsi="Arial" w:cs="Arial"/>
        </w:rPr>
      </w:pPr>
      <w:r w:rsidRPr="00715C4F">
        <w:rPr>
          <w:rFonts w:ascii="Arial" w:hAnsi="Arial" w:cs="Arial"/>
        </w:rPr>
        <w:t xml:space="preserve">While there have been systematic reviews looking at vitamin D deficiency at a national or international level, or in general populations, there is little recent evidence that has comprehensively synthesised the prevalence and demographic, cultural, lifestyle and socioeconomic determinants of vitamin D deficiency among ethnic minority </w:t>
      </w:r>
      <w:r w:rsidRPr="00715C4F">
        <w:rPr>
          <w:rFonts w:ascii="Arial" w:hAnsi="Arial" w:cs="Arial"/>
        </w:rPr>
        <w:lastRenderedPageBreak/>
        <w:t>populations living in the UK. A systematic review will deliver a comprehensive, critically appraised synthesis of current evidence that will uncover consistent patterns and areas of uncertainty, and guide culturally appropriate public health policies and interventions that will help to reduce vitamin D-related health inequalities</w:t>
      </w:r>
      <w:r w:rsidR="00161BA9" w:rsidRPr="00715C4F">
        <w:rPr>
          <w:rFonts w:ascii="Arial" w:hAnsi="Arial" w:cs="Arial"/>
        </w:rPr>
        <w:t>.</w:t>
      </w:r>
    </w:p>
    <w:p w14:paraId="70D80D80" w14:textId="1FB32F9A" w:rsidR="00961119" w:rsidRPr="00715C4F" w:rsidRDefault="00961119" w:rsidP="0022637B">
      <w:pPr>
        <w:pStyle w:val="Heading2"/>
      </w:pPr>
      <w:bookmarkStart w:id="30" w:name="_Toc241025889"/>
      <w:r w:rsidRPr="00715C4F">
        <w:t>2.5 Theoretical Framework</w:t>
      </w:r>
      <w:bookmarkEnd w:id="30"/>
    </w:p>
    <w:p w14:paraId="46EBB822" w14:textId="50816F32" w:rsidR="00812671" w:rsidRPr="00715C4F" w:rsidRDefault="00812671" w:rsidP="00715C4F">
      <w:pPr>
        <w:spacing w:line="360" w:lineRule="auto"/>
        <w:jc w:val="both"/>
        <w:rPr>
          <w:rFonts w:ascii="Arial" w:hAnsi="Arial" w:cs="Arial"/>
        </w:rPr>
      </w:pPr>
      <w:r w:rsidRPr="00715C4F">
        <w:rPr>
          <w:rFonts w:ascii="Arial" w:hAnsi="Arial" w:cs="Arial"/>
        </w:rPr>
        <w:t xml:space="preserve">The Health Belief Model (HBM) is a suitable theoretical framework for this systematic review as it helps to understand the relationship between beliefs and perceptions in the context of health related </w:t>
      </w:r>
      <w:r w:rsidR="00CD4246" w:rsidRPr="00715C4F">
        <w:rPr>
          <w:rFonts w:ascii="Arial" w:hAnsi="Arial" w:cs="Arial"/>
        </w:rPr>
        <w:t>behaviours</w:t>
      </w:r>
      <w:r w:rsidRPr="00715C4F">
        <w:rPr>
          <w:rFonts w:ascii="Arial" w:hAnsi="Arial" w:cs="Arial"/>
        </w:rPr>
        <w:t xml:space="preserve"> including disease prevention and health promotion </w:t>
      </w:r>
      <w:r w:rsidR="00CD4246" w:rsidRPr="00715C4F">
        <w:rPr>
          <w:rFonts w:ascii="Arial" w:hAnsi="Arial" w:cs="Arial"/>
        </w:rPr>
        <w:t>behaviours</w:t>
      </w:r>
      <w:r w:rsidRPr="00715C4F">
        <w:rPr>
          <w:rFonts w:ascii="Arial" w:hAnsi="Arial" w:cs="Arial"/>
        </w:rPr>
        <w:t xml:space="preserve"> (</w:t>
      </w:r>
      <w:proofErr w:type="spellStart"/>
      <w:r w:rsidRPr="00715C4F">
        <w:rPr>
          <w:rFonts w:ascii="Arial" w:hAnsi="Arial" w:cs="Arial"/>
        </w:rPr>
        <w:t>Rosenstock</w:t>
      </w:r>
      <w:proofErr w:type="spellEnd"/>
      <w:r w:rsidRPr="00715C4F">
        <w:rPr>
          <w:rFonts w:ascii="Arial" w:hAnsi="Arial" w:cs="Arial"/>
        </w:rPr>
        <w:t xml:space="preserve">, 1974; Champion and Skinner, 2008). The HBM provides a useful tool to help understand why preventive </w:t>
      </w:r>
      <w:r w:rsidR="00CD4246" w:rsidRPr="00715C4F">
        <w:rPr>
          <w:rFonts w:ascii="Arial" w:hAnsi="Arial" w:cs="Arial"/>
        </w:rPr>
        <w:t>behaviours</w:t>
      </w:r>
      <w:r w:rsidRPr="00715C4F">
        <w:rPr>
          <w:rFonts w:ascii="Arial" w:hAnsi="Arial" w:cs="Arial"/>
        </w:rPr>
        <w:t xml:space="preserve"> vary among ethnic minority g</w:t>
      </w:r>
      <w:r w:rsidR="00A0261A">
        <w:rPr>
          <w:rFonts w:ascii="Arial" w:hAnsi="Arial" w:cs="Arial"/>
        </w:rPr>
        <w:t>roups in the UK</w:t>
      </w:r>
      <w:r w:rsidRPr="00715C4F">
        <w:rPr>
          <w:rFonts w:ascii="Arial" w:hAnsi="Arial" w:cs="Arial"/>
        </w:rPr>
        <w:t xml:space="preserve"> as vitamin D deficiency is largely preventable by behaviours such as getting enough sunlight, dietary modifica</w:t>
      </w:r>
      <w:r w:rsidR="00CD4246" w:rsidRPr="00715C4F">
        <w:rPr>
          <w:rFonts w:ascii="Arial" w:hAnsi="Arial" w:cs="Arial"/>
        </w:rPr>
        <w:t>tion and vitamin D supplements.</w:t>
      </w:r>
    </w:p>
    <w:p w14:paraId="1922C375" w14:textId="326CB8EB" w:rsidR="00812671" w:rsidRPr="00715C4F" w:rsidRDefault="00812671" w:rsidP="00715C4F">
      <w:pPr>
        <w:spacing w:before="240" w:line="360" w:lineRule="auto"/>
        <w:jc w:val="both"/>
        <w:rPr>
          <w:rFonts w:ascii="Arial" w:hAnsi="Arial" w:cs="Arial"/>
        </w:rPr>
      </w:pPr>
      <w:r w:rsidRPr="00715C4F">
        <w:rPr>
          <w:rFonts w:ascii="Arial" w:hAnsi="Arial" w:cs="Arial"/>
        </w:rPr>
        <w:t>Perceived Susceptibility is the belief that a person has of their risk for vitamin D deficiency. Even with good evidence of higher prevalence rates in ethnic minority groups, they may not always be aware of their increased biological risk, especially if they have darker skin pigmentation (SACN, 2020). If people do not know they are at risk, they might not be motivated to participate in preventive activities, such as supplementin</w:t>
      </w:r>
      <w:r w:rsidR="00CD4246" w:rsidRPr="00715C4F">
        <w:rPr>
          <w:rFonts w:ascii="Arial" w:hAnsi="Arial" w:cs="Arial"/>
        </w:rPr>
        <w:t>g or regular health screenings</w:t>
      </w:r>
      <w:r w:rsidR="00131206">
        <w:rPr>
          <w:rFonts w:ascii="Arial" w:hAnsi="Arial" w:cs="Arial"/>
        </w:rPr>
        <w:t xml:space="preserve">. </w:t>
      </w:r>
    </w:p>
    <w:p w14:paraId="5714E321" w14:textId="0709B69A" w:rsidR="00812671" w:rsidRPr="00715C4F" w:rsidRDefault="007500B6" w:rsidP="00715C4F">
      <w:pPr>
        <w:spacing w:before="240" w:line="360" w:lineRule="auto"/>
        <w:jc w:val="both"/>
        <w:rPr>
          <w:rFonts w:ascii="Arial" w:hAnsi="Arial" w:cs="Arial"/>
        </w:rPr>
      </w:pPr>
      <w:r w:rsidRPr="00715C4F">
        <w:rPr>
          <w:rFonts w:ascii="Arial" w:hAnsi="Arial" w:cs="Arial"/>
        </w:rPr>
        <w:t xml:space="preserve">The second construct, perceived severity relates to </w:t>
      </w:r>
      <w:r w:rsidR="00812671" w:rsidRPr="00715C4F">
        <w:rPr>
          <w:rFonts w:ascii="Arial" w:hAnsi="Arial" w:cs="Arial"/>
        </w:rPr>
        <w:t>beliefs about the seriousness of vitamin D deficiency and associated health consequences. People who</w:t>
      </w:r>
      <w:r w:rsidR="00063342">
        <w:rPr>
          <w:rFonts w:ascii="Arial" w:hAnsi="Arial" w:cs="Arial"/>
        </w:rPr>
        <w:t xml:space="preserve"> recognis</w:t>
      </w:r>
      <w:r w:rsidR="00812671" w:rsidRPr="00715C4F">
        <w:rPr>
          <w:rFonts w:ascii="Arial" w:hAnsi="Arial" w:cs="Arial"/>
        </w:rPr>
        <w:t xml:space="preserve">e the associations of vitamin D deficiency with rickets, </w:t>
      </w:r>
      <w:proofErr w:type="spellStart"/>
      <w:r w:rsidR="00812671" w:rsidRPr="00715C4F">
        <w:rPr>
          <w:rFonts w:ascii="Arial" w:hAnsi="Arial" w:cs="Arial"/>
        </w:rPr>
        <w:t>osteomalacia</w:t>
      </w:r>
      <w:proofErr w:type="spellEnd"/>
      <w:r w:rsidR="00812671" w:rsidRPr="00715C4F">
        <w:rPr>
          <w:rFonts w:ascii="Arial" w:hAnsi="Arial" w:cs="Arial"/>
        </w:rPr>
        <w:t>, osteoporosis, muscle weakness and reduced immune function are more likely to engage in preventive behavio</w:t>
      </w:r>
      <w:r w:rsidR="005E357E">
        <w:rPr>
          <w:rFonts w:ascii="Arial" w:hAnsi="Arial" w:cs="Arial"/>
        </w:rPr>
        <w:t>u</w:t>
      </w:r>
      <w:r w:rsidR="00812671" w:rsidRPr="00715C4F">
        <w:rPr>
          <w:rFonts w:ascii="Arial" w:hAnsi="Arial" w:cs="Arial"/>
        </w:rPr>
        <w:t>rs than those who do not view vitamin D deficiency as a health issue of any great c</w:t>
      </w:r>
      <w:r w:rsidR="00CD4246" w:rsidRPr="00715C4F">
        <w:rPr>
          <w:rFonts w:ascii="Arial" w:hAnsi="Arial" w:cs="Arial"/>
        </w:rPr>
        <w:t>oncern (</w:t>
      </w:r>
      <w:proofErr w:type="spellStart"/>
      <w:r w:rsidR="00CD4246" w:rsidRPr="00715C4F">
        <w:rPr>
          <w:rFonts w:ascii="Arial" w:hAnsi="Arial" w:cs="Arial"/>
        </w:rPr>
        <w:t>Jolliffe</w:t>
      </w:r>
      <w:proofErr w:type="spellEnd"/>
      <w:r w:rsidR="00CD4246" w:rsidRPr="00715C4F">
        <w:rPr>
          <w:rFonts w:ascii="Arial" w:hAnsi="Arial" w:cs="Arial"/>
        </w:rPr>
        <w:t xml:space="preserve"> et al., 2023).</w:t>
      </w:r>
    </w:p>
    <w:p w14:paraId="3C6C5491" w14:textId="73FA9CD9" w:rsidR="00812671" w:rsidRPr="00715C4F" w:rsidRDefault="00812671" w:rsidP="00715C4F">
      <w:pPr>
        <w:spacing w:before="240" w:line="360" w:lineRule="auto"/>
        <w:jc w:val="both"/>
        <w:rPr>
          <w:rFonts w:ascii="Arial" w:hAnsi="Arial" w:cs="Arial"/>
        </w:rPr>
      </w:pPr>
      <w:r w:rsidRPr="00715C4F">
        <w:rPr>
          <w:rFonts w:ascii="Arial" w:hAnsi="Arial" w:cs="Arial"/>
        </w:rPr>
        <w:t>People who think vitamin D supplements, eating a healthy diet and getting safe sunlight are effective in preventing vitamin D deficiency are more likely to undertake these behaviours. On the other hand, factors like cultural clothing habits, financial conditions, low health literacy, language barriers, lack of health care access, and beliefs about supplements can hinder preventive measures (Darling et al., 2020; Sutherland et al., 2021). This is especially important for the cultural and socioeconomic determ</w:t>
      </w:r>
      <w:r w:rsidR="00CD4246" w:rsidRPr="00715C4F">
        <w:rPr>
          <w:rFonts w:ascii="Arial" w:hAnsi="Arial" w:cs="Arial"/>
        </w:rPr>
        <w:t>inants found in the literature.</w:t>
      </w:r>
    </w:p>
    <w:p w14:paraId="6C9E63BA" w14:textId="40B5CFCD" w:rsidR="00CF139D" w:rsidRDefault="00CF139D" w:rsidP="00715C4F">
      <w:pPr>
        <w:spacing w:before="240" w:line="360" w:lineRule="auto"/>
        <w:jc w:val="both"/>
        <w:rPr>
          <w:rFonts w:ascii="Arial" w:hAnsi="Arial" w:cs="Arial"/>
        </w:rPr>
      </w:pPr>
      <w:r w:rsidRPr="00CF139D">
        <w:rPr>
          <w:rFonts w:ascii="Arial" w:hAnsi="Arial" w:cs="Arial"/>
        </w:rPr>
        <w:t>Cues to action is another important concept—any</w:t>
      </w:r>
      <w:r w:rsidR="005E357E">
        <w:rPr>
          <w:rFonts w:ascii="Arial" w:hAnsi="Arial" w:cs="Arial"/>
        </w:rPr>
        <w:t>thing outside of the person who</w:t>
      </w:r>
      <w:r w:rsidRPr="00CF139D">
        <w:rPr>
          <w:rFonts w:ascii="Arial" w:hAnsi="Arial" w:cs="Arial"/>
        </w:rPr>
        <w:t xml:space="preserve"> prompts them to adopt healthier behaviours (Champion and Skinner, 2008; NICE, </w:t>
      </w:r>
      <w:r w:rsidRPr="00CF139D">
        <w:rPr>
          <w:rFonts w:ascii="Arial" w:hAnsi="Arial" w:cs="Arial"/>
        </w:rPr>
        <w:lastRenderedPageBreak/>
        <w:t>2023). There are a number of factors that could stimulate vitamin D related behaviours, such as healthcare providers, NHS awareness campaigns, community education programmes, screening, and culturally targeted public health interventions (NICE, 2023). Lastly, self-efficacy is the confidence that a person has in his or her skills to sustain behaviours in spite of practical or social difficulties, such as regular supplementation, healthy dietary habits, and safe sun exposure (Champion and Skinner, 2008).</w:t>
      </w:r>
    </w:p>
    <w:p w14:paraId="4E512ECF" w14:textId="3F4D9E8B" w:rsidR="00BE4622" w:rsidRPr="00715C4F" w:rsidRDefault="00BE4622" w:rsidP="00715C4F">
      <w:pPr>
        <w:spacing w:before="240" w:line="360" w:lineRule="auto"/>
        <w:jc w:val="both"/>
        <w:rPr>
          <w:rFonts w:ascii="Arial" w:hAnsi="Arial" w:cs="Arial"/>
        </w:rPr>
      </w:pPr>
      <w:r w:rsidRPr="00BE4622">
        <w:rPr>
          <w:rFonts w:ascii="Arial" w:hAnsi="Arial" w:cs="Arial"/>
        </w:rPr>
        <w:t>In all, the HBM serves as a comprehensive model for understanding the impact of demographic, cultural, lifestyle and socioeconomic factors on vitamin D-related health behaviours among ethnic minority groups. The model captures the biological vulnerability combined with behavioural and social factors, which can help provide a more comprehensive understanding of the evidence reviewed in this systematic review and a framework for informing culturally responsive public health interventions and policies.</w:t>
      </w:r>
      <w:r>
        <w:rPr>
          <w:rFonts w:ascii="Arial" w:hAnsi="Arial" w:cs="Arial"/>
        </w:rPr>
        <w:t xml:space="preserve"> </w:t>
      </w:r>
    </w:p>
    <w:p w14:paraId="45A54A51" w14:textId="17C7CB89" w:rsidR="00812671" w:rsidRPr="00715C4F" w:rsidRDefault="00CD4246" w:rsidP="0022637B">
      <w:pPr>
        <w:pStyle w:val="Heading2"/>
      </w:pPr>
      <w:bookmarkStart w:id="31" w:name="_Toc241025890"/>
      <w:r w:rsidRPr="00715C4F">
        <w:t>2.6 Summary to the Chapter</w:t>
      </w:r>
      <w:bookmarkEnd w:id="31"/>
    </w:p>
    <w:p w14:paraId="4C7DCF12" w14:textId="1374E07B" w:rsidR="00D15EF2" w:rsidRPr="00715C4F" w:rsidRDefault="00812671" w:rsidP="00715C4F">
      <w:pPr>
        <w:spacing w:line="360" w:lineRule="auto"/>
        <w:jc w:val="both"/>
        <w:rPr>
          <w:rFonts w:ascii="Arial" w:hAnsi="Arial" w:cs="Arial"/>
        </w:rPr>
      </w:pPr>
      <w:r w:rsidRPr="00715C4F">
        <w:rPr>
          <w:rFonts w:ascii="Arial" w:hAnsi="Arial" w:cs="Arial"/>
        </w:rPr>
        <w:t>The physiology of vitamin D and its metabolism, its sources, deficiency and its associated health implications were explored to provide the background for the study. The prevalence of vitamin D deficiency was explored, from a global and UK context, paying attention to inequalities between different ethnic minority groups. In addition, recent studies have been critically analysed and compared with respect to the demographic, cultural, lifestyle and socioeconomic factors associated with vitamin D deficiency. The chapter also considered the state of the current policies in the UK for public health and current interventions to address vitamin D deficiency and outlined the strengths and weaknesses of these. There was a strong rationale for this systematic review as there were identified gaps within the literature. Lastly, the Health Belief Model was added as the theoretical paradigm to guide the interpretation of the evidence</w:t>
      </w:r>
      <w:r w:rsidR="006A3D68" w:rsidRPr="00715C4F">
        <w:rPr>
          <w:rFonts w:ascii="Arial" w:hAnsi="Arial" w:cs="Arial"/>
        </w:rPr>
        <w:t>.</w:t>
      </w:r>
    </w:p>
    <w:p w14:paraId="69EB46CE" w14:textId="3EA259D8" w:rsidR="00D15EF2" w:rsidRPr="00715C4F" w:rsidRDefault="00D15EF2" w:rsidP="00715C4F">
      <w:pPr>
        <w:spacing w:line="360" w:lineRule="auto"/>
        <w:jc w:val="both"/>
        <w:rPr>
          <w:rFonts w:ascii="Arial" w:hAnsi="Arial" w:cs="Arial"/>
        </w:rPr>
      </w:pPr>
      <w:r w:rsidRPr="00715C4F">
        <w:rPr>
          <w:rFonts w:ascii="Arial" w:hAnsi="Arial" w:cs="Arial"/>
        </w:rPr>
        <w:br w:type="page"/>
      </w:r>
    </w:p>
    <w:p w14:paraId="784AFB39" w14:textId="4C53DA45" w:rsidR="000B152B" w:rsidRPr="00715C4F" w:rsidRDefault="00092116" w:rsidP="00092116">
      <w:pPr>
        <w:pStyle w:val="Heading1"/>
        <w:rPr>
          <w:lang w:eastAsia="en-GB"/>
        </w:rPr>
      </w:pPr>
      <w:bookmarkStart w:id="32" w:name="_Toc241025891"/>
      <w:r w:rsidRPr="00715C4F">
        <w:rPr>
          <w:lang w:eastAsia="en-GB"/>
        </w:rPr>
        <w:lastRenderedPageBreak/>
        <w:t>Chapter Three: Research Methodology</w:t>
      </w:r>
      <w:bookmarkEnd w:id="32"/>
    </w:p>
    <w:p w14:paraId="1CF5B2AC" w14:textId="77777777" w:rsidR="00B766FC" w:rsidRPr="00715C4F" w:rsidRDefault="00B766FC" w:rsidP="0022637B">
      <w:pPr>
        <w:pStyle w:val="Heading2"/>
        <w:rPr>
          <w:lang w:eastAsia="en-GB"/>
        </w:rPr>
      </w:pPr>
      <w:bookmarkStart w:id="33" w:name="_Toc241025892"/>
      <w:r w:rsidRPr="00715C4F">
        <w:rPr>
          <w:lang w:eastAsia="en-GB"/>
        </w:rPr>
        <w:t>3.1 Introduction</w:t>
      </w:r>
      <w:bookmarkEnd w:id="33"/>
    </w:p>
    <w:p w14:paraId="18D44322" w14:textId="77777777" w:rsidR="00B766FC" w:rsidRPr="00715C4F" w:rsidRDefault="00B766FC" w:rsidP="00715C4F">
      <w:pPr>
        <w:spacing w:line="360" w:lineRule="auto"/>
        <w:jc w:val="both"/>
        <w:rPr>
          <w:rFonts w:ascii="Arial" w:hAnsi="Arial" w:cs="Arial"/>
          <w:lang w:eastAsia="en-GB"/>
        </w:rPr>
      </w:pPr>
      <w:r w:rsidRPr="00EE03EE">
        <w:rPr>
          <w:rFonts w:ascii="Arial" w:hAnsi="Arial" w:cs="Arial"/>
          <w:lang w:eastAsia="en-GB"/>
        </w:rPr>
        <w:t xml:space="preserve">The methods for conducting the systematic review investigating vitamin D deficiency in ethnic minority populations in the United Kingdom (UK) will be described in this chapter. It will present and explain the philosophical assumptions, research approach, research strategy and study design used in the review. The chapter will also describe the approaches to be used in identifying, selecting, critically appraising and synthesising relevant published evidence. In addition, the search strategy, PICO statement, databases used and search procedures, inclusion and exclusion criteria, study selection process, quality assessment, data extraction and data synthesis methods will be explained. Discussions will also take place around ethical issues that may arise and the possible limitations and risk of bias of the review methodology. The methodology is designed in accordance with the Preferred Reporting Items for Systematic Reviews and Meta-Analyses (PRISMA) 2020 guidelines and the Joanna Briggs Institute (JBI) guidance, which outlines the way in which a systematic review should be conducted in a transparent, rigorous and reproducible way (Page et al., 2021; </w:t>
      </w:r>
      <w:proofErr w:type="spellStart"/>
      <w:r w:rsidRPr="00EE03EE">
        <w:rPr>
          <w:rFonts w:ascii="Arial" w:hAnsi="Arial" w:cs="Arial"/>
          <w:lang w:eastAsia="en-GB"/>
        </w:rPr>
        <w:t>Aromataris</w:t>
      </w:r>
      <w:proofErr w:type="spellEnd"/>
      <w:r w:rsidRPr="00EE03EE">
        <w:rPr>
          <w:rFonts w:ascii="Arial" w:hAnsi="Arial" w:cs="Arial"/>
          <w:lang w:eastAsia="en-GB"/>
        </w:rPr>
        <w:t xml:space="preserve"> and Munn, 2020).</w:t>
      </w:r>
    </w:p>
    <w:p w14:paraId="47E7798A" w14:textId="19B75054" w:rsidR="00B766FC" w:rsidRPr="00715C4F" w:rsidRDefault="00B766FC" w:rsidP="0022637B">
      <w:pPr>
        <w:pStyle w:val="Heading2"/>
        <w:rPr>
          <w:lang w:eastAsia="en-GB"/>
        </w:rPr>
      </w:pPr>
      <w:bookmarkStart w:id="34" w:name="_Toc241025893"/>
      <w:r w:rsidRPr="00715C4F">
        <w:rPr>
          <w:lang w:eastAsia="en-GB"/>
        </w:rPr>
        <w:t>3.2 Research Philosophy</w:t>
      </w:r>
      <w:bookmarkEnd w:id="34"/>
    </w:p>
    <w:p w14:paraId="0F1B9E0A" w14:textId="39E62666" w:rsidR="00B766FC" w:rsidRPr="00715C4F" w:rsidRDefault="00B766FC" w:rsidP="00715C4F">
      <w:pPr>
        <w:spacing w:line="360" w:lineRule="auto"/>
        <w:jc w:val="both"/>
        <w:rPr>
          <w:rFonts w:ascii="Arial" w:hAnsi="Arial" w:cs="Arial"/>
          <w:lang w:eastAsia="en-GB"/>
        </w:rPr>
      </w:pPr>
      <w:r w:rsidRPr="00715C4F">
        <w:rPr>
          <w:rFonts w:ascii="Arial" w:hAnsi="Arial" w:cs="Arial"/>
          <w:lang w:eastAsia="en-GB"/>
        </w:rPr>
        <w:t xml:space="preserve">Research philosophy is the underlying assumptions and beliefs of the generation, interpretation and application of knowledge in a research study (Saunders, Lewis and Thornhill, 2023). It includes ontology (the nature of reality) and epistemology (how knowledge is obtained and verified) (Creswell and Creswell, 2023). In the field of health research, there are several philosophical paradigms commonly used such as positivism, </w:t>
      </w:r>
      <w:proofErr w:type="spellStart"/>
      <w:r w:rsidR="002C2987" w:rsidRPr="00715C4F">
        <w:rPr>
          <w:rFonts w:ascii="Arial" w:hAnsi="Arial" w:cs="Arial"/>
          <w:lang w:eastAsia="en-GB"/>
        </w:rPr>
        <w:t>Interpretivism</w:t>
      </w:r>
      <w:proofErr w:type="spellEnd"/>
      <w:r w:rsidRPr="00715C4F">
        <w:rPr>
          <w:rFonts w:ascii="Arial" w:hAnsi="Arial" w:cs="Arial"/>
          <w:lang w:eastAsia="en-GB"/>
        </w:rPr>
        <w:t>, pragmatism, and critical realism. A positivist approach will be used in this systematic review as it aims to synthesise objective information from published empirical research studies that have examined the prevalence and risk factors for vitamin D deficiency in ethnic minority groups in the</w:t>
      </w:r>
      <w:r w:rsidR="00055269">
        <w:rPr>
          <w:rFonts w:ascii="Arial" w:hAnsi="Arial" w:cs="Arial"/>
          <w:lang w:eastAsia="en-GB"/>
        </w:rPr>
        <w:t xml:space="preserve"> UK</w:t>
      </w:r>
      <w:r w:rsidRPr="00715C4F">
        <w:rPr>
          <w:rFonts w:ascii="Arial" w:hAnsi="Arial" w:cs="Arial"/>
          <w:lang w:eastAsia="en-GB"/>
        </w:rPr>
        <w:t>. According to Saunders et al (2023) positivism believes in objective reality and that knowledge can be gained from systematic observation and empirical evidence. The researcher will be independent of the research process, as the analysis of results of quantitative, qualitative and mixed-methods studies will be done in the review and no primary data will be produce</w:t>
      </w:r>
      <w:r w:rsidR="00C44FD8">
        <w:rPr>
          <w:rFonts w:ascii="Arial" w:hAnsi="Arial" w:cs="Arial"/>
          <w:lang w:eastAsia="en-GB"/>
        </w:rPr>
        <w:t xml:space="preserve">d </w:t>
      </w:r>
      <w:r w:rsidRPr="00715C4F">
        <w:rPr>
          <w:rFonts w:ascii="Arial" w:hAnsi="Arial" w:cs="Arial"/>
          <w:lang w:eastAsia="en-GB"/>
        </w:rPr>
        <w:t>(Creswell and Creswell, 2023; Page et al., 2021)</w:t>
      </w:r>
      <w:r w:rsidR="0012046A" w:rsidRPr="00715C4F">
        <w:rPr>
          <w:rFonts w:ascii="Arial" w:hAnsi="Arial" w:cs="Arial"/>
          <w:lang w:eastAsia="en-GB"/>
        </w:rPr>
        <w:t>.</w:t>
      </w:r>
    </w:p>
    <w:p w14:paraId="2E48AB86" w14:textId="5D976ACC" w:rsidR="00B766FC" w:rsidRPr="00715C4F" w:rsidRDefault="00B766FC" w:rsidP="0022637B">
      <w:pPr>
        <w:pStyle w:val="Heading2"/>
        <w:rPr>
          <w:lang w:eastAsia="en-GB"/>
        </w:rPr>
      </w:pPr>
      <w:bookmarkStart w:id="35" w:name="_Toc241025894"/>
      <w:r w:rsidRPr="00715C4F">
        <w:rPr>
          <w:lang w:eastAsia="en-GB"/>
        </w:rPr>
        <w:lastRenderedPageBreak/>
        <w:t>3.3 Ethical Considerations</w:t>
      </w:r>
      <w:bookmarkEnd w:id="35"/>
    </w:p>
    <w:p w14:paraId="51492F70" w14:textId="62FEC18A" w:rsidR="00B766FC" w:rsidRPr="00715C4F" w:rsidRDefault="00B766FC" w:rsidP="00715C4F">
      <w:pPr>
        <w:spacing w:line="360" w:lineRule="auto"/>
        <w:jc w:val="both"/>
        <w:rPr>
          <w:rFonts w:ascii="Arial" w:hAnsi="Arial" w:cs="Arial"/>
          <w:lang w:eastAsia="en-GB"/>
        </w:rPr>
      </w:pPr>
      <w:r w:rsidRPr="00715C4F">
        <w:rPr>
          <w:rFonts w:ascii="Arial" w:hAnsi="Arial" w:cs="Arial"/>
          <w:lang w:eastAsia="en-GB"/>
        </w:rPr>
        <w:t xml:space="preserve">Ethical principles are essential in conducting any type of research as they support integrity, transparency and respect for research subjects and the responsible use of evidence (World Medical Association, 2024). Ethics issues are not the same as they are in primary research, since there is no direct contact with humans involved in the systematic review and no new personal or sensitive data is gathered. Rather, the researchers are expected to carefully carry out the review process, reduce bias, truthfully reflect the published research and give appropriate </w:t>
      </w:r>
      <w:r w:rsidR="002C5EB6" w:rsidRPr="002C5EB6">
        <w:rPr>
          <w:rFonts w:ascii="Arial" w:hAnsi="Arial" w:cs="Arial"/>
          <w:lang w:eastAsia="en-GB"/>
        </w:rPr>
        <w:t>acknowledgement</w:t>
      </w:r>
      <w:r w:rsidRPr="00715C4F">
        <w:rPr>
          <w:rFonts w:ascii="Arial" w:hAnsi="Arial" w:cs="Arial"/>
          <w:lang w:eastAsia="en-GB"/>
        </w:rPr>
        <w:t xml:space="preserve"> of all original sou</w:t>
      </w:r>
      <w:r w:rsidR="006C0B0F" w:rsidRPr="00715C4F">
        <w:rPr>
          <w:rFonts w:ascii="Arial" w:hAnsi="Arial" w:cs="Arial"/>
          <w:lang w:eastAsia="en-GB"/>
        </w:rPr>
        <w:t>rces (</w:t>
      </w:r>
      <w:proofErr w:type="spellStart"/>
      <w:r w:rsidR="006C0B0F" w:rsidRPr="00715C4F">
        <w:rPr>
          <w:rFonts w:ascii="Arial" w:hAnsi="Arial" w:cs="Arial"/>
          <w:lang w:eastAsia="en-GB"/>
        </w:rPr>
        <w:t>Aromataris</w:t>
      </w:r>
      <w:proofErr w:type="spellEnd"/>
      <w:r w:rsidR="006C0B0F" w:rsidRPr="00715C4F">
        <w:rPr>
          <w:rFonts w:ascii="Arial" w:hAnsi="Arial" w:cs="Arial"/>
          <w:lang w:eastAsia="en-GB"/>
        </w:rPr>
        <w:t xml:space="preserve"> and</w:t>
      </w:r>
      <w:r w:rsidR="00464417" w:rsidRPr="00715C4F">
        <w:rPr>
          <w:rFonts w:ascii="Arial" w:hAnsi="Arial" w:cs="Arial"/>
          <w:lang w:eastAsia="en-GB"/>
        </w:rPr>
        <w:t xml:space="preserve"> Munn, 2020).</w:t>
      </w:r>
      <w:r w:rsidR="00BB5CFC" w:rsidRPr="00715C4F">
        <w:rPr>
          <w:rFonts w:ascii="Arial" w:hAnsi="Arial" w:cs="Arial"/>
          <w:lang w:eastAsia="en-GB"/>
        </w:rPr>
        <w:t xml:space="preserve"> </w:t>
      </w:r>
      <w:r w:rsidRPr="00715C4F">
        <w:rPr>
          <w:rFonts w:ascii="Arial" w:hAnsi="Arial" w:cs="Arial"/>
          <w:lang w:eastAsia="en-GB"/>
        </w:rPr>
        <w:t>This systematic review will use only publicly available, peer-reviewed literature and relevant government publications. As a result, there will be no formal ethical approval necessary as no human subjects will be recruited, no personal information will be accessed and</w:t>
      </w:r>
      <w:r w:rsidR="00BB5CFC" w:rsidRPr="00715C4F">
        <w:rPr>
          <w:rFonts w:ascii="Arial" w:hAnsi="Arial" w:cs="Arial"/>
          <w:lang w:eastAsia="en-GB"/>
        </w:rPr>
        <w:t xml:space="preserve"> no intervention will be taken </w:t>
      </w:r>
      <w:r w:rsidRPr="00715C4F">
        <w:rPr>
          <w:rFonts w:ascii="Arial" w:hAnsi="Arial" w:cs="Arial"/>
          <w:lang w:eastAsia="en-GB"/>
        </w:rPr>
        <w:t xml:space="preserve">(Page et al., 2021). </w:t>
      </w:r>
    </w:p>
    <w:p w14:paraId="4969C790" w14:textId="1123AF99" w:rsidR="00B766FC" w:rsidRPr="00715C4F" w:rsidRDefault="00B766FC" w:rsidP="0022637B">
      <w:pPr>
        <w:pStyle w:val="Heading2"/>
        <w:rPr>
          <w:lang w:eastAsia="en-GB"/>
        </w:rPr>
      </w:pPr>
      <w:bookmarkStart w:id="36" w:name="_Toc241025895"/>
      <w:r w:rsidRPr="00715C4F">
        <w:rPr>
          <w:lang w:eastAsia="en-GB"/>
        </w:rPr>
        <w:t>3.4 Research Approach</w:t>
      </w:r>
      <w:bookmarkEnd w:id="36"/>
    </w:p>
    <w:p w14:paraId="499B8AEC" w14:textId="2F321EC2" w:rsidR="00B766FC" w:rsidRPr="00715C4F" w:rsidRDefault="006C0B0F" w:rsidP="00715C4F">
      <w:pPr>
        <w:spacing w:line="360" w:lineRule="auto"/>
        <w:jc w:val="both"/>
        <w:rPr>
          <w:rFonts w:ascii="Arial" w:hAnsi="Arial" w:cs="Arial"/>
          <w:lang w:eastAsia="en-GB"/>
        </w:rPr>
      </w:pPr>
      <w:r w:rsidRPr="00715C4F">
        <w:rPr>
          <w:rFonts w:ascii="Arial" w:hAnsi="Arial" w:cs="Arial"/>
          <w:lang w:eastAsia="en-GB"/>
        </w:rPr>
        <w:t>Research methods refer to the systematic procedures and techniques used to collect, analyse and interpret evidence in order to address a research question. The choice of method is influenced by the nature of the research problem, the type of evidence required and the philosophical assumptions underpinning the study (Saunders, Lewis and Thornhill, 2023). Quantitative and qualitative approaches represent two broad methodological traditions, although contemporary research may also combine them through mixed-methods designs</w:t>
      </w:r>
      <w:r w:rsidR="00B766FC" w:rsidRPr="00715C4F">
        <w:rPr>
          <w:rFonts w:ascii="Arial" w:hAnsi="Arial" w:cs="Arial"/>
          <w:lang w:eastAsia="en-GB"/>
        </w:rPr>
        <w:t>. A systematic review is neither of these as it uses explicit, transparent and reproducible methods to synthesise existing evidence and answer a focused re</w:t>
      </w:r>
      <w:r w:rsidR="00464417" w:rsidRPr="00715C4F">
        <w:rPr>
          <w:rFonts w:ascii="Arial" w:hAnsi="Arial" w:cs="Arial"/>
          <w:lang w:eastAsia="en-GB"/>
        </w:rPr>
        <w:t>search question (Snyder, 2019).</w:t>
      </w:r>
    </w:p>
    <w:p w14:paraId="18B24202" w14:textId="3CB652B1" w:rsidR="00AD543A" w:rsidRPr="00715C4F" w:rsidRDefault="00AD543A" w:rsidP="00715C4F">
      <w:pPr>
        <w:spacing w:line="360" w:lineRule="auto"/>
        <w:jc w:val="both"/>
        <w:rPr>
          <w:rFonts w:ascii="Arial" w:hAnsi="Arial" w:cs="Arial"/>
          <w:lang w:eastAsia="en-GB"/>
        </w:rPr>
      </w:pPr>
      <w:r w:rsidRPr="00AD543A">
        <w:rPr>
          <w:rFonts w:ascii="Arial" w:hAnsi="Arial" w:cs="Arial"/>
          <w:lang w:eastAsia="en-GB"/>
        </w:rPr>
        <w:t>The present study will use a systematic review approach, as this is a suitable methodology for investigating the prevalence and determinants of vitamin D deficiency in UK ethnic minorities. A systematic review is different from a literature review in that it is conducted in a predetermined way, uses explicit inclusion and exclusion criteria, critically appraises the quality of study designs, and synthesises the evidence in a systematic way, which reduces bias, compared to a traditional literature review (Page et al., 2021). This is especially beneficial as a systematic review allows for an integrated or systematic synthesis of information from several studies, which allows for a more comprehensive understanding of the complex determinants; it also functions to detect inconsistencies and gaps in existing evidence (Page et al., 2021; Pollock and Berge, 2018).</w:t>
      </w:r>
      <w:r>
        <w:rPr>
          <w:rFonts w:ascii="Arial" w:hAnsi="Arial" w:cs="Arial"/>
          <w:lang w:eastAsia="en-GB"/>
        </w:rPr>
        <w:t xml:space="preserve"> </w:t>
      </w:r>
    </w:p>
    <w:p w14:paraId="18310172" w14:textId="4A8C5CD4" w:rsidR="00B766FC" w:rsidRPr="00715C4F" w:rsidRDefault="00B766FC" w:rsidP="0022637B">
      <w:pPr>
        <w:pStyle w:val="Heading2"/>
        <w:rPr>
          <w:lang w:eastAsia="en-GB"/>
        </w:rPr>
      </w:pPr>
      <w:bookmarkStart w:id="37" w:name="_Toc241025896"/>
      <w:r w:rsidRPr="00715C4F">
        <w:rPr>
          <w:lang w:eastAsia="en-GB"/>
        </w:rPr>
        <w:lastRenderedPageBreak/>
        <w:t>3.5 Research Strategy</w:t>
      </w:r>
      <w:bookmarkEnd w:id="37"/>
    </w:p>
    <w:p w14:paraId="082095C8" w14:textId="2F9F5AEA" w:rsidR="00FE7CF0" w:rsidRPr="00FE7CF0" w:rsidRDefault="00FE7CF0" w:rsidP="00FE7CF0">
      <w:pPr>
        <w:spacing w:line="360" w:lineRule="auto"/>
        <w:jc w:val="both"/>
        <w:rPr>
          <w:rFonts w:ascii="Arial" w:hAnsi="Arial" w:cs="Arial"/>
          <w:lang w:eastAsia="en-GB"/>
        </w:rPr>
      </w:pPr>
      <w:r w:rsidRPr="00FE7CF0">
        <w:rPr>
          <w:rFonts w:ascii="Arial" w:hAnsi="Arial" w:cs="Arial"/>
          <w:lang w:eastAsia="en-GB"/>
        </w:rPr>
        <w:t>Research strategy refers to the systematic way in which a study is structured and directed towards answering its research question. It provides a logical connection between the research philosophy, research approach, methods of evidence collection and the interpretation of findings (Saunders, Lewis and Thornhill, 2023). There are two basic types of reasoning mentioned in</w:t>
      </w:r>
      <w:r w:rsidR="00D00182">
        <w:rPr>
          <w:rFonts w:ascii="Arial" w:hAnsi="Arial" w:cs="Arial"/>
          <w:lang w:eastAsia="en-GB"/>
        </w:rPr>
        <w:t xml:space="preserve"> the</w:t>
      </w:r>
      <w:r w:rsidRPr="00FE7CF0">
        <w:rPr>
          <w:rFonts w:ascii="Arial" w:hAnsi="Arial" w:cs="Arial"/>
          <w:lang w:eastAsia="en-GB"/>
        </w:rPr>
        <w:t xml:space="preserve"> methodology of research: Deductive and Inductive reasoning. While these methods are often viewed as separate strategies, modern studies ack</w:t>
      </w:r>
      <w:r w:rsidR="00196715">
        <w:rPr>
          <w:rFonts w:ascii="Arial" w:hAnsi="Arial" w:cs="Arial"/>
          <w:lang w:eastAsia="en-GB"/>
        </w:rPr>
        <w:t>nowledge that they may be utilis</w:t>
      </w:r>
      <w:r w:rsidRPr="00FE7CF0">
        <w:rPr>
          <w:rFonts w:ascii="Arial" w:hAnsi="Arial" w:cs="Arial"/>
          <w:lang w:eastAsia="en-GB"/>
        </w:rPr>
        <w:t>ed concurrently, especially if the research question involves testing and developing a theory (Creswell and Creswell, 2023).</w:t>
      </w:r>
    </w:p>
    <w:p w14:paraId="651EDD77" w14:textId="77777777" w:rsidR="00FE7CF0" w:rsidRPr="00FE7CF0" w:rsidRDefault="00FE7CF0" w:rsidP="00FE7CF0">
      <w:pPr>
        <w:spacing w:line="360" w:lineRule="auto"/>
        <w:jc w:val="both"/>
        <w:rPr>
          <w:rFonts w:ascii="Arial" w:hAnsi="Arial" w:cs="Arial"/>
          <w:lang w:eastAsia="en-GB"/>
        </w:rPr>
      </w:pPr>
      <w:r w:rsidRPr="00FE7CF0">
        <w:rPr>
          <w:rFonts w:ascii="Arial" w:hAnsi="Arial" w:cs="Arial"/>
          <w:lang w:eastAsia="en-GB"/>
        </w:rPr>
        <w:t>Deductive reasoning normally starts with previously developed theory, conceptual frameworks, or propositions, and then moves to the analysis of empirical evidence. It includes generating predictions based on prior knowledge and then testing the predictions against the evidence provided (Saunders, Lewis and Thornhill 2023). One of the strengths in deduction is that there is a clear and structured analytical direction as the researcher does not construct explanations from the data alone and moves from a set of theoretical assumptions. But a deductive approach can limit analysis if the researcher has acted so as to include only those findings that support his or her prior expectations.</w:t>
      </w:r>
    </w:p>
    <w:p w14:paraId="6C2306D4" w14:textId="03C04BB0" w:rsidR="00FE7CF0" w:rsidRPr="00FE7CF0" w:rsidRDefault="00FE7CF0" w:rsidP="00FE7CF0">
      <w:pPr>
        <w:spacing w:line="360" w:lineRule="auto"/>
        <w:jc w:val="both"/>
        <w:rPr>
          <w:rFonts w:ascii="Arial" w:hAnsi="Arial" w:cs="Arial"/>
          <w:lang w:eastAsia="en-GB"/>
        </w:rPr>
      </w:pPr>
      <w:r w:rsidRPr="00FE7CF0">
        <w:rPr>
          <w:rFonts w:ascii="Arial" w:hAnsi="Arial" w:cs="Arial"/>
          <w:lang w:eastAsia="en-GB"/>
        </w:rPr>
        <w:t xml:space="preserve">In inductive reasoning, you start with observations or empirical evidence and then try to construct more general conceptions, patterns or explanations. It is strongly linked to qualitative research, in which researchers try to grasp the experiences, meanings, and social processes of their participants, but do not necessarily impose preconceived theoretical categories on the data (Creswell and </w:t>
      </w:r>
      <w:proofErr w:type="spellStart"/>
      <w:r w:rsidRPr="00FE7CF0">
        <w:rPr>
          <w:rFonts w:ascii="Arial" w:hAnsi="Arial" w:cs="Arial"/>
          <w:lang w:eastAsia="en-GB"/>
        </w:rPr>
        <w:t>Poth</w:t>
      </w:r>
      <w:proofErr w:type="spellEnd"/>
      <w:r w:rsidRPr="00FE7CF0">
        <w:rPr>
          <w:rFonts w:ascii="Arial" w:hAnsi="Arial" w:cs="Arial"/>
          <w:lang w:eastAsia="en-GB"/>
        </w:rPr>
        <w:t>, 2018). Induction therefore is useful in cases where a research topic is not well known, or where an existing theory is not sufficient to explain the phenomenon. Nevertheless, indu</w:t>
      </w:r>
      <w:r w:rsidR="00D00182">
        <w:rPr>
          <w:rFonts w:ascii="Arial" w:hAnsi="Arial" w:cs="Arial"/>
          <w:lang w:eastAsia="en-GB"/>
        </w:rPr>
        <w:t>ctive conclusions remain dependa</w:t>
      </w:r>
      <w:r w:rsidRPr="00FE7CF0">
        <w:rPr>
          <w:rFonts w:ascii="Arial" w:hAnsi="Arial" w:cs="Arial"/>
          <w:lang w:eastAsia="en-GB"/>
        </w:rPr>
        <w:t>nt on the evidence available and may be difficult to generalise beyond the contexts from which the observations were derived.</w:t>
      </w:r>
    </w:p>
    <w:p w14:paraId="16C9E2BD" w14:textId="77777777" w:rsidR="00FE7CF0" w:rsidRPr="00FE7CF0" w:rsidRDefault="00FE7CF0" w:rsidP="00FE7CF0">
      <w:pPr>
        <w:spacing w:line="360" w:lineRule="auto"/>
        <w:jc w:val="both"/>
        <w:rPr>
          <w:rFonts w:ascii="Arial" w:hAnsi="Arial" w:cs="Arial"/>
          <w:lang w:eastAsia="en-GB"/>
        </w:rPr>
      </w:pPr>
      <w:r w:rsidRPr="00FE7CF0">
        <w:rPr>
          <w:rFonts w:ascii="Arial" w:hAnsi="Arial" w:cs="Arial"/>
          <w:lang w:eastAsia="en-GB"/>
        </w:rPr>
        <w:t xml:space="preserve">For the present systematic review, a predominantly deductive research strategy was adopted. This was particularly fitting given that the Health Belief Model (HBM) was used as a theory to guide the review, as it offered an existing theoretical structure for understanding possible behavioural predictors of vitamin D related preventive behaviours. Further, prior to the literature search, a review question and eligibility criteria was delineated, and the evidence was systematically evaluated against pre-determined criteria. The study therefore did not seek to generate a new theory from </w:t>
      </w:r>
      <w:r w:rsidRPr="00FE7CF0">
        <w:rPr>
          <w:rFonts w:ascii="Arial" w:hAnsi="Arial" w:cs="Arial"/>
          <w:lang w:eastAsia="en-GB"/>
        </w:rPr>
        <w:lastRenderedPageBreak/>
        <w:t>primary observations; instead, it synthesised existing empirical evidence and considered how the identified demographic, cultural, lifestyle and socioeconomic determinants could be understood in relation to an established theoretical framework. Nevertheless, the synthesis remained sufficiently open to unexpected findings and themes, meaning that the analysis was not restricted exclusively to categories predicted by the HBM. This combination strengthened the review by maintaining a theoretically informed direction while allowing evidence emerging from the included studies to be critically considered (Page et al., 2021).</w:t>
      </w:r>
    </w:p>
    <w:p w14:paraId="4DDC649C" w14:textId="295D183D" w:rsidR="00FE7CF0" w:rsidRPr="00715C4F" w:rsidRDefault="00FE7CF0" w:rsidP="00FE7CF0">
      <w:pPr>
        <w:spacing w:line="360" w:lineRule="auto"/>
        <w:jc w:val="both"/>
        <w:rPr>
          <w:rFonts w:ascii="Arial" w:hAnsi="Arial" w:cs="Arial"/>
          <w:lang w:eastAsia="en-GB"/>
        </w:rPr>
      </w:pPr>
      <w:r w:rsidRPr="00FE7CF0">
        <w:rPr>
          <w:rFonts w:ascii="Arial" w:hAnsi="Arial" w:cs="Arial"/>
          <w:lang w:eastAsia="en-GB"/>
        </w:rPr>
        <w:t>This study will have a deductive approach, as the research will be consolidating reports of vitamin D deficiency in ethnic minorities and not developing new theories. The results of the review will be discussed with reference to the pre-determined research objectives and the Health Belief Model stated in Chapter Two. A deductive approach is thus warranted as it offers a systematic and objective approach in the analysis of available evidence and should guarantee consistency across the review process.</w:t>
      </w:r>
      <w:r>
        <w:rPr>
          <w:rFonts w:ascii="Arial" w:hAnsi="Arial" w:cs="Arial"/>
          <w:lang w:eastAsia="en-GB"/>
        </w:rPr>
        <w:t xml:space="preserve"> </w:t>
      </w:r>
    </w:p>
    <w:p w14:paraId="2CE4CFB2" w14:textId="060A493B" w:rsidR="00B766FC" w:rsidRPr="00715C4F" w:rsidRDefault="00B766FC" w:rsidP="0022637B">
      <w:pPr>
        <w:pStyle w:val="Heading2"/>
        <w:rPr>
          <w:lang w:eastAsia="en-GB"/>
        </w:rPr>
      </w:pPr>
      <w:bookmarkStart w:id="38" w:name="_Toc241025897"/>
      <w:r w:rsidRPr="00715C4F">
        <w:rPr>
          <w:lang w:eastAsia="en-GB"/>
        </w:rPr>
        <w:t>3.6 Study Design</w:t>
      </w:r>
      <w:bookmarkEnd w:id="38"/>
    </w:p>
    <w:p w14:paraId="1293E765" w14:textId="19790665" w:rsidR="008F4124" w:rsidRPr="00715C4F" w:rsidRDefault="00B766FC" w:rsidP="00715C4F">
      <w:pPr>
        <w:spacing w:line="360" w:lineRule="auto"/>
        <w:jc w:val="both"/>
        <w:rPr>
          <w:rFonts w:ascii="Arial" w:hAnsi="Arial" w:cs="Arial"/>
          <w:lang w:eastAsia="en-GB"/>
        </w:rPr>
      </w:pPr>
      <w:r w:rsidRPr="00715C4F">
        <w:rPr>
          <w:rFonts w:ascii="Arial" w:hAnsi="Arial" w:cs="Arial"/>
          <w:lang w:eastAsia="en-GB"/>
        </w:rPr>
        <w:t xml:space="preserve">The study will use a systematic review study design to explore the prevalence and determinants of vitamin D deficiency in ethnic minority groups in the UK. A systematic review is a research methodology that seeks to identify, critically appraise and collate evidence in relevant studies on a specific topic using systematic, explicit, and reproducible procedures (Page et al., 2021). A systematic review is different to a narrative or traditional literature review, in that it has a predetermined protocol, a thorough search strategy and </w:t>
      </w:r>
      <w:r w:rsidR="00464417" w:rsidRPr="00715C4F">
        <w:rPr>
          <w:rFonts w:ascii="Arial" w:hAnsi="Arial" w:cs="Arial"/>
          <w:lang w:eastAsia="en-GB"/>
        </w:rPr>
        <w:t>a clear eligibility criterion</w:t>
      </w:r>
      <w:r w:rsidRPr="00715C4F">
        <w:rPr>
          <w:rFonts w:ascii="Arial" w:hAnsi="Arial" w:cs="Arial"/>
          <w:lang w:eastAsia="en-GB"/>
        </w:rPr>
        <w:t xml:space="preserve"> to reduce selection bias and to ensure findings can be relied upon (</w:t>
      </w:r>
      <w:proofErr w:type="spellStart"/>
      <w:r w:rsidRPr="00715C4F">
        <w:rPr>
          <w:rFonts w:ascii="Arial" w:hAnsi="Arial" w:cs="Arial"/>
          <w:lang w:eastAsia="en-GB"/>
        </w:rPr>
        <w:t>Aromataris</w:t>
      </w:r>
      <w:proofErr w:type="spellEnd"/>
      <w:r w:rsidRPr="00715C4F">
        <w:rPr>
          <w:rFonts w:ascii="Arial" w:hAnsi="Arial" w:cs="Arial"/>
          <w:lang w:eastAsia="en-GB"/>
        </w:rPr>
        <w:t xml:space="preserve"> and Munn, 2020). It has been chosen because it will allow data from a range of study designs to be combined, giving a comprehensive view of the prevalence of vitamin D deficiency and the demographic, cultural, lifestyle and socioeconomic factors associated with vitamin D deficiency in ethnic minority groups in the UK. In addition, systematic reviews can facilitate evidence-based </w:t>
      </w:r>
      <w:r w:rsidR="00440040">
        <w:rPr>
          <w:rFonts w:ascii="Arial" w:hAnsi="Arial" w:cs="Arial"/>
          <w:lang w:eastAsia="en-GB"/>
        </w:rPr>
        <w:t>healthcare practis</w:t>
      </w:r>
      <w:r w:rsidR="00196715">
        <w:rPr>
          <w:rFonts w:ascii="Arial" w:hAnsi="Arial" w:cs="Arial"/>
          <w:lang w:eastAsia="en-GB"/>
        </w:rPr>
        <w:t>es by summaris</w:t>
      </w:r>
      <w:r w:rsidRPr="00715C4F">
        <w:rPr>
          <w:rFonts w:ascii="Arial" w:hAnsi="Arial" w:cs="Arial"/>
          <w:lang w:eastAsia="en-GB"/>
        </w:rPr>
        <w:t>ing the results that are consistent, highlighting conflicting evidence and uncovering gaps in literature</w:t>
      </w:r>
      <w:r w:rsidR="00C56CCD" w:rsidRPr="00715C4F">
        <w:rPr>
          <w:rFonts w:ascii="Arial" w:hAnsi="Arial" w:cs="Arial"/>
          <w:lang w:eastAsia="en-GB"/>
        </w:rPr>
        <w:t>.</w:t>
      </w:r>
    </w:p>
    <w:p w14:paraId="67C9A402" w14:textId="6C64440E" w:rsidR="008F4124" w:rsidRPr="00715C4F" w:rsidRDefault="00464417" w:rsidP="0022637B">
      <w:pPr>
        <w:pStyle w:val="Heading2"/>
        <w:rPr>
          <w:lang w:eastAsia="en-GB"/>
        </w:rPr>
      </w:pPr>
      <w:bookmarkStart w:id="39" w:name="_Toc241025898"/>
      <w:r w:rsidRPr="00715C4F">
        <w:rPr>
          <w:lang w:eastAsia="en-GB"/>
        </w:rPr>
        <w:t>3.7 Method of Data Collection</w:t>
      </w:r>
      <w:bookmarkEnd w:id="39"/>
    </w:p>
    <w:p w14:paraId="650FA6B8" w14:textId="124246C1" w:rsidR="00582EFE" w:rsidRPr="00715C4F" w:rsidRDefault="00582EFE" w:rsidP="00715C4F">
      <w:pPr>
        <w:spacing w:line="360" w:lineRule="auto"/>
        <w:jc w:val="both"/>
        <w:rPr>
          <w:rFonts w:ascii="Arial" w:hAnsi="Arial" w:cs="Arial"/>
          <w:lang w:eastAsia="en-GB"/>
        </w:rPr>
      </w:pPr>
      <w:r w:rsidRPr="00715C4F">
        <w:rPr>
          <w:rFonts w:ascii="Arial" w:hAnsi="Arial" w:cs="Arial"/>
          <w:lang w:eastAsia="en-GB"/>
        </w:rPr>
        <w:t>A systematic review does not involve collecting primary data from participants, it is a systematic process that involves finding, retrieving, and selecting published evidence that is relevant for the review (</w:t>
      </w:r>
      <w:proofErr w:type="spellStart"/>
      <w:r w:rsidRPr="00715C4F">
        <w:rPr>
          <w:rFonts w:ascii="Arial" w:hAnsi="Arial" w:cs="Arial"/>
          <w:lang w:eastAsia="en-GB"/>
        </w:rPr>
        <w:t>Aromataris</w:t>
      </w:r>
      <w:proofErr w:type="spellEnd"/>
      <w:r w:rsidRPr="00715C4F">
        <w:rPr>
          <w:rFonts w:ascii="Arial" w:hAnsi="Arial" w:cs="Arial"/>
          <w:lang w:eastAsia="en-GB"/>
        </w:rPr>
        <w:t xml:space="preserve"> and Munn, 2020). The data will be gathered from the peer reviewed journal articles and relevant grey literature related to the prevalence and determinants of vitamin D deficiency among ethnic minority g</w:t>
      </w:r>
      <w:r w:rsidR="000B432E">
        <w:rPr>
          <w:rFonts w:ascii="Arial" w:hAnsi="Arial" w:cs="Arial"/>
          <w:lang w:eastAsia="en-GB"/>
        </w:rPr>
        <w:t xml:space="preserve">roups in </w:t>
      </w:r>
      <w:r w:rsidR="000B432E">
        <w:rPr>
          <w:rFonts w:ascii="Arial" w:hAnsi="Arial" w:cs="Arial"/>
          <w:lang w:eastAsia="en-GB"/>
        </w:rPr>
        <w:lastRenderedPageBreak/>
        <w:t>the UK</w:t>
      </w:r>
      <w:r w:rsidRPr="00715C4F">
        <w:rPr>
          <w:rFonts w:ascii="Arial" w:hAnsi="Arial" w:cs="Arial"/>
          <w:lang w:eastAsia="en-GB"/>
        </w:rPr>
        <w:t>. A comprehensive search strategy, with clear eligibility criteria, and a clear selection proces</w:t>
      </w:r>
      <w:r w:rsidR="00227F5D">
        <w:rPr>
          <w:rFonts w:ascii="Arial" w:hAnsi="Arial" w:cs="Arial"/>
          <w:lang w:eastAsia="en-GB"/>
        </w:rPr>
        <w:t>s for the studies will be utilis</w:t>
      </w:r>
      <w:r w:rsidRPr="00715C4F">
        <w:rPr>
          <w:rFonts w:ascii="Arial" w:hAnsi="Arial" w:cs="Arial"/>
          <w:lang w:eastAsia="en-GB"/>
        </w:rPr>
        <w:t>ed to ensure that relevant evidence is identified consistently and comprehensively. The data collection will be conducted following the PRISMA 2020 guidelines to increase the transparency, repeatability and methodological rigo</w:t>
      </w:r>
      <w:r w:rsidR="00440040">
        <w:rPr>
          <w:rFonts w:ascii="Arial" w:hAnsi="Arial" w:cs="Arial"/>
          <w:lang w:eastAsia="en-GB"/>
        </w:rPr>
        <w:t>u</w:t>
      </w:r>
      <w:r w:rsidRPr="00715C4F">
        <w:rPr>
          <w:rFonts w:ascii="Arial" w:hAnsi="Arial" w:cs="Arial"/>
          <w:lang w:eastAsia="en-GB"/>
        </w:rPr>
        <w:t xml:space="preserve">r of </w:t>
      </w:r>
      <w:r w:rsidR="00FF226C" w:rsidRPr="00715C4F">
        <w:rPr>
          <w:rFonts w:ascii="Arial" w:hAnsi="Arial" w:cs="Arial"/>
          <w:lang w:eastAsia="en-GB"/>
        </w:rPr>
        <w:t>the review (Page et al., 2021).</w:t>
      </w:r>
    </w:p>
    <w:p w14:paraId="3F333E02" w14:textId="08E111CF" w:rsidR="00582EFE" w:rsidRPr="00715C4F" w:rsidRDefault="00582EFE" w:rsidP="00F051EC">
      <w:pPr>
        <w:pStyle w:val="Heading3"/>
        <w:rPr>
          <w:lang w:eastAsia="en-GB"/>
        </w:rPr>
      </w:pPr>
      <w:bookmarkStart w:id="40" w:name="_Toc241025899"/>
      <w:r w:rsidRPr="00715C4F">
        <w:rPr>
          <w:lang w:eastAsia="en-GB"/>
        </w:rPr>
        <w:t>3.7.1 Search Strategy</w:t>
      </w:r>
      <w:bookmarkEnd w:id="40"/>
    </w:p>
    <w:p w14:paraId="1572CC2C" w14:textId="1E41C376" w:rsidR="00582EFE" w:rsidRPr="00715C4F" w:rsidRDefault="00582EFE" w:rsidP="00715C4F">
      <w:pPr>
        <w:spacing w:line="360" w:lineRule="auto"/>
        <w:jc w:val="both"/>
        <w:rPr>
          <w:rFonts w:ascii="Arial" w:hAnsi="Arial" w:cs="Arial"/>
          <w:lang w:eastAsia="en-GB"/>
        </w:rPr>
      </w:pPr>
      <w:r w:rsidRPr="00715C4F">
        <w:rPr>
          <w:rFonts w:ascii="Arial" w:hAnsi="Arial" w:cs="Arial"/>
          <w:lang w:eastAsia="en-GB"/>
        </w:rPr>
        <w:t>An exhaustive electronic search of the literature will be conducted to locate studies related to the research question. The search strategy will be formulated based on the PICO approach, to make sure that the search terms are well connected to the review goals. To ensure the search is as sensitive and specific as possible, Medical Subject Headings (</w:t>
      </w:r>
      <w:proofErr w:type="spellStart"/>
      <w:r w:rsidRPr="00715C4F">
        <w:rPr>
          <w:rFonts w:ascii="Arial" w:hAnsi="Arial" w:cs="Arial"/>
          <w:lang w:eastAsia="en-GB"/>
        </w:rPr>
        <w:t>MeSH</w:t>
      </w:r>
      <w:proofErr w:type="spellEnd"/>
      <w:r w:rsidRPr="00715C4F">
        <w:rPr>
          <w:rFonts w:ascii="Arial" w:hAnsi="Arial" w:cs="Arial"/>
          <w:lang w:eastAsia="en-GB"/>
        </w:rPr>
        <w:t xml:space="preserve">) (where available), free text keywords and Boolean operators (AND, OR) will be used. Searches will be carried out in various electronic databases such as PubMed, MEDLINE, </w:t>
      </w:r>
      <w:proofErr w:type="spellStart"/>
      <w:r w:rsidRPr="00715C4F">
        <w:rPr>
          <w:rFonts w:ascii="Arial" w:hAnsi="Arial" w:cs="Arial"/>
          <w:lang w:eastAsia="en-GB"/>
        </w:rPr>
        <w:t>Embase</w:t>
      </w:r>
      <w:proofErr w:type="spellEnd"/>
      <w:r w:rsidRPr="00715C4F">
        <w:rPr>
          <w:rFonts w:ascii="Arial" w:hAnsi="Arial" w:cs="Arial"/>
          <w:lang w:eastAsia="en-GB"/>
        </w:rPr>
        <w:t>, Scopus, Web of Science, CINAHL and Google Scholar. The search will largely consist of research published from January 2020 – December 2026, but seminal studies prior to 2020 will be included if they provide important background evidence. Studies in other languages than English will not be included. The entire search strategy will be documented to ensure transparency and reproducibility of the search process, according to the PRISMA 2020 recom</w:t>
      </w:r>
      <w:r w:rsidR="00FF226C" w:rsidRPr="00715C4F">
        <w:rPr>
          <w:rFonts w:ascii="Arial" w:hAnsi="Arial" w:cs="Arial"/>
          <w:lang w:eastAsia="en-GB"/>
        </w:rPr>
        <w:t>mendations (Page et al., 2021).</w:t>
      </w:r>
    </w:p>
    <w:p w14:paraId="1E481A45" w14:textId="5FFDE6AF" w:rsidR="00582EFE" w:rsidRPr="00715C4F" w:rsidRDefault="00582EFE" w:rsidP="00F051EC">
      <w:pPr>
        <w:pStyle w:val="Heading3"/>
        <w:rPr>
          <w:lang w:eastAsia="en-GB"/>
        </w:rPr>
      </w:pPr>
      <w:bookmarkStart w:id="41" w:name="_Toc241025900"/>
      <w:r w:rsidRPr="00715C4F">
        <w:rPr>
          <w:lang w:eastAsia="en-GB"/>
        </w:rPr>
        <w:t>3.7.2 PICO Framework</w:t>
      </w:r>
      <w:bookmarkEnd w:id="41"/>
    </w:p>
    <w:p w14:paraId="6813CB7A" w14:textId="1CF9860A" w:rsidR="00BB5CFC" w:rsidRPr="00715C4F" w:rsidRDefault="00582EFE" w:rsidP="00715C4F">
      <w:pPr>
        <w:spacing w:line="360" w:lineRule="auto"/>
        <w:jc w:val="both"/>
        <w:rPr>
          <w:rFonts w:ascii="Arial" w:hAnsi="Arial" w:cs="Arial"/>
          <w:lang w:eastAsia="en-GB"/>
        </w:rPr>
      </w:pPr>
      <w:r w:rsidRPr="00715C4F">
        <w:rPr>
          <w:rFonts w:ascii="Arial" w:hAnsi="Arial" w:cs="Arial"/>
          <w:lang w:eastAsia="en-GB"/>
        </w:rPr>
        <w:t>The research question will be developed using the PICO framework and a search strategy will be written. PICOS is also a useful framework for the identification of all evidence in the field of healthcare research, including systematic reviews looking at prevalence and determinants of this. This review will use the framework of the population, exposure, comparison (if applicable), outcomes, and setting of the study for consistency throughout the literature search and</w:t>
      </w:r>
      <w:r w:rsidR="00885D2A">
        <w:rPr>
          <w:rFonts w:ascii="Arial" w:hAnsi="Arial" w:cs="Arial"/>
          <w:lang w:eastAsia="en-GB"/>
        </w:rPr>
        <w:t xml:space="preserve"> the</w:t>
      </w:r>
      <w:r w:rsidRPr="00715C4F">
        <w:rPr>
          <w:rFonts w:ascii="Arial" w:hAnsi="Arial" w:cs="Arial"/>
          <w:lang w:eastAsia="en-GB"/>
        </w:rPr>
        <w:t xml:space="preserve"> selection of studies for the review.</w:t>
      </w:r>
    </w:p>
    <w:p w14:paraId="162C62B7" w14:textId="65FC52B7" w:rsidR="00FF226C" w:rsidRPr="00DE7DB3" w:rsidRDefault="00FF226C" w:rsidP="00AD116B">
      <w:pPr>
        <w:pStyle w:val="Caption"/>
        <w:keepNext/>
        <w:spacing w:after="0" w:line="360" w:lineRule="auto"/>
        <w:jc w:val="both"/>
        <w:rPr>
          <w:rFonts w:ascii="Arial" w:hAnsi="Arial" w:cs="Arial"/>
          <w:sz w:val="22"/>
          <w:szCs w:val="22"/>
        </w:rPr>
      </w:pPr>
      <w:bookmarkStart w:id="42" w:name="_Toc240929911"/>
      <w:r w:rsidRPr="00DE7DB3">
        <w:rPr>
          <w:rFonts w:ascii="Arial" w:hAnsi="Arial" w:cs="Arial"/>
          <w:sz w:val="22"/>
          <w:szCs w:val="22"/>
          <w:lang w:eastAsia="en-GB"/>
        </w:rPr>
        <w:t xml:space="preserve">Table </w:t>
      </w:r>
      <w:r w:rsidRPr="00DE7DB3">
        <w:rPr>
          <w:rFonts w:ascii="Arial" w:hAnsi="Arial" w:cs="Arial"/>
          <w:sz w:val="22"/>
          <w:szCs w:val="22"/>
        </w:rPr>
        <w:fldChar w:fldCharType="begin"/>
      </w:r>
      <w:r w:rsidRPr="00DE7DB3">
        <w:rPr>
          <w:rFonts w:ascii="Arial" w:hAnsi="Arial" w:cs="Arial"/>
          <w:sz w:val="22"/>
          <w:szCs w:val="22"/>
        </w:rPr>
        <w:instrText xml:space="preserve"> SEQ Table \* ARABIC </w:instrText>
      </w:r>
      <w:r w:rsidRPr="00DE7DB3">
        <w:rPr>
          <w:rFonts w:ascii="Arial" w:hAnsi="Arial" w:cs="Arial"/>
          <w:sz w:val="22"/>
          <w:szCs w:val="22"/>
        </w:rPr>
        <w:fldChar w:fldCharType="separate"/>
      </w:r>
      <w:r w:rsidR="002D1858" w:rsidRPr="00DE7DB3">
        <w:rPr>
          <w:rFonts w:ascii="Arial" w:hAnsi="Arial" w:cs="Arial"/>
          <w:noProof/>
          <w:sz w:val="22"/>
          <w:szCs w:val="22"/>
        </w:rPr>
        <w:t>1</w:t>
      </w:r>
      <w:r w:rsidRPr="00DE7DB3">
        <w:rPr>
          <w:rFonts w:ascii="Arial" w:hAnsi="Arial" w:cs="Arial"/>
          <w:sz w:val="22"/>
          <w:szCs w:val="22"/>
        </w:rPr>
        <w:fldChar w:fldCharType="end"/>
      </w:r>
      <w:r w:rsidRPr="00DE7DB3">
        <w:rPr>
          <w:rFonts w:ascii="Arial" w:hAnsi="Arial" w:cs="Arial"/>
          <w:sz w:val="22"/>
          <w:szCs w:val="22"/>
        </w:rPr>
        <w:t>. PICO Framework</w:t>
      </w:r>
      <w:bookmarkEnd w:id="42"/>
    </w:p>
    <w:tbl>
      <w:tblPr>
        <w:tblStyle w:val="TableGrid"/>
        <w:tblW w:w="0" w:type="auto"/>
        <w:tblLook w:val="04A0" w:firstRow="1" w:lastRow="0" w:firstColumn="1" w:lastColumn="0" w:noHBand="0" w:noVBand="1"/>
      </w:tblPr>
      <w:tblGrid>
        <w:gridCol w:w="2228"/>
        <w:gridCol w:w="3113"/>
        <w:gridCol w:w="2955"/>
      </w:tblGrid>
      <w:tr w:rsidR="004F7CB5" w:rsidRPr="005813E1" w14:paraId="45D2A0D7" w14:textId="77777777" w:rsidTr="000A2A53">
        <w:tc>
          <w:tcPr>
            <w:tcW w:w="2245" w:type="dxa"/>
          </w:tcPr>
          <w:p w14:paraId="6E38F9FF" w14:textId="77777777" w:rsidR="004F7CB5" w:rsidRPr="005813E1" w:rsidRDefault="004F7CB5" w:rsidP="00715C4F">
            <w:pPr>
              <w:spacing w:line="360" w:lineRule="auto"/>
              <w:jc w:val="both"/>
              <w:rPr>
                <w:rFonts w:ascii="Arial" w:hAnsi="Arial" w:cs="Arial"/>
                <w:b/>
                <w:sz w:val="20"/>
                <w:szCs w:val="20"/>
                <w:lang w:eastAsia="en-GB"/>
              </w:rPr>
            </w:pPr>
            <w:r w:rsidRPr="005813E1">
              <w:rPr>
                <w:rFonts w:ascii="Arial" w:hAnsi="Arial" w:cs="Arial"/>
                <w:b/>
                <w:sz w:val="20"/>
                <w:szCs w:val="20"/>
                <w:lang w:eastAsia="en-GB"/>
              </w:rPr>
              <w:t>PICO Element</w:t>
            </w:r>
          </w:p>
        </w:tc>
        <w:tc>
          <w:tcPr>
            <w:tcW w:w="3510" w:type="dxa"/>
          </w:tcPr>
          <w:p w14:paraId="1ADBA147" w14:textId="77777777" w:rsidR="004F7CB5" w:rsidRPr="005813E1" w:rsidRDefault="004F7CB5" w:rsidP="00715C4F">
            <w:pPr>
              <w:spacing w:line="360" w:lineRule="auto"/>
              <w:jc w:val="both"/>
              <w:rPr>
                <w:rFonts w:ascii="Arial" w:hAnsi="Arial" w:cs="Arial"/>
                <w:b/>
                <w:sz w:val="20"/>
                <w:szCs w:val="20"/>
                <w:lang w:eastAsia="en-GB"/>
              </w:rPr>
            </w:pPr>
            <w:r w:rsidRPr="005813E1">
              <w:rPr>
                <w:rFonts w:ascii="Arial" w:hAnsi="Arial" w:cs="Arial"/>
                <w:b/>
                <w:sz w:val="20"/>
                <w:szCs w:val="20"/>
                <w:lang w:eastAsia="en-GB"/>
              </w:rPr>
              <w:t>Description</w:t>
            </w:r>
          </w:p>
        </w:tc>
        <w:tc>
          <w:tcPr>
            <w:tcW w:w="3261" w:type="dxa"/>
          </w:tcPr>
          <w:p w14:paraId="76C6DB29" w14:textId="77777777" w:rsidR="004F7CB5" w:rsidRPr="005813E1" w:rsidRDefault="004F7CB5" w:rsidP="00715C4F">
            <w:pPr>
              <w:spacing w:line="360" w:lineRule="auto"/>
              <w:jc w:val="both"/>
              <w:rPr>
                <w:rFonts w:ascii="Arial" w:hAnsi="Arial" w:cs="Arial"/>
                <w:b/>
                <w:sz w:val="20"/>
                <w:szCs w:val="20"/>
                <w:lang w:eastAsia="en-GB"/>
              </w:rPr>
            </w:pPr>
            <w:r w:rsidRPr="005813E1">
              <w:rPr>
                <w:rFonts w:ascii="Arial" w:hAnsi="Arial" w:cs="Arial"/>
                <w:b/>
                <w:sz w:val="20"/>
                <w:szCs w:val="20"/>
                <w:lang w:eastAsia="en-GB"/>
              </w:rPr>
              <w:t>Search Terms</w:t>
            </w:r>
          </w:p>
        </w:tc>
      </w:tr>
      <w:tr w:rsidR="004F7CB5" w:rsidRPr="005813E1" w14:paraId="2E8FD0AF" w14:textId="77777777" w:rsidTr="000A2A53">
        <w:tc>
          <w:tcPr>
            <w:tcW w:w="2245" w:type="dxa"/>
          </w:tcPr>
          <w:p w14:paraId="3C713624"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Population (P)</w:t>
            </w:r>
          </w:p>
        </w:tc>
        <w:tc>
          <w:tcPr>
            <w:tcW w:w="3510" w:type="dxa"/>
          </w:tcPr>
          <w:p w14:paraId="5E36DB58"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Ethnic minority populations living in the UK</w:t>
            </w:r>
          </w:p>
        </w:tc>
        <w:tc>
          <w:tcPr>
            <w:tcW w:w="3261" w:type="dxa"/>
          </w:tcPr>
          <w:p w14:paraId="798997C1"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Ethnic minority, South Asian, Black African, Black Caribbean, Middle Eastern, minority ethnic</w:t>
            </w:r>
          </w:p>
        </w:tc>
      </w:tr>
      <w:tr w:rsidR="004F7CB5" w:rsidRPr="005813E1" w14:paraId="6410C7F3" w14:textId="77777777" w:rsidTr="000A2A53">
        <w:tc>
          <w:tcPr>
            <w:tcW w:w="2245" w:type="dxa"/>
          </w:tcPr>
          <w:p w14:paraId="5E458FEE"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lastRenderedPageBreak/>
              <w:t>Intervention/Exposure (I)</w:t>
            </w:r>
          </w:p>
        </w:tc>
        <w:tc>
          <w:tcPr>
            <w:tcW w:w="3510" w:type="dxa"/>
          </w:tcPr>
          <w:p w14:paraId="2DAF8CCE"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Vitamin D deficiency and associated determinants</w:t>
            </w:r>
          </w:p>
        </w:tc>
        <w:tc>
          <w:tcPr>
            <w:tcW w:w="3261" w:type="dxa"/>
          </w:tcPr>
          <w:p w14:paraId="42B99187"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Vitamin D deficiency, Vitamin D insufficiency, Vitamin D status, 25-hydroxyvitamin D</w:t>
            </w:r>
          </w:p>
        </w:tc>
      </w:tr>
      <w:tr w:rsidR="004F7CB5" w:rsidRPr="005813E1" w14:paraId="062E6AD7" w14:textId="77777777" w:rsidTr="000A2A53">
        <w:tc>
          <w:tcPr>
            <w:tcW w:w="2245" w:type="dxa"/>
          </w:tcPr>
          <w:p w14:paraId="72D3A24C"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Comparison (C)</w:t>
            </w:r>
          </w:p>
        </w:tc>
        <w:tc>
          <w:tcPr>
            <w:tcW w:w="3510" w:type="dxa"/>
          </w:tcPr>
          <w:p w14:paraId="3C062277"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White British population or comparison between ethnic groups (where applicable)</w:t>
            </w:r>
          </w:p>
        </w:tc>
        <w:tc>
          <w:tcPr>
            <w:tcW w:w="3261" w:type="dxa"/>
          </w:tcPr>
          <w:p w14:paraId="5264F596"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White British, ethnic comparison</w:t>
            </w:r>
          </w:p>
        </w:tc>
      </w:tr>
      <w:tr w:rsidR="004F7CB5" w:rsidRPr="005813E1" w14:paraId="0BEE9EFF" w14:textId="77777777" w:rsidTr="000A2A53">
        <w:tc>
          <w:tcPr>
            <w:tcW w:w="2245" w:type="dxa"/>
          </w:tcPr>
          <w:p w14:paraId="3DC56A6F"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Outcome (O)</w:t>
            </w:r>
          </w:p>
        </w:tc>
        <w:tc>
          <w:tcPr>
            <w:tcW w:w="3510" w:type="dxa"/>
          </w:tcPr>
          <w:p w14:paraId="5991043B"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Prevalence and demographic, cultural, lifestyle and socioeconomic determinants</w:t>
            </w:r>
          </w:p>
        </w:tc>
        <w:tc>
          <w:tcPr>
            <w:tcW w:w="3261" w:type="dxa"/>
          </w:tcPr>
          <w:p w14:paraId="2B5C3875"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Prevalence, determinants, supplementation, diet, sun exposure</w:t>
            </w:r>
          </w:p>
        </w:tc>
      </w:tr>
      <w:tr w:rsidR="004F7CB5" w:rsidRPr="005813E1" w14:paraId="2EE0C6EF" w14:textId="77777777" w:rsidTr="000A2A53">
        <w:tc>
          <w:tcPr>
            <w:tcW w:w="2245" w:type="dxa"/>
          </w:tcPr>
          <w:p w14:paraId="5C5662D8"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Setting (S)</w:t>
            </w:r>
          </w:p>
        </w:tc>
        <w:tc>
          <w:tcPr>
            <w:tcW w:w="3510" w:type="dxa"/>
          </w:tcPr>
          <w:p w14:paraId="791AD9DF"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United Kingdom</w:t>
            </w:r>
          </w:p>
        </w:tc>
        <w:tc>
          <w:tcPr>
            <w:tcW w:w="3261" w:type="dxa"/>
          </w:tcPr>
          <w:p w14:paraId="16254550" w14:textId="77777777" w:rsidR="004F7CB5" w:rsidRPr="005813E1" w:rsidRDefault="004F7CB5" w:rsidP="00715C4F">
            <w:pPr>
              <w:spacing w:line="360" w:lineRule="auto"/>
              <w:jc w:val="both"/>
              <w:rPr>
                <w:rFonts w:ascii="Arial" w:hAnsi="Arial" w:cs="Arial"/>
                <w:sz w:val="20"/>
                <w:szCs w:val="20"/>
                <w:lang w:eastAsia="en-GB"/>
              </w:rPr>
            </w:pPr>
            <w:r w:rsidRPr="005813E1">
              <w:rPr>
                <w:rFonts w:ascii="Arial" w:hAnsi="Arial" w:cs="Arial"/>
                <w:sz w:val="20"/>
                <w:szCs w:val="20"/>
                <w:lang w:eastAsia="en-GB"/>
              </w:rPr>
              <w:t>UK, England, Scotland, Wales, Northern Ireland</w:t>
            </w:r>
          </w:p>
        </w:tc>
      </w:tr>
    </w:tbl>
    <w:p w14:paraId="6B0CA678" w14:textId="77777777" w:rsidR="000E1986" w:rsidRPr="00715C4F" w:rsidRDefault="000E1986" w:rsidP="00715C4F">
      <w:pPr>
        <w:spacing w:line="360" w:lineRule="auto"/>
        <w:jc w:val="both"/>
        <w:rPr>
          <w:rFonts w:ascii="Arial" w:hAnsi="Arial" w:cs="Arial"/>
          <w:lang w:eastAsia="en-GB"/>
        </w:rPr>
      </w:pPr>
    </w:p>
    <w:p w14:paraId="56148450" w14:textId="16426087" w:rsidR="008F4124" w:rsidRPr="00715C4F" w:rsidRDefault="008F4124" w:rsidP="00F051EC">
      <w:pPr>
        <w:pStyle w:val="Heading3"/>
        <w:rPr>
          <w:lang w:eastAsia="en-GB"/>
        </w:rPr>
      </w:pPr>
      <w:bookmarkStart w:id="43" w:name="_Toc241025901"/>
      <w:r w:rsidRPr="00715C4F">
        <w:rPr>
          <w:lang w:eastAsia="en-GB"/>
        </w:rPr>
        <w:t>3.7.3 Database Search Procedure</w:t>
      </w:r>
      <w:bookmarkEnd w:id="43"/>
    </w:p>
    <w:p w14:paraId="71413C81" w14:textId="63AEFDFD" w:rsidR="008F4124" w:rsidRPr="00715C4F" w:rsidRDefault="009E788A" w:rsidP="00715C4F">
      <w:pPr>
        <w:spacing w:line="360" w:lineRule="auto"/>
        <w:jc w:val="both"/>
        <w:rPr>
          <w:rFonts w:ascii="Arial" w:hAnsi="Arial" w:cs="Arial"/>
          <w:lang w:eastAsia="en-GB"/>
        </w:rPr>
      </w:pPr>
      <w:r w:rsidRPr="00715C4F">
        <w:rPr>
          <w:rFonts w:ascii="Arial" w:hAnsi="Arial" w:cs="Arial"/>
          <w:lang w:eastAsia="en-GB"/>
        </w:rPr>
        <w:t>A systematic literature search will be carried out in selected electronic databases, with search terms created according to the PICO approach. To improve retrieval accuracy, controlled words such as Medical Subject Headings (</w:t>
      </w:r>
      <w:proofErr w:type="spellStart"/>
      <w:r w:rsidRPr="00715C4F">
        <w:rPr>
          <w:rFonts w:ascii="Arial" w:hAnsi="Arial" w:cs="Arial"/>
          <w:lang w:eastAsia="en-GB"/>
        </w:rPr>
        <w:t>MeSH</w:t>
      </w:r>
      <w:proofErr w:type="spellEnd"/>
      <w:r w:rsidRPr="00715C4F">
        <w:rPr>
          <w:rFonts w:ascii="Arial" w:hAnsi="Arial" w:cs="Arial"/>
          <w:lang w:eastAsia="en-GB"/>
        </w:rPr>
        <w:t xml:space="preserve">) found in PubMed and comparable indexing words in other databases will be used in conjunction with free-text words. Where relevant, Boolean operators (AND, OR), phrase searching and truncation will be used to narrow down the search. All search results from each database will be downloaded into reference management software, and </w:t>
      </w:r>
      <w:r w:rsidR="00227F5D">
        <w:rPr>
          <w:rFonts w:ascii="Arial" w:hAnsi="Arial" w:cs="Arial"/>
          <w:lang w:eastAsia="en-GB"/>
        </w:rPr>
        <w:t>then duplicates will be recognis</w:t>
      </w:r>
      <w:r w:rsidRPr="00715C4F">
        <w:rPr>
          <w:rFonts w:ascii="Arial" w:hAnsi="Arial" w:cs="Arial"/>
          <w:lang w:eastAsia="en-GB"/>
        </w:rPr>
        <w:t>ed and eliminated prior to screening. To ensure transparency and reproducibility the process of searching the database including the database searched, search dates, period of publication and the number of database records identified, will be documented.</w:t>
      </w:r>
    </w:p>
    <w:p w14:paraId="291048BD" w14:textId="4B65CBAC" w:rsidR="00DD77E8" w:rsidRPr="00DE7DB3" w:rsidRDefault="00DD77E8" w:rsidP="00AC169A">
      <w:pPr>
        <w:pStyle w:val="Caption"/>
        <w:keepNext/>
        <w:spacing w:after="0" w:line="360" w:lineRule="auto"/>
        <w:jc w:val="both"/>
        <w:rPr>
          <w:rFonts w:ascii="Arial" w:hAnsi="Arial" w:cs="Arial"/>
          <w:sz w:val="22"/>
          <w:szCs w:val="22"/>
        </w:rPr>
      </w:pPr>
      <w:bookmarkStart w:id="44" w:name="_Toc240929912"/>
      <w:r w:rsidRPr="00DE7DB3">
        <w:rPr>
          <w:rFonts w:ascii="Arial" w:hAnsi="Arial" w:cs="Arial"/>
          <w:sz w:val="22"/>
          <w:szCs w:val="22"/>
          <w:lang w:eastAsia="en-GB"/>
        </w:rPr>
        <w:t>Table</w:t>
      </w:r>
      <w:r w:rsidRPr="00DE7DB3">
        <w:rPr>
          <w:rFonts w:ascii="Arial" w:hAnsi="Arial" w:cs="Arial"/>
          <w:sz w:val="22"/>
          <w:szCs w:val="22"/>
        </w:rPr>
        <w:t xml:space="preserve"> </w:t>
      </w:r>
      <w:r w:rsidRPr="00DE7DB3">
        <w:rPr>
          <w:rFonts w:ascii="Arial" w:hAnsi="Arial" w:cs="Arial"/>
          <w:sz w:val="22"/>
          <w:szCs w:val="22"/>
        </w:rPr>
        <w:fldChar w:fldCharType="begin"/>
      </w:r>
      <w:r w:rsidRPr="00DE7DB3">
        <w:rPr>
          <w:rFonts w:ascii="Arial" w:hAnsi="Arial" w:cs="Arial"/>
          <w:sz w:val="22"/>
          <w:szCs w:val="22"/>
        </w:rPr>
        <w:instrText xml:space="preserve"> SEQ Table \* ARABIC </w:instrText>
      </w:r>
      <w:r w:rsidRPr="00DE7DB3">
        <w:rPr>
          <w:rFonts w:ascii="Arial" w:hAnsi="Arial" w:cs="Arial"/>
          <w:sz w:val="22"/>
          <w:szCs w:val="22"/>
        </w:rPr>
        <w:fldChar w:fldCharType="separate"/>
      </w:r>
      <w:r w:rsidR="002D1858" w:rsidRPr="00DE7DB3">
        <w:rPr>
          <w:rFonts w:ascii="Arial" w:hAnsi="Arial" w:cs="Arial"/>
          <w:noProof/>
          <w:sz w:val="22"/>
          <w:szCs w:val="22"/>
        </w:rPr>
        <w:t>2</w:t>
      </w:r>
      <w:r w:rsidRPr="00DE7DB3">
        <w:rPr>
          <w:rFonts w:ascii="Arial" w:hAnsi="Arial" w:cs="Arial"/>
          <w:sz w:val="22"/>
          <w:szCs w:val="22"/>
        </w:rPr>
        <w:fldChar w:fldCharType="end"/>
      </w:r>
      <w:r w:rsidRPr="00DE7DB3">
        <w:rPr>
          <w:rFonts w:ascii="Arial" w:hAnsi="Arial" w:cs="Arial"/>
          <w:sz w:val="22"/>
          <w:szCs w:val="22"/>
        </w:rPr>
        <w:t>.Database Search Procedure</w:t>
      </w:r>
      <w:bookmarkEnd w:id="44"/>
    </w:p>
    <w:tbl>
      <w:tblPr>
        <w:tblStyle w:val="TableGrid"/>
        <w:tblW w:w="0" w:type="auto"/>
        <w:tblLook w:val="04A0" w:firstRow="1" w:lastRow="0" w:firstColumn="1" w:lastColumn="0" w:noHBand="0" w:noVBand="1"/>
      </w:tblPr>
      <w:tblGrid>
        <w:gridCol w:w="1605"/>
        <w:gridCol w:w="1702"/>
        <w:gridCol w:w="2165"/>
        <w:gridCol w:w="2824"/>
      </w:tblGrid>
      <w:tr w:rsidR="000E1986" w:rsidRPr="002200F5" w14:paraId="6B340B89" w14:textId="77777777" w:rsidTr="00E13247">
        <w:tc>
          <w:tcPr>
            <w:tcW w:w="1705" w:type="dxa"/>
          </w:tcPr>
          <w:p w14:paraId="51909346" w14:textId="77777777" w:rsidR="000E1986" w:rsidRPr="002200F5" w:rsidRDefault="000E1986" w:rsidP="00715C4F">
            <w:pPr>
              <w:spacing w:line="360" w:lineRule="auto"/>
              <w:jc w:val="both"/>
              <w:rPr>
                <w:rFonts w:ascii="Arial" w:hAnsi="Arial" w:cs="Arial"/>
                <w:b/>
                <w:sz w:val="20"/>
                <w:szCs w:val="20"/>
                <w:lang w:eastAsia="en-GB"/>
              </w:rPr>
            </w:pPr>
            <w:r w:rsidRPr="002200F5">
              <w:rPr>
                <w:rFonts w:ascii="Arial" w:hAnsi="Arial" w:cs="Arial"/>
                <w:b/>
                <w:sz w:val="20"/>
                <w:szCs w:val="20"/>
                <w:lang w:eastAsia="en-GB"/>
              </w:rPr>
              <w:t>Database</w:t>
            </w:r>
          </w:p>
        </w:tc>
        <w:tc>
          <w:tcPr>
            <w:tcW w:w="1800" w:type="dxa"/>
          </w:tcPr>
          <w:p w14:paraId="326EB893" w14:textId="77777777" w:rsidR="000E1986" w:rsidRPr="002200F5" w:rsidRDefault="000E1986" w:rsidP="00715C4F">
            <w:pPr>
              <w:spacing w:line="360" w:lineRule="auto"/>
              <w:jc w:val="both"/>
              <w:rPr>
                <w:rFonts w:ascii="Arial" w:hAnsi="Arial" w:cs="Arial"/>
                <w:b/>
                <w:sz w:val="20"/>
                <w:szCs w:val="20"/>
                <w:lang w:eastAsia="en-GB"/>
              </w:rPr>
            </w:pPr>
            <w:r w:rsidRPr="002200F5">
              <w:rPr>
                <w:rFonts w:ascii="Arial" w:hAnsi="Arial" w:cs="Arial"/>
                <w:b/>
                <w:sz w:val="20"/>
                <w:szCs w:val="20"/>
                <w:lang w:eastAsia="en-GB"/>
              </w:rPr>
              <w:t>Search Date</w:t>
            </w:r>
          </w:p>
        </w:tc>
        <w:tc>
          <w:tcPr>
            <w:tcW w:w="2340" w:type="dxa"/>
          </w:tcPr>
          <w:p w14:paraId="5CABB891" w14:textId="77777777" w:rsidR="000E1986" w:rsidRPr="002200F5" w:rsidRDefault="000E1986" w:rsidP="00715C4F">
            <w:pPr>
              <w:spacing w:line="360" w:lineRule="auto"/>
              <w:jc w:val="both"/>
              <w:rPr>
                <w:rFonts w:ascii="Arial" w:hAnsi="Arial" w:cs="Arial"/>
                <w:b/>
                <w:sz w:val="20"/>
                <w:szCs w:val="20"/>
                <w:lang w:eastAsia="en-GB"/>
              </w:rPr>
            </w:pPr>
            <w:r w:rsidRPr="002200F5">
              <w:rPr>
                <w:rFonts w:ascii="Arial" w:hAnsi="Arial" w:cs="Arial"/>
                <w:b/>
                <w:sz w:val="20"/>
                <w:szCs w:val="20"/>
                <w:lang w:eastAsia="en-GB"/>
              </w:rPr>
              <w:t>Publication Period</w:t>
            </w:r>
          </w:p>
        </w:tc>
        <w:tc>
          <w:tcPr>
            <w:tcW w:w="3171" w:type="dxa"/>
          </w:tcPr>
          <w:p w14:paraId="42D4725C" w14:textId="77777777" w:rsidR="000E1986" w:rsidRPr="002200F5" w:rsidRDefault="000E1986" w:rsidP="00715C4F">
            <w:pPr>
              <w:spacing w:line="360" w:lineRule="auto"/>
              <w:jc w:val="both"/>
              <w:rPr>
                <w:rFonts w:ascii="Arial" w:hAnsi="Arial" w:cs="Arial"/>
                <w:b/>
                <w:sz w:val="20"/>
                <w:szCs w:val="20"/>
                <w:lang w:eastAsia="en-GB"/>
              </w:rPr>
            </w:pPr>
            <w:r w:rsidRPr="002200F5">
              <w:rPr>
                <w:rFonts w:ascii="Arial" w:hAnsi="Arial" w:cs="Arial"/>
                <w:b/>
                <w:sz w:val="20"/>
                <w:szCs w:val="20"/>
                <w:lang w:eastAsia="en-GB"/>
              </w:rPr>
              <w:t>Search Strategy</w:t>
            </w:r>
          </w:p>
        </w:tc>
      </w:tr>
      <w:tr w:rsidR="000E1986" w:rsidRPr="002200F5" w14:paraId="5EEFBD63" w14:textId="77777777" w:rsidTr="00E13247">
        <w:tc>
          <w:tcPr>
            <w:tcW w:w="1705" w:type="dxa"/>
          </w:tcPr>
          <w:p w14:paraId="46AB77FC" w14:textId="77777777" w:rsidR="000E1986" w:rsidRPr="002200F5" w:rsidRDefault="000E1986"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PubMed</w:t>
            </w:r>
          </w:p>
        </w:tc>
        <w:tc>
          <w:tcPr>
            <w:tcW w:w="1800" w:type="dxa"/>
          </w:tcPr>
          <w:p w14:paraId="3B26EA12" w14:textId="5BBCF9C3" w:rsidR="000E1986"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24</w:t>
            </w:r>
            <w:r w:rsidR="000E1986" w:rsidRPr="002200F5">
              <w:rPr>
                <w:rFonts w:ascii="Arial" w:hAnsi="Arial" w:cs="Arial"/>
                <w:sz w:val="20"/>
                <w:szCs w:val="20"/>
                <w:lang w:eastAsia="en-GB"/>
              </w:rPr>
              <w:t>/</w:t>
            </w:r>
            <w:r w:rsidRPr="002200F5">
              <w:rPr>
                <w:rFonts w:ascii="Arial" w:hAnsi="Arial" w:cs="Arial"/>
                <w:sz w:val="20"/>
                <w:szCs w:val="20"/>
                <w:lang w:eastAsia="en-GB"/>
              </w:rPr>
              <w:t>07</w:t>
            </w:r>
            <w:r w:rsidR="000E1986" w:rsidRPr="002200F5">
              <w:rPr>
                <w:rFonts w:ascii="Arial" w:hAnsi="Arial" w:cs="Arial"/>
                <w:sz w:val="20"/>
                <w:szCs w:val="20"/>
                <w:lang w:eastAsia="en-GB"/>
              </w:rPr>
              <w:t>/</w:t>
            </w:r>
            <w:r w:rsidRPr="002200F5">
              <w:rPr>
                <w:rFonts w:ascii="Arial" w:hAnsi="Arial" w:cs="Arial"/>
                <w:sz w:val="20"/>
                <w:szCs w:val="20"/>
                <w:lang w:eastAsia="en-GB"/>
              </w:rPr>
              <w:t>2026</w:t>
            </w:r>
          </w:p>
        </w:tc>
        <w:tc>
          <w:tcPr>
            <w:tcW w:w="2340" w:type="dxa"/>
          </w:tcPr>
          <w:p w14:paraId="5EEE811D" w14:textId="77777777" w:rsidR="000E1986" w:rsidRPr="002200F5" w:rsidRDefault="000E1986"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2020–2026</w:t>
            </w:r>
          </w:p>
        </w:tc>
        <w:tc>
          <w:tcPr>
            <w:tcW w:w="3171" w:type="dxa"/>
          </w:tcPr>
          <w:p w14:paraId="7EDC27CC" w14:textId="77777777" w:rsidR="000E1986" w:rsidRPr="002200F5" w:rsidRDefault="000E1986" w:rsidP="00715C4F">
            <w:pPr>
              <w:spacing w:line="360" w:lineRule="auto"/>
              <w:jc w:val="both"/>
              <w:rPr>
                <w:rFonts w:ascii="Arial" w:hAnsi="Arial" w:cs="Arial"/>
                <w:sz w:val="20"/>
                <w:szCs w:val="20"/>
                <w:lang w:eastAsia="en-GB"/>
              </w:rPr>
            </w:pPr>
            <w:proofErr w:type="spellStart"/>
            <w:r w:rsidRPr="002200F5">
              <w:rPr>
                <w:rFonts w:ascii="Arial" w:hAnsi="Arial" w:cs="Arial"/>
                <w:sz w:val="20"/>
                <w:szCs w:val="20"/>
                <w:lang w:eastAsia="en-GB"/>
              </w:rPr>
              <w:t>MeSH</w:t>
            </w:r>
            <w:proofErr w:type="spellEnd"/>
            <w:r w:rsidRPr="002200F5">
              <w:rPr>
                <w:rFonts w:ascii="Arial" w:hAnsi="Arial" w:cs="Arial"/>
                <w:sz w:val="20"/>
                <w:szCs w:val="20"/>
                <w:lang w:eastAsia="en-GB"/>
              </w:rPr>
              <w:t xml:space="preserve"> terms and keywords</w:t>
            </w:r>
          </w:p>
        </w:tc>
      </w:tr>
      <w:tr w:rsidR="00DD77E8" w:rsidRPr="002200F5" w14:paraId="151B3AFA" w14:textId="77777777" w:rsidTr="00E13247">
        <w:tc>
          <w:tcPr>
            <w:tcW w:w="1705" w:type="dxa"/>
          </w:tcPr>
          <w:p w14:paraId="2E41579B"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MEDLINE</w:t>
            </w:r>
          </w:p>
        </w:tc>
        <w:tc>
          <w:tcPr>
            <w:tcW w:w="1800" w:type="dxa"/>
          </w:tcPr>
          <w:p w14:paraId="1BCAAA94" w14:textId="58235719" w:rsidR="00DD77E8" w:rsidRPr="002200F5" w:rsidRDefault="007F06D6" w:rsidP="00715C4F">
            <w:pPr>
              <w:spacing w:line="360" w:lineRule="auto"/>
              <w:jc w:val="both"/>
              <w:rPr>
                <w:rFonts w:ascii="Arial" w:hAnsi="Arial" w:cs="Arial"/>
                <w:sz w:val="20"/>
                <w:szCs w:val="20"/>
                <w:lang w:eastAsia="en-GB"/>
              </w:rPr>
            </w:pPr>
            <w:r w:rsidRPr="002200F5">
              <w:rPr>
                <w:rFonts w:ascii="Arial" w:hAnsi="Arial" w:cs="Arial"/>
                <w:sz w:val="20"/>
                <w:szCs w:val="20"/>
              </w:rPr>
              <w:t>26</w:t>
            </w:r>
            <w:r w:rsidR="00DD77E8" w:rsidRPr="002200F5">
              <w:rPr>
                <w:rFonts w:ascii="Arial" w:hAnsi="Arial" w:cs="Arial"/>
                <w:sz w:val="20"/>
                <w:szCs w:val="20"/>
              </w:rPr>
              <w:t>/07/2026</w:t>
            </w:r>
          </w:p>
        </w:tc>
        <w:tc>
          <w:tcPr>
            <w:tcW w:w="2340" w:type="dxa"/>
          </w:tcPr>
          <w:p w14:paraId="48FEBE5D"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2020–2026</w:t>
            </w:r>
          </w:p>
        </w:tc>
        <w:tc>
          <w:tcPr>
            <w:tcW w:w="3171" w:type="dxa"/>
          </w:tcPr>
          <w:p w14:paraId="6FD9E460"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Subject headings and keywords</w:t>
            </w:r>
          </w:p>
        </w:tc>
      </w:tr>
      <w:tr w:rsidR="00DD77E8" w:rsidRPr="002200F5" w14:paraId="22FF1107" w14:textId="77777777" w:rsidTr="00E13247">
        <w:tc>
          <w:tcPr>
            <w:tcW w:w="1705" w:type="dxa"/>
          </w:tcPr>
          <w:p w14:paraId="50B24549" w14:textId="77777777" w:rsidR="00DD77E8" w:rsidRPr="002200F5" w:rsidRDefault="00DD77E8" w:rsidP="00715C4F">
            <w:pPr>
              <w:spacing w:line="360" w:lineRule="auto"/>
              <w:jc w:val="both"/>
              <w:rPr>
                <w:rFonts w:ascii="Arial" w:hAnsi="Arial" w:cs="Arial"/>
                <w:sz w:val="20"/>
                <w:szCs w:val="20"/>
                <w:lang w:eastAsia="en-GB"/>
              </w:rPr>
            </w:pPr>
            <w:proofErr w:type="spellStart"/>
            <w:r w:rsidRPr="002200F5">
              <w:rPr>
                <w:rFonts w:ascii="Arial" w:hAnsi="Arial" w:cs="Arial"/>
                <w:sz w:val="20"/>
                <w:szCs w:val="20"/>
                <w:lang w:eastAsia="en-GB"/>
              </w:rPr>
              <w:t>Embase</w:t>
            </w:r>
            <w:proofErr w:type="spellEnd"/>
          </w:p>
        </w:tc>
        <w:tc>
          <w:tcPr>
            <w:tcW w:w="1800" w:type="dxa"/>
          </w:tcPr>
          <w:p w14:paraId="6218F1C3" w14:textId="4D5BEB01" w:rsidR="00DD77E8" w:rsidRPr="002200F5" w:rsidRDefault="007F06D6" w:rsidP="00715C4F">
            <w:pPr>
              <w:spacing w:line="360" w:lineRule="auto"/>
              <w:jc w:val="both"/>
              <w:rPr>
                <w:rFonts w:ascii="Arial" w:hAnsi="Arial" w:cs="Arial"/>
                <w:sz w:val="20"/>
                <w:szCs w:val="20"/>
                <w:lang w:eastAsia="en-GB"/>
              </w:rPr>
            </w:pPr>
            <w:r w:rsidRPr="002200F5">
              <w:rPr>
                <w:rFonts w:ascii="Arial" w:hAnsi="Arial" w:cs="Arial"/>
                <w:sz w:val="20"/>
                <w:szCs w:val="20"/>
              </w:rPr>
              <w:t>28</w:t>
            </w:r>
            <w:r w:rsidR="00DD77E8" w:rsidRPr="002200F5">
              <w:rPr>
                <w:rFonts w:ascii="Arial" w:hAnsi="Arial" w:cs="Arial"/>
                <w:sz w:val="20"/>
                <w:szCs w:val="20"/>
              </w:rPr>
              <w:t>/07/2026</w:t>
            </w:r>
          </w:p>
        </w:tc>
        <w:tc>
          <w:tcPr>
            <w:tcW w:w="2340" w:type="dxa"/>
          </w:tcPr>
          <w:p w14:paraId="71FFA36C"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2020–2026</w:t>
            </w:r>
          </w:p>
        </w:tc>
        <w:tc>
          <w:tcPr>
            <w:tcW w:w="3171" w:type="dxa"/>
          </w:tcPr>
          <w:p w14:paraId="772D616A"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EMTREE terms and keywords</w:t>
            </w:r>
          </w:p>
        </w:tc>
      </w:tr>
      <w:tr w:rsidR="00DD77E8" w:rsidRPr="002200F5" w14:paraId="7AE27612" w14:textId="77777777" w:rsidTr="00E13247">
        <w:tc>
          <w:tcPr>
            <w:tcW w:w="1705" w:type="dxa"/>
          </w:tcPr>
          <w:p w14:paraId="2E3CF437"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Scopus</w:t>
            </w:r>
          </w:p>
        </w:tc>
        <w:tc>
          <w:tcPr>
            <w:tcW w:w="1800" w:type="dxa"/>
          </w:tcPr>
          <w:p w14:paraId="73719E12" w14:textId="480A1E48" w:rsidR="00DD77E8" w:rsidRPr="002200F5" w:rsidRDefault="007F06D6" w:rsidP="00715C4F">
            <w:pPr>
              <w:spacing w:line="360" w:lineRule="auto"/>
              <w:jc w:val="both"/>
              <w:rPr>
                <w:rFonts w:ascii="Arial" w:hAnsi="Arial" w:cs="Arial"/>
                <w:sz w:val="20"/>
                <w:szCs w:val="20"/>
                <w:lang w:eastAsia="en-GB"/>
              </w:rPr>
            </w:pPr>
            <w:r w:rsidRPr="002200F5">
              <w:rPr>
                <w:rFonts w:ascii="Arial" w:hAnsi="Arial" w:cs="Arial"/>
                <w:sz w:val="20"/>
                <w:szCs w:val="20"/>
              </w:rPr>
              <w:t>29</w:t>
            </w:r>
            <w:r w:rsidR="00DD77E8" w:rsidRPr="002200F5">
              <w:rPr>
                <w:rFonts w:ascii="Arial" w:hAnsi="Arial" w:cs="Arial"/>
                <w:sz w:val="20"/>
                <w:szCs w:val="20"/>
              </w:rPr>
              <w:t>/07/2026</w:t>
            </w:r>
          </w:p>
        </w:tc>
        <w:tc>
          <w:tcPr>
            <w:tcW w:w="2340" w:type="dxa"/>
          </w:tcPr>
          <w:p w14:paraId="68CA0C4D"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2020–2026</w:t>
            </w:r>
          </w:p>
        </w:tc>
        <w:tc>
          <w:tcPr>
            <w:tcW w:w="3171" w:type="dxa"/>
          </w:tcPr>
          <w:p w14:paraId="2A46D83D"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Keywords and Boolean operators</w:t>
            </w:r>
          </w:p>
        </w:tc>
      </w:tr>
      <w:tr w:rsidR="00DD77E8" w:rsidRPr="002200F5" w14:paraId="6F6385ED" w14:textId="77777777" w:rsidTr="00E13247">
        <w:tc>
          <w:tcPr>
            <w:tcW w:w="1705" w:type="dxa"/>
          </w:tcPr>
          <w:p w14:paraId="5CD88F8B"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Web of Science</w:t>
            </w:r>
          </w:p>
        </w:tc>
        <w:tc>
          <w:tcPr>
            <w:tcW w:w="1800" w:type="dxa"/>
          </w:tcPr>
          <w:p w14:paraId="7B079CD6" w14:textId="30F1CC87" w:rsidR="00DD77E8" w:rsidRPr="002200F5" w:rsidRDefault="007F06D6" w:rsidP="00715C4F">
            <w:pPr>
              <w:spacing w:line="360" w:lineRule="auto"/>
              <w:jc w:val="both"/>
              <w:rPr>
                <w:rFonts w:ascii="Arial" w:hAnsi="Arial" w:cs="Arial"/>
                <w:sz w:val="20"/>
                <w:szCs w:val="20"/>
                <w:lang w:eastAsia="en-GB"/>
              </w:rPr>
            </w:pPr>
            <w:r w:rsidRPr="002200F5">
              <w:rPr>
                <w:rFonts w:ascii="Arial" w:hAnsi="Arial" w:cs="Arial"/>
                <w:sz w:val="20"/>
                <w:szCs w:val="20"/>
              </w:rPr>
              <w:t>30</w:t>
            </w:r>
            <w:r w:rsidR="00DD77E8" w:rsidRPr="002200F5">
              <w:rPr>
                <w:rFonts w:ascii="Arial" w:hAnsi="Arial" w:cs="Arial"/>
                <w:sz w:val="20"/>
                <w:szCs w:val="20"/>
              </w:rPr>
              <w:t>/07/2026</w:t>
            </w:r>
          </w:p>
        </w:tc>
        <w:tc>
          <w:tcPr>
            <w:tcW w:w="2340" w:type="dxa"/>
          </w:tcPr>
          <w:p w14:paraId="6E18B9AC"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2020–2026</w:t>
            </w:r>
          </w:p>
        </w:tc>
        <w:tc>
          <w:tcPr>
            <w:tcW w:w="3171" w:type="dxa"/>
          </w:tcPr>
          <w:p w14:paraId="4597E61B"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Keywords and Boolean operators</w:t>
            </w:r>
          </w:p>
        </w:tc>
      </w:tr>
      <w:tr w:rsidR="00DD77E8" w:rsidRPr="002200F5" w14:paraId="4E405356" w14:textId="77777777" w:rsidTr="00E13247">
        <w:tc>
          <w:tcPr>
            <w:tcW w:w="1705" w:type="dxa"/>
          </w:tcPr>
          <w:p w14:paraId="5815D96B"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CINAHL</w:t>
            </w:r>
          </w:p>
        </w:tc>
        <w:tc>
          <w:tcPr>
            <w:tcW w:w="1800" w:type="dxa"/>
          </w:tcPr>
          <w:p w14:paraId="5942D5AE" w14:textId="3F537544" w:rsidR="00DD77E8" w:rsidRPr="002200F5" w:rsidRDefault="007F06D6" w:rsidP="00715C4F">
            <w:pPr>
              <w:spacing w:line="360" w:lineRule="auto"/>
              <w:jc w:val="both"/>
              <w:rPr>
                <w:rFonts w:ascii="Arial" w:hAnsi="Arial" w:cs="Arial"/>
                <w:sz w:val="20"/>
                <w:szCs w:val="20"/>
                <w:lang w:eastAsia="en-GB"/>
              </w:rPr>
            </w:pPr>
            <w:r w:rsidRPr="002200F5">
              <w:rPr>
                <w:rFonts w:ascii="Arial" w:hAnsi="Arial" w:cs="Arial"/>
                <w:sz w:val="20"/>
                <w:szCs w:val="20"/>
              </w:rPr>
              <w:t>01/08</w:t>
            </w:r>
            <w:r w:rsidR="00DD77E8" w:rsidRPr="002200F5">
              <w:rPr>
                <w:rFonts w:ascii="Arial" w:hAnsi="Arial" w:cs="Arial"/>
                <w:sz w:val="20"/>
                <w:szCs w:val="20"/>
              </w:rPr>
              <w:t>/2026</w:t>
            </w:r>
          </w:p>
        </w:tc>
        <w:tc>
          <w:tcPr>
            <w:tcW w:w="2340" w:type="dxa"/>
          </w:tcPr>
          <w:p w14:paraId="740C5F0E"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2020–2026</w:t>
            </w:r>
          </w:p>
        </w:tc>
        <w:tc>
          <w:tcPr>
            <w:tcW w:w="3171" w:type="dxa"/>
          </w:tcPr>
          <w:p w14:paraId="19A79D0A"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CINAHL Headings and keywords</w:t>
            </w:r>
          </w:p>
        </w:tc>
      </w:tr>
      <w:tr w:rsidR="00DD77E8" w:rsidRPr="002200F5" w14:paraId="1DD52FED" w14:textId="77777777" w:rsidTr="00E13247">
        <w:tc>
          <w:tcPr>
            <w:tcW w:w="1705" w:type="dxa"/>
          </w:tcPr>
          <w:p w14:paraId="14C9E7C1"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lastRenderedPageBreak/>
              <w:t>Google Scholar</w:t>
            </w:r>
          </w:p>
        </w:tc>
        <w:tc>
          <w:tcPr>
            <w:tcW w:w="1800" w:type="dxa"/>
          </w:tcPr>
          <w:p w14:paraId="20CCA4F7" w14:textId="2E4A5613" w:rsidR="00DD77E8" w:rsidRPr="002200F5" w:rsidRDefault="007F06D6" w:rsidP="00715C4F">
            <w:pPr>
              <w:spacing w:line="360" w:lineRule="auto"/>
              <w:jc w:val="both"/>
              <w:rPr>
                <w:rFonts w:ascii="Arial" w:hAnsi="Arial" w:cs="Arial"/>
                <w:sz w:val="20"/>
                <w:szCs w:val="20"/>
                <w:lang w:eastAsia="en-GB"/>
              </w:rPr>
            </w:pPr>
            <w:r w:rsidRPr="002200F5">
              <w:rPr>
                <w:rFonts w:ascii="Arial" w:hAnsi="Arial" w:cs="Arial"/>
                <w:sz w:val="20"/>
                <w:szCs w:val="20"/>
              </w:rPr>
              <w:t>02/08</w:t>
            </w:r>
            <w:r w:rsidR="00DD77E8" w:rsidRPr="002200F5">
              <w:rPr>
                <w:rFonts w:ascii="Arial" w:hAnsi="Arial" w:cs="Arial"/>
                <w:sz w:val="20"/>
                <w:szCs w:val="20"/>
              </w:rPr>
              <w:t>/2026</w:t>
            </w:r>
          </w:p>
        </w:tc>
        <w:tc>
          <w:tcPr>
            <w:tcW w:w="2340" w:type="dxa"/>
          </w:tcPr>
          <w:p w14:paraId="65E16701"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2020–2026</w:t>
            </w:r>
          </w:p>
        </w:tc>
        <w:tc>
          <w:tcPr>
            <w:tcW w:w="3171" w:type="dxa"/>
          </w:tcPr>
          <w:p w14:paraId="133971F3" w14:textId="77777777" w:rsidR="00DD77E8" w:rsidRPr="002200F5" w:rsidRDefault="00DD77E8" w:rsidP="00715C4F">
            <w:pPr>
              <w:spacing w:line="360" w:lineRule="auto"/>
              <w:jc w:val="both"/>
              <w:rPr>
                <w:rFonts w:ascii="Arial" w:hAnsi="Arial" w:cs="Arial"/>
                <w:sz w:val="20"/>
                <w:szCs w:val="20"/>
                <w:lang w:eastAsia="en-GB"/>
              </w:rPr>
            </w:pPr>
            <w:r w:rsidRPr="002200F5">
              <w:rPr>
                <w:rFonts w:ascii="Arial" w:hAnsi="Arial" w:cs="Arial"/>
                <w:sz w:val="20"/>
                <w:szCs w:val="20"/>
                <w:lang w:eastAsia="en-GB"/>
              </w:rPr>
              <w:t>Simplified keyword search</w:t>
            </w:r>
          </w:p>
        </w:tc>
      </w:tr>
    </w:tbl>
    <w:p w14:paraId="12B3EA59" w14:textId="77777777" w:rsidR="00190130" w:rsidRPr="00715C4F" w:rsidRDefault="00190130" w:rsidP="00715C4F">
      <w:pPr>
        <w:spacing w:line="360" w:lineRule="auto"/>
        <w:jc w:val="both"/>
        <w:rPr>
          <w:rFonts w:ascii="Arial" w:hAnsi="Arial" w:cs="Arial"/>
        </w:rPr>
      </w:pPr>
    </w:p>
    <w:p w14:paraId="39AED050" w14:textId="33E2EF08" w:rsidR="000E66A6" w:rsidRPr="00715C4F" w:rsidRDefault="000E66A6" w:rsidP="00F051EC">
      <w:pPr>
        <w:pStyle w:val="Heading3"/>
        <w:rPr>
          <w:lang w:eastAsia="en-GB"/>
        </w:rPr>
      </w:pPr>
      <w:bookmarkStart w:id="45" w:name="_Toc241025902"/>
      <w:r w:rsidRPr="00715C4F">
        <w:rPr>
          <w:lang w:eastAsia="en-GB"/>
        </w:rPr>
        <w:t>3.7.4 Hand Search</w:t>
      </w:r>
      <w:bookmarkEnd w:id="45"/>
    </w:p>
    <w:p w14:paraId="29A5AD44" w14:textId="61C4726B" w:rsidR="000E66A6" w:rsidRPr="00715C4F" w:rsidRDefault="000E66A6" w:rsidP="00715C4F">
      <w:pPr>
        <w:spacing w:line="360" w:lineRule="auto"/>
        <w:jc w:val="both"/>
        <w:rPr>
          <w:rFonts w:ascii="Arial" w:hAnsi="Arial" w:cs="Arial"/>
          <w:lang w:eastAsia="en-GB"/>
        </w:rPr>
      </w:pPr>
      <w:r w:rsidRPr="00715C4F">
        <w:rPr>
          <w:rFonts w:ascii="Arial" w:hAnsi="Arial" w:cs="Arial"/>
          <w:lang w:eastAsia="en-GB"/>
        </w:rPr>
        <w:t>A hand search will also be conducted to find other relevant studies that may not have been found in the electronic search. All studies included and related literature reviews will be screened by hand to identify further eligible publications. Citation tracking will also be performed, as it is applicable, to identify more recent studies which have cited the key articles. This complementary method will improve the chances of not being able to capture critical evidence and increase the depth of the review (</w:t>
      </w:r>
      <w:proofErr w:type="spellStart"/>
      <w:r w:rsidRPr="00715C4F">
        <w:rPr>
          <w:rFonts w:ascii="Arial" w:hAnsi="Arial" w:cs="Arial"/>
          <w:lang w:eastAsia="en-GB"/>
        </w:rPr>
        <w:t>Aromataris</w:t>
      </w:r>
      <w:proofErr w:type="spellEnd"/>
      <w:r w:rsidRPr="00715C4F">
        <w:rPr>
          <w:rFonts w:ascii="Arial" w:hAnsi="Arial" w:cs="Arial"/>
          <w:lang w:eastAsia="en-GB"/>
        </w:rPr>
        <w:t xml:space="preserve"> and Munn, 2020).</w:t>
      </w:r>
    </w:p>
    <w:p w14:paraId="73F85D9C" w14:textId="41E8DD84" w:rsidR="000E66A6" w:rsidRPr="00715C4F" w:rsidRDefault="000E66A6" w:rsidP="00F051EC">
      <w:pPr>
        <w:pStyle w:val="Heading3"/>
        <w:rPr>
          <w:lang w:eastAsia="en-GB"/>
        </w:rPr>
      </w:pPr>
      <w:bookmarkStart w:id="46" w:name="_Toc241025903"/>
      <w:r w:rsidRPr="00715C4F">
        <w:rPr>
          <w:lang w:eastAsia="en-GB"/>
        </w:rPr>
        <w:t>3.7.5 Grey Literature</w:t>
      </w:r>
      <w:bookmarkEnd w:id="46"/>
    </w:p>
    <w:p w14:paraId="7C8C3304" w14:textId="66AE041F" w:rsidR="000E66A6" w:rsidRPr="00715C4F" w:rsidRDefault="000E66A6" w:rsidP="00715C4F">
      <w:pPr>
        <w:spacing w:line="360" w:lineRule="auto"/>
        <w:jc w:val="both"/>
        <w:rPr>
          <w:rFonts w:ascii="Arial" w:hAnsi="Arial" w:cs="Arial"/>
          <w:lang w:eastAsia="en-GB"/>
        </w:rPr>
      </w:pPr>
      <w:r w:rsidRPr="00715C4F">
        <w:rPr>
          <w:rFonts w:ascii="Arial" w:hAnsi="Arial" w:cs="Arial"/>
          <w:lang w:eastAsia="en-GB"/>
        </w:rPr>
        <w:t>Grey literature will also be included to reduce publication bias and to include relevant information that has not been published in peer-reviewed journals. Reports and guidance from organisations including t</w:t>
      </w:r>
      <w:r w:rsidR="002E2AEE">
        <w:rPr>
          <w:rFonts w:ascii="Arial" w:hAnsi="Arial" w:cs="Arial"/>
          <w:lang w:eastAsia="en-GB"/>
        </w:rPr>
        <w:t>he NHS</w:t>
      </w:r>
      <w:r w:rsidRPr="00715C4F">
        <w:rPr>
          <w:rFonts w:ascii="Arial" w:hAnsi="Arial" w:cs="Arial"/>
          <w:lang w:eastAsia="en-GB"/>
        </w:rPr>
        <w:t>, the SACN, the NICE, the UK Health Security Agency (UKH</w:t>
      </w:r>
      <w:r w:rsidR="00965DB9">
        <w:rPr>
          <w:rFonts w:ascii="Arial" w:hAnsi="Arial" w:cs="Arial"/>
          <w:lang w:eastAsia="en-GB"/>
        </w:rPr>
        <w:t>SA) and the World Health Organis</w:t>
      </w:r>
      <w:r w:rsidRPr="00715C4F">
        <w:rPr>
          <w:rFonts w:ascii="Arial" w:hAnsi="Arial" w:cs="Arial"/>
          <w:lang w:eastAsia="en-GB"/>
        </w:rPr>
        <w:t>ation (WHO) will be used as a source. As appropriate for consistency and relevance, the eligibility criteria will be applied to grey literature to assess it along the same lines as, and in conjunction with, peer-reviewed literature.</w:t>
      </w:r>
      <w:r w:rsidR="00416C87">
        <w:rPr>
          <w:rFonts w:ascii="Arial" w:hAnsi="Arial" w:cs="Arial"/>
          <w:lang w:eastAsia="en-GB"/>
        </w:rPr>
        <w:t xml:space="preserve"> </w:t>
      </w:r>
    </w:p>
    <w:p w14:paraId="320BA38E" w14:textId="258E0F71" w:rsidR="005B78A2" w:rsidRPr="00715C4F" w:rsidRDefault="008F4124" w:rsidP="00F051EC">
      <w:pPr>
        <w:pStyle w:val="Heading3"/>
        <w:rPr>
          <w:lang w:eastAsia="en-GB"/>
        </w:rPr>
      </w:pPr>
      <w:bookmarkStart w:id="47" w:name="_Toc241025904"/>
      <w:r w:rsidRPr="00715C4F">
        <w:rPr>
          <w:lang w:eastAsia="en-GB"/>
        </w:rPr>
        <w:t>3.7.6 Inclusion and Exclusion Criteria</w:t>
      </w:r>
      <w:bookmarkEnd w:id="47"/>
      <w:r w:rsidR="000A024B">
        <w:rPr>
          <w:lang w:eastAsia="en-GB"/>
        </w:rPr>
        <w:t xml:space="preserve"> </w:t>
      </w:r>
    </w:p>
    <w:p w14:paraId="27266F52" w14:textId="3FE6C5DD" w:rsidR="008F4124" w:rsidRPr="00715C4F" w:rsidRDefault="005B78A2" w:rsidP="00715C4F">
      <w:pPr>
        <w:spacing w:line="360" w:lineRule="auto"/>
        <w:jc w:val="both"/>
        <w:rPr>
          <w:rFonts w:ascii="Arial" w:hAnsi="Arial" w:cs="Arial"/>
          <w:lang w:eastAsia="en-GB"/>
        </w:rPr>
      </w:pPr>
      <w:r w:rsidRPr="00715C4F">
        <w:rPr>
          <w:rFonts w:ascii="Arial" w:hAnsi="Arial" w:cs="Arial"/>
          <w:lang w:eastAsia="en-GB"/>
        </w:rPr>
        <w:t>Inclusion and exclusion criteria will be defined before study selection, and will be pre-defined to ensure consistency, transparency and to reduce selection bias. The criteria will be based on the review go</w:t>
      </w:r>
      <w:r w:rsidR="00965DB9">
        <w:rPr>
          <w:rFonts w:ascii="Arial" w:hAnsi="Arial" w:cs="Arial"/>
          <w:lang w:eastAsia="en-GB"/>
        </w:rPr>
        <w:t>als and will be organis</w:t>
      </w:r>
      <w:r w:rsidRPr="00715C4F">
        <w:rPr>
          <w:rFonts w:ascii="Arial" w:hAnsi="Arial" w:cs="Arial"/>
          <w:lang w:eastAsia="en-GB"/>
        </w:rPr>
        <w:t>ed around the PICO format. The inclusion criteria should be applied to the list of studies, and studies that do not meet all the criteria should be excluded from the list for quality assessment and data extraction</w:t>
      </w:r>
      <w:r w:rsidR="008A35C6" w:rsidRPr="00715C4F">
        <w:rPr>
          <w:rFonts w:ascii="Arial" w:hAnsi="Arial" w:cs="Arial"/>
          <w:lang w:eastAsia="en-GB"/>
        </w:rPr>
        <w:t>.</w:t>
      </w:r>
    </w:p>
    <w:p w14:paraId="65890D51" w14:textId="50776BEE" w:rsidR="008A35C6" w:rsidRPr="00DE7DB3" w:rsidRDefault="008A35C6" w:rsidP="002200F5">
      <w:pPr>
        <w:pStyle w:val="Caption"/>
        <w:keepNext/>
        <w:spacing w:after="0" w:line="360" w:lineRule="auto"/>
        <w:jc w:val="both"/>
        <w:rPr>
          <w:rFonts w:ascii="Arial" w:hAnsi="Arial" w:cs="Arial"/>
          <w:sz w:val="22"/>
          <w:szCs w:val="22"/>
        </w:rPr>
      </w:pPr>
      <w:bookmarkStart w:id="48" w:name="_Toc240929913"/>
      <w:r w:rsidRPr="00DE7DB3">
        <w:rPr>
          <w:rFonts w:ascii="Arial" w:hAnsi="Arial" w:cs="Arial"/>
          <w:sz w:val="22"/>
          <w:szCs w:val="22"/>
        </w:rPr>
        <w:t xml:space="preserve">Table </w:t>
      </w:r>
      <w:r w:rsidRPr="00DE7DB3">
        <w:rPr>
          <w:rFonts w:ascii="Arial" w:hAnsi="Arial" w:cs="Arial"/>
          <w:sz w:val="22"/>
          <w:szCs w:val="22"/>
        </w:rPr>
        <w:fldChar w:fldCharType="begin"/>
      </w:r>
      <w:r w:rsidRPr="00DE7DB3">
        <w:rPr>
          <w:rFonts w:ascii="Arial" w:hAnsi="Arial" w:cs="Arial"/>
          <w:sz w:val="22"/>
          <w:szCs w:val="22"/>
        </w:rPr>
        <w:instrText xml:space="preserve"> SEQ Table \* ARABIC </w:instrText>
      </w:r>
      <w:r w:rsidRPr="00DE7DB3">
        <w:rPr>
          <w:rFonts w:ascii="Arial" w:hAnsi="Arial" w:cs="Arial"/>
          <w:sz w:val="22"/>
          <w:szCs w:val="22"/>
        </w:rPr>
        <w:fldChar w:fldCharType="separate"/>
      </w:r>
      <w:r w:rsidR="002D1858" w:rsidRPr="00DE7DB3">
        <w:rPr>
          <w:rFonts w:ascii="Arial" w:hAnsi="Arial" w:cs="Arial"/>
          <w:noProof/>
          <w:sz w:val="22"/>
          <w:szCs w:val="22"/>
        </w:rPr>
        <w:t>3</w:t>
      </w:r>
      <w:r w:rsidRPr="00DE7DB3">
        <w:rPr>
          <w:rFonts w:ascii="Arial" w:hAnsi="Arial" w:cs="Arial"/>
          <w:sz w:val="22"/>
          <w:szCs w:val="22"/>
        </w:rPr>
        <w:fldChar w:fldCharType="end"/>
      </w:r>
      <w:r w:rsidRPr="00DE7DB3">
        <w:rPr>
          <w:rFonts w:ascii="Arial" w:hAnsi="Arial" w:cs="Arial"/>
          <w:sz w:val="22"/>
          <w:szCs w:val="22"/>
        </w:rPr>
        <w:t>.Inclusion and Exclusion Criteria</w:t>
      </w:r>
      <w:bookmarkEnd w:id="48"/>
    </w:p>
    <w:tbl>
      <w:tblPr>
        <w:tblStyle w:val="TableGrid"/>
        <w:tblW w:w="0" w:type="auto"/>
        <w:tblLook w:val="04A0" w:firstRow="1" w:lastRow="0" w:firstColumn="1" w:lastColumn="0" w:noHBand="0" w:noVBand="1"/>
      </w:tblPr>
      <w:tblGrid>
        <w:gridCol w:w="1644"/>
        <w:gridCol w:w="3420"/>
        <w:gridCol w:w="3232"/>
      </w:tblGrid>
      <w:tr w:rsidR="00190130" w:rsidRPr="002200F5" w14:paraId="42C73206" w14:textId="77777777" w:rsidTr="000A2A53">
        <w:tc>
          <w:tcPr>
            <w:tcW w:w="1705" w:type="dxa"/>
          </w:tcPr>
          <w:p w14:paraId="32D75DF8" w14:textId="77777777" w:rsidR="00190130" w:rsidRPr="002200F5" w:rsidRDefault="00190130" w:rsidP="000A024B">
            <w:pPr>
              <w:spacing w:line="360" w:lineRule="auto"/>
              <w:jc w:val="both"/>
              <w:rPr>
                <w:rFonts w:ascii="Arial" w:hAnsi="Arial" w:cs="Arial"/>
                <w:b/>
                <w:sz w:val="20"/>
                <w:szCs w:val="20"/>
                <w:lang w:eastAsia="en-GB"/>
              </w:rPr>
            </w:pPr>
            <w:r w:rsidRPr="002200F5">
              <w:rPr>
                <w:rFonts w:ascii="Arial" w:hAnsi="Arial" w:cs="Arial"/>
                <w:b/>
                <w:sz w:val="20"/>
                <w:szCs w:val="20"/>
                <w:lang w:eastAsia="en-GB"/>
              </w:rPr>
              <w:t>PICO Element</w:t>
            </w:r>
          </w:p>
        </w:tc>
        <w:tc>
          <w:tcPr>
            <w:tcW w:w="3780" w:type="dxa"/>
          </w:tcPr>
          <w:p w14:paraId="0B3CC5BE" w14:textId="77777777" w:rsidR="00190130" w:rsidRPr="002200F5" w:rsidRDefault="00190130" w:rsidP="000A024B">
            <w:pPr>
              <w:spacing w:line="360" w:lineRule="auto"/>
              <w:jc w:val="both"/>
              <w:rPr>
                <w:rFonts w:ascii="Arial" w:hAnsi="Arial" w:cs="Arial"/>
                <w:b/>
                <w:sz w:val="20"/>
                <w:szCs w:val="20"/>
                <w:lang w:eastAsia="en-GB"/>
              </w:rPr>
            </w:pPr>
            <w:r w:rsidRPr="002200F5">
              <w:rPr>
                <w:rFonts w:ascii="Arial" w:hAnsi="Arial" w:cs="Arial"/>
                <w:b/>
                <w:sz w:val="20"/>
                <w:szCs w:val="20"/>
                <w:lang w:eastAsia="en-GB"/>
              </w:rPr>
              <w:t>Inclusion Criteria</w:t>
            </w:r>
          </w:p>
        </w:tc>
        <w:tc>
          <w:tcPr>
            <w:tcW w:w="3531" w:type="dxa"/>
          </w:tcPr>
          <w:p w14:paraId="357ACAEA" w14:textId="77777777" w:rsidR="00190130" w:rsidRPr="002200F5" w:rsidRDefault="00190130" w:rsidP="000A024B">
            <w:pPr>
              <w:spacing w:line="360" w:lineRule="auto"/>
              <w:jc w:val="both"/>
              <w:rPr>
                <w:rFonts w:ascii="Arial" w:hAnsi="Arial" w:cs="Arial"/>
                <w:b/>
                <w:sz w:val="20"/>
                <w:szCs w:val="20"/>
                <w:lang w:eastAsia="en-GB"/>
              </w:rPr>
            </w:pPr>
            <w:r w:rsidRPr="002200F5">
              <w:rPr>
                <w:rFonts w:ascii="Arial" w:hAnsi="Arial" w:cs="Arial"/>
                <w:b/>
                <w:sz w:val="20"/>
                <w:szCs w:val="20"/>
                <w:lang w:eastAsia="en-GB"/>
              </w:rPr>
              <w:t>Exclusion Criteria</w:t>
            </w:r>
          </w:p>
        </w:tc>
      </w:tr>
      <w:tr w:rsidR="00190130" w:rsidRPr="002200F5" w14:paraId="6FAB0CA0" w14:textId="77777777" w:rsidTr="000A2A53">
        <w:tc>
          <w:tcPr>
            <w:tcW w:w="1705" w:type="dxa"/>
          </w:tcPr>
          <w:p w14:paraId="6ED6E0CD"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Population</w:t>
            </w:r>
          </w:p>
        </w:tc>
        <w:tc>
          <w:tcPr>
            <w:tcW w:w="3780" w:type="dxa"/>
          </w:tcPr>
          <w:p w14:paraId="447B0365"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Ethnic minority populations living in the UK</w:t>
            </w:r>
          </w:p>
        </w:tc>
        <w:tc>
          <w:tcPr>
            <w:tcW w:w="3531" w:type="dxa"/>
          </w:tcPr>
          <w:p w14:paraId="3E3E1B53"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Non-UK populations</w:t>
            </w:r>
          </w:p>
        </w:tc>
      </w:tr>
      <w:tr w:rsidR="00190130" w:rsidRPr="002200F5" w14:paraId="396D8212" w14:textId="77777777" w:rsidTr="000A2A53">
        <w:tc>
          <w:tcPr>
            <w:tcW w:w="1705" w:type="dxa"/>
          </w:tcPr>
          <w:p w14:paraId="10104F4A"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Exposure</w:t>
            </w:r>
          </w:p>
        </w:tc>
        <w:tc>
          <w:tcPr>
            <w:tcW w:w="3780" w:type="dxa"/>
          </w:tcPr>
          <w:p w14:paraId="5CBE726B"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Vitamin D deficiency or insufficiency</w:t>
            </w:r>
          </w:p>
        </w:tc>
        <w:tc>
          <w:tcPr>
            <w:tcW w:w="3531" w:type="dxa"/>
          </w:tcPr>
          <w:p w14:paraId="113856FA"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Studies unrelated to vitamin D</w:t>
            </w:r>
          </w:p>
        </w:tc>
      </w:tr>
      <w:tr w:rsidR="00190130" w:rsidRPr="002200F5" w14:paraId="3F3E6FAE" w14:textId="77777777" w:rsidTr="000A2A53">
        <w:tc>
          <w:tcPr>
            <w:tcW w:w="1705" w:type="dxa"/>
          </w:tcPr>
          <w:p w14:paraId="3923D0CB"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Comparison</w:t>
            </w:r>
          </w:p>
        </w:tc>
        <w:tc>
          <w:tcPr>
            <w:tcW w:w="3780" w:type="dxa"/>
          </w:tcPr>
          <w:p w14:paraId="2E0DD6EF"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White British population or comparison between ethnic groups where applicable</w:t>
            </w:r>
          </w:p>
        </w:tc>
        <w:tc>
          <w:tcPr>
            <w:tcW w:w="3531" w:type="dxa"/>
          </w:tcPr>
          <w:p w14:paraId="63FB6AD6"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No relevant comparison if essential</w:t>
            </w:r>
          </w:p>
        </w:tc>
      </w:tr>
      <w:tr w:rsidR="00190130" w:rsidRPr="002200F5" w14:paraId="0F1A46AD" w14:textId="77777777" w:rsidTr="000A2A53">
        <w:tc>
          <w:tcPr>
            <w:tcW w:w="1705" w:type="dxa"/>
          </w:tcPr>
          <w:p w14:paraId="594F3B2E"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Outcome</w:t>
            </w:r>
          </w:p>
        </w:tc>
        <w:tc>
          <w:tcPr>
            <w:tcW w:w="3780" w:type="dxa"/>
          </w:tcPr>
          <w:p w14:paraId="4F9E2CCD"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Prevalence or determinants of vitamin D deficiency</w:t>
            </w:r>
          </w:p>
        </w:tc>
        <w:tc>
          <w:tcPr>
            <w:tcW w:w="3531" w:type="dxa"/>
          </w:tcPr>
          <w:p w14:paraId="02298D31"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Outcomes unrelated to vitamin D status</w:t>
            </w:r>
          </w:p>
        </w:tc>
      </w:tr>
      <w:tr w:rsidR="00190130" w:rsidRPr="002200F5" w14:paraId="6D2A85E7" w14:textId="77777777" w:rsidTr="000A2A53">
        <w:tc>
          <w:tcPr>
            <w:tcW w:w="1705" w:type="dxa"/>
          </w:tcPr>
          <w:p w14:paraId="7E162553"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lastRenderedPageBreak/>
              <w:t>Setting</w:t>
            </w:r>
          </w:p>
        </w:tc>
        <w:tc>
          <w:tcPr>
            <w:tcW w:w="3780" w:type="dxa"/>
          </w:tcPr>
          <w:p w14:paraId="32A2E720"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United Kingdom</w:t>
            </w:r>
          </w:p>
        </w:tc>
        <w:tc>
          <w:tcPr>
            <w:tcW w:w="3531" w:type="dxa"/>
          </w:tcPr>
          <w:p w14:paraId="2E8987C6"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Countries outside the UK</w:t>
            </w:r>
          </w:p>
        </w:tc>
      </w:tr>
      <w:tr w:rsidR="00190130" w:rsidRPr="002200F5" w14:paraId="00A02FEC" w14:textId="77777777" w:rsidTr="000A2A53">
        <w:tc>
          <w:tcPr>
            <w:tcW w:w="1705" w:type="dxa"/>
          </w:tcPr>
          <w:p w14:paraId="135FD9FE"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Publication</w:t>
            </w:r>
          </w:p>
        </w:tc>
        <w:tc>
          <w:tcPr>
            <w:tcW w:w="3780" w:type="dxa"/>
          </w:tcPr>
          <w:p w14:paraId="5F3AAE7A"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Peer-reviewed studies published in English (2020–2026), with seminal studies included where relevant</w:t>
            </w:r>
          </w:p>
        </w:tc>
        <w:tc>
          <w:tcPr>
            <w:tcW w:w="3531" w:type="dxa"/>
          </w:tcPr>
          <w:p w14:paraId="694469EA" w14:textId="77777777" w:rsidR="00190130" w:rsidRPr="002200F5" w:rsidRDefault="00190130" w:rsidP="000A024B">
            <w:pPr>
              <w:spacing w:line="360" w:lineRule="auto"/>
              <w:jc w:val="both"/>
              <w:rPr>
                <w:rFonts w:ascii="Arial" w:hAnsi="Arial" w:cs="Arial"/>
                <w:sz w:val="20"/>
                <w:szCs w:val="20"/>
                <w:lang w:eastAsia="en-GB"/>
              </w:rPr>
            </w:pPr>
            <w:r w:rsidRPr="002200F5">
              <w:rPr>
                <w:rFonts w:ascii="Arial" w:hAnsi="Arial" w:cs="Arial"/>
                <w:sz w:val="20"/>
                <w:szCs w:val="20"/>
                <w:lang w:eastAsia="en-GB"/>
              </w:rPr>
              <w:t>Conference abstracts, editorials, commentaries, non-English publications</w:t>
            </w:r>
          </w:p>
        </w:tc>
      </w:tr>
    </w:tbl>
    <w:p w14:paraId="52E3F2D8" w14:textId="77777777" w:rsidR="00D92341" w:rsidRPr="00715C4F" w:rsidRDefault="00D92341" w:rsidP="00715C4F">
      <w:pPr>
        <w:spacing w:line="360" w:lineRule="auto"/>
        <w:jc w:val="both"/>
        <w:rPr>
          <w:rFonts w:ascii="Arial" w:hAnsi="Arial" w:cs="Arial"/>
          <w:lang w:eastAsia="en-GB"/>
        </w:rPr>
      </w:pPr>
    </w:p>
    <w:p w14:paraId="0422131B" w14:textId="0D32B2F6" w:rsidR="00D92341" w:rsidRPr="00715C4F" w:rsidRDefault="00D92341" w:rsidP="0022637B">
      <w:pPr>
        <w:pStyle w:val="Heading2"/>
        <w:rPr>
          <w:lang w:eastAsia="en-GB"/>
        </w:rPr>
      </w:pPr>
      <w:bookmarkStart w:id="49" w:name="_Toc241025905"/>
      <w:r w:rsidRPr="00715C4F">
        <w:rPr>
          <w:lang w:eastAsia="en-GB"/>
        </w:rPr>
        <w:t>3.8 Study Selection</w:t>
      </w:r>
      <w:bookmarkEnd w:id="49"/>
    </w:p>
    <w:p w14:paraId="7F8B98FB" w14:textId="60FB045C" w:rsidR="00D92341" w:rsidRPr="00715C4F" w:rsidRDefault="00D92341" w:rsidP="00715C4F">
      <w:pPr>
        <w:spacing w:line="360" w:lineRule="auto"/>
        <w:jc w:val="both"/>
        <w:rPr>
          <w:rFonts w:ascii="Arial" w:hAnsi="Arial" w:cs="Arial"/>
          <w:lang w:eastAsia="en-GB"/>
        </w:rPr>
      </w:pPr>
      <w:r w:rsidRPr="00715C4F">
        <w:rPr>
          <w:rFonts w:ascii="Arial" w:hAnsi="Arial" w:cs="Arial"/>
          <w:lang w:eastAsia="en-GB"/>
        </w:rPr>
        <w:t>Studies will be selected using the PRISMA 2020 guidelines to ensure that the selection of studies is transparent, systematic and reproducible (Page et al., 2021). After the electronic database and hand searches are completed, all retrieved records will be transferred to the reference management software and any duplicate records will be eliminated. The other studies will then be screened for the title and abstract, based on the inclusion and exclusion criteria that were predetermined. Only articles deemed to be eligible will be considered at this stage.</w:t>
      </w:r>
    </w:p>
    <w:p w14:paraId="74622F71" w14:textId="5C8BEE5D" w:rsidR="0020344D" w:rsidRPr="00715C4F" w:rsidRDefault="00D92341" w:rsidP="00715C4F">
      <w:pPr>
        <w:spacing w:line="360" w:lineRule="auto"/>
        <w:jc w:val="both"/>
        <w:rPr>
          <w:rFonts w:ascii="Arial" w:hAnsi="Arial" w:cs="Arial"/>
          <w:lang w:eastAsia="en-GB"/>
        </w:rPr>
      </w:pPr>
      <w:r w:rsidRPr="00715C4F">
        <w:rPr>
          <w:rFonts w:ascii="Arial" w:hAnsi="Arial" w:cs="Arial"/>
          <w:lang w:eastAsia="en-GB"/>
        </w:rPr>
        <w:t>Studies that are believed to be relevant will be submitted to full-text evaluation. This will happen during this phase, when each article will be subjected to a review to see if it meets the research question and all the eligibility requirements. Full-text articles will also be analysed to ensure methodological information is provided such as a clear aim for the research, design for the research, description of the participants, method of data collection, results, and conclusions. Documentation of reasons for excluding studies will be kept for full-text stage to ensure transparency a</w:t>
      </w:r>
      <w:r w:rsidR="002B0421">
        <w:rPr>
          <w:rFonts w:ascii="Arial" w:hAnsi="Arial" w:cs="Arial"/>
          <w:lang w:eastAsia="en-GB"/>
        </w:rPr>
        <w:t xml:space="preserve">nd reproducibility. In Chapter </w:t>
      </w:r>
      <w:r w:rsidR="00255436">
        <w:rPr>
          <w:rFonts w:ascii="Arial" w:hAnsi="Arial" w:cs="Arial"/>
          <w:lang w:eastAsia="en-GB"/>
        </w:rPr>
        <w:t>F</w:t>
      </w:r>
      <w:r w:rsidR="002B0421">
        <w:rPr>
          <w:rFonts w:ascii="Arial" w:hAnsi="Arial" w:cs="Arial"/>
          <w:lang w:eastAsia="en-GB"/>
        </w:rPr>
        <w:t>our</w:t>
      </w:r>
      <w:r w:rsidRPr="00715C4F">
        <w:rPr>
          <w:rFonts w:ascii="Arial" w:hAnsi="Arial" w:cs="Arial"/>
          <w:lang w:eastAsia="en-GB"/>
        </w:rPr>
        <w:t xml:space="preserve"> the overall study selection process and the number of studies identified, screened, excluded and included will be presented using a PRISMA 2020 flow diagram</w:t>
      </w:r>
      <w:r w:rsidR="009B5A9D" w:rsidRPr="00715C4F">
        <w:rPr>
          <w:rFonts w:ascii="Arial" w:hAnsi="Arial" w:cs="Arial"/>
          <w:lang w:eastAsia="en-GB"/>
        </w:rPr>
        <w:t>.</w:t>
      </w:r>
    </w:p>
    <w:p w14:paraId="72845446" w14:textId="77777777" w:rsidR="00786346" w:rsidRPr="00715C4F" w:rsidRDefault="00786346" w:rsidP="0022637B">
      <w:pPr>
        <w:pStyle w:val="Heading2"/>
        <w:rPr>
          <w:lang w:eastAsia="en-GB"/>
        </w:rPr>
      </w:pPr>
      <w:bookmarkStart w:id="50" w:name="_Toc236859076"/>
      <w:bookmarkStart w:id="51" w:name="_Toc241025906"/>
      <w:r w:rsidRPr="00715C4F">
        <w:rPr>
          <w:lang w:eastAsia="en-GB"/>
        </w:rPr>
        <w:t>3.9 Quality Assessment</w:t>
      </w:r>
      <w:bookmarkEnd w:id="50"/>
      <w:bookmarkEnd w:id="51"/>
    </w:p>
    <w:p w14:paraId="59A1FE69" w14:textId="77777777" w:rsidR="00786346" w:rsidRPr="00715C4F" w:rsidRDefault="00786346" w:rsidP="00715C4F">
      <w:pPr>
        <w:spacing w:line="360" w:lineRule="auto"/>
        <w:jc w:val="both"/>
        <w:rPr>
          <w:rFonts w:ascii="Arial" w:hAnsi="Arial" w:cs="Arial"/>
          <w:lang w:eastAsia="en-GB"/>
        </w:rPr>
      </w:pPr>
      <w:r w:rsidRPr="00715C4F">
        <w:rPr>
          <w:rFonts w:ascii="Arial" w:hAnsi="Arial" w:cs="Arial"/>
          <w:lang w:eastAsia="en-GB"/>
        </w:rPr>
        <w:t>Quality assessment is a crucial aspect of systematic reviews, as it helps to assess the methodological quality, validity and potential risk of bias of studies included (</w:t>
      </w:r>
      <w:proofErr w:type="spellStart"/>
      <w:r w:rsidRPr="00715C4F">
        <w:rPr>
          <w:rFonts w:ascii="Arial" w:hAnsi="Arial" w:cs="Arial"/>
          <w:lang w:eastAsia="en-GB"/>
        </w:rPr>
        <w:t>Aromataris</w:t>
      </w:r>
      <w:proofErr w:type="spellEnd"/>
      <w:r w:rsidRPr="00715C4F">
        <w:rPr>
          <w:rFonts w:ascii="Arial" w:hAnsi="Arial" w:cs="Arial"/>
          <w:lang w:eastAsia="en-GB"/>
        </w:rPr>
        <w:t xml:space="preserve"> and Munn, 2020). Critical appraisal aids in the assessment of whether study results are adequate to support evidence synthesis and helps to understand review results.</w:t>
      </w:r>
    </w:p>
    <w:p w14:paraId="36A9DB16" w14:textId="6073CA7E" w:rsidR="00786346" w:rsidRPr="00715C4F" w:rsidRDefault="00786346" w:rsidP="00715C4F">
      <w:pPr>
        <w:spacing w:line="360" w:lineRule="auto"/>
        <w:jc w:val="both"/>
        <w:rPr>
          <w:rFonts w:ascii="Arial" w:hAnsi="Arial" w:cs="Arial"/>
          <w:lang w:eastAsia="en-GB"/>
        </w:rPr>
      </w:pPr>
      <w:r w:rsidRPr="00715C4F">
        <w:rPr>
          <w:rFonts w:ascii="Arial" w:hAnsi="Arial" w:cs="Arial"/>
          <w:lang w:eastAsia="en-GB"/>
        </w:rPr>
        <w:t>The Joanna Briggs Institute (JBI) Critical Appraisal Checklist for each study design will be used for this review. The checklist evaluates methodological quality in a number of areas such as participant selection, measurement of exposure and outcomes, the identification and management of confounding factors, and the statistical analysis (</w:t>
      </w:r>
      <w:proofErr w:type="spellStart"/>
      <w:r w:rsidRPr="00715C4F">
        <w:rPr>
          <w:rFonts w:ascii="Arial" w:hAnsi="Arial" w:cs="Arial"/>
          <w:lang w:eastAsia="en-GB"/>
        </w:rPr>
        <w:t>Moola</w:t>
      </w:r>
      <w:proofErr w:type="spellEnd"/>
      <w:r w:rsidRPr="00715C4F">
        <w:rPr>
          <w:rFonts w:ascii="Arial" w:hAnsi="Arial" w:cs="Arial"/>
          <w:lang w:eastAsia="en-GB"/>
        </w:rPr>
        <w:t xml:space="preserve"> et al., 2020). Yes, No, Unclear, Not Applicable will be used to score each criterion. Studies that score more than 50% will be included in the data extraction process; the studies that score less than 50% will be discarded. Using a standardised </w:t>
      </w:r>
      <w:r w:rsidRPr="00715C4F">
        <w:rPr>
          <w:rFonts w:ascii="Arial" w:hAnsi="Arial" w:cs="Arial"/>
          <w:lang w:eastAsia="en-GB"/>
        </w:rPr>
        <w:lastRenderedPageBreak/>
        <w:t>appraisal tool will enhance the systematic review's consistency, transparency and credibility.</w:t>
      </w:r>
    </w:p>
    <w:p w14:paraId="0A3FA5D4" w14:textId="410CCA4A" w:rsidR="00D235DC" w:rsidRPr="00715C4F" w:rsidRDefault="00D235DC" w:rsidP="00715C4F">
      <w:pPr>
        <w:spacing w:line="360" w:lineRule="auto"/>
        <w:jc w:val="both"/>
        <w:rPr>
          <w:rFonts w:ascii="Arial" w:hAnsi="Arial" w:cs="Arial"/>
          <w:lang w:eastAsia="en-GB"/>
        </w:rPr>
      </w:pPr>
    </w:p>
    <w:p w14:paraId="22B9484F" w14:textId="77777777" w:rsidR="00D235DC" w:rsidRPr="00715C4F" w:rsidRDefault="00D235DC" w:rsidP="00715C4F">
      <w:pPr>
        <w:spacing w:line="360" w:lineRule="auto"/>
        <w:jc w:val="both"/>
        <w:rPr>
          <w:rFonts w:ascii="Arial" w:hAnsi="Arial" w:cs="Arial"/>
          <w:lang w:eastAsia="en-GB"/>
        </w:rPr>
      </w:pPr>
    </w:p>
    <w:p w14:paraId="7AEF6871" w14:textId="77777777" w:rsidR="00D235DC" w:rsidRPr="00715C4F" w:rsidRDefault="00D235DC" w:rsidP="00F051EC">
      <w:pPr>
        <w:pStyle w:val="Heading3"/>
        <w:rPr>
          <w:lang w:eastAsia="en-GB"/>
        </w:rPr>
        <w:sectPr w:rsidR="00D235DC" w:rsidRPr="00715C4F" w:rsidSect="000F32B8">
          <w:pgSz w:w="11906" w:h="16838"/>
          <w:pgMar w:top="1440" w:right="1800" w:bottom="1440" w:left="1800" w:header="708" w:footer="708" w:gutter="0"/>
          <w:pgNumType w:start="1"/>
          <w:cols w:space="708"/>
          <w:docGrid w:linePitch="360"/>
        </w:sectPr>
      </w:pPr>
    </w:p>
    <w:p w14:paraId="373DEE36" w14:textId="45F24936" w:rsidR="00A7282F" w:rsidRPr="00715C4F" w:rsidRDefault="00A7282F" w:rsidP="00F051EC">
      <w:pPr>
        <w:pStyle w:val="Heading3"/>
        <w:rPr>
          <w:lang w:eastAsia="en-GB"/>
        </w:rPr>
      </w:pPr>
      <w:bookmarkStart w:id="52" w:name="_Toc241025907"/>
      <w:r w:rsidRPr="00715C4F">
        <w:rPr>
          <w:lang w:eastAsia="en-GB"/>
        </w:rPr>
        <w:lastRenderedPageBreak/>
        <w:t>3.9.1 Cross-sectional Studies – JBI Checklist</w:t>
      </w:r>
      <w:bookmarkEnd w:id="52"/>
    </w:p>
    <w:p w14:paraId="354289EC" w14:textId="6C4977DA" w:rsidR="00A7282F" w:rsidRPr="00715C4F" w:rsidRDefault="00A7282F" w:rsidP="00715C4F">
      <w:pPr>
        <w:pStyle w:val="Caption"/>
        <w:keepNext/>
        <w:spacing w:line="360" w:lineRule="auto"/>
        <w:jc w:val="both"/>
        <w:rPr>
          <w:rFonts w:ascii="Arial" w:hAnsi="Arial" w:cs="Arial"/>
          <w:sz w:val="22"/>
          <w:szCs w:val="22"/>
        </w:rPr>
      </w:pPr>
      <w:bookmarkStart w:id="53" w:name="_Toc240929914"/>
      <w:r w:rsidRPr="00715C4F">
        <w:rPr>
          <w:rFonts w:ascii="Arial" w:hAnsi="Arial" w:cs="Arial"/>
          <w:sz w:val="22"/>
          <w:szCs w:val="22"/>
        </w:rPr>
        <w:t xml:space="preserve">Table </w:t>
      </w:r>
      <w:r w:rsidRPr="00715C4F">
        <w:rPr>
          <w:rFonts w:ascii="Arial" w:hAnsi="Arial" w:cs="Arial"/>
          <w:sz w:val="22"/>
          <w:szCs w:val="22"/>
        </w:rPr>
        <w:fldChar w:fldCharType="begin"/>
      </w:r>
      <w:r w:rsidRPr="00715C4F">
        <w:rPr>
          <w:rFonts w:ascii="Arial" w:hAnsi="Arial" w:cs="Arial"/>
          <w:sz w:val="22"/>
          <w:szCs w:val="22"/>
        </w:rPr>
        <w:instrText xml:space="preserve"> SEQ Table \* ARABIC </w:instrText>
      </w:r>
      <w:r w:rsidRPr="00715C4F">
        <w:rPr>
          <w:rFonts w:ascii="Arial" w:hAnsi="Arial" w:cs="Arial"/>
          <w:sz w:val="22"/>
          <w:szCs w:val="22"/>
        </w:rPr>
        <w:fldChar w:fldCharType="separate"/>
      </w:r>
      <w:r w:rsidR="002D1858" w:rsidRPr="00715C4F">
        <w:rPr>
          <w:rFonts w:ascii="Arial" w:hAnsi="Arial" w:cs="Arial"/>
          <w:noProof/>
          <w:sz w:val="22"/>
          <w:szCs w:val="22"/>
        </w:rPr>
        <w:t>4</w:t>
      </w:r>
      <w:r w:rsidRPr="00715C4F">
        <w:rPr>
          <w:rFonts w:ascii="Arial" w:hAnsi="Arial" w:cs="Arial"/>
          <w:sz w:val="22"/>
          <w:szCs w:val="22"/>
        </w:rPr>
        <w:fldChar w:fldCharType="end"/>
      </w:r>
      <w:r w:rsidRPr="00715C4F">
        <w:rPr>
          <w:rFonts w:ascii="Arial" w:hAnsi="Arial" w:cs="Arial"/>
          <w:sz w:val="22"/>
          <w:szCs w:val="22"/>
        </w:rPr>
        <w:t>: Quality assessment of included cross-sectional studies using the JBI Critical Appraisal Checklist for Analytical Cross-sectional Studies</w:t>
      </w:r>
      <w:bookmarkEnd w:id="53"/>
    </w:p>
    <w:tbl>
      <w:tblPr>
        <w:tblStyle w:val="TableGrid"/>
        <w:tblW w:w="0" w:type="auto"/>
        <w:tblLook w:val="04A0" w:firstRow="1" w:lastRow="0" w:firstColumn="1" w:lastColumn="0" w:noHBand="0" w:noVBand="1"/>
      </w:tblPr>
      <w:tblGrid>
        <w:gridCol w:w="1698"/>
        <w:gridCol w:w="1006"/>
        <w:gridCol w:w="1906"/>
        <w:gridCol w:w="1461"/>
        <w:gridCol w:w="1050"/>
        <w:gridCol w:w="1351"/>
        <w:gridCol w:w="1306"/>
        <w:gridCol w:w="1461"/>
        <w:gridCol w:w="1250"/>
        <w:gridCol w:w="739"/>
      </w:tblGrid>
      <w:tr w:rsidR="00A7282F" w:rsidRPr="00774D45" w14:paraId="2B309835" w14:textId="77777777" w:rsidTr="00D235DC">
        <w:tc>
          <w:tcPr>
            <w:tcW w:w="1819" w:type="dxa"/>
          </w:tcPr>
          <w:p w14:paraId="13F26DE3"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Reference</w:t>
            </w:r>
          </w:p>
        </w:tc>
        <w:tc>
          <w:tcPr>
            <w:tcW w:w="1006" w:type="dxa"/>
          </w:tcPr>
          <w:p w14:paraId="566E5283"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Inclusion criteria clearly defined</w:t>
            </w:r>
          </w:p>
        </w:tc>
        <w:tc>
          <w:tcPr>
            <w:tcW w:w="1906" w:type="dxa"/>
          </w:tcPr>
          <w:p w14:paraId="61605C81"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Participants/setting described</w:t>
            </w:r>
          </w:p>
        </w:tc>
        <w:tc>
          <w:tcPr>
            <w:tcW w:w="1461" w:type="dxa"/>
          </w:tcPr>
          <w:p w14:paraId="48C9B6CD"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Exposure measured validly/reliably</w:t>
            </w:r>
          </w:p>
        </w:tc>
        <w:tc>
          <w:tcPr>
            <w:tcW w:w="1050" w:type="dxa"/>
          </w:tcPr>
          <w:p w14:paraId="7D76AC90"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Objective standard criteria used</w:t>
            </w:r>
          </w:p>
        </w:tc>
        <w:tc>
          <w:tcPr>
            <w:tcW w:w="1351" w:type="dxa"/>
          </w:tcPr>
          <w:p w14:paraId="4CC70533"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Confounding factors identified</w:t>
            </w:r>
          </w:p>
        </w:tc>
        <w:tc>
          <w:tcPr>
            <w:tcW w:w="1306" w:type="dxa"/>
          </w:tcPr>
          <w:p w14:paraId="0A1F5D28"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Strategies to deal with confounding</w:t>
            </w:r>
          </w:p>
        </w:tc>
        <w:tc>
          <w:tcPr>
            <w:tcW w:w="1461" w:type="dxa"/>
          </w:tcPr>
          <w:p w14:paraId="70458306"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Outcomes measured validly/reliably</w:t>
            </w:r>
          </w:p>
        </w:tc>
        <w:tc>
          <w:tcPr>
            <w:tcW w:w="1250" w:type="dxa"/>
          </w:tcPr>
          <w:p w14:paraId="35C05F90"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Appropriate statistical analysis</w:t>
            </w:r>
          </w:p>
        </w:tc>
        <w:tc>
          <w:tcPr>
            <w:tcW w:w="739" w:type="dxa"/>
          </w:tcPr>
          <w:p w14:paraId="301EDDD2"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Score /8</w:t>
            </w:r>
          </w:p>
        </w:tc>
      </w:tr>
      <w:tr w:rsidR="00A7282F" w:rsidRPr="00774D45" w14:paraId="411C63F4" w14:textId="77777777" w:rsidTr="00D235DC">
        <w:tc>
          <w:tcPr>
            <w:tcW w:w="1819" w:type="dxa"/>
          </w:tcPr>
          <w:p w14:paraId="024BF7B5" w14:textId="4D541E9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Darling et al.</w:t>
            </w:r>
            <w:r w:rsidR="006D5C94" w:rsidRPr="00774D45">
              <w:rPr>
                <w:rFonts w:ascii="Arial" w:hAnsi="Arial" w:cs="Arial"/>
                <w:sz w:val="20"/>
                <w:szCs w:val="20"/>
                <w:lang w:eastAsia="en-GB"/>
              </w:rPr>
              <w:t xml:space="preserve">, </w:t>
            </w:r>
            <w:r w:rsidRPr="00774D45">
              <w:rPr>
                <w:rFonts w:ascii="Arial" w:hAnsi="Arial" w:cs="Arial"/>
                <w:sz w:val="20"/>
                <w:szCs w:val="20"/>
                <w:lang w:eastAsia="en-GB"/>
              </w:rPr>
              <w:t>(2020)</w:t>
            </w:r>
          </w:p>
        </w:tc>
        <w:tc>
          <w:tcPr>
            <w:tcW w:w="1006" w:type="dxa"/>
          </w:tcPr>
          <w:p w14:paraId="376A950D"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906" w:type="dxa"/>
          </w:tcPr>
          <w:p w14:paraId="0EE4D358"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7B8C8340"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50" w:type="dxa"/>
          </w:tcPr>
          <w:p w14:paraId="58941580"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4409B507"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06" w:type="dxa"/>
          </w:tcPr>
          <w:p w14:paraId="4372AC1A"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21414421"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5FDF61EE"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739" w:type="dxa"/>
          </w:tcPr>
          <w:p w14:paraId="17BCCD4B"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8/8</w:t>
            </w:r>
          </w:p>
        </w:tc>
      </w:tr>
      <w:tr w:rsidR="00A7282F" w:rsidRPr="00774D45" w14:paraId="0B1CE0DE" w14:textId="77777777" w:rsidTr="00D235DC">
        <w:tc>
          <w:tcPr>
            <w:tcW w:w="1819" w:type="dxa"/>
          </w:tcPr>
          <w:p w14:paraId="793359D5" w14:textId="1F8087C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Sutherland et al.</w:t>
            </w:r>
            <w:r w:rsidR="006D5C94" w:rsidRPr="00774D45">
              <w:rPr>
                <w:rFonts w:ascii="Arial" w:hAnsi="Arial" w:cs="Arial"/>
                <w:sz w:val="20"/>
                <w:szCs w:val="20"/>
                <w:lang w:eastAsia="en-GB"/>
              </w:rPr>
              <w:t xml:space="preserve">, </w:t>
            </w:r>
            <w:r w:rsidRPr="00774D45">
              <w:rPr>
                <w:rFonts w:ascii="Arial" w:hAnsi="Arial" w:cs="Arial"/>
                <w:sz w:val="20"/>
                <w:szCs w:val="20"/>
                <w:lang w:eastAsia="en-GB"/>
              </w:rPr>
              <w:t>(2021)</w:t>
            </w:r>
          </w:p>
        </w:tc>
        <w:tc>
          <w:tcPr>
            <w:tcW w:w="1006" w:type="dxa"/>
          </w:tcPr>
          <w:p w14:paraId="420A4A8C"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906" w:type="dxa"/>
          </w:tcPr>
          <w:p w14:paraId="1FDAB49A"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244F4653"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50" w:type="dxa"/>
          </w:tcPr>
          <w:p w14:paraId="1049917B"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715EDF6B"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06" w:type="dxa"/>
          </w:tcPr>
          <w:p w14:paraId="5FADED80"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2E7D3B6A"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155D2B46"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739" w:type="dxa"/>
          </w:tcPr>
          <w:p w14:paraId="3251E722"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8/8</w:t>
            </w:r>
          </w:p>
        </w:tc>
      </w:tr>
      <w:tr w:rsidR="00A7282F" w:rsidRPr="00774D45" w14:paraId="164F2D50" w14:textId="77777777" w:rsidTr="00D235DC">
        <w:tc>
          <w:tcPr>
            <w:tcW w:w="1819" w:type="dxa"/>
          </w:tcPr>
          <w:p w14:paraId="6DEB4C22" w14:textId="5272A679"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Lin et al.</w:t>
            </w:r>
            <w:r w:rsidR="006D5C94" w:rsidRPr="00774D45">
              <w:rPr>
                <w:rFonts w:ascii="Arial" w:hAnsi="Arial" w:cs="Arial"/>
                <w:sz w:val="20"/>
                <w:szCs w:val="20"/>
                <w:lang w:eastAsia="en-GB"/>
              </w:rPr>
              <w:t xml:space="preserve">, </w:t>
            </w:r>
            <w:r w:rsidRPr="00774D45">
              <w:rPr>
                <w:rFonts w:ascii="Arial" w:hAnsi="Arial" w:cs="Arial"/>
                <w:sz w:val="20"/>
                <w:szCs w:val="20"/>
                <w:lang w:eastAsia="en-GB"/>
              </w:rPr>
              <w:t>(2021)</w:t>
            </w:r>
          </w:p>
        </w:tc>
        <w:tc>
          <w:tcPr>
            <w:tcW w:w="1006" w:type="dxa"/>
          </w:tcPr>
          <w:p w14:paraId="76D4A9FC"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906" w:type="dxa"/>
          </w:tcPr>
          <w:p w14:paraId="578A2FA4"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6B529399"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50" w:type="dxa"/>
          </w:tcPr>
          <w:p w14:paraId="59F5396F"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2FA9440C"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06" w:type="dxa"/>
          </w:tcPr>
          <w:p w14:paraId="0BA44958"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389E654C"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2FA0F485"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739" w:type="dxa"/>
          </w:tcPr>
          <w:p w14:paraId="4CD158F9"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8/8</w:t>
            </w:r>
          </w:p>
        </w:tc>
      </w:tr>
      <w:tr w:rsidR="00A7282F" w:rsidRPr="00774D45" w14:paraId="1A641DFA" w14:textId="77777777" w:rsidTr="00D235DC">
        <w:tc>
          <w:tcPr>
            <w:tcW w:w="1819" w:type="dxa"/>
          </w:tcPr>
          <w:p w14:paraId="768A1C44" w14:textId="0554ED29" w:rsidR="00A7282F" w:rsidRPr="00774D45" w:rsidRDefault="00A7282F" w:rsidP="00715C4F">
            <w:pPr>
              <w:spacing w:line="360" w:lineRule="auto"/>
              <w:jc w:val="both"/>
              <w:rPr>
                <w:rFonts w:ascii="Arial" w:hAnsi="Arial" w:cs="Arial"/>
                <w:sz w:val="20"/>
                <w:szCs w:val="20"/>
                <w:lang w:eastAsia="en-GB"/>
              </w:rPr>
            </w:pPr>
            <w:proofErr w:type="spellStart"/>
            <w:r w:rsidRPr="00774D45">
              <w:rPr>
                <w:rFonts w:ascii="Arial" w:hAnsi="Arial" w:cs="Arial"/>
                <w:sz w:val="20"/>
                <w:szCs w:val="20"/>
                <w:lang w:eastAsia="en-GB"/>
              </w:rPr>
              <w:t>Vearing</w:t>
            </w:r>
            <w:proofErr w:type="spellEnd"/>
            <w:r w:rsidRPr="00774D45">
              <w:rPr>
                <w:rFonts w:ascii="Arial" w:hAnsi="Arial" w:cs="Arial"/>
                <w:sz w:val="20"/>
                <w:szCs w:val="20"/>
                <w:lang w:eastAsia="en-GB"/>
              </w:rPr>
              <w:t xml:space="preserve"> et al.</w:t>
            </w:r>
            <w:r w:rsidR="00A235EE" w:rsidRPr="00774D45">
              <w:rPr>
                <w:rFonts w:ascii="Arial" w:hAnsi="Arial" w:cs="Arial"/>
                <w:sz w:val="20"/>
                <w:szCs w:val="20"/>
                <w:lang w:eastAsia="en-GB"/>
              </w:rPr>
              <w:t>,</w:t>
            </w:r>
            <w:r w:rsidRPr="00774D45">
              <w:rPr>
                <w:rFonts w:ascii="Arial" w:hAnsi="Arial" w:cs="Arial"/>
                <w:sz w:val="20"/>
                <w:szCs w:val="20"/>
                <w:lang w:eastAsia="en-GB"/>
              </w:rPr>
              <w:t xml:space="preserve"> (2021)</w:t>
            </w:r>
          </w:p>
        </w:tc>
        <w:tc>
          <w:tcPr>
            <w:tcW w:w="1006" w:type="dxa"/>
          </w:tcPr>
          <w:p w14:paraId="2B6B647A"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906" w:type="dxa"/>
          </w:tcPr>
          <w:p w14:paraId="51FA54E4"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0B978DFE"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50" w:type="dxa"/>
          </w:tcPr>
          <w:p w14:paraId="502EF09C"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33D17860"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06" w:type="dxa"/>
          </w:tcPr>
          <w:p w14:paraId="0603BD57"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58836A80"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44999DAC"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739" w:type="dxa"/>
          </w:tcPr>
          <w:p w14:paraId="54429BE9"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8/8</w:t>
            </w:r>
          </w:p>
        </w:tc>
      </w:tr>
      <w:tr w:rsidR="00A7282F" w:rsidRPr="00774D45" w14:paraId="398F90B1" w14:textId="77777777" w:rsidTr="00D235DC">
        <w:tc>
          <w:tcPr>
            <w:tcW w:w="1819" w:type="dxa"/>
          </w:tcPr>
          <w:p w14:paraId="0DDEBB9E" w14:textId="52D5A40F"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Smith et al.</w:t>
            </w:r>
            <w:r w:rsidR="00D12600" w:rsidRPr="00774D45">
              <w:rPr>
                <w:rFonts w:ascii="Arial" w:hAnsi="Arial" w:cs="Arial"/>
                <w:sz w:val="20"/>
                <w:szCs w:val="20"/>
                <w:lang w:eastAsia="en-GB"/>
              </w:rPr>
              <w:t>,</w:t>
            </w:r>
            <w:r w:rsidRPr="00774D45">
              <w:rPr>
                <w:rFonts w:ascii="Arial" w:hAnsi="Arial" w:cs="Arial"/>
                <w:sz w:val="20"/>
                <w:szCs w:val="20"/>
                <w:lang w:eastAsia="en-GB"/>
              </w:rPr>
              <w:t xml:space="preserve"> (2021)</w:t>
            </w:r>
          </w:p>
        </w:tc>
        <w:tc>
          <w:tcPr>
            <w:tcW w:w="1006" w:type="dxa"/>
          </w:tcPr>
          <w:p w14:paraId="34D04DED"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906" w:type="dxa"/>
          </w:tcPr>
          <w:p w14:paraId="364A5969"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5D54E297"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50" w:type="dxa"/>
          </w:tcPr>
          <w:p w14:paraId="1C85A5B5"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4E32C4FA"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06" w:type="dxa"/>
          </w:tcPr>
          <w:p w14:paraId="0CBB9BD1"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1455511C"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28154AC8"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739" w:type="dxa"/>
          </w:tcPr>
          <w:p w14:paraId="53E2A98E"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8/8</w:t>
            </w:r>
          </w:p>
        </w:tc>
      </w:tr>
      <w:tr w:rsidR="00A7282F" w:rsidRPr="00774D45" w14:paraId="6338F97E" w14:textId="77777777" w:rsidTr="00D235DC">
        <w:tc>
          <w:tcPr>
            <w:tcW w:w="1819" w:type="dxa"/>
          </w:tcPr>
          <w:p w14:paraId="53AEA38D" w14:textId="638CF916"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Coley-Grant et al.</w:t>
            </w:r>
            <w:r w:rsidR="00A235EE" w:rsidRPr="00774D45">
              <w:rPr>
                <w:rFonts w:ascii="Arial" w:hAnsi="Arial" w:cs="Arial"/>
                <w:sz w:val="20"/>
                <w:szCs w:val="20"/>
                <w:lang w:eastAsia="en-GB"/>
              </w:rPr>
              <w:t>,</w:t>
            </w:r>
            <w:r w:rsidRPr="00774D45">
              <w:rPr>
                <w:rFonts w:ascii="Arial" w:hAnsi="Arial" w:cs="Arial"/>
                <w:sz w:val="20"/>
                <w:szCs w:val="20"/>
                <w:lang w:eastAsia="en-GB"/>
              </w:rPr>
              <w:t xml:space="preserve"> (2021)</w:t>
            </w:r>
          </w:p>
        </w:tc>
        <w:tc>
          <w:tcPr>
            <w:tcW w:w="1006" w:type="dxa"/>
          </w:tcPr>
          <w:p w14:paraId="6DC53C79"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906" w:type="dxa"/>
          </w:tcPr>
          <w:p w14:paraId="42ADEF82"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25CA2A51"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50" w:type="dxa"/>
          </w:tcPr>
          <w:p w14:paraId="57C621F7"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6711F7F0"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06" w:type="dxa"/>
          </w:tcPr>
          <w:p w14:paraId="3761B204"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39F718A6"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57795FEF"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739" w:type="dxa"/>
          </w:tcPr>
          <w:p w14:paraId="6662468A"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8/8</w:t>
            </w:r>
          </w:p>
        </w:tc>
      </w:tr>
      <w:tr w:rsidR="00A7282F" w:rsidRPr="00774D45" w14:paraId="1677A62D" w14:textId="77777777" w:rsidTr="00D235DC">
        <w:tc>
          <w:tcPr>
            <w:tcW w:w="1819" w:type="dxa"/>
          </w:tcPr>
          <w:p w14:paraId="1BC83D0E" w14:textId="403ED08F"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Phelan et al.</w:t>
            </w:r>
            <w:r w:rsidR="00FD648B" w:rsidRPr="00774D45">
              <w:rPr>
                <w:rFonts w:ascii="Arial" w:hAnsi="Arial" w:cs="Arial"/>
                <w:sz w:val="20"/>
                <w:szCs w:val="20"/>
                <w:lang w:eastAsia="en-GB"/>
              </w:rPr>
              <w:t>,</w:t>
            </w:r>
            <w:r w:rsidRPr="00774D45">
              <w:rPr>
                <w:rFonts w:ascii="Arial" w:hAnsi="Arial" w:cs="Arial"/>
                <w:sz w:val="20"/>
                <w:szCs w:val="20"/>
                <w:lang w:eastAsia="en-GB"/>
              </w:rPr>
              <w:t xml:space="preserve"> (2024)</w:t>
            </w:r>
          </w:p>
        </w:tc>
        <w:tc>
          <w:tcPr>
            <w:tcW w:w="1006" w:type="dxa"/>
          </w:tcPr>
          <w:p w14:paraId="6BDAF33D"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906" w:type="dxa"/>
          </w:tcPr>
          <w:p w14:paraId="49B24AFE"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57F3D866"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50" w:type="dxa"/>
          </w:tcPr>
          <w:p w14:paraId="40C1B0FF"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61B00EB6"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06" w:type="dxa"/>
          </w:tcPr>
          <w:p w14:paraId="3A31416C"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0EA795E4"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4E2E1482"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739" w:type="dxa"/>
          </w:tcPr>
          <w:p w14:paraId="58D5A068"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8/8</w:t>
            </w:r>
          </w:p>
        </w:tc>
      </w:tr>
      <w:tr w:rsidR="00A7282F" w:rsidRPr="00774D45" w14:paraId="0C834ED5" w14:textId="77777777" w:rsidTr="00D235DC">
        <w:tc>
          <w:tcPr>
            <w:tcW w:w="1819" w:type="dxa"/>
          </w:tcPr>
          <w:p w14:paraId="072ED183" w14:textId="4237643F" w:rsidR="00A7282F" w:rsidRPr="00774D45" w:rsidRDefault="00A7282F" w:rsidP="00715C4F">
            <w:pPr>
              <w:spacing w:line="360" w:lineRule="auto"/>
              <w:jc w:val="both"/>
              <w:rPr>
                <w:rFonts w:ascii="Arial" w:hAnsi="Arial" w:cs="Arial"/>
                <w:sz w:val="20"/>
                <w:szCs w:val="20"/>
                <w:lang w:eastAsia="en-GB"/>
              </w:rPr>
            </w:pPr>
            <w:proofErr w:type="spellStart"/>
            <w:r w:rsidRPr="00774D45">
              <w:rPr>
                <w:rFonts w:ascii="Arial" w:hAnsi="Arial" w:cs="Arial"/>
                <w:sz w:val="20"/>
                <w:szCs w:val="20"/>
                <w:lang w:eastAsia="en-GB"/>
              </w:rPr>
              <w:t>Tanna</w:t>
            </w:r>
            <w:proofErr w:type="spellEnd"/>
            <w:r w:rsidRPr="00774D45">
              <w:rPr>
                <w:rFonts w:ascii="Arial" w:hAnsi="Arial" w:cs="Arial"/>
                <w:sz w:val="20"/>
                <w:szCs w:val="20"/>
                <w:lang w:eastAsia="en-GB"/>
              </w:rPr>
              <w:t xml:space="preserve"> et al.</w:t>
            </w:r>
            <w:r w:rsidR="006D5C94" w:rsidRPr="00774D45">
              <w:rPr>
                <w:rFonts w:ascii="Arial" w:hAnsi="Arial" w:cs="Arial"/>
                <w:sz w:val="20"/>
                <w:szCs w:val="20"/>
                <w:lang w:eastAsia="en-GB"/>
              </w:rPr>
              <w:t xml:space="preserve">, </w:t>
            </w:r>
            <w:r w:rsidRPr="00774D45">
              <w:rPr>
                <w:rFonts w:ascii="Arial" w:hAnsi="Arial" w:cs="Arial"/>
                <w:sz w:val="20"/>
                <w:szCs w:val="20"/>
                <w:lang w:eastAsia="en-GB"/>
              </w:rPr>
              <w:t>(2023)</w:t>
            </w:r>
          </w:p>
        </w:tc>
        <w:tc>
          <w:tcPr>
            <w:tcW w:w="1006" w:type="dxa"/>
          </w:tcPr>
          <w:p w14:paraId="2A2834CE"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906" w:type="dxa"/>
          </w:tcPr>
          <w:p w14:paraId="637E8EBD"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0936C294"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50" w:type="dxa"/>
          </w:tcPr>
          <w:p w14:paraId="14D35A0C"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0B322D45"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06" w:type="dxa"/>
          </w:tcPr>
          <w:p w14:paraId="1EFF584E" w14:textId="77777777" w:rsidR="00A7282F" w:rsidRPr="00774D45" w:rsidRDefault="00A7282F"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461" w:type="dxa"/>
          </w:tcPr>
          <w:p w14:paraId="44EB7091" w14:textId="2DA032CD" w:rsidR="00A7282F" w:rsidRPr="00774D45" w:rsidRDefault="00293E90" w:rsidP="00715C4F">
            <w:pPr>
              <w:spacing w:line="360" w:lineRule="auto"/>
              <w:jc w:val="both"/>
              <w:rPr>
                <w:rFonts w:ascii="Arial" w:hAnsi="Arial" w:cs="Arial"/>
                <w:sz w:val="20"/>
                <w:szCs w:val="20"/>
                <w:highlight w:val="darkYellow"/>
                <w:lang w:eastAsia="en-GB"/>
              </w:rPr>
            </w:pPr>
            <w:r w:rsidRPr="00774D45">
              <w:rPr>
                <w:rFonts w:ascii="Arial" w:hAnsi="Arial" w:cs="Arial"/>
                <w:sz w:val="20"/>
                <w:szCs w:val="20"/>
                <w:lang w:eastAsia="en-GB"/>
              </w:rPr>
              <w:t>Yes</w:t>
            </w:r>
          </w:p>
        </w:tc>
        <w:tc>
          <w:tcPr>
            <w:tcW w:w="1250" w:type="dxa"/>
          </w:tcPr>
          <w:p w14:paraId="174A486A" w14:textId="17AB1D58" w:rsidR="00A7282F" w:rsidRPr="00774D45" w:rsidRDefault="00293E90" w:rsidP="00715C4F">
            <w:pPr>
              <w:spacing w:line="360" w:lineRule="auto"/>
              <w:jc w:val="both"/>
              <w:rPr>
                <w:rFonts w:ascii="Arial" w:hAnsi="Arial" w:cs="Arial"/>
                <w:sz w:val="20"/>
                <w:szCs w:val="20"/>
                <w:highlight w:val="darkYellow"/>
                <w:lang w:eastAsia="en-GB"/>
              </w:rPr>
            </w:pPr>
            <w:r w:rsidRPr="00774D45">
              <w:rPr>
                <w:rFonts w:ascii="Arial" w:hAnsi="Arial" w:cs="Arial"/>
                <w:sz w:val="20"/>
                <w:szCs w:val="20"/>
                <w:lang w:eastAsia="en-GB"/>
              </w:rPr>
              <w:t>Yes</w:t>
            </w:r>
          </w:p>
        </w:tc>
        <w:tc>
          <w:tcPr>
            <w:tcW w:w="739" w:type="dxa"/>
          </w:tcPr>
          <w:p w14:paraId="17C8C6E7" w14:textId="185EA842" w:rsidR="00A7282F" w:rsidRPr="00774D45" w:rsidRDefault="00293E90" w:rsidP="00715C4F">
            <w:pPr>
              <w:spacing w:line="360" w:lineRule="auto"/>
              <w:jc w:val="both"/>
              <w:rPr>
                <w:rFonts w:ascii="Arial" w:hAnsi="Arial" w:cs="Arial"/>
                <w:sz w:val="20"/>
                <w:szCs w:val="20"/>
                <w:highlight w:val="darkYellow"/>
                <w:lang w:eastAsia="en-GB"/>
              </w:rPr>
            </w:pPr>
            <w:r w:rsidRPr="00774D45">
              <w:rPr>
                <w:rFonts w:ascii="Arial" w:hAnsi="Arial" w:cs="Arial"/>
                <w:sz w:val="20"/>
                <w:szCs w:val="20"/>
                <w:lang w:eastAsia="en-GB"/>
              </w:rPr>
              <w:t>8/8</w:t>
            </w:r>
          </w:p>
        </w:tc>
      </w:tr>
    </w:tbl>
    <w:p w14:paraId="43289642" w14:textId="77777777" w:rsidR="00D235DC" w:rsidRPr="00715C4F" w:rsidRDefault="00D235DC" w:rsidP="00715C4F">
      <w:pPr>
        <w:spacing w:line="360" w:lineRule="auto"/>
        <w:jc w:val="both"/>
        <w:rPr>
          <w:rFonts w:ascii="Arial" w:hAnsi="Arial" w:cs="Arial"/>
          <w:lang w:eastAsia="en-GB"/>
        </w:rPr>
        <w:sectPr w:rsidR="00D235DC" w:rsidRPr="00715C4F" w:rsidSect="000F32B8">
          <w:pgSz w:w="16838" w:h="11906" w:orient="landscape"/>
          <w:pgMar w:top="1440" w:right="1800" w:bottom="1440" w:left="1800" w:header="706" w:footer="706" w:gutter="0"/>
          <w:cols w:space="708"/>
          <w:docGrid w:linePitch="360"/>
        </w:sectPr>
      </w:pPr>
    </w:p>
    <w:p w14:paraId="0F9BD590" w14:textId="5A352CE9" w:rsidR="00E406A9" w:rsidRPr="00715C4F" w:rsidRDefault="00E406A9" w:rsidP="00F051EC">
      <w:pPr>
        <w:pStyle w:val="Heading3"/>
        <w:rPr>
          <w:lang w:eastAsia="en-GB"/>
        </w:rPr>
      </w:pPr>
      <w:bookmarkStart w:id="54" w:name="_Toc241025908"/>
      <w:r w:rsidRPr="00715C4F">
        <w:rPr>
          <w:lang w:eastAsia="en-GB"/>
        </w:rPr>
        <w:lastRenderedPageBreak/>
        <w:t>3.9.2 Quali</w:t>
      </w:r>
      <w:r w:rsidR="00230FAF" w:rsidRPr="00715C4F">
        <w:rPr>
          <w:lang w:eastAsia="en-GB"/>
        </w:rPr>
        <w:t>tative Studies – CASP Checklist</w:t>
      </w:r>
      <w:bookmarkEnd w:id="54"/>
    </w:p>
    <w:p w14:paraId="18B0ACF7" w14:textId="4430F33C" w:rsidR="00E406A9" w:rsidRPr="00715C4F" w:rsidRDefault="00E406A9" w:rsidP="00715C4F">
      <w:pPr>
        <w:pStyle w:val="Caption"/>
        <w:keepNext/>
        <w:spacing w:line="360" w:lineRule="auto"/>
        <w:jc w:val="both"/>
        <w:rPr>
          <w:rFonts w:ascii="Arial" w:hAnsi="Arial" w:cs="Arial"/>
          <w:sz w:val="22"/>
          <w:szCs w:val="22"/>
        </w:rPr>
      </w:pPr>
      <w:bookmarkStart w:id="55" w:name="_Toc240929915"/>
      <w:r w:rsidRPr="00715C4F">
        <w:rPr>
          <w:rFonts w:ascii="Arial" w:hAnsi="Arial" w:cs="Arial"/>
          <w:sz w:val="22"/>
          <w:szCs w:val="22"/>
        </w:rPr>
        <w:t xml:space="preserve">Table </w:t>
      </w:r>
      <w:r w:rsidRPr="00715C4F">
        <w:rPr>
          <w:rFonts w:ascii="Arial" w:hAnsi="Arial" w:cs="Arial"/>
          <w:sz w:val="22"/>
          <w:szCs w:val="22"/>
        </w:rPr>
        <w:fldChar w:fldCharType="begin"/>
      </w:r>
      <w:r w:rsidRPr="00715C4F">
        <w:rPr>
          <w:rFonts w:ascii="Arial" w:hAnsi="Arial" w:cs="Arial"/>
          <w:sz w:val="22"/>
          <w:szCs w:val="22"/>
        </w:rPr>
        <w:instrText xml:space="preserve"> SEQ Table \* ARABIC </w:instrText>
      </w:r>
      <w:r w:rsidRPr="00715C4F">
        <w:rPr>
          <w:rFonts w:ascii="Arial" w:hAnsi="Arial" w:cs="Arial"/>
          <w:sz w:val="22"/>
          <w:szCs w:val="22"/>
        </w:rPr>
        <w:fldChar w:fldCharType="separate"/>
      </w:r>
      <w:r w:rsidR="002D1858" w:rsidRPr="00715C4F">
        <w:rPr>
          <w:rFonts w:ascii="Arial" w:hAnsi="Arial" w:cs="Arial"/>
          <w:noProof/>
          <w:sz w:val="22"/>
          <w:szCs w:val="22"/>
        </w:rPr>
        <w:t>5</w:t>
      </w:r>
      <w:r w:rsidRPr="00715C4F">
        <w:rPr>
          <w:rFonts w:ascii="Arial" w:hAnsi="Arial" w:cs="Arial"/>
          <w:sz w:val="22"/>
          <w:szCs w:val="22"/>
        </w:rPr>
        <w:fldChar w:fldCharType="end"/>
      </w:r>
      <w:r w:rsidRPr="00715C4F">
        <w:rPr>
          <w:rFonts w:ascii="Arial" w:hAnsi="Arial" w:cs="Arial"/>
          <w:sz w:val="22"/>
          <w:szCs w:val="22"/>
        </w:rPr>
        <w:t>: Quality assessment of included qualitative studies using the CASP Qualitative Studies Checklist</w:t>
      </w:r>
      <w:bookmarkEnd w:id="55"/>
    </w:p>
    <w:tbl>
      <w:tblPr>
        <w:tblStyle w:val="TableGrid"/>
        <w:tblW w:w="0" w:type="auto"/>
        <w:tblLook w:val="04A0" w:firstRow="1" w:lastRow="0" w:firstColumn="1" w:lastColumn="0" w:noHBand="0" w:noVBand="1"/>
      </w:tblPr>
      <w:tblGrid>
        <w:gridCol w:w="1215"/>
        <w:gridCol w:w="1095"/>
        <w:gridCol w:w="1362"/>
        <w:gridCol w:w="1250"/>
        <w:gridCol w:w="1250"/>
        <w:gridCol w:w="1250"/>
        <w:gridCol w:w="1362"/>
        <w:gridCol w:w="1195"/>
        <w:gridCol w:w="1040"/>
        <w:gridCol w:w="1137"/>
        <w:gridCol w:w="1072"/>
      </w:tblGrid>
      <w:tr w:rsidR="00E406A9" w:rsidRPr="00774D45" w14:paraId="3E91F5B4" w14:textId="77777777" w:rsidTr="00F30AB6">
        <w:tc>
          <w:tcPr>
            <w:tcW w:w="1594" w:type="dxa"/>
          </w:tcPr>
          <w:p w14:paraId="4E22B423"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Reference</w:t>
            </w:r>
          </w:p>
        </w:tc>
        <w:tc>
          <w:tcPr>
            <w:tcW w:w="1095" w:type="dxa"/>
          </w:tcPr>
          <w:p w14:paraId="246577FC"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Clear statement of aims</w:t>
            </w:r>
          </w:p>
        </w:tc>
        <w:tc>
          <w:tcPr>
            <w:tcW w:w="1362" w:type="dxa"/>
          </w:tcPr>
          <w:p w14:paraId="63B8CD25"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Appropriate qualitative methodology</w:t>
            </w:r>
          </w:p>
        </w:tc>
        <w:tc>
          <w:tcPr>
            <w:tcW w:w="1250" w:type="dxa"/>
          </w:tcPr>
          <w:p w14:paraId="43A2F309"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Appropriate research design</w:t>
            </w:r>
          </w:p>
        </w:tc>
        <w:tc>
          <w:tcPr>
            <w:tcW w:w="1250" w:type="dxa"/>
          </w:tcPr>
          <w:p w14:paraId="5D527E01"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Appropriate recruitment strategy</w:t>
            </w:r>
          </w:p>
        </w:tc>
        <w:tc>
          <w:tcPr>
            <w:tcW w:w="1250" w:type="dxa"/>
          </w:tcPr>
          <w:p w14:paraId="40B8CF1E"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Appropriate data collection</w:t>
            </w:r>
          </w:p>
        </w:tc>
        <w:tc>
          <w:tcPr>
            <w:tcW w:w="1362" w:type="dxa"/>
          </w:tcPr>
          <w:p w14:paraId="0CEE9B2D"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Researcher–participant relationship considered</w:t>
            </w:r>
          </w:p>
        </w:tc>
        <w:tc>
          <w:tcPr>
            <w:tcW w:w="1195" w:type="dxa"/>
          </w:tcPr>
          <w:p w14:paraId="38C3C8B1"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Ethical issues considered</w:t>
            </w:r>
          </w:p>
        </w:tc>
        <w:tc>
          <w:tcPr>
            <w:tcW w:w="1157" w:type="dxa"/>
          </w:tcPr>
          <w:p w14:paraId="49F702BF"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Rigorous data analysis</w:t>
            </w:r>
          </w:p>
        </w:tc>
        <w:tc>
          <w:tcPr>
            <w:tcW w:w="1348" w:type="dxa"/>
          </w:tcPr>
          <w:p w14:paraId="24312810"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Clear statement of findings</w:t>
            </w:r>
          </w:p>
        </w:tc>
        <w:tc>
          <w:tcPr>
            <w:tcW w:w="992" w:type="dxa"/>
          </w:tcPr>
          <w:p w14:paraId="0CDABD04"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Research value</w:t>
            </w:r>
          </w:p>
        </w:tc>
      </w:tr>
      <w:tr w:rsidR="00E406A9" w:rsidRPr="00774D45" w14:paraId="7BB187B9" w14:textId="77777777" w:rsidTr="00F30AB6">
        <w:tc>
          <w:tcPr>
            <w:tcW w:w="1594" w:type="dxa"/>
          </w:tcPr>
          <w:p w14:paraId="008BDD86" w14:textId="0734C209"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Zheng et al.</w:t>
            </w:r>
            <w:r w:rsidR="00A235EE" w:rsidRPr="00774D45">
              <w:rPr>
                <w:rFonts w:ascii="Arial" w:hAnsi="Arial" w:cs="Arial"/>
                <w:sz w:val="20"/>
                <w:szCs w:val="20"/>
                <w:lang w:eastAsia="en-GB"/>
              </w:rPr>
              <w:t xml:space="preserve">, </w:t>
            </w:r>
            <w:r w:rsidRPr="00774D45">
              <w:rPr>
                <w:rFonts w:ascii="Arial" w:hAnsi="Arial" w:cs="Arial"/>
                <w:sz w:val="20"/>
                <w:szCs w:val="20"/>
                <w:lang w:eastAsia="en-GB"/>
              </w:rPr>
              <w:t>(2025)</w:t>
            </w:r>
          </w:p>
        </w:tc>
        <w:tc>
          <w:tcPr>
            <w:tcW w:w="1095" w:type="dxa"/>
          </w:tcPr>
          <w:p w14:paraId="10BE1D12"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62" w:type="dxa"/>
          </w:tcPr>
          <w:p w14:paraId="686E08A4"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604E5D65"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3961DDBC"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7A843A4D"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62" w:type="dxa"/>
          </w:tcPr>
          <w:p w14:paraId="3DBDA757"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Unclear</w:t>
            </w:r>
          </w:p>
        </w:tc>
        <w:tc>
          <w:tcPr>
            <w:tcW w:w="1195" w:type="dxa"/>
          </w:tcPr>
          <w:p w14:paraId="2FC988C0"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157" w:type="dxa"/>
          </w:tcPr>
          <w:p w14:paraId="619006EA"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48" w:type="dxa"/>
          </w:tcPr>
          <w:p w14:paraId="6D661EB0"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992" w:type="dxa"/>
          </w:tcPr>
          <w:p w14:paraId="01B4446C"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r>
      <w:tr w:rsidR="00E406A9" w:rsidRPr="00774D45" w14:paraId="345F4A89" w14:textId="77777777" w:rsidTr="00F30AB6">
        <w:tc>
          <w:tcPr>
            <w:tcW w:w="1594" w:type="dxa"/>
          </w:tcPr>
          <w:p w14:paraId="64B0AFA8"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 xml:space="preserve">Belfield and </w:t>
            </w:r>
            <w:proofErr w:type="spellStart"/>
            <w:r w:rsidRPr="00774D45">
              <w:rPr>
                <w:rFonts w:ascii="Arial" w:hAnsi="Arial" w:cs="Arial"/>
                <w:sz w:val="20"/>
                <w:szCs w:val="20"/>
                <w:lang w:eastAsia="en-GB"/>
              </w:rPr>
              <w:t>Llahana</w:t>
            </w:r>
            <w:proofErr w:type="spellEnd"/>
            <w:r w:rsidRPr="00774D45">
              <w:rPr>
                <w:rFonts w:ascii="Arial" w:hAnsi="Arial" w:cs="Arial"/>
                <w:sz w:val="20"/>
                <w:szCs w:val="20"/>
                <w:lang w:eastAsia="en-GB"/>
              </w:rPr>
              <w:t xml:space="preserve"> (2024)</w:t>
            </w:r>
          </w:p>
        </w:tc>
        <w:tc>
          <w:tcPr>
            <w:tcW w:w="1095" w:type="dxa"/>
          </w:tcPr>
          <w:p w14:paraId="694F9CB7"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62" w:type="dxa"/>
          </w:tcPr>
          <w:p w14:paraId="2E3C0CC5"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50C2B7CF"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59125CA9"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50" w:type="dxa"/>
          </w:tcPr>
          <w:p w14:paraId="30799EC8"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62" w:type="dxa"/>
          </w:tcPr>
          <w:p w14:paraId="44CD1AE6" w14:textId="77777777" w:rsidR="00E406A9" w:rsidRPr="00774D45" w:rsidRDefault="00E406A9"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Unclear</w:t>
            </w:r>
          </w:p>
        </w:tc>
        <w:tc>
          <w:tcPr>
            <w:tcW w:w="1195" w:type="dxa"/>
          </w:tcPr>
          <w:p w14:paraId="0B8DC4E5" w14:textId="139FB172" w:rsidR="00E406A9" w:rsidRPr="00774D45" w:rsidRDefault="00293E90"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157" w:type="dxa"/>
          </w:tcPr>
          <w:p w14:paraId="58C748C7" w14:textId="34F969EE" w:rsidR="00E406A9" w:rsidRPr="00774D45" w:rsidRDefault="00293E90"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48" w:type="dxa"/>
          </w:tcPr>
          <w:p w14:paraId="703FCDFC" w14:textId="1BC43EDB" w:rsidR="00E406A9" w:rsidRPr="00774D45" w:rsidRDefault="00293E90"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992" w:type="dxa"/>
          </w:tcPr>
          <w:p w14:paraId="5ACE38A0" w14:textId="469D4994" w:rsidR="00E406A9" w:rsidRPr="00774D45" w:rsidRDefault="00293E90"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r>
    </w:tbl>
    <w:p w14:paraId="0DB99535" w14:textId="601127B7" w:rsidR="00E406A9" w:rsidRPr="00715C4F" w:rsidRDefault="00E406A9" w:rsidP="00715C4F">
      <w:pPr>
        <w:spacing w:line="360" w:lineRule="auto"/>
        <w:jc w:val="both"/>
        <w:rPr>
          <w:rFonts w:ascii="Arial" w:hAnsi="Arial" w:cs="Arial"/>
          <w:lang w:eastAsia="en-GB"/>
        </w:rPr>
      </w:pPr>
      <w:bookmarkStart w:id="56" w:name="_Toc236859077"/>
    </w:p>
    <w:p w14:paraId="6A0C8CD6" w14:textId="22395C7F" w:rsidR="00D235DC" w:rsidRPr="00715C4F" w:rsidRDefault="00230FAF" w:rsidP="00715C4F">
      <w:pPr>
        <w:spacing w:line="360" w:lineRule="auto"/>
        <w:jc w:val="both"/>
        <w:rPr>
          <w:rFonts w:ascii="Arial" w:hAnsi="Arial" w:cs="Arial"/>
          <w:lang w:eastAsia="en-GB"/>
        </w:rPr>
      </w:pPr>
      <w:r w:rsidRPr="00715C4F">
        <w:rPr>
          <w:rFonts w:ascii="Arial" w:hAnsi="Arial" w:cs="Arial"/>
          <w:lang w:eastAsia="en-GB"/>
        </w:rPr>
        <w:t>The two qualitative studies were critically appraised using the CASP Qualitative Studies Checklist. Both studies demonstrated clear research aims and used qualitative methodologies appropriate for exploring perceptions, experiences and cultural influences relating to vitamin D deficiency. The research designs, recruitment approaches and methods of data collection were considered appropriate for addressing the respective research questions. Ethical considerations and data analysis were also adequately reported. However, the relationship between the researchers and participants was not sufficiently clear in the available methodological information, and this criterion was therefore classified as unclear. Overall, both studies provided relevant qualitative evidence regarding knowledge, perceptions and cultural determinants of vitamin D deficiency among minority ethnic populations in the UK</w:t>
      </w:r>
      <w:r w:rsidR="0012046A" w:rsidRPr="00715C4F">
        <w:rPr>
          <w:rFonts w:ascii="Arial" w:hAnsi="Arial" w:cs="Arial"/>
          <w:lang w:eastAsia="en-GB"/>
        </w:rPr>
        <w:t>.</w:t>
      </w:r>
    </w:p>
    <w:p w14:paraId="5BF14F16" w14:textId="3A1A698F" w:rsidR="00DA5FA8" w:rsidRPr="00715C4F" w:rsidRDefault="00DA5FA8" w:rsidP="00F051EC">
      <w:pPr>
        <w:pStyle w:val="Heading3"/>
        <w:rPr>
          <w:lang w:eastAsia="en-GB"/>
        </w:rPr>
      </w:pPr>
      <w:bookmarkStart w:id="57" w:name="_Toc241025909"/>
      <w:r w:rsidRPr="00715C4F">
        <w:rPr>
          <w:lang w:eastAsia="en-GB"/>
        </w:rPr>
        <w:lastRenderedPageBreak/>
        <w:t>3.9.3 Cohort Study – CASP Checklist</w:t>
      </w:r>
      <w:bookmarkEnd w:id="57"/>
    </w:p>
    <w:p w14:paraId="2ABD9D97" w14:textId="0383A225" w:rsidR="00DA5FA8" w:rsidRPr="00715C4F" w:rsidRDefault="00DA5FA8" w:rsidP="00715C4F">
      <w:pPr>
        <w:pStyle w:val="Caption"/>
        <w:keepNext/>
        <w:spacing w:line="360" w:lineRule="auto"/>
        <w:jc w:val="both"/>
        <w:rPr>
          <w:rFonts w:ascii="Arial" w:hAnsi="Arial" w:cs="Arial"/>
          <w:sz w:val="22"/>
          <w:szCs w:val="22"/>
        </w:rPr>
      </w:pPr>
      <w:bookmarkStart w:id="58" w:name="_Toc240929916"/>
      <w:r w:rsidRPr="00715C4F">
        <w:rPr>
          <w:rFonts w:ascii="Arial" w:hAnsi="Arial" w:cs="Arial"/>
          <w:sz w:val="22"/>
          <w:szCs w:val="22"/>
        </w:rPr>
        <w:t xml:space="preserve">Table </w:t>
      </w:r>
      <w:r w:rsidRPr="00715C4F">
        <w:rPr>
          <w:rFonts w:ascii="Arial" w:hAnsi="Arial" w:cs="Arial"/>
          <w:sz w:val="22"/>
          <w:szCs w:val="22"/>
        </w:rPr>
        <w:fldChar w:fldCharType="begin"/>
      </w:r>
      <w:r w:rsidRPr="00715C4F">
        <w:rPr>
          <w:rFonts w:ascii="Arial" w:hAnsi="Arial" w:cs="Arial"/>
          <w:sz w:val="22"/>
          <w:szCs w:val="22"/>
        </w:rPr>
        <w:instrText xml:space="preserve"> SEQ Table \* ARABIC </w:instrText>
      </w:r>
      <w:r w:rsidRPr="00715C4F">
        <w:rPr>
          <w:rFonts w:ascii="Arial" w:hAnsi="Arial" w:cs="Arial"/>
          <w:sz w:val="22"/>
          <w:szCs w:val="22"/>
        </w:rPr>
        <w:fldChar w:fldCharType="separate"/>
      </w:r>
      <w:r w:rsidR="002D1858" w:rsidRPr="00715C4F">
        <w:rPr>
          <w:rFonts w:ascii="Arial" w:hAnsi="Arial" w:cs="Arial"/>
          <w:noProof/>
          <w:sz w:val="22"/>
          <w:szCs w:val="22"/>
        </w:rPr>
        <w:t>6</w:t>
      </w:r>
      <w:r w:rsidRPr="00715C4F">
        <w:rPr>
          <w:rFonts w:ascii="Arial" w:hAnsi="Arial" w:cs="Arial"/>
          <w:sz w:val="22"/>
          <w:szCs w:val="22"/>
        </w:rPr>
        <w:fldChar w:fldCharType="end"/>
      </w:r>
      <w:r w:rsidRPr="00715C4F">
        <w:rPr>
          <w:rFonts w:ascii="Arial" w:hAnsi="Arial" w:cs="Arial"/>
          <w:sz w:val="22"/>
          <w:szCs w:val="22"/>
        </w:rPr>
        <w:t>: Quality assessment of the included cohort study using the CASP Cohort Study Checklist</w:t>
      </w:r>
      <w:bookmarkEnd w:id="58"/>
    </w:p>
    <w:tbl>
      <w:tblPr>
        <w:tblStyle w:val="TableGrid"/>
        <w:tblW w:w="0" w:type="auto"/>
        <w:jc w:val="center"/>
        <w:tblLook w:val="04A0" w:firstRow="1" w:lastRow="0" w:firstColumn="1" w:lastColumn="0" w:noHBand="0" w:noVBand="1"/>
      </w:tblPr>
      <w:tblGrid>
        <w:gridCol w:w="1097"/>
        <w:gridCol w:w="949"/>
        <w:gridCol w:w="1321"/>
        <w:gridCol w:w="1087"/>
        <w:gridCol w:w="1087"/>
        <w:gridCol w:w="1300"/>
        <w:gridCol w:w="1300"/>
        <w:gridCol w:w="992"/>
        <w:gridCol w:w="1014"/>
        <w:gridCol w:w="853"/>
        <w:gridCol w:w="1002"/>
        <w:gridCol w:w="1226"/>
      </w:tblGrid>
      <w:tr w:rsidR="00F734BD" w:rsidRPr="00774D45" w14:paraId="16E34D5A" w14:textId="77777777" w:rsidTr="00D235DC">
        <w:trPr>
          <w:jc w:val="center"/>
        </w:trPr>
        <w:tc>
          <w:tcPr>
            <w:tcW w:w="1324" w:type="dxa"/>
          </w:tcPr>
          <w:p w14:paraId="0430ED13"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Reference</w:t>
            </w:r>
          </w:p>
        </w:tc>
        <w:tc>
          <w:tcPr>
            <w:tcW w:w="984" w:type="dxa"/>
          </w:tcPr>
          <w:p w14:paraId="6403B111"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Focused issue</w:t>
            </w:r>
          </w:p>
        </w:tc>
        <w:tc>
          <w:tcPr>
            <w:tcW w:w="1373" w:type="dxa"/>
          </w:tcPr>
          <w:p w14:paraId="7CACB7BB"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Cohort recruited appropriately</w:t>
            </w:r>
          </w:p>
        </w:tc>
        <w:tc>
          <w:tcPr>
            <w:tcW w:w="1128" w:type="dxa"/>
          </w:tcPr>
          <w:p w14:paraId="091189FB"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Exposure measured accurately</w:t>
            </w:r>
          </w:p>
        </w:tc>
        <w:tc>
          <w:tcPr>
            <w:tcW w:w="1128" w:type="dxa"/>
          </w:tcPr>
          <w:p w14:paraId="00E71E35"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Outcome measured accurately</w:t>
            </w:r>
          </w:p>
        </w:tc>
        <w:tc>
          <w:tcPr>
            <w:tcW w:w="1351" w:type="dxa"/>
          </w:tcPr>
          <w:p w14:paraId="3D7E7753"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Confounding factors identified</w:t>
            </w:r>
          </w:p>
        </w:tc>
        <w:tc>
          <w:tcPr>
            <w:tcW w:w="1351" w:type="dxa"/>
          </w:tcPr>
          <w:p w14:paraId="37B47B1A"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Confounding controlled</w:t>
            </w:r>
          </w:p>
        </w:tc>
        <w:tc>
          <w:tcPr>
            <w:tcW w:w="1028" w:type="dxa"/>
          </w:tcPr>
          <w:p w14:paraId="21E3727C"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Follow-up complete</w:t>
            </w:r>
          </w:p>
        </w:tc>
        <w:tc>
          <w:tcPr>
            <w:tcW w:w="1051" w:type="dxa"/>
          </w:tcPr>
          <w:p w14:paraId="2DABB0F3"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Follow-up adequate</w:t>
            </w:r>
          </w:p>
        </w:tc>
        <w:tc>
          <w:tcPr>
            <w:tcW w:w="883" w:type="dxa"/>
          </w:tcPr>
          <w:p w14:paraId="2EB03312"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Results</w:t>
            </w:r>
          </w:p>
        </w:tc>
        <w:tc>
          <w:tcPr>
            <w:tcW w:w="1039" w:type="dxa"/>
          </w:tcPr>
          <w:p w14:paraId="38A3F662"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Precision</w:t>
            </w:r>
          </w:p>
        </w:tc>
        <w:tc>
          <w:tcPr>
            <w:tcW w:w="1273" w:type="dxa"/>
          </w:tcPr>
          <w:p w14:paraId="052FD3F7"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Applicability</w:t>
            </w:r>
          </w:p>
        </w:tc>
      </w:tr>
      <w:tr w:rsidR="00F734BD" w:rsidRPr="00774D45" w14:paraId="57A0B40C" w14:textId="77777777" w:rsidTr="00D235DC">
        <w:trPr>
          <w:jc w:val="center"/>
        </w:trPr>
        <w:tc>
          <w:tcPr>
            <w:tcW w:w="1324" w:type="dxa"/>
          </w:tcPr>
          <w:p w14:paraId="291B2607" w14:textId="47AFC41E"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Santana et al.</w:t>
            </w:r>
            <w:r w:rsidR="006D5C94" w:rsidRPr="00774D45">
              <w:rPr>
                <w:rFonts w:ascii="Arial" w:hAnsi="Arial" w:cs="Arial"/>
                <w:sz w:val="20"/>
                <w:szCs w:val="20"/>
                <w:lang w:eastAsia="en-GB"/>
              </w:rPr>
              <w:t xml:space="preserve">, </w:t>
            </w:r>
            <w:r w:rsidRPr="00774D45">
              <w:rPr>
                <w:rFonts w:ascii="Arial" w:hAnsi="Arial" w:cs="Arial"/>
                <w:sz w:val="20"/>
                <w:szCs w:val="20"/>
                <w:lang w:eastAsia="en-GB"/>
              </w:rPr>
              <w:t>(2024)</w:t>
            </w:r>
          </w:p>
        </w:tc>
        <w:tc>
          <w:tcPr>
            <w:tcW w:w="984" w:type="dxa"/>
          </w:tcPr>
          <w:p w14:paraId="118E9417"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73" w:type="dxa"/>
          </w:tcPr>
          <w:p w14:paraId="25D3FD04"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128" w:type="dxa"/>
          </w:tcPr>
          <w:p w14:paraId="509E40F1"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128" w:type="dxa"/>
          </w:tcPr>
          <w:p w14:paraId="622E4A1F"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24DE68AC"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0362470F"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28" w:type="dxa"/>
          </w:tcPr>
          <w:p w14:paraId="6C4CC33E"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51" w:type="dxa"/>
          </w:tcPr>
          <w:p w14:paraId="57EB1596"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883" w:type="dxa"/>
          </w:tcPr>
          <w:p w14:paraId="70A80344"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39" w:type="dxa"/>
          </w:tcPr>
          <w:p w14:paraId="7892377E"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73" w:type="dxa"/>
          </w:tcPr>
          <w:p w14:paraId="1C67DD47"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r>
      <w:tr w:rsidR="00F734BD" w:rsidRPr="00774D45" w14:paraId="3C67D5AE" w14:textId="77777777" w:rsidTr="00D235DC">
        <w:trPr>
          <w:jc w:val="center"/>
        </w:trPr>
        <w:tc>
          <w:tcPr>
            <w:tcW w:w="1324" w:type="dxa"/>
          </w:tcPr>
          <w:p w14:paraId="4B282699" w14:textId="71853460" w:rsidR="00F734BD" w:rsidRPr="00774D45" w:rsidRDefault="00752EBE" w:rsidP="00715C4F">
            <w:pPr>
              <w:spacing w:line="360" w:lineRule="auto"/>
              <w:jc w:val="both"/>
              <w:rPr>
                <w:rFonts w:ascii="Arial" w:hAnsi="Arial" w:cs="Arial"/>
                <w:sz w:val="20"/>
                <w:szCs w:val="20"/>
                <w:lang w:eastAsia="en-GB"/>
              </w:rPr>
            </w:pPr>
            <w:proofErr w:type="spellStart"/>
            <w:r w:rsidRPr="00774D45">
              <w:rPr>
                <w:rFonts w:ascii="Arial" w:hAnsi="Arial" w:cs="Arial"/>
                <w:sz w:val="20"/>
                <w:szCs w:val="20"/>
                <w:lang w:eastAsia="en-GB"/>
              </w:rPr>
              <w:t>Högler</w:t>
            </w:r>
            <w:proofErr w:type="spellEnd"/>
            <w:r w:rsidRPr="00774D45">
              <w:rPr>
                <w:rFonts w:ascii="Arial" w:hAnsi="Arial" w:cs="Arial"/>
                <w:sz w:val="20"/>
                <w:szCs w:val="20"/>
                <w:lang w:eastAsia="en-GB"/>
              </w:rPr>
              <w:t xml:space="preserve"> et al.</w:t>
            </w:r>
            <w:r w:rsidR="00A235EE" w:rsidRPr="00774D45">
              <w:rPr>
                <w:rFonts w:ascii="Arial" w:hAnsi="Arial" w:cs="Arial"/>
                <w:sz w:val="20"/>
                <w:szCs w:val="20"/>
                <w:lang w:eastAsia="en-GB"/>
              </w:rPr>
              <w:t>,</w:t>
            </w:r>
            <w:r w:rsidRPr="00774D45">
              <w:rPr>
                <w:rFonts w:ascii="Arial" w:hAnsi="Arial" w:cs="Arial"/>
                <w:sz w:val="20"/>
                <w:szCs w:val="20"/>
                <w:lang w:eastAsia="en-GB"/>
              </w:rPr>
              <w:t xml:space="preserve"> (2022)</w:t>
            </w:r>
          </w:p>
        </w:tc>
        <w:tc>
          <w:tcPr>
            <w:tcW w:w="984" w:type="dxa"/>
          </w:tcPr>
          <w:p w14:paraId="5E5D872F"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73" w:type="dxa"/>
          </w:tcPr>
          <w:p w14:paraId="4517FA7A"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128" w:type="dxa"/>
          </w:tcPr>
          <w:p w14:paraId="43F10372"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128" w:type="dxa"/>
          </w:tcPr>
          <w:p w14:paraId="101E0030"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69F9E7C2"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333CF1C4"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28" w:type="dxa"/>
          </w:tcPr>
          <w:p w14:paraId="4413C272"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51" w:type="dxa"/>
          </w:tcPr>
          <w:p w14:paraId="45176BE0"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883" w:type="dxa"/>
          </w:tcPr>
          <w:p w14:paraId="2E924FC3"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39" w:type="dxa"/>
          </w:tcPr>
          <w:p w14:paraId="3E0AA815"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73" w:type="dxa"/>
          </w:tcPr>
          <w:p w14:paraId="39DF08F8"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r>
      <w:tr w:rsidR="00F734BD" w:rsidRPr="00774D45" w14:paraId="2174D64F" w14:textId="77777777" w:rsidTr="00D235DC">
        <w:trPr>
          <w:jc w:val="center"/>
        </w:trPr>
        <w:tc>
          <w:tcPr>
            <w:tcW w:w="1324" w:type="dxa"/>
          </w:tcPr>
          <w:p w14:paraId="767D47E7" w14:textId="53B730D6" w:rsidR="00F734BD" w:rsidRPr="00774D45" w:rsidRDefault="00752EBE" w:rsidP="00715C4F">
            <w:pPr>
              <w:spacing w:line="360" w:lineRule="auto"/>
              <w:jc w:val="both"/>
              <w:rPr>
                <w:rFonts w:ascii="Arial" w:hAnsi="Arial" w:cs="Arial"/>
                <w:sz w:val="20"/>
                <w:szCs w:val="20"/>
                <w:lang w:eastAsia="en-GB"/>
              </w:rPr>
            </w:pPr>
            <w:proofErr w:type="spellStart"/>
            <w:r w:rsidRPr="00774D45">
              <w:rPr>
                <w:rFonts w:ascii="Arial" w:hAnsi="Arial" w:cs="Arial"/>
                <w:sz w:val="20"/>
                <w:szCs w:val="20"/>
                <w:lang w:eastAsia="en-GB"/>
              </w:rPr>
              <w:t>Shraim</w:t>
            </w:r>
            <w:proofErr w:type="spellEnd"/>
            <w:r w:rsidRPr="00774D45">
              <w:rPr>
                <w:rFonts w:ascii="Arial" w:hAnsi="Arial" w:cs="Arial"/>
                <w:sz w:val="20"/>
                <w:szCs w:val="20"/>
                <w:lang w:eastAsia="en-GB"/>
              </w:rPr>
              <w:t xml:space="preserve"> et al.</w:t>
            </w:r>
            <w:r w:rsidR="006D5C94" w:rsidRPr="00774D45">
              <w:rPr>
                <w:rFonts w:ascii="Arial" w:hAnsi="Arial" w:cs="Arial"/>
                <w:sz w:val="20"/>
                <w:szCs w:val="20"/>
                <w:lang w:eastAsia="en-GB"/>
              </w:rPr>
              <w:t>,</w:t>
            </w:r>
            <w:r w:rsidRPr="00774D45">
              <w:rPr>
                <w:rFonts w:ascii="Arial" w:hAnsi="Arial" w:cs="Arial"/>
                <w:sz w:val="20"/>
                <w:szCs w:val="20"/>
                <w:lang w:eastAsia="en-GB"/>
              </w:rPr>
              <w:t xml:space="preserve"> (2025)</w:t>
            </w:r>
          </w:p>
        </w:tc>
        <w:tc>
          <w:tcPr>
            <w:tcW w:w="984" w:type="dxa"/>
          </w:tcPr>
          <w:p w14:paraId="3F3C6500"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73" w:type="dxa"/>
          </w:tcPr>
          <w:p w14:paraId="0AFB830D"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128" w:type="dxa"/>
          </w:tcPr>
          <w:p w14:paraId="6DDF393A"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128" w:type="dxa"/>
          </w:tcPr>
          <w:p w14:paraId="27A3460E"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3DC354C9"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351" w:type="dxa"/>
          </w:tcPr>
          <w:p w14:paraId="09988AB9"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28" w:type="dxa"/>
          </w:tcPr>
          <w:p w14:paraId="3C0E9DAB"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51" w:type="dxa"/>
          </w:tcPr>
          <w:p w14:paraId="17C38762"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883" w:type="dxa"/>
          </w:tcPr>
          <w:p w14:paraId="432D8169"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039" w:type="dxa"/>
          </w:tcPr>
          <w:p w14:paraId="43CA6592"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c>
          <w:tcPr>
            <w:tcW w:w="1273" w:type="dxa"/>
          </w:tcPr>
          <w:p w14:paraId="46A7765E" w14:textId="77777777" w:rsidR="00F734BD" w:rsidRPr="00774D45" w:rsidRDefault="00F734BD" w:rsidP="00715C4F">
            <w:pPr>
              <w:spacing w:line="360" w:lineRule="auto"/>
              <w:jc w:val="both"/>
              <w:rPr>
                <w:rFonts w:ascii="Arial" w:hAnsi="Arial" w:cs="Arial"/>
                <w:sz w:val="20"/>
                <w:szCs w:val="20"/>
                <w:lang w:eastAsia="en-GB"/>
              </w:rPr>
            </w:pPr>
            <w:r w:rsidRPr="00774D45">
              <w:rPr>
                <w:rFonts w:ascii="Arial" w:hAnsi="Arial" w:cs="Arial"/>
                <w:sz w:val="20"/>
                <w:szCs w:val="20"/>
                <w:lang w:eastAsia="en-GB"/>
              </w:rPr>
              <w:t>Yes</w:t>
            </w:r>
          </w:p>
        </w:tc>
      </w:tr>
    </w:tbl>
    <w:p w14:paraId="77242EA3" w14:textId="77777777" w:rsidR="00F734BD" w:rsidRPr="00715C4F" w:rsidRDefault="00F734BD" w:rsidP="00715C4F">
      <w:pPr>
        <w:spacing w:line="360" w:lineRule="auto"/>
        <w:jc w:val="both"/>
        <w:rPr>
          <w:rFonts w:ascii="Arial" w:hAnsi="Arial" w:cs="Arial"/>
          <w:lang w:eastAsia="en-GB"/>
        </w:rPr>
      </w:pPr>
    </w:p>
    <w:p w14:paraId="2D2823C5" w14:textId="2A0DFE39" w:rsidR="000A5D2B" w:rsidRPr="00715C4F" w:rsidRDefault="00F734BD" w:rsidP="00715C4F">
      <w:pPr>
        <w:spacing w:line="360" w:lineRule="auto"/>
        <w:jc w:val="both"/>
        <w:rPr>
          <w:rFonts w:ascii="Arial" w:hAnsi="Arial" w:cs="Arial"/>
          <w:lang w:eastAsia="en-GB"/>
        </w:rPr>
      </w:pPr>
      <w:r w:rsidRPr="00715C4F">
        <w:rPr>
          <w:rFonts w:ascii="Arial" w:hAnsi="Arial" w:cs="Arial"/>
          <w:lang w:eastAsia="en-GB"/>
        </w:rPr>
        <w:t>The three</w:t>
      </w:r>
      <w:r w:rsidRPr="00715C4F">
        <w:rPr>
          <w:rFonts w:ascii="Arial" w:hAnsi="Arial" w:cs="Arial"/>
        </w:rPr>
        <w:t xml:space="preserve"> </w:t>
      </w:r>
      <w:r w:rsidRPr="00715C4F">
        <w:rPr>
          <w:rFonts w:ascii="Arial" w:hAnsi="Arial" w:cs="Arial"/>
          <w:lang w:eastAsia="en-GB"/>
        </w:rPr>
        <w:t>Cohort Study</w:t>
      </w:r>
      <w:r w:rsidR="000F6576" w:rsidRPr="00715C4F">
        <w:rPr>
          <w:rFonts w:ascii="Arial" w:hAnsi="Arial" w:cs="Arial"/>
          <w:lang w:eastAsia="en-GB"/>
        </w:rPr>
        <w:t xml:space="preserve"> was assessed using the CASP Cohort Study Checklist because the study employed a longitudinal cohort design. The study addressed a clearly focused research issue and recruited an appropriate cohort for investigating the relationship between residential greenness, lifestyle and vitamin D status. Exposure and outcome measurements were appropriately considered, while potential confounding factors were identified and addressed. The longitudinal nature of the study provided an advantage over cross-sectional designs by allowing changes in exposure and vitamin D status to be examined over time. Overall, the study was considered methodologically appropriate and provided useful evidence regarding determinants of vitamin D status among South Asian-origin and Caucasian women living in the UK.</w:t>
      </w:r>
    </w:p>
    <w:p w14:paraId="61A3B493" w14:textId="2EEBFDFD" w:rsidR="0009334E" w:rsidRPr="00715C4F" w:rsidRDefault="0009334E" w:rsidP="00F051EC">
      <w:pPr>
        <w:pStyle w:val="Heading3"/>
        <w:rPr>
          <w:lang w:eastAsia="en-GB"/>
        </w:rPr>
      </w:pPr>
      <w:bookmarkStart w:id="59" w:name="_Toc241025910"/>
      <w:r w:rsidRPr="00715C4F">
        <w:rPr>
          <w:lang w:eastAsia="en-GB"/>
        </w:rPr>
        <w:lastRenderedPageBreak/>
        <w:t>3.9.4 Case-Control Study – CASP Checklist</w:t>
      </w:r>
      <w:bookmarkEnd w:id="59"/>
    </w:p>
    <w:p w14:paraId="156B51B1" w14:textId="221B18AC" w:rsidR="0009334E" w:rsidRPr="00715C4F" w:rsidRDefault="0009334E" w:rsidP="00715C4F">
      <w:pPr>
        <w:pStyle w:val="Caption"/>
        <w:keepNext/>
        <w:spacing w:line="360" w:lineRule="auto"/>
        <w:jc w:val="both"/>
        <w:rPr>
          <w:rFonts w:ascii="Arial" w:hAnsi="Arial" w:cs="Arial"/>
          <w:sz w:val="22"/>
          <w:szCs w:val="22"/>
        </w:rPr>
      </w:pPr>
      <w:bookmarkStart w:id="60" w:name="_Toc240929917"/>
      <w:r w:rsidRPr="00715C4F">
        <w:rPr>
          <w:rFonts w:ascii="Arial" w:hAnsi="Arial" w:cs="Arial"/>
          <w:sz w:val="22"/>
          <w:szCs w:val="22"/>
        </w:rPr>
        <w:t xml:space="preserve">Table </w:t>
      </w:r>
      <w:r w:rsidRPr="00715C4F">
        <w:rPr>
          <w:rFonts w:ascii="Arial" w:hAnsi="Arial" w:cs="Arial"/>
          <w:sz w:val="22"/>
          <w:szCs w:val="22"/>
        </w:rPr>
        <w:fldChar w:fldCharType="begin"/>
      </w:r>
      <w:r w:rsidRPr="00715C4F">
        <w:rPr>
          <w:rFonts w:ascii="Arial" w:hAnsi="Arial" w:cs="Arial"/>
          <w:sz w:val="22"/>
          <w:szCs w:val="22"/>
        </w:rPr>
        <w:instrText xml:space="preserve"> SEQ Table \* ARABIC </w:instrText>
      </w:r>
      <w:r w:rsidRPr="00715C4F">
        <w:rPr>
          <w:rFonts w:ascii="Arial" w:hAnsi="Arial" w:cs="Arial"/>
          <w:sz w:val="22"/>
          <w:szCs w:val="22"/>
        </w:rPr>
        <w:fldChar w:fldCharType="separate"/>
      </w:r>
      <w:r w:rsidR="002D1858" w:rsidRPr="00715C4F">
        <w:rPr>
          <w:rFonts w:ascii="Arial" w:hAnsi="Arial" w:cs="Arial"/>
          <w:noProof/>
          <w:sz w:val="22"/>
          <w:szCs w:val="22"/>
        </w:rPr>
        <w:t>7</w:t>
      </w:r>
      <w:r w:rsidRPr="00715C4F">
        <w:rPr>
          <w:rFonts w:ascii="Arial" w:hAnsi="Arial" w:cs="Arial"/>
          <w:sz w:val="22"/>
          <w:szCs w:val="22"/>
        </w:rPr>
        <w:fldChar w:fldCharType="end"/>
      </w:r>
      <w:r w:rsidRPr="00715C4F">
        <w:rPr>
          <w:rFonts w:ascii="Arial" w:hAnsi="Arial" w:cs="Arial"/>
          <w:sz w:val="22"/>
          <w:szCs w:val="22"/>
        </w:rPr>
        <w:t>: Quality assessment of the included case-control study using the CASP Case-Control Study Checklist</w:t>
      </w:r>
      <w:bookmarkEnd w:id="60"/>
    </w:p>
    <w:tbl>
      <w:tblPr>
        <w:tblStyle w:val="TableGrid"/>
        <w:tblW w:w="0" w:type="auto"/>
        <w:jc w:val="center"/>
        <w:tblLook w:val="04A0" w:firstRow="1" w:lastRow="0" w:firstColumn="1" w:lastColumn="0" w:noHBand="0" w:noVBand="1"/>
      </w:tblPr>
      <w:tblGrid>
        <w:gridCol w:w="1345"/>
        <w:gridCol w:w="984"/>
        <w:gridCol w:w="1373"/>
        <w:gridCol w:w="1373"/>
        <w:gridCol w:w="1128"/>
        <w:gridCol w:w="1351"/>
        <w:gridCol w:w="1351"/>
        <w:gridCol w:w="1128"/>
        <w:gridCol w:w="883"/>
        <w:gridCol w:w="1039"/>
        <w:gridCol w:w="1273"/>
      </w:tblGrid>
      <w:tr w:rsidR="002D7AF6" w:rsidRPr="008D4296" w14:paraId="36A51A64" w14:textId="77777777" w:rsidTr="00D235DC">
        <w:trPr>
          <w:jc w:val="center"/>
        </w:trPr>
        <w:tc>
          <w:tcPr>
            <w:tcW w:w="1684" w:type="dxa"/>
          </w:tcPr>
          <w:p w14:paraId="741E803B"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Reference</w:t>
            </w:r>
          </w:p>
        </w:tc>
        <w:tc>
          <w:tcPr>
            <w:tcW w:w="984" w:type="dxa"/>
          </w:tcPr>
          <w:p w14:paraId="512A596F"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Focused issue</w:t>
            </w:r>
          </w:p>
        </w:tc>
        <w:tc>
          <w:tcPr>
            <w:tcW w:w="1373" w:type="dxa"/>
          </w:tcPr>
          <w:p w14:paraId="60B5D6DB"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Cases recruited appropriately</w:t>
            </w:r>
          </w:p>
        </w:tc>
        <w:tc>
          <w:tcPr>
            <w:tcW w:w="1373" w:type="dxa"/>
          </w:tcPr>
          <w:p w14:paraId="3B00801A"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Controls recruited appropriately</w:t>
            </w:r>
          </w:p>
        </w:tc>
        <w:tc>
          <w:tcPr>
            <w:tcW w:w="1128" w:type="dxa"/>
          </w:tcPr>
          <w:p w14:paraId="1D3F388B"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Exposure measured accurately</w:t>
            </w:r>
          </w:p>
        </w:tc>
        <w:tc>
          <w:tcPr>
            <w:tcW w:w="1351" w:type="dxa"/>
          </w:tcPr>
          <w:p w14:paraId="1D68F0D5"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Confounding factors identified</w:t>
            </w:r>
          </w:p>
        </w:tc>
        <w:tc>
          <w:tcPr>
            <w:tcW w:w="1351" w:type="dxa"/>
          </w:tcPr>
          <w:p w14:paraId="5DEBE807"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Confounding controlled</w:t>
            </w:r>
          </w:p>
        </w:tc>
        <w:tc>
          <w:tcPr>
            <w:tcW w:w="1128" w:type="dxa"/>
          </w:tcPr>
          <w:p w14:paraId="3E314DC7"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Outcomes measured accurately</w:t>
            </w:r>
          </w:p>
        </w:tc>
        <w:tc>
          <w:tcPr>
            <w:tcW w:w="883" w:type="dxa"/>
          </w:tcPr>
          <w:p w14:paraId="0481A117"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Results</w:t>
            </w:r>
          </w:p>
        </w:tc>
        <w:tc>
          <w:tcPr>
            <w:tcW w:w="1039" w:type="dxa"/>
          </w:tcPr>
          <w:p w14:paraId="7C0DA201"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Precision</w:t>
            </w:r>
          </w:p>
        </w:tc>
        <w:tc>
          <w:tcPr>
            <w:tcW w:w="1273" w:type="dxa"/>
          </w:tcPr>
          <w:p w14:paraId="320CF879"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Applicability</w:t>
            </w:r>
          </w:p>
        </w:tc>
      </w:tr>
      <w:tr w:rsidR="002D7AF6" w:rsidRPr="008D4296" w14:paraId="04EAE514" w14:textId="77777777" w:rsidTr="00D235DC">
        <w:trPr>
          <w:jc w:val="center"/>
        </w:trPr>
        <w:tc>
          <w:tcPr>
            <w:tcW w:w="1684" w:type="dxa"/>
          </w:tcPr>
          <w:p w14:paraId="76F23F66" w14:textId="51F5AD4A" w:rsidR="002D7AF6" w:rsidRPr="008D4296" w:rsidRDefault="00713B46" w:rsidP="00715C4F">
            <w:pPr>
              <w:spacing w:line="360" w:lineRule="auto"/>
              <w:jc w:val="both"/>
              <w:rPr>
                <w:rFonts w:ascii="Arial" w:hAnsi="Arial" w:cs="Arial"/>
                <w:sz w:val="20"/>
                <w:szCs w:val="20"/>
                <w:lang w:eastAsia="en-GB"/>
              </w:rPr>
            </w:pPr>
            <w:proofErr w:type="spellStart"/>
            <w:r w:rsidRPr="008D4296">
              <w:rPr>
                <w:rFonts w:ascii="Arial" w:hAnsi="Arial" w:cs="Arial"/>
                <w:sz w:val="20"/>
                <w:szCs w:val="20"/>
                <w:lang w:eastAsia="en-GB"/>
              </w:rPr>
              <w:t>Bournot</w:t>
            </w:r>
            <w:proofErr w:type="spellEnd"/>
            <w:r w:rsidRPr="008D4296">
              <w:rPr>
                <w:rFonts w:ascii="Arial" w:hAnsi="Arial" w:cs="Arial"/>
                <w:sz w:val="20"/>
                <w:szCs w:val="20"/>
                <w:lang w:eastAsia="en-GB"/>
              </w:rPr>
              <w:t xml:space="preserve"> </w:t>
            </w:r>
            <w:r w:rsidR="002D7AF6" w:rsidRPr="008D4296">
              <w:rPr>
                <w:rFonts w:ascii="Arial" w:hAnsi="Arial" w:cs="Arial"/>
                <w:sz w:val="20"/>
                <w:szCs w:val="20"/>
                <w:lang w:eastAsia="en-GB"/>
              </w:rPr>
              <w:t>et al.</w:t>
            </w:r>
            <w:r w:rsidR="006D5C94" w:rsidRPr="008D4296">
              <w:rPr>
                <w:rFonts w:ascii="Arial" w:hAnsi="Arial" w:cs="Arial"/>
                <w:sz w:val="20"/>
                <w:szCs w:val="20"/>
                <w:lang w:eastAsia="en-GB"/>
              </w:rPr>
              <w:t xml:space="preserve">, </w:t>
            </w:r>
            <w:r w:rsidR="002D7AF6" w:rsidRPr="008D4296">
              <w:rPr>
                <w:rFonts w:ascii="Arial" w:hAnsi="Arial" w:cs="Arial"/>
                <w:sz w:val="20"/>
                <w:szCs w:val="20"/>
                <w:lang w:eastAsia="en-GB"/>
              </w:rPr>
              <w:t>(2026)</w:t>
            </w:r>
          </w:p>
        </w:tc>
        <w:tc>
          <w:tcPr>
            <w:tcW w:w="984" w:type="dxa"/>
          </w:tcPr>
          <w:p w14:paraId="46771A6D"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373" w:type="dxa"/>
          </w:tcPr>
          <w:p w14:paraId="623D9080"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373" w:type="dxa"/>
          </w:tcPr>
          <w:p w14:paraId="6EDD7496"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128" w:type="dxa"/>
          </w:tcPr>
          <w:p w14:paraId="40CE8286"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351" w:type="dxa"/>
          </w:tcPr>
          <w:p w14:paraId="4D721509"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351" w:type="dxa"/>
          </w:tcPr>
          <w:p w14:paraId="2C9DE99D"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128" w:type="dxa"/>
          </w:tcPr>
          <w:p w14:paraId="411802BA"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883" w:type="dxa"/>
          </w:tcPr>
          <w:p w14:paraId="512D797A"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039" w:type="dxa"/>
          </w:tcPr>
          <w:p w14:paraId="589A2A57"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273" w:type="dxa"/>
          </w:tcPr>
          <w:p w14:paraId="2D573076"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r>
      <w:tr w:rsidR="002D7AF6" w:rsidRPr="008D4296" w14:paraId="71F74CDA" w14:textId="77777777" w:rsidTr="00D235DC">
        <w:trPr>
          <w:jc w:val="center"/>
        </w:trPr>
        <w:tc>
          <w:tcPr>
            <w:tcW w:w="1684" w:type="dxa"/>
          </w:tcPr>
          <w:p w14:paraId="4262EB4F" w14:textId="2876036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Mansour et al.</w:t>
            </w:r>
            <w:r w:rsidR="006D5C94" w:rsidRPr="008D4296">
              <w:rPr>
                <w:rFonts w:ascii="Arial" w:hAnsi="Arial" w:cs="Arial"/>
                <w:sz w:val="20"/>
                <w:szCs w:val="20"/>
                <w:lang w:eastAsia="en-GB"/>
              </w:rPr>
              <w:t xml:space="preserve">, </w:t>
            </w:r>
            <w:r w:rsidRPr="008D4296">
              <w:rPr>
                <w:rFonts w:ascii="Arial" w:hAnsi="Arial" w:cs="Arial"/>
                <w:sz w:val="20"/>
                <w:szCs w:val="20"/>
                <w:lang w:eastAsia="en-GB"/>
              </w:rPr>
              <w:t>(2023)</w:t>
            </w:r>
          </w:p>
        </w:tc>
        <w:tc>
          <w:tcPr>
            <w:tcW w:w="984" w:type="dxa"/>
          </w:tcPr>
          <w:p w14:paraId="67EA14A2"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373" w:type="dxa"/>
          </w:tcPr>
          <w:p w14:paraId="1A266A03"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373" w:type="dxa"/>
          </w:tcPr>
          <w:p w14:paraId="4EBDC2CA"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128" w:type="dxa"/>
          </w:tcPr>
          <w:p w14:paraId="60E6A715"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351" w:type="dxa"/>
          </w:tcPr>
          <w:p w14:paraId="0BA4B975"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351" w:type="dxa"/>
          </w:tcPr>
          <w:p w14:paraId="496B7566"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128" w:type="dxa"/>
          </w:tcPr>
          <w:p w14:paraId="3A83B73A"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883" w:type="dxa"/>
          </w:tcPr>
          <w:p w14:paraId="6A18F87F"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039" w:type="dxa"/>
          </w:tcPr>
          <w:p w14:paraId="5B020477"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c>
          <w:tcPr>
            <w:tcW w:w="1273" w:type="dxa"/>
          </w:tcPr>
          <w:p w14:paraId="77722B62" w14:textId="77777777" w:rsidR="002D7AF6" w:rsidRPr="008D4296" w:rsidRDefault="002D7AF6" w:rsidP="00715C4F">
            <w:pPr>
              <w:spacing w:line="360" w:lineRule="auto"/>
              <w:jc w:val="both"/>
              <w:rPr>
                <w:rFonts w:ascii="Arial" w:hAnsi="Arial" w:cs="Arial"/>
                <w:sz w:val="20"/>
                <w:szCs w:val="20"/>
                <w:lang w:eastAsia="en-GB"/>
              </w:rPr>
            </w:pPr>
            <w:r w:rsidRPr="008D4296">
              <w:rPr>
                <w:rFonts w:ascii="Arial" w:hAnsi="Arial" w:cs="Arial"/>
                <w:sz w:val="20"/>
                <w:szCs w:val="20"/>
                <w:lang w:eastAsia="en-GB"/>
              </w:rPr>
              <w:t>Yes</w:t>
            </w:r>
          </w:p>
        </w:tc>
      </w:tr>
    </w:tbl>
    <w:p w14:paraId="27267351" w14:textId="77777777" w:rsidR="002D7AF6" w:rsidRPr="00715C4F" w:rsidRDefault="002D7AF6" w:rsidP="00715C4F">
      <w:pPr>
        <w:spacing w:line="360" w:lineRule="auto"/>
        <w:jc w:val="both"/>
        <w:rPr>
          <w:rFonts w:ascii="Arial" w:hAnsi="Arial" w:cs="Arial"/>
          <w:lang w:eastAsia="en-GB"/>
        </w:rPr>
      </w:pPr>
    </w:p>
    <w:p w14:paraId="6E21DFBA" w14:textId="2647D1DD" w:rsidR="0012046A" w:rsidRPr="00715C4F" w:rsidRDefault="002D7AF6" w:rsidP="00715C4F">
      <w:pPr>
        <w:spacing w:line="360" w:lineRule="auto"/>
        <w:jc w:val="both"/>
        <w:rPr>
          <w:rFonts w:ascii="Arial" w:hAnsi="Arial" w:cs="Arial"/>
          <w:lang w:eastAsia="en-GB"/>
        </w:rPr>
      </w:pPr>
      <w:r w:rsidRPr="00715C4F">
        <w:rPr>
          <w:rFonts w:ascii="Arial" w:hAnsi="Arial" w:cs="Arial"/>
          <w:lang w:eastAsia="en-GB"/>
        </w:rPr>
        <w:t>The two</w:t>
      </w:r>
      <w:r w:rsidRPr="00715C4F">
        <w:rPr>
          <w:rFonts w:ascii="Arial" w:hAnsi="Arial" w:cs="Arial"/>
        </w:rPr>
        <w:t xml:space="preserve"> </w:t>
      </w:r>
      <w:r w:rsidRPr="00715C4F">
        <w:rPr>
          <w:rFonts w:ascii="Arial" w:hAnsi="Arial" w:cs="Arial"/>
          <w:lang w:eastAsia="en-GB"/>
        </w:rPr>
        <w:t>Case-Control Study was</w:t>
      </w:r>
      <w:r w:rsidR="000A5D2B" w:rsidRPr="00715C4F">
        <w:rPr>
          <w:rFonts w:ascii="Arial" w:hAnsi="Arial" w:cs="Arial"/>
          <w:lang w:eastAsia="en-GB"/>
        </w:rPr>
        <w:t xml:space="preserve"> critically appraised using the CASP Case-Control Study Checklist. The study addressed a clearly focused issue concerning serum 25-hydroxyvitamin D status and respiratory tract infections requiring hospital admission across ethnic groups in the UK Biobank cohort. The selection of cases and controls, measurement of exposure and outcomes, and consideration of potential confounding factors were assessed as appropriate. The findings were considered relevant to the review because the study provides evidence concerning vitamin D status in relation to ethnicity and health outcomes within a UK population. However, as a case-control design, the study can identify associations but cannot by itself establish a definitive causal relationship</w:t>
      </w:r>
      <w:r w:rsidR="0012046A" w:rsidRPr="00715C4F">
        <w:rPr>
          <w:rFonts w:ascii="Arial" w:hAnsi="Arial" w:cs="Arial"/>
          <w:lang w:eastAsia="en-GB"/>
        </w:rPr>
        <w:t>.</w:t>
      </w:r>
    </w:p>
    <w:p w14:paraId="7D3BFA51" w14:textId="77777777" w:rsidR="0012046A" w:rsidRPr="00715C4F" w:rsidRDefault="0012046A" w:rsidP="0022637B">
      <w:pPr>
        <w:pStyle w:val="Heading2"/>
        <w:rPr>
          <w:lang w:eastAsia="en-GB"/>
        </w:rPr>
      </w:pPr>
      <w:bookmarkStart w:id="61" w:name="_Toc241025911"/>
      <w:r w:rsidRPr="00715C4F">
        <w:rPr>
          <w:lang w:eastAsia="en-GB"/>
        </w:rPr>
        <w:t>3.10 Data Extraction</w:t>
      </w:r>
      <w:bookmarkEnd w:id="61"/>
    </w:p>
    <w:p w14:paraId="3D14EAB9" w14:textId="6B083DC4" w:rsidR="00161722" w:rsidRDefault="0012046A" w:rsidP="00DE7DB3">
      <w:pPr>
        <w:spacing w:line="360" w:lineRule="auto"/>
        <w:jc w:val="both"/>
        <w:rPr>
          <w:rFonts w:ascii="Arial" w:hAnsi="Arial" w:cs="Arial"/>
          <w:lang w:eastAsia="en-GB"/>
        </w:rPr>
        <w:sectPr w:rsidR="00161722" w:rsidSect="000F32B8">
          <w:pgSz w:w="16838" w:h="11906" w:orient="landscape"/>
          <w:pgMar w:top="1440" w:right="1800" w:bottom="1440" w:left="1800" w:header="706" w:footer="706" w:gutter="0"/>
          <w:cols w:space="708"/>
          <w:docGrid w:linePitch="360"/>
        </w:sectPr>
      </w:pPr>
      <w:r w:rsidRPr="00715C4F">
        <w:rPr>
          <w:rFonts w:ascii="Arial" w:hAnsi="Arial" w:cs="Arial"/>
          <w:lang w:eastAsia="en-GB"/>
        </w:rPr>
        <w:t>Data extraction involves systematically gathering the information from each study included that is relevant to the research questions, and identifying this information in a standardised way on a predefined data extraction form (</w:t>
      </w:r>
      <w:proofErr w:type="spellStart"/>
      <w:r w:rsidRPr="00715C4F">
        <w:rPr>
          <w:rFonts w:ascii="Arial" w:hAnsi="Arial" w:cs="Arial"/>
          <w:lang w:eastAsia="en-GB"/>
        </w:rPr>
        <w:t>Aromataris</w:t>
      </w:r>
      <w:proofErr w:type="spellEnd"/>
      <w:r w:rsidRPr="00715C4F">
        <w:rPr>
          <w:rFonts w:ascii="Arial" w:hAnsi="Arial" w:cs="Arial"/>
          <w:lang w:eastAsia="en-GB"/>
        </w:rPr>
        <w:t xml:space="preserve"> and Munn, 2020). A data extraction template will be created to provide a structured format for extracting information from all eligible studies. The information extracted will help to compare the studies and aid in thematic synthesis of the evidence on prevalence and risk factors associated with vitamin D deficiency to ethnic minority groups in the</w:t>
      </w:r>
      <w:r w:rsidR="00966202">
        <w:rPr>
          <w:rFonts w:ascii="Arial" w:hAnsi="Arial" w:cs="Arial"/>
          <w:lang w:eastAsia="en-GB"/>
        </w:rPr>
        <w:t xml:space="preserve"> UK</w:t>
      </w:r>
      <w:r w:rsidRPr="00715C4F">
        <w:rPr>
          <w:rFonts w:ascii="Arial" w:hAnsi="Arial" w:cs="Arial"/>
          <w:lang w:eastAsia="en-GB"/>
        </w:rPr>
        <w:t>. The final data extraction table will be shared along with</w:t>
      </w:r>
      <w:r w:rsidR="0064535A">
        <w:rPr>
          <w:rFonts w:ascii="Arial" w:hAnsi="Arial" w:cs="Arial"/>
          <w:lang w:eastAsia="en-GB"/>
        </w:rPr>
        <w:t xml:space="preserve"> the review results in Chapter </w:t>
      </w:r>
      <w:r w:rsidR="00C16085">
        <w:rPr>
          <w:rFonts w:ascii="Arial" w:hAnsi="Arial" w:cs="Arial"/>
          <w:lang w:eastAsia="en-GB"/>
        </w:rPr>
        <w:t>F</w:t>
      </w:r>
      <w:r w:rsidR="0064535A">
        <w:rPr>
          <w:rFonts w:ascii="Arial" w:hAnsi="Arial" w:cs="Arial"/>
          <w:lang w:eastAsia="en-GB"/>
        </w:rPr>
        <w:t>our</w:t>
      </w:r>
      <w:r w:rsidR="000842A6" w:rsidRPr="00715C4F">
        <w:rPr>
          <w:rFonts w:ascii="Arial" w:hAnsi="Arial" w:cs="Arial"/>
          <w:lang w:eastAsia="en-GB"/>
        </w:rPr>
        <w:t>.</w:t>
      </w:r>
    </w:p>
    <w:p w14:paraId="6339FD92" w14:textId="77777777" w:rsidR="000842A6" w:rsidRPr="00715C4F" w:rsidRDefault="000842A6" w:rsidP="0022637B">
      <w:pPr>
        <w:pStyle w:val="Heading2"/>
        <w:rPr>
          <w:lang w:eastAsia="en-GB"/>
        </w:rPr>
      </w:pPr>
      <w:bookmarkStart w:id="62" w:name="_Toc241025912"/>
      <w:r w:rsidRPr="00715C4F">
        <w:rPr>
          <w:lang w:eastAsia="en-GB"/>
        </w:rPr>
        <w:lastRenderedPageBreak/>
        <w:t>3.11 Data Synthesis</w:t>
      </w:r>
      <w:bookmarkEnd w:id="62"/>
    </w:p>
    <w:p w14:paraId="42C1A78D" w14:textId="7DB6C044" w:rsidR="000842A6" w:rsidRPr="00715C4F" w:rsidRDefault="000842A6" w:rsidP="00715C4F">
      <w:pPr>
        <w:spacing w:line="360" w:lineRule="auto"/>
        <w:jc w:val="both"/>
        <w:rPr>
          <w:rFonts w:ascii="Arial" w:hAnsi="Arial" w:cs="Arial"/>
          <w:lang w:eastAsia="en-GB"/>
        </w:rPr>
      </w:pPr>
      <w:r w:rsidRPr="00715C4F">
        <w:rPr>
          <w:rFonts w:ascii="Arial" w:hAnsi="Arial" w:cs="Arial"/>
          <w:lang w:eastAsia="en-GB"/>
        </w:rPr>
        <w:t>Data synthesis involves the systematic incorporation and interpretation of the results of studies included in the review to answer the research question (Braun and Clarke, 2021). Given the expected range of methodology and outcome measures in the studies included in this review, it is not possible to conduct a meta-analysis, rather a thematic synthesis will be attempted using a narrative approach. This is suitable because it allows for the systematic synthesis of evidence from quantitative, qualitative and mixed-methods studies</w:t>
      </w:r>
      <w:r w:rsidR="00D61487">
        <w:rPr>
          <w:rFonts w:ascii="Arial" w:hAnsi="Arial" w:cs="Arial"/>
          <w:lang w:eastAsia="en-GB"/>
        </w:rPr>
        <w:t xml:space="preserve">. </w:t>
      </w:r>
    </w:p>
    <w:p w14:paraId="6C5C9932" w14:textId="5E1C84F6" w:rsidR="00C30387" w:rsidRDefault="000842A6" w:rsidP="00C30387">
      <w:pPr>
        <w:spacing w:before="240" w:line="360" w:lineRule="auto"/>
        <w:jc w:val="both"/>
        <w:rPr>
          <w:lang w:eastAsia="en-GB"/>
        </w:rPr>
      </w:pPr>
      <w:r w:rsidRPr="00715C4F">
        <w:rPr>
          <w:rFonts w:ascii="Arial" w:hAnsi="Arial" w:cs="Arial"/>
          <w:lang w:eastAsia="en-GB"/>
        </w:rPr>
        <w:t>The thematic analysis of the synthesis will be conducted following the six steps proposed by Braun and Clarke (2021): familiarisation with the data, initial coding, identification of themes, review</w:t>
      </w:r>
      <w:r w:rsidR="00713B46" w:rsidRPr="00715C4F">
        <w:rPr>
          <w:rFonts w:ascii="Arial" w:hAnsi="Arial" w:cs="Arial"/>
          <w:lang w:eastAsia="en-GB"/>
        </w:rPr>
        <w:t>s</w:t>
      </w:r>
      <w:r w:rsidRPr="00715C4F">
        <w:rPr>
          <w:rFonts w:ascii="Arial" w:hAnsi="Arial" w:cs="Arial"/>
          <w:lang w:eastAsia="en-GB"/>
        </w:rPr>
        <w:t xml:space="preserve"> of themes, themes definition and naming, generation of the final narrative synthesis. Findings will be arranged by the review goals, such as: Prevalence, Demographic determinants, Cultural/Lifestyle determinants, and Socio</w:t>
      </w:r>
      <w:r w:rsidR="00713B46" w:rsidRPr="00715C4F">
        <w:rPr>
          <w:rFonts w:ascii="Arial" w:hAnsi="Arial" w:cs="Arial"/>
          <w:lang w:eastAsia="en-GB"/>
        </w:rPr>
        <w:t>-</w:t>
      </w:r>
      <w:r w:rsidRPr="00715C4F">
        <w:rPr>
          <w:rFonts w:ascii="Arial" w:hAnsi="Arial" w:cs="Arial"/>
          <w:lang w:eastAsia="en-GB"/>
        </w:rPr>
        <w:t>economic determinants. Where there is similarity, difference and inconsistent outcomes across the studies, they will be c</w:t>
      </w:r>
      <w:r w:rsidR="0058439A" w:rsidRPr="00715C4F">
        <w:rPr>
          <w:rFonts w:ascii="Arial" w:hAnsi="Arial" w:cs="Arial"/>
          <w:lang w:eastAsia="en-GB"/>
        </w:rPr>
        <w:t>ritically analysed to generate</w:t>
      </w:r>
      <w:r w:rsidRPr="00715C4F">
        <w:rPr>
          <w:rFonts w:ascii="Arial" w:hAnsi="Arial" w:cs="Arial"/>
          <w:lang w:eastAsia="en-GB"/>
        </w:rPr>
        <w:t xml:space="preserve"> synthesis of available evidence that is </w:t>
      </w:r>
      <w:r w:rsidR="009220E4" w:rsidRPr="00715C4F">
        <w:rPr>
          <w:rFonts w:ascii="Arial" w:hAnsi="Arial" w:cs="Arial"/>
          <w:lang w:eastAsia="en-GB"/>
        </w:rPr>
        <w:t>compr</w:t>
      </w:r>
      <w:r w:rsidR="00400CB3" w:rsidRPr="00715C4F">
        <w:rPr>
          <w:rFonts w:ascii="Arial" w:hAnsi="Arial" w:cs="Arial"/>
          <w:lang w:eastAsia="en-GB"/>
        </w:rPr>
        <w:t>ehensive.</w:t>
      </w:r>
      <w:bookmarkStart w:id="63" w:name="_Toc236859079"/>
      <w:bookmarkEnd w:id="56"/>
      <w:r w:rsidR="00DE7DB3">
        <w:rPr>
          <w:rFonts w:ascii="Arial" w:hAnsi="Arial" w:cs="Arial"/>
          <w:lang w:eastAsia="en-GB"/>
        </w:rPr>
        <w:t xml:space="preserve"> </w:t>
      </w:r>
      <w:r w:rsidR="00C30387">
        <w:rPr>
          <w:lang w:eastAsia="en-GB"/>
        </w:rPr>
        <w:t xml:space="preserve"> </w:t>
      </w:r>
    </w:p>
    <w:p w14:paraId="6D98ADF0" w14:textId="6E89DB2D" w:rsidR="00786346" w:rsidRPr="00715C4F" w:rsidRDefault="00786346" w:rsidP="0022637B">
      <w:pPr>
        <w:pStyle w:val="Heading2"/>
        <w:rPr>
          <w:lang w:eastAsia="en-GB"/>
        </w:rPr>
      </w:pPr>
      <w:bookmarkStart w:id="64" w:name="_Toc241025913"/>
      <w:r w:rsidRPr="00715C4F">
        <w:rPr>
          <w:lang w:eastAsia="en-GB"/>
        </w:rPr>
        <w:t>3.12 Limitations and Risk of Bias</w:t>
      </w:r>
      <w:bookmarkEnd w:id="63"/>
      <w:bookmarkEnd w:id="64"/>
    </w:p>
    <w:p w14:paraId="1555CAFF" w14:textId="77777777" w:rsidR="00786346" w:rsidRPr="00715C4F" w:rsidRDefault="00786346" w:rsidP="00715C4F">
      <w:pPr>
        <w:spacing w:line="360" w:lineRule="auto"/>
        <w:jc w:val="both"/>
        <w:rPr>
          <w:rFonts w:ascii="Arial" w:hAnsi="Arial" w:cs="Arial"/>
          <w:lang w:eastAsia="en-GB"/>
        </w:rPr>
      </w:pPr>
      <w:r w:rsidRPr="00715C4F">
        <w:rPr>
          <w:rFonts w:ascii="Arial" w:hAnsi="Arial" w:cs="Arial"/>
          <w:lang w:eastAsia="en-GB"/>
        </w:rPr>
        <w:t>There are a number of potential limitations that could affect the results of this systematic review. A search conducted in English may lead to language bias and publication bias may occur as studies with statistically significant results are likely to be published. There might also be some heterogeneity across the included studies due to differences in study design, study population, measurement of vitamin D status, and reporting of outcomes. To reduce such restrictions, a thorough search strategy, eligibility criteria and quality appraisal will be used. However, final recommendations from the review will continue to be based on the quality and quantity of available evidence.</w:t>
      </w:r>
    </w:p>
    <w:p w14:paraId="17596764" w14:textId="77777777" w:rsidR="00786346" w:rsidRPr="00715C4F" w:rsidRDefault="00786346" w:rsidP="0022637B">
      <w:pPr>
        <w:pStyle w:val="Heading2"/>
        <w:rPr>
          <w:lang w:eastAsia="en-GB"/>
        </w:rPr>
      </w:pPr>
      <w:bookmarkStart w:id="65" w:name="_Toc236859080"/>
      <w:bookmarkStart w:id="66" w:name="_Toc241025914"/>
      <w:r w:rsidRPr="00715C4F">
        <w:rPr>
          <w:lang w:eastAsia="en-GB"/>
        </w:rPr>
        <w:t>3.13 Summary</w:t>
      </w:r>
      <w:bookmarkEnd w:id="65"/>
      <w:bookmarkEnd w:id="66"/>
    </w:p>
    <w:p w14:paraId="68F7450D" w14:textId="5D1BAF09" w:rsidR="00EA2CA5" w:rsidRPr="00715C4F" w:rsidRDefault="00786346" w:rsidP="00715C4F">
      <w:pPr>
        <w:spacing w:line="360" w:lineRule="auto"/>
        <w:jc w:val="both"/>
        <w:rPr>
          <w:rFonts w:ascii="Arial" w:hAnsi="Arial" w:cs="Arial"/>
          <w:lang w:eastAsia="en-GB"/>
        </w:rPr>
        <w:sectPr w:rsidR="00EA2CA5" w:rsidRPr="00715C4F" w:rsidSect="000F32B8">
          <w:pgSz w:w="11906" w:h="16838"/>
          <w:pgMar w:top="1440" w:right="1800" w:bottom="1440" w:left="1800" w:header="708" w:footer="708" w:gutter="0"/>
          <w:cols w:space="708"/>
          <w:docGrid w:linePitch="360"/>
        </w:sectPr>
      </w:pPr>
      <w:r w:rsidRPr="00715C4F">
        <w:rPr>
          <w:rFonts w:ascii="Arial" w:hAnsi="Arial" w:cs="Arial"/>
          <w:lang w:eastAsia="en-GB"/>
        </w:rPr>
        <w:t>The methodological procedures to be followed in carrying out the systematic review were described in this chapter. The research philosophy, ethics, research approach, research strategy and research design were explained. The approach used to collect data, search for literature, select studies, evaluate qual</w:t>
      </w:r>
      <w:r w:rsidR="00266439">
        <w:rPr>
          <w:rFonts w:ascii="Arial" w:hAnsi="Arial" w:cs="Arial"/>
          <w:lang w:eastAsia="en-GB"/>
        </w:rPr>
        <w:t>ity, extract data, and synthesis</w:t>
      </w:r>
      <w:r w:rsidRPr="00715C4F">
        <w:rPr>
          <w:rFonts w:ascii="Arial" w:hAnsi="Arial" w:cs="Arial"/>
          <w:lang w:eastAsia="en-GB"/>
        </w:rPr>
        <w:t xml:space="preserve">e data were also explained. Lastly, the methodological limitations and risk of bias of the review were discussed. The results of the systematic review, including the PRISMA </w:t>
      </w:r>
      <w:r w:rsidRPr="00715C4F">
        <w:rPr>
          <w:rFonts w:ascii="Arial" w:hAnsi="Arial" w:cs="Arial"/>
          <w:lang w:eastAsia="en-GB"/>
        </w:rPr>
        <w:lastRenderedPageBreak/>
        <w:t>study selection process, characteristics of included studies, quality appraisal results, and thematic synthesis of the evi</w:t>
      </w:r>
      <w:r w:rsidR="003516C9">
        <w:rPr>
          <w:rFonts w:ascii="Arial" w:hAnsi="Arial" w:cs="Arial"/>
          <w:lang w:eastAsia="en-GB"/>
        </w:rPr>
        <w:t>dence are presented in Chapter Four</w:t>
      </w:r>
      <w:r w:rsidR="004A1CA8" w:rsidRPr="00715C4F">
        <w:rPr>
          <w:rFonts w:ascii="Arial" w:hAnsi="Arial" w:cs="Arial"/>
          <w:lang w:eastAsia="en-GB"/>
        </w:rPr>
        <w:t xml:space="preserve">. </w:t>
      </w:r>
    </w:p>
    <w:p w14:paraId="7966C9FF" w14:textId="7F469FB0" w:rsidR="00393D36" w:rsidRPr="00715C4F" w:rsidRDefault="00092116" w:rsidP="00092116">
      <w:pPr>
        <w:pStyle w:val="Heading1"/>
        <w:rPr>
          <w:lang w:eastAsia="en-GB"/>
        </w:rPr>
      </w:pPr>
      <w:bookmarkStart w:id="67" w:name="_Toc241025915"/>
      <w:r w:rsidRPr="00715C4F">
        <w:rPr>
          <w:lang w:eastAsia="en-GB"/>
        </w:rPr>
        <w:lastRenderedPageBreak/>
        <w:t>Chapter Four: Results</w:t>
      </w:r>
      <w:bookmarkEnd w:id="67"/>
    </w:p>
    <w:p w14:paraId="21A87CC4" w14:textId="77777777" w:rsidR="003521B1" w:rsidRPr="00715C4F" w:rsidRDefault="003521B1" w:rsidP="0022637B">
      <w:pPr>
        <w:pStyle w:val="Heading2"/>
        <w:rPr>
          <w:lang w:eastAsia="en-GB"/>
        </w:rPr>
      </w:pPr>
      <w:bookmarkStart w:id="68" w:name="_Toc241025916"/>
      <w:r w:rsidRPr="00715C4F">
        <w:rPr>
          <w:lang w:eastAsia="en-GB"/>
        </w:rPr>
        <w:t>4.1 Introduction</w:t>
      </w:r>
      <w:bookmarkEnd w:id="68"/>
    </w:p>
    <w:p w14:paraId="4840CEBA" w14:textId="057584D9" w:rsidR="001E083A" w:rsidRPr="00715C4F" w:rsidRDefault="0056306D" w:rsidP="00715C4F">
      <w:pPr>
        <w:spacing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In this chapter the results of the systematic review on vitamin D status and deficiency in ethnic minority groups in the UK will be presented. It will present the results of the database search and the selection of the studies in accordance with the PRISMA 2020 framework (Page et al., 2021). The characteristics of the 15 studies included in the chapter will then be presented, followed by a critical appraisal of the methodological quality and risk of bias in each study with appropriate critical appraisal tools. The methods of data extraction as well as narrative synthesis will also be described. The results will then be grouped into five emerging themes: ethnicity and vitamin D deficiency, socioeconomic determinants, lifestyle, environmental and occupational factors, knowledge, awareness and cultural perceptions and supplementation and prevention. Results will be presented objectively, and will be discussed and compared in detail with published works in the Discussion chapter.</w:t>
      </w:r>
    </w:p>
    <w:p w14:paraId="4C966AD5" w14:textId="77777777" w:rsidR="00801829" w:rsidRPr="00715C4F" w:rsidRDefault="00801829" w:rsidP="0022637B">
      <w:pPr>
        <w:pStyle w:val="Heading2"/>
        <w:rPr>
          <w:lang w:eastAsia="en-GB"/>
        </w:rPr>
      </w:pPr>
      <w:bookmarkStart w:id="69" w:name="_Toc241025917"/>
      <w:r w:rsidRPr="00715C4F">
        <w:rPr>
          <w:lang w:eastAsia="en-GB"/>
        </w:rPr>
        <w:t>4.2 Systematic Search Results</w:t>
      </w:r>
      <w:bookmarkEnd w:id="69"/>
    </w:p>
    <w:p w14:paraId="40D6DE4B" w14:textId="6D8657DB" w:rsidR="00E43BD6" w:rsidRPr="00715C4F" w:rsidRDefault="00E43BD6" w:rsidP="00715C4F">
      <w:pPr>
        <w:spacing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 systematic literature search was conducted between 24 July 2026 and 2 August 2026 across seven electronic databases: PubMed, MEDLINE, </w:t>
      </w:r>
      <w:proofErr w:type="spellStart"/>
      <w:r w:rsidRPr="00715C4F">
        <w:rPr>
          <w:rFonts w:ascii="Arial" w:eastAsia="Times New Roman" w:hAnsi="Arial" w:cs="Arial"/>
          <w:kern w:val="0"/>
          <w:lang w:eastAsia="en-GB"/>
          <w14:ligatures w14:val="none"/>
        </w:rPr>
        <w:t>Embase</w:t>
      </w:r>
      <w:proofErr w:type="spellEnd"/>
      <w:r w:rsidRPr="00715C4F">
        <w:rPr>
          <w:rFonts w:ascii="Arial" w:eastAsia="Times New Roman" w:hAnsi="Arial" w:cs="Arial"/>
          <w:kern w:val="0"/>
          <w:lang w:eastAsia="en-GB"/>
          <w14:ligatures w14:val="none"/>
        </w:rPr>
        <w:t>, Scopus, Web of Science, CINAHL and Google Scholar. The search used combinations of keywords, subject headings and Boolean operators relating to vitamin D deficiency, ethnicity, determinants, lifestyle and the UK population (Page et al., 2021).</w:t>
      </w:r>
    </w:p>
    <w:p w14:paraId="30EEFC85" w14:textId="30EDC3F0" w:rsidR="00E43BD6" w:rsidRPr="00715C4F" w:rsidRDefault="00E43BD6"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A total of 865 records were retrieved from the seven databases: PubMed (n = 185), MEDLINE (n = 142), </w:t>
      </w:r>
      <w:proofErr w:type="spellStart"/>
      <w:r w:rsidRPr="00715C4F">
        <w:rPr>
          <w:rFonts w:ascii="Arial" w:eastAsia="Times New Roman" w:hAnsi="Arial" w:cs="Arial"/>
          <w:kern w:val="0"/>
          <w:lang w:eastAsia="en-GB"/>
          <w14:ligatures w14:val="none"/>
        </w:rPr>
        <w:t>Embase</w:t>
      </w:r>
      <w:proofErr w:type="spellEnd"/>
      <w:r w:rsidRPr="00715C4F">
        <w:rPr>
          <w:rFonts w:ascii="Arial" w:eastAsia="Times New Roman" w:hAnsi="Arial" w:cs="Arial"/>
          <w:kern w:val="0"/>
          <w:lang w:eastAsia="en-GB"/>
          <w14:ligatures w14:val="none"/>
        </w:rPr>
        <w:t xml:space="preserve"> (n = 124), Scopus (n = 156), Web of Science (n = 110), CINAHL (n = 98) and Google Scholar (n = 50). Following the removal of 185 duplicate records, 680 records remained for screening. After title and abstract screening, 90 full-text articles were assessed for eligibility. Following full-text assessment and quality appraisal, 15 studies were included in the final systematic review.</w:t>
      </w:r>
    </w:p>
    <w:p w14:paraId="45DA9946" w14:textId="28909263" w:rsidR="000D3958" w:rsidRPr="00715C4F" w:rsidRDefault="00E43BD6"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The final evidence base comprised eight cross-sectional studies, two qualitative studies, three cohort studies and two case-control studies. The complete identification, screening, eligibility, quality-appraisal and inclusion process is presented in the PRISMA 2020 flow diagram (Figure 1) (Page et al., 2021).</w:t>
      </w:r>
    </w:p>
    <w:p w14:paraId="4D4CAF2A" w14:textId="77777777" w:rsidR="00467B34" w:rsidRPr="00715C4F" w:rsidRDefault="00467B34" w:rsidP="00715C4F">
      <w:pPr>
        <w:spacing w:before="100" w:beforeAutospacing="1" w:after="100" w:afterAutospacing="1" w:line="360" w:lineRule="auto"/>
        <w:jc w:val="both"/>
        <w:rPr>
          <w:rFonts w:ascii="Arial" w:eastAsia="Times New Roman" w:hAnsi="Arial" w:cs="Arial"/>
          <w:kern w:val="0"/>
          <w:lang w:eastAsia="en-GB"/>
          <w14:ligatures w14:val="none"/>
        </w:rPr>
      </w:pPr>
    </w:p>
    <w:p w14:paraId="150B40B5" w14:textId="4547BC3F" w:rsidR="00801829" w:rsidRPr="00715C4F" w:rsidRDefault="00801829" w:rsidP="0022637B">
      <w:pPr>
        <w:pStyle w:val="Heading2"/>
        <w:rPr>
          <w:lang w:eastAsia="en-GB"/>
        </w:rPr>
      </w:pPr>
      <w:bookmarkStart w:id="70" w:name="_Toc241025918"/>
      <w:r w:rsidRPr="00715C4F">
        <w:rPr>
          <w:lang w:eastAsia="en-GB"/>
        </w:rPr>
        <w:lastRenderedPageBreak/>
        <w:t>4.3 PRISMA Flow Diagram</w:t>
      </w:r>
      <w:bookmarkEnd w:id="70"/>
    </w:p>
    <w:p w14:paraId="0829BDDD" w14:textId="7B0D585E" w:rsidR="003A035E" w:rsidRPr="00715C4F" w:rsidRDefault="00BA029C" w:rsidP="00715C4F">
      <w:pPr>
        <w:spacing w:line="360" w:lineRule="auto"/>
        <w:jc w:val="both"/>
        <w:rPr>
          <w:rFonts w:ascii="Arial" w:hAnsi="Arial" w:cs="Arial"/>
          <w:b/>
          <w:lang w:eastAsia="en-GB"/>
        </w:rPr>
      </w:pPr>
      <w:r w:rsidRPr="00715C4F">
        <w:rPr>
          <w:rFonts w:ascii="Arial" w:hAnsi="Arial" w:cs="Arial"/>
          <w:b/>
          <w:lang w:eastAsia="en-GB"/>
        </w:rPr>
        <w:t>PRISMA flow chart</w:t>
      </w:r>
      <w:bookmarkStart w:id="71" w:name="_Hlk144151171"/>
      <w:r w:rsidRPr="00715C4F">
        <w:rPr>
          <w:rFonts w:ascii="Arial" w:hAnsi="Arial" w:cs="Arial"/>
          <w:b/>
          <w:lang w:eastAsia="en-GB"/>
        </w:rPr>
        <w:t xml:space="preserve"> </w:t>
      </w:r>
    </w:p>
    <w:bookmarkEnd w:id="71"/>
    <w:p w14:paraId="446571D8" w14:textId="77777777" w:rsidR="003A035E" w:rsidRPr="00715C4F" w:rsidRDefault="003A035E"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0" distB="0" distL="114300" distR="114300" simplePos="0" relativeHeight="251659264" behindDoc="0" locked="0" layoutInCell="1" allowOverlap="1" wp14:anchorId="2898295A" wp14:editId="7077310B">
                <wp:simplePos x="0" y="0"/>
                <wp:positionH relativeFrom="column">
                  <wp:posOffset>628650</wp:posOffset>
                </wp:positionH>
                <wp:positionV relativeFrom="paragraph">
                  <wp:posOffset>39370</wp:posOffset>
                </wp:positionV>
                <wp:extent cx="2971800" cy="1724025"/>
                <wp:effectExtent l="0" t="0" r="19050" b="28575"/>
                <wp:wrapNone/>
                <wp:docPr id="146210791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724025"/>
                        </a:xfrm>
                        <a:prstGeom prst="rect">
                          <a:avLst/>
                        </a:prstGeom>
                        <a:noFill/>
                        <a:ln w="12700" cap="flat" cmpd="sng" algn="ctr">
                          <a:solidFill>
                            <a:sysClr val="windowText" lastClr="000000"/>
                          </a:solidFill>
                          <a:prstDash val="solid"/>
                          <a:miter lim="800000"/>
                        </a:ln>
                        <a:effectLst/>
                      </wps:spPr>
                      <wps:txbx>
                        <w:txbxContent>
                          <w:p w14:paraId="7FAED897" w14:textId="77777777" w:rsidR="00D5404B" w:rsidRPr="00662EFF" w:rsidRDefault="00D5404B" w:rsidP="003A035E">
                            <w:pPr>
                              <w:spacing w:after="0" w:line="240" w:lineRule="auto"/>
                              <w:rPr>
                                <w:rFonts w:ascii="Arial" w:hAnsi="Arial" w:cs="Arial"/>
                                <w:color w:val="000000" w:themeColor="text1"/>
                                <w:szCs w:val="24"/>
                              </w:rPr>
                            </w:pPr>
                            <w:r w:rsidRPr="00662EFF">
                              <w:rPr>
                                <w:rFonts w:ascii="Arial" w:hAnsi="Arial" w:cs="Arial"/>
                                <w:color w:val="000000" w:themeColor="text1"/>
                                <w:szCs w:val="24"/>
                              </w:rPr>
                              <w:t>Records identified from</w:t>
                            </w:r>
                          </w:p>
                          <w:p w14:paraId="71B82891"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Databases (n = 865)</w:t>
                            </w:r>
                          </w:p>
                          <w:p w14:paraId="40F92B80"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PubMed (n = 185)</w:t>
                            </w:r>
                          </w:p>
                          <w:p w14:paraId="3206ABD6"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MEDLINE (n = 142)</w:t>
                            </w:r>
                          </w:p>
                          <w:p w14:paraId="44FAFE85"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Scopus (n = 156)</w:t>
                            </w:r>
                          </w:p>
                          <w:p w14:paraId="6C02FC9F"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w:t>
                            </w:r>
                            <w:proofErr w:type="spellStart"/>
                            <w:r w:rsidRPr="00662EFF">
                              <w:rPr>
                                <w:rFonts w:ascii="Arial" w:hAnsi="Arial" w:cs="Arial"/>
                                <w:color w:val="000000" w:themeColor="text1"/>
                                <w:szCs w:val="24"/>
                                <w:shd w:val="clear" w:color="auto" w:fill="FFFFFF"/>
                              </w:rPr>
                              <w:t>Embase</w:t>
                            </w:r>
                            <w:proofErr w:type="spellEnd"/>
                            <w:r w:rsidRPr="00662EFF">
                              <w:rPr>
                                <w:rFonts w:ascii="Arial" w:hAnsi="Arial" w:cs="Arial"/>
                                <w:color w:val="000000" w:themeColor="text1"/>
                                <w:szCs w:val="24"/>
                                <w:shd w:val="clear" w:color="auto" w:fill="FFFFFF"/>
                              </w:rPr>
                              <w:t xml:space="preserve"> (n = 124)</w:t>
                            </w:r>
                          </w:p>
                          <w:p w14:paraId="49A24477"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CINAHL (n = 98)</w:t>
                            </w:r>
                          </w:p>
                          <w:p w14:paraId="712967DD"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w:t>
                            </w:r>
                            <w:r>
                              <w:rPr>
                                <w:rFonts w:ascii="Arial" w:hAnsi="Arial" w:cs="Arial"/>
                                <w:color w:val="000000" w:themeColor="text1"/>
                                <w:szCs w:val="24"/>
                                <w:shd w:val="clear" w:color="auto" w:fill="FFFFFF"/>
                              </w:rPr>
                              <w:t xml:space="preserve">          • Web of Science (n=</w:t>
                            </w:r>
                            <w:r w:rsidRPr="00662EFF">
                              <w:rPr>
                                <w:rFonts w:ascii="Arial" w:hAnsi="Arial" w:cs="Arial"/>
                                <w:color w:val="000000" w:themeColor="text1"/>
                                <w:szCs w:val="24"/>
                                <w:shd w:val="clear" w:color="auto" w:fill="FFFFFF"/>
                              </w:rPr>
                              <w:t>110)</w:t>
                            </w:r>
                          </w:p>
                          <w:p w14:paraId="5C8272EF"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Google Scholar (n = 50)</w:t>
                            </w:r>
                          </w:p>
                          <w:p w14:paraId="13801929" w14:textId="77777777" w:rsidR="00D5404B" w:rsidRPr="00560609" w:rsidRDefault="00D5404B" w:rsidP="003A035E">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8295A" id="Rectangle 16" o:spid="_x0000_s1026" style="position:absolute;left:0;text-align:left;margin-left:49.5pt;margin-top:3.1pt;width:234pt;height:13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PKOigIAAAsFAAAOAAAAZHJzL2Uyb0RvYy54bWysVMtu2zAQvBfoPxC8N3rAiRshcmAkSFHA&#10;SIImRc40RdlC+SpJW3K/vkNKzqs9FdWB4HKXuzvDWV1cDkqSvXC+M7qmxUlOidDcNJ3e1PT7482n&#10;z5T4wHTDpNGipgfh6eXi44eL3laiNFsjG+EIkmhf9bam2xBslWWeb4Vi/sRYoeFsjVMswHSbrHGs&#10;R3YlszLPz7LeuMY6w4X3OL0enXSR8ret4OGubb0IRNYUvYW0urSu45otLli1ccxuOz61wf6hC8U6&#10;jaLPqa5ZYGTnuj9SqY47400bTrhRmWnbjouEAWiK/B2ahy2zImEBOd4+0+T/X1p+u793pGvwdrOz&#10;ssjn58WcEs0U3uob2GN6IwUpziJRvfUV4h/svYtQvV0Z/sPDkb3xRMNPMUPrVIwFUDIk1g/PrIsh&#10;EI7D8nxefM7xOBy+Yl7O8vI0lstYdbxunQ9fhFEkbmrq0Fhim+1XPoyhx5BYTZubTkqcs0pq0iNr&#10;OU8FGBTWShZQS1lg9npDCZMbSJcHl1J6I7smXk8QD/5KOrJnUA9E15j+EV1TIpkPcABK+qZu31yN&#10;/Vwzvx0vJ9coNtUFKF52qqZAjW+6LXWsKJJmJ1QvTMZdGNYDMMXt2jQHPJszo5695Tcd6q3Q1j1z&#10;EDDYxFCGOyytNGDATDtKtsb9+tt5jIeu4KWkx0CAnZ875gTQftVQ3Hkxm8UJSsbsdF7CcK8969ce&#10;vVNXBqwVGH/L0zbGB3ncts6oJ8zuMlaFi2mO2uM7TMZVGAcV08/FcpnCMDWWhZV+sDwmj5RFph+H&#10;J+bsJI+AN7o1x+Fh1TuVjLHxpjbLXTBtlyT0wuskaExcEuH0d4gj/dpOUS//sMVvAAAA//8DAFBL&#10;AwQUAAYACAAAACEAJKWu6t8AAAAIAQAADwAAAGRycy9kb3ducmV2LnhtbEyPQUvDQBSE74L/YXmC&#10;N7tp0KRN81JUKPQghVYRetsmazaYfRt2N2389z5P9TjMMPNNuZ5sL87ah84RwnyWgNBUu6ajFuHj&#10;ffOwABGiokb1jjTCjw6wrm5vSlU07kJ7fT7EVnAJhUIhmBiHQspQG21VmLlBE3tfzlsVWfpWNl5d&#10;uNz2Mk2STFrVES8YNehXo+vvw2gRdpvFfGv98eVzX4dx5x7t29ZYxPu76XkFIuopXsPwh8/oUDHT&#10;yY3UBNEjLJd8JSJkKQi2n7Kc9QkhzfMcZFXK/weqXwAAAP//AwBQSwECLQAUAAYACAAAACEAtoM4&#10;kv4AAADhAQAAEwAAAAAAAAAAAAAAAAAAAAAAW0NvbnRlbnRfVHlwZXNdLnhtbFBLAQItABQABgAI&#10;AAAAIQA4/SH/1gAAAJQBAAALAAAAAAAAAAAAAAAAAC8BAABfcmVscy8ucmVsc1BLAQItABQABgAI&#10;AAAAIQB03PKOigIAAAsFAAAOAAAAAAAAAAAAAAAAAC4CAABkcnMvZTJvRG9jLnhtbFBLAQItABQA&#10;BgAIAAAAIQAkpa7q3wAAAAgBAAAPAAAAAAAAAAAAAAAAAOQEAABkcnMvZG93bnJldi54bWxQSwUG&#10;AAAAAAQABADzAAAA8AUAAAAA&#10;" filled="f" strokecolor="windowText" strokeweight="1pt">
                <v:path arrowok="t"/>
                <v:textbox>
                  <w:txbxContent>
                    <w:p w14:paraId="7FAED897" w14:textId="77777777" w:rsidR="00D5404B" w:rsidRPr="00662EFF" w:rsidRDefault="00D5404B" w:rsidP="003A035E">
                      <w:pPr>
                        <w:spacing w:after="0" w:line="240" w:lineRule="auto"/>
                        <w:rPr>
                          <w:rFonts w:ascii="Arial" w:hAnsi="Arial" w:cs="Arial"/>
                          <w:color w:val="000000" w:themeColor="text1"/>
                          <w:szCs w:val="24"/>
                        </w:rPr>
                      </w:pPr>
                      <w:r w:rsidRPr="00662EFF">
                        <w:rPr>
                          <w:rFonts w:ascii="Arial" w:hAnsi="Arial" w:cs="Arial"/>
                          <w:color w:val="000000" w:themeColor="text1"/>
                          <w:szCs w:val="24"/>
                        </w:rPr>
                        <w:t>Records identified from</w:t>
                      </w:r>
                    </w:p>
                    <w:p w14:paraId="71B82891"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Databases (n = 865)</w:t>
                      </w:r>
                    </w:p>
                    <w:p w14:paraId="40F92B80"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PubMed (n = 185)</w:t>
                      </w:r>
                    </w:p>
                    <w:p w14:paraId="3206ABD6"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MEDLINE (n = 142)</w:t>
                      </w:r>
                    </w:p>
                    <w:p w14:paraId="44FAFE85"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Scopus (n = 156)</w:t>
                      </w:r>
                    </w:p>
                    <w:p w14:paraId="6C02FC9F"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Embase (n = 124)</w:t>
                      </w:r>
                    </w:p>
                    <w:p w14:paraId="49A24477"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CINAHL (n = 98)</w:t>
                      </w:r>
                    </w:p>
                    <w:p w14:paraId="712967DD"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w:t>
                      </w:r>
                      <w:r>
                        <w:rPr>
                          <w:rFonts w:ascii="Arial" w:hAnsi="Arial" w:cs="Arial"/>
                          <w:color w:val="000000" w:themeColor="text1"/>
                          <w:szCs w:val="24"/>
                          <w:shd w:val="clear" w:color="auto" w:fill="FFFFFF"/>
                        </w:rPr>
                        <w:t xml:space="preserve">          • Web of Science (n=</w:t>
                      </w:r>
                      <w:r w:rsidRPr="00662EFF">
                        <w:rPr>
                          <w:rFonts w:ascii="Arial" w:hAnsi="Arial" w:cs="Arial"/>
                          <w:color w:val="000000" w:themeColor="text1"/>
                          <w:szCs w:val="24"/>
                          <w:shd w:val="clear" w:color="auto" w:fill="FFFFFF"/>
                        </w:rPr>
                        <w:t>110)</w:t>
                      </w:r>
                    </w:p>
                    <w:p w14:paraId="5C8272EF" w14:textId="77777777" w:rsidR="00D5404B" w:rsidRPr="00662EFF" w:rsidRDefault="00D5404B" w:rsidP="003A035E">
                      <w:pPr>
                        <w:autoSpaceDE w:val="0"/>
                        <w:autoSpaceDN w:val="0"/>
                        <w:adjustRightInd w:val="0"/>
                        <w:spacing w:after="0" w:line="240" w:lineRule="auto"/>
                        <w:rPr>
                          <w:rFonts w:ascii="Arial" w:hAnsi="Arial" w:cs="Arial"/>
                          <w:color w:val="000000" w:themeColor="text1"/>
                          <w:szCs w:val="24"/>
                          <w:shd w:val="clear" w:color="auto" w:fill="FFFFFF"/>
                        </w:rPr>
                      </w:pPr>
                      <w:r w:rsidRPr="00662EFF">
                        <w:rPr>
                          <w:rFonts w:ascii="Arial" w:hAnsi="Arial" w:cs="Arial"/>
                          <w:color w:val="000000" w:themeColor="text1"/>
                          <w:szCs w:val="24"/>
                          <w:shd w:val="clear" w:color="auto" w:fill="FFFFFF"/>
                        </w:rPr>
                        <w:t xml:space="preserve">                     • Google Scholar (n = 50)</w:t>
                      </w:r>
                    </w:p>
                    <w:p w14:paraId="13801929" w14:textId="77777777" w:rsidR="00D5404B" w:rsidRPr="00560609" w:rsidRDefault="00D5404B" w:rsidP="003A035E">
                      <w:pPr>
                        <w:spacing w:after="0" w:line="240" w:lineRule="auto"/>
                        <w:ind w:left="284"/>
                        <w:rPr>
                          <w:rFonts w:ascii="Arial" w:hAnsi="Arial" w:cs="Arial"/>
                          <w:color w:val="000000" w:themeColor="text1"/>
                          <w:sz w:val="18"/>
                          <w:szCs w:val="20"/>
                        </w:rPr>
                      </w:pPr>
                    </w:p>
                  </w:txbxContent>
                </v:textbox>
              </v:rect>
            </w:pict>
          </mc:Fallback>
        </mc:AlternateContent>
      </w:r>
      <w:r w:rsidRPr="00715C4F">
        <w:rPr>
          <w:rFonts w:ascii="Arial" w:eastAsiaTheme="minorHAnsi" w:hAnsi="Arial" w:cs="Arial"/>
          <w:noProof/>
          <w:lang w:val="en-US" w:eastAsia="en-US"/>
        </w:rPr>
        <mc:AlternateContent>
          <mc:Choice Requires="wps">
            <w:drawing>
              <wp:anchor distT="0" distB="0" distL="114300" distR="114300" simplePos="0" relativeHeight="251660288" behindDoc="0" locked="0" layoutInCell="1" allowOverlap="1" wp14:anchorId="27A15A8C" wp14:editId="741B87E5">
                <wp:simplePos x="0" y="0"/>
                <wp:positionH relativeFrom="column">
                  <wp:posOffset>3935095</wp:posOffset>
                </wp:positionH>
                <wp:positionV relativeFrom="paragraph">
                  <wp:posOffset>124460</wp:posOffset>
                </wp:positionV>
                <wp:extent cx="1887220" cy="1242695"/>
                <wp:effectExtent l="0" t="0" r="0" b="0"/>
                <wp:wrapNone/>
                <wp:docPr id="125459107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2695"/>
                        </a:xfrm>
                        <a:prstGeom prst="rect">
                          <a:avLst/>
                        </a:prstGeom>
                        <a:noFill/>
                        <a:ln w="12700" cap="flat" cmpd="sng" algn="ctr">
                          <a:solidFill>
                            <a:sysClr val="windowText" lastClr="000000"/>
                          </a:solidFill>
                          <a:prstDash val="solid"/>
                          <a:miter lim="800000"/>
                        </a:ln>
                        <a:effectLst/>
                      </wps:spPr>
                      <wps:txbx>
                        <w:txbxContent>
                          <w:p w14:paraId="345207AC" w14:textId="77777777" w:rsidR="00D5404B" w:rsidRPr="00662EFF" w:rsidRDefault="00D5404B" w:rsidP="003A035E">
                            <w:pPr>
                              <w:spacing w:after="0" w:line="240" w:lineRule="auto"/>
                              <w:rPr>
                                <w:rFonts w:ascii="Arial" w:hAnsi="Arial" w:cs="Arial"/>
                                <w:color w:val="000000" w:themeColor="text1"/>
                                <w:szCs w:val="24"/>
                              </w:rPr>
                            </w:pPr>
                            <w:r w:rsidRPr="00662EFF">
                              <w:rPr>
                                <w:rFonts w:ascii="Arial" w:hAnsi="Arial" w:cs="Arial"/>
                                <w:color w:val="000000" w:themeColor="text1"/>
                                <w:szCs w:val="24"/>
                              </w:rPr>
                              <w:t>Records removed before screening:</w:t>
                            </w:r>
                          </w:p>
                          <w:p w14:paraId="49FD19CA" w14:textId="77777777" w:rsidR="00D5404B" w:rsidRPr="00662EFF" w:rsidRDefault="00D5404B" w:rsidP="003A035E">
                            <w:pPr>
                              <w:spacing w:after="0" w:line="240" w:lineRule="auto"/>
                              <w:ind w:left="284"/>
                              <w:rPr>
                                <w:rFonts w:ascii="Arial" w:hAnsi="Arial" w:cs="Arial"/>
                                <w:color w:val="000000" w:themeColor="text1"/>
                                <w:szCs w:val="24"/>
                              </w:rPr>
                            </w:pPr>
                            <w:r w:rsidRPr="00662EFF">
                              <w:rPr>
                                <w:rFonts w:ascii="Arial" w:hAnsi="Arial" w:cs="Arial"/>
                                <w:color w:val="000000" w:themeColor="text1"/>
                                <w:szCs w:val="24"/>
                              </w:rPr>
                              <w:t>Duplicate records removed (n = 185)</w:t>
                            </w:r>
                          </w:p>
                          <w:p w14:paraId="0DD33F17" w14:textId="77777777" w:rsidR="00D5404B" w:rsidRPr="00560609" w:rsidRDefault="00D5404B" w:rsidP="003A035E">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15A8C" id="Rectangle 15" o:spid="_x0000_s1027" style="position:absolute;left:0;text-align:left;margin-left:309.85pt;margin-top:9.8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GQFjQIAABIFAAAOAAAAZHJzL2Uyb0RvYy54bWysVE1v2zAMvQ/YfxB0Xx0bSZMadYqgRYcB&#10;QVu0HXpmZDkWpq9JSuzs14+SnTbtdhrmgyCZFMn3+KjLq15JsufOC6Mrmp9NKOGamVrobUW/P99+&#10;WVDiA+gapNG8ogfu6dXy86fLzpa8MK2RNXcEg2hfdraibQi2zDLPWq7AnxnLNRob4xQEPLptVjvo&#10;MLqSWTGZnGedcbV1hnHv8e/NYKTLFL9pOAv3TeN5ILKiWFtIq0vrJq7Z8hLKrQPbCjaWAf9QhQKh&#10;MelrqBsIQHZO/BFKCeaMN004Y0ZlpmkE4wkDosknH9A8tWB5woLkePtKk/9/Ydnd/sERUWPvitl0&#10;dpFP5nNKNCjs1SOyB3orOclnkajO+hL9n+yDi1C9XRv2w6Mhe2eJBz/69I1T0ReBkj6xfnhlnfeB&#10;MPyZLxbzosDmMLTlxbQ4v0jpMiiP163z4Ss3isRNRR0WltiG/dqHWACUR5eYTZtbIWVqrdSki1Hn&#10;k5gAUGGNhIBbZRGz11tKQG5Ruiy4FNIbKep4PUE8+GvpyB5QPSi62nTPWDUlEnxAA0JJXyQHS3h3&#10;NdZzA74dLifTIDYlAipeClXRxeltqWNGnjQ7onpjMu5Cv+mHTh2bsTH1AbvnzCBrb9mtwLRrrO4B&#10;HOoYMeNshntcGmmQCDPuKGmN+/W3/9Ef5YVWSjqcCyTp5w4cR9DfNArvIp9O4yClw3Q2j41zp5bN&#10;qUXv1LVB8nJ8BSxL2+gf5HHbOKNecIRXMSuaQDPMPbRjPFyHYV7xEWB8tUpuODwWwlo/WRaDR+Yi&#10;4c/9Czg7qiRgq+7McYag/CCWwXeQy2oXTCOSkiLTA6+jrnHwUnfHRyJO9uk5eb09ZcvfAAAA//8D&#10;AFBLAwQUAAYACAAAACEAYefZ4uAAAAAKAQAADwAAAGRycy9kb3ducmV2LnhtbEyPUUvDMBSF3wX/&#10;Q7iCby7N1LrWpkOFwR5ksCmDvWVNbIrNTUnSrf57r0/z8XI+zvlutZxcz04mxM6jBDHLgBlsvO6w&#10;lfD5sbpbAItJoVa9RyPhx0RY1tdXlSq1P+PWnHapZVSCsVQSbEpDyXlsrHEqzvxgkLIvH5xKdIaW&#10;66DOVO56Ps+ynDvVIS1YNZg3a5rv3egkbFYLsXbh8LrfNnHc+Af3vrZOytub6eUZWDJTusDwp0/q&#10;UJPT0Y+oI+sl5KJ4IpSCIgdGQCHyAthRwlw83gOvK/7/hfoXAAD//wMAUEsBAi0AFAAGAAgAAAAh&#10;ALaDOJL+AAAA4QEAABMAAAAAAAAAAAAAAAAAAAAAAFtDb250ZW50X1R5cGVzXS54bWxQSwECLQAU&#10;AAYACAAAACEAOP0h/9YAAACUAQAACwAAAAAAAAAAAAAAAAAvAQAAX3JlbHMvLnJlbHNQSwECLQAU&#10;AAYACAAAACEAE7hkBY0CAAASBQAADgAAAAAAAAAAAAAAAAAuAgAAZHJzL2Uyb0RvYy54bWxQSwEC&#10;LQAUAAYACAAAACEAYefZ4uAAAAAKAQAADwAAAAAAAAAAAAAAAADnBAAAZHJzL2Rvd25yZXYueG1s&#10;UEsFBgAAAAAEAAQA8wAAAPQFAAAAAA==&#10;" filled="f" strokecolor="windowText" strokeweight="1pt">
                <v:path arrowok="t"/>
                <v:textbox>
                  <w:txbxContent>
                    <w:p w14:paraId="345207AC" w14:textId="77777777" w:rsidR="00D5404B" w:rsidRPr="00662EFF" w:rsidRDefault="00D5404B" w:rsidP="003A035E">
                      <w:pPr>
                        <w:spacing w:after="0" w:line="240" w:lineRule="auto"/>
                        <w:rPr>
                          <w:rFonts w:ascii="Arial" w:hAnsi="Arial" w:cs="Arial"/>
                          <w:color w:val="000000" w:themeColor="text1"/>
                          <w:szCs w:val="24"/>
                        </w:rPr>
                      </w:pPr>
                      <w:r w:rsidRPr="00662EFF">
                        <w:rPr>
                          <w:rFonts w:ascii="Arial" w:hAnsi="Arial" w:cs="Arial"/>
                          <w:color w:val="000000" w:themeColor="text1"/>
                          <w:szCs w:val="24"/>
                        </w:rPr>
                        <w:t>Records removed before screening:</w:t>
                      </w:r>
                    </w:p>
                    <w:p w14:paraId="49FD19CA" w14:textId="77777777" w:rsidR="00D5404B" w:rsidRPr="00662EFF" w:rsidRDefault="00D5404B" w:rsidP="003A035E">
                      <w:pPr>
                        <w:spacing w:after="0" w:line="240" w:lineRule="auto"/>
                        <w:ind w:left="284"/>
                        <w:rPr>
                          <w:rFonts w:ascii="Arial" w:hAnsi="Arial" w:cs="Arial"/>
                          <w:color w:val="000000" w:themeColor="text1"/>
                          <w:szCs w:val="24"/>
                        </w:rPr>
                      </w:pPr>
                      <w:r w:rsidRPr="00662EFF">
                        <w:rPr>
                          <w:rFonts w:ascii="Arial" w:hAnsi="Arial" w:cs="Arial"/>
                          <w:color w:val="000000" w:themeColor="text1"/>
                          <w:szCs w:val="24"/>
                        </w:rPr>
                        <w:t>Duplicate records removed (n = 185)</w:t>
                      </w:r>
                    </w:p>
                    <w:p w14:paraId="0DD33F17" w14:textId="77777777" w:rsidR="00D5404B" w:rsidRPr="00560609" w:rsidRDefault="00D5404B" w:rsidP="003A035E">
                      <w:pPr>
                        <w:spacing w:after="0" w:line="240" w:lineRule="auto"/>
                        <w:ind w:left="284"/>
                        <w:rPr>
                          <w:rFonts w:ascii="Arial" w:hAnsi="Arial" w:cs="Arial"/>
                          <w:color w:val="000000" w:themeColor="text1"/>
                          <w:sz w:val="18"/>
                          <w:szCs w:val="20"/>
                        </w:rPr>
                      </w:pPr>
                    </w:p>
                  </w:txbxContent>
                </v:textbox>
              </v:rect>
            </w:pict>
          </mc:Fallback>
        </mc:AlternateContent>
      </w:r>
    </w:p>
    <w:p w14:paraId="02CD4BE8" w14:textId="77777777" w:rsidR="003A035E" w:rsidRPr="00715C4F" w:rsidRDefault="003A035E" w:rsidP="00715C4F">
      <w:pPr>
        <w:spacing w:after="0" w:line="360" w:lineRule="auto"/>
        <w:jc w:val="both"/>
        <w:rPr>
          <w:rFonts w:ascii="Arial" w:eastAsiaTheme="minorHAnsi" w:hAnsi="Arial" w:cs="Arial"/>
          <w:lang w:val="en-US" w:eastAsia="en-US"/>
        </w:rPr>
      </w:pPr>
    </w:p>
    <w:p w14:paraId="18E5ADFE" w14:textId="77777777" w:rsidR="003A035E" w:rsidRPr="00715C4F" w:rsidRDefault="003A035E"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0" distB="0" distL="114300" distR="114300" simplePos="0" relativeHeight="251669504" behindDoc="0" locked="0" layoutInCell="1" allowOverlap="1" wp14:anchorId="5F3950A1" wp14:editId="34D714D1">
                <wp:simplePos x="0" y="0"/>
                <wp:positionH relativeFrom="column">
                  <wp:posOffset>-403860</wp:posOffset>
                </wp:positionH>
                <wp:positionV relativeFrom="paragraph">
                  <wp:posOffset>222250</wp:posOffset>
                </wp:positionV>
                <wp:extent cx="1276985" cy="262890"/>
                <wp:effectExtent l="0" t="514350" r="0" b="499110"/>
                <wp:wrapNone/>
                <wp:docPr id="820741832" name="Flowchart: Alternate Process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7C280DA0" w14:textId="77777777" w:rsidR="00D5404B" w:rsidRPr="001502CF" w:rsidRDefault="00D5404B" w:rsidP="003A035E">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3950A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4" o:spid="_x0000_s1028" type="#_x0000_t176" style="position:absolute;left:0;text-align:left;margin-left:-31.8pt;margin-top:17.5pt;width:100.55pt;height:20.7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3YezAIAAKkFAAAOAAAAZHJzL2Uyb0RvYy54bWysVE1v2zAMvQ/YfxB0Xx17SZoYdYo0QYYB&#10;WRugHXpmZDk2pq9JSpzu14+SnTTtdhrmgyGSEvnIR/Lm9igFOXDrGq0Kml4NKOGK6bJRu4J+f1p9&#10;mlDiPKgShFa8oC/c0dvZxw83rcl5pmstSm4JOlEub01Ba+9NniSO1VyCu9KGKzRW2krwKNpdUlpo&#10;0bsUSTYYjJNW29JYzbhzqF12RjqL/quKM/9QVY57IgqK2Hz82/jfhn8yu4F8Z8HUDethwD+gkNAo&#10;DHp2tQQPZG+bP1zJhlntdOWvmJaJrqqG8ZgDZpMO3mXzWIPhMRcsjjPnMrn/55bdHzaWNGVBJ9ng&#10;ephOPmeUKJBI1UroltVgfU7mwnOrwHOy6UpN0mEoXWtcjh4ezcaG5J1Za/bDoSF5YwmC6+8cKyuJ&#10;1UhEOkYC8Yt1w0qQY6Tl5UwLP3rCUJlm1+PpZEQJQ1s2zibTyFsCeXAWAhvr/BeuJQmHglaIfBGQ&#10;n3H3sGMoOKydDxhf30XwWjTlqhEiCna3XQhLDoB9M7qb3i1H8a3Yy2+67NTjCD42EKqxzTr18KRG&#10;/65zE2O5S/9CkTYmhukTBtj4lQCPR2mQCqd2lIDY4UQxb2PgN6/dizuDw1kodfuEtaJEgPNowALG&#10;LzAUQFwGDgVagqs7rNHUzYBskGIiGomdcPlaqFAPHkepr9srneHkj9tjbKDs1BFbXb5gU0WSMT1n&#10;2KrBsGtEtwGL44VKXBn+AX+BqoLq/kRJre2vv+nDfex6tFLS4rhikX7uwXJM+qvCeZimw2GY7ygM&#10;R9cZCvbSsr20qL1caGQ2jejiMdz34nSsrJbPuFnmISqaQDGM3dHRCwvfrRHcTYzP5/EazrQBv1aP&#10;hgXnp9Z8Oj6DNX1zeqTqXp9GG/J37djdDS+Vnu+9rprYq6HSXV374cJ9ENntd1dYOJdyvPW6YWe/&#10;AQAA//8DAFBLAwQUAAYACAAAACEAUS8eAeAAAAAJAQAADwAAAGRycy9kb3ducmV2LnhtbEyPzU7D&#10;MBCE70i8g7VI3FqH0qQlxKkQP0JCAokWDtzceElC7XUUO2l4e5YTHEfz7exMsZmcFSP2ofWk4GKe&#10;gECqvGmpVvC2e5itQYSoyWjrCRV8Y4BNeXpS6Nz4I73iuI214BAKuVbQxNjlUoaqQafD3HdI7H36&#10;3unIsq+l6fWRw52ViyTJpNMt8YdGd3jbYHXYDo5rvI+PL3fkvz5SGtzzlB6eanuv1PnZdHMNIuIU&#10;/2D4rc83UHKnvR/IBGFZZ5dMKpgtl1cgGEhXKxB7NtJsAbIs5P8F5Q8AAAD//wMAUEsBAi0AFAAG&#10;AAgAAAAhALaDOJL+AAAA4QEAABMAAAAAAAAAAAAAAAAAAAAAAFtDb250ZW50X1R5cGVzXS54bWxQ&#10;SwECLQAUAAYACAAAACEAOP0h/9YAAACUAQAACwAAAAAAAAAAAAAAAAAvAQAAX3JlbHMvLnJlbHNQ&#10;SwECLQAUAAYACAAAACEA1zd2HswCAACpBQAADgAAAAAAAAAAAAAAAAAuAgAAZHJzL2Uyb0RvYy54&#10;bWxQSwECLQAUAAYACAAAACEAUS8eAeAAAAAJAQAADwAAAAAAAAAAAAAAAAAmBQAAZHJzL2Rvd25y&#10;ZXYueG1sUEsFBgAAAAAEAAQA8wAAADMGAAAAAA==&#10;" fillcolor="#9dc3e6" strokecolor="windowText" strokeweight="1pt">
                <v:path arrowok="t"/>
                <v:textbox>
                  <w:txbxContent>
                    <w:p w14:paraId="7C280DA0" w14:textId="77777777" w:rsidR="00D5404B" w:rsidRPr="001502CF" w:rsidRDefault="00D5404B" w:rsidP="003A035E">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3E50B148" w14:textId="77777777" w:rsidR="003A035E" w:rsidRPr="00715C4F" w:rsidRDefault="003A035E"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4294967295" distB="4294967295" distL="114300" distR="114300" simplePos="0" relativeHeight="251666432" behindDoc="0" locked="0" layoutInCell="1" allowOverlap="1" wp14:anchorId="3A467815" wp14:editId="18ECF903">
                <wp:simplePos x="0" y="0"/>
                <wp:positionH relativeFrom="column">
                  <wp:posOffset>3629025</wp:posOffset>
                </wp:positionH>
                <wp:positionV relativeFrom="paragraph">
                  <wp:posOffset>153671</wp:posOffset>
                </wp:positionV>
                <wp:extent cx="277495" cy="45719"/>
                <wp:effectExtent l="0" t="38100" r="27305" b="88265"/>
                <wp:wrapNone/>
                <wp:docPr id="1008904791"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7495"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63B590A3" id="_x0000_t32" coordsize="21600,21600" o:spt="32" o:oned="t" path="m,l21600,21600e" filled="f">
                <v:path arrowok="t" fillok="f" o:connecttype="none"/>
                <o:lock v:ext="edit" shapetype="t"/>
              </v:shapetype>
              <v:shape id="Straight Arrow Connector 13" o:spid="_x0000_s1026" type="#_x0000_t32" style="position:absolute;margin-left:285.75pt;margin-top:12.1pt;width:21.85pt;height:3.6pt;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gWEAQIAAOEDAAAOAAAAZHJzL2Uyb0RvYy54bWysU8tu2zAQvBfoPxC815IdO7YFy0FhN70E&#10;rQGnH7ChKIkoX+Cylv33XdKPJO2tKA8EyeUMZ3eHq4ej0ewgAypnaz4elZxJK1yjbFfzH8+Pnxac&#10;YQTbgHZW1vwkkT+sP35YDb6SE9c73cjAiMRiNfia9zH6qihQ9NIAjpyXloKtCwYibUNXNAEGYje6&#10;mJTlfTG40PjghESk0+05yNeZv22liN/bFmVkuuakLeY55PklzcV6BVUXwPdKXGTAP6gwoCw9eqPa&#10;QgT2K6i/qIwSwaFr40g4U7i2VULmHCibcflHNvsevMy5UHHQ38qE/49WfDvsAlMN9a4sF8tyOl+O&#10;ObNgqFf7GEB1fWSfQ3AD2zhrqZ4usPFdqtvgsSL4xu5Cylwc7d4/OfETKVa8C6YN+vO1YxtMuk6p&#10;s2Puw+nWB3mMTNDhZD6fLmecCQpNZ/PxMj1XQHXF+oDxq3SGpUXN8aLzJnCcWwGHJ4xn4BWQHrbu&#10;UWlN51Bpy4aa39/NyBkCyH2thkhL46keaDvOQHdkaxFDZkSnVZPQCYwn3OjADkDOIkM2bngm/Zxp&#10;wEgBSiqPi/R30CRnC9ifwTl0NqJRkX6DVqbmixsaqghKf7ENiydPbYlBge20vDBrm9TI7PVLwq/1&#10;TqsX15x24doU8lGu5cXzyahv97l1rz9z/RsAAP//AwBQSwMEFAAGAAgAAAAhAMx7PFzfAAAACQEA&#10;AA8AAABkcnMvZG93bnJldi54bWxMj8FOwzAMhu9IvENkJC6IpenWgUrdaULiNKSKwQNkjUkLjVM1&#10;2VZ4esIJbrb86ff3V5vZDeJEU+g9I6hFBoK49aZni/D2+nR7DyJEzUYPngnhiwJs6suLSpfGn/mF&#10;TvtoRQrhUGqELsaxlDK0HTkdFn4kTrd3Pzkd0zpZaSZ9TuFukHmWraXTPacPnR7psaP2c390CHSj&#10;uVFN9v3x3MRxabeN3e0k4vXVvH0AEWmOfzD86id1qJPTwR/ZBDEgFHeqSChCvspBJGCtijQcEJZq&#10;BbKu5P8G9Q8AAAD//wMAUEsBAi0AFAAGAAgAAAAhALaDOJL+AAAA4QEAABMAAAAAAAAAAAAAAAAA&#10;AAAAAFtDb250ZW50X1R5cGVzXS54bWxQSwECLQAUAAYACAAAACEAOP0h/9YAAACUAQAACwAAAAAA&#10;AAAAAAAAAAAvAQAAX3JlbHMvLnJlbHNQSwECLQAUAAYACAAAACEAkmoFhAECAADhAwAADgAAAAAA&#10;AAAAAAAAAAAuAgAAZHJzL2Uyb0RvYy54bWxQSwECLQAUAAYACAAAACEAzHs8XN8AAAAJAQAADwAA&#10;AAAAAAAAAAAAAABbBAAAZHJzL2Rvd25yZXYueG1sUEsFBgAAAAAEAAQA8wAAAGcFAAAAAA==&#10;" strokecolor="windowText" strokeweight=".5pt">
                <v:stroke endarrow="block" joinstyle="miter"/>
                <o:lock v:ext="edit" shapetype="f"/>
              </v:shape>
            </w:pict>
          </mc:Fallback>
        </mc:AlternateContent>
      </w:r>
    </w:p>
    <w:p w14:paraId="38ADF6FE" w14:textId="77777777" w:rsidR="003A035E" w:rsidRPr="00715C4F" w:rsidRDefault="003A035E" w:rsidP="00715C4F">
      <w:pPr>
        <w:spacing w:after="0" w:line="360" w:lineRule="auto"/>
        <w:jc w:val="both"/>
        <w:rPr>
          <w:rFonts w:ascii="Arial" w:eastAsiaTheme="minorHAnsi" w:hAnsi="Arial" w:cs="Arial"/>
          <w:lang w:val="en-US" w:eastAsia="en-US"/>
        </w:rPr>
      </w:pPr>
    </w:p>
    <w:p w14:paraId="04E92DF7" w14:textId="77777777" w:rsidR="003A035E" w:rsidRPr="00715C4F" w:rsidRDefault="003A035E" w:rsidP="00715C4F">
      <w:pPr>
        <w:spacing w:after="0" w:line="360" w:lineRule="auto"/>
        <w:jc w:val="both"/>
        <w:rPr>
          <w:rFonts w:ascii="Arial" w:eastAsiaTheme="minorHAnsi" w:hAnsi="Arial" w:cs="Arial"/>
          <w:lang w:val="en-US" w:eastAsia="en-US"/>
        </w:rPr>
      </w:pPr>
    </w:p>
    <w:p w14:paraId="7BEFF566" w14:textId="1F6A40E1" w:rsidR="003A035E" w:rsidRPr="00715C4F" w:rsidRDefault="003A035E" w:rsidP="00715C4F">
      <w:pPr>
        <w:spacing w:after="0" w:line="360" w:lineRule="auto"/>
        <w:jc w:val="both"/>
        <w:rPr>
          <w:rFonts w:ascii="Arial" w:eastAsiaTheme="minorHAnsi" w:hAnsi="Arial" w:cs="Arial"/>
          <w:lang w:val="en-US" w:eastAsia="en-US"/>
        </w:rPr>
      </w:pPr>
    </w:p>
    <w:p w14:paraId="3FA64935" w14:textId="77777777" w:rsidR="003A035E" w:rsidRPr="00715C4F" w:rsidRDefault="003A035E" w:rsidP="00715C4F">
      <w:pPr>
        <w:spacing w:after="0" w:line="360" w:lineRule="auto"/>
        <w:jc w:val="both"/>
        <w:rPr>
          <w:rFonts w:ascii="Arial" w:eastAsiaTheme="minorHAnsi" w:hAnsi="Arial" w:cs="Arial"/>
          <w:lang w:val="en-US" w:eastAsia="en-US"/>
        </w:rPr>
      </w:pPr>
    </w:p>
    <w:p w14:paraId="69535988" w14:textId="7E161A99" w:rsidR="003A035E" w:rsidRPr="00715C4F" w:rsidRDefault="00D41930"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0" distB="0" distL="114299" distR="114299" simplePos="0" relativeHeight="251672576" behindDoc="0" locked="0" layoutInCell="1" allowOverlap="1" wp14:anchorId="1F69EBA1" wp14:editId="29ACD601">
                <wp:simplePos x="0" y="0"/>
                <wp:positionH relativeFrom="column">
                  <wp:posOffset>1619249</wp:posOffset>
                </wp:positionH>
                <wp:positionV relativeFrom="paragraph">
                  <wp:posOffset>29845</wp:posOffset>
                </wp:positionV>
                <wp:extent cx="45719" cy="214630"/>
                <wp:effectExtent l="76200" t="0" r="50165" b="61595"/>
                <wp:wrapNone/>
                <wp:docPr id="8911200"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5719" cy="21463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09F6AE17" id="_x0000_t32" coordsize="21600,21600" o:spt="32" o:oned="t" path="m,l21600,21600e" filled="f">
                <v:path arrowok="t" fillok="f" o:connecttype="none"/>
                <o:lock v:ext="edit" shapetype="t"/>
              </v:shapetype>
              <v:shape id="Straight Arrow Connector 12" o:spid="_x0000_s1026" type="#_x0000_t32" style="position:absolute;margin-left:127.5pt;margin-top:2.35pt;width:3.6pt;height:16.9pt;flip:x;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UNBAIAAOgDAAAOAAAAZHJzL2Uyb0RvYy54bWysU8tu2zAQvBfoPxC817KcRxPBclDYTXsI&#10;mgBJP2BDURJRvrDLWvbfd0m7TtLeiupALLna4ezscHmzc1ZsNZIJvpX1bC6F9ip0xg+t/P50++FK&#10;CkrgO7DB61buNcmb1ft3yyk2ehHGYDuNgkE8NVNs5ZhSbKqK1Kgd0CxE7TnZB3SQeItD1SFMjO5s&#10;tZjPL6spYBcxKE3Ep5tDUq4Kft9rle77nnQStpXMLZUVy/qc12q1hGZAiKNRRxrwDywcGM+XnqA2&#10;kED8RPMXlDMKA4U+zVRwVeh7o3Tpgbup53908zhC1KUXFofiSSb6f7Dq2/YBhelaeXVd16yoFB4c&#10;D+oxIZhhTOITYpjEOnjPYgYU9SKLNkVquHbtHzC3rXb+Md4F9YM4V71J5g3Fw2+7Hp3orYlf2StF&#10;L1ZA7Mo49qdx6F0Sig/PLz7W11Iozizq88uzMq0KmoySL41I6YsOTuSglXRkfKJ6uAG2d5Qyq5eC&#10;XOzDrbG2jN96MbXy8uyCm1fAJuwtJA5dZFnID1KAHdjdKmHhTMGaLldnHNrT2qLYAhuMfdmF6Yn5&#10;S2GBEie4qfJlzZjBm9JMewM0HopL6uBHZxI/CmscT+VUDU0CYz/7TqR95AElNOAHq4/I1mc2ulj+&#10;2PCL8jl6Dt3+AX+Ph+1UCB2tn/36es/x6we6+gUAAP//AwBQSwMEFAAGAAgAAAAhAOZK8uTcAAAA&#10;CAEAAA8AAABkcnMvZG93bnJldi54bWxMj8FOwzAQRO9I/IO1SNyoU4ObNmRTIVA/gIKgRzdekijx&#10;OordNvw95gTH0Yxm3pTb2Q3iTFPoPCMsFxkI4trbjhuE97fd3RpEiIatGTwTwjcF2FbXV6UprL/w&#10;K533sRGphENhENoYx0LKULfkTFj4kTh5X35yJiY5NdJO5pLK3SBVlq2kMx2nhdaM9NxS3e9PDmHX&#10;9Pmy0/XmZcr68PF50HlPI+Ltzfz0CCLSHP/C8Iuf0KFKTEd/YhvEgKC0Tl8iwkMOIvlqpRSII8L9&#10;WoOsSvn/QPUDAAD//wMAUEsBAi0AFAAGAAgAAAAhALaDOJL+AAAA4QEAABMAAAAAAAAAAAAAAAAA&#10;AAAAAFtDb250ZW50X1R5cGVzXS54bWxQSwECLQAUAAYACAAAACEAOP0h/9YAAACUAQAACwAAAAAA&#10;AAAAAAAAAAAvAQAAX3JlbHMvLnJlbHNQSwECLQAUAAYACAAAACEAof3lDQQCAADoAwAADgAAAAAA&#10;AAAAAAAAAAAuAgAAZHJzL2Uyb0RvYy54bWxQSwECLQAUAAYACAAAACEA5kry5NwAAAAIAQAADwAA&#10;AAAAAAAAAAAAAABeBAAAZHJzL2Rvd25yZXYueG1sUEsFBgAAAAAEAAQA8wAAAGcFAAAAAA==&#10;" strokecolor="windowText" strokeweight=".5pt">
                <v:stroke endarrow="block" joinstyle="miter"/>
                <o:lock v:ext="edit" shapetype="f"/>
              </v:shape>
            </w:pict>
          </mc:Fallback>
        </mc:AlternateContent>
      </w:r>
      <w:r w:rsidR="003A035E" w:rsidRPr="00715C4F">
        <w:rPr>
          <w:rFonts w:ascii="Arial" w:eastAsiaTheme="minorHAnsi" w:hAnsi="Arial" w:cs="Arial"/>
          <w:noProof/>
          <w:lang w:val="en-US" w:eastAsia="en-US"/>
        </w:rPr>
        <mc:AlternateContent>
          <mc:Choice Requires="wps">
            <w:drawing>
              <wp:anchor distT="0" distB="0" distL="114300" distR="114300" simplePos="0" relativeHeight="251662336" behindDoc="0" locked="0" layoutInCell="1" allowOverlap="1" wp14:anchorId="250ACBAD" wp14:editId="2A346013">
                <wp:simplePos x="0" y="0"/>
                <wp:positionH relativeFrom="column">
                  <wp:posOffset>3048000</wp:posOffset>
                </wp:positionH>
                <wp:positionV relativeFrom="paragraph">
                  <wp:posOffset>132715</wp:posOffset>
                </wp:positionV>
                <wp:extent cx="1887220" cy="609600"/>
                <wp:effectExtent l="0" t="0" r="0" b="0"/>
                <wp:wrapNone/>
                <wp:docPr id="134886744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609600"/>
                        </a:xfrm>
                        <a:prstGeom prst="rect">
                          <a:avLst/>
                        </a:prstGeom>
                        <a:noFill/>
                        <a:ln w="12700" cap="flat" cmpd="sng" algn="ctr">
                          <a:solidFill>
                            <a:sysClr val="windowText" lastClr="000000"/>
                          </a:solidFill>
                          <a:prstDash val="solid"/>
                          <a:miter lim="800000"/>
                        </a:ln>
                        <a:effectLst/>
                      </wps:spPr>
                      <wps:txbx>
                        <w:txbxContent>
                          <w:p w14:paraId="279F9CC7" w14:textId="77777777" w:rsidR="00D5404B" w:rsidRPr="00662EFF" w:rsidRDefault="00D5404B" w:rsidP="003A035E">
                            <w:pPr>
                              <w:spacing w:after="0" w:line="240" w:lineRule="auto"/>
                              <w:rPr>
                                <w:rFonts w:ascii="Arial" w:hAnsi="Arial" w:cs="Arial"/>
                                <w:color w:val="000000" w:themeColor="text1"/>
                                <w:szCs w:val="24"/>
                              </w:rPr>
                            </w:pPr>
                            <w:r w:rsidRPr="00662EFF">
                              <w:rPr>
                                <w:rFonts w:ascii="Arial" w:hAnsi="Arial" w:cs="Arial"/>
                                <w:color w:val="000000" w:themeColor="text1"/>
                                <w:szCs w:val="24"/>
                              </w:rPr>
                              <w:t xml:space="preserve">Records excluded </w:t>
                            </w:r>
                            <w:r w:rsidRPr="00662EFF">
                              <w:rPr>
                                <w:rFonts w:ascii="Arial" w:hAnsi="Arial" w:cs="Arial"/>
                                <w:color w:val="000000" w:themeColor="text1"/>
                                <w:kern w:val="24"/>
                                <w:szCs w:val="24"/>
                              </w:rPr>
                              <w:t xml:space="preserve">based on Title- </w:t>
                            </w:r>
                            <w:r w:rsidRPr="00662EFF">
                              <w:rPr>
                                <w:rFonts w:ascii="Arial" w:hAnsi="Arial" w:cs="Arial"/>
                                <w:color w:val="000000" w:themeColor="dark1"/>
                                <w:kern w:val="24"/>
                                <w:szCs w:val="24"/>
                              </w:rPr>
                              <w:t>(n= 420)</w:t>
                            </w:r>
                          </w:p>
                          <w:p w14:paraId="314E3644" w14:textId="77777777" w:rsidR="00D5404B" w:rsidRPr="00662EFF" w:rsidRDefault="00D5404B" w:rsidP="003A035E">
                            <w:pPr>
                              <w:spacing w:after="0"/>
                              <w:rPr>
                                <w:rFonts w:ascii="Arial" w:hAnsi="Arial" w:cs="Arial"/>
                                <w:color w:val="000000" w:themeColor="text1"/>
                                <w:kern w:val="24"/>
                                <w:szCs w:val="24"/>
                              </w:rPr>
                            </w:pPr>
                            <w:r w:rsidRPr="00662EFF">
                              <w:rPr>
                                <w:rFonts w:ascii="Arial" w:hAnsi="Arial" w:cs="Arial"/>
                                <w:color w:val="000000" w:themeColor="text1"/>
                                <w:kern w:val="24"/>
                                <w:szCs w:val="24"/>
                              </w:rPr>
                              <w:t xml:space="preserve">Abstract </w:t>
                            </w:r>
                            <w:r w:rsidRPr="00662EFF">
                              <w:rPr>
                                <w:rFonts w:ascii="Arial" w:hAnsi="Arial" w:cs="Arial"/>
                                <w:color w:val="000000" w:themeColor="dark1"/>
                                <w:kern w:val="24"/>
                                <w:szCs w:val="24"/>
                              </w:rPr>
                              <w:t>(n= 170)</w:t>
                            </w:r>
                          </w:p>
                          <w:p w14:paraId="20849C7B" w14:textId="77777777" w:rsidR="00D5404B" w:rsidRDefault="00D5404B" w:rsidP="003A035E">
                            <w:pPr>
                              <w:spacing w:after="0" w:line="240" w:lineRule="auto"/>
                              <w:rPr>
                                <w:rFonts w:ascii="Arial" w:hAnsi="Arial" w:cs="Arial"/>
                                <w:color w:val="000000" w:themeColor="text1"/>
                                <w:sz w:val="18"/>
                                <w:szCs w:val="20"/>
                              </w:rPr>
                            </w:pPr>
                          </w:p>
                          <w:p w14:paraId="1A73E2FE" w14:textId="77777777" w:rsidR="00D5404B" w:rsidRPr="00560609" w:rsidRDefault="00D5404B" w:rsidP="003A035E">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ACBAD" id="Rectangle 11" o:spid="_x0000_s1029" style="position:absolute;left:0;text-align:left;margin-left:240pt;margin-top:10.45pt;width:148.6pt;height: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O2YjgIAABEFAAAOAAAAZHJzL2Uyb0RvYy54bWysVE1v2zAMvQ/YfxB0Xx2nWZIadYogQYcB&#10;QVusHXpmZDkWpq9JSuzs14+SnTbtdhrmgyCZFMn3+Kjrm05JcuDOC6NLml+MKOGamUroXUm/P91+&#10;mlPiA+gKpNG8pEfu6c3i44fr1hZ8bBojK+4IBtG+aG1JmxBskWWeNVyBvzCWazTWxikIeHS7rHLQ&#10;YnQls/FoNM1a4yrrDOPe4991b6SLFL+uOQv3de15ILKkWFtIq0vrNq7Z4hqKnQPbCDaUAf9QhQKh&#10;MelLqDUEIHsn/gilBHPGmzpcMKMyU9eC8YQB0eSjd2geG7A8YUFyvH2hyf+/sOzu8OCIqLB3l5P5&#10;fDqbTKaUaFDYq2/IHuid5CTPI1Gt9QX6P9oHF6F6uzHsh0dD9sYSD37w6Wqnoi8CJV1i/fjCOu8C&#10;Yfgzn89n4zE2h6FtOrqajlJbMihOt63z4Qs3isRNSR3WlciGw8aHmB+Kk0tMps2tkDJ1VmrSYobx&#10;DGMSBiiwWkLArbII2esdJSB3qFwWXArpjRRVvJ4QHv1KOnIAFA9qrjLtExZNiQQf0IBI0he5wRLe&#10;XI31rME3/eVk6rWmREDBS6FKOj+/LXXMyJNkB1SvRMZd6LZdatTlqRdbUx2xec70qvaW3QpMu8Hq&#10;HsChjBEzjma4x6WWBokww46Sxrhff/sf/VFdaKWkxbFAkn7uwXEE/VWj7q7yySTOUTpMPs9i39y5&#10;ZXtu0Xu1Mkhejo+AZWkb/YM8bWtn1DNO8DJmRRNohrn7dgyHVejHFd8AxpfL5IazYyFs9KNlMXhk&#10;LhL+1D2Ds4NKArbqzpxGCIp3Yul9e7ks98HUIikpMt3zOsga5y51d3gj4mCfn5PX60u2+A0AAP//&#10;AwBQSwMEFAAGAAgAAAAhAJyQ97jgAAAACgEAAA8AAABkcnMvZG93bnJldi54bWxMj1FLwzAUhd8F&#10;/0O4gm8uaRlrV5sOFQZ7kMGmCL5lTWyKzU1J0q3+e69P7vFyP875Tr2Z3cDOJsTeo4RsIYAZbL3u&#10;sZPw/rZ9KIHFpFCrwaOR8GMibJrbm1pV2l/wYM7H1DEKwVgpCTalseI8ttY4FRd+NEi/Lx+cSnSG&#10;juugLhTuBp4LseJO9UgNVo3mxZr2+zg5Cfttme1c+Hz+OLRx2vule91ZJ+X93fz0CCyZOf3D8KdP&#10;6tCQ08lPqCMbJCxLQVuShFysgRFQFEUO7ERktloDb2p+PaH5BQAA//8DAFBLAQItABQABgAIAAAA&#10;IQC2gziS/gAAAOEBAAATAAAAAAAAAAAAAAAAAAAAAABbQ29udGVudF9UeXBlc10ueG1sUEsBAi0A&#10;FAAGAAgAAAAhADj9If/WAAAAlAEAAAsAAAAAAAAAAAAAAAAALwEAAF9yZWxzLy5yZWxzUEsBAi0A&#10;FAAGAAgAAAAhABrk7ZiOAgAAEQUAAA4AAAAAAAAAAAAAAAAALgIAAGRycy9lMm9Eb2MueG1sUEsB&#10;Ai0AFAAGAAgAAAAhAJyQ97jgAAAACgEAAA8AAAAAAAAAAAAAAAAA6AQAAGRycy9kb3ducmV2Lnht&#10;bFBLBQYAAAAABAAEAPMAAAD1BQAAAAA=&#10;" filled="f" strokecolor="windowText" strokeweight="1pt">
                <v:path arrowok="t"/>
                <v:textbox>
                  <w:txbxContent>
                    <w:p w14:paraId="279F9CC7" w14:textId="77777777" w:rsidR="00D5404B" w:rsidRPr="00662EFF" w:rsidRDefault="00D5404B" w:rsidP="003A035E">
                      <w:pPr>
                        <w:spacing w:after="0" w:line="240" w:lineRule="auto"/>
                        <w:rPr>
                          <w:rFonts w:ascii="Arial" w:hAnsi="Arial" w:cs="Arial"/>
                          <w:color w:val="000000" w:themeColor="text1"/>
                          <w:szCs w:val="24"/>
                        </w:rPr>
                      </w:pPr>
                      <w:r w:rsidRPr="00662EFF">
                        <w:rPr>
                          <w:rFonts w:ascii="Arial" w:hAnsi="Arial" w:cs="Arial"/>
                          <w:color w:val="000000" w:themeColor="text1"/>
                          <w:szCs w:val="24"/>
                        </w:rPr>
                        <w:t xml:space="preserve">Records excluded </w:t>
                      </w:r>
                      <w:r w:rsidRPr="00662EFF">
                        <w:rPr>
                          <w:rFonts w:ascii="Arial" w:hAnsi="Arial" w:cs="Arial"/>
                          <w:color w:val="000000" w:themeColor="text1"/>
                          <w:kern w:val="24"/>
                          <w:szCs w:val="24"/>
                        </w:rPr>
                        <w:t xml:space="preserve">based on Title- </w:t>
                      </w:r>
                      <w:r w:rsidRPr="00662EFF">
                        <w:rPr>
                          <w:rFonts w:ascii="Arial" w:hAnsi="Arial" w:cs="Arial"/>
                          <w:color w:val="000000" w:themeColor="dark1"/>
                          <w:kern w:val="24"/>
                          <w:szCs w:val="24"/>
                        </w:rPr>
                        <w:t>(n= 420)</w:t>
                      </w:r>
                    </w:p>
                    <w:p w14:paraId="314E3644" w14:textId="77777777" w:rsidR="00D5404B" w:rsidRPr="00662EFF" w:rsidRDefault="00D5404B" w:rsidP="003A035E">
                      <w:pPr>
                        <w:spacing w:after="0"/>
                        <w:rPr>
                          <w:rFonts w:ascii="Arial" w:hAnsi="Arial" w:cs="Arial"/>
                          <w:color w:val="000000" w:themeColor="text1"/>
                          <w:kern w:val="24"/>
                          <w:szCs w:val="24"/>
                        </w:rPr>
                      </w:pPr>
                      <w:r w:rsidRPr="00662EFF">
                        <w:rPr>
                          <w:rFonts w:ascii="Arial" w:hAnsi="Arial" w:cs="Arial"/>
                          <w:color w:val="000000" w:themeColor="text1"/>
                          <w:kern w:val="24"/>
                          <w:szCs w:val="24"/>
                        </w:rPr>
                        <w:t xml:space="preserve">Abstract </w:t>
                      </w:r>
                      <w:r w:rsidRPr="00662EFF">
                        <w:rPr>
                          <w:rFonts w:ascii="Arial" w:hAnsi="Arial" w:cs="Arial"/>
                          <w:color w:val="000000" w:themeColor="dark1"/>
                          <w:kern w:val="24"/>
                          <w:szCs w:val="24"/>
                        </w:rPr>
                        <w:t>(n= 170)</w:t>
                      </w:r>
                    </w:p>
                    <w:p w14:paraId="20849C7B" w14:textId="77777777" w:rsidR="00D5404B" w:rsidRDefault="00D5404B" w:rsidP="003A035E">
                      <w:pPr>
                        <w:spacing w:after="0" w:line="240" w:lineRule="auto"/>
                        <w:rPr>
                          <w:rFonts w:ascii="Arial" w:hAnsi="Arial" w:cs="Arial"/>
                          <w:color w:val="000000" w:themeColor="text1"/>
                          <w:sz w:val="18"/>
                          <w:szCs w:val="20"/>
                        </w:rPr>
                      </w:pPr>
                    </w:p>
                    <w:p w14:paraId="1A73E2FE" w14:textId="77777777" w:rsidR="00D5404B" w:rsidRPr="00560609" w:rsidRDefault="00D5404B" w:rsidP="003A035E">
                      <w:pPr>
                        <w:spacing w:after="0" w:line="240" w:lineRule="auto"/>
                        <w:rPr>
                          <w:rFonts w:ascii="Arial" w:hAnsi="Arial" w:cs="Arial"/>
                          <w:color w:val="000000" w:themeColor="text1"/>
                          <w:sz w:val="18"/>
                          <w:szCs w:val="20"/>
                        </w:rPr>
                      </w:pPr>
                      <w:r>
                        <w:rPr>
                          <w:rFonts w:ascii="Arial" w:hAnsi="Arial" w:cs="Arial"/>
                          <w:color w:val="000000" w:themeColor="text1"/>
                          <w:sz w:val="18"/>
                          <w:szCs w:val="20"/>
                        </w:rPr>
                        <w:t>(n = )</w:t>
                      </w:r>
                    </w:p>
                  </w:txbxContent>
                </v:textbox>
              </v:rect>
            </w:pict>
          </mc:Fallback>
        </mc:AlternateContent>
      </w:r>
    </w:p>
    <w:p w14:paraId="3D9EAA19" w14:textId="77777777" w:rsidR="003A035E" w:rsidRPr="00715C4F" w:rsidRDefault="003A035E"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0" distB="0" distL="114300" distR="114300" simplePos="0" relativeHeight="251661312" behindDoc="0" locked="0" layoutInCell="1" allowOverlap="1" wp14:anchorId="36568388" wp14:editId="3000CEF3">
                <wp:simplePos x="0" y="0"/>
                <wp:positionH relativeFrom="column">
                  <wp:posOffset>559435</wp:posOffset>
                </wp:positionH>
                <wp:positionV relativeFrom="paragraph">
                  <wp:posOffset>45085</wp:posOffset>
                </wp:positionV>
                <wp:extent cx="1887220" cy="526415"/>
                <wp:effectExtent l="0" t="0" r="0" b="6985"/>
                <wp:wrapNone/>
                <wp:docPr id="14173618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6AD7E89D" w14:textId="77777777" w:rsidR="00D5404B" w:rsidRPr="00662EFF" w:rsidRDefault="00D5404B" w:rsidP="003A035E">
                            <w:pPr>
                              <w:spacing w:after="0"/>
                              <w:jc w:val="center"/>
                              <w:rPr>
                                <w:rFonts w:ascii="Arial" w:hAnsi="Arial" w:cs="Arial"/>
                                <w:color w:val="000000" w:themeColor="text1"/>
                                <w:kern w:val="24"/>
                                <w:szCs w:val="24"/>
                              </w:rPr>
                            </w:pPr>
                            <w:r w:rsidRPr="00662EFF">
                              <w:rPr>
                                <w:rFonts w:ascii="Arial" w:hAnsi="Arial" w:cs="Arial"/>
                                <w:color w:val="000000" w:themeColor="text1"/>
                                <w:kern w:val="24"/>
                                <w:szCs w:val="24"/>
                              </w:rPr>
                              <w:t>Records screened</w:t>
                            </w:r>
                          </w:p>
                          <w:p w14:paraId="7803ADAB" w14:textId="77777777" w:rsidR="00D5404B" w:rsidRPr="00662EFF" w:rsidRDefault="00D5404B" w:rsidP="003A035E">
                            <w:pPr>
                              <w:spacing w:after="0"/>
                              <w:jc w:val="center"/>
                              <w:rPr>
                                <w:rFonts w:ascii="Arial" w:hAnsi="Arial" w:cs="Arial"/>
                                <w:color w:val="000000" w:themeColor="text1"/>
                                <w:kern w:val="24"/>
                                <w:szCs w:val="24"/>
                              </w:rPr>
                            </w:pPr>
                            <w:r w:rsidRPr="00662EFF">
                              <w:rPr>
                                <w:rFonts w:ascii="Arial" w:hAnsi="Arial" w:cs="Arial"/>
                                <w:color w:val="000000" w:themeColor="text1"/>
                                <w:kern w:val="24"/>
                                <w:szCs w:val="24"/>
                              </w:rPr>
                              <w:t>(n=680)</w:t>
                            </w:r>
                          </w:p>
                          <w:p w14:paraId="402A62D8" w14:textId="77777777" w:rsidR="00D5404B" w:rsidRPr="00560609" w:rsidRDefault="00D5404B" w:rsidP="003A035E">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568388" id="Rectangle 10" o:spid="_x0000_s1030" style="position:absolute;left:0;text-align:left;margin-left:44.05pt;margin-top:3.55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XXCigIAABAFAAAOAAAAZHJzL2Uyb0RvYy54bWysVE1v2zAMvQ/YfxB0Xx1nbpMZdYqgRYcB&#10;QRu0HXpmZDkWpq9JSuzs14+SnTbtdhrmgyGJFMn3+KjLq15JsufOC6Mrmp9NKOGamVrobUW/P91+&#10;mlPiA+gapNG8ogfu6dXi44fLzpZ8aloja+4IBtG+7GxF2xBsmWWetVyBPzOWazQ2xikIuHXbrHbQ&#10;YXQls+lkcpF1xtXWGca9x9ObwUgXKX7TcBbum8bzQGRFsbaQ/i79N/GfLS6h3DqwrWBjGfAPVSgQ&#10;GpO+hLqBAGTnxB+hlGDOeNOEM2ZUZppGMJ4wIJp88g7NYwuWJyxIjrcvNPn/F5bd7deOiBp7V+Sz&#10;zxf5vKBEg8JWPSB5oLeSkzzx1FlfovujXbuI1NuVYT88Epi9scSNH336xqnoizhJn0g/vJDO+0AY&#10;Hubz+Ww6xd4wtJ1PL4r8PHYlg/J42zofvnKjSFxU1GFdiWvYr3wYXI8uMZk2t0LK1FipSYcZprNJ&#10;jA+or0ZCwKWyiNjrLSUgtyhcFlwK6Y0UdbyeEB78tXRkD6gdlFxtuicsmhIJPqABkaRvrPbN1VjP&#10;Dfh2uJxMg9SUCKh3KVRF56e3pY4ZeVLsiOqVyLgK/aZPfSpioHiyMfUBe+fMIGpv2a3AtCusbg0O&#10;VYyYcTLDPf4aaZAIM64oaY379bfz6I/iQislHU4FkvRzB44j6G8aZfclL4o4RmlTnM9i39ypZXNq&#10;0Tt1bZC8HN8Ay9Iy+gd5XDbOqGcc4GXMiibQDHMP7Rg312GYVnwCGF8ukxuOjoWw0o+WxeCRuUj4&#10;U/8Mzo4qCdiqO3OcICjfiWXwHeSy3AXTiKSkV15HWePYJS2OT0Sc69N98np9yBa/AQAA//8DAFBL&#10;AwQUAAYACAAAACEAvEZSq94AAAAHAQAADwAAAGRycy9kb3ducmV2LnhtbEyOT0sDMRTE74LfITzB&#10;m03W+ieumy0qFHqQQmspeEs3z83i5mVJsu367Y2nehqGGWZ+1WJyPTtiiJ0nBcVMAENqvOmoVbD7&#10;WN5IYDFpMrr3hAp+MMKivryodGn8iTZ43KaW5RGKpVZgUxpKzmNj0ek48wNSzr58cDplG1pugj7l&#10;cdfzWyEeuNMd5QerB3yz2HxvR6dgvZTFyoXP1/2miePa37n3lXVKXV9NL8/AEk7pXIY//IwOdWY6&#10;+JFMZL0CKYvcVPCYJcdzeT8HdlDwJATwuuL/+etfAAAA//8DAFBLAQItABQABgAIAAAAIQC2gziS&#10;/gAAAOEBAAATAAAAAAAAAAAAAAAAAAAAAABbQ29udGVudF9UeXBlc10ueG1sUEsBAi0AFAAGAAgA&#10;AAAhADj9If/WAAAAlAEAAAsAAAAAAAAAAAAAAAAALwEAAF9yZWxzLy5yZWxzUEsBAi0AFAAGAAgA&#10;AAAhAJyddcKKAgAAEAUAAA4AAAAAAAAAAAAAAAAALgIAAGRycy9lMm9Eb2MueG1sUEsBAi0AFAAG&#10;AAgAAAAhALxGUqveAAAABwEAAA8AAAAAAAAAAAAAAAAA5AQAAGRycy9kb3ducmV2LnhtbFBLBQYA&#10;AAAABAAEAPMAAADvBQAAAAA=&#10;" filled="f" strokecolor="windowText" strokeweight="1pt">
                <v:path arrowok="t"/>
                <v:textbox>
                  <w:txbxContent>
                    <w:p w14:paraId="6AD7E89D" w14:textId="77777777" w:rsidR="00D5404B" w:rsidRPr="00662EFF" w:rsidRDefault="00D5404B" w:rsidP="003A035E">
                      <w:pPr>
                        <w:spacing w:after="0"/>
                        <w:jc w:val="center"/>
                        <w:rPr>
                          <w:rFonts w:ascii="Arial" w:hAnsi="Arial" w:cs="Arial"/>
                          <w:color w:val="000000" w:themeColor="text1"/>
                          <w:kern w:val="24"/>
                          <w:szCs w:val="24"/>
                        </w:rPr>
                      </w:pPr>
                      <w:r w:rsidRPr="00662EFF">
                        <w:rPr>
                          <w:rFonts w:ascii="Arial" w:hAnsi="Arial" w:cs="Arial"/>
                          <w:color w:val="000000" w:themeColor="text1"/>
                          <w:kern w:val="24"/>
                          <w:szCs w:val="24"/>
                        </w:rPr>
                        <w:t>Records screened</w:t>
                      </w:r>
                    </w:p>
                    <w:p w14:paraId="7803ADAB" w14:textId="77777777" w:rsidR="00D5404B" w:rsidRPr="00662EFF" w:rsidRDefault="00D5404B" w:rsidP="003A035E">
                      <w:pPr>
                        <w:spacing w:after="0"/>
                        <w:jc w:val="center"/>
                        <w:rPr>
                          <w:rFonts w:ascii="Arial" w:hAnsi="Arial" w:cs="Arial"/>
                          <w:color w:val="000000" w:themeColor="text1"/>
                          <w:kern w:val="24"/>
                          <w:szCs w:val="24"/>
                        </w:rPr>
                      </w:pPr>
                      <w:r w:rsidRPr="00662EFF">
                        <w:rPr>
                          <w:rFonts w:ascii="Arial" w:hAnsi="Arial" w:cs="Arial"/>
                          <w:color w:val="000000" w:themeColor="text1"/>
                          <w:kern w:val="24"/>
                          <w:szCs w:val="24"/>
                        </w:rPr>
                        <w:t>(n=680)</w:t>
                      </w:r>
                    </w:p>
                    <w:p w14:paraId="402A62D8" w14:textId="77777777" w:rsidR="00D5404B" w:rsidRPr="00560609" w:rsidRDefault="00D5404B" w:rsidP="003A035E">
                      <w:pPr>
                        <w:spacing w:after="0" w:line="240" w:lineRule="auto"/>
                        <w:rPr>
                          <w:rFonts w:ascii="Arial" w:hAnsi="Arial" w:cs="Arial"/>
                          <w:color w:val="000000" w:themeColor="text1"/>
                          <w:sz w:val="18"/>
                          <w:szCs w:val="20"/>
                        </w:rPr>
                      </w:pPr>
                    </w:p>
                  </w:txbxContent>
                </v:textbox>
              </v:rect>
            </w:pict>
          </mc:Fallback>
        </mc:AlternateContent>
      </w:r>
    </w:p>
    <w:p w14:paraId="0AF045F2" w14:textId="77777777" w:rsidR="003A035E" w:rsidRPr="00715C4F" w:rsidRDefault="003A035E"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4294967295" distB="4294967295" distL="114300" distR="114300" simplePos="0" relativeHeight="251667456" behindDoc="0" locked="0" layoutInCell="1" allowOverlap="1" wp14:anchorId="2A101240" wp14:editId="4598F026">
                <wp:simplePos x="0" y="0"/>
                <wp:positionH relativeFrom="column">
                  <wp:posOffset>2453640</wp:posOffset>
                </wp:positionH>
                <wp:positionV relativeFrom="paragraph">
                  <wp:posOffset>53974</wp:posOffset>
                </wp:positionV>
                <wp:extent cx="563245" cy="0"/>
                <wp:effectExtent l="0" t="76200" r="8255" b="76200"/>
                <wp:wrapNone/>
                <wp:docPr id="1317303106"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D4B467" id="Straight Arrow Connector 9" o:spid="_x0000_s1026" type="#_x0000_t32" style="position:absolute;margin-left:193.2pt;margin-top:4.25pt;width:44.3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om+wEAANwDAAAOAAAAZHJzL2Uyb0RvYy54bWysU9uO0zAQfUfiHyy/0/RCyxI1XaGW5WUF&#10;K+3yAbOOk1j4phnTtH/P2L2wC2+IPFhjT+b4zJzj9e3BWbHXSCb4Rs4mUym0V6E1vm/k96e7dzdS&#10;UALfgg1eN/KoSd5u3r5Zj7HW8zAE22oUDOKpHmMjh5RiXVWkBu2AJiFqz8kuoIPEW+yrFmFkdGer&#10;+XS6qsaAbcSgNBGf7k5JuSn4XadV+tZ1pJOwjWRuqaxY1ue8Vps11D1CHIw604B/YOHAeL70CrWD&#10;BOInmr+gnFEYKHRpooKrQtcZpUsP3M1s+kc3jwNEXXrh4VC8jon+H6z6un9AYVrWbjH7sJguZtOV&#10;FB4ca/WYEEw/JPEJMYxiG7zneQYUH/PYxkg1V2/9A+bG1cE/xvugfhDnqlfJvKF4+u3Qocu/c+fi&#10;UGQ4XmXQhyQUHy5Xi/n7pRTqkqqgvtRFpPRFBydy0Eg6U7xymxUVYH9PKfOA+lKQL/XhzlhbJLde&#10;jI1cLZZsCgVsvM5C4tBFHgX5XgqwPTtaJSyIFKxpc3XGoSNtLYo9sKnYi20Yn5i7FBYocYIbKl+e&#10;EjN4VZrp7ICGU3FJnTzoTOKHYI1r5M21GuoExn72rUjHyIokNOB7q8/I1mc2utj83PDvWefoObTH&#10;B7wIwhYqhM52zx59uef45aPc/AIAAP//AwBQSwMEFAAGAAgAAAAhAAEBndzcAAAABwEAAA8AAABk&#10;cnMvZG93bnJldi54bWxMjs1OwzAQhO9IvIO1lbgg6oT+EIU4VYXEqUhRWx5gGy9OaLyOYrcNPD2G&#10;Cz2OZvTNV6xG24kzDb51rCCdJiCIa6dbNgre968PGQgfkDV2jknBF3lYlbc3BebaXXhL510wIkLY&#10;56igCaHPpfR1Qxb91PXEsftwg8UQ42CkHvAS4baTj0mylBZbjg8N9vTSUH3cnawCukeu0ir5/nyr&#10;Qj8z68psNlKpu8m4fgYRaAz/Y/jVj+pQRqeDO7H2olMwy5bzOFWQLUDEfv60SEEc/rIsC3ntX/4A&#10;AAD//wMAUEsBAi0AFAAGAAgAAAAhALaDOJL+AAAA4QEAABMAAAAAAAAAAAAAAAAAAAAAAFtDb250&#10;ZW50X1R5cGVzXS54bWxQSwECLQAUAAYACAAAACEAOP0h/9YAAACUAQAACwAAAAAAAAAAAAAAAAAv&#10;AQAAX3JlbHMvLnJlbHNQSwECLQAUAAYACAAAACEAxH4KJvsBAADcAwAADgAAAAAAAAAAAAAAAAAu&#10;AgAAZHJzL2Uyb0RvYy54bWxQSwECLQAUAAYACAAAACEAAQGd3NwAAAAHAQAADwAAAAAAAAAAAAAA&#10;AABVBAAAZHJzL2Rvd25yZXYueG1sUEsFBgAAAAAEAAQA8wAAAF4FAAAAAA==&#10;" strokecolor="windowText" strokeweight=".5pt">
                <v:stroke endarrow="block" joinstyle="miter"/>
                <o:lock v:ext="edit" shapetype="f"/>
              </v:shape>
            </w:pict>
          </mc:Fallback>
        </mc:AlternateContent>
      </w:r>
    </w:p>
    <w:p w14:paraId="3EB8059E" w14:textId="77777777" w:rsidR="003A035E" w:rsidRPr="00715C4F" w:rsidRDefault="003A035E" w:rsidP="00715C4F">
      <w:pPr>
        <w:spacing w:after="0" w:line="360" w:lineRule="auto"/>
        <w:jc w:val="both"/>
        <w:rPr>
          <w:rFonts w:ascii="Arial" w:eastAsiaTheme="minorHAnsi" w:hAnsi="Arial" w:cs="Arial"/>
          <w:lang w:val="en-US" w:eastAsia="en-US"/>
        </w:rPr>
      </w:pPr>
    </w:p>
    <w:p w14:paraId="34BC5AC9" w14:textId="77777777" w:rsidR="003A035E" w:rsidRPr="00715C4F" w:rsidRDefault="003A035E" w:rsidP="00715C4F">
      <w:pPr>
        <w:spacing w:after="0" w:line="360" w:lineRule="auto"/>
        <w:jc w:val="both"/>
        <w:rPr>
          <w:rFonts w:ascii="Arial" w:eastAsiaTheme="minorHAnsi" w:hAnsi="Arial" w:cs="Arial"/>
          <w:lang w:val="en-US" w:eastAsia="en-US"/>
        </w:rPr>
      </w:pPr>
    </w:p>
    <w:p w14:paraId="38F3A970" w14:textId="77777777" w:rsidR="003A035E" w:rsidRPr="00715C4F" w:rsidRDefault="003A035E"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0" distB="0" distL="114299" distR="114299" simplePos="0" relativeHeight="251673600" behindDoc="0" locked="0" layoutInCell="1" allowOverlap="1" wp14:anchorId="1741C5E9" wp14:editId="515248E5">
                <wp:simplePos x="0" y="0"/>
                <wp:positionH relativeFrom="column">
                  <wp:posOffset>1409699</wp:posOffset>
                </wp:positionH>
                <wp:positionV relativeFrom="paragraph">
                  <wp:posOffset>130810</wp:posOffset>
                </wp:positionV>
                <wp:extent cx="0" cy="281305"/>
                <wp:effectExtent l="76200" t="0" r="38100" b="42545"/>
                <wp:wrapNone/>
                <wp:docPr id="236428903"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BA26EA7" id="Straight Arrow Connector 8" o:spid="_x0000_s1026" type="#_x0000_t32" style="position:absolute;margin-left:111pt;margin-top:10.3pt;width:0;height:22.15pt;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H6t+gEAANsDAAAOAAAAZHJzL2Uyb0RvYy54bWysU02P0zAQvSPxHyzfadKWrUrUdIValssK&#10;KnX5AbOOk1j4Sx7TtP+esZN2d+GGyMGyZ/Ke38w8b+7PRrOTDKicrfl8VnImrXCNsl3Nfzw9fFhz&#10;hhFsA9pZWfOLRH6/ff9uM/hKLlzvdCMDIxKL1eBr3sfoq6JA0UsDOHNeWkq2LhiIdAxd0QQYiN3o&#10;YlGWq2JwofHBCYlI0f2Y5NvM37ZSxO9tizIyXXPSFvMa8vqc1mK7gaoL4HslJhnwDyoMKEuX3qj2&#10;EIH9CuovKqNEcOjaOBPOFK5tlZC5BqpmXv5RzbEHL3Mt1Bz0tzbh/6MV306HwFRT88Vy9XGx/lQu&#10;ObNgaFTHGEB1fWSfQ3AD2zlrqZ0usHXq2uCxIvDOHkKqW5zt0T868RMpV7xJpgP68bdzG0z6nQpn&#10;5zyFy20K8hyZGIOCoov1fFnepasKqK44HzB+lc6wtKk5ThJv2uZ5CHB6xDgCr4B0qXUPSmuKQ6Ut&#10;G2q+Wt6RJwSQ71oNkbbGUyfQdpyB7sjQIobMiE6rJqETGC+404GdgDxFVmzc8ETaOdOAkRJUUP4m&#10;6W+gSc4esB/BOTVa0KhI70ArU/P1DQ1VBKW/2IbFi6eJxKDAdlpOzNomNTK7fCr4pddp9+yayyFc&#10;B0IOyr2c3J4s+vqcx/byJre/AQAA//8DAFBLAwQUAAYACAAAACEA5/LkNd0AAAAJAQAADwAAAGRy&#10;cy9kb3ducmV2LnhtbEyPQU/DMAyF70j8h8hIXBBLV1AFpek0IXEaUsXgB3iNSQuNUzXZVvj1GHFg&#10;N9vv6fl71Wr2gzrQFPvABpaLDBRxG2zPzsDb69P1HaiYkC0OgcnAF0VY1ednFZY2HPmFDtvklIRw&#10;LNFAl9JYah3bjjzGRRiJRXsPk8ck6+S0nfAo4X7QeZYV2mPP8qHDkR47aj+3e2+ArpCbZZN9fzw3&#10;abxx68ZtNtqYy4t5/QAq0Zz+zfCLL+hQC9Mu7NlGNRjI81y6JBmyApQY/g47A8XtPei60qcN6h8A&#10;AAD//wMAUEsBAi0AFAAGAAgAAAAhALaDOJL+AAAA4QEAABMAAAAAAAAAAAAAAAAAAAAAAFtDb250&#10;ZW50X1R5cGVzXS54bWxQSwECLQAUAAYACAAAACEAOP0h/9YAAACUAQAACwAAAAAAAAAAAAAAAAAv&#10;AQAAX3JlbHMvLnJlbHNQSwECLQAUAAYACAAAACEAk3h+rfoBAADbAwAADgAAAAAAAAAAAAAAAAAu&#10;AgAAZHJzL2Uyb0RvYy54bWxQSwECLQAUAAYACAAAACEA5/LkNd0AAAAJAQAADwAAAAAAAAAAAAAA&#10;AABUBAAAZHJzL2Rvd25yZXYueG1sUEsFBgAAAAAEAAQA8wAAAF4FAAAAAA==&#10;" strokecolor="windowText" strokeweight=".5pt">
                <v:stroke endarrow="block" joinstyle="miter"/>
                <o:lock v:ext="edit" shapetype="f"/>
              </v:shape>
            </w:pict>
          </mc:Fallback>
        </mc:AlternateContent>
      </w:r>
    </w:p>
    <w:p w14:paraId="76B7EE0C" w14:textId="77777777" w:rsidR="003A035E" w:rsidRPr="00715C4F" w:rsidRDefault="003A035E"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0" distB="0" distL="114300" distR="114300" simplePos="0" relativeHeight="251664384" behindDoc="0" locked="0" layoutInCell="1" allowOverlap="1" wp14:anchorId="5CC35D72" wp14:editId="24C6ED18">
                <wp:simplePos x="0" y="0"/>
                <wp:positionH relativeFrom="column">
                  <wp:posOffset>3048000</wp:posOffset>
                </wp:positionH>
                <wp:positionV relativeFrom="paragraph">
                  <wp:posOffset>156209</wp:posOffset>
                </wp:positionV>
                <wp:extent cx="2847975" cy="1628775"/>
                <wp:effectExtent l="0" t="0" r="28575" b="28575"/>
                <wp:wrapNone/>
                <wp:docPr id="722333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7975" cy="1628775"/>
                        </a:xfrm>
                        <a:prstGeom prst="rect">
                          <a:avLst/>
                        </a:prstGeom>
                        <a:noFill/>
                        <a:ln w="12700" cap="flat" cmpd="sng" algn="ctr">
                          <a:solidFill>
                            <a:sysClr val="windowText" lastClr="000000"/>
                          </a:solidFill>
                          <a:prstDash val="solid"/>
                          <a:miter lim="800000"/>
                        </a:ln>
                        <a:effectLst/>
                      </wps:spPr>
                      <wps:txbx>
                        <w:txbxContent>
                          <w:p w14:paraId="351EDDB3" w14:textId="77777777" w:rsidR="00D5404B" w:rsidRPr="00343845" w:rsidRDefault="00D5404B" w:rsidP="003A035E">
                            <w:pPr>
                              <w:spacing w:after="0"/>
                              <w:rPr>
                                <w:rFonts w:ascii="Arial" w:hAnsi="Arial" w:cs="Arial"/>
                                <w:color w:val="000000" w:themeColor="text1"/>
                                <w:kern w:val="24"/>
                                <w:szCs w:val="24"/>
                              </w:rPr>
                            </w:pPr>
                            <w:r w:rsidRPr="00343845">
                              <w:rPr>
                                <w:rFonts w:ascii="Arial" w:hAnsi="Arial" w:cs="Arial"/>
                                <w:color w:val="000000" w:themeColor="text1"/>
                                <w:kern w:val="24"/>
                                <w:szCs w:val="24"/>
                              </w:rPr>
                              <w:t>Full-text research articles excluded</w:t>
                            </w:r>
                          </w:p>
                          <w:p w14:paraId="7C2BDEB6" w14:textId="77777777" w:rsidR="00D5404B" w:rsidRPr="00662EFF" w:rsidRDefault="00D5404B" w:rsidP="003A035E">
                            <w:pPr>
                              <w:spacing w:after="0" w:line="240" w:lineRule="auto"/>
                              <w:ind w:left="284"/>
                              <w:rPr>
                                <w:rFonts w:ascii="Arial" w:hAnsi="Arial" w:cs="Arial"/>
                                <w:color w:val="000000" w:themeColor="text1"/>
                                <w:szCs w:val="24"/>
                              </w:rPr>
                            </w:pPr>
                            <w:r w:rsidRPr="00662EFF">
                              <w:rPr>
                                <w:rFonts w:ascii="Arial" w:hAnsi="Arial" w:cs="Arial"/>
                                <w:color w:val="000000" w:themeColor="text1"/>
                                <w:szCs w:val="24"/>
                              </w:rPr>
                              <w:t>Reasons:</w:t>
                            </w:r>
                          </w:p>
                          <w:p w14:paraId="3A0BDF48" w14:textId="77777777" w:rsidR="00D5404B" w:rsidRPr="00662EFF" w:rsidRDefault="00D5404B" w:rsidP="00572682">
                            <w:pPr>
                              <w:pStyle w:val="ListParagraph"/>
                              <w:numPr>
                                <w:ilvl w:val="0"/>
                                <w:numId w:val="2"/>
                              </w:numPr>
                              <w:spacing w:after="0" w:line="240" w:lineRule="auto"/>
                              <w:rPr>
                                <w:rFonts w:ascii="Arial" w:hAnsi="Arial" w:cs="Arial"/>
                                <w:color w:val="000000" w:themeColor="text1"/>
                              </w:rPr>
                            </w:pPr>
                            <w:r w:rsidRPr="00662EFF">
                              <w:rPr>
                                <w:rFonts w:ascii="Arial" w:hAnsi="Arial" w:cs="Arial"/>
                                <w:color w:val="000000" w:themeColor="text1"/>
                              </w:rPr>
                              <w:t>Wrong population (n = 18)</w:t>
                            </w:r>
                          </w:p>
                          <w:p w14:paraId="7481AE09" w14:textId="77777777" w:rsidR="00D5404B" w:rsidRPr="00662EFF" w:rsidRDefault="00D5404B" w:rsidP="00572682">
                            <w:pPr>
                              <w:pStyle w:val="ListParagraph"/>
                              <w:numPr>
                                <w:ilvl w:val="0"/>
                                <w:numId w:val="2"/>
                              </w:numPr>
                              <w:spacing w:after="0" w:line="240" w:lineRule="auto"/>
                              <w:rPr>
                                <w:rFonts w:ascii="Arial" w:hAnsi="Arial" w:cs="Arial"/>
                                <w:color w:val="000000" w:themeColor="text1"/>
                              </w:rPr>
                            </w:pPr>
                            <w:r w:rsidRPr="00662EFF">
                              <w:rPr>
                                <w:rFonts w:ascii="Arial" w:hAnsi="Arial" w:cs="Arial"/>
                                <w:color w:val="000000" w:themeColor="text1"/>
                              </w:rPr>
                              <w:t>Not UK study (n = 15)</w:t>
                            </w:r>
                          </w:p>
                          <w:p w14:paraId="2DFE8A27" w14:textId="77777777" w:rsidR="00D5404B" w:rsidRPr="00662EFF" w:rsidRDefault="00D5404B" w:rsidP="00572682">
                            <w:pPr>
                              <w:pStyle w:val="ListParagraph"/>
                              <w:numPr>
                                <w:ilvl w:val="0"/>
                                <w:numId w:val="2"/>
                              </w:numPr>
                              <w:spacing w:after="0" w:line="240" w:lineRule="auto"/>
                              <w:rPr>
                                <w:rFonts w:ascii="Arial" w:hAnsi="Arial" w:cs="Arial"/>
                                <w:color w:val="000000" w:themeColor="text1"/>
                              </w:rPr>
                            </w:pPr>
                            <w:r w:rsidRPr="00662EFF">
                              <w:rPr>
                                <w:rFonts w:ascii="Arial" w:hAnsi="Arial" w:cs="Arial"/>
                                <w:color w:val="000000" w:themeColor="text1"/>
                              </w:rPr>
                              <w:t>Wrong outcome (n = 10)</w:t>
                            </w:r>
                          </w:p>
                          <w:p w14:paraId="1906CFD0" w14:textId="77777777" w:rsidR="00D5404B" w:rsidRPr="00662EFF" w:rsidRDefault="00D5404B" w:rsidP="00572682">
                            <w:pPr>
                              <w:pStyle w:val="ListParagraph"/>
                              <w:numPr>
                                <w:ilvl w:val="0"/>
                                <w:numId w:val="2"/>
                              </w:numPr>
                              <w:spacing w:after="0" w:line="240" w:lineRule="auto"/>
                              <w:rPr>
                                <w:rFonts w:ascii="Arial" w:hAnsi="Arial" w:cs="Arial"/>
                                <w:color w:val="000000" w:themeColor="text1"/>
                              </w:rPr>
                            </w:pPr>
                            <w:r w:rsidRPr="00662EFF">
                              <w:rPr>
                                <w:rFonts w:ascii="Arial" w:hAnsi="Arial" w:cs="Arial"/>
                                <w:color w:val="000000" w:themeColor="text1"/>
                              </w:rPr>
                              <w:t>Review articles (n = 8)</w:t>
                            </w:r>
                          </w:p>
                          <w:p w14:paraId="355F29A4" w14:textId="40297ACA" w:rsidR="00D5404B" w:rsidRDefault="00D5404B" w:rsidP="00572682">
                            <w:pPr>
                              <w:pStyle w:val="ListParagraph"/>
                              <w:numPr>
                                <w:ilvl w:val="0"/>
                                <w:numId w:val="2"/>
                              </w:numPr>
                              <w:spacing w:after="0" w:line="240" w:lineRule="auto"/>
                              <w:rPr>
                                <w:rFonts w:ascii="Arial" w:hAnsi="Arial" w:cs="Arial"/>
                                <w:color w:val="000000" w:themeColor="text1"/>
                              </w:rPr>
                            </w:pPr>
                            <w:r w:rsidRPr="00662EFF">
                              <w:rPr>
                                <w:rFonts w:ascii="Arial" w:hAnsi="Arial" w:cs="Arial"/>
                                <w:color w:val="000000" w:themeColor="text1"/>
                              </w:rPr>
                              <w:t>Full text unavailable (n = 7)</w:t>
                            </w:r>
                          </w:p>
                          <w:p w14:paraId="125867DC" w14:textId="3FEF2215" w:rsidR="00D5404B" w:rsidRPr="00662EFF" w:rsidRDefault="00D5404B" w:rsidP="00F63444">
                            <w:pPr>
                              <w:pStyle w:val="ListParagraph"/>
                              <w:numPr>
                                <w:ilvl w:val="0"/>
                                <w:numId w:val="2"/>
                              </w:numPr>
                              <w:spacing w:after="0" w:line="240" w:lineRule="auto"/>
                              <w:rPr>
                                <w:rFonts w:ascii="Arial" w:hAnsi="Arial" w:cs="Arial"/>
                                <w:color w:val="000000" w:themeColor="text1"/>
                              </w:rPr>
                            </w:pPr>
                            <w:r w:rsidRPr="00F63444">
                              <w:rPr>
                                <w:rFonts w:ascii="Arial" w:hAnsi="Arial" w:cs="Arial"/>
                                <w:color w:val="000000" w:themeColor="text1"/>
                              </w:rPr>
                              <w:t>Studies excluded after quality appraisal (n = 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35D72" id="Rectangle 7" o:spid="_x0000_s1031" style="position:absolute;left:0;text-align:left;margin-left:240pt;margin-top:12.3pt;width:224.25pt;height:12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z60iAIAAA4FAAAOAAAAZHJzL2Uyb0RvYy54bWysVE1v2zAMvQ/YfxB0X514aZ0adYqgRYcB&#10;QRusHXpmZDkWpq9JSuzs14+SnTbtdhqmg0CKFEU+PurquleS7LnzwuiKTs8mlHDNTC30tqLfn+4+&#10;zSnxAXQN0mhe0QP39Hrx8cNVZ0uem9bImjuCQbQvO1vRNgRbZplnLVfgz4zlGo2NcQoCqm6b1Q46&#10;jK5klk8mF1lnXG2dYdx7PL0djHSR4jcNZ+GhaTwPRFYUcwtpd2nfxD1bXEG5dWBbwcY04B+yUCA0&#10;PvoS6hYCkJ0Tf4RSgjnjTRPOmFGZaRrBeKoBq5lO3lXz2ILlqRYEx9sXmPz/C8vu92tHRF3RIs8/&#10;46JEg8JGfUPoQG8lJ0UEqbO+RN9Hu3axTG9Xhv3waMjeWKLiR5++cSr6YpGkT4gfXhDnfSAMD/P5&#10;rLgszilhaJte5PMClRgVyuN163z4wo0iUaiow7wS0rBf+TC4Hl3ia9rcCSnxHEqpSYdR82KCnWeA&#10;7GokBBSVxXq93lICcou0ZcGlkN5IUcfrqcSDv5GO7AGZg4SrTfeEWVMiwQc0YClpjdm+uRrzuQXf&#10;DpeTaSCaEgHZLoWq6Pz0ttTxRZ74Olb1imSUQr/pU5cSOvFkY+oDds6ZgdLesjuBz64wuzU45DDW&#10;jHMZHnBrpEEgzChR0hr362/n0R+phVZKOpwJBOnnDhzHor9qJN3ldDaLQ5SU2XmRo+JOLZtTi96p&#10;G4PgTfEHsCyJ0T/Io9g4o55xfJfxVTSBZvj20I5RuQnDrOIHwPhymdxwcCyElX60LAaPyEXAn/pn&#10;cHZkScBW3Zvj/ED5jiyDb7ypzXIXTCMSk15xHXmNQ5e4OH4QcapP9eT1+o0tfgMAAP//AwBQSwME&#10;FAAGAAgAAAAhAMJRWaTgAAAACgEAAA8AAABkcnMvZG93bnJldi54bWxMj1FLwzAUhd8F/0O4gm8u&#10;bakjdk2HCoM9yGBThL1lTWyKzU1J0q3+e69P7vHcczj3O/V6dgM7mxB7jxLyRQbMYOt1j52Ej/fN&#10;gwAWk0KtBo9Gwo+JsG5ub2pVaX/BvTkfUseoBGOlJNiUxorz2FrjVFz40SB5Xz44lUiGjuugLlTu&#10;Bl5k2ZI71SN9sGo0r9a034fJSdhtRL514fjyuW/jtPOle9taJ+X93fy8ApbMnP7D8IdP6NAQ08lP&#10;qCMbJJQioy1JQlEugVHgqRCPwE50EHkOvKn59YTmFwAA//8DAFBLAQItABQABgAIAAAAIQC2gziS&#10;/gAAAOEBAAATAAAAAAAAAAAAAAAAAAAAAABbQ29udGVudF9UeXBlc10ueG1sUEsBAi0AFAAGAAgA&#10;AAAhADj9If/WAAAAlAEAAAsAAAAAAAAAAAAAAAAALwEAAF9yZWxzLy5yZWxzUEsBAi0AFAAGAAgA&#10;AAAhANSLPrSIAgAADgUAAA4AAAAAAAAAAAAAAAAALgIAAGRycy9lMm9Eb2MueG1sUEsBAi0AFAAG&#10;AAgAAAAhAMJRWaTgAAAACgEAAA8AAAAAAAAAAAAAAAAA4gQAAGRycy9kb3ducmV2LnhtbFBLBQYA&#10;AAAABAAEAPMAAADvBQAAAAA=&#10;" filled="f" strokecolor="windowText" strokeweight="1pt">
                <v:path arrowok="t"/>
                <v:textbox>
                  <w:txbxContent>
                    <w:p w14:paraId="351EDDB3" w14:textId="77777777" w:rsidR="00D5404B" w:rsidRPr="00343845" w:rsidRDefault="00D5404B" w:rsidP="003A035E">
                      <w:pPr>
                        <w:spacing w:after="0"/>
                        <w:rPr>
                          <w:rFonts w:ascii="Arial" w:hAnsi="Arial" w:cs="Arial"/>
                          <w:color w:val="000000" w:themeColor="text1"/>
                          <w:kern w:val="24"/>
                          <w:szCs w:val="24"/>
                        </w:rPr>
                      </w:pPr>
                      <w:r w:rsidRPr="00343845">
                        <w:rPr>
                          <w:rFonts w:ascii="Arial" w:hAnsi="Arial" w:cs="Arial"/>
                          <w:color w:val="000000" w:themeColor="text1"/>
                          <w:kern w:val="24"/>
                          <w:szCs w:val="24"/>
                        </w:rPr>
                        <w:t>Full-text research articles excluded</w:t>
                      </w:r>
                    </w:p>
                    <w:p w14:paraId="7C2BDEB6" w14:textId="77777777" w:rsidR="00D5404B" w:rsidRPr="00662EFF" w:rsidRDefault="00D5404B" w:rsidP="003A035E">
                      <w:pPr>
                        <w:spacing w:after="0" w:line="240" w:lineRule="auto"/>
                        <w:ind w:left="284"/>
                        <w:rPr>
                          <w:rFonts w:ascii="Arial" w:hAnsi="Arial" w:cs="Arial"/>
                          <w:color w:val="000000" w:themeColor="text1"/>
                          <w:szCs w:val="24"/>
                        </w:rPr>
                      </w:pPr>
                      <w:r w:rsidRPr="00662EFF">
                        <w:rPr>
                          <w:rFonts w:ascii="Arial" w:hAnsi="Arial" w:cs="Arial"/>
                          <w:color w:val="000000" w:themeColor="text1"/>
                          <w:szCs w:val="24"/>
                        </w:rPr>
                        <w:t>Reasons:</w:t>
                      </w:r>
                    </w:p>
                    <w:p w14:paraId="3A0BDF48" w14:textId="77777777" w:rsidR="00D5404B" w:rsidRPr="00662EFF" w:rsidRDefault="00D5404B" w:rsidP="00572682">
                      <w:pPr>
                        <w:pStyle w:val="ListParagraph"/>
                        <w:numPr>
                          <w:ilvl w:val="0"/>
                          <w:numId w:val="2"/>
                        </w:numPr>
                        <w:spacing w:after="0" w:line="240" w:lineRule="auto"/>
                        <w:rPr>
                          <w:rFonts w:ascii="Arial" w:hAnsi="Arial" w:cs="Arial"/>
                          <w:color w:val="000000" w:themeColor="text1"/>
                        </w:rPr>
                      </w:pPr>
                      <w:r w:rsidRPr="00662EFF">
                        <w:rPr>
                          <w:rFonts w:ascii="Arial" w:hAnsi="Arial" w:cs="Arial"/>
                          <w:color w:val="000000" w:themeColor="text1"/>
                        </w:rPr>
                        <w:t>Wrong population (n = 18)</w:t>
                      </w:r>
                    </w:p>
                    <w:p w14:paraId="7481AE09" w14:textId="77777777" w:rsidR="00D5404B" w:rsidRPr="00662EFF" w:rsidRDefault="00D5404B" w:rsidP="00572682">
                      <w:pPr>
                        <w:pStyle w:val="ListParagraph"/>
                        <w:numPr>
                          <w:ilvl w:val="0"/>
                          <w:numId w:val="2"/>
                        </w:numPr>
                        <w:spacing w:after="0" w:line="240" w:lineRule="auto"/>
                        <w:rPr>
                          <w:rFonts w:ascii="Arial" w:hAnsi="Arial" w:cs="Arial"/>
                          <w:color w:val="000000" w:themeColor="text1"/>
                        </w:rPr>
                      </w:pPr>
                      <w:r w:rsidRPr="00662EFF">
                        <w:rPr>
                          <w:rFonts w:ascii="Arial" w:hAnsi="Arial" w:cs="Arial"/>
                          <w:color w:val="000000" w:themeColor="text1"/>
                        </w:rPr>
                        <w:t>Not UK study (n = 15)</w:t>
                      </w:r>
                    </w:p>
                    <w:p w14:paraId="2DFE8A27" w14:textId="77777777" w:rsidR="00D5404B" w:rsidRPr="00662EFF" w:rsidRDefault="00D5404B" w:rsidP="00572682">
                      <w:pPr>
                        <w:pStyle w:val="ListParagraph"/>
                        <w:numPr>
                          <w:ilvl w:val="0"/>
                          <w:numId w:val="2"/>
                        </w:numPr>
                        <w:spacing w:after="0" w:line="240" w:lineRule="auto"/>
                        <w:rPr>
                          <w:rFonts w:ascii="Arial" w:hAnsi="Arial" w:cs="Arial"/>
                          <w:color w:val="000000" w:themeColor="text1"/>
                        </w:rPr>
                      </w:pPr>
                      <w:r w:rsidRPr="00662EFF">
                        <w:rPr>
                          <w:rFonts w:ascii="Arial" w:hAnsi="Arial" w:cs="Arial"/>
                          <w:color w:val="000000" w:themeColor="text1"/>
                        </w:rPr>
                        <w:t>Wrong outcome (n = 10)</w:t>
                      </w:r>
                    </w:p>
                    <w:p w14:paraId="1906CFD0" w14:textId="77777777" w:rsidR="00D5404B" w:rsidRPr="00662EFF" w:rsidRDefault="00D5404B" w:rsidP="00572682">
                      <w:pPr>
                        <w:pStyle w:val="ListParagraph"/>
                        <w:numPr>
                          <w:ilvl w:val="0"/>
                          <w:numId w:val="2"/>
                        </w:numPr>
                        <w:spacing w:after="0" w:line="240" w:lineRule="auto"/>
                        <w:rPr>
                          <w:rFonts w:ascii="Arial" w:hAnsi="Arial" w:cs="Arial"/>
                          <w:color w:val="000000" w:themeColor="text1"/>
                        </w:rPr>
                      </w:pPr>
                      <w:r w:rsidRPr="00662EFF">
                        <w:rPr>
                          <w:rFonts w:ascii="Arial" w:hAnsi="Arial" w:cs="Arial"/>
                          <w:color w:val="000000" w:themeColor="text1"/>
                        </w:rPr>
                        <w:t>Review articles (n = 8)</w:t>
                      </w:r>
                    </w:p>
                    <w:p w14:paraId="355F29A4" w14:textId="40297ACA" w:rsidR="00D5404B" w:rsidRDefault="00D5404B" w:rsidP="00572682">
                      <w:pPr>
                        <w:pStyle w:val="ListParagraph"/>
                        <w:numPr>
                          <w:ilvl w:val="0"/>
                          <w:numId w:val="2"/>
                        </w:numPr>
                        <w:spacing w:after="0" w:line="240" w:lineRule="auto"/>
                        <w:rPr>
                          <w:rFonts w:ascii="Arial" w:hAnsi="Arial" w:cs="Arial"/>
                          <w:color w:val="000000" w:themeColor="text1"/>
                        </w:rPr>
                      </w:pPr>
                      <w:r w:rsidRPr="00662EFF">
                        <w:rPr>
                          <w:rFonts w:ascii="Arial" w:hAnsi="Arial" w:cs="Arial"/>
                          <w:color w:val="000000" w:themeColor="text1"/>
                        </w:rPr>
                        <w:t>Full text unavailable (n = 7)</w:t>
                      </w:r>
                    </w:p>
                    <w:p w14:paraId="125867DC" w14:textId="3FEF2215" w:rsidR="00D5404B" w:rsidRPr="00662EFF" w:rsidRDefault="00D5404B" w:rsidP="00F63444">
                      <w:pPr>
                        <w:pStyle w:val="ListParagraph"/>
                        <w:numPr>
                          <w:ilvl w:val="0"/>
                          <w:numId w:val="2"/>
                        </w:numPr>
                        <w:spacing w:after="0" w:line="240" w:lineRule="auto"/>
                        <w:rPr>
                          <w:rFonts w:ascii="Arial" w:hAnsi="Arial" w:cs="Arial"/>
                          <w:color w:val="000000" w:themeColor="text1"/>
                        </w:rPr>
                      </w:pPr>
                      <w:r w:rsidRPr="00F63444">
                        <w:rPr>
                          <w:rFonts w:ascii="Arial" w:hAnsi="Arial" w:cs="Arial"/>
                          <w:color w:val="000000" w:themeColor="text1"/>
                        </w:rPr>
                        <w:t>Studies excluded after quality appraisal (n = 17)</w:t>
                      </w:r>
                    </w:p>
                  </w:txbxContent>
                </v:textbox>
              </v:rect>
            </w:pict>
          </mc:Fallback>
        </mc:AlternateContent>
      </w:r>
      <w:r w:rsidRPr="00715C4F">
        <w:rPr>
          <w:rFonts w:ascii="Arial" w:eastAsiaTheme="minorHAnsi" w:hAnsi="Arial" w:cs="Arial"/>
          <w:noProof/>
          <w:lang w:val="en-US" w:eastAsia="en-US"/>
        </w:rPr>
        <mc:AlternateContent>
          <mc:Choice Requires="wps">
            <w:drawing>
              <wp:anchor distT="0" distB="0" distL="114300" distR="114300" simplePos="0" relativeHeight="251670528" behindDoc="0" locked="0" layoutInCell="1" allowOverlap="1" wp14:anchorId="5AB124F5" wp14:editId="58E3A6F1">
                <wp:simplePos x="0" y="0"/>
                <wp:positionH relativeFrom="column">
                  <wp:posOffset>-1160780</wp:posOffset>
                </wp:positionH>
                <wp:positionV relativeFrom="paragraph">
                  <wp:posOffset>140335</wp:posOffset>
                </wp:positionV>
                <wp:extent cx="2787650" cy="262890"/>
                <wp:effectExtent l="0" t="1257300" r="0" b="1261110"/>
                <wp:wrapNone/>
                <wp:docPr id="153034373" name="Flowchart: Alternate Proces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1ECD5292" w14:textId="77777777" w:rsidR="00D5404B" w:rsidRDefault="00D5404B" w:rsidP="003A035E">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5E56449" w14:textId="77777777" w:rsidR="00D5404B" w:rsidRPr="001502CF" w:rsidRDefault="00D5404B" w:rsidP="003A035E">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124F5" id="Flowchart: Alternate Process 6" o:spid="_x0000_s1032" type="#_x0000_t176" style="position:absolute;left:0;text-align:left;margin-left:-91.4pt;margin-top:11.05pt;width:219.5pt;height:20.7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wfHywIAAKgFAAAOAAAAZHJzL2Uyb0RvYy54bWysVEtv2zAMvg/YfxB0X504zxp1ijRBhgFZ&#10;G6AddmZkOTam1yQlTvbrR8lOmnY7DfPBEEmJj+8jeXd/lIIcuHW1Vjnt3/Qo4Yrpola7nH57WX2a&#10;UuI8qAKEVjynJ+7o/ezjh7vGZDzVlRYFtwSdKJc1JqeV9yZLEscqLsHdaMMVGkttJXgU7S4pLDTo&#10;XYok7fXGSaNtYaxm3DnULlsjnUX/ZcmZfypLxz0ROcXcfPzb+N+GfzK7g2xnwVQ169KAf8hCQq0w&#10;6MXVEjyQva3/cCVrZrXTpb9hWia6LGvGYw1YTb/3rprnCgyPtSA4zlxgcv/PLXs8bCypC+RuNOgN&#10;hoPJgBIFEqlaCd2wCqzPyFx4bhV4TjYt1GQckGuMy9DBs9nYULsza81+ODQkbyxBcN2dY2klsRp5&#10;6I+RP/wibAgEOUZWThdW+NEThsp0Mp2MR0geQ1s6Tqe3kbYEsuAsBDbW+c9cSxIOOS0x8UVI/JJ2&#10;l3UMBYe18yHH13cxeS3qYlULEQW72y6EJQfAthk93D4sR/Gt2MuvumjV45h87B9UY5e16uFZjf5d&#10;6ybGctf+hSINIpBOsHzCAPu+FODxKA0y4dSOEhA7HCjmbQz85rU7uUtyOAqFbl4QK0oEOI8GBDB+&#10;gaGQxHXgANASXNXmGk3tCMgaGSailjmdXr8WKuDB4yR1uL3SGU7+uD3G/rl0xFYXJ+ypSDKW5wxb&#10;1Rh2jdltwOJ0oRI3hn/CX6Aqp7o7UVJp++tv+nAfmx6tlDQ4rQjSzz1YjkV/UTgOt/3hEN36KAxH&#10;kxQFe23ZXlvUXi40MtuP2cVjuO/F+VhaLb/jYpmHqGgCxTB2S0cnLHy7RXA1MT6fx2s40gb8Wj0b&#10;FpyfW/Pl+B2s6ZrTI1WP+jzZkL1rx/ZueKn0fO91WcdeDUi3uHbDhesgstutrrBvruV463XBzn4D&#10;AAD//wMAUEsDBBQABgAIAAAAIQDdUcSH4QAAAAoBAAAPAAAAZHJzL2Rvd25yZXYueG1sTI/NTsMw&#10;EITvSLyDtUjcWqeBJCjEqRA/QkIqEm05cHOTJQm111HspOHtWU5wHO3M7DfFerZGTDj4zpGC1TIC&#10;gVS5uqNGwX73tLgB4YOmWhtHqOAbPazL87NC57U70RtO29AILiGfawVtCH0upa9atNovXY/Et083&#10;WB1YDo2sB33icmtkHEWptLoj/tDqHu9brI7b0TLG+/T8+kDu6yOh0W7m5PjSmEelLi/mu1sQAefw&#10;Z4ZffM5AyUwHN1LthWGd8pSgYLHK0gwEO5LsGsRBQZzGVyDLQv6fUP4AAAD//wMAUEsBAi0AFAAG&#10;AAgAAAAhALaDOJL+AAAA4QEAABMAAAAAAAAAAAAAAAAAAAAAAFtDb250ZW50X1R5cGVzXS54bWxQ&#10;SwECLQAUAAYACAAAACEAOP0h/9YAAACUAQAACwAAAAAAAAAAAAAAAAAvAQAAX3JlbHMvLnJlbHNQ&#10;SwECLQAUAAYACAAAACEAagsHx8sCAACoBQAADgAAAAAAAAAAAAAAAAAuAgAAZHJzL2Uyb0RvYy54&#10;bWxQSwECLQAUAAYACAAAACEA3VHEh+EAAAAKAQAADwAAAAAAAAAAAAAAAAAlBQAAZHJzL2Rvd25y&#10;ZXYueG1sUEsFBgAAAAAEAAQA8wAAADMGAAAAAA==&#10;" fillcolor="#9dc3e6" strokecolor="windowText" strokeweight="1pt">
                <v:path arrowok="t"/>
                <v:textbox>
                  <w:txbxContent>
                    <w:p w14:paraId="1ECD5292" w14:textId="77777777" w:rsidR="00D5404B" w:rsidRDefault="00D5404B" w:rsidP="003A035E">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5E56449" w14:textId="77777777" w:rsidR="00D5404B" w:rsidRPr="001502CF" w:rsidRDefault="00D5404B" w:rsidP="003A035E">
                      <w:pPr>
                        <w:spacing w:after="0" w:line="240" w:lineRule="auto"/>
                        <w:rPr>
                          <w:rFonts w:ascii="Arial" w:hAnsi="Arial" w:cs="Arial"/>
                          <w:b/>
                          <w:color w:val="000000" w:themeColor="text1"/>
                          <w:sz w:val="18"/>
                          <w:szCs w:val="18"/>
                        </w:rPr>
                      </w:pPr>
                    </w:p>
                  </w:txbxContent>
                </v:textbox>
              </v:shape>
            </w:pict>
          </mc:Fallback>
        </mc:AlternateContent>
      </w:r>
    </w:p>
    <w:p w14:paraId="093443B0" w14:textId="77777777" w:rsidR="003A035E" w:rsidRPr="00715C4F" w:rsidRDefault="003A035E"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0" distB="0" distL="114300" distR="114300" simplePos="0" relativeHeight="251663360" behindDoc="0" locked="0" layoutInCell="1" allowOverlap="1" wp14:anchorId="30884085" wp14:editId="76200767">
                <wp:simplePos x="0" y="0"/>
                <wp:positionH relativeFrom="column">
                  <wp:posOffset>562610</wp:posOffset>
                </wp:positionH>
                <wp:positionV relativeFrom="paragraph">
                  <wp:posOffset>171450</wp:posOffset>
                </wp:positionV>
                <wp:extent cx="1887220" cy="815975"/>
                <wp:effectExtent l="0" t="0" r="0" b="3175"/>
                <wp:wrapNone/>
                <wp:docPr id="31084137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815975"/>
                        </a:xfrm>
                        <a:prstGeom prst="rect">
                          <a:avLst/>
                        </a:prstGeom>
                        <a:noFill/>
                        <a:ln w="12700" cap="flat" cmpd="sng" algn="ctr">
                          <a:solidFill>
                            <a:sysClr val="windowText" lastClr="000000"/>
                          </a:solidFill>
                          <a:prstDash val="solid"/>
                          <a:miter lim="800000"/>
                        </a:ln>
                        <a:effectLst/>
                      </wps:spPr>
                      <wps:txbx>
                        <w:txbxContent>
                          <w:p w14:paraId="0C4515AC" w14:textId="77777777" w:rsidR="00D5404B" w:rsidRPr="00662EFF" w:rsidRDefault="00D5404B" w:rsidP="003A035E">
                            <w:pPr>
                              <w:spacing w:after="0"/>
                              <w:jc w:val="center"/>
                              <w:rPr>
                                <w:rFonts w:ascii="Arial" w:hAnsi="Arial" w:cs="Arial"/>
                                <w:color w:val="000000" w:themeColor="text1"/>
                                <w:kern w:val="24"/>
                                <w:szCs w:val="24"/>
                              </w:rPr>
                            </w:pPr>
                            <w:r w:rsidRPr="00662EFF">
                              <w:rPr>
                                <w:rFonts w:ascii="Arial" w:hAnsi="Arial" w:cs="Arial"/>
                                <w:color w:val="000000" w:themeColor="text1"/>
                                <w:kern w:val="24"/>
                                <w:szCs w:val="24"/>
                              </w:rPr>
                              <w:t>Full text research articles assessed for eligibility</w:t>
                            </w:r>
                          </w:p>
                          <w:p w14:paraId="515D1018" w14:textId="77777777" w:rsidR="00D5404B" w:rsidRPr="00662EFF" w:rsidRDefault="00D5404B" w:rsidP="003A035E">
                            <w:pPr>
                              <w:spacing w:after="0"/>
                              <w:jc w:val="center"/>
                              <w:rPr>
                                <w:rFonts w:ascii="Arial" w:hAnsi="Arial" w:cs="Arial"/>
                                <w:color w:val="000000" w:themeColor="text1"/>
                                <w:kern w:val="24"/>
                                <w:szCs w:val="24"/>
                              </w:rPr>
                            </w:pPr>
                            <w:r w:rsidRPr="00662EFF">
                              <w:rPr>
                                <w:rFonts w:ascii="Arial" w:hAnsi="Arial" w:cs="Arial"/>
                                <w:color w:val="000000" w:themeColor="text1"/>
                                <w:kern w:val="24"/>
                                <w:szCs w:val="24"/>
                              </w:rPr>
                              <w:t>(n= 90)</w:t>
                            </w:r>
                          </w:p>
                          <w:p w14:paraId="7A3F53CA" w14:textId="77777777" w:rsidR="00D5404B" w:rsidRPr="00560609" w:rsidRDefault="00D5404B" w:rsidP="003A035E">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884085" id="Rectangle 5" o:spid="_x0000_s1033" style="position:absolute;left:0;text-align:left;margin-left:44.3pt;margin-top:13.5pt;width:148.6pt;height:6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EiUjAIAAA8FAAAOAAAAZHJzL2Uyb0RvYy54bWysVE1v2zAMvQ/YfxB0Xx2n6ZIYcYqgRYcB&#10;QRusHXpmZDkWpq9JSuzs14+SnTbtdhrmgyCZFMn3+KjFdackOXDnhdElzS9GlHDNTCX0rqTfn+4+&#10;zSjxAXQF0mhe0iP39Hr58cOitQUfm8bIijuCQbQvWlvSJgRbZJlnDVfgL4zlGo21cQoCHt0uqxy0&#10;GF3JbDwafc5a4yrrDOPe49/b3kiXKX5dcxYe6trzQGRJsbaQVpfWbVyz5QKKnQPbCDaUAf9QhQKh&#10;MelLqFsIQPZO/BFKCeaMN3W4YEZlpq4F4wkDoslH79A8NmB5woLkePtCk/9/Ydn9YeOIqEp6mY9m&#10;k/xyOqdEg8JWfUPyQO8kJ1eRptb6Ar0f7cZFoN6uDfvh0ZC9scSDH3y62qnoizBJlzg/vnDOu0AY&#10;/sxns+l4jK1haJvlV/NpypZBcbptnQ9fuFEkbkrqsKxENRzWPsT8UJxcYjJt7oSUqa9SkxYzjKej&#10;GB9QXrWEgFtlEbDXO0pA7lC3LLgU0hspqng9ITz6G+nIAVA6qLjKtE9YNCUSfEADIklf5AZLeHM1&#10;1nMLvukvJ1OvNCUCyl0KhVjPb0sdM/Ik2AHVK5FxF7ptl9o0PfVia6ojts6ZXtPesjuBaddY3QYc&#10;ihgx42CGB1xqaZAIM+woaYz79bf/0R+1hVZKWhwKJOnnHhxH0F81qm6eTyZxitJhcjWNfXPnlu25&#10;Re/VjUHycnwCLEvb6B/kaVs7o55xflcxK5pAM8zdt2M43IR+WPEFYHy1Sm44ORbCWj9aFoNH5iLh&#10;T90zODuoJGCr7s1pgKB4J5bet5fLah9MLZKSItM9r4OscepSd4cXIo71+Tl5vb5jy98AAAD//wMA&#10;UEsDBBQABgAIAAAAIQBnEa6x3wAAAAkBAAAPAAAAZHJzL2Rvd25yZXYueG1sTI9BS8NAEIXvgv9h&#10;GcGb3bSadonZFBUKPUihVQretsmYDWZnw+6mjf/e8aTH4T3efF+5nlwvzhhi50nDfJaBQKp901Gr&#10;4f1tc6dAxGSoMb0n1PCNEdbV9VVpisZfaI/nQ2oFj1AsjAab0lBIGWuLzsSZH5A4+/TBmcRnaGUT&#10;zIXHXS8XWbaUznTEH6wZ8MVi/XUYnYbdRs23Lnw8H/d1HHf+wb1urdP69mZ6egSRcEp/ZfjFZ3So&#10;mOnkR2qi6DUoteSmhsWKlTi/VzmrnLiY5znIqpT/DaofAAAA//8DAFBLAQItABQABgAIAAAAIQC2&#10;gziS/gAAAOEBAAATAAAAAAAAAAAAAAAAAAAAAABbQ29udGVudF9UeXBlc10ueG1sUEsBAi0AFAAG&#10;AAgAAAAhADj9If/WAAAAlAEAAAsAAAAAAAAAAAAAAAAALwEAAF9yZWxzLy5yZWxzUEsBAi0AFAAG&#10;AAgAAAAhALKISJSMAgAADwUAAA4AAAAAAAAAAAAAAAAALgIAAGRycy9lMm9Eb2MueG1sUEsBAi0A&#10;FAAGAAgAAAAhAGcRrrHfAAAACQEAAA8AAAAAAAAAAAAAAAAA5gQAAGRycy9kb3ducmV2LnhtbFBL&#10;BQYAAAAABAAEAPMAAADyBQAAAAA=&#10;" filled="f" strokecolor="windowText" strokeweight="1pt">
                <v:path arrowok="t"/>
                <v:textbox>
                  <w:txbxContent>
                    <w:p w14:paraId="0C4515AC" w14:textId="77777777" w:rsidR="00D5404B" w:rsidRPr="00662EFF" w:rsidRDefault="00D5404B" w:rsidP="003A035E">
                      <w:pPr>
                        <w:spacing w:after="0"/>
                        <w:jc w:val="center"/>
                        <w:rPr>
                          <w:rFonts w:ascii="Arial" w:hAnsi="Arial" w:cs="Arial"/>
                          <w:color w:val="000000" w:themeColor="text1"/>
                          <w:kern w:val="24"/>
                          <w:szCs w:val="24"/>
                        </w:rPr>
                      </w:pPr>
                      <w:r w:rsidRPr="00662EFF">
                        <w:rPr>
                          <w:rFonts w:ascii="Arial" w:hAnsi="Arial" w:cs="Arial"/>
                          <w:color w:val="000000" w:themeColor="text1"/>
                          <w:kern w:val="24"/>
                          <w:szCs w:val="24"/>
                        </w:rPr>
                        <w:t>Full text research articles assessed for eligibility</w:t>
                      </w:r>
                    </w:p>
                    <w:p w14:paraId="515D1018" w14:textId="77777777" w:rsidR="00D5404B" w:rsidRPr="00662EFF" w:rsidRDefault="00D5404B" w:rsidP="003A035E">
                      <w:pPr>
                        <w:spacing w:after="0"/>
                        <w:jc w:val="center"/>
                        <w:rPr>
                          <w:rFonts w:ascii="Arial" w:hAnsi="Arial" w:cs="Arial"/>
                          <w:color w:val="000000" w:themeColor="text1"/>
                          <w:kern w:val="24"/>
                          <w:szCs w:val="24"/>
                        </w:rPr>
                      </w:pPr>
                      <w:r w:rsidRPr="00662EFF">
                        <w:rPr>
                          <w:rFonts w:ascii="Arial" w:hAnsi="Arial" w:cs="Arial"/>
                          <w:color w:val="000000" w:themeColor="text1"/>
                          <w:kern w:val="24"/>
                          <w:szCs w:val="24"/>
                        </w:rPr>
                        <w:t>(n= 90)</w:t>
                      </w:r>
                    </w:p>
                    <w:p w14:paraId="7A3F53CA" w14:textId="77777777" w:rsidR="00D5404B" w:rsidRPr="00560609" w:rsidRDefault="00D5404B" w:rsidP="003A035E">
                      <w:pPr>
                        <w:spacing w:after="0" w:line="240" w:lineRule="auto"/>
                        <w:rPr>
                          <w:rFonts w:ascii="Arial" w:hAnsi="Arial" w:cs="Arial"/>
                          <w:color w:val="000000" w:themeColor="text1"/>
                          <w:sz w:val="18"/>
                          <w:szCs w:val="20"/>
                        </w:rPr>
                      </w:pPr>
                    </w:p>
                  </w:txbxContent>
                </v:textbox>
              </v:rect>
            </w:pict>
          </mc:Fallback>
        </mc:AlternateContent>
      </w:r>
    </w:p>
    <w:p w14:paraId="35157E32" w14:textId="77777777" w:rsidR="003A035E" w:rsidRPr="00715C4F" w:rsidRDefault="003A035E" w:rsidP="00715C4F">
      <w:pPr>
        <w:spacing w:after="0" w:line="360" w:lineRule="auto"/>
        <w:jc w:val="both"/>
        <w:rPr>
          <w:rFonts w:ascii="Arial" w:eastAsiaTheme="minorHAnsi" w:hAnsi="Arial" w:cs="Arial"/>
          <w:lang w:val="en-US" w:eastAsia="en-US"/>
        </w:rPr>
      </w:pPr>
    </w:p>
    <w:p w14:paraId="1497140A" w14:textId="77777777" w:rsidR="003A035E" w:rsidRPr="00715C4F" w:rsidRDefault="003A035E"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4294967295" distB="4294967295" distL="114300" distR="114300" simplePos="0" relativeHeight="251668480" behindDoc="0" locked="0" layoutInCell="1" allowOverlap="1" wp14:anchorId="45C8F97F" wp14:editId="4A185960">
                <wp:simplePos x="0" y="0"/>
                <wp:positionH relativeFrom="column">
                  <wp:posOffset>2476500</wp:posOffset>
                </wp:positionH>
                <wp:positionV relativeFrom="paragraph">
                  <wp:posOffset>78104</wp:posOffset>
                </wp:positionV>
                <wp:extent cx="563245" cy="0"/>
                <wp:effectExtent l="0" t="76200" r="8255" b="76200"/>
                <wp:wrapNone/>
                <wp:docPr id="129428948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01D8D56" id="Straight Arrow Connector 4" o:spid="_x0000_s1026" type="#_x0000_t32" style="position:absolute;margin-left:195pt;margin-top:6.15pt;width:44.3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Ih//AEAANwDAAAOAAAAZHJzL2Uyb0RvYy54bWysU8tu2zAQvBfoPxC813Ic23WEyEERN70E&#10;rYGkH7ChKIkoX9hlLfvvu6QfTdpbUR2IJVc7nN0Z3t7tnRU7jWSCb+TVZCqF9iq0xveN/P788GEl&#10;BSXwLdjgdSMPmuTd+v272zHWehaGYFuNgkE81WNs5JBSrKuK1KAd0CRE7TnZBXSQeIt91SKMjO5s&#10;NZtOl9UYsI0YlCbi080xKdcFv+u0St+6jnQStpHMLZUVy/qS12p9C3WPEAejTjTgH1g4MJ4vvUBt&#10;IIH4ieYvKGcUBgpdmqjgqtB1RunSA3dzNf2jm6cBoi698HAoXsZE/w9Wfd1tUZiWtZvdzGerm/nq&#10;oxQeHGv1lBBMPyTxCTGM4j54z/MMKOZ5bGOkmqvv/RZz42rvn+JjUD+Ic9WbZN5QPP6279Dl37lz&#10;sS8yHC4y6H0Sig8Xy+vZfCGFOqcqqM91ESl90cGJHDSSThQv3K6KCrB7pJR5QH0uyJf68GCsLZJb&#10;L8ZGLq8XbAoFbLzOQuLQRR4F+V4KsD07WiUsiBSsaXN1xqED3VsUO2BTsRfbMD4zdyksUOIEN1S+&#10;PCVm8KY009kADcfikjp60JnED8Ea18jVpRrqBMZ+9q1Ih8iKJDTge6tPyNZnNrrY/NTw71nn6CW0&#10;hy2eBWELFUInu2ePvt5z/PpRrn8BAAD//wMAUEsDBBQABgAIAAAAIQCG0obD3QAAAAkBAAAPAAAA&#10;ZHJzL2Rvd25yZXYueG1sTI/BTsMwEETvSPyDtUhcEHXaIFpCnKpC4lSkiMIHbOPFCcTrKHbbwNez&#10;iAMcd2Y0+6ZcT75XRxpjF9jAfJaBIm6C7dgZeH15vF6BignZYh+YDHxShHV1flZiYcOJn+m4S05J&#10;CccCDbQpDYXWsWnJY5yFgVi8tzB6THKOTtsRT1Lue73IslvtsWP50OJADy01H7uDN0BXyPW8zr7e&#10;n+o05G5Tu+1WG3N5MW3uQSWa0l8YfvAFHSph2ocD26h6A/ldJluSGIsclARulqslqP2voKtS/19Q&#10;fQMAAP//AwBQSwECLQAUAAYACAAAACEAtoM4kv4AAADhAQAAEwAAAAAAAAAAAAAAAAAAAAAAW0Nv&#10;bnRlbnRfVHlwZXNdLnhtbFBLAQItABQABgAIAAAAIQA4/SH/1gAAAJQBAAALAAAAAAAAAAAAAAAA&#10;AC8BAABfcmVscy8ucmVsc1BLAQItABQABgAIAAAAIQBMAIh//AEAANwDAAAOAAAAAAAAAAAAAAAA&#10;AC4CAABkcnMvZTJvRG9jLnhtbFBLAQItABQABgAIAAAAIQCG0obD3QAAAAkBAAAPAAAAAAAAAAAA&#10;AAAAAFYEAABkcnMvZG93bnJldi54bWxQSwUGAAAAAAQABADzAAAAYAUAAAAA&#10;" strokecolor="windowText" strokeweight=".5pt">
                <v:stroke endarrow="block" joinstyle="miter"/>
                <o:lock v:ext="edit" shapetype="f"/>
              </v:shape>
            </w:pict>
          </mc:Fallback>
        </mc:AlternateContent>
      </w:r>
    </w:p>
    <w:p w14:paraId="02E88F3D" w14:textId="77777777" w:rsidR="003A035E" w:rsidRPr="00715C4F" w:rsidRDefault="003A035E" w:rsidP="00715C4F">
      <w:pPr>
        <w:spacing w:after="0" w:line="360" w:lineRule="auto"/>
        <w:jc w:val="both"/>
        <w:rPr>
          <w:rFonts w:ascii="Arial" w:eastAsiaTheme="minorHAnsi" w:hAnsi="Arial" w:cs="Arial"/>
          <w:lang w:val="en-US" w:eastAsia="en-US"/>
        </w:rPr>
      </w:pPr>
    </w:p>
    <w:p w14:paraId="2ECBD534" w14:textId="77777777" w:rsidR="003A035E" w:rsidRPr="00715C4F" w:rsidRDefault="003A035E" w:rsidP="00715C4F">
      <w:pPr>
        <w:spacing w:after="0" w:line="360" w:lineRule="auto"/>
        <w:jc w:val="both"/>
        <w:rPr>
          <w:rFonts w:ascii="Arial" w:eastAsiaTheme="minorHAnsi" w:hAnsi="Arial" w:cs="Arial"/>
          <w:lang w:val="en-US" w:eastAsia="en-US"/>
        </w:rPr>
      </w:pPr>
    </w:p>
    <w:p w14:paraId="5CBEEEA7" w14:textId="1FB27C4F" w:rsidR="003A035E" w:rsidRPr="00715C4F" w:rsidRDefault="000D697C"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0" distB="0" distL="114299" distR="114299" simplePos="0" relativeHeight="251674624" behindDoc="0" locked="0" layoutInCell="1" allowOverlap="1" wp14:anchorId="2329825B" wp14:editId="7B6EBDAB">
                <wp:simplePos x="0" y="0"/>
                <wp:positionH relativeFrom="column">
                  <wp:posOffset>1439545</wp:posOffset>
                </wp:positionH>
                <wp:positionV relativeFrom="paragraph">
                  <wp:posOffset>7620</wp:posOffset>
                </wp:positionV>
                <wp:extent cx="0" cy="281305"/>
                <wp:effectExtent l="76200" t="0" r="38100" b="42545"/>
                <wp:wrapNone/>
                <wp:docPr id="1312050291"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BB3BAC5" id="_x0000_t32" coordsize="21600,21600" o:spt="32" o:oned="t" path="m,l21600,21600e" filled="f">
                <v:path arrowok="t" fillok="f" o:connecttype="none"/>
                <o:lock v:ext="edit" shapetype="t"/>
              </v:shapetype>
              <v:shape id="Straight Arrow Connector 3" o:spid="_x0000_s1026" type="#_x0000_t32" style="position:absolute;margin-left:113.35pt;margin-top:.6pt;width:0;height:22.15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E+gEAANwDAAAOAAAAZHJzL2Uyb0RvYy54bWysU02P0zAQvSPxHyzfaZJWXZWo6Qq1LJcV&#10;VNrlB8w6TmLhL3lM0/57xk7aZeGGyMGyZ/Ke38w8b+/PRrOTDKicbXi1KDmTVrhW2b7h358fPmw4&#10;wwi2Be2sbPhFIr/fvX+3HX0tl25wupWBEYnFevQNH2L0dVGgGKQBXDgvLSU7FwxEOoa+aAOMxG50&#10;sSzLu2J0ofXBCYlI0cOU5LvM33VSxG9dhzIy3XDSFvMa8vqS1mK3hboP4AclZhnwDyoMKEuX3qgO&#10;EIH9DOovKqNEcOi6uBDOFK7rlJC5BqqmKv+o5mkAL3Mt1Bz0tzbh/6MVX0/HwFRLs1tVy3JdLj9W&#10;nFkwNKunGED1Q2SfQnAj2ztrqZ8usFVq2+ixJvTeHkMqXJztk3904gdSrniTTAf002/nLpj0O1XO&#10;znkMl9sY5DkyMQUFRZebalWu01UF1FecDxi/SGdY2jQcZ4k3bVWeApweMU7AKyBdat2D0priUGvL&#10;xobfrdZkCgFkvE5DpK3x1Aq0PWege3K0iCEzotOqTegExgvudWAnIFORF1s3PpN2zjRgpAQVlL9Z&#10;+htoknMAHCZwTk0eNCrSQ9DKNHxzQ0MdQenPtmXx4mkiMSiwvZYzs7ZJjcw2nwt+7XXavbj2cgzX&#10;gZCFci9nuyeP/n7OY3t9lLtfAAAA//8DAFBLAwQUAAYACAAAACEAr2oJU9sAAAAIAQAADwAAAGRy&#10;cy9kb3ducmV2LnhtbEyP0UrDQBBF3wX/YRnBF7GbRlslZlOK4FOF0OoHTLPjJpqdDdltG/16R3zQ&#10;x8u53DlTribfqyONsQtsYD7LQBE3wXbsDLy+PF3fg4oJ2WIfmAx8UoRVdX5WYmHDibd03CWnZIRj&#10;gQbalIZC69i05DHOwkAs7C2MHpPE0Wk74knGfa/zLFtqjx3LhRYHemyp+dgdvAG6Qq7ndfb1/lyn&#10;4cata7fZaGMuL6b1A6hEU/orw4++qEMlTvtwYBtVbyDPl3dSFZCDEv6b9wZuFwvQVan/P1B9AwAA&#10;//8DAFBLAQItABQABgAIAAAAIQC2gziS/gAAAOEBAAATAAAAAAAAAAAAAAAAAAAAAABbQ29udGVu&#10;dF9UeXBlc10ueG1sUEsBAi0AFAAGAAgAAAAhADj9If/WAAAAlAEAAAsAAAAAAAAAAAAAAAAALwEA&#10;AF9yZWxzLy5yZWxzUEsBAi0AFAAGAAgAAAAhAP4MWYT6AQAA3AMAAA4AAAAAAAAAAAAAAAAALgIA&#10;AGRycy9lMm9Eb2MueG1sUEsBAi0AFAAGAAgAAAAhAK9qCVPbAAAACAEAAA8AAAAAAAAAAAAAAAAA&#10;VAQAAGRycy9kb3ducmV2LnhtbFBLBQYAAAAABAAEAPMAAABcBQAAAAA=&#10;" strokecolor="windowText" strokeweight=".5pt">
                <v:stroke endarrow="block" joinstyle="miter"/>
                <o:lock v:ext="edit" shapetype="f"/>
              </v:shape>
            </w:pict>
          </mc:Fallback>
        </mc:AlternateContent>
      </w:r>
    </w:p>
    <w:p w14:paraId="2623EE3C" w14:textId="7A90CA6C" w:rsidR="003A035E" w:rsidRPr="00715C4F" w:rsidRDefault="003A035E" w:rsidP="00715C4F">
      <w:pPr>
        <w:spacing w:after="0" w:line="360" w:lineRule="auto"/>
        <w:jc w:val="both"/>
        <w:rPr>
          <w:rFonts w:ascii="Arial" w:eastAsiaTheme="minorHAnsi" w:hAnsi="Arial" w:cs="Arial"/>
          <w:lang w:val="en-US" w:eastAsia="en-US"/>
        </w:rPr>
      </w:pPr>
    </w:p>
    <w:p w14:paraId="4B774A0A" w14:textId="77777777" w:rsidR="003A035E" w:rsidRPr="00715C4F" w:rsidRDefault="003A035E"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0" distB="0" distL="114300" distR="114300" simplePos="0" relativeHeight="251665408" behindDoc="0" locked="0" layoutInCell="1" allowOverlap="1" wp14:anchorId="1E3244F9" wp14:editId="098CD29C">
                <wp:simplePos x="0" y="0"/>
                <wp:positionH relativeFrom="column">
                  <wp:posOffset>534670</wp:posOffset>
                </wp:positionH>
                <wp:positionV relativeFrom="paragraph">
                  <wp:posOffset>29845</wp:posOffset>
                </wp:positionV>
                <wp:extent cx="2349500" cy="1406525"/>
                <wp:effectExtent l="0" t="0" r="0" b="3175"/>
                <wp:wrapNone/>
                <wp:docPr id="209939813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0" cy="1406525"/>
                        </a:xfrm>
                        <a:prstGeom prst="rect">
                          <a:avLst/>
                        </a:prstGeom>
                        <a:noFill/>
                        <a:ln w="12700" cap="flat" cmpd="sng" algn="ctr">
                          <a:solidFill>
                            <a:sysClr val="windowText" lastClr="000000"/>
                          </a:solidFill>
                          <a:prstDash val="solid"/>
                          <a:miter lim="800000"/>
                        </a:ln>
                        <a:effectLst/>
                      </wps:spPr>
                      <wps:txbx>
                        <w:txbxContent>
                          <w:p w14:paraId="6A7E5BE0" w14:textId="77777777" w:rsidR="00D5404B" w:rsidRPr="00662EFF" w:rsidRDefault="00D5404B" w:rsidP="003A035E">
                            <w:pPr>
                              <w:spacing w:after="0"/>
                              <w:jc w:val="center"/>
                              <w:rPr>
                                <w:rFonts w:ascii="Arial" w:hAnsi="Arial" w:cs="Arial"/>
                                <w:color w:val="000000" w:themeColor="text1"/>
                                <w:kern w:val="24"/>
                                <w:szCs w:val="24"/>
                              </w:rPr>
                            </w:pPr>
                            <w:r w:rsidRPr="00662EFF">
                              <w:rPr>
                                <w:rFonts w:ascii="Arial" w:hAnsi="Arial" w:cs="Arial"/>
                                <w:color w:val="000000" w:themeColor="text1"/>
                                <w:kern w:val="24"/>
                                <w:szCs w:val="24"/>
                              </w:rPr>
                              <w:t>Included Articles</w:t>
                            </w:r>
                          </w:p>
                          <w:p w14:paraId="0C978502" w14:textId="77777777" w:rsidR="00D5404B" w:rsidRPr="004925F6" w:rsidRDefault="00D5404B" w:rsidP="003A035E">
                            <w:pPr>
                              <w:spacing w:after="0"/>
                              <w:jc w:val="center"/>
                              <w:rPr>
                                <w:rFonts w:ascii="Arial" w:hAnsi="Arial" w:cs="Arial"/>
                                <w:color w:val="000000" w:themeColor="text1"/>
                                <w:kern w:val="24"/>
                                <w:szCs w:val="24"/>
                              </w:rPr>
                            </w:pPr>
                            <w:r>
                              <w:rPr>
                                <w:rFonts w:ascii="Arial" w:hAnsi="Arial" w:cs="Arial"/>
                                <w:color w:val="000000" w:themeColor="text1"/>
                                <w:kern w:val="24"/>
                                <w:szCs w:val="24"/>
                              </w:rPr>
                              <w:t>(n= 15</w:t>
                            </w:r>
                            <w:r w:rsidRPr="00662EFF">
                              <w:rPr>
                                <w:rFonts w:ascii="Arial" w:hAnsi="Arial" w:cs="Arial"/>
                                <w:color w:val="000000" w:themeColor="text1"/>
                                <w:kern w:val="24"/>
                                <w:szCs w:val="24"/>
                              </w:rPr>
                              <w:t>)</w:t>
                            </w:r>
                          </w:p>
                          <w:p w14:paraId="2BD64F08" w14:textId="77777777" w:rsidR="00D5404B" w:rsidRPr="004925F6" w:rsidRDefault="00D5404B" w:rsidP="003A035E">
                            <w:pPr>
                              <w:spacing w:after="0" w:line="240" w:lineRule="auto"/>
                              <w:rPr>
                                <w:rFonts w:ascii="Arial" w:hAnsi="Arial" w:cs="Arial"/>
                                <w:color w:val="000000" w:themeColor="text1"/>
                                <w:kern w:val="24"/>
                                <w:szCs w:val="24"/>
                              </w:rPr>
                            </w:pPr>
                            <w:r>
                              <w:rPr>
                                <w:rFonts w:ascii="Arial" w:hAnsi="Arial" w:cs="Arial"/>
                                <w:color w:val="000000" w:themeColor="text1"/>
                                <w:kern w:val="24"/>
                                <w:szCs w:val="24"/>
                              </w:rPr>
                              <w:t>Qualitative studies (n = 2</w:t>
                            </w:r>
                            <w:r w:rsidRPr="004925F6">
                              <w:rPr>
                                <w:rFonts w:ascii="Arial" w:hAnsi="Arial" w:cs="Arial"/>
                                <w:color w:val="000000" w:themeColor="text1"/>
                                <w:kern w:val="24"/>
                                <w:szCs w:val="24"/>
                              </w:rPr>
                              <w:t>)</w:t>
                            </w:r>
                          </w:p>
                          <w:p w14:paraId="57A2AD50" w14:textId="77777777" w:rsidR="00D5404B" w:rsidRPr="004925F6" w:rsidRDefault="00D5404B" w:rsidP="003A035E">
                            <w:pPr>
                              <w:spacing w:after="0" w:line="240" w:lineRule="auto"/>
                              <w:rPr>
                                <w:rFonts w:ascii="Arial" w:hAnsi="Arial" w:cs="Arial"/>
                                <w:color w:val="000000" w:themeColor="text1"/>
                                <w:kern w:val="24"/>
                                <w:szCs w:val="24"/>
                              </w:rPr>
                            </w:pPr>
                            <w:r w:rsidRPr="004925F6">
                              <w:rPr>
                                <w:rFonts w:ascii="Arial" w:hAnsi="Arial" w:cs="Arial"/>
                                <w:color w:val="000000" w:themeColor="text1"/>
                                <w:kern w:val="24"/>
                                <w:szCs w:val="24"/>
                              </w:rPr>
                              <w:t>Cross-sectional studies (n = 8)</w:t>
                            </w:r>
                          </w:p>
                          <w:p w14:paraId="16DFB3E0" w14:textId="77777777" w:rsidR="00D5404B" w:rsidRPr="004925F6" w:rsidRDefault="00D5404B" w:rsidP="003A035E">
                            <w:pPr>
                              <w:spacing w:after="0" w:line="240" w:lineRule="auto"/>
                              <w:rPr>
                                <w:rFonts w:ascii="Arial" w:hAnsi="Arial" w:cs="Arial"/>
                                <w:color w:val="000000" w:themeColor="text1"/>
                                <w:kern w:val="24"/>
                                <w:szCs w:val="24"/>
                              </w:rPr>
                            </w:pPr>
                            <w:r>
                              <w:rPr>
                                <w:rFonts w:ascii="Arial" w:hAnsi="Arial" w:cs="Arial"/>
                                <w:color w:val="000000" w:themeColor="text1"/>
                                <w:kern w:val="24"/>
                                <w:szCs w:val="24"/>
                              </w:rPr>
                              <w:t>Cohort studies (n = 3</w:t>
                            </w:r>
                            <w:r w:rsidRPr="004925F6">
                              <w:rPr>
                                <w:rFonts w:ascii="Arial" w:hAnsi="Arial" w:cs="Arial"/>
                                <w:color w:val="000000" w:themeColor="text1"/>
                                <w:kern w:val="24"/>
                                <w:szCs w:val="24"/>
                              </w:rPr>
                              <w:t>)</w:t>
                            </w:r>
                          </w:p>
                          <w:p w14:paraId="1F045BBD" w14:textId="77777777" w:rsidR="00D5404B" w:rsidRPr="00662EFF" w:rsidRDefault="00D5404B" w:rsidP="003A035E">
                            <w:pPr>
                              <w:spacing w:after="0" w:line="240" w:lineRule="auto"/>
                              <w:rPr>
                                <w:rFonts w:cs="Times New Roman"/>
                                <w:color w:val="000000" w:themeColor="text1"/>
                                <w:kern w:val="24"/>
                                <w:szCs w:val="24"/>
                              </w:rPr>
                            </w:pPr>
                            <w:r>
                              <w:rPr>
                                <w:rFonts w:ascii="Arial" w:hAnsi="Arial" w:cs="Arial"/>
                                <w:color w:val="000000" w:themeColor="text1"/>
                                <w:kern w:val="24"/>
                                <w:szCs w:val="24"/>
                              </w:rPr>
                              <w:t>Case-control studies (n = 2</w:t>
                            </w:r>
                            <w:r w:rsidRPr="004925F6">
                              <w:rPr>
                                <w:rFonts w:ascii="Arial" w:hAnsi="Arial" w:cs="Arial"/>
                                <w:color w:val="000000" w:themeColor="text1"/>
                                <w:kern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3244F9" id="Rectangle 2" o:spid="_x0000_s1034" style="position:absolute;left:0;text-align:left;margin-left:42.1pt;margin-top:2.35pt;width:185pt;height:11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luajAIAABEFAAAOAAAAZHJzL2Uyb0RvYy54bWysVFtP2zAUfp+0/2D5fSQNLbQRKapATJMq&#10;hgYTz6eO01jzbbbbpPv1O3ZSKGxP0/IQ+fjcv/MdX133SpI9d14YXdHJWU4J18zUQm8r+v3p7tOc&#10;Eh9A1yCN5hU9cE+vlx8/XHW25IVpjay5IxhE+7KzFW1DsGWWedZyBf7MWK5R2RinIKDotlntoMPo&#10;SmZFnl9knXG1dYZx7/H2dlDSZYrfNJyFr03jeSCyolhbSH+X/pv4z5ZXUG4d2FawsQz4hyoUCI1J&#10;X0LdQgCyc+KPUEowZ7xpwhkzKjNNIxhPPWA3k/xdN48tWJ56QXC8fYHJ/7+w7H7/4IioK1rki8X5&#10;Yj45n1GiQeGsviF6oLeSkyLi1FlfovmjfXCxU2/Xhv3wqMjeaKLgR5u+cSraYp+kT6AfXkDnfSAM&#10;L4vz6WKW42wY6ibT/GJWzGK6DMqju3U+fOZGkXioqMO6EtiwX/swmB5NYjZt7oSUeA+l1KTDqMVl&#10;SgBIsEZCwFzKYstebykBuUXmsuBSSG+kqKN7avHgb6Qje0DyIOdq0z1h1ZRI8AEV2Er6xmrfuMZ6&#10;bsG3g3NSDVxTIiDhpVAVnZ96Sx0z8kTZsatXJOMp9Js+DWp+HMbG1AccnjMDq71ldwLTrrG6B3BI&#10;YwQVVzN8xV8jDQJhxhMlrXG//nYf7ZFdqKWkw7VAkH7uwHFs+otG3i0m02ncoyRMZ5cFCu5UsznV&#10;6J26MQjeBB8By9Ix2gd5PDbOqGfc4FXMiirQDHMP4xiFmzCsK74BjK9WyQx3x0JY60fLYvCIXAT8&#10;qX8GZ0eWBBzVvTmuEJTvyDLYRk9tVrtgGpGYFJEecB15jXuXuDi+EXGxT+Vk9fqSLX8DAAD//wMA&#10;UEsDBBQABgAIAAAAIQAITaSJ3QAAAAgBAAAPAAAAZHJzL2Rvd25yZXYueG1sTI9BS8NAFITvgv9h&#10;eYI3u+kSa4h5KSoUepBCqwjettlnNph9G7KbNv57tyc9DjPMfFOtZ9eLE42h84ywXGQgiBtvOm4R&#10;3t82dwWIEDUb3XsmhB8KsK6vrypdGn/mPZ0OsRWphEOpEWyMQyllaCw5HRZ+IE7elx+djkmOrTSj&#10;Pqdy10uVZSvpdMdpweqBXiw134fJIew2xXLrxs/nj30Tpp3P3evWOsTbm/npEUSkOf6F4YKf0KFO&#10;TEc/sQmiRyhylZII+QOIZOf3F31EUGqlQNaV/H+g/gUAAP//AwBQSwECLQAUAAYACAAAACEAtoM4&#10;kv4AAADhAQAAEwAAAAAAAAAAAAAAAAAAAAAAW0NvbnRlbnRfVHlwZXNdLnhtbFBLAQItABQABgAI&#10;AAAAIQA4/SH/1gAAAJQBAAALAAAAAAAAAAAAAAAAAC8BAABfcmVscy8ucmVsc1BLAQItABQABgAI&#10;AAAAIQCZIluajAIAABEFAAAOAAAAAAAAAAAAAAAAAC4CAABkcnMvZTJvRG9jLnhtbFBLAQItABQA&#10;BgAIAAAAIQAITaSJ3QAAAAgBAAAPAAAAAAAAAAAAAAAAAOYEAABkcnMvZG93bnJldi54bWxQSwUG&#10;AAAAAAQABADzAAAA8AUAAAAA&#10;" filled="f" strokecolor="windowText" strokeweight="1pt">
                <v:path arrowok="t"/>
                <v:textbox>
                  <w:txbxContent>
                    <w:p w14:paraId="6A7E5BE0" w14:textId="77777777" w:rsidR="00D5404B" w:rsidRPr="00662EFF" w:rsidRDefault="00D5404B" w:rsidP="003A035E">
                      <w:pPr>
                        <w:spacing w:after="0"/>
                        <w:jc w:val="center"/>
                        <w:rPr>
                          <w:rFonts w:ascii="Arial" w:hAnsi="Arial" w:cs="Arial"/>
                          <w:color w:val="000000" w:themeColor="text1"/>
                          <w:kern w:val="24"/>
                          <w:szCs w:val="24"/>
                        </w:rPr>
                      </w:pPr>
                      <w:r w:rsidRPr="00662EFF">
                        <w:rPr>
                          <w:rFonts w:ascii="Arial" w:hAnsi="Arial" w:cs="Arial"/>
                          <w:color w:val="000000" w:themeColor="text1"/>
                          <w:kern w:val="24"/>
                          <w:szCs w:val="24"/>
                        </w:rPr>
                        <w:t>Included Articles</w:t>
                      </w:r>
                    </w:p>
                    <w:p w14:paraId="0C978502" w14:textId="77777777" w:rsidR="00D5404B" w:rsidRPr="004925F6" w:rsidRDefault="00D5404B" w:rsidP="003A035E">
                      <w:pPr>
                        <w:spacing w:after="0"/>
                        <w:jc w:val="center"/>
                        <w:rPr>
                          <w:rFonts w:ascii="Arial" w:hAnsi="Arial" w:cs="Arial"/>
                          <w:color w:val="000000" w:themeColor="text1"/>
                          <w:kern w:val="24"/>
                          <w:szCs w:val="24"/>
                        </w:rPr>
                      </w:pPr>
                      <w:r>
                        <w:rPr>
                          <w:rFonts w:ascii="Arial" w:hAnsi="Arial" w:cs="Arial"/>
                          <w:color w:val="000000" w:themeColor="text1"/>
                          <w:kern w:val="24"/>
                          <w:szCs w:val="24"/>
                        </w:rPr>
                        <w:t>(n= 15</w:t>
                      </w:r>
                      <w:r w:rsidRPr="00662EFF">
                        <w:rPr>
                          <w:rFonts w:ascii="Arial" w:hAnsi="Arial" w:cs="Arial"/>
                          <w:color w:val="000000" w:themeColor="text1"/>
                          <w:kern w:val="24"/>
                          <w:szCs w:val="24"/>
                        </w:rPr>
                        <w:t>)</w:t>
                      </w:r>
                    </w:p>
                    <w:p w14:paraId="2BD64F08" w14:textId="77777777" w:rsidR="00D5404B" w:rsidRPr="004925F6" w:rsidRDefault="00D5404B" w:rsidP="003A035E">
                      <w:pPr>
                        <w:spacing w:after="0" w:line="240" w:lineRule="auto"/>
                        <w:rPr>
                          <w:rFonts w:ascii="Arial" w:hAnsi="Arial" w:cs="Arial"/>
                          <w:color w:val="000000" w:themeColor="text1"/>
                          <w:kern w:val="24"/>
                          <w:szCs w:val="24"/>
                        </w:rPr>
                      </w:pPr>
                      <w:r>
                        <w:rPr>
                          <w:rFonts w:ascii="Arial" w:hAnsi="Arial" w:cs="Arial"/>
                          <w:color w:val="000000" w:themeColor="text1"/>
                          <w:kern w:val="24"/>
                          <w:szCs w:val="24"/>
                        </w:rPr>
                        <w:t>Qualitative studies (n = 2</w:t>
                      </w:r>
                      <w:r w:rsidRPr="004925F6">
                        <w:rPr>
                          <w:rFonts w:ascii="Arial" w:hAnsi="Arial" w:cs="Arial"/>
                          <w:color w:val="000000" w:themeColor="text1"/>
                          <w:kern w:val="24"/>
                          <w:szCs w:val="24"/>
                        </w:rPr>
                        <w:t>)</w:t>
                      </w:r>
                    </w:p>
                    <w:p w14:paraId="57A2AD50" w14:textId="77777777" w:rsidR="00D5404B" w:rsidRPr="004925F6" w:rsidRDefault="00D5404B" w:rsidP="003A035E">
                      <w:pPr>
                        <w:spacing w:after="0" w:line="240" w:lineRule="auto"/>
                        <w:rPr>
                          <w:rFonts w:ascii="Arial" w:hAnsi="Arial" w:cs="Arial"/>
                          <w:color w:val="000000" w:themeColor="text1"/>
                          <w:kern w:val="24"/>
                          <w:szCs w:val="24"/>
                        </w:rPr>
                      </w:pPr>
                      <w:r w:rsidRPr="004925F6">
                        <w:rPr>
                          <w:rFonts w:ascii="Arial" w:hAnsi="Arial" w:cs="Arial"/>
                          <w:color w:val="000000" w:themeColor="text1"/>
                          <w:kern w:val="24"/>
                          <w:szCs w:val="24"/>
                        </w:rPr>
                        <w:t>Cross-sectional studies (n = 8)</w:t>
                      </w:r>
                    </w:p>
                    <w:p w14:paraId="16DFB3E0" w14:textId="77777777" w:rsidR="00D5404B" w:rsidRPr="004925F6" w:rsidRDefault="00D5404B" w:rsidP="003A035E">
                      <w:pPr>
                        <w:spacing w:after="0" w:line="240" w:lineRule="auto"/>
                        <w:rPr>
                          <w:rFonts w:ascii="Arial" w:hAnsi="Arial" w:cs="Arial"/>
                          <w:color w:val="000000" w:themeColor="text1"/>
                          <w:kern w:val="24"/>
                          <w:szCs w:val="24"/>
                        </w:rPr>
                      </w:pPr>
                      <w:r>
                        <w:rPr>
                          <w:rFonts w:ascii="Arial" w:hAnsi="Arial" w:cs="Arial"/>
                          <w:color w:val="000000" w:themeColor="text1"/>
                          <w:kern w:val="24"/>
                          <w:szCs w:val="24"/>
                        </w:rPr>
                        <w:t>Cohort studies (n = 3</w:t>
                      </w:r>
                      <w:r w:rsidRPr="004925F6">
                        <w:rPr>
                          <w:rFonts w:ascii="Arial" w:hAnsi="Arial" w:cs="Arial"/>
                          <w:color w:val="000000" w:themeColor="text1"/>
                          <w:kern w:val="24"/>
                          <w:szCs w:val="24"/>
                        </w:rPr>
                        <w:t>)</w:t>
                      </w:r>
                    </w:p>
                    <w:p w14:paraId="1F045BBD" w14:textId="77777777" w:rsidR="00D5404B" w:rsidRPr="00662EFF" w:rsidRDefault="00D5404B" w:rsidP="003A035E">
                      <w:pPr>
                        <w:spacing w:after="0" w:line="240" w:lineRule="auto"/>
                        <w:rPr>
                          <w:rFonts w:cs="Times New Roman"/>
                          <w:color w:val="000000" w:themeColor="text1"/>
                          <w:kern w:val="24"/>
                          <w:szCs w:val="24"/>
                        </w:rPr>
                      </w:pPr>
                      <w:r>
                        <w:rPr>
                          <w:rFonts w:ascii="Arial" w:hAnsi="Arial" w:cs="Arial"/>
                          <w:color w:val="000000" w:themeColor="text1"/>
                          <w:kern w:val="24"/>
                          <w:szCs w:val="24"/>
                        </w:rPr>
                        <w:t>Case-control studies (n = 2</w:t>
                      </w:r>
                      <w:r w:rsidRPr="004925F6">
                        <w:rPr>
                          <w:rFonts w:ascii="Arial" w:hAnsi="Arial" w:cs="Arial"/>
                          <w:color w:val="000000" w:themeColor="text1"/>
                          <w:kern w:val="24"/>
                          <w:szCs w:val="24"/>
                        </w:rPr>
                        <w:t>)</w:t>
                      </w:r>
                    </w:p>
                  </w:txbxContent>
                </v:textbox>
              </v:rect>
            </w:pict>
          </mc:Fallback>
        </mc:AlternateContent>
      </w:r>
    </w:p>
    <w:p w14:paraId="3A603E18" w14:textId="29D638C5" w:rsidR="003A035E" w:rsidRPr="00715C4F" w:rsidRDefault="000D697C" w:rsidP="00715C4F">
      <w:pPr>
        <w:spacing w:after="0" w:line="360" w:lineRule="auto"/>
        <w:jc w:val="both"/>
        <w:rPr>
          <w:rFonts w:ascii="Arial" w:eastAsiaTheme="minorHAnsi" w:hAnsi="Arial" w:cs="Arial"/>
          <w:lang w:val="en-US" w:eastAsia="en-US"/>
        </w:rPr>
      </w:pPr>
      <w:r w:rsidRPr="00715C4F">
        <w:rPr>
          <w:rFonts w:ascii="Arial" w:eastAsiaTheme="minorHAnsi" w:hAnsi="Arial" w:cs="Arial"/>
          <w:noProof/>
          <w:lang w:val="en-US" w:eastAsia="en-US"/>
        </w:rPr>
        <mc:AlternateContent>
          <mc:Choice Requires="wps">
            <w:drawing>
              <wp:anchor distT="0" distB="0" distL="114300" distR="114300" simplePos="0" relativeHeight="251671552" behindDoc="0" locked="0" layoutInCell="1" allowOverlap="1" wp14:anchorId="7A786F74" wp14:editId="344D61B9">
                <wp:simplePos x="0" y="0"/>
                <wp:positionH relativeFrom="column">
                  <wp:posOffset>-465772</wp:posOffset>
                </wp:positionH>
                <wp:positionV relativeFrom="paragraph">
                  <wp:posOffset>279718</wp:posOffset>
                </wp:positionV>
                <wp:extent cx="1388745" cy="265750"/>
                <wp:effectExtent l="9208" t="0" r="11112" b="11113"/>
                <wp:wrapNone/>
                <wp:docPr id="744867061"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388745" cy="26575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05402074" w14:textId="77777777" w:rsidR="00D5404B" w:rsidRPr="001502CF" w:rsidRDefault="00D5404B" w:rsidP="003A035E">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86F74" id="Flowchart: Alternate Process 1" o:spid="_x0000_s1035" type="#_x0000_t176" style="position:absolute;left:0;text-align:left;margin-left:-36.65pt;margin-top:22.05pt;width:109.35pt;height:20.95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hB/zgIAAKgFAAAOAAAAZHJzL2Uyb0RvYy54bWysVEtv2zAMvg/YfxB0Xx1nedWoU6QJMgzI&#10;2gDp0DMjy7ExvSYpcbJfP0p20rTbaZgPhkhK5Ed+JO/uj1KQA7eu1iqn6U2PEq6YLmq1y+n35+Wn&#10;CSXOgypAaMVzeuKO3k8/frhrTMb7utKi4JagE+WyxuS08t5kSeJYxSW4G224QmOprQSPot0lhYUG&#10;vUuR9Hu9UdJoWxirGXcOtYvWSKfRf1ly5p/K0nFPRE4Rm49/G//b8E+md5DtLJiqZh0M+AcUEmqF&#10;QS+uFuCB7G39hytZM6udLv0N0zLRZVkzHnPAbNLeu2w2FRgec8HiOHMpk/t/btnjYW1JXeR0PBhM&#10;RuPeKKVEgUSqlkI3rALrMzITnlsFnpN1W2qShso1xmXoYGPWNuTuzEqzHw4NyRtLEFx351haSaxG&#10;HtIR8odfLBsWghwjK6cLK/zoCUNl+nkyGQ+GlDC09UfD8TDSlkAWnIXAxjr/hWtJwiGnJQKfB+AX&#10;2B3qGAoOK+cDxtd3EbwWdbGshYiC3W3nwpIDYNsMH24fFsP4VuzlN1206lEEH/sH1dhlrXpwVqN/&#10;17qJsdy1f6FIg4n1x5g+YYB9XwrweJQGmXBqRwmIHQ4U8zYGfvPandwFHI5CoZtnrBUlApxHAxYw&#10;foGhAOI6cCjQAlzVYo2mdgRkjQwTUcucTq5fCxXqweMkdXV7pTOc/HF7jP1ze+6IrS5O2FORZEzP&#10;GbasMewK0a3B4nShEjeGf8JfoCqnujtRUmn762/6cB+bHq2UNDitWKSfe7Ack/6qcBxu08EgjHcU&#10;BsNxHwV7bdleW9RezjUyi62O6OIx3PfifCytli+4WGYhKppAMYzd0tEJc99uEVxNjM9m8RqOtAG/&#10;UhvDgvNzaz4fX8Carjk9UvWoz5MN2bt2bO+Gl0rP9l6XdezVUOm2rt1w4TqI7HarK+ybazneel2w&#10;098AAAD//wMAUEsDBBQABgAIAAAAIQDJRPYr3wAAAAkBAAAPAAAAZHJzL2Rvd25yZXYueG1sTI/N&#10;TsMwEITvSLyDtUjcWqeQUBTiVBU/QkICiUIPvbnxkqS111HspOHtWU5wHM23szPFanJWjNiH1pOC&#10;xTwBgVR501Kt4PPjaXYLIkRNRltPqOAbA6zK87NC58af6B3HTawFh1DItYImxi6XMlQNOh3mvkNi&#10;78v3TkeWfS1Nr08c7qy8SpIb6XRL/KHRHd43WB03g+Ma2/H57YH8YZfR4F6n7PhS20elLi+m9R2I&#10;iFP8g+G3Pt9AyZ32fiAThGWdLZhUMEvTaxAMZEvetmdjmaYgy0L+X1D+AAAA//8DAFBLAQItABQA&#10;BgAIAAAAIQC2gziS/gAAAOEBAAATAAAAAAAAAAAAAAAAAAAAAABbQ29udGVudF9UeXBlc10ueG1s&#10;UEsBAi0AFAAGAAgAAAAhADj9If/WAAAAlAEAAAsAAAAAAAAAAAAAAAAALwEAAF9yZWxzLy5yZWxz&#10;UEsBAi0AFAAGAAgAAAAhAJ7eEH/OAgAAqAUAAA4AAAAAAAAAAAAAAAAALgIAAGRycy9lMm9Eb2Mu&#10;eG1sUEsBAi0AFAAGAAgAAAAhAMlE9ivfAAAACQEAAA8AAAAAAAAAAAAAAAAAKAUAAGRycy9kb3du&#10;cmV2LnhtbFBLBQYAAAAABAAEAPMAAAA0BgAAAAA=&#10;" fillcolor="#9dc3e6" strokecolor="windowText" strokeweight="1pt">
                <v:path arrowok="t"/>
                <v:textbox>
                  <w:txbxContent>
                    <w:p w14:paraId="05402074" w14:textId="77777777" w:rsidR="00D5404B" w:rsidRPr="001502CF" w:rsidRDefault="00D5404B" w:rsidP="003A035E">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193AFE1B" w14:textId="5068E4C4" w:rsidR="003A035E" w:rsidRPr="00715C4F" w:rsidRDefault="003A035E" w:rsidP="00715C4F">
      <w:pPr>
        <w:spacing w:after="0" w:line="360" w:lineRule="auto"/>
        <w:jc w:val="both"/>
        <w:rPr>
          <w:rFonts w:ascii="Arial" w:eastAsiaTheme="minorHAnsi" w:hAnsi="Arial" w:cs="Arial"/>
          <w:lang w:val="en-US" w:eastAsia="en-US"/>
        </w:rPr>
      </w:pPr>
    </w:p>
    <w:p w14:paraId="07330E0E" w14:textId="7F137E03" w:rsidR="003A035E" w:rsidRPr="00715C4F" w:rsidRDefault="003A035E" w:rsidP="00715C4F">
      <w:pPr>
        <w:spacing w:after="0" w:line="360" w:lineRule="auto"/>
        <w:jc w:val="both"/>
        <w:rPr>
          <w:rFonts w:ascii="Arial" w:eastAsiaTheme="minorHAnsi" w:hAnsi="Arial" w:cs="Arial"/>
          <w:lang w:val="en-US" w:eastAsia="en-US"/>
        </w:rPr>
      </w:pPr>
    </w:p>
    <w:p w14:paraId="4CAEE40F" w14:textId="77777777" w:rsidR="003A035E" w:rsidRPr="00715C4F" w:rsidRDefault="003A035E" w:rsidP="00715C4F">
      <w:pPr>
        <w:spacing w:after="0" w:line="360" w:lineRule="auto"/>
        <w:jc w:val="both"/>
        <w:rPr>
          <w:rFonts w:ascii="Arial" w:eastAsiaTheme="minorHAnsi" w:hAnsi="Arial" w:cs="Arial"/>
          <w:lang w:val="en-US" w:eastAsia="en-US"/>
        </w:rPr>
      </w:pPr>
    </w:p>
    <w:p w14:paraId="6C6FFD65" w14:textId="213372E6" w:rsidR="003A035E" w:rsidRPr="00715C4F" w:rsidRDefault="003A035E" w:rsidP="00715C4F">
      <w:pPr>
        <w:spacing w:after="0" w:line="360" w:lineRule="auto"/>
        <w:jc w:val="both"/>
        <w:rPr>
          <w:rFonts w:ascii="Arial" w:eastAsiaTheme="minorHAnsi" w:hAnsi="Arial" w:cs="Arial"/>
          <w:lang w:val="en-US" w:eastAsia="en-US"/>
        </w:rPr>
      </w:pPr>
    </w:p>
    <w:p w14:paraId="4DCBA1FE" w14:textId="77777777" w:rsidR="000D3958" w:rsidRPr="00715C4F" w:rsidRDefault="000D3958" w:rsidP="00715C4F">
      <w:pPr>
        <w:spacing w:after="0" w:line="360" w:lineRule="auto"/>
        <w:jc w:val="both"/>
        <w:rPr>
          <w:rFonts w:ascii="Arial" w:eastAsiaTheme="minorHAnsi" w:hAnsi="Arial" w:cs="Arial"/>
          <w:lang w:val="en-US" w:eastAsia="en-US"/>
        </w:rPr>
      </w:pPr>
    </w:p>
    <w:p w14:paraId="56B77B99" w14:textId="0E637708" w:rsidR="003A035E" w:rsidRPr="00715C4F" w:rsidRDefault="003A035E" w:rsidP="00715C4F">
      <w:pPr>
        <w:spacing w:after="0" w:line="360" w:lineRule="auto"/>
        <w:jc w:val="both"/>
        <w:rPr>
          <w:rFonts w:ascii="Arial" w:eastAsiaTheme="minorHAnsi" w:hAnsi="Arial" w:cs="Arial"/>
          <w:lang w:val="en-US" w:eastAsia="en-US"/>
        </w:rPr>
      </w:pPr>
    </w:p>
    <w:p w14:paraId="6BBE1939" w14:textId="746F2FE8" w:rsidR="00801829" w:rsidRPr="00715C4F" w:rsidRDefault="003A035E" w:rsidP="00715C4F">
      <w:pPr>
        <w:pStyle w:val="Caption"/>
        <w:spacing w:line="360" w:lineRule="auto"/>
        <w:jc w:val="both"/>
        <w:rPr>
          <w:rFonts w:ascii="Arial" w:hAnsi="Arial" w:cs="Arial"/>
          <w:sz w:val="22"/>
          <w:szCs w:val="22"/>
          <w:lang w:val="en-US" w:eastAsia="en-US"/>
        </w:rPr>
      </w:pPr>
      <w:r w:rsidRPr="00715C4F">
        <w:rPr>
          <w:rFonts w:ascii="Arial" w:hAnsi="Arial" w:cs="Arial"/>
          <w:sz w:val="22"/>
          <w:szCs w:val="22"/>
          <w:lang w:val="en-US" w:eastAsia="en-US"/>
        </w:rPr>
        <w:t>Figure 1: PRISMA 2020 flow diagram illustrating the identification, screening, eligibility assessment, quality appraisal, and inclusion of studies in the systematic review.</w:t>
      </w:r>
    </w:p>
    <w:p w14:paraId="5D1AB7C4" w14:textId="0D3F2AE6" w:rsidR="001E083A" w:rsidRPr="00715C4F" w:rsidRDefault="00F46FF3"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The PRISMA 2020 flow diagram will summarise the pro</w:t>
      </w:r>
      <w:r w:rsidR="00187AF9" w:rsidRPr="00715C4F">
        <w:rPr>
          <w:rFonts w:ascii="Arial" w:eastAsia="Times New Roman" w:hAnsi="Arial" w:cs="Arial"/>
          <w:kern w:val="0"/>
          <w:lang w:eastAsia="en-GB"/>
          <w14:ligatures w14:val="none"/>
        </w:rPr>
        <w:t xml:space="preserve">cess of identifying studies in </w:t>
      </w:r>
      <w:r w:rsidRPr="00715C4F">
        <w:rPr>
          <w:rFonts w:ascii="Arial" w:eastAsia="Times New Roman" w:hAnsi="Arial" w:cs="Arial"/>
          <w:kern w:val="0"/>
          <w:lang w:eastAsia="en-GB"/>
          <w14:ligatures w14:val="none"/>
        </w:rPr>
        <w:t>databases, screening, full-text eligibility assessment and final inclusion (Page et al., 2021). The 15 studies included were eight cross-sectional, three cohorts, two qualitative, and two case-control studies. This distribution was in line with the strong observational nature of the evidence available, and also included qualitative evidence relating to knowledge, perceptions and cultural influences.</w:t>
      </w:r>
    </w:p>
    <w:p w14:paraId="356A26F1" w14:textId="6C881CD4" w:rsidR="0033483F" w:rsidRPr="00715C4F" w:rsidRDefault="0033483F" w:rsidP="0022637B">
      <w:pPr>
        <w:pStyle w:val="Heading2"/>
        <w:rPr>
          <w:lang w:eastAsia="en-GB"/>
        </w:rPr>
      </w:pPr>
      <w:bookmarkStart w:id="72" w:name="_Toc241025919"/>
      <w:r w:rsidRPr="00715C4F">
        <w:rPr>
          <w:lang w:eastAsia="en-GB"/>
        </w:rPr>
        <w:t>4.4 Char</w:t>
      </w:r>
      <w:r w:rsidR="005F0C91" w:rsidRPr="00715C4F">
        <w:rPr>
          <w:lang w:eastAsia="en-GB"/>
        </w:rPr>
        <w:t>acteristics of Included Studies</w:t>
      </w:r>
      <w:bookmarkEnd w:id="72"/>
    </w:p>
    <w:p w14:paraId="60ABF750" w14:textId="0098E20B" w:rsidR="00B971B9" w:rsidRPr="00715C4F" w:rsidRDefault="00B971B9" w:rsidP="00715C4F">
      <w:pPr>
        <w:spacing w:after="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 systematic review included a total of 15 studies. These included eight cross sectional studies, two qualitative studies, three cohort studies and two case control studies. The evidence included in the </w:t>
      </w:r>
      <w:r w:rsidR="00DC43C8" w:rsidRPr="00715C4F">
        <w:rPr>
          <w:rFonts w:ascii="Arial" w:eastAsia="Times New Roman" w:hAnsi="Arial" w:cs="Arial"/>
          <w:kern w:val="0"/>
          <w:lang w:eastAsia="en-GB"/>
          <w14:ligatures w14:val="none"/>
        </w:rPr>
        <w:t>articles</w:t>
      </w:r>
      <w:r w:rsidRPr="00715C4F">
        <w:rPr>
          <w:rFonts w:ascii="Arial" w:eastAsia="Times New Roman" w:hAnsi="Arial" w:cs="Arial"/>
          <w:kern w:val="0"/>
          <w:lang w:eastAsia="en-GB"/>
          <w14:ligatures w14:val="none"/>
        </w:rPr>
        <w:t xml:space="preserve"> included various populations and age ranges from </w:t>
      </w:r>
      <w:proofErr w:type="spellStart"/>
      <w:r w:rsidRPr="00715C4F">
        <w:rPr>
          <w:rFonts w:ascii="Arial" w:eastAsia="Times New Roman" w:hAnsi="Arial" w:cs="Arial"/>
          <w:kern w:val="0"/>
          <w:lang w:eastAsia="en-GB"/>
          <w14:ligatures w14:val="none"/>
        </w:rPr>
        <w:t>newborns</w:t>
      </w:r>
      <w:proofErr w:type="spellEnd"/>
      <w:r w:rsidRPr="00715C4F">
        <w:rPr>
          <w:rFonts w:ascii="Arial" w:eastAsia="Times New Roman" w:hAnsi="Arial" w:cs="Arial"/>
          <w:kern w:val="0"/>
          <w:lang w:eastAsia="en-GB"/>
          <w14:ligatures w14:val="none"/>
        </w:rPr>
        <w:t xml:space="preserve">, older adults, working-age adults, and healthcare workers. A few studies specifically investigated British-Bangladeshi, Indian and Pakistani ethnic groups, as well as ethnic groups from Africa, Asian, Chinese, mixed or wider UK ethnic groups (Darling et al., 2020; Sutherland et al., 2021; </w:t>
      </w:r>
      <w:proofErr w:type="spellStart"/>
      <w:r w:rsidRPr="00715C4F">
        <w:rPr>
          <w:rFonts w:ascii="Arial" w:eastAsia="Times New Roman" w:hAnsi="Arial" w:cs="Arial"/>
          <w:kern w:val="0"/>
          <w:lang w:eastAsia="en-GB"/>
          <w14:ligatures w14:val="none"/>
        </w:rPr>
        <w:t>Vearing</w:t>
      </w:r>
      <w:proofErr w:type="spellEnd"/>
      <w:r w:rsidRPr="00715C4F">
        <w:rPr>
          <w:rFonts w:ascii="Arial" w:eastAsia="Times New Roman" w:hAnsi="Arial" w:cs="Arial"/>
          <w:kern w:val="0"/>
          <w:lang w:eastAsia="en-GB"/>
          <w14:ligatures w14:val="none"/>
        </w:rPr>
        <w:t xml:space="preserve"> et al., 2021). The quantitative findings supported by large UK Biobank datasets showed that, for most of the studies, participants had limited knowledge about the disease, and there was less understanding of its presentation and causes in women than in men. The qualitative studies gave detailed evidence on knowledge, perceptions and cultural influences (Zheng et al., 2025; Belfield and </w:t>
      </w:r>
      <w:proofErr w:type="spellStart"/>
      <w:r w:rsidRPr="00715C4F">
        <w:rPr>
          <w:rFonts w:ascii="Arial" w:eastAsia="Times New Roman" w:hAnsi="Arial" w:cs="Arial"/>
          <w:kern w:val="0"/>
          <w:lang w:eastAsia="en-GB"/>
          <w14:ligatures w14:val="none"/>
        </w:rPr>
        <w:t>Llahana</w:t>
      </w:r>
      <w:proofErr w:type="spellEnd"/>
      <w:r w:rsidRPr="00715C4F">
        <w:rPr>
          <w:rFonts w:ascii="Arial" w:eastAsia="Times New Roman" w:hAnsi="Arial" w:cs="Arial"/>
          <w:kern w:val="0"/>
          <w:lang w:eastAsia="en-GB"/>
          <w14:ligatures w14:val="none"/>
        </w:rPr>
        <w:t>, 2024).</w:t>
      </w:r>
    </w:p>
    <w:p w14:paraId="403B9353" w14:textId="77777777" w:rsidR="00B971B9" w:rsidRPr="00715C4F" w:rsidRDefault="00B971B9" w:rsidP="00715C4F">
      <w:pPr>
        <w:spacing w:after="0" w:line="360" w:lineRule="auto"/>
        <w:jc w:val="both"/>
        <w:rPr>
          <w:rFonts w:ascii="Arial" w:eastAsia="Times New Roman" w:hAnsi="Arial" w:cs="Arial"/>
          <w:kern w:val="0"/>
          <w:lang w:eastAsia="en-GB"/>
          <w14:ligatures w14:val="none"/>
        </w:rPr>
      </w:pPr>
    </w:p>
    <w:p w14:paraId="62FC68B2" w14:textId="1C1D2E8D" w:rsidR="005F0C91" w:rsidRPr="00715C4F" w:rsidRDefault="00B971B9" w:rsidP="00715C4F">
      <w:pPr>
        <w:spacing w:after="0" w:line="360" w:lineRule="auto"/>
        <w:jc w:val="both"/>
        <w:rPr>
          <w:rFonts w:ascii="Arial" w:eastAsia="Times New Roman" w:hAnsi="Arial" w:cs="Arial"/>
          <w:kern w:val="0"/>
          <w:lang w:eastAsia="en-GB"/>
          <w14:ligatures w14:val="none"/>
        </w:rPr>
        <w:sectPr w:rsidR="005F0C91" w:rsidRPr="00715C4F" w:rsidSect="000F32B8">
          <w:pgSz w:w="11906" w:h="16838"/>
          <w:pgMar w:top="1440" w:right="1800" w:bottom="1440" w:left="1800" w:header="708" w:footer="708" w:gutter="0"/>
          <w:cols w:space="708"/>
          <w:docGrid w:linePitch="360"/>
        </w:sectPr>
      </w:pPr>
      <w:r w:rsidRPr="00715C4F">
        <w:rPr>
          <w:rFonts w:ascii="Arial" w:eastAsia="Times New Roman" w:hAnsi="Arial" w:cs="Arial"/>
          <w:kern w:val="0"/>
          <w:lang w:eastAsia="en-GB"/>
          <w14:ligatures w14:val="none"/>
        </w:rPr>
        <w:t>Most quantitative studies measured serum 25-hydroxyvitamin D [25(OH</w:t>
      </w:r>
      <w:proofErr w:type="gramStart"/>
      <w:r w:rsidRPr="00715C4F">
        <w:rPr>
          <w:rFonts w:ascii="Arial" w:eastAsia="Times New Roman" w:hAnsi="Arial" w:cs="Arial"/>
          <w:kern w:val="0"/>
          <w:lang w:eastAsia="en-GB"/>
          <w14:ligatures w14:val="none"/>
        </w:rPr>
        <w:t>)D</w:t>
      </w:r>
      <w:proofErr w:type="gramEnd"/>
      <w:r w:rsidRPr="00715C4F">
        <w:rPr>
          <w:rFonts w:ascii="Arial" w:eastAsia="Times New Roman" w:hAnsi="Arial" w:cs="Arial"/>
          <w:kern w:val="0"/>
          <w:lang w:eastAsia="en-GB"/>
          <w14:ligatures w14:val="none"/>
        </w:rPr>
        <w:t>] levels. The definition of deficiency differed, however, among studies as a result of differences in population and research purpose. Other variables extracted were occupation, diet, supplementation, ethnicity, socioeconomic deprivation, sunlight exposure, residential environment, knowledge and/or perceptions about vitamin D. The evidence thus showed a great deal of variation in both the design of the studies and the measurement of the outcomes, which was not suitable for statistical pooling and warranted a narrative synthesis approach. The major features and conclusions n</w:t>
      </w:r>
      <w:r w:rsidR="00187AF9" w:rsidRPr="00715C4F">
        <w:rPr>
          <w:rFonts w:ascii="Arial" w:eastAsia="Times New Roman" w:hAnsi="Arial" w:cs="Arial"/>
          <w:kern w:val="0"/>
          <w:lang w:eastAsia="en-GB"/>
          <w14:ligatures w14:val="none"/>
        </w:rPr>
        <w:t xml:space="preserve">oted are presented in Table </w:t>
      </w:r>
      <w:r w:rsidRPr="00715C4F">
        <w:rPr>
          <w:rFonts w:ascii="Arial" w:eastAsia="Times New Roman" w:hAnsi="Arial" w:cs="Arial"/>
          <w:kern w:val="0"/>
          <w:lang w:eastAsia="en-GB"/>
          <w14:ligatures w14:val="none"/>
        </w:rPr>
        <w:t>8.</w:t>
      </w:r>
      <w:r w:rsidR="001039C5">
        <w:rPr>
          <w:rFonts w:ascii="Arial" w:eastAsia="Times New Roman" w:hAnsi="Arial" w:cs="Arial"/>
          <w:kern w:val="0"/>
          <w:lang w:eastAsia="en-GB"/>
          <w14:ligatures w14:val="none"/>
        </w:rPr>
        <w:t xml:space="preserve"> </w:t>
      </w:r>
    </w:p>
    <w:p w14:paraId="5845EAC7" w14:textId="4DEC0616" w:rsidR="00B971B9" w:rsidRPr="00715C4F" w:rsidRDefault="00B971B9" w:rsidP="00715C4F">
      <w:pPr>
        <w:pStyle w:val="Caption"/>
        <w:keepNext/>
        <w:spacing w:line="360" w:lineRule="auto"/>
        <w:jc w:val="both"/>
        <w:rPr>
          <w:rFonts w:ascii="Arial" w:hAnsi="Arial" w:cs="Arial"/>
          <w:sz w:val="22"/>
          <w:szCs w:val="22"/>
        </w:rPr>
      </w:pPr>
      <w:bookmarkStart w:id="73" w:name="_Toc240929918"/>
      <w:r w:rsidRPr="00715C4F">
        <w:rPr>
          <w:rFonts w:ascii="Arial" w:hAnsi="Arial" w:cs="Arial"/>
          <w:sz w:val="22"/>
          <w:szCs w:val="22"/>
        </w:rPr>
        <w:lastRenderedPageBreak/>
        <w:t xml:space="preserve">Table </w:t>
      </w:r>
      <w:r w:rsidRPr="00715C4F">
        <w:rPr>
          <w:rFonts w:ascii="Arial" w:hAnsi="Arial" w:cs="Arial"/>
          <w:sz w:val="22"/>
          <w:szCs w:val="22"/>
        </w:rPr>
        <w:fldChar w:fldCharType="begin"/>
      </w:r>
      <w:r w:rsidRPr="00715C4F">
        <w:rPr>
          <w:rFonts w:ascii="Arial" w:hAnsi="Arial" w:cs="Arial"/>
          <w:sz w:val="22"/>
          <w:szCs w:val="22"/>
        </w:rPr>
        <w:instrText xml:space="preserve"> SEQ Table \* ARABIC </w:instrText>
      </w:r>
      <w:r w:rsidRPr="00715C4F">
        <w:rPr>
          <w:rFonts w:ascii="Arial" w:hAnsi="Arial" w:cs="Arial"/>
          <w:sz w:val="22"/>
          <w:szCs w:val="22"/>
        </w:rPr>
        <w:fldChar w:fldCharType="separate"/>
      </w:r>
      <w:r w:rsidR="002D1858" w:rsidRPr="00715C4F">
        <w:rPr>
          <w:rFonts w:ascii="Arial" w:hAnsi="Arial" w:cs="Arial"/>
          <w:noProof/>
          <w:sz w:val="22"/>
          <w:szCs w:val="22"/>
        </w:rPr>
        <w:t>8</w:t>
      </w:r>
      <w:r w:rsidRPr="00715C4F">
        <w:rPr>
          <w:rFonts w:ascii="Arial" w:hAnsi="Arial" w:cs="Arial"/>
          <w:sz w:val="22"/>
          <w:szCs w:val="22"/>
        </w:rPr>
        <w:fldChar w:fldCharType="end"/>
      </w:r>
      <w:r w:rsidRPr="00715C4F">
        <w:rPr>
          <w:rFonts w:ascii="Arial" w:hAnsi="Arial" w:cs="Arial"/>
          <w:sz w:val="22"/>
          <w:szCs w:val="22"/>
        </w:rPr>
        <w:t>: Characteristics and Data Extraction of the Included Studies</w:t>
      </w:r>
      <w:bookmarkEnd w:id="73"/>
    </w:p>
    <w:tbl>
      <w:tblPr>
        <w:tblStyle w:val="TableGrid"/>
        <w:tblW w:w="13948" w:type="dxa"/>
        <w:tblLayout w:type="fixed"/>
        <w:tblLook w:val="04A0" w:firstRow="1" w:lastRow="0" w:firstColumn="1" w:lastColumn="0" w:noHBand="0" w:noVBand="1"/>
      </w:tblPr>
      <w:tblGrid>
        <w:gridCol w:w="445"/>
        <w:gridCol w:w="1501"/>
        <w:gridCol w:w="1469"/>
        <w:gridCol w:w="1710"/>
        <w:gridCol w:w="1080"/>
        <w:gridCol w:w="2070"/>
        <w:gridCol w:w="1350"/>
        <w:gridCol w:w="2323"/>
        <w:gridCol w:w="2000"/>
      </w:tblGrid>
      <w:tr w:rsidR="00714A81" w:rsidRPr="00CE0372" w14:paraId="0DB8D6DF" w14:textId="77777777" w:rsidTr="00BB3742">
        <w:tc>
          <w:tcPr>
            <w:tcW w:w="445" w:type="dxa"/>
          </w:tcPr>
          <w:p w14:paraId="77926836" w14:textId="77777777" w:rsidR="00343845" w:rsidRPr="00CE0372" w:rsidRDefault="00343845" w:rsidP="00715C4F">
            <w:pPr>
              <w:spacing w:line="360" w:lineRule="auto"/>
              <w:jc w:val="both"/>
              <w:rPr>
                <w:rFonts w:ascii="Arial" w:eastAsia="Times New Roman" w:hAnsi="Arial" w:cs="Arial"/>
                <w:b/>
                <w:kern w:val="0"/>
                <w:sz w:val="20"/>
                <w:szCs w:val="20"/>
                <w:lang w:eastAsia="en-GB"/>
                <w14:ligatures w14:val="none"/>
              </w:rPr>
            </w:pPr>
            <w:r w:rsidRPr="00CE0372">
              <w:rPr>
                <w:rFonts w:ascii="Arial" w:eastAsia="Times New Roman" w:hAnsi="Arial" w:cs="Arial"/>
                <w:b/>
                <w:kern w:val="0"/>
                <w:sz w:val="20"/>
                <w:szCs w:val="20"/>
                <w:lang w:eastAsia="en-GB"/>
                <w14:ligatures w14:val="none"/>
              </w:rPr>
              <w:t>Study</w:t>
            </w:r>
          </w:p>
        </w:tc>
        <w:tc>
          <w:tcPr>
            <w:tcW w:w="1501" w:type="dxa"/>
          </w:tcPr>
          <w:p w14:paraId="46B4D34E" w14:textId="77777777" w:rsidR="00343845" w:rsidRPr="00CE0372" w:rsidRDefault="00343845" w:rsidP="00715C4F">
            <w:pPr>
              <w:spacing w:line="360" w:lineRule="auto"/>
              <w:jc w:val="both"/>
              <w:rPr>
                <w:rFonts w:ascii="Arial" w:eastAsia="Times New Roman" w:hAnsi="Arial" w:cs="Arial"/>
                <w:b/>
                <w:kern w:val="0"/>
                <w:sz w:val="20"/>
                <w:szCs w:val="20"/>
                <w:lang w:eastAsia="en-GB"/>
                <w14:ligatures w14:val="none"/>
              </w:rPr>
            </w:pPr>
            <w:r w:rsidRPr="00CE0372">
              <w:rPr>
                <w:rFonts w:ascii="Arial" w:eastAsia="Times New Roman" w:hAnsi="Arial" w:cs="Arial"/>
                <w:b/>
                <w:kern w:val="0"/>
                <w:sz w:val="20"/>
                <w:szCs w:val="20"/>
                <w:lang w:eastAsia="en-GB"/>
                <w14:ligatures w14:val="none"/>
              </w:rPr>
              <w:t>Author/year</w:t>
            </w:r>
          </w:p>
        </w:tc>
        <w:tc>
          <w:tcPr>
            <w:tcW w:w="1469" w:type="dxa"/>
          </w:tcPr>
          <w:p w14:paraId="221B428F" w14:textId="77777777" w:rsidR="00343845" w:rsidRPr="00CE0372" w:rsidRDefault="00343845" w:rsidP="00715C4F">
            <w:pPr>
              <w:spacing w:line="360" w:lineRule="auto"/>
              <w:jc w:val="both"/>
              <w:rPr>
                <w:rFonts w:ascii="Arial" w:eastAsia="Times New Roman" w:hAnsi="Arial" w:cs="Arial"/>
                <w:b/>
                <w:kern w:val="0"/>
                <w:sz w:val="20"/>
                <w:szCs w:val="20"/>
                <w:lang w:eastAsia="en-GB"/>
                <w14:ligatures w14:val="none"/>
              </w:rPr>
            </w:pPr>
            <w:r w:rsidRPr="00CE0372">
              <w:rPr>
                <w:rFonts w:ascii="Arial" w:eastAsia="Times New Roman" w:hAnsi="Arial" w:cs="Arial"/>
                <w:b/>
                <w:kern w:val="0"/>
                <w:sz w:val="20"/>
                <w:szCs w:val="20"/>
                <w:lang w:eastAsia="en-GB"/>
                <w14:ligatures w14:val="none"/>
              </w:rPr>
              <w:t>Objective/purpose</w:t>
            </w:r>
          </w:p>
        </w:tc>
        <w:tc>
          <w:tcPr>
            <w:tcW w:w="1710" w:type="dxa"/>
          </w:tcPr>
          <w:p w14:paraId="0AD53F05" w14:textId="77777777" w:rsidR="00343845" w:rsidRPr="00CE0372" w:rsidRDefault="00343845" w:rsidP="00715C4F">
            <w:pPr>
              <w:spacing w:line="360" w:lineRule="auto"/>
              <w:jc w:val="both"/>
              <w:rPr>
                <w:rFonts w:ascii="Arial" w:eastAsia="Times New Roman" w:hAnsi="Arial" w:cs="Arial"/>
                <w:b/>
                <w:kern w:val="0"/>
                <w:sz w:val="20"/>
                <w:szCs w:val="20"/>
                <w:lang w:eastAsia="en-GB"/>
                <w14:ligatures w14:val="none"/>
              </w:rPr>
            </w:pPr>
            <w:r w:rsidRPr="00CE0372">
              <w:rPr>
                <w:rFonts w:ascii="Arial" w:eastAsia="Times New Roman" w:hAnsi="Arial" w:cs="Arial"/>
                <w:b/>
                <w:kern w:val="0"/>
                <w:sz w:val="20"/>
                <w:szCs w:val="20"/>
                <w:lang w:eastAsia="en-GB"/>
                <w14:ligatures w14:val="none"/>
              </w:rPr>
              <w:t>Setting/sample</w:t>
            </w:r>
          </w:p>
        </w:tc>
        <w:tc>
          <w:tcPr>
            <w:tcW w:w="1080" w:type="dxa"/>
          </w:tcPr>
          <w:p w14:paraId="31DF58D7" w14:textId="77777777" w:rsidR="00343845" w:rsidRPr="00CE0372" w:rsidRDefault="00343845" w:rsidP="00715C4F">
            <w:pPr>
              <w:spacing w:line="360" w:lineRule="auto"/>
              <w:jc w:val="both"/>
              <w:rPr>
                <w:rFonts w:ascii="Arial" w:eastAsia="Times New Roman" w:hAnsi="Arial" w:cs="Arial"/>
                <w:b/>
                <w:kern w:val="0"/>
                <w:sz w:val="20"/>
                <w:szCs w:val="20"/>
                <w:lang w:eastAsia="en-GB"/>
                <w14:ligatures w14:val="none"/>
              </w:rPr>
            </w:pPr>
            <w:r w:rsidRPr="00CE0372">
              <w:rPr>
                <w:rFonts w:ascii="Arial" w:eastAsia="Times New Roman" w:hAnsi="Arial" w:cs="Arial"/>
                <w:b/>
                <w:kern w:val="0"/>
                <w:sz w:val="20"/>
                <w:szCs w:val="20"/>
                <w:lang w:eastAsia="en-GB"/>
                <w14:ligatures w14:val="none"/>
              </w:rPr>
              <w:t>Methodology/design</w:t>
            </w:r>
          </w:p>
        </w:tc>
        <w:tc>
          <w:tcPr>
            <w:tcW w:w="2070" w:type="dxa"/>
          </w:tcPr>
          <w:p w14:paraId="60600885" w14:textId="77777777" w:rsidR="00343845" w:rsidRPr="00CE0372" w:rsidRDefault="00343845" w:rsidP="00715C4F">
            <w:pPr>
              <w:spacing w:line="360" w:lineRule="auto"/>
              <w:jc w:val="both"/>
              <w:rPr>
                <w:rFonts w:ascii="Arial" w:eastAsia="Times New Roman" w:hAnsi="Arial" w:cs="Arial"/>
                <w:b/>
                <w:kern w:val="0"/>
                <w:sz w:val="20"/>
                <w:szCs w:val="20"/>
                <w:lang w:eastAsia="en-GB"/>
                <w14:ligatures w14:val="none"/>
              </w:rPr>
            </w:pPr>
            <w:r w:rsidRPr="00CE0372">
              <w:rPr>
                <w:rFonts w:ascii="Arial" w:eastAsia="Times New Roman" w:hAnsi="Arial" w:cs="Arial"/>
                <w:b/>
                <w:kern w:val="0"/>
                <w:sz w:val="20"/>
                <w:szCs w:val="20"/>
                <w:lang w:eastAsia="en-GB"/>
                <w14:ligatures w14:val="none"/>
              </w:rPr>
              <w:t>Strengths</w:t>
            </w:r>
          </w:p>
        </w:tc>
        <w:tc>
          <w:tcPr>
            <w:tcW w:w="1350" w:type="dxa"/>
          </w:tcPr>
          <w:p w14:paraId="5F33BD0B" w14:textId="77777777" w:rsidR="00343845" w:rsidRPr="00CE0372" w:rsidRDefault="00343845" w:rsidP="00715C4F">
            <w:pPr>
              <w:spacing w:line="360" w:lineRule="auto"/>
              <w:jc w:val="both"/>
              <w:rPr>
                <w:rFonts w:ascii="Arial" w:eastAsia="Times New Roman" w:hAnsi="Arial" w:cs="Arial"/>
                <w:b/>
                <w:kern w:val="0"/>
                <w:sz w:val="20"/>
                <w:szCs w:val="20"/>
                <w:lang w:eastAsia="en-GB"/>
                <w14:ligatures w14:val="none"/>
              </w:rPr>
            </w:pPr>
            <w:r w:rsidRPr="00CE0372">
              <w:rPr>
                <w:rFonts w:ascii="Arial" w:eastAsia="Times New Roman" w:hAnsi="Arial" w:cs="Arial"/>
                <w:b/>
                <w:kern w:val="0"/>
                <w:sz w:val="20"/>
                <w:szCs w:val="20"/>
                <w:lang w:eastAsia="en-GB"/>
                <w14:ligatures w14:val="none"/>
              </w:rPr>
              <w:t>Weaknesses</w:t>
            </w:r>
          </w:p>
        </w:tc>
        <w:tc>
          <w:tcPr>
            <w:tcW w:w="2323" w:type="dxa"/>
          </w:tcPr>
          <w:p w14:paraId="5EE829F5" w14:textId="77777777" w:rsidR="00343845" w:rsidRPr="00CE0372" w:rsidRDefault="00343845" w:rsidP="00715C4F">
            <w:pPr>
              <w:spacing w:line="360" w:lineRule="auto"/>
              <w:jc w:val="both"/>
              <w:rPr>
                <w:rFonts w:ascii="Arial" w:eastAsia="Times New Roman" w:hAnsi="Arial" w:cs="Arial"/>
                <w:b/>
                <w:kern w:val="0"/>
                <w:sz w:val="20"/>
                <w:szCs w:val="20"/>
                <w:lang w:eastAsia="en-GB"/>
                <w14:ligatures w14:val="none"/>
              </w:rPr>
            </w:pPr>
            <w:r w:rsidRPr="00CE0372">
              <w:rPr>
                <w:rFonts w:ascii="Arial" w:eastAsia="Times New Roman" w:hAnsi="Arial" w:cs="Arial"/>
                <w:b/>
                <w:kern w:val="0"/>
                <w:sz w:val="20"/>
                <w:szCs w:val="20"/>
                <w:lang w:eastAsia="en-GB"/>
                <w14:ligatures w14:val="none"/>
              </w:rPr>
              <w:t>Results/outcomes</w:t>
            </w:r>
          </w:p>
        </w:tc>
        <w:tc>
          <w:tcPr>
            <w:tcW w:w="2000" w:type="dxa"/>
          </w:tcPr>
          <w:p w14:paraId="0B9E897A" w14:textId="77777777" w:rsidR="00343845" w:rsidRPr="00CE0372" w:rsidRDefault="00343845" w:rsidP="00715C4F">
            <w:pPr>
              <w:spacing w:line="360" w:lineRule="auto"/>
              <w:jc w:val="both"/>
              <w:rPr>
                <w:rFonts w:ascii="Arial" w:eastAsia="Times New Roman" w:hAnsi="Arial" w:cs="Arial"/>
                <w:b/>
                <w:kern w:val="0"/>
                <w:sz w:val="20"/>
                <w:szCs w:val="20"/>
                <w:lang w:eastAsia="en-GB"/>
                <w14:ligatures w14:val="none"/>
              </w:rPr>
            </w:pPr>
            <w:r w:rsidRPr="00CE0372">
              <w:rPr>
                <w:rFonts w:ascii="Arial" w:eastAsia="Times New Roman" w:hAnsi="Arial" w:cs="Arial"/>
                <w:b/>
                <w:kern w:val="0"/>
                <w:sz w:val="20"/>
                <w:szCs w:val="20"/>
                <w:lang w:eastAsia="en-GB"/>
                <w14:ligatures w14:val="none"/>
              </w:rPr>
              <w:t>Conclusion</w:t>
            </w:r>
          </w:p>
        </w:tc>
      </w:tr>
      <w:tr w:rsidR="00714A81" w:rsidRPr="00CE0372" w14:paraId="019E6291" w14:textId="77777777" w:rsidTr="00BB3742">
        <w:tc>
          <w:tcPr>
            <w:tcW w:w="445" w:type="dxa"/>
          </w:tcPr>
          <w:p w14:paraId="0717E748"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1</w:t>
            </w:r>
          </w:p>
        </w:tc>
        <w:tc>
          <w:tcPr>
            <w:tcW w:w="1501" w:type="dxa"/>
          </w:tcPr>
          <w:p w14:paraId="3B106676" w14:textId="005F2CF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Darling et al.</w:t>
            </w:r>
            <w:r w:rsidR="006D5C94" w:rsidRPr="00CE0372">
              <w:rPr>
                <w:rFonts w:ascii="Arial" w:eastAsia="Times New Roman" w:hAnsi="Arial" w:cs="Arial"/>
                <w:kern w:val="0"/>
                <w:sz w:val="20"/>
                <w:szCs w:val="20"/>
                <w:lang w:eastAsia="en-GB"/>
                <w14:ligatures w14:val="none"/>
              </w:rPr>
              <w:t>,</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(2020)</w:t>
            </w:r>
          </w:p>
        </w:tc>
        <w:tc>
          <w:tcPr>
            <w:tcW w:w="1469" w:type="dxa"/>
          </w:tcPr>
          <w:p w14:paraId="7F378445"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Examine vitamin D deficiency in UK South Asians</w:t>
            </w:r>
          </w:p>
        </w:tc>
        <w:tc>
          <w:tcPr>
            <w:tcW w:w="1710" w:type="dxa"/>
          </w:tcPr>
          <w:p w14:paraId="0FDA4F3E"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UK Biobank; 6,433 South Asians</w:t>
            </w:r>
          </w:p>
        </w:tc>
        <w:tc>
          <w:tcPr>
            <w:tcW w:w="1080" w:type="dxa"/>
          </w:tcPr>
          <w:p w14:paraId="451EC0E2"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Cross-sectional</w:t>
            </w:r>
          </w:p>
        </w:tc>
        <w:tc>
          <w:tcPr>
            <w:tcW w:w="2070" w:type="dxa"/>
          </w:tcPr>
          <w:p w14:paraId="47DA8341"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Large sample; ethnic subgroup analysis</w:t>
            </w:r>
          </w:p>
        </w:tc>
        <w:tc>
          <w:tcPr>
            <w:tcW w:w="1350" w:type="dxa"/>
          </w:tcPr>
          <w:p w14:paraId="24EA36B2"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Observational design</w:t>
            </w:r>
          </w:p>
        </w:tc>
        <w:tc>
          <w:tcPr>
            <w:tcW w:w="2323" w:type="dxa"/>
          </w:tcPr>
          <w:p w14:paraId="48411B96"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Very high deficiency among South Asians</w:t>
            </w:r>
          </w:p>
        </w:tc>
        <w:tc>
          <w:tcPr>
            <w:tcW w:w="2000" w:type="dxa"/>
          </w:tcPr>
          <w:p w14:paraId="04CC29EE"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South Asians were at high risk</w:t>
            </w:r>
          </w:p>
        </w:tc>
      </w:tr>
      <w:tr w:rsidR="00714A81" w:rsidRPr="00CE0372" w14:paraId="554C06C3" w14:textId="77777777" w:rsidTr="00BB3742">
        <w:tc>
          <w:tcPr>
            <w:tcW w:w="445" w:type="dxa"/>
          </w:tcPr>
          <w:p w14:paraId="34381677"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2</w:t>
            </w:r>
          </w:p>
        </w:tc>
        <w:tc>
          <w:tcPr>
            <w:tcW w:w="1501" w:type="dxa"/>
          </w:tcPr>
          <w:p w14:paraId="66C29923" w14:textId="31BD67C0"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Sutherland</w:t>
            </w:r>
            <w:r w:rsidR="006D5C94" w:rsidRPr="00CE0372">
              <w:rPr>
                <w:rFonts w:ascii="Arial" w:hAnsi="Arial" w:cs="Arial"/>
                <w:sz w:val="20"/>
                <w:szCs w:val="20"/>
              </w:rPr>
              <w:t xml:space="preserve"> </w:t>
            </w:r>
            <w:r w:rsidR="00A235EE" w:rsidRPr="00CE0372">
              <w:rPr>
                <w:rFonts w:ascii="Arial" w:eastAsia="Times New Roman" w:hAnsi="Arial" w:cs="Arial"/>
                <w:kern w:val="0"/>
                <w:sz w:val="20"/>
                <w:szCs w:val="20"/>
                <w:lang w:eastAsia="en-GB"/>
                <w14:ligatures w14:val="none"/>
              </w:rPr>
              <w:t>et al.,</w:t>
            </w:r>
            <w:r w:rsidR="006D5C94"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(2021)</w:t>
            </w:r>
          </w:p>
        </w:tc>
        <w:tc>
          <w:tcPr>
            <w:tcW w:w="1469" w:type="dxa"/>
          </w:tcPr>
          <w:p w14:paraId="5279CB1D"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Assess ethnic and socioeconomic determinants</w:t>
            </w:r>
          </w:p>
        </w:tc>
        <w:tc>
          <w:tcPr>
            <w:tcW w:w="1710" w:type="dxa"/>
          </w:tcPr>
          <w:p w14:paraId="2571EF34"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440,581 UK Biobank participants</w:t>
            </w:r>
          </w:p>
        </w:tc>
        <w:tc>
          <w:tcPr>
            <w:tcW w:w="1080" w:type="dxa"/>
          </w:tcPr>
          <w:p w14:paraId="1EF2654D"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Cross-sectional</w:t>
            </w:r>
          </w:p>
        </w:tc>
        <w:tc>
          <w:tcPr>
            <w:tcW w:w="2070" w:type="dxa"/>
          </w:tcPr>
          <w:p w14:paraId="5424F26B"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Very large multi-ethnic sample</w:t>
            </w:r>
          </w:p>
        </w:tc>
        <w:tc>
          <w:tcPr>
            <w:tcW w:w="1350" w:type="dxa"/>
          </w:tcPr>
          <w:p w14:paraId="2874DC99"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Self-reported behavioural factors</w:t>
            </w:r>
          </w:p>
        </w:tc>
        <w:tc>
          <w:tcPr>
            <w:tcW w:w="2323" w:type="dxa"/>
          </w:tcPr>
          <w:p w14:paraId="263F9860"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Deficiency highest among Asian and Black groups; deprivation associated with deficiency (Sutherland et al., 2021).</w:t>
            </w:r>
          </w:p>
        </w:tc>
        <w:tc>
          <w:tcPr>
            <w:tcW w:w="2000" w:type="dxa"/>
          </w:tcPr>
          <w:p w14:paraId="70C55697"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Ethnicity and deprivation were important determinants</w:t>
            </w:r>
          </w:p>
        </w:tc>
      </w:tr>
      <w:tr w:rsidR="00714A81" w:rsidRPr="00CE0372" w14:paraId="30D6D45E" w14:textId="77777777" w:rsidTr="00BB3742">
        <w:tc>
          <w:tcPr>
            <w:tcW w:w="445" w:type="dxa"/>
          </w:tcPr>
          <w:p w14:paraId="60AC5608"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3</w:t>
            </w:r>
          </w:p>
        </w:tc>
        <w:tc>
          <w:tcPr>
            <w:tcW w:w="1501" w:type="dxa"/>
          </w:tcPr>
          <w:p w14:paraId="4E6D6006" w14:textId="3F1C4E95"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 xml:space="preserve">Lin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(2021)</w:t>
            </w:r>
          </w:p>
        </w:tc>
        <w:tc>
          <w:tcPr>
            <w:tcW w:w="1469" w:type="dxa"/>
          </w:tcPr>
          <w:p w14:paraId="5509AE54"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Examine UK distribution of vitamin D status</w:t>
            </w:r>
          </w:p>
        </w:tc>
        <w:tc>
          <w:tcPr>
            <w:tcW w:w="1710" w:type="dxa"/>
          </w:tcPr>
          <w:p w14:paraId="6F71B8C9"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449,943 UK Biobank participants</w:t>
            </w:r>
          </w:p>
        </w:tc>
        <w:tc>
          <w:tcPr>
            <w:tcW w:w="1080" w:type="dxa"/>
          </w:tcPr>
          <w:p w14:paraId="78CAE2EA"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Cross-sectional</w:t>
            </w:r>
          </w:p>
        </w:tc>
        <w:tc>
          <w:tcPr>
            <w:tcW w:w="2070" w:type="dxa"/>
          </w:tcPr>
          <w:p w14:paraId="1A701A6E"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National-scale dataset</w:t>
            </w:r>
          </w:p>
        </w:tc>
        <w:tc>
          <w:tcPr>
            <w:tcW w:w="1350" w:type="dxa"/>
          </w:tcPr>
          <w:p w14:paraId="59B2A555"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Cross-sectional associations</w:t>
            </w:r>
          </w:p>
        </w:tc>
        <w:tc>
          <w:tcPr>
            <w:tcW w:w="2323" w:type="dxa"/>
          </w:tcPr>
          <w:p w14:paraId="357D90A3"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Asian and Black participants had greater deficiency; season and deprivation were associated with status (Lin et al., 2021).</w:t>
            </w:r>
          </w:p>
        </w:tc>
        <w:tc>
          <w:tcPr>
            <w:tcW w:w="2000" w:type="dxa"/>
          </w:tcPr>
          <w:p w14:paraId="2D228021"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Vitamin D status varied by ethnicity, season and geography</w:t>
            </w:r>
          </w:p>
        </w:tc>
      </w:tr>
      <w:tr w:rsidR="00714A81" w:rsidRPr="00CE0372" w14:paraId="7E78BC96" w14:textId="77777777" w:rsidTr="00BB3742">
        <w:tc>
          <w:tcPr>
            <w:tcW w:w="445" w:type="dxa"/>
          </w:tcPr>
          <w:p w14:paraId="3C9DDB69"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4</w:t>
            </w:r>
          </w:p>
        </w:tc>
        <w:tc>
          <w:tcPr>
            <w:tcW w:w="1501" w:type="dxa"/>
          </w:tcPr>
          <w:p w14:paraId="0EF72D01" w14:textId="55C9C381"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proofErr w:type="spellStart"/>
            <w:r w:rsidRPr="00CE0372">
              <w:rPr>
                <w:rFonts w:ascii="Arial" w:eastAsia="Times New Roman" w:hAnsi="Arial" w:cs="Arial"/>
                <w:kern w:val="0"/>
                <w:sz w:val="20"/>
                <w:szCs w:val="20"/>
                <w:lang w:eastAsia="en-GB"/>
                <w14:ligatures w14:val="none"/>
              </w:rPr>
              <w:t>Vearing</w:t>
            </w:r>
            <w:proofErr w:type="spellEnd"/>
            <w:r w:rsidRPr="00CE0372">
              <w:rPr>
                <w:rFonts w:ascii="Arial" w:eastAsia="Times New Roman" w:hAnsi="Arial" w:cs="Arial"/>
                <w:kern w:val="0"/>
                <w:sz w:val="20"/>
                <w:szCs w:val="20"/>
                <w:lang w:eastAsia="en-GB"/>
                <w14:ligatures w14:val="none"/>
              </w:rPr>
              <w:t xml:space="preserve">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(2021)</w:t>
            </w:r>
          </w:p>
        </w:tc>
        <w:tc>
          <w:tcPr>
            <w:tcW w:w="1469" w:type="dxa"/>
          </w:tcPr>
          <w:p w14:paraId="3B863B62"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 xml:space="preserve">Assess vitamin D status in </w:t>
            </w:r>
            <w:r w:rsidRPr="00CE0372">
              <w:rPr>
                <w:rFonts w:ascii="Arial" w:eastAsia="Times New Roman" w:hAnsi="Arial" w:cs="Arial"/>
                <w:kern w:val="0"/>
                <w:sz w:val="20"/>
                <w:szCs w:val="20"/>
                <w:lang w:eastAsia="en-GB"/>
                <w14:ligatures w14:val="none"/>
              </w:rPr>
              <w:lastRenderedPageBreak/>
              <w:t>African-Caribbean residents</w:t>
            </w:r>
          </w:p>
        </w:tc>
        <w:tc>
          <w:tcPr>
            <w:tcW w:w="1710" w:type="dxa"/>
          </w:tcPr>
          <w:p w14:paraId="27A0E509"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lastRenderedPageBreak/>
              <w:t>UK Biobank; African-</w:t>
            </w:r>
            <w:r w:rsidRPr="00CE0372">
              <w:rPr>
                <w:rFonts w:ascii="Arial" w:eastAsia="Times New Roman" w:hAnsi="Arial" w:cs="Arial"/>
                <w:kern w:val="0"/>
                <w:sz w:val="20"/>
                <w:szCs w:val="20"/>
                <w:lang w:eastAsia="en-GB"/>
                <w14:ligatures w14:val="none"/>
              </w:rPr>
              <w:lastRenderedPageBreak/>
              <w:t>Caribbean/African adults</w:t>
            </w:r>
          </w:p>
        </w:tc>
        <w:tc>
          <w:tcPr>
            <w:tcW w:w="1080" w:type="dxa"/>
          </w:tcPr>
          <w:p w14:paraId="627F5A37"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lastRenderedPageBreak/>
              <w:t>Cross-sectional</w:t>
            </w:r>
          </w:p>
        </w:tc>
        <w:tc>
          <w:tcPr>
            <w:tcW w:w="2070" w:type="dxa"/>
          </w:tcPr>
          <w:p w14:paraId="4AB4E8EA"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Ethnic-specific analysis</w:t>
            </w:r>
          </w:p>
        </w:tc>
        <w:tc>
          <w:tcPr>
            <w:tcW w:w="1350" w:type="dxa"/>
          </w:tcPr>
          <w:p w14:paraId="1958394B"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Observational design</w:t>
            </w:r>
          </w:p>
        </w:tc>
        <w:tc>
          <w:tcPr>
            <w:tcW w:w="2323" w:type="dxa"/>
          </w:tcPr>
          <w:p w14:paraId="689AB561"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Low 25(OH</w:t>
            </w:r>
            <w:proofErr w:type="gramStart"/>
            <w:r w:rsidRPr="00CE0372">
              <w:rPr>
                <w:rFonts w:ascii="Arial" w:eastAsia="Times New Roman" w:hAnsi="Arial" w:cs="Arial"/>
                <w:kern w:val="0"/>
                <w:sz w:val="20"/>
                <w:szCs w:val="20"/>
                <w:lang w:eastAsia="en-GB"/>
                <w14:ligatures w14:val="none"/>
              </w:rPr>
              <w:t>)D</w:t>
            </w:r>
            <w:proofErr w:type="gramEnd"/>
            <w:r w:rsidRPr="00CE0372">
              <w:rPr>
                <w:rFonts w:ascii="Arial" w:eastAsia="Times New Roman" w:hAnsi="Arial" w:cs="Arial"/>
                <w:kern w:val="0"/>
                <w:sz w:val="20"/>
                <w:szCs w:val="20"/>
                <w:lang w:eastAsia="en-GB"/>
                <w14:ligatures w14:val="none"/>
              </w:rPr>
              <w:t xml:space="preserve"> and seasonal variation were </w:t>
            </w:r>
            <w:r w:rsidRPr="00CE0372">
              <w:rPr>
                <w:rFonts w:ascii="Arial" w:eastAsia="Times New Roman" w:hAnsi="Arial" w:cs="Arial"/>
                <w:kern w:val="0"/>
                <w:sz w:val="20"/>
                <w:szCs w:val="20"/>
                <w:lang w:eastAsia="en-GB"/>
                <w14:ligatures w14:val="none"/>
              </w:rPr>
              <w:lastRenderedPageBreak/>
              <w:t>identified (</w:t>
            </w:r>
            <w:proofErr w:type="spellStart"/>
            <w:r w:rsidRPr="00CE0372">
              <w:rPr>
                <w:rFonts w:ascii="Arial" w:eastAsia="Times New Roman" w:hAnsi="Arial" w:cs="Arial"/>
                <w:kern w:val="0"/>
                <w:sz w:val="20"/>
                <w:szCs w:val="20"/>
                <w:lang w:eastAsia="en-GB"/>
                <w14:ligatures w14:val="none"/>
              </w:rPr>
              <w:t>Vearing</w:t>
            </w:r>
            <w:proofErr w:type="spellEnd"/>
            <w:r w:rsidRPr="00CE0372">
              <w:rPr>
                <w:rFonts w:ascii="Arial" w:eastAsia="Times New Roman" w:hAnsi="Arial" w:cs="Arial"/>
                <w:kern w:val="0"/>
                <w:sz w:val="20"/>
                <w:szCs w:val="20"/>
                <w:lang w:eastAsia="en-GB"/>
                <w14:ligatures w14:val="none"/>
              </w:rPr>
              <w:t xml:space="preserve"> et al., 2021).</w:t>
            </w:r>
          </w:p>
        </w:tc>
        <w:tc>
          <w:tcPr>
            <w:tcW w:w="2000" w:type="dxa"/>
          </w:tcPr>
          <w:p w14:paraId="122D40DA"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lastRenderedPageBreak/>
              <w:t xml:space="preserve">African-Caribbean populations were </w:t>
            </w:r>
            <w:r w:rsidRPr="00CE0372">
              <w:rPr>
                <w:rFonts w:ascii="Arial" w:eastAsia="Times New Roman" w:hAnsi="Arial" w:cs="Arial"/>
                <w:kern w:val="0"/>
                <w:sz w:val="20"/>
                <w:szCs w:val="20"/>
                <w:lang w:eastAsia="en-GB"/>
                <w14:ligatures w14:val="none"/>
              </w:rPr>
              <w:lastRenderedPageBreak/>
              <w:t>vulnerable to deficiency</w:t>
            </w:r>
          </w:p>
        </w:tc>
      </w:tr>
      <w:tr w:rsidR="00714A81" w:rsidRPr="00CE0372" w14:paraId="2DBEAFE9" w14:textId="77777777" w:rsidTr="00BB3742">
        <w:tc>
          <w:tcPr>
            <w:tcW w:w="445" w:type="dxa"/>
          </w:tcPr>
          <w:p w14:paraId="78E7D17B"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lastRenderedPageBreak/>
              <w:t>5</w:t>
            </w:r>
          </w:p>
        </w:tc>
        <w:tc>
          <w:tcPr>
            <w:tcW w:w="1501" w:type="dxa"/>
          </w:tcPr>
          <w:p w14:paraId="705C59C9" w14:textId="0BD98760"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 xml:space="preserve">Smith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(2021)</w:t>
            </w:r>
          </w:p>
        </w:tc>
        <w:tc>
          <w:tcPr>
            <w:tcW w:w="1469" w:type="dxa"/>
          </w:tcPr>
          <w:p w14:paraId="21ED68D6"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Compare vitamin D status among British-Bangladeshi migrants</w:t>
            </w:r>
          </w:p>
        </w:tc>
        <w:tc>
          <w:tcPr>
            <w:tcW w:w="1710" w:type="dxa"/>
          </w:tcPr>
          <w:p w14:paraId="2BDB941D"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149 women; UK and Bangladesh comparison</w:t>
            </w:r>
          </w:p>
        </w:tc>
        <w:tc>
          <w:tcPr>
            <w:tcW w:w="1080" w:type="dxa"/>
          </w:tcPr>
          <w:p w14:paraId="21CDE31F"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Cross-sectional</w:t>
            </w:r>
          </w:p>
        </w:tc>
        <w:tc>
          <w:tcPr>
            <w:tcW w:w="2070" w:type="dxa"/>
          </w:tcPr>
          <w:p w14:paraId="728ED3C8"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Direct migrant comparison</w:t>
            </w:r>
          </w:p>
        </w:tc>
        <w:tc>
          <w:tcPr>
            <w:tcW w:w="1350" w:type="dxa"/>
          </w:tcPr>
          <w:p w14:paraId="6C5F9059"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Relatively small sample</w:t>
            </w:r>
          </w:p>
        </w:tc>
        <w:tc>
          <w:tcPr>
            <w:tcW w:w="2323" w:type="dxa"/>
          </w:tcPr>
          <w:p w14:paraId="2931875E"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Differences in vitamin D status were observed between groups</w:t>
            </w:r>
          </w:p>
        </w:tc>
        <w:tc>
          <w:tcPr>
            <w:tcW w:w="2000" w:type="dxa"/>
          </w:tcPr>
          <w:p w14:paraId="6C22DD50"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Migration/environment influenced vitamin D status</w:t>
            </w:r>
          </w:p>
        </w:tc>
      </w:tr>
      <w:tr w:rsidR="00714A81" w:rsidRPr="00CE0372" w14:paraId="3B9C4D30" w14:textId="77777777" w:rsidTr="00BB3742">
        <w:tc>
          <w:tcPr>
            <w:tcW w:w="445" w:type="dxa"/>
          </w:tcPr>
          <w:p w14:paraId="076F3EB0"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6</w:t>
            </w:r>
          </w:p>
        </w:tc>
        <w:tc>
          <w:tcPr>
            <w:tcW w:w="1501" w:type="dxa"/>
          </w:tcPr>
          <w:p w14:paraId="51C48C86" w14:textId="21F620E2"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 xml:space="preserve">Coley-Grant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(2021)</w:t>
            </w:r>
          </w:p>
        </w:tc>
        <w:tc>
          <w:tcPr>
            <w:tcW w:w="1469" w:type="dxa"/>
          </w:tcPr>
          <w:p w14:paraId="7C4FDF6C"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Examine relationship between PTH and vitamin D</w:t>
            </w:r>
          </w:p>
        </w:tc>
        <w:tc>
          <w:tcPr>
            <w:tcW w:w="1710" w:type="dxa"/>
          </w:tcPr>
          <w:p w14:paraId="1F3B1DE9"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UK South Asian and White adults</w:t>
            </w:r>
          </w:p>
        </w:tc>
        <w:tc>
          <w:tcPr>
            <w:tcW w:w="1080" w:type="dxa"/>
          </w:tcPr>
          <w:p w14:paraId="39F727DF"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Cross-sectional</w:t>
            </w:r>
          </w:p>
        </w:tc>
        <w:tc>
          <w:tcPr>
            <w:tcW w:w="2070" w:type="dxa"/>
          </w:tcPr>
          <w:p w14:paraId="59C160A4"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Comparative ethnic design</w:t>
            </w:r>
          </w:p>
        </w:tc>
        <w:tc>
          <w:tcPr>
            <w:tcW w:w="1350" w:type="dxa"/>
          </w:tcPr>
          <w:p w14:paraId="6AA54A1E"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Limited causal inference</w:t>
            </w:r>
          </w:p>
        </w:tc>
        <w:tc>
          <w:tcPr>
            <w:tcW w:w="2323" w:type="dxa"/>
          </w:tcPr>
          <w:p w14:paraId="6219593B"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Ethnic differences in vitamin D–PTH relationship</w:t>
            </w:r>
          </w:p>
        </w:tc>
        <w:tc>
          <w:tcPr>
            <w:tcW w:w="2000" w:type="dxa"/>
          </w:tcPr>
          <w:p w14:paraId="018121B3"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Vitamin D status differed between groups</w:t>
            </w:r>
          </w:p>
        </w:tc>
      </w:tr>
      <w:tr w:rsidR="00714A81" w:rsidRPr="00CE0372" w14:paraId="22CC8D08" w14:textId="77777777" w:rsidTr="00BB3742">
        <w:tc>
          <w:tcPr>
            <w:tcW w:w="445" w:type="dxa"/>
          </w:tcPr>
          <w:p w14:paraId="7649FCB5"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7</w:t>
            </w:r>
          </w:p>
        </w:tc>
        <w:tc>
          <w:tcPr>
            <w:tcW w:w="1501" w:type="dxa"/>
          </w:tcPr>
          <w:p w14:paraId="0F709688" w14:textId="6CD93DAC"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 xml:space="preserve">Zheng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(2025)</w:t>
            </w:r>
          </w:p>
        </w:tc>
        <w:tc>
          <w:tcPr>
            <w:tcW w:w="1469" w:type="dxa"/>
          </w:tcPr>
          <w:p w14:paraId="6D4B8CBC"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Explore perceptions and cultural influences</w:t>
            </w:r>
          </w:p>
        </w:tc>
        <w:tc>
          <w:tcPr>
            <w:tcW w:w="1710" w:type="dxa"/>
          </w:tcPr>
          <w:p w14:paraId="06630462"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9 minority ethnic adults aged 60+; East London</w:t>
            </w:r>
          </w:p>
        </w:tc>
        <w:tc>
          <w:tcPr>
            <w:tcW w:w="1080" w:type="dxa"/>
          </w:tcPr>
          <w:p w14:paraId="1FABCF49"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Qualitative</w:t>
            </w:r>
          </w:p>
        </w:tc>
        <w:tc>
          <w:tcPr>
            <w:tcW w:w="2070" w:type="dxa"/>
          </w:tcPr>
          <w:p w14:paraId="1D3BF964"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Rich contextual evidence</w:t>
            </w:r>
          </w:p>
        </w:tc>
        <w:tc>
          <w:tcPr>
            <w:tcW w:w="1350" w:type="dxa"/>
          </w:tcPr>
          <w:p w14:paraId="20DB2AF3"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Small purposive sample</w:t>
            </w:r>
          </w:p>
        </w:tc>
        <w:tc>
          <w:tcPr>
            <w:tcW w:w="2323" w:type="dxa"/>
          </w:tcPr>
          <w:p w14:paraId="130B79E8"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Knowledge, cultural influences and access were important</w:t>
            </w:r>
          </w:p>
        </w:tc>
        <w:tc>
          <w:tcPr>
            <w:tcW w:w="2000" w:type="dxa"/>
          </w:tcPr>
          <w:p w14:paraId="3A5073A7"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Targeted education and support were needed</w:t>
            </w:r>
          </w:p>
        </w:tc>
      </w:tr>
      <w:tr w:rsidR="00714A81" w:rsidRPr="00CE0372" w14:paraId="5BCAE22A" w14:textId="77777777" w:rsidTr="00BB3742">
        <w:tc>
          <w:tcPr>
            <w:tcW w:w="445" w:type="dxa"/>
          </w:tcPr>
          <w:p w14:paraId="1C4B2800"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8</w:t>
            </w:r>
          </w:p>
        </w:tc>
        <w:tc>
          <w:tcPr>
            <w:tcW w:w="1501" w:type="dxa"/>
          </w:tcPr>
          <w:p w14:paraId="0A4A5568"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 xml:space="preserve">Belfield and </w:t>
            </w:r>
            <w:proofErr w:type="spellStart"/>
            <w:r w:rsidRPr="00CE0372">
              <w:rPr>
                <w:rFonts w:ascii="Arial" w:eastAsia="Times New Roman" w:hAnsi="Arial" w:cs="Arial"/>
                <w:kern w:val="0"/>
                <w:sz w:val="20"/>
                <w:szCs w:val="20"/>
                <w:lang w:eastAsia="en-GB"/>
                <w14:ligatures w14:val="none"/>
              </w:rPr>
              <w:t>Llahana</w:t>
            </w:r>
            <w:proofErr w:type="spellEnd"/>
            <w:r w:rsidRPr="00CE0372">
              <w:rPr>
                <w:rFonts w:ascii="Arial" w:eastAsia="Times New Roman" w:hAnsi="Arial" w:cs="Arial"/>
                <w:kern w:val="0"/>
                <w:sz w:val="20"/>
                <w:szCs w:val="20"/>
                <w:lang w:eastAsia="en-GB"/>
                <w14:ligatures w14:val="none"/>
              </w:rPr>
              <w:t xml:space="preserve"> (2024)</w:t>
            </w:r>
          </w:p>
        </w:tc>
        <w:tc>
          <w:tcPr>
            <w:tcW w:w="1469" w:type="dxa"/>
          </w:tcPr>
          <w:p w14:paraId="60BB1C3E"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Explore knowledge and perceptions among Bengali women</w:t>
            </w:r>
          </w:p>
        </w:tc>
        <w:tc>
          <w:tcPr>
            <w:tcW w:w="1710" w:type="dxa"/>
          </w:tcPr>
          <w:p w14:paraId="05376FD6"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UK women of Bengali origin</w:t>
            </w:r>
          </w:p>
        </w:tc>
        <w:tc>
          <w:tcPr>
            <w:tcW w:w="1080" w:type="dxa"/>
          </w:tcPr>
          <w:p w14:paraId="3ACA1B24"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Qualitative</w:t>
            </w:r>
          </w:p>
        </w:tc>
        <w:tc>
          <w:tcPr>
            <w:tcW w:w="2070" w:type="dxa"/>
          </w:tcPr>
          <w:p w14:paraId="768008F8"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In-depth participant perspectives</w:t>
            </w:r>
          </w:p>
        </w:tc>
        <w:tc>
          <w:tcPr>
            <w:tcW w:w="1350" w:type="dxa"/>
          </w:tcPr>
          <w:p w14:paraId="28E50A95"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Limited generalisability</w:t>
            </w:r>
          </w:p>
        </w:tc>
        <w:tc>
          <w:tcPr>
            <w:tcW w:w="2323" w:type="dxa"/>
          </w:tcPr>
          <w:p w14:paraId="75D3AC99"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Knowledge and perceptions influenced vitamin D-related behaviour</w:t>
            </w:r>
          </w:p>
        </w:tc>
        <w:tc>
          <w:tcPr>
            <w:tcW w:w="2000" w:type="dxa"/>
          </w:tcPr>
          <w:p w14:paraId="54916BCE"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Cultural and educational factors shaped awareness</w:t>
            </w:r>
          </w:p>
        </w:tc>
      </w:tr>
      <w:tr w:rsidR="00714A81" w:rsidRPr="00CE0372" w14:paraId="61B5AF13" w14:textId="77777777" w:rsidTr="00BB3742">
        <w:tc>
          <w:tcPr>
            <w:tcW w:w="445" w:type="dxa"/>
          </w:tcPr>
          <w:p w14:paraId="11533D4D"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lastRenderedPageBreak/>
              <w:t>9</w:t>
            </w:r>
          </w:p>
        </w:tc>
        <w:tc>
          <w:tcPr>
            <w:tcW w:w="1501" w:type="dxa"/>
          </w:tcPr>
          <w:p w14:paraId="416376DC" w14:textId="153544F2"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 xml:space="preserve">Santana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(2024)</w:t>
            </w:r>
          </w:p>
        </w:tc>
        <w:tc>
          <w:tcPr>
            <w:tcW w:w="1469" w:type="dxa"/>
          </w:tcPr>
          <w:p w14:paraId="1FD39F21"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Examine greenness, lifestyle and vitamin D</w:t>
            </w:r>
          </w:p>
        </w:tc>
        <w:tc>
          <w:tcPr>
            <w:tcW w:w="1710" w:type="dxa"/>
          </w:tcPr>
          <w:p w14:paraId="148C7A3A"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309 South Asian-origin and Caucasian women; southern UK</w:t>
            </w:r>
          </w:p>
        </w:tc>
        <w:tc>
          <w:tcPr>
            <w:tcW w:w="1080" w:type="dxa"/>
          </w:tcPr>
          <w:p w14:paraId="6C39B040"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Cohort</w:t>
            </w:r>
          </w:p>
        </w:tc>
        <w:tc>
          <w:tcPr>
            <w:tcW w:w="2070" w:type="dxa"/>
          </w:tcPr>
          <w:p w14:paraId="7C2B7564"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Longitudinal seasonal measurements</w:t>
            </w:r>
          </w:p>
        </w:tc>
        <w:tc>
          <w:tcPr>
            <w:tcW w:w="1350" w:type="dxa"/>
          </w:tcPr>
          <w:p w14:paraId="2A437E22"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Female-specific sample</w:t>
            </w:r>
          </w:p>
        </w:tc>
        <w:tc>
          <w:tcPr>
            <w:tcW w:w="2323" w:type="dxa"/>
          </w:tcPr>
          <w:p w14:paraId="7A4A9B1D"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Lifestyle, residential greenness and UV exposure were related to vitamin D status</w:t>
            </w:r>
          </w:p>
        </w:tc>
        <w:tc>
          <w:tcPr>
            <w:tcW w:w="2000" w:type="dxa"/>
          </w:tcPr>
          <w:p w14:paraId="1B2DB3A7"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Environment and lifestyle contributed to variation</w:t>
            </w:r>
          </w:p>
        </w:tc>
      </w:tr>
      <w:tr w:rsidR="00714A81" w:rsidRPr="00CE0372" w14:paraId="76BD5FA0" w14:textId="77777777" w:rsidTr="00BB3742">
        <w:tc>
          <w:tcPr>
            <w:tcW w:w="445" w:type="dxa"/>
          </w:tcPr>
          <w:p w14:paraId="120A47D8"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10</w:t>
            </w:r>
          </w:p>
        </w:tc>
        <w:tc>
          <w:tcPr>
            <w:tcW w:w="1501" w:type="dxa"/>
          </w:tcPr>
          <w:p w14:paraId="2F72D813" w14:textId="78CC3385"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 xml:space="preserve">Phelan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(2024)</w:t>
            </w:r>
          </w:p>
        </w:tc>
        <w:tc>
          <w:tcPr>
            <w:tcW w:w="1469" w:type="dxa"/>
          </w:tcPr>
          <w:p w14:paraId="63D829FD"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Examine occupational vitamin D risk</w:t>
            </w:r>
          </w:p>
        </w:tc>
        <w:tc>
          <w:tcPr>
            <w:tcW w:w="1710" w:type="dxa"/>
          </w:tcPr>
          <w:p w14:paraId="76CFCDFC"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UK healthcare workers</w:t>
            </w:r>
          </w:p>
        </w:tc>
        <w:tc>
          <w:tcPr>
            <w:tcW w:w="1080" w:type="dxa"/>
          </w:tcPr>
          <w:p w14:paraId="1D1E3F26"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Cross-sectional</w:t>
            </w:r>
          </w:p>
        </w:tc>
        <w:tc>
          <w:tcPr>
            <w:tcW w:w="2070" w:type="dxa"/>
          </w:tcPr>
          <w:p w14:paraId="2C695F5C"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Occupational focus</w:t>
            </w:r>
          </w:p>
        </w:tc>
        <w:tc>
          <w:tcPr>
            <w:tcW w:w="1350" w:type="dxa"/>
          </w:tcPr>
          <w:p w14:paraId="617C1BFE"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Cross-sectional design</w:t>
            </w:r>
          </w:p>
        </w:tc>
        <w:tc>
          <w:tcPr>
            <w:tcW w:w="2323" w:type="dxa"/>
          </w:tcPr>
          <w:p w14:paraId="714ADBBA"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Occupational exposure was associated with vitamin D risk</w:t>
            </w:r>
          </w:p>
        </w:tc>
        <w:tc>
          <w:tcPr>
            <w:tcW w:w="2000" w:type="dxa"/>
          </w:tcPr>
          <w:p w14:paraId="5FDC6375"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Work patterns may influence status</w:t>
            </w:r>
          </w:p>
        </w:tc>
      </w:tr>
      <w:tr w:rsidR="00714A81" w:rsidRPr="00CE0372" w14:paraId="5DD52A67" w14:textId="77777777" w:rsidTr="00BB3742">
        <w:tc>
          <w:tcPr>
            <w:tcW w:w="445" w:type="dxa"/>
          </w:tcPr>
          <w:p w14:paraId="5A0A736F"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11</w:t>
            </w:r>
          </w:p>
        </w:tc>
        <w:tc>
          <w:tcPr>
            <w:tcW w:w="1501" w:type="dxa"/>
          </w:tcPr>
          <w:p w14:paraId="5DFB6255" w14:textId="7F666CA5"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proofErr w:type="spellStart"/>
            <w:r w:rsidRPr="00CE0372">
              <w:rPr>
                <w:rFonts w:ascii="Arial" w:eastAsia="Times New Roman" w:hAnsi="Arial" w:cs="Arial"/>
                <w:kern w:val="0"/>
                <w:sz w:val="20"/>
                <w:szCs w:val="20"/>
                <w:lang w:eastAsia="en-GB"/>
                <w14:ligatures w14:val="none"/>
              </w:rPr>
              <w:t>Tanna</w:t>
            </w:r>
            <w:proofErr w:type="spellEnd"/>
            <w:r w:rsidRPr="00CE0372">
              <w:rPr>
                <w:rFonts w:ascii="Arial" w:eastAsia="Times New Roman" w:hAnsi="Arial" w:cs="Arial"/>
                <w:kern w:val="0"/>
                <w:sz w:val="20"/>
                <w:szCs w:val="20"/>
                <w:lang w:eastAsia="en-GB"/>
                <w14:ligatures w14:val="none"/>
              </w:rPr>
              <w:t xml:space="preserve">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(2023)</w:t>
            </w:r>
          </w:p>
        </w:tc>
        <w:tc>
          <w:tcPr>
            <w:tcW w:w="1469" w:type="dxa"/>
          </w:tcPr>
          <w:p w14:paraId="0FF83E22" w14:textId="7F46BE28"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Examine knowledge, attit</w:t>
            </w:r>
            <w:r w:rsidR="005F5916">
              <w:rPr>
                <w:rFonts w:ascii="Arial" w:eastAsia="Times New Roman" w:hAnsi="Arial" w:cs="Arial"/>
                <w:kern w:val="0"/>
                <w:sz w:val="20"/>
                <w:szCs w:val="20"/>
                <w:lang w:eastAsia="en-GB"/>
                <w14:ligatures w14:val="none"/>
              </w:rPr>
              <w:t>udes and supplementation practis</w:t>
            </w:r>
            <w:r w:rsidRPr="00CE0372">
              <w:rPr>
                <w:rFonts w:ascii="Arial" w:eastAsia="Times New Roman" w:hAnsi="Arial" w:cs="Arial"/>
                <w:kern w:val="0"/>
                <w:sz w:val="20"/>
                <w:szCs w:val="20"/>
                <w:lang w:eastAsia="en-GB"/>
                <w14:ligatures w14:val="none"/>
              </w:rPr>
              <w:t>es</w:t>
            </w:r>
          </w:p>
        </w:tc>
        <w:tc>
          <w:tcPr>
            <w:tcW w:w="1710" w:type="dxa"/>
          </w:tcPr>
          <w:p w14:paraId="41745D5E"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556 UK adults</w:t>
            </w:r>
          </w:p>
        </w:tc>
        <w:tc>
          <w:tcPr>
            <w:tcW w:w="1080" w:type="dxa"/>
          </w:tcPr>
          <w:p w14:paraId="282EAFC6"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Cross-sectional</w:t>
            </w:r>
          </w:p>
        </w:tc>
        <w:tc>
          <w:tcPr>
            <w:tcW w:w="2070" w:type="dxa"/>
          </w:tcPr>
          <w:p w14:paraId="221A037E"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Behavioural focus; diverse sample</w:t>
            </w:r>
          </w:p>
        </w:tc>
        <w:tc>
          <w:tcPr>
            <w:tcW w:w="1350" w:type="dxa"/>
          </w:tcPr>
          <w:p w14:paraId="5B04B3F7"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Online self-report survey</w:t>
            </w:r>
          </w:p>
        </w:tc>
        <w:tc>
          <w:tcPr>
            <w:tcW w:w="2323" w:type="dxa"/>
          </w:tcPr>
          <w:p w14:paraId="5E78F79A"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Awareness and supplement use varied; participants wanted clearer guidance</w:t>
            </w:r>
          </w:p>
        </w:tc>
        <w:tc>
          <w:tcPr>
            <w:tcW w:w="2000" w:type="dxa"/>
          </w:tcPr>
          <w:p w14:paraId="61BFA5DC" w14:textId="5BCDD28C"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Knowledge in</w:t>
            </w:r>
            <w:r w:rsidR="005F5916">
              <w:rPr>
                <w:rFonts w:ascii="Arial" w:eastAsia="Times New Roman" w:hAnsi="Arial" w:cs="Arial"/>
                <w:kern w:val="0"/>
                <w:sz w:val="20"/>
                <w:szCs w:val="20"/>
                <w:lang w:eastAsia="en-GB"/>
                <w14:ligatures w14:val="none"/>
              </w:rPr>
              <w:t>fluenced supplementation practis</w:t>
            </w:r>
            <w:r w:rsidRPr="00CE0372">
              <w:rPr>
                <w:rFonts w:ascii="Arial" w:eastAsia="Times New Roman" w:hAnsi="Arial" w:cs="Arial"/>
                <w:kern w:val="0"/>
                <w:sz w:val="20"/>
                <w:szCs w:val="20"/>
                <w:lang w:eastAsia="en-GB"/>
                <w14:ligatures w14:val="none"/>
              </w:rPr>
              <w:t>es</w:t>
            </w:r>
          </w:p>
        </w:tc>
      </w:tr>
      <w:tr w:rsidR="00714A81" w:rsidRPr="00CE0372" w14:paraId="7E1609C6" w14:textId="77777777" w:rsidTr="00BB3742">
        <w:tc>
          <w:tcPr>
            <w:tcW w:w="445" w:type="dxa"/>
          </w:tcPr>
          <w:p w14:paraId="55C8A1BC"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12</w:t>
            </w:r>
          </w:p>
        </w:tc>
        <w:tc>
          <w:tcPr>
            <w:tcW w:w="1501" w:type="dxa"/>
          </w:tcPr>
          <w:p w14:paraId="0CF18DDB" w14:textId="4A086115"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proofErr w:type="spellStart"/>
            <w:r w:rsidRPr="00CE0372">
              <w:rPr>
                <w:rFonts w:ascii="Arial" w:eastAsia="Times New Roman" w:hAnsi="Arial" w:cs="Arial"/>
                <w:kern w:val="0"/>
                <w:sz w:val="20"/>
                <w:szCs w:val="20"/>
                <w:lang w:eastAsia="en-GB"/>
                <w14:ligatures w14:val="none"/>
              </w:rPr>
              <w:t>Uday</w:t>
            </w:r>
            <w:proofErr w:type="spellEnd"/>
            <w:r w:rsidRPr="00CE0372">
              <w:rPr>
                <w:rFonts w:ascii="Arial" w:eastAsia="Times New Roman" w:hAnsi="Arial" w:cs="Arial"/>
                <w:kern w:val="0"/>
                <w:sz w:val="20"/>
                <w:szCs w:val="20"/>
                <w:lang w:eastAsia="en-GB"/>
                <w14:ligatures w14:val="none"/>
              </w:rPr>
              <w:t xml:space="preserve">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(2021)</w:t>
            </w:r>
          </w:p>
        </w:tc>
        <w:tc>
          <w:tcPr>
            <w:tcW w:w="1469" w:type="dxa"/>
          </w:tcPr>
          <w:p w14:paraId="29DBB4E5"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Assess neonatal vitamin D deficiency and antenatal programme effectiveness</w:t>
            </w:r>
          </w:p>
        </w:tc>
        <w:tc>
          <w:tcPr>
            <w:tcW w:w="1710" w:type="dxa"/>
          </w:tcPr>
          <w:p w14:paraId="6CB780B7"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 xml:space="preserve">2,999 </w:t>
            </w:r>
            <w:proofErr w:type="spellStart"/>
            <w:r w:rsidRPr="00CE0372">
              <w:rPr>
                <w:rFonts w:ascii="Arial" w:eastAsia="Times New Roman" w:hAnsi="Arial" w:cs="Arial"/>
                <w:kern w:val="0"/>
                <w:sz w:val="20"/>
                <w:szCs w:val="20"/>
                <w:lang w:eastAsia="en-GB"/>
                <w14:ligatures w14:val="none"/>
              </w:rPr>
              <w:t>newborns</w:t>
            </w:r>
            <w:proofErr w:type="spellEnd"/>
            <w:r w:rsidRPr="00CE0372">
              <w:rPr>
                <w:rFonts w:ascii="Arial" w:eastAsia="Times New Roman" w:hAnsi="Arial" w:cs="Arial"/>
                <w:kern w:val="0"/>
                <w:sz w:val="20"/>
                <w:szCs w:val="20"/>
                <w:lang w:eastAsia="en-GB"/>
                <w14:ligatures w14:val="none"/>
              </w:rPr>
              <w:t>; Midlands England</w:t>
            </w:r>
          </w:p>
        </w:tc>
        <w:tc>
          <w:tcPr>
            <w:tcW w:w="1080" w:type="dxa"/>
          </w:tcPr>
          <w:p w14:paraId="56D1F047"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Cross-sectional</w:t>
            </w:r>
          </w:p>
        </w:tc>
        <w:tc>
          <w:tcPr>
            <w:tcW w:w="2070" w:type="dxa"/>
          </w:tcPr>
          <w:p w14:paraId="4EFBC11D"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Objective DBS measurement; seasonal comparison</w:t>
            </w:r>
          </w:p>
        </w:tc>
        <w:tc>
          <w:tcPr>
            <w:tcW w:w="1350" w:type="dxa"/>
          </w:tcPr>
          <w:p w14:paraId="2B2C4FE6"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Single regional setting</w:t>
            </w:r>
          </w:p>
        </w:tc>
        <w:tc>
          <w:tcPr>
            <w:tcW w:w="2323" w:type="dxa"/>
          </w:tcPr>
          <w:p w14:paraId="5E0206A4"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 xml:space="preserve">Deficiency was higher among Asian and Black </w:t>
            </w:r>
            <w:proofErr w:type="spellStart"/>
            <w:r w:rsidRPr="00CE0372">
              <w:rPr>
                <w:rFonts w:ascii="Arial" w:eastAsia="Times New Roman" w:hAnsi="Arial" w:cs="Arial"/>
                <w:kern w:val="0"/>
                <w:sz w:val="20"/>
                <w:szCs w:val="20"/>
                <w:lang w:eastAsia="en-GB"/>
                <w14:ligatures w14:val="none"/>
              </w:rPr>
              <w:t>newborns</w:t>
            </w:r>
            <w:proofErr w:type="spellEnd"/>
            <w:r w:rsidRPr="00CE0372">
              <w:rPr>
                <w:rFonts w:ascii="Arial" w:eastAsia="Times New Roman" w:hAnsi="Arial" w:cs="Arial"/>
                <w:kern w:val="0"/>
                <w:sz w:val="20"/>
                <w:szCs w:val="20"/>
                <w:lang w:eastAsia="en-GB"/>
                <w14:ligatures w14:val="none"/>
              </w:rPr>
              <w:t xml:space="preserve"> (</w:t>
            </w:r>
            <w:proofErr w:type="spellStart"/>
            <w:r w:rsidRPr="00CE0372">
              <w:rPr>
                <w:rFonts w:ascii="Arial" w:eastAsia="Times New Roman" w:hAnsi="Arial" w:cs="Arial"/>
                <w:kern w:val="0"/>
                <w:sz w:val="20"/>
                <w:szCs w:val="20"/>
                <w:lang w:eastAsia="en-GB"/>
                <w14:ligatures w14:val="none"/>
              </w:rPr>
              <w:t>Uday</w:t>
            </w:r>
            <w:proofErr w:type="spellEnd"/>
            <w:r w:rsidRPr="00CE0372">
              <w:rPr>
                <w:rFonts w:ascii="Arial" w:eastAsia="Times New Roman" w:hAnsi="Arial" w:cs="Arial"/>
                <w:kern w:val="0"/>
                <w:sz w:val="20"/>
                <w:szCs w:val="20"/>
                <w:lang w:eastAsia="en-GB"/>
                <w14:ligatures w14:val="none"/>
              </w:rPr>
              <w:t xml:space="preserve"> et al., 2021).</w:t>
            </w:r>
          </w:p>
        </w:tc>
        <w:tc>
          <w:tcPr>
            <w:tcW w:w="2000" w:type="dxa"/>
          </w:tcPr>
          <w:p w14:paraId="0EC5A47D"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Existing supplementation did not adequately protect high-risk infants</w:t>
            </w:r>
          </w:p>
        </w:tc>
      </w:tr>
      <w:tr w:rsidR="00714A81" w:rsidRPr="00CE0372" w14:paraId="4D659D3A" w14:textId="77777777" w:rsidTr="00BB3742">
        <w:tc>
          <w:tcPr>
            <w:tcW w:w="445" w:type="dxa"/>
          </w:tcPr>
          <w:p w14:paraId="2E81EA9D"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13</w:t>
            </w:r>
          </w:p>
        </w:tc>
        <w:tc>
          <w:tcPr>
            <w:tcW w:w="1501" w:type="dxa"/>
          </w:tcPr>
          <w:p w14:paraId="49126246" w14:textId="000AACFC"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proofErr w:type="spellStart"/>
            <w:r w:rsidRPr="00CE0372">
              <w:rPr>
                <w:rFonts w:ascii="Arial" w:eastAsia="Times New Roman" w:hAnsi="Arial" w:cs="Arial"/>
                <w:kern w:val="0"/>
                <w:sz w:val="20"/>
                <w:szCs w:val="20"/>
                <w:lang w:eastAsia="en-GB"/>
                <w14:ligatures w14:val="none"/>
              </w:rPr>
              <w:t>Högler</w:t>
            </w:r>
            <w:proofErr w:type="spellEnd"/>
            <w:r w:rsidRPr="00CE0372">
              <w:rPr>
                <w:rFonts w:ascii="Arial" w:eastAsia="Times New Roman" w:hAnsi="Arial" w:cs="Arial"/>
                <w:kern w:val="0"/>
                <w:sz w:val="20"/>
                <w:szCs w:val="20"/>
                <w:lang w:eastAsia="en-GB"/>
                <w14:ligatures w14:val="none"/>
              </w:rPr>
              <w:t xml:space="preserve">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(2022)</w:t>
            </w:r>
          </w:p>
        </w:tc>
        <w:tc>
          <w:tcPr>
            <w:tcW w:w="1469" w:type="dxa"/>
          </w:tcPr>
          <w:p w14:paraId="6150FE14"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Examine socioeconomic and environmental determinants</w:t>
            </w:r>
          </w:p>
        </w:tc>
        <w:tc>
          <w:tcPr>
            <w:tcW w:w="1710" w:type="dxa"/>
          </w:tcPr>
          <w:p w14:paraId="7B303F9F"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 xml:space="preserve">2,999 multi-ethnic </w:t>
            </w:r>
            <w:proofErr w:type="spellStart"/>
            <w:r w:rsidRPr="00CE0372">
              <w:rPr>
                <w:rFonts w:ascii="Arial" w:eastAsia="Times New Roman" w:hAnsi="Arial" w:cs="Arial"/>
                <w:kern w:val="0"/>
                <w:sz w:val="20"/>
                <w:szCs w:val="20"/>
                <w:lang w:eastAsia="en-GB"/>
                <w14:ligatures w14:val="none"/>
              </w:rPr>
              <w:t>newborns</w:t>
            </w:r>
            <w:proofErr w:type="spellEnd"/>
          </w:p>
        </w:tc>
        <w:tc>
          <w:tcPr>
            <w:tcW w:w="1080" w:type="dxa"/>
          </w:tcPr>
          <w:p w14:paraId="0505A85B"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Cohort</w:t>
            </w:r>
          </w:p>
        </w:tc>
        <w:tc>
          <w:tcPr>
            <w:tcW w:w="2070" w:type="dxa"/>
          </w:tcPr>
          <w:p w14:paraId="45186C9F"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Objective biochemical measurement</w:t>
            </w:r>
          </w:p>
        </w:tc>
        <w:tc>
          <w:tcPr>
            <w:tcW w:w="1350" w:type="dxa"/>
          </w:tcPr>
          <w:p w14:paraId="550BE721"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proofErr w:type="spellStart"/>
            <w:r w:rsidRPr="00CE0372">
              <w:rPr>
                <w:rFonts w:ascii="Arial" w:eastAsia="Times New Roman" w:hAnsi="Arial" w:cs="Arial"/>
                <w:kern w:val="0"/>
                <w:sz w:val="20"/>
                <w:szCs w:val="20"/>
                <w:lang w:eastAsia="en-GB"/>
                <w14:ligatures w14:val="none"/>
              </w:rPr>
              <w:t>Newborn</w:t>
            </w:r>
            <w:proofErr w:type="spellEnd"/>
            <w:r w:rsidRPr="00CE0372">
              <w:rPr>
                <w:rFonts w:ascii="Arial" w:eastAsia="Times New Roman" w:hAnsi="Arial" w:cs="Arial"/>
                <w:kern w:val="0"/>
                <w:sz w:val="20"/>
                <w:szCs w:val="20"/>
                <w:lang w:eastAsia="en-GB"/>
                <w14:ligatures w14:val="none"/>
              </w:rPr>
              <w:t>-focused population</w:t>
            </w:r>
          </w:p>
        </w:tc>
        <w:tc>
          <w:tcPr>
            <w:tcW w:w="2323" w:type="dxa"/>
          </w:tcPr>
          <w:p w14:paraId="44AEAEE3"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Season, ethnicity, deprivation and living environment influenced status</w:t>
            </w:r>
          </w:p>
        </w:tc>
        <w:tc>
          <w:tcPr>
            <w:tcW w:w="2000" w:type="dxa"/>
          </w:tcPr>
          <w:p w14:paraId="7C780265"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Social and environmental conditions affected neonatal status</w:t>
            </w:r>
          </w:p>
        </w:tc>
      </w:tr>
      <w:tr w:rsidR="00714A81" w:rsidRPr="00CE0372" w14:paraId="2A43CC90" w14:textId="77777777" w:rsidTr="00BB3742">
        <w:tc>
          <w:tcPr>
            <w:tcW w:w="445" w:type="dxa"/>
          </w:tcPr>
          <w:p w14:paraId="4E4DA285"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lastRenderedPageBreak/>
              <w:t>14</w:t>
            </w:r>
          </w:p>
        </w:tc>
        <w:tc>
          <w:tcPr>
            <w:tcW w:w="1501" w:type="dxa"/>
          </w:tcPr>
          <w:p w14:paraId="1360AA1A" w14:textId="362AED36"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proofErr w:type="spellStart"/>
            <w:r w:rsidRPr="00CE0372">
              <w:rPr>
                <w:rFonts w:ascii="Arial" w:eastAsia="Times New Roman" w:hAnsi="Arial" w:cs="Arial"/>
                <w:kern w:val="0"/>
                <w:sz w:val="20"/>
                <w:szCs w:val="20"/>
                <w:lang w:eastAsia="en-GB"/>
                <w14:ligatures w14:val="none"/>
              </w:rPr>
              <w:t>Shraim</w:t>
            </w:r>
            <w:proofErr w:type="spellEnd"/>
            <w:r w:rsidRPr="00CE0372">
              <w:rPr>
                <w:rFonts w:ascii="Arial" w:eastAsia="Times New Roman" w:hAnsi="Arial" w:cs="Arial"/>
                <w:kern w:val="0"/>
                <w:sz w:val="20"/>
                <w:szCs w:val="20"/>
                <w:lang w:eastAsia="en-GB"/>
                <w14:ligatures w14:val="none"/>
              </w:rPr>
              <w:t xml:space="preserve">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(2025)</w:t>
            </w:r>
          </w:p>
        </w:tc>
        <w:tc>
          <w:tcPr>
            <w:tcW w:w="1469" w:type="dxa"/>
          </w:tcPr>
          <w:p w14:paraId="7E6A5C7E"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Identify determinants of profound deficiency</w:t>
            </w:r>
          </w:p>
        </w:tc>
        <w:tc>
          <w:tcPr>
            <w:tcW w:w="1710" w:type="dxa"/>
          </w:tcPr>
          <w:p w14:paraId="516B3EB1"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369,626 UK Biobank participants</w:t>
            </w:r>
          </w:p>
        </w:tc>
        <w:tc>
          <w:tcPr>
            <w:tcW w:w="1080" w:type="dxa"/>
          </w:tcPr>
          <w:p w14:paraId="1A50DBF4"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Cohort</w:t>
            </w:r>
          </w:p>
        </w:tc>
        <w:tc>
          <w:tcPr>
            <w:tcW w:w="2070" w:type="dxa"/>
          </w:tcPr>
          <w:p w14:paraId="2B12D657"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Very large sample</w:t>
            </w:r>
          </w:p>
        </w:tc>
        <w:tc>
          <w:tcPr>
            <w:tcW w:w="1350" w:type="dxa"/>
          </w:tcPr>
          <w:p w14:paraId="0CB59203"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Observational dataset</w:t>
            </w:r>
          </w:p>
        </w:tc>
        <w:tc>
          <w:tcPr>
            <w:tcW w:w="2323" w:type="dxa"/>
          </w:tcPr>
          <w:p w14:paraId="2CAF3EBB"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Profound deficiency was particularly prevalent among Asian participants</w:t>
            </w:r>
          </w:p>
        </w:tc>
        <w:tc>
          <w:tcPr>
            <w:tcW w:w="2000" w:type="dxa"/>
          </w:tcPr>
          <w:p w14:paraId="5A0643E7"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Ethnicity, UVB and lifestyle factors were important</w:t>
            </w:r>
          </w:p>
        </w:tc>
      </w:tr>
      <w:tr w:rsidR="00714A81" w:rsidRPr="00CE0372" w14:paraId="2CFC08AA" w14:textId="77777777" w:rsidTr="00BB3742">
        <w:tc>
          <w:tcPr>
            <w:tcW w:w="445" w:type="dxa"/>
          </w:tcPr>
          <w:p w14:paraId="060B73AD"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15</w:t>
            </w:r>
          </w:p>
        </w:tc>
        <w:tc>
          <w:tcPr>
            <w:tcW w:w="1501" w:type="dxa"/>
          </w:tcPr>
          <w:p w14:paraId="006172A4" w14:textId="14F70CAD"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proofErr w:type="spellStart"/>
            <w:r w:rsidRPr="00CE0372">
              <w:rPr>
                <w:rFonts w:ascii="Arial" w:eastAsia="Times New Roman" w:hAnsi="Arial" w:cs="Arial"/>
                <w:kern w:val="0"/>
                <w:sz w:val="20"/>
                <w:szCs w:val="20"/>
                <w:lang w:eastAsia="en-GB"/>
                <w14:ligatures w14:val="none"/>
              </w:rPr>
              <w:t>Bournot</w:t>
            </w:r>
            <w:proofErr w:type="spellEnd"/>
            <w:r w:rsidRPr="00CE0372">
              <w:rPr>
                <w:rFonts w:ascii="Arial" w:eastAsia="Times New Roman" w:hAnsi="Arial" w:cs="Arial"/>
                <w:kern w:val="0"/>
                <w:sz w:val="20"/>
                <w:szCs w:val="20"/>
                <w:lang w:eastAsia="en-GB"/>
                <w14:ligatures w14:val="none"/>
              </w:rPr>
              <w:t xml:space="preserve"> </w:t>
            </w:r>
            <w:r w:rsidR="006D5C94" w:rsidRPr="00CE0372">
              <w:rPr>
                <w:rFonts w:ascii="Arial" w:eastAsia="Times New Roman" w:hAnsi="Arial" w:cs="Arial"/>
                <w:kern w:val="0"/>
                <w:sz w:val="20"/>
                <w:szCs w:val="20"/>
                <w:lang w:eastAsia="en-GB"/>
                <w14:ligatures w14:val="none"/>
              </w:rPr>
              <w:t>et al.,</w:t>
            </w:r>
            <w:r w:rsidR="00A235EE" w:rsidRPr="00CE0372">
              <w:rPr>
                <w:rFonts w:ascii="Arial" w:eastAsia="Times New Roman" w:hAnsi="Arial" w:cs="Arial"/>
                <w:kern w:val="0"/>
                <w:sz w:val="20"/>
                <w:szCs w:val="20"/>
                <w:lang w:eastAsia="en-GB"/>
                <w14:ligatures w14:val="none"/>
              </w:rPr>
              <w:t xml:space="preserve"> </w:t>
            </w:r>
            <w:r w:rsidRPr="00CE0372">
              <w:rPr>
                <w:rFonts w:ascii="Arial" w:eastAsia="Times New Roman" w:hAnsi="Arial" w:cs="Arial"/>
                <w:kern w:val="0"/>
                <w:sz w:val="20"/>
                <w:szCs w:val="20"/>
                <w:lang w:eastAsia="en-GB"/>
                <w14:ligatures w14:val="none"/>
              </w:rPr>
              <w:t>(2026)</w:t>
            </w:r>
          </w:p>
        </w:tc>
        <w:tc>
          <w:tcPr>
            <w:tcW w:w="1469" w:type="dxa"/>
          </w:tcPr>
          <w:p w14:paraId="3577B94C"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Examine vitamin D and RTI hospitalisation across ethnic groups</w:t>
            </w:r>
          </w:p>
        </w:tc>
        <w:tc>
          <w:tcPr>
            <w:tcW w:w="1710" w:type="dxa"/>
          </w:tcPr>
          <w:p w14:paraId="4D0C6988"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36,258 UK Biobank participants</w:t>
            </w:r>
          </w:p>
        </w:tc>
        <w:tc>
          <w:tcPr>
            <w:tcW w:w="1080" w:type="dxa"/>
          </w:tcPr>
          <w:p w14:paraId="70397539"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Case-control</w:t>
            </w:r>
          </w:p>
        </w:tc>
        <w:tc>
          <w:tcPr>
            <w:tcW w:w="2070" w:type="dxa"/>
          </w:tcPr>
          <w:p w14:paraId="6752FE58"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Large multi-ethnic analysis</w:t>
            </w:r>
          </w:p>
        </w:tc>
        <w:tc>
          <w:tcPr>
            <w:tcW w:w="1350" w:type="dxa"/>
          </w:tcPr>
          <w:p w14:paraId="75F472DF"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Observational design</w:t>
            </w:r>
          </w:p>
        </w:tc>
        <w:tc>
          <w:tcPr>
            <w:tcW w:w="2323" w:type="dxa"/>
          </w:tcPr>
          <w:p w14:paraId="3DE7CD59"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Lower 25(OH</w:t>
            </w:r>
            <w:proofErr w:type="gramStart"/>
            <w:r w:rsidRPr="00CE0372">
              <w:rPr>
                <w:rFonts w:ascii="Arial" w:eastAsia="Times New Roman" w:hAnsi="Arial" w:cs="Arial"/>
                <w:kern w:val="0"/>
                <w:sz w:val="20"/>
                <w:szCs w:val="20"/>
                <w:lang w:eastAsia="en-GB"/>
                <w14:ligatures w14:val="none"/>
              </w:rPr>
              <w:t>)D</w:t>
            </w:r>
            <w:proofErr w:type="gramEnd"/>
            <w:r w:rsidRPr="00CE0372">
              <w:rPr>
                <w:rFonts w:ascii="Arial" w:eastAsia="Times New Roman" w:hAnsi="Arial" w:cs="Arial"/>
                <w:kern w:val="0"/>
                <w:sz w:val="20"/>
                <w:szCs w:val="20"/>
                <w:lang w:eastAsia="en-GB"/>
                <w14:ligatures w14:val="none"/>
              </w:rPr>
              <w:t xml:space="preserve"> was associated with greater RTI hospitalisation risk (</w:t>
            </w:r>
            <w:proofErr w:type="spellStart"/>
            <w:r w:rsidRPr="00CE0372">
              <w:rPr>
                <w:rFonts w:ascii="Arial" w:eastAsia="Times New Roman" w:hAnsi="Arial" w:cs="Arial"/>
                <w:kern w:val="0"/>
                <w:sz w:val="20"/>
                <w:szCs w:val="20"/>
                <w:lang w:eastAsia="en-GB"/>
                <w14:ligatures w14:val="none"/>
              </w:rPr>
              <w:t>Bournot</w:t>
            </w:r>
            <w:proofErr w:type="spellEnd"/>
            <w:r w:rsidRPr="00CE0372">
              <w:rPr>
                <w:rFonts w:ascii="Arial" w:eastAsia="Times New Roman" w:hAnsi="Arial" w:cs="Arial"/>
                <w:kern w:val="0"/>
                <w:sz w:val="20"/>
                <w:szCs w:val="20"/>
                <w:lang w:eastAsia="en-GB"/>
                <w14:ligatures w14:val="none"/>
              </w:rPr>
              <w:t xml:space="preserve"> et al., 2026).</w:t>
            </w:r>
          </w:p>
        </w:tc>
        <w:tc>
          <w:tcPr>
            <w:tcW w:w="2000" w:type="dxa"/>
          </w:tcPr>
          <w:p w14:paraId="00BD9E63" w14:textId="77777777" w:rsidR="00343845" w:rsidRPr="00CE0372" w:rsidRDefault="00343845" w:rsidP="00715C4F">
            <w:pPr>
              <w:spacing w:line="360" w:lineRule="auto"/>
              <w:jc w:val="both"/>
              <w:rPr>
                <w:rFonts w:ascii="Arial" w:eastAsia="Times New Roman" w:hAnsi="Arial" w:cs="Arial"/>
                <w:kern w:val="0"/>
                <w:sz w:val="20"/>
                <w:szCs w:val="20"/>
                <w:lang w:eastAsia="en-GB"/>
                <w14:ligatures w14:val="none"/>
              </w:rPr>
            </w:pPr>
            <w:r w:rsidRPr="00CE0372">
              <w:rPr>
                <w:rFonts w:ascii="Arial" w:eastAsia="Times New Roman" w:hAnsi="Arial" w:cs="Arial"/>
                <w:kern w:val="0"/>
                <w:sz w:val="20"/>
                <w:szCs w:val="20"/>
                <w:lang w:eastAsia="en-GB"/>
                <w14:ligatures w14:val="none"/>
              </w:rPr>
              <w:t>Vitamin D status may be relevant to ethnic differences in health outcomes</w:t>
            </w:r>
          </w:p>
        </w:tc>
      </w:tr>
    </w:tbl>
    <w:p w14:paraId="3542DFB7" w14:textId="77777777" w:rsidR="00BB3742" w:rsidRDefault="00BB3742" w:rsidP="00BB3742">
      <w:pPr>
        <w:spacing w:after="0" w:line="360" w:lineRule="auto"/>
        <w:jc w:val="both"/>
        <w:rPr>
          <w:rFonts w:ascii="Arial" w:eastAsia="Times New Roman" w:hAnsi="Arial" w:cs="Arial"/>
          <w:kern w:val="0"/>
          <w:lang w:eastAsia="en-GB"/>
          <w14:ligatures w14:val="none"/>
        </w:rPr>
      </w:pPr>
    </w:p>
    <w:p w14:paraId="08D6C340" w14:textId="0879A6C4" w:rsidR="00BB3742" w:rsidRPr="00BB3742" w:rsidRDefault="00BB3742" w:rsidP="00BB3742">
      <w:pPr>
        <w:spacing w:line="360" w:lineRule="auto"/>
        <w:jc w:val="both"/>
        <w:rPr>
          <w:rFonts w:ascii="Arial" w:eastAsia="Times New Roman" w:hAnsi="Arial" w:cs="Arial"/>
          <w:kern w:val="0"/>
          <w:lang w:eastAsia="en-GB"/>
          <w14:ligatures w14:val="none"/>
        </w:rPr>
      </w:pPr>
      <w:r w:rsidRPr="00BB3742">
        <w:rPr>
          <w:rFonts w:ascii="Arial" w:eastAsia="Times New Roman" w:hAnsi="Arial" w:cs="Arial"/>
          <w:kern w:val="0"/>
          <w:lang w:eastAsia="en-GB"/>
          <w14:ligatures w14:val="none"/>
        </w:rPr>
        <w:t>A table shows the two studies provided that were qualitative, three that were cohort studies, and one that was confirmed as a case-control study (</w:t>
      </w:r>
      <w:proofErr w:type="spellStart"/>
      <w:r w:rsidRPr="00BB3742">
        <w:rPr>
          <w:rFonts w:ascii="Arial" w:eastAsia="Times New Roman" w:hAnsi="Arial" w:cs="Arial"/>
          <w:kern w:val="0"/>
          <w:lang w:eastAsia="en-GB"/>
          <w14:ligatures w14:val="none"/>
        </w:rPr>
        <w:t>Bournot</w:t>
      </w:r>
      <w:proofErr w:type="spellEnd"/>
      <w:r w:rsidRPr="00BB3742">
        <w:rPr>
          <w:rFonts w:ascii="Arial" w:eastAsia="Times New Roman" w:hAnsi="Arial" w:cs="Arial"/>
          <w:kern w:val="0"/>
          <w:lang w:eastAsia="en-GB"/>
          <w14:ligatures w14:val="none"/>
        </w:rPr>
        <w:t xml:space="preserve"> et al., 2026). In the information provided thus far, bibliographic information for the second case-control study is missing; for this reason, it should be entered into and not be "made up". This is important because the final dissertation should have p</w:t>
      </w:r>
      <w:r>
        <w:rPr>
          <w:rFonts w:ascii="Arial" w:eastAsia="Times New Roman" w:hAnsi="Arial" w:cs="Arial"/>
          <w:kern w:val="0"/>
          <w:lang w:eastAsia="en-GB"/>
          <w14:ligatures w14:val="none"/>
        </w:rPr>
        <w:t>recisely 15 verifiable studies.</w:t>
      </w:r>
      <w:r w:rsidR="00CA541B">
        <w:rPr>
          <w:rFonts w:ascii="Arial" w:eastAsia="Times New Roman" w:hAnsi="Arial" w:cs="Arial"/>
          <w:kern w:val="0"/>
          <w:lang w:eastAsia="en-GB"/>
          <w14:ligatures w14:val="none"/>
        </w:rPr>
        <w:t xml:space="preserve"> </w:t>
      </w:r>
    </w:p>
    <w:p w14:paraId="6A9A03DE" w14:textId="424AFE5D" w:rsidR="00BB3742" w:rsidRDefault="00BB3742" w:rsidP="00BB3742">
      <w:pPr>
        <w:spacing w:after="0" w:line="360" w:lineRule="auto"/>
        <w:jc w:val="both"/>
        <w:rPr>
          <w:rFonts w:ascii="Arial" w:eastAsia="Times New Roman" w:hAnsi="Arial" w:cs="Arial"/>
          <w:kern w:val="0"/>
          <w:lang w:eastAsia="en-GB"/>
          <w14:ligatures w14:val="none"/>
        </w:rPr>
      </w:pPr>
      <w:r w:rsidRPr="00BB3742">
        <w:rPr>
          <w:rFonts w:ascii="Arial" w:eastAsia="Times New Roman" w:hAnsi="Arial" w:cs="Arial"/>
          <w:kern w:val="0"/>
          <w:lang w:eastAsia="en-GB"/>
          <w14:ligatures w14:val="none"/>
        </w:rPr>
        <w:t>The studies all highlighted significant disparities in vitamin D levels between ethnic groups, especially South Asian and African/African-Caribbean groups. Specific British-Bangladeshi populations were further evidence to the wider ethnic groups in the UK. Most of the quantitative studies measured 25(OH</w:t>
      </w:r>
      <w:proofErr w:type="gramStart"/>
      <w:r w:rsidRPr="00BB3742">
        <w:rPr>
          <w:rFonts w:ascii="Arial" w:eastAsia="Times New Roman" w:hAnsi="Arial" w:cs="Arial"/>
          <w:kern w:val="0"/>
          <w:lang w:eastAsia="en-GB"/>
          <w14:ligatures w14:val="none"/>
        </w:rPr>
        <w:t>)D</w:t>
      </w:r>
      <w:proofErr w:type="gramEnd"/>
      <w:r w:rsidRPr="00BB3742">
        <w:rPr>
          <w:rFonts w:ascii="Arial" w:eastAsia="Times New Roman" w:hAnsi="Arial" w:cs="Arial"/>
          <w:kern w:val="0"/>
          <w:lang w:eastAsia="en-GB"/>
          <w14:ligatures w14:val="none"/>
        </w:rPr>
        <w:t>, with qualitative research contributing to the evidence base through knowledge and cultural perceptions and behaviour. Ethnicity, socioeconomic factors, supplementation, lifestyle, occupational exposure, season, and environmental factors were found to be interrelated factors affecting vitamin D status, rather than standalone ones across studies.</w:t>
      </w:r>
    </w:p>
    <w:p w14:paraId="520D1F0F" w14:textId="49AC6A46" w:rsidR="00BB3742" w:rsidRDefault="00BB3742" w:rsidP="00BB3742">
      <w:pPr>
        <w:spacing w:after="0" w:line="360" w:lineRule="auto"/>
        <w:jc w:val="both"/>
        <w:rPr>
          <w:rFonts w:ascii="Arial" w:eastAsia="Times New Roman" w:hAnsi="Arial" w:cs="Arial"/>
          <w:kern w:val="0"/>
          <w:lang w:eastAsia="en-GB"/>
          <w14:ligatures w14:val="none"/>
        </w:rPr>
      </w:pPr>
    </w:p>
    <w:p w14:paraId="7675E10F" w14:textId="77777777" w:rsidR="00BB3742" w:rsidRPr="00715C4F" w:rsidRDefault="00BB3742" w:rsidP="00BB3742">
      <w:pPr>
        <w:spacing w:after="0" w:line="360" w:lineRule="auto"/>
        <w:jc w:val="both"/>
        <w:rPr>
          <w:rFonts w:ascii="Arial" w:eastAsia="Times New Roman" w:hAnsi="Arial" w:cs="Arial"/>
          <w:kern w:val="0"/>
          <w:lang w:eastAsia="en-GB"/>
          <w14:ligatures w14:val="none"/>
        </w:rPr>
        <w:sectPr w:rsidR="00BB3742" w:rsidRPr="00715C4F" w:rsidSect="000F32B8">
          <w:pgSz w:w="16838" w:h="11906" w:orient="landscape"/>
          <w:pgMar w:top="1440" w:right="1800" w:bottom="1440" w:left="1800" w:header="709" w:footer="709" w:gutter="0"/>
          <w:cols w:space="708"/>
          <w:docGrid w:linePitch="360"/>
        </w:sectPr>
      </w:pPr>
    </w:p>
    <w:p w14:paraId="53455DA9" w14:textId="7FDC003D" w:rsidR="00C91265" w:rsidRPr="00715C4F" w:rsidRDefault="00C91265" w:rsidP="00BB3742">
      <w:pPr>
        <w:pStyle w:val="Heading2"/>
        <w:ind w:left="0" w:firstLine="0"/>
        <w:rPr>
          <w:lang w:eastAsia="en-GB"/>
        </w:rPr>
      </w:pPr>
      <w:bookmarkStart w:id="74" w:name="_Toc241025920"/>
      <w:r w:rsidRPr="00715C4F">
        <w:rPr>
          <w:lang w:eastAsia="en-GB"/>
        </w:rPr>
        <w:lastRenderedPageBreak/>
        <w:t>4.5 Quality Assessment Results</w:t>
      </w:r>
      <w:bookmarkEnd w:id="74"/>
    </w:p>
    <w:p w14:paraId="6A6800D2" w14:textId="5D8BBC1B" w:rsidR="00E260B0" w:rsidRPr="00715C4F" w:rsidRDefault="00C91265"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Design-appropriate critical appraisal tools were used to judge the methodological quality of the 15 studies included. For the eight cross sectional studies, the JBI analytical cross sectional checklist was used, and the CASP qualitative, cohort and case control checklists were used for the cross section studies of the respective study designs. These tools evaluated aspects such as sampling, measurement validity, confounding, data analysis, findings and applicability (Critical Appraisal Skills Programme, 2024; Barker et al., 2026). As a whole, the studies included were generally of acceptable to good methodological quality with some limitations of observational studies identified</w:t>
      </w:r>
      <w:r w:rsidR="00E260B0" w:rsidRPr="00715C4F">
        <w:rPr>
          <w:rFonts w:ascii="Arial" w:eastAsia="Times New Roman" w:hAnsi="Arial" w:cs="Arial"/>
          <w:kern w:val="0"/>
          <w:lang w:eastAsia="en-GB"/>
          <w14:ligatures w14:val="none"/>
        </w:rPr>
        <w:t>.</w:t>
      </w:r>
    </w:p>
    <w:p w14:paraId="4B02A4F1" w14:textId="77777777" w:rsidR="001F08B2" w:rsidRPr="00715C4F" w:rsidRDefault="001F08B2" w:rsidP="0022637B">
      <w:pPr>
        <w:pStyle w:val="Heading2"/>
        <w:rPr>
          <w:lang w:eastAsia="en-GB"/>
        </w:rPr>
      </w:pPr>
      <w:bookmarkStart w:id="75" w:name="_Toc241025921"/>
      <w:r w:rsidRPr="00715C4F">
        <w:rPr>
          <w:lang w:eastAsia="en-GB"/>
        </w:rPr>
        <w:t>4.6. Outcome of Quality Assessment</w:t>
      </w:r>
      <w:bookmarkEnd w:id="75"/>
    </w:p>
    <w:p w14:paraId="736BBBDF" w14:textId="2DADA3BB" w:rsidR="001F08B2" w:rsidRPr="00715C4F" w:rsidRDefault="001F08B2" w:rsidP="00715C4F">
      <w:pPr>
        <w:spacing w:after="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Overall, the majority of studies were retained because their methodological quality was considered acceptable or good. Nevertheless, the predominance of observational designs limited causal inference, and residual confounding remained possible. Cross-sectional studies could identify associations but could not establish temporal relationships. The qualitative studies contributed valuable contextual depth regarding cultural perceptions and knowledge, although their smaller samples limited generalisability. These limitations were considered when synthesising and interpreting the findings in subsequent chapters (Critical Appraisal Skills Programme, 2024; Barker et al., 2026).</w:t>
      </w:r>
    </w:p>
    <w:p w14:paraId="5A49D36C" w14:textId="38D71DE5" w:rsidR="005F0C91" w:rsidRPr="00715C4F" w:rsidRDefault="005F0C91" w:rsidP="00715C4F">
      <w:pPr>
        <w:spacing w:after="0" w:line="360" w:lineRule="auto"/>
        <w:jc w:val="both"/>
        <w:rPr>
          <w:rFonts w:ascii="Arial" w:eastAsia="Times New Roman" w:hAnsi="Arial" w:cs="Arial"/>
          <w:kern w:val="0"/>
          <w:lang w:eastAsia="en-GB"/>
          <w14:ligatures w14:val="none"/>
        </w:rPr>
      </w:pPr>
    </w:p>
    <w:p w14:paraId="16405C70" w14:textId="18D8F620" w:rsidR="00892569" w:rsidRPr="00715C4F" w:rsidRDefault="00B74A59" w:rsidP="00CE0372">
      <w:pPr>
        <w:pStyle w:val="Heading2"/>
        <w:ind w:left="0" w:firstLine="0"/>
        <w:rPr>
          <w:lang w:eastAsia="en-GB"/>
        </w:rPr>
      </w:pPr>
      <w:bookmarkStart w:id="76" w:name="_Toc241025922"/>
      <w:r w:rsidRPr="00715C4F">
        <w:rPr>
          <w:lang w:eastAsia="en-GB"/>
        </w:rPr>
        <w:t>4.7</w:t>
      </w:r>
      <w:r w:rsidR="00892569" w:rsidRPr="00715C4F">
        <w:rPr>
          <w:lang w:eastAsia="en-GB"/>
        </w:rPr>
        <w:t xml:space="preserve"> Data Extraction and Synthesis</w:t>
      </w:r>
      <w:bookmarkEnd w:id="76"/>
    </w:p>
    <w:p w14:paraId="50C05F0F" w14:textId="77777777" w:rsidR="00DC6ADB" w:rsidRPr="00715C4F" w:rsidRDefault="00DC6ADB" w:rsidP="00715C4F">
      <w:pPr>
        <w:spacing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There were a number of similarities and important methodological and outcome differences evident in the data obtained from the 15 studies included. Each study involved an ethnic minority group or ethnically diverse group in the UK and studied vitamin D status and/or deficiency or underlying factors. Specific groups included in the evidence were South Asian, British-Bangladeshi and African-Caribbean populations as well as wider multi-ethnic UK populations (Darling et al., 2020; Smith et al., 2021; </w:t>
      </w:r>
      <w:proofErr w:type="spellStart"/>
      <w:r w:rsidRPr="00715C4F">
        <w:rPr>
          <w:rFonts w:ascii="Arial" w:eastAsia="Times New Roman" w:hAnsi="Arial" w:cs="Arial"/>
          <w:kern w:val="0"/>
          <w:lang w:eastAsia="en-GB"/>
          <w14:ligatures w14:val="none"/>
        </w:rPr>
        <w:t>Vearing</w:t>
      </w:r>
      <w:proofErr w:type="spellEnd"/>
      <w:r w:rsidRPr="00715C4F">
        <w:rPr>
          <w:rFonts w:ascii="Arial" w:eastAsia="Times New Roman" w:hAnsi="Arial" w:cs="Arial"/>
          <w:kern w:val="0"/>
          <w:lang w:eastAsia="en-GB"/>
          <w14:ligatures w14:val="none"/>
        </w:rPr>
        <w:t xml:space="preserve"> et al., 2021).</w:t>
      </w:r>
    </w:p>
    <w:p w14:paraId="7F0B9DA2" w14:textId="009F4360" w:rsidR="00DC6ADB" w:rsidRPr="00715C4F" w:rsidRDefault="00DC6ADB"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There was significant age, ethnic, sample size, setting, and study design differences. Sample sizes varied from small qualitative samples, such in Zheng </w:t>
      </w:r>
      <w:r w:rsidR="006D5C94" w:rsidRPr="00715C4F">
        <w:rPr>
          <w:rFonts w:ascii="Arial" w:eastAsia="Times New Roman" w:hAnsi="Arial" w:cs="Arial"/>
          <w:kern w:val="0"/>
          <w:lang w:eastAsia="en-GB"/>
          <w14:ligatures w14:val="none"/>
        </w:rPr>
        <w:t xml:space="preserve">et al., </w:t>
      </w:r>
      <w:r w:rsidRPr="00715C4F">
        <w:rPr>
          <w:rFonts w:ascii="Arial" w:eastAsia="Times New Roman" w:hAnsi="Arial" w:cs="Arial"/>
          <w:kern w:val="0"/>
          <w:lang w:eastAsia="en-GB"/>
          <w14:ligatures w14:val="none"/>
        </w:rPr>
        <w:t xml:space="preserve">(2025), to the very large UK Biobank sample of hundreds of thousands of participants (Lin et al., 2021; </w:t>
      </w:r>
      <w:proofErr w:type="spellStart"/>
      <w:r w:rsidRPr="00715C4F">
        <w:rPr>
          <w:rFonts w:ascii="Arial" w:eastAsia="Times New Roman" w:hAnsi="Arial" w:cs="Arial"/>
          <w:kern w:val="0"/>
          <w:lang w:eastAsia="en-GB"/>
          <w14:ligatures w14:val="none"/>
        </w:rPr>
        <w:t>Shraim</w:t>
      </w:r>
      <w:proofErr w:type="spellEnd"/>
      <w:r w:rsidRPr="00715C4F">
        <w:rPr>
          <w:rFonts w:ascii="Arial" w:eastAsia="Times New Roman" w:hAnsi="Arial" w:cs="Arial"/>
          <w:kern w:val="0"/>
          <w:lang w:eastAsia="en-GB"/>
          <w14:ligatures w14:val="none"/>
        </w:rPr>
        <w:t xml:space="preserve"> et al., 2025). The studies were also heterogeneous in terms of outcome measure, as quantitative studies mostly measured serum 25-hydroxyvitamin D </w:t>
      </w:r>
      <w:r w:rsidRPr="00715C4F">
        <w:rPr>
          <w:rFonts w:ascii="Arial" w:eastAsia="Times New Roman" w:hAnsi="Arial" w:cs="Arial"/>
          <w:kern w:val="0"/>
          <w:lang w:eastAsia="en-GB"/>
          <w14:ligatures w14:val="none"/>
        </w:rPr>
        <w:lastRenderedPageBreak/>
        <w:t>[25(OH</w:t>
      </w:r>
      <w:proofErr w:type="gramStart"/>
      <w:r w:rsidRPr="00715C4F">
        <w:rPr>
          <w:rFonts w:ascii="Arial" w:eastAsia="Times New Roman" w:hAnsi="Arial" w:cs="Arial"/>
          <w:kern w:val="0"/>
          <w:lang w:eastAsia="en-GB"/>
          <w14:ligatures w14:val="none"/>
        </w:rPr>
        <w:t>)D</w:t>
      </w:r>
      <w:proofErr w:type="gramEnd"/>
      <w:r w:rsidRPr="00715C4F">
        <w:rPr>
          <w:rFonts w:ascii="Arial" w:eastAsia="Times New Roman" w:hAnsi="Arial" w:cs="Arial"/>
          <w:kern w:val="0"/>
          <w:lang w:eastAsia="en-GB"/>
          <w14:ligatures w14:val="none"/>
        </w:rPr>
        <w:t>] or equivalent, with some also reporting on supplementation, lifestyle, occupational exposure, environmental factors and socioeconomic factors.</w:t>
      </w:r>
    </w:p>
    <w:p w14:paraId="7BAB5239" w14:textId="77777777" w:rsidR="00DC6ADB" w:rsidRPr="00715C4F" w:rsidRDefault="00DC6ADB"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This methodological diversity was also observed. Most of the cross-sectional studies focused on prevalence and associations with demographic, socioeconomic or behavioural characteristics while the cohort studies focused on temporal trends and longitudinal relationships (Santana et al., 2024; </w:t>
      </w:r>
      <w:proofErr w:type="spellStart"/>
      <w:r w:rsidRPr="00715C4F">
        <w:rPr>
          <w:rFonts w:ascii="Arial" w:eastAsia="Times New Roman" w:hAnsi="Arial" w:cs="Arial"/>
          <w:kern w:val="0"/>
          <w:lang w:eastAsia="en-GB"/>
          <w14:ligatures w14:val="none"/>
        </w:rPr>
        <w:t>Högler</w:t>
      </w:r>
      <w:proofErr w:type="spellEnd"/>
      <w:r w:rsidRPr="00715C4F">
        <w:rPr>
          <w:rFonts w:ascii="Arial" w:eastAsia="Times New Roman" w:hAnsi="Arial" w:cs="Arial"/>
          <w:kern w:val="0"/>
          <w:lang w:eastAsia="en-GB"/>
          <w14:ligatures w14:val="none"/>
        </w:rPr>
        <w:t xml:space="preserve"> et al., 2022). The qualitative studies supported these results and provided explanations for the knowledge, cultural factors, and perceptions and barriers of vitamin D and supplementation (Belfield and </w:t>
      </w:r>
      <w:proofErr w:type="spellStart"/>
      <w:r w:rsidRPr="00715C4F">
        <w:rPr>
          <w:rFonts w:ascii="Arial" w:eastAsia="Times New Roman" w:hAnsi="Arial" w:cs="Arial"/>
          <w:kern w:val="0"/>
          <w:lang w:eastAsia="en-GB"/>
          <w14:ligatures w14:val="none"/>
        </w:rPr>
        <w:t>Llahana</w:t>
      </w:r>
      <w:proofErr w:type="spellEnd"/>
      <w:r w:rsidRPr="00715C4F">
        <w:rPr>
          <w:rFonts w:ascii="Arial" w:eastAsia="Times New Roman" w:hAnsi="Arial" w:cs="Arial"/>
          <w:kern w:val="0"/>
          <w:lang w:eastAsia="en-GB"/>
          <w14:ligatures w14:val="none"/>
        </w:rPr>
        <w:t>, 2024; Zheng et al., 2025).</w:t>
      </w:r>
    </w:p>
    <w:p w14:paraId="6CF7563F" w14:textId="374C0EB5" w:rsidR="00892569" w:rsidRPr="00715C4F" w:rsidRDefault="00DC6ADB"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Although the populations studied, designs, and measurements differed, the results o</w:t>
      </w:r>
      <w:r w:rsidR="00965DB9">
        <w:rPr>
          <w:rFonts w:ascii="Arial" w:eastAsia="Times New Roman" w:hAnsi="Arial" w:cs="Arial"/>
          <w:kern w:val="0"/>
          <w:lang w:eastAsia="en-GB"/>
          <w14:ligatures w14:val="none"/>
        </w:rPr>
        <w:t>f the extracted evidence, analys</w:t>
      </w:r>
      <w:r w:rsidRPr="00715C4F">
        <w:rPr>
          <w:rFonts w:ascii="Arial" w:eastAsia="Times New Roman" w:hAnsi="Arial" w:cs="Arial"/>
          <w:kern w:val="0"/>
          <w:lang w:eastAsia="en-GB"/>
          <w14:ligatures w14:val="none"/>
        </w:rPr>
        <w:t>ed thematically, showed that there were several patterns of consistency, mainly in relation to ethnic inequalities, socioeconomic status, lifestyle and environmental factors, cultural knowledge and vitamin D supplementation. The five themes presented in the following sections were based on these patterns</w:t>
      </w:r>
      <w:r w:rsidR="00892569" w:rsidRPr="00715C4F">
        <w:rPr>
          <w:rFonts w:ascii="Arial" w:eastAsia="Times New Roman" w:hAnsi="Arial" w:cs="Arial"/>
          <w:kern w:val="0"/>
          <w:lang w:eastAsia="en-GB"/>
          <w14:ligatures w14:val="none"/>
        </w:rPr>
        <w:t>.</w:t>
      </w:r>
    </w:p>
    <w:p w14:paraId="67B49C34" w14:textId="5318C223" w:rsidR="00892569" w:rsidRPr="00715C4F" w:rsidRDefault="00AC11CF" w:rsidP="0022637B">
      <w:pPr>
        <w:pStyle w:val="Heading2"/>
        <w:rPr>
          <w:lang w:eastAsia="en-GB"/>
        </w:rPr>
      </w:pPr>
      <w:bookmarkStart w:id="77" w:name="_Toc241025923"/>
      <w:r w:rsidRPr="00715C4F">
        <w:rPr>
          <w:lang w:eastAsia="en-GB"/>
        </w:rPr>
        <w:t>4.8</w:t>
      </w:r>
      <w:r w:rsidR="00892569" w:rsidRPr="00715C4F">
        <w:rPr>
          <w:lang w:eastAsia="en-GB"/>
        </w:rPr>
        <w:t xml:space="preserve"> Theme 1: Ethnicity and Vitamin D Deficiency</w:t>
      </w:r>
      <w:bookmarkEnd w:id="77"/>
    </w:p>
    <w:p w14:paraId="4EAC290E" w14:textId="77777777" w:rsidR="00DC6ADB" w:rsidRPr="00715C4F" w:rsidRDefault="00DC6ADB" w:rsidP="00715C4F">
      <w:pPr>
        <w:spacing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The findings showed a strong trend of vitamin D deficiency in a number of ethnic minority groups in the UK. Ethnic differences were seen most clearly within the South Asian and African-Caribbean populations where levels of 25-hydroxyvitamin D (25(OH</w:t>
      </w:r>
      <w:proofErr w:type="gramStart"/>
      <w:r w:rsidRPr="00715C4F">
        <w:rPr>
          <w:rFonts w:ascii="Arial" w:eastAsia="Times New Roman" w:hAnsi="Arial" w:cs="Arial"/>
          <w:kern w:val="0"/>
          <w:lang w:eastAsia="en-GB"/>
          <w14:ligatures w14:val="none"/>
        </w:rPr>
        <w:t>)D</w:t>
      </w:r>
      <w:proofErr w:type="gramEnd"/>
      <w:r w:rsidRPr="00715C4F">
        <w:rPr>
          <w:rFonts w:ascii="Arial" w:eastAsia="Times New Roman" w:hAnsi="Arial" w:cs="Arial"/>
          <w:kern w:val="0"/>
          <w:lang w:eastAsia="en-GB"/>
          <w14:ligatures w14:val="none"/>
        </w:rPr>
        <w:t>) were reported as lower and prevalence of deficiency as higher than White European. Large UK Biobank analyses found that ethnicity was still a significant determinant of vitamin D status, albeit to different extents across the seasons and other traits (Sutherland et al., 2021; Lin et al., 2021).</w:t>
      </w:r>
    </w:p>
    <w:p w14:paraId="3DAFED34" w14:textId="16E16FD9" w:rsidR="00DC6ADB" w:rsidRPr="00715C4F" w:rsidRDefault="00DC6ADB"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Darling et al (2020) reported a very high prevalence of 25(OH</w:t>
      </w:r>
      <w:proofErr w:type="gramStart"/>
      <w:r w:rsidRPr="00715C4F">
        <w:rPr>
          <w:rFonts w:ascii="Arial" w:eastAsia="Times New Roman" w:hAnsi="Arial" w:cs="Arial"/>
          <w:kern w:val="0"/>
          <w:lang w:eastAsia="en-GB"/>
          <w14:ligatures w14:val="none"/>
        </w:rPr>
        <w:t>)D</w:t>
      </w:r>
      <w:proofErr w:type="gramEnd"/>
      <w:r w:rsidRPr="00715C4F">
        <w:rPr>
          <w:rFonts w:ascii="Arial" w:eastAsia="Times New Roman" w:hAnsi="Arial" w:cs="Arial"/>
          <w:kern w:val="0"/>
          <w:lang w:eastAsia="en-GB"/>
          <w14:ligatures w14:val="none"/>
        </w:rPr>
        <w:t xml:space="preserve"> deficiency in 6,433 adults in the UK who were South Asian, with a prevalence of 93.6%. Their results revealed vitamin D deficiency in particular in this population, and thus a significant ethnic difference in vitamin D status. Likewise, Sutherland </w:t>
      </w:r>
      <w:r w:rsidR="006D5C94" w:rsidRPr="00715C4F">
        <w:rPr>
          <w:rFonts w:ascii="Arial" w:eastAsia="Times New Roman" w:hAnsi="Arial" w:cs="Arial"/>
          <w:kern w:val="0"/>
          <w:lang w:eastAsia="en-GB"/>
          <w14:ligatures w14:val="none"/>
        </w:rPr>
        <w:t>et al.,</w:t>
      </w:r>
      <w:r w:rsidR="00A235EE" w:rsidRPr="00715C4F">
        <w:rPr>
          <w:rFonts w:ascii="Arial" w:eastAsia="Times New Roman" w:hAnsi="Arial" w:cs="Arial"/>
          <w:kern w:val="0"/>
          <w:lang w:eastAsia="en-GB"/>
          <w14:ligatures w14:val="none"/>
        </w:rPr>
        <w:t xml:space="preserve"> </w:t>
      </w:r>
      <w:r w:rsidRPr="00715C4F">
        <w:rPr>
          <w:rFonts w:ascii="Arial" w:eastAsia="Times New Roman" w:hAnsi="Arial" w:cs="Arial"/>
          <w:kern w:val="0"/>
          <w:lang w:eastAsia="en-GB"/>
          <w14:ligatures w14:val="none"/>
        </w:rPr>
        <w:t>(2021) reported that vitamin D deficiency was significantly higher among the Asian participants as compared to the White European participants. There was no seasonal trend effect and deficiency was observed in both winter/spring and summer/autumn groups. The results indicated that South Asian ethnicity was consistently linked to low levels of vitamin D status.</w:t>
      </w:r>
    </w:p>
    <w:p w14:paraId="212BCC0B" w14:textId="65919E7E" w:rsidR="00DC6ADB" w:rsidRPr="00715C4F" w:rsidRDefault="00DC6ADB"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Smith </w:t>
      </w:r>
      <w:r w:rsidR="006D5C94" w:rsidRPr="00715C4F">
        <w:rPr>
          <w:rFonts w:ascii="Arial" w:eastAsia="Times New Roman" w:hAnsi="Arial" w:cs="Arial"/>
          <w:kern w:val="0"/>
          <w:lang w:eastAsia="en-GB"/>
          <w14:ligatures w14:val="none"/>
        </w:rPr>
        <w:t xml:space="preserve">et al., </w:t>
      </w:r>
      <w:r w:rsidRPr="00715C4F">
        <w:rPr>
          <w:rFonts w:ascii="Arial" w:eastAsia="Times New Roman" w:hAnsi="Arial" w:cs="Arial"/>
          <w:kern w:val="0"/>
          <w:lang w:eastAsia="en-GB"/>
          <w14:ligatures w14:val="none"/>
        </w:rPr>
        <w:t xml:space="preserve">(2021) reported on vitamin D status in British-Bangladeshi migrant women when compared to White British women and women in Bangladesh. The study found </w:t>
      </w:r>
      <w:r w:rsidRPr="00715C4F">
        <w:rPr>
          <w:rFonts w:ascii="Arial" w:eastAsia="Times New Roman" w:hAnsi="Arial" w:cs="Arial"/>
          <w:kern w:val="0"/>
          <w:lang w:eastAsia="en-GB"/>
          <w14:ligatures w14:val="none"/>
        </w:rPr>
        <w:lastRenderedPageBreak/>
        <w:t>that there were differences in vitamin D status between the groups, reflecting a possible vitamin D ‘mismatch' related to migration and shifting environmental and lifestyle circumstances. The results showed that the migration background may have a differential effect on vitamin D status depending on the interaction with sunlight exposure, lifestyle and environmental adaptation and not only as a function of country of birth (Smith et al., 2021).</w:t>
      </w:r>
    </w:p>
    <w:p w14:paraId="283F87E8" w14:textId="77777777" w:rsidR="00DC6ADB" w:rsidRPr="00715C4F" w:rsidRDefault="00DC6ADB"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Within African-Caribbean communities </w:t>
      </w:r>
      <w:proofErr w:type="spellStart"/>
      <w:r w:rsidRPr="00715C4F">
        <w:rPr>
          <w:rFonts w:ascii="Arial" w:eastAsia="Times New Roman" w:hAnsi="Arial" w:cs="Arial"/>
          <w:kern w:val="0"/>
          <w:lang w:eastAsia="en-GB"/>
          <w14:ligatures w14:val="none"/>
        </w:rPr>
        <w:t>Vearing</w:t>
      </w:r>
      <w:proofErr w:type="spellEnd"/>
      <w:r w:rsidRPr="00715C4F">
        <w:rPr>
          <w:rFonts w:ascii="Arial" w:eastAsia="Times New Roman" w:hAnsi="Arial" w:cs="Arial"/>
          <w:kern w:val="0"/>
          <w:lang w:eastAsia="en-GB"/>
          <w14:ligatures w14:val="none"/>
        </w:rPr>
        <w:t xml:space="preserve"> et al., 2021, reported significant differences in vitamin D levels, with over one third considered vitamin D deficient. Additionally, skin phenotype and season were found to be significant predictors. Ethnic differences in vitamin D status could be explained by biological mechanisms, such as the decreased efficiency of vitamin D production in the skin after exposure to UVB radiation, as a result of darker pigmentation (</w:t>
      </w:r>
      <w:proofErr w:type="spellStart"/>
      <w:r w:rsidRPr="00715C4F">
        <w:rPr>
          <w:rFonts w:ascii="Arial" w:eastAsia="Times New Roman" w:hAnsi="Arial" w:cs="Arial"/>
          <w:kern w:val="0"/>
          <w:lang w:eastAsia="en-GB"/>
          <w14:ligatures w14:val="none"/>
        </w:rPr>
        <w:t>Vearing</w:t>
      </w:r>
      <w:proofErr w:type="spellEnd"/>
      <w:r w:rsidRPr="00715C4F">
        <w:rPr>
          <w:rFonts w:ascii="Arial" w:eastAsia="Times New Roman" w:hAnsi="Arial" w:cs="Arial"/>
          <w:kern w:val="0"/>
          <w:lang w:eastAsia="en-GB"/>
          <w14:ligatures w14:val="none"/>
        </w:rPr>
        <w:t xml:space="preserve"> et al., 2021).</w:t>
      </w:r>
    </w:p>
    <w:p w14:paraId="05A6ED7B" w14:textId="5F0D610B" w:rsidR="00892569" w:rsidRPr="00715C4F" w:rsidRDefault="00DC6ADB"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Coley-Grant </w:t>
      </w:r>
      <w:r w:rsidR="00AD1464" w:rsidRPr="00715C4F">
        <w:rPr>
          <w:rFonts w:ascii="Arial" w:eastAsia="Times New Roman" w:hAnsi="Arial" w:cs="Arial"/>
          <w:kern w:val="0"/>
          <w:lang w:eastAsia="en-GB"/>
          <w14:ligatures w14:val="none"/>
        </w:rPr>
        <w:t xml:space="preserve">et al., </w:t>
      </w:r>
      <w:r w:rsidRPr="00715C4F">
        <w:rPr>
          <w:rFonts w:ascii="Arial" w:eastAsia="Times New Roman" w:hAnsi="Arial" w:cs="Arial"/>
          <w:kern w:val="0"/>
          <w:lang w:eastAsia="en-GB"/>
          <w14:ligatures w14:val="none"/>
        </w:rPr>
        <w:t>(2021) also showed that the association of 25(OH</w:t>
      </w:r>
      <w:proofErr w:type="gramStart"/>
      <w:r w:rsidRPr="00715C4F">
        <w:rPr>
          <w:rFonts w:ascii="Arial" w:eastAsia="Times New Roman" w:hAnsi="Arial" w:cs="Arial"/>
          <w:kern w:val="0"/>
          <w:lang w:eastAsia="en-GB"/>
          <w14:ligatures w14:val="none"/>
        </w:rPr>
        <w:t>)D</w:t>
      </w:r>
      <w:proofErr w:type="gramEnd"/>
      <w:r w:rsidRPr="00715C4F">
        <w:rPr>
          <w:rFonts w:ascii="Arial" w:eastAsia="Times New Roman" w:hAnsi="Arial" w:cs="Arial"/>
          <w:kern w:val="0"/>
          <w:lang w:eastAsia="en-GB"/>
          <w14:ligatures w14:val="none"/>
        </w:rPr>
        <w:t xml:space="preserve"> with PTH was different between South Asian and White participants, suggesting that the response of vitamin D and PTH may differ between ethnic groups. The overall evidence suggested that ethnicity was an important factor in determining vitamin D deficiency but not a stand-alone explanatory factor. Biological characteristics, behaviour, sunlight exposure, diet, socioeconomic circumstances and environmental conditions appeared to interact with ethnicity to influence vitamin D status (Darling et al., 2020; Sutherland et al., 2021; </w:t>
      </w:r>
      <w:proofErr w:type="spellStart"/>
      <w:r w:rsidRPr="00715C4F">
        <w:rPr>
          <w:rFonts w:ascii="Arial" w:eastAsia="Times New Roman" w:hAnsi="Arial" w:cs="Arial"/>
          <w:kern w:val="0"/>
          <w:lang w:eastAsia="en-GB"/>
          <w14:ligatures w14:val="none"/>
        </w:rPr>
        <w:t>Vearing</w:t>
      </w:r>
      <w:proofErr w:type="spellEnd"/>
      <w:r w:rsidRPr="00715C4F">
        <w:rPr>
          <w:rFonts w:ascii="Arial" w:eastAsia="Times New Roman" w:hAnsi="Arial" w:cs="Arial"/>
          <w:kern w:val="0"/>
          <w:lang w:eastAsia="en-GB"/>
          <w14:ligatures w14:val="none"/>
        </w:rPr>
        <w:t xml:space="preserve"> et al., 2021)</w:t>
      </w:r>
      <w:r w:rsidR="00892569" w:rsidRPr="00715C4F">
        <w:rPr>
          <w:rFonts w:ascii="Arial" w:eastAsia="Times New Roman" w:hAnsi="Arial" w:cs="Arial"/>
          <w:kern w:val="0"/>
          <w:lang w:eastAsia="en-GB"/>
          <w14:ligatures w14:val="none"/>
        </w:rPr>
        <w:t>.</w:t>
      </w:r>
    </w:p>
    <w:p w14:paraId="6FF12AD3" w14:textId="7680B2F0" w:rsidR="00892569" w:rsidRPr="00715C4F" w:rsidRDefault="00AC11CF" w:rsidP="0022637B">
      <w:pPr>
        <w:pStyle w:val="Heading2"/>
        <w:rPr>
          <w:lang w:eastAsia="en-GB"/>
        </w:rPr>
      </w:pPr>
      <w:bookmarkStart w:id="78" w:name="_Toc241025924"/>
      <w:r w:rsidRPr="00715C4F">
        <w:rPr>
          <w:lang w:eastAsia="en-GB"/>
        </w:rPr>
        <w:t>4.9</w:t>
      </w:r>
      <w:r w:rsidR="00892569" w:rsidRPr="00715C4F">
        <w:rPr>
          <w:lang w:eastAsia="en-GB"/>
        </w:rPr>
        <w:t xml:space="preserve"> Theme 2: Socioeconomic Determinants of Vitamin D Status</w:t>
      </w:r>
      <w:bookmarkEnd w:id="78"/>
    </w:p>
    <w:p w14:paraId="44368AAB" w14:textId="77777777" w:rsidR="00705F71" w:rsidRPr="00715C4F" w:rsidRDefault="00705F71" w:rsidP="00715C4F">
      <w:pPr>
        <w:spacing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The results showed that there was variation in vitamin D status of UK populations related to socioeconomic factors. In addition to ethnic and seasonal variations, Sutherland et al (2021) found socioeconomic deprivation to be an important factor associated with vitamin D deficiency. This indicated that vitamin D inequality was not necessarily an ethnic problem and that social factors had a broader influence in addition.</w:t>
      </w:r>
    </w:p>
    <w:p w14:paraId="74E1D48A" w14:textId="59A89F48" w:rsidR="00705F71" w:rsidRPr="00715C4F" w:rsidRDefault="00705F71"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Socioeconomic deprivation could affect vitamin D status by impacting access to healthy foods, supplements, health care information, and appropriate outdoor environments. People with socioeconomic disadvantage may also not have as many opportunities to access outdoor activities or vitamin D fortified foods or supplements. The observational studies included in this review, however, more often than not, showed associations rather than causation (Sutherland et al., 2021).</w:t>
      </w:r>
    </w:p>
    <w:p w14:paraId="16A3A60D" w14:textId="77777777" w:rsidR="00705F71" w:rsidRPr="00715C4F" w:rsidRDefault="00705F71"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Another socioeconomic factor was occupation. Long workdays indoors can limit access to the sun and working hours can affect one's lifestyle and time spent outdoors. This was especially true of the results related to UK health care staff (Phelan et al., 2024).</w:t>
      </w:r>
    </w:p>
    <w:p w14:paraId="33147D94" w14:textId="048A34E2" w:rsidR="00892569" w:rsidRPr="00715C4F" w:rsidRDefault="00705F71"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 home environment also seemed to be pertinent. </w:t>
      </w:r>
      <w:proofErr w:type="spellStart"/>
      <w:r w:rsidRPr="00715C4F">
        <w:rPr>
          <w:rFonts w:ascii="Arial" w:eastAsia="Times New Roman" w:hAnsi="Arial" w:cs="Arial"/>
          <w:kern w:val="0"/>
          <w:lang w:eastAsia="en-GB"/>
          <w14:ligatures w14:val="none"/>
        </w:rPr>
        <w:t>Högler</w:t>
      </w:r>
      <w:proofErr w:type="spellEnd"/>
      <w:r w:rsidRPr="00715C4F">
        <w:rPr>
          <w:rFonts w:ascii="Arial" w:eastAsia="Times New Roman" w:hAnsi="Arial" w:cs="Arial"/>
          <w:kern w:val="0"/>
          <w:lang w:eastAsia="en-GB"/>
          <w14:ligatures w14:val="none"/>
        </w:rPr>
        <w:t xml:space="preserve"> et al., (2022) identified relationships between maternal socioeconomic deprivation, living environment and </w:t>
      </w:r>
      <w:proofErr w:type="spellStart"/>
      <w:r w:rsidRPr="00715C4F">
        <w:rPr>
          <w:rFonts w:ascii="Arial" w:eastAsia="Times New Roman" w:hAnsi="Arial" w:cs="Arial"/>
          <w:kern w:val="0"/>
          <w:lang w:eastAsia="en-GB"/>
          <w14:ligatures w14:val="none"/>
        </w:rPr>
        <w:t>newborn</w:t>
      </w:r>
      <w:proofErr w:type="spellEnd"/>
      <w:r w:rsidRPr="00715C4F">
        <w:rPr>
          <w:rFonts w:ascii="Arial" w:eastAsia="Times New Roman" w:hAnsi="Arial" w:cs="Arial"/>
          <w:kern w:val="0"/>
          <w:lang w:eastAsia="en-GB"/>
          <w14:ligatures w14:val="none"/>
        </w:rPr>
        <w:t xml:space="preserve"> 25(OH</w:t>
      </w:r>
      <w:proofErr w:type="gramStart"/>
      <w:r w:rsidRPr="00715C4F">
        <w:rPr>
          <w:rFonts w:ascii="Arial" w:eastAsia="Times New Roman" w:hAnsi="Arial" w:cs="Arial"/>
          <w:kern w:val="0"/>
          <w:lang w:eastAsia="en-GB"/>
          <w14:ligatures w14:val="none"/>
        </w:rPr>
        <w:t>)D</w:t>
      </w:r>
      <w:proofErr w:type="gramEnd"/>
      <w:r w:rsidRPr="00715C4F">
        <w:rPr>
          <w:rFonts w:ascii="Arial" w:eastAsia="Times New Roman" w:hAnsi="Arial" w:cs="Arial"/>
          <w:kern w:val="0"/>
          <w:lang w:eastAsia="en-GB"/>
          <w14:ligatures w14:val="none"/>
        </w:rPr>
        <w:t xml:space="preserve"> concentrations, with season and ethnicity showing particularly strong relationships with vitamin D status. Overall, socioeconomic status seemed to act as a broader social determinant, impacting on behavioural and environmental exposure and therefore, contributing to the differences in vitamin D status</w:t>
      </w:r>
      <w:r w:rsidR="00892569" w:rsidRPr="00715C4F">
        <w:rPr>
          <w:rFonts w:ascii="Arial" w:eastAsia="Times New Roman" w:hAnsi="Arial" w:cs="Arial"/>
          <w:kern w:val="0"/>
          <w:lang w:eastAsia="en-GB"/>
          <w14:ligatures w14:val="none"/>
        </w:rPr>
        <w:t>.</w:t>
      </w:r>
    </w:p>
    <w:p w14:paraId="34226D89" w14:textId="174689C1" w:rsidR="00892569" w:rsidRPr="00715C4F" w:rsidRDefault="00AC11CF" w:rsidP="0022637B">
      <w:pPr>
        <w:pStyle w:val="Heading2"/>
        <w:rPr>
          <w:lang w:eastAsia="en-GB"/>
        </w:rPr>
      </w:pPr>
      <w:bookmarkStart w:id="79" w:name="_Toc241025925"/>
      <w:r w:rsidRPr="00715C4F">
        <w:rPr>
          <w:lang w:eastAsia="en-GB"/>
        </w:rPr>
        <w:t>4.10</w:t>
      </w:r>
      <w:r w:rsidR="00892569" w:rsidRPr="00715C4F">
        <w:rPr>
          <w:lang w:eastAsia="en-GB"/>
        </w:rPr>
        <w:t xml:space="preserve"> Theme 3: Lifestyle, Environmental and Occupational Factors</w:t>
      </w:r>
      <w:bookmarkEnd w:id="79"/>
    </w:p>
    <w:p w14:paraId="340312D2" w14:textId="77777777" w:rsidR="00C11162" w:rsidRPr="00715C4F" w:rsidRDefault="00C11162" w:rsidP="00715C4F">
      <w:pPr>
        <w:spacing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The studies included demonstrated the effect of lifestyle and environmental factors on opportunities for vitamin D synthesis and maintenance. Santana et al (2024) studied the association between residential greenness, lifestyle and vitamin D status in women with south Asian origin and Caucasian women, residing in southern England. The longitudinal design allowed for evidence of vitamin D status change over time and across environmental conditions to be provided. The study results suggested that residential greenness and lifestyle/UV radiation are important factors in vitamin D status (Santana et al., 2024).</w:t>
      </w:r>
    </w:p>
    <w:p w14:paraId="74F5E4BE" w14:textId="3E9A0028" w:rsidR="00C11162" w:rsidRPr="00715C4F" w:rsidRDefault="00C11162"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Sunlight exposure and outdoor activity were important factors as the production of </w:t>
      </w:r>
      <w:r w:rsidR="005F5916">
        <w:rPr>
          <w:rFonts w:ascii="Arial" w:eastAsia="Times New Roman" w:hAnsi="Arial" w:cs="Arial"/>
          <w:kern w:val="0"/>
          <w:lang w:eastAsia="en-GB"/>
          <w14:ligatures w14:val="none"/>
        </w:rPr>
        <w:t xml:space="preserve">vitamin D in the skin is </w:t>
      </w:r>
      <w:proofErr w:type="spellStart"/>
      <w:r w:rsidR="005F5916">
        <w:rPr>
          <w:rFonts w:ascii="Arial" w:eastAsia="Times New Roman" w:hAnsi="Arial" w:cs="Arial"/>
          <w:kern w:val="0"/>
          <w:lang w:eastAsia="en-GB"/>
          <w14:ligatures w14:val="none"/>
        </w:rPr>
        <w:t>dependa</w:t>
      </w:r>
      <w:r w:rsidRPr="00715C4F">
        <w:rPr>
          <w:rFonts w:ascii="Arial" w:eastAsia="Times New Roman" w:hAnsi="Arial" w:cs="Arial"/>
          <w:kern w:val="0"/>
          <w:lang w:eastAsia="en-GB"/>
          <w14:ligatures w14:val="none"/>
        </w:rPr>
        <w:t>nt</w:t>
      </w:r>
      <w:proofErr w:type="spellEnd"/>
      <w:r w:rsidRPr="00715C4F">
        <w:rPr>
          <w:rFonts w:ascii="Arial" w:eastAsia="Times New Roman" w:hAnsi="Arial" w:cs="Arial"/>
          <w:kern w:val="0"/>
          <w:lang w:eastAsia="en-GB"/>
          <w14:ligatures w14:val="none"/>
        </w:rPr>
        <w:t xml:space="preserve"> on exposure to ultraviolet-B radiation. The impact of outdoor exposure was also not necessarily equal among ethnic groups, however, and darker skin pigmentation may have been associated with a need for increased UVB exposure for a similar amount of vitamin D production (Sutherland et al., 2021; </w:t>
      </w:r>
      <w:proofErr w:type="spellStart"/>
      <w:r w:rsidRPr="00715C4F">
        <w:rPr>
          <w:rFonts w:ascii="Arial" w:eastAsia="Times New Roman" w:hAnsi="Arial" w:cs="Arial"/>
          <w:kern w:val="0"/>
          <w:lang w:eastAsia="en-GB"/>
          <w14:ligatures w14:val="none"/>
        </w:rPr>
        <w:t>Vearing</w:t>
      </w:r>
      <w:proofErr w:type="spellEnd"/>
      <w:r w:rsidRPr="00715C4F">
        <w:rPr>
          <w:rFonts w:ascii="Arial" w:eastAsia="Times New Roman" w:hAnsi="Arial" w:cs="Arial"/>
          <w:kern w:val="0"/>
          <w:lang w:eastAsia="en-GB"/>
          <w14:ligatures w14:val="none"/>
        </w:rPr>
        <w:t xml:space="preserve"> et al., 2021).</w:t>
      </w:r>
    </w:p>
    <w:p w14:paraId="185540CA" w14:textId="1AC259E8" w:rsidR="00C11162" w:rsidRPr="00715C4F" w:rsidRDefault="00C11162"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 occupation and indoor working pattern were also important environmental factors. Phelan </w:t>
      </w:r>
      <w:r w:rsidR="00AD1464" w:rsidRPr="00715C4F">
        <w:rPr>
          <w:rFonts w:ascii="Arial" w:eastAsia="Times New Roman" w:hAnsi="Arial" w:cs="Arial"/>
          <w:kern w:val="0"/>
          <w:lang w:eastAsia="en-GB"/>
          <w14:ligatures w14:val="none"/>
        </w:rPr>
        <w:t xml:space="preserve">et al., </w:t>
      </w:r>
      <w:r w:rsidR="00111584"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t>2024</w:t>
      </w:r>
      <w:r w:rsidR="00111584"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t xml:space="preserve"> looked at how vitamin D may be a modifiable factor in the workplace among</w:t>
      </w:r>
      <w:r w:rsidR="00965DB9">
        <w:rPr>
          <w:rFonts w:ascii="Arial" w:eastAsia="Times New Roman" w:hAnsi="Arial" w:cs="Arial"/>
          <w:kern w:val="0"/>
          <w:lang w:eastAsia="en-GB"/>
          <w14:ligatures w14:val="none"/>
        </w:rPr>
        <w:t xml:space="preserve"> UK healthcare workers, emphasis</w:t>
      </w:r>
      <w:r w:rsidRPr="00715C4F">
        <w:rPr>
          <w:rFonts w:ascii="Arial" w:eastAsia="Times New Roman" w:hAnsi="Arial" w:cs="Arial"/>
          <w:kern w:val="0"/>
          <w:lang w:eastAsia="en-GB"/>
          <w14:ligatures w14:val="none"/>
        </w:rPr>
        <w:t>ing the importance of exposure in the work environment and the restricted sunlight opportunities.</w:t>
      </w:r>
    </w:p>
    <w:p w14:paraId="37E95156" w14:textId="072DE26F" w:rsidR="00892569" w:rsidRPr="00715C4F" w:rsidRDefault="00C11162"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Differences in vitamin D status also were associated with dietary patterns and supplement use. In summary, the evidence indicated that vitamin D status was related </w:t>
      </w:r>
      <w:r w:rsidRPr="00715C4F">
        <w:rPr>
          <w:rFonts w:ascii="Arial" w:eastAsia="Times New Roman" w:hAnsi="Arial" w:cs="Arial"/>
          <w:kern w:val="0"/>
          <w:lang w:eastAsia="en-GB"/>
          <w14:ligatures w14:val="none"/>
        </w:rPr>
        <w:lastRenderedPageBreak/>
        <w:t>to a combination of sunlight exposure, outdoor behaviour, residential environment, occupation, diet and ethnicity, rather than to one of these factors alone</w:t>
      </w:r>
      <w:r w:rsidR="00892569" w:rsidRPr="00715C4F">
        <w:rPr>
          <w:rFonts w:ascii="Arial" w:eastAsia="Times New Roman" w:hAnsi="Arial" w:cs="Arial"/>
          <w:kern w:val="0"/>
          <w:lang w:eastAsia="en-GB"/>
          <w14:ligatures w14:val="none"/>
        </w:rPr>
        <w:t>.</w:t>
      </w:r>
    </w:p>
    <w:p w14:paraId="0CE2310E" w14:textId="2DF020F2" w:rsidR="00892569" w:rsidRPr="00715C4F" w:rsidRDefault="00892569" w:rsidP="0022637B">
      <w:pPr>
        <w:pStyle w:val="Heading2"/>
        <w:rPr>
          <w:lang w:eastAsia="en-GB"/>
        </w:rPr>
      </w:pPr>
      <w:bookmarkStart w:id="80" w:name="_Toc241025926"/>
      <w:r w:rsidRPr="00715C4F">
        <w:rPr>
          <w:lang w:eastAsia="en-GB"/>
        </w:rPr>
        <w:t>4.</w:t>
      </w:r>
      <w:r w:rsidR="009C2B52" w:rsidRPr="00715C4F">
        <w:rPr>
          <w:lang w:eastAsia="en-GB"/>
        </w:rPr>
        <w:t>11</w:t>
      </w:r>
      <w:r w:rsidRPr="00715C4F">
        <w:rPr>
          <w:lang w:eastAsia="en-GB"/>
        </w:rPr>
        <w:t xml:space="preserve"> Theme 4: Knowledge, Awareness and Cultural Perceptions</w:t>
      </w:r>
      <w:bookmarkEnd w:id="80"/>
    </w:p>
    <w:p w14:paraId="0DE8E4CE" w14:textId="77777777" w:rsidR="009F20CC" w:rsidRPr="00715C4F" w:rsidRDefault="009F20CC" w:rsidP="00715C4F">
      <w:pPr>
        <w:spacing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The results showed that understanding and cultural beliefs affected the understanding and response of minority ethnic populations to vitamin D deficiency. In East London, Zheng et al (2025) identified knowledge, sources of information, cultural influences and practical barriers as aspects of vitamin D-related behaviour that were important to minority ethnic adults aged 60 years and over. There were also positive attitudes toward supplementation, and challenges to access and cost and exposure of sunlight were identified (Zheng et al., 2025).</w:t>
      </w:r>
    </w:p>
    <w:p w14:paraId="3A9E70E1" w14:textId="77777777" w:rsidR="009F20CC" w:rsidRPr="00715C4F" w:rsidRDefault="009F20CC"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Likewise, Belfield and </w:t>
      </w:r>
      <w:proofErr w:type="spellStart"/>
      <w:r w:rsidRPr="00715C4F">
        <w:rPr>
          <w:rFonts w:ascii="Arial" w:eastAsia="Times New Roman" w:hAnsi="Arial" w:cs="Arial"/>
          <w:kern w:val="0"/>
          <w:lang w:eastAsia="en-GB"/>
          <w14:ligatures w14:val="none"/>
        </w:rPr>
        <w:t>Llahana</w:t>
      </w:r>
      <w:proofErr w:type="spellEnd"/>
      <w:r w:rsidRPr="00715C4F">
        <w:rPr>
          <w:rFonts w:ascii="Arial" w:eastAsia="Times New Roman" w:hAnsi="Arial" w:cs="Arial"/>
          <w:kern w:val="0"/>
          <w:lang w:eastAsia="en-GB"/>
          <w14:ligatures w14:val="none"/>
        </w:rPr>
        <w:t xml:space="preserve"> (2024) found that the knowledge and perceptions of vitamin D deficiency among women of Bengali origin was different. The qualitative evidence offered context for differences which could not be covered by quantitative evidence alone.</w:t>
      </w:r>
    </w:p>
    <w:p w14:paraId="6B5D2A7F" w14:textId="6CD0986E" w:rsidR="009F20CC" w:rsidRPr="00715C4F" w:rsidRDefault="009F20CC"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This was corroborated by findings from </w:t>
      </w:r>
      <w:proofErr w:type="spellStart"/>
      <w:r w:rsidRPr="00715C4F">
        <w:rPr>
          <w:rFonts w:ascii="Arial" w:eastAsia="Times New Roman" w:hAnsi="Arial" w:cs="Arial"/>
          <w:kern w:val="0"/>
          <w:lang w:eastAsia="en-GB"/>
          <w14:ligatures w14:val="none"/>
        </w:rPr>
        <w:t>Tanna</w:t>
      </w:r>
      <w:proofErr w:type="spellEnd"/>
      <w:r w:rsidRPr="00715C4F">
        <w:rPr>
          <w:rFonts w:ascii="Arial" w:eastAsia="Times New Roman" w:hAnsi="Arial" w:cs="Arial"/>
          <w:kern w:val="0"/>
          <w:lang w:eastAsia="en-GB"/>
          <w14:ligatures w14:val="none"/>
        </w:rPr>
        <w:t xml:space="preserve"> </w:t>
      </w:r>
      <w:r w:rsidR="00F77F59" w:rsidRPr="00715C4F">
        <w:rPr>
          <w:rFonts w:ascii="Arial" w:eastAsia="Times New Roman" w:hAnsi="Arial" w:cs="Arial"/>
          <w:kern w:val="0"/>
          <w:lang w:eastAsia="en-GB"/>
          <w14:ligatures w14:val="none"/>
        </w:rPr>
        <w:t xml:space="preserve">et al., </w:t>
      </w:r>
      <w:r w:rsidRPr="00715C4F">
        <w:rPr>
          <w:rFonts w:ascii="Arial" w:eastAsia="Times New Roman" w:hAnsi="Arial" w:cs="Arial"/>
          <w:kern w:val="0"/>
          <w:lang w:eastAsia="en-GB"/>
          <w14:ligatures w14:val="none"/>
        </w:rPr>
        <w:t>2023 who conducted a survey across the UK which found there was some variation in aw</w:t>
      </w:r>
      <w:r w:rsidR="0031296B">
        <w:rPr>
          <w:rFonts w:ascii="Arial" w:eastAsia="Times New Roman" w:hAnsi="Arial" w:cs="Arial"/>
          <w:kern w:val="0"/>
          <w:lang w:eastAsia="en-GB"/>
          <w14:ligatures w14:val="none"/>
        </w:rPr>
        <w:t>areness, supplementation practis</w:t>
      </w:r>
      <w:r w:rsidRPr="00715C4F">
        <w:rPr>
          <w:rFonts w:ascii="Arial" w:eastAsia="Times New Roman" w:hAnsi="Arial" w:cs="Arial"/>
          <w:kern w:val="0"/>
          <w:lang w:eastAsia="en-GB"/>
          <w14:ligatures w14:val="none"/>
        </w:rPr>
        <w:t>es, and information sources. Participants felt there was a need for clearer guidance, and health professionals and information on NHS were important trusted sources.</w:t>
      </w:r>
    </w:p>
    <w:p w14:paraId="1E10A4BF" w14:textId="593790E9" w:rsidR="00892569" w:rsidRPr="00715C4F" w:rsidRDefault="009F20CC"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The evidence as a whole indicated that knowledge does not always automatically lead to preventive actions. Factors such as cultural perceptions, access, perceived risk, and practical situations and confidence in the information available might affect whether awareness led to supplementa</w:t>
      </w:r>
      <w:r w:rsidR="0031296B">
        <w:rPr>
          <w:rFonts w:ascii="Arial" w:eastAsia="Times New Roman" w:hAnsi="Arial" w:cs="Arial"/>
          <w:kern w:val="0"/>
          <w:lang w:eastAsia="en-GB"/>
          <w14:ligatures w14:val="none"/>
        </w:rPr>
        <w:t>tion or other preventive practis</w:t>
      </w:r>
      <w:r w:rsidRPr="00715C4F">
        <w:rPr>
          <w:rFonts w:ascii="Arial" w:eastAsia="Times New Roman" w:hAnsi="Arial" w:cs="Arial"/>
          <w:kern w:val="0"/>
          <w:lang w:eastAsia="en-GB"/>
          <w14:ligatures w14:val="none"/>
        </w:rPr>
        <w:t xml:space="preserve">es. In this way, qualitative evidence brought experiential and cultural depth to the quantitative evidence (Belfield and </w:t>
      </w:r>
      <w:proofErr w:type="spellStart"/>
      <w:r w:rsidRPr="00715C4F">
        <w:rPr>
          <w:rFonts w:ascii="Arial" w:eastAsia="Times New Roman" w:hAnsi="Arial" w:cs="Arial"/>
          <w:kern w:val="0"/>
          <w:lang w:eastAsia="en-GB"/>
          <w14:ligatures w14:val="none"/>
        </w:rPr>
        <w:t>Llahana</w:t>
      </w:r>
      <w:proofErr w:type="spellEnd"/>
      <w:r w:rsidRPr="00715C4F">
        <w:rPr>
          <w:rFonts w:ascii="Arial" w:eastAsia="Times New Roman" w:hAnsi="Arial" w:cs="Arial"/>
          <w:kern w:val="0"/>
          <w:lang w:eastAsia="en-GB"/>
          <w14:ligatures w14:val="none"/>
        </w:rPr>
        <w:t>, 2024; Zheng et al., 2025)</w:t>
      </w:r>
      <w:r w:rsidR="00892569" w:rsidRPr="00715C4F">
        <w:rPr>
          <w:rFonts w:ascii="Arial" w:eastAsia="Times New Roman" w:hAnsi="Arial" w:cs="Arial"/>
          <w:kern w:val="0"/>
          <w:lang w:eastAsia="en-GB"/>
          <w14:ligatures w14:val="none"/>
        </w:rPr>
        <w:t>.</w:t>
      </w:r>
    </w:p>
    <w:p w14:paraId="7F8D02A8" w14:textId="5136EA5D" w:rsidR="00892569" w:rsidRPr="00715C4F" w:rsidRDefault="009C2B52" w:rsidP="0022637B">
      <w:pPr>
        <w:pStyle w:val="Heading2"/>
        <w:rPr>
          <w:lang w:eastAsia="en-GB"/>
        </w:rPr>
      </w:pPr>
      <w:bookmarkStart w:id="81" w:name="_Toc241025927"/>
      <w:r w:rsidRPr="00715C4F">
        <w:rPr>
          <w:lang w:eastAsia="en-GB"/>
        </w:rPr>
        <w:t>4.12</w:t>
      </w:r>
      <w:r w:rsidR="00892569" w:rsidRPr="00715C4F">
        <w:rPr>
          <w:lang w:eastAsia="en-GB"/>
        </w:rPr>
        <w:t xml:space="preserve"> Theme 5: Vitamin D Supplementation and Prevention</w:t>
      </w:r>
      <w:bookmarkEnd w:id="81"/>
    </w:p>
    <w:p w14:paraId="597A629F" w14:textId="7FB950B4" w:rsidR="009F20CC" w:rsidRPr="00715C4F" w:rsidRDefault="009F20CC" w:rsidP="00715C4F">
      <w:pPr>
        <w:spacing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The studies included in this review showed that vitamin D supplementation is key to vitamin D prevention, especially for people at higher risk of vitamin D deficiency. Despite relatively high levels of awareness of vitamin D, there was vari</w:t>
      </w:r>
      <w:r w:rsidR="0031296B">
        <w:rPr>
          <w:rFonts w:ascii="Arial" w:eastAsia="Times New Roman" w:hAnsi="Arial" w:cs="Arial"/>
          <w:kern w:val="0"/>
          <w:lang w:eastAsia="en-GB"/>
          <w14:ligatures w14:val="none"/>
        </w:rPr>
        <w:t>ation in supplementation practis</w:t>
      </w:r>
      <w:r w:rsidRPr="00715C4F">
        <w:rPr>
          <w:rFonts w:ascii="Arial" w:eastAsia="Times New Roman" w:hAnsi="Arial" w:cs="Arial"/>
          <w:kern w:val="0"/>
          <w:lang w:eastAsia="en-GB"/>
          <w14:ligatures w14:val="none"/>
        </w:rPr>
        <w:t>es amongst adults in the UK: there was a need for greater clarity on what to do, meaning that awarene</w:t>
      </w:r>
      <w:r w:rsidR="0046200A">
        <w:rPr>
          <w:rFonts w:ascii="Arial" w:eastAsia="Times New Roman" w:hAnsi="Arial" w:cs="Arial"/>
          <w:kern w:val="0"/>
          <w:lang w:eastAsia="en-GB"/>
          <w14:ligatures w14:val="none"/>
        </w:rPr>
        <w:t>ss and actual preventive practis</w:t>
      </w:r>
      <w:r w:rsidRPr="00715C4F">
        <w:rPr>
          <w:rFonts w:ascii="Arial" w:eastAsia="Times New Roman" w:hAnsi="Arial" w:cs="Arial"/>
          <w:kern w:val="0"/>
          <w:lang w:eastAsia="en-GB"/>
          <w14:ligatures w14:val="none"/>
        </w:rPr>
        <w:t>e were not always synonymous (</w:t>
      </w:r>
      <w:proofErr w:type="spellStart"/>
      <w:r w:rsidRPr="00715C4F">
        <w:rPr>
          <w:rFonts w:ascii="Arial" w:eastAsia="Times New Roman" w:hAnsi="Arial" w:cs="Arial"/>
          <w:kern w:val="0"/>
          <w:lang w:eastAsia="en-GB"/>
          <w14:ligatures w14:val="none"/>
        </w:rPr>
        <w:t>Tanna</w:t>
      </w:r>
      <w:proofErr w:type="spellEnd"/>
      <w:r w:rsidRPr="00715C4F">
        <w:rPr>
          <w:rFonts w:ascii="Arial" w:eastAsia="Times New Roman" w:hAnsi="Arial" w:cs="Arial"/>
          <w:kern w:val="0"/>
          <w:lang w:eastAsia="en-GB"/>
          <w14:ligatures w14:val="none"/>
        </w:rPr>
        <w:t xml:space="preserve"> et al., 2023).</w:t>
      </w:r>
    </w:p>
    <w:p w14:paraId="47265144" w14:textId="77777777" w:rsidR="009F20CC" w:rsidRPr="00715C4F" w:rsidRDefault="009F20CC"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The antenatal/</w:t>
      </w:r>
      <w:proofErr w:type="spellStart"/>
      <w:r w:rsidRPr="00715C4F">
        <w:rPr>
          <w:rFonts w:ascii="Arial" w:eastAsia="Times New Roman" w:hAnsi="Arial" w:cs="Arial"/>
          <w:kern w:val="0"/>
          <w:lang w:eastAsia="en-GB"/>
          <w14:ligatures w14:val="none"/>
        </w:rPr>
        <w:t>newborn</w:t>
      </w:r>
      <w:proofErr w:type="spellEnd"/>
      <w:r w:rsidRPr="00715C4F">
        <w:rPr>
          <w:rFonts w:ascii="Arial" w:eastAsia="Times New Roman" w:hAnsi="Arial" w:cs="Arial"/>
          <w:kern w:val="0"/>
          <w:lang w:eastAsia="en-GB"/>
          <w14:ligatures w14:val="none"/>
        </w:rPr>
        <w:t xml:space="preserve"> screening study provided evidence of a concern for high-risk ethnic groups. </w:t>
      </w:r>
      <w:proofErr w:type="spellStart"/>
      <w:r w:rsidRPr="00715C4F">
        <w:rPr>
          <w:rFonts w:ascii="Arial" w:eastAsia="Times New Roman" w:hAnsi="Arial" w:cs="Arial"/>
          <w:kern w:val="0"/>
          <w:lang w:eastAsia="en-GB"/>
          <w14:ligatures w14:val="none"/>
        </w:rPr>
        <w:t>Newborn</w:t>
      </w:r>
      <w:proofErr w:type="spellEnd"/>
      <w:r w:rsidRPr="00715C4F">
        <w:rPr>
          <w:rFonts w:ascii="Arial" w:eastAsia="Times New Roman" w:hAnsi="Arial" w:cs="Arial"/>
          <w:kern w:val="0"/>
          <w:lang w:eastAsia="en-GB"/>
          <w14:ligatures w14:val="none"/>
        </w:rPr>
        <w:t xml:space="preserve"> screening revealed that babies with darker skin had higher levels of vitamin D deficiency than those with lighter skin, highlighting inadequate vitamin D supplementation across the country, even though the national programme has been implemented (</w:t>
      </w:r>
      <w:proofErr w:type="spellStart"/>
      <w:r w:rsidRPr="00715C4F">
        <w:rPr>
          <w:rFonts w:ascii="Arial" w:eastAsia="Times New Roman" w:hAnsi="Arial" w:cs="Arial"/>
          <w:kern w:val="0"/>
          <w:lang w:eastAsia="en-GB"/>
          <w14:ligatures w14:val="none"/>
        </w:rPr>
        <w:t>Uday</w:t>
      </w:r>
      <w:proofErr w:type="spellEnd"/>
      <w:r w:rsidRPr="00715C4F">
        <w:rPr>
          <w:rFonts w:ascii="Arial" w:eastAsia="Times New Roman" w:hAnsi="Arial" w:cs="Arial"/>
          <w:kern w:val="0"/>
          <w:lang w:eastAsia="en-GB"/>
          <w14:ligatures w14:val="none"/>
        </w:rPr>
        <w:t xml:space="preserve"> et al., 2021).</w:t>
      </w:r>
    </w:p>
    <w:p w14:paraId="24087FF0" w14:textId="547FBA81" w:rsidR="009F20CC" w:rsidRPr="00715C4F" w:rsidRDefault="009F20CC"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Other quantitative evidence also indicated that supplementation might be a protective factor. </w:t>
      </w:r>
      <w:proofErr w:type="spellStart"/>
      <w:r w:rsidRPr="00715C4F">
        <w:rPr>
          <w:rFonts w:ascii="Arial" w:eastAsia="Times New Roman" w:hAnsi="Arial" w:cs="Arial"/>
          <w:kern w:val="0"/>
          <w:lang w:eastAsia="en-GB"/>
          <w14:ligatures w14:val="none"/>
        </w:rPr>
        <w:t>Shraim</w:t>
      </w:r>
      <w:proofErr w:type="spellEnd"/>
      <w:r w:rsidRPr="00715C4F">
        <w:rPr>
          <w:rFonts w:ascii="Arial" w:eastAsia="Times New Roman" w:hAnsi="Arial" w:cs="Arial"/>
          <w:kern w:val="0"/>
          <w:lang w:eastAsia="en-GB"/>
          <w14:ligatures w14:val="none"/>
        </w:rPr>
        <w:t xml:space="preserve"> </w:t>
      </w:r>
      <w:r w:rsidR="003259A1" w:rsidRPr="00715C4F">
        <w:rPr>
          <w:rFonts w:ascii="Arial" w:eastAsia="Times New Roman" w:hAnsi="Arial" w:cs="Arial"/>
          <w:kern w:val="0"/>
          <w:lang w:eastAsia="en-GB"/>
          <w14:ligatures w14:val="none"/>
        </w:rPr>
        <w:t>et al., (</w:t>
      </w:r>
      <w:r w:rsidRPr="00715C4F">
        <w:rPr>
          <w:rFonts w:ascii="Arial" w:eastAsia="Times New Roman" w:hAnsi="Arial" w:cs="Arial"/>
          <w:kern w:val="0"/>
          <w:lang w:eastAsia="en-GB"/>
          <w14:ligatures w14:val="none"/>
        </w:rPr>
        <w:t>2025) found that supplements and fish consumption were negatively correlated with having a profound vitamin D deficiency, and ethnicity and low ambient UVB exposure were significant predictors.</w:t>
      </w:r>
    </w:p>
    <w:p w14:paraId="735CBDE6" w14:textId="55DD19DE" w:rsidR="009F20CC" w:rsidRPr="00715C4F" w:rsidRDefault="009F20CC" w:rsidP="00715C4F">
      <w:p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In general, the results indicated that supplementation was an important prevention strategy, though it was not always taken up, adhered to, or used correctly, depending on</w:t>
      </w:r>
      <w:r w:rsidR="0031296B">
        <w:rPr>
          <w:rFonts w:ascii="Arial" w:eastAsia="Times New Roman" w:hAnsi="Arial" w:cs="Arial"/>
          <w:kern w:val="0"/>
          <w:lang w:eastAsia="en-GB"/>
          <w14:ligatures w14:val="none"/>
        </w:rPr>
        <w:t xml:space="preserve"> the</w:t>
      </w:r>
      <w:r w:rsidRPr="00715C4F">
        <w:rPr>
          <w:rFonts w:ascii="Arial" w:eastAsia="Times New Roman" w:hAnsi="Arial" w:cs="Arial"/>
          <w:kern w:val="0"/>
          <w:lang w:eastAsia="en-GB"/>
          <w14:ligatures w14:val="none"/>
        </w:rPr>
        <w:t xml:space="preserve"> population. The findings were documented as evidence from the studies that have been included; imp</w:t>
      </w:r>
      <w:r w:rsidR="0031296B">
        <w:rPr>
          <w:rFonts w:ascii="Arial" w:eastAsia="Times New Roman" w:hAnsi="Arial" w:cs="Arial"/>
          <w:kern w:val="0"/>
          <w:lang w:eastAsia="en-GB"/>
          <w14:ligatures w14:val="none"/>
        </w:rPr>
        <w:t>lications for policy and practis</w:t>
      </w:r>
      <w:r w:rsidRPr="00715C4F">
        <w:rPr>
          <w:rFonts w:ascii="Arial" w:eastAsia="Times New Roman" w:hAnsi="Arial" w:cs="Arial"/>
          <w:kern w:val="0"/>
          <w:lang w:eastAsia="en-GB"/>
          <w14:ligatures w14:val="none"/>
        </w:rPr>
        <w:t>e are discussed and recommended more suitably in the Discussion and Recommendations chapters.</w:t>
      </w:r>
      <w:r w:rsidR="00CE0372">
        <w:rPr>
          <w:rFonts w:ascii="Arial" w:eastAsia="Times New Roman" w:hAnsi="Arial" w:cs="Arial"/>
          <w:kern w:val="0"/>
          <w:lang w:eastAsia="en-GB"/>
          <w14:ligatures w14:val="none"/>
        </w:rPr>
        <w:t xml:space="preserve"> </w:t>
      </w:r>
    </w:p>
    <w:p w14:paraId="24B0401A" w14:textId="624BDE0A" w:rsidR="009F20CC" w:rsidRPr="00715C4F" w:rsidRDefault="009C2B52" w:rsidP="0022637B">
      <w:pPr>
        <w:pStyle w:val="Heading2"/>
        <w:rPr>
          <w:lang w:eastAsia="en-GB"/>
        </w:rPr>
      </w:pPr>
      <w:bookmarkStart w:id="82" w:name="_Toc241025928"/>
      <w:r w:rsidRPr="00715C4F">
        <w:rPr>
          <w:lang w:eastAsia="en-GB"/>
        </w:rPr>
        <w:t>4.13</w:t>
      </w:r>
      <w:r w:rsidR="009F20CC" w:rsidRPr="00715C4F">
        <w:rPr>
          <w:lang w:eastAsia="en-GB"/>
        </w:rPr>
        <w:t xml:space="preserve"> Summary of Main Findings</w:t>
      </w:r>
      <w:bookmarkEnd w:id="82"/>
    </w:p>
    <w:p w14:paraId="1897ED61" w14:textId="77777777" w:rsidR="009F20CC" w:rsidRPr="00715C4F" w:rsidRDefault="009F20CC" w:rsidP="00CA541B">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The main results of the systematic review were:</w:t>
      </w:r>
    </w:p>
    <w:p w14:paraId="177A641A" w14:textId="77777777" w:rsidR="009F20CC" w:rsidRPr="00715C4F" w:rsidRDefault="009F20CC" w:rsidP="00715C4F">
      <w:pPr>
        <w:pStyle w:val="ListParagraph"/>
        <w:numPr>
          <w:ilvl w:val="0"/>
          <w:numId w:val="5"/>
        </w:numPr>
        <w:spacing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Several ethnic minority groups in the UK had a specific deficiency in vitamin D. </w:t>
      </w:r>
    </w:p>
    <w:p w14:paraId="4D5F0652" w14:textId="29911130" w:rsidR="009F20CC" w:rsidRPr="00715C4F" w:rsidRDefault="009F20CC" w:rsidP="00715C4F">
      <w:pPr>
        <w:pStyle w:val="ListParagraph"/>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South Asians were a key high-risk group (Darling </w:t>
      </w:r>
      <w:r w:rsidR="00D104C1" w:rsidRPr="00715C4F">
        <w:rPr>
          <w:rFonts w:ascii="Arial" w:eastAsia="Times New Roman" w:hAnsi="Arial" w:cs="Arial"/>
          <w:kern w:val="0"/>
          <w:lang w:eastAsia="en-GB"/>
          <w14:ligatures w14:val="none"/>
        </w:rPr>
        <w:t>et al., 2020</w:t>
      </w:r>
      <w:r w:rsidRPr="00715C4F">
        <w:rPr>
          <w:rFonts w:ascii="Arial" w:eastAsia="Times New Roman" w:hAnsi="Arial" w:cs="Arial"/>
          <w:kern w:val="0"/>
          <w:lang w:eastAsia="en-GB"/>
          <w14:ligatures w14:val="none"/>
        </w:rPr>
        <w:t xml:space="preserve">; Sutherland </w:t>
      </w:r>
      <w:r w:rsidR="00D104C1" w:rsidRPr="00715C4F">
        <w:rPr>
          <w:rFonts w:ascii="Arial" w:eastAsia="Times New Roman" w:hAnsi="Arial" w:cs="Arial"/>
          <w:kern w:val="0"/>
          <w:lang w:eastAsia="en-GB"/>
          <w14:ligatures w14:val="none"/>
        </w:rPr>
        <w:t>et al., 2021</w:t>
      </w:r>
      <w:r w:rsidRPr="00715C4F">
        <w:rPr>
          <w:rFonts w:ascii="Arial" w:eastAsia="Times New Roman" w:hAnsi="Arial" w:cs="Arial"/>
          <w:kern w:val="0"/>
          <w:lang w:eastAsia="en-GB"/>
          <w14:ligatures w14:val="none"/>
        </w:rPr>
        <w:t xml:space="preserve">). </w:t>
      </w:r>
    </w:p>
    <w:p w14:paraId="51825F90" w14:textId="77777777" w:rsidR="009F20CC" w:rsidRPr="00715C4F" w:rsidRDefault="009F20CC" w:rsidP="00715C4F">
      <w:pPr>
        <w:pStyle w:val="ListParagraph"/>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There were also significant ethnic differences in vitamin D status among those of British-Bangladeshi and African-Caribbean ethnicity (Smith et al., 2021; </w:t>
      </w:r>
      <w:proofErr w:type="spellStart"/>
      <w:r w:rsidRPr="00715C4F">
        <w:rPr>
          <w:rFonts w:ascii="Arial" w:eastAsia="Times New Roman" w:hAnsi="Arial" w:cs="Arial"/>
          <w:kern w:val="0"/>
          <w:lang w:eastAsia="en-GB"/>
          <w14:ligatures w14:val="none"/>
        </w:rPr>
        <w:t>Vearing</w:t>
      </w:r>
      <w:proofErr w:type="spellEnd"/>
      <w:r w:rsidRPr="00715C4F">
        <w:rPr>
          <w:rFonts w:ascii="Arial" w:eastAsia="Times New Roman" w:hAnsi="Arial" w:cs="Arial"/>
          <w:kern w:val="0"/>
          <w:lang w:eastAsia="en-GB"/>
          <w14:ligatures w14:val="none"/>
        </w:rPr>
        <w:t xml:space="preserve"> et al., 2021). </w:t>
      </w:r>
    </w:p>
    <w:p w14:paraId="1199071C" w14:textId="77777777" w:rsidR="009F20CC" w:rsidRPr="00715C4F" w:rsidRDefault="009F20CC" w:rsidP="00715C4F">
      <w:pPr>
        <w:pStyle w:val="ListParagraph"/>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There was variation in vitamin D status with socioeconomic deprivation (Sutherland et al., 2021; </w:t>
      </w:r>
      <w:proofErr w:type="spellStart"/>
      <w:r w:rsidRPr="00715C4F">
        <w:rPr>
          <w:rFonts w:ascii="Arial" w:eastAsia="Times New Roman" w:hAnsi="Arial" w:cs="Arial"/>
          <w:kern w:val="0"/>
          <w:lang w:eastAsia="en-GB"/>
          <w14:ligatures w14:val="none"/>
        </w:rPr>
        <w:t>Högler</w:t>
      </w:r>
      <w:proofErr w:type="spellEnd"/>
      <w:r w:rsidRPr="00715C4F">
        <w:rPr>
          <w:rFonts w:ascii="Arial" w:eastAsia="Times New Roman" w:hAnsi="Arial" w:cs="Arial"/>
          <w:kern w:val="0"/>
          <w:lang w:eastAsia="en-GB"/>
          <w14:ligatures w14:val="none"/>
        </w:rPr>
        <w:t xml:space="preserve"> et al., 2022). </w:t>
      </w:r>
    </w:p>
    <w:p w14:paraId="36B270F3" w14:textId="77777777" w:rsidR="009F20CC" w:rsidRPr="00715C4F" w:rsidRDefault="009F20CC" w:rsidP="00715C4F">
      <w:pPr>
        <w:pStyle w:val="ListParagraph"/>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Inflammation, lifestyle, occupational and environmental exposure was found to have an impact on vitamin D related outcomes (Santana et al., 2024; Phelan et al., 2024). </w:t>
      </w:r>
    </w:p>
    <w:p w14:paraId="76A3E175" w14:textId="2EDB1F34" w:rsidR="009F20CC" w:rsidRPr="00715C4F" w:rsidRDefault="009F20CC" w:rsidP="00715C4F">
      <w:pPr>
        <w:pStyle w:val="ListParagraph"/>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Knowledge and cultural perceptions were found to be factors that influenced preventive behaviour (Zheng et al., 2025; Belfield and </w:t>
      </w:r>
      <w:proofErr w:type="spellStart"/>
      <w:r w:rsidRPr="00715C4F">
        <w:rPr>
          <w:rFonts w:ascii="Arial" w:eastAsia="Times New Roman" w:hAnsi="Arial" w:cs="Arial"/>
          <w:kern w:val="0"/>
          <w:lang w:eastAsia="en-GB"/>
          <w14:ligatures w14:val="none"/>
        </w:rPr>
        <w:t>Llahana</w:t>
      </w:r>
      <w:proofErr w:type="spellEnd"/>
      <w:r w:rsidRPr="00715C4F">
        <w:rPr>
          <w:rFonts w:ascii="Arial" w:eastAsia="Times New Roman" w:hAnsi="Arial" w:cs="Arial"/>
          <w:kern w:val="0"/>
          <w:lang w:eastAsia="en-GB"/>
          <w14:ligatures w14:val="none"/>
        </w:rPr>
        <w:t xml:space="preserve">, 2024). </w:t>
      </w:r>
    </w:p>
    <w:p w14:paraId="080D34C7" w14:textId="0778C057" w:rsidR="009F20CC" w:rsidRPr="00715C4F" w:rsidRDefault="009F20CC" w:rsidP="00715C4F">
      <w:pPr>
        <w:pStyle w:val="ListParagraph"/>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However, there was not complete alig</w:t>
      </w:r>
      <w:r w:rsidR="00765FCB">
        <w:rPr>
          <w:rFonts w:ascii="Arial" w:eastAsia="Times New Roman" w:hAnsi="Arial" w:cs="Arial"/>
          <w:kern w:val="0"/>
          <w:lang w:eastAsia="en-GB"/>
          <w14:ligatures w14:val="none"/>
        </w:rPr>
        <w:t>nment of supplementation practis</w:t>
      </w:r>
      <w:r w:rsidRPr="00715C4F">
        <w:rPr>
          <w:rFonts w:ascii="Arial" w:eastAsia="Times New Roman" w:hAnsi="Arial" w:cs="Arial"/>
          <w:kern w:val="0"/>
          <w:lang w:eastAsia="en-GB"/>
          <w14:ligatures w14:val="none"/>
        </w:rPr>
        <w:t>es and awareness (</w:t>
      </w:r>
      <w:proofErr w:type="spellStart"/>
      <w:r w:rsidRPr="00715C4F">
        <w:rPr>
          <w:rFonts w:ascii="Arial" w:eastAsia="Times New Roman" w:hAnsi="Arial" w:cs="Arial"/>
          <w:kern w:val="0"/>
          <w:lang w:eastAsia="en-GB"/>
          <w14:ligatures w14:val="none"/>
        </w:rPr>
        <w:t>Tanna</w:t>
      </w:r>
      <w:proofErr w:type="spellEnd"/>
      <w:r w:rsidRPr="00715C4F">
        <w:rPr>
          <w:rFonts w:ascii="Arial" w:eastAsia="Times New Roman" w:hAnsi="Arial" w:cs="Arial"/>
          <w:kern w:val="0"/>
          <w:lang w:eastAsia="en-GB"/>
          <w14:ligatures w14:val="none"/>
        </w:rPr>
        <w:t xml:space="preserve"> et al., 2023). </w:t>
      </w:r>
    </w:p>
    <w:p w14:paraId="7DAE5FBA" w14:textId="77777777" w:rsidR="009F20CC" w:rsidRPr="00715C4F" w:rsidRDefault="009F20CC" w:rsidP="00715C4F">
      <w:pPr>
        <w:pStyle w:val="ListParagraph"/>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Ethnicity and broader social and environmental factors were indicated as having a relationship. </w:t>
      </w:r>
    </w:p>
    <w:p w14:paraId="259B4D92" w14:textId="62220991" w:rsidR="009F20CC" w:rsidRPr="00715C4F" w:rsidRDefault="009F20CC" w:rsidP="00715C4F">
      <w:pPr>
        <w:pStyle w:val="ListParagraph"/>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These were mainly observational, constraining causal interpretation. </w:t>
      </w:r>
    </w:p>
    <w:p w14:paraId="3CA43947" w14:textId="4D9F7254" w:rsidR="009F20CC" w:rsidRPr="00715C4F" w:rsidRDefault="009C2B52" w:rsidP="0022637B">
      <w:pPr>
        <w:pStyle w:val="Heading2"/>
        <w:rPr>
          <w:lang w:eastAsia="en-GB"/>
        </w:rPr>
      </w:pPr>
      <w:bookmarkStart w:id="83" w:name="_Toc241025929"/>
      <w:r w:rsidRPr="00715C4F">
        <w:rPr>
          <w:lang w:eastAsia="en-GB"/>
        </w:rPr>
        <w:lastRenderedPageBreak/>
        <w:t>4.14</w:t>
      </w:r>
      <w:r w:rsidR="009F20CC" w:rsidRPr="00715C4F">
        <w:rPr>
          <w:lang w:eastAsia="en-GB"/>
        </w:rPr>
        <w:t xml:space="preserve"> Chapter Summary</w:t>
      </w:r>
      <w:bookmarkEnd w:id="83"/>
    </w:p>
    <w:p w14:paraId="4F0689EB" w14:textId="5FFD5755" w:rsidR="003C780E" w:rsidRPr="00715C4F" w:rsidRDefault="009F20CC" w:rsidP="00715C4F">
      <w:pPr>
        <w:spacing w:after="100" w:afterAutospacing="1" w:line="360" w:lineRule="auto"/>
        <w:jc w:val="both"/>
        <w:rPr>
          <w:rFonts w:ascii="Arial" w:eastAsia="Times New Roman" w:hAnsi="Arial" w:cs="Arial"/>
          <w:kern w:val="0"/>
          <w:lang w:eastAsia="en-GB"/>
          <w14:ligatures w14:val="none"/>
        </w:rPr>
        <w:sectPr w:rsidR="003C780E" w:rsidRPr="00715C4F" w:rsidSect="000F32B8">
          <w:pgSz w:w="11906" w:h="16838"/>
          <w:pgMar w:top="1440" w:right="1800" w:bottom="1440" w:left="1800" w:header="708" w:footer="708" w:gutter="0"/>
          <w:cols w:space="708"/>
          <w:docGrid w:linePitch="360"/>
        </w:sectPr>
      </w:pPr>
      <w:r w:rsidRPr="00715C4F">
        <w:rPr>
          <w:rFonts w:ascii="Arial" w:eastAsia="Times New Roman" w:hAnsi="Arial" w:cs="Arial"/>
          <w:kern w:val="0"/>
          <w:lang w:eastAsia="en-GB"/>
          <w14:ligatures w14:val="none"/>
        </w:rPr>
        <w:t xml:space="preserve">The results of 15 studies included in the chapter were from cross sectional, qualitative, cohort and case-control studies. Appropriate JBI and CASP tools were used to evaluate the methodological quality of the studies, and five key themes appeared in the narrative synthesis. Ethnicity was a significant factor in vitamin D status, specifically for South Asians and African-Caribbean people, and social, lifestyle, environmental and cultural factors were also found to play a role. The </w:t>
      </w:r>
      <w:r w:rsidR="0019560C">
        <w:rPr>
          <w:rFonts w:ascii="Arial" w:eastAsia="Times New Roman" w:hAnsi="Arial" w:cs="Arial"/>
          <w:kern w:val="0"/>
          <w:lang w:eastAsia="en-GB"/>
          <w14:ligatures w14:val="none"/>
        </w:rPr>
        <w:t xml:space="preserve">critical discussion in Chapter </w:t>
      </w:r>
      <w:r w:rsidR="001063AE">
        <w:rPr>
          <w:rFonts w:ascii="Arial" w:eastAsia="Times New Roman" w:hAnsi="Arial" w:cs="Arial"/>
          <w:kern w:val="0"/>
          <w:lang w:eastAsia="en-GB"/>
          <w14:ligatures w14:val="none"/>
        </w:rPr>
        <w:t>F</w:t>
      </w:r>
      <w:r w:rsidR="0019560C">
        <w:rPr>
          <w:rFonts w:ascii="Arial" w:eastAsia="Times New Roman" w:hAnsi="Arial" w:cs="Arial"/>
          <w:kern w:val="0"/>
          <w:lang w:eastAsia="en-GB"/>
          <w14:ligatures w14:val="none"/>
        </w:rPr>
        <w:t>ive</w:t>
      </w:r>
      <w:r w:rsidRPr="00715C4F">
        <w:rPr>
          <w:rFonts w:ascii="Arial" w:eastAsia="Times New Roman" w:hAnsi="Arial" w:cs="Arial"/>
          <w:kern w:val="0"/>
          <w:lang w:eastAsia="en-GB"/>
          <w14:ligatures w14:val="none"/>
        </w:rPr>
        <w:t xml:space="preserve"> was based on these findings.</w:t>
      </w:r>
    </w:p>
    <w:p w14:paraId="7B3F97B9" w14:textId="01651B9A" w:rsidR="006E2A3A" w:rsidRPr="00715C4F" w:rsidRDefault="00092116" w:rsidP="00092116">
      <w:pPr>
        <w:pStyle w:val="Heading1"/>
      </w:pPr>
      <w:bookmarkStart w:id="84" w:name="_Toc241025930"/>
      <w:r w:rsidRPr="00715C4F">
        <w:lastRenderedPageBreak/>
        <w:t>Chapter Five: Discussion</w:t>
      </w:r>
      <w:bookmarkEnd w:id="84"/>
    </w:p>
    <w:p w14:paraId="759C045C" w14:textId="66490F87" w:rsidR="006E2A3A" w:rsidRPr="00715C4F" w:rsidRDefault="006E2A3A" w:rsidP="0022637B">
      <w:pPr>
        <w:pStyle w:val="Heading2"/>
        <w:rPr>
          <w:lang w:eastAsia="en-GB"/>
        </w:rPr>
      </w:pPr>
      <w:bookmarkStart w:id="85" w:name="_Toc241025931"/>
      <w:r w:rsidRPr="00715C4F">
        <w:rPr>
          <w:lang w:eastAsia="en-GB"/>
        </w:rPr>
        <w:t>5.1 Introduction</w:t>
      </w:r>
      <w:bookmarkEnd w:id="85"/>
      <w:r w:rsidRPr="00715C4F">
        <w:rPr>
          <w:lang w:eastAsia="en-GB"/>
        </w:rPr>
        <w:t xml:space="preserve"> </w:t>
      </w:r>
    </w:p>
    <w:p w14:paraId="01BAB2AC" w14:textId="19F8BA2D" w:rsidR="007964B6" w:rsidRPr="00715C4F" w:rsidRDefault="00325A8F" w:rsidP="00715C4F">
      <w:pPr>
        <w:spacing w:line="360" w:lineRule="auto"/>
        <w:jc w:val="both"/>
        <w:rPr>
          <w:rFonts w:ascii="Arial" w:eastAsia="Times New Roman" w:hAnsi="Arial" w:cs="Arial"/>
          <w:kern w:val="0"/>
          <w:lang w:eastAsia="en-GB"/>
          <w14:ligatures w14:val="none"/>
        </w:rPr>
      </w:pPr>
      <w:r w:rsidRPr="00715C4F">
        <w:rPr>
          <w:rFonts w:ascii="Arial" w:hAnsi="Arial" w:cs="Arial"/>
        </w:rPr>
        <w:t>This chapter critically examines and explains the resul</w:t>
      </w:r>
      <w:r w:rsidR="00654F7C">
        <w:rPr>
          <w:rFonts w:ascii="Arial" w:hAnsi="Arial" w:cs="Arial"/>
        </w:rPr>
        <w:t>ts from the systematic review</w:t>
      </w:r>
      <w:r w:rsidRPr="00715C4F">
        <w:rPr>
          <w:rFonts w:ascii="Arial" w:hAnsi="Arial" w:cs="Arial"/>
        </w:rPr>
        <w:t xml:space="preserve"> regard</w:t>
      </w:r>
      <w:r w:rsidR="00654F7C">
        <w:rPr>
          <w:rFonts w:ascii="Arial" w:hAnsi="Arial" w:cs="Arial"/>
        </w:rPr>
        <w:t>ing</w:t>
      </w:r>
      <w:r w:rsidRPr="00715C4F">
        <w:rPr>
          <w:rFonts w:ascii="Arial" w:hAnsi="Arial" w:cs="Arial"/>
        </w:rPr>
        <w:t xml:space="preserve"> the research question and research objectives. The discussion does not repeat the</w:t>
      </w:r>
      <w:r w:rsidR="00965DB9">
        <w:rPr>
          <w:rFonts w:ascii="Arial" w:hAnsi="Arial" w:cs="Arial"/>
        </w:rPr>
        <w:t xml:space="preserve"> results summaris</w:t>
      </w:r>
      <w:r w:rsidR="00D70773">
        <w:rPr>
          <w:rFonts w:ascii="Arial" w:hAnsi="Arial" w:cs="Arial"/>
        </w:rPr>
        <w:t xml:space="preserve">ed in Chapter </w:t>
      </w:r>
      <w:r w:rsidR="001063AE">
        <w:rPr>
          <w:rFonts w:ascii="Arial" w:hAnsi="Arial" w:cs="Arial"/>
        </w:rPr>
        <w:t>F</w:t>
      </w:r>
      <w:r w:rsidR="00D70773">
        <w:rPr>
          <w:rFonts w:ascii="Arial" w:hAnsi="Arial" w:cs="Arial"/>
        </w:rPr>
        <w:t>our</w:t>
      </w:r>
      <w:r w:rsidRPr="00715C4F">
        <w:rPr>
          <w:rFonts w:ascii="Arial" w:hAnsi="Arial" w:cs="Arial"/>
        </w:rPr>
        <w:t>, but rather reflects on the meaning of the results and how the results connect to the findings of prior studies. This is consistent with the principles of systematic review which involve interpreting findings within the context of the broader evidence base as well as the methodological features of the studies included in the review (Page et al., 2021; Higgins et al., 2024). Ethnic minority population specific factors influencing vitamin D status are highlighted, as ethnicity may be influenced by socioeconomic, behavioural and environmental factors (Darling et al., 2020; Sutherland et al., 2021; Lin et al., 2021). Five themes are discussed that are closely linked: ethnicity and vitamin D deficiency; socioeconomic determinants of vitamin D status; lifestyle, environmental and occupational factors; vitamin D knowledge, awareness and cultural perceptions; and vitamin D supplementation and prevention. The findings from the studies included are critically compared against the past research to establish areas of convergence, conflict and ambiguity. The methodological strengths and limitations of the evidence base are also taken into account before the results are compared to the research question and each research objective</w:t>
      </w:r>
      <w:r w:rsidR="007964B6" w:rsidRPr="00715C4F">
        <w:rPr>
          <w:rFonts w:ascii="Arial" w:hAnsi="Arial" w:cs="Arial"/>
        </w:rPr>
        <w:t>.</w:t>
      </w:r>
    </w:p>
    <w:p w14:paraId="525B10FC" w14:textId="77777777" w:rsidR="007964B6" w:rsidRPr="00715C4F" w:rsidRDefault="007964B6" w:rsidP="0022637B">
      <w:pPr>
        <w:pStyle w:val="Heading2"/>
        <w:rPr>
          <w:lang w:eastAsia="en-GB"/>
        </w:rPr>
      </w:pPr>
      <w:bookmarkStart w:id="86" w:name="_Toc241025932"/>
      <w:r w:rsidRPr="00715C4F">
        <w:rPr>
          <w:lang w:eastAsia="en-GB"/>
        </w:rPr>
        <w:t>5.2 Discussion of Main Findings</w:t>
      </w:r>
      <w:bookmarkEnd w:id="86"/>
    </w:p>
    <w:p w14:paraId="0AA769F1" w14:textId="062749F7" w:rsidR="007964B6" w:rsidRPr="00715C4F" w:rsidRDefault="007964B6" w:rsidP="00F051EC">
      <w:pPr>
        <w:pStyle w:val="Heading3"/>
        <w:rPr>
          <w:lang w:eastAsia="en-GB"/>
        </w:rPr>
      </w:pPr>
      <w:bookmarkStart w:id="87" w:name="_Toc241025933"/>
      <w:r w:rsidRPr="00715C4F">
        <w:rPr>
          <w:lang w:eastAsia="en-GB"/>
        </w:rPr>
        <w:t>5.2.1 Theme 1: Ethnicity and Vitamin D Deficiency</w:t>
      </w:r>
      <w:bookmarkEnd w:id="87"/>
    </w:p>
    <w:p w14:paraId="691BAE4F" w14:textId="45CBEA3A" w:rsidR="00811E49" w:rsidRPr="00715C4F" w:rsidRDefault="00811E49"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 most consistent result from this systematic review was the consistently sub-optimal vitamin D status seen within a number of ethnic minority groups in the UK, including South Asian and Black/African-Caribbean groups. Studies in large UK Biobank cohorts have found that vitamin D deficiency is much more common in Asian and Black compared to White individuals (Darling et al., 2020; Sutherland et al., 2021; Lin et al., 2021). In a similar study, </w:t>
      </w:r>
      <w:proofErr w:type="spellStart"/>
      <w:r w:rsidRPr="00715C4F">
        <w:rPr>
          <w:rFonts w:ascii="Arial" w:eastAsia="Times New Roman" w:hAnsi="Arial" w:cs="Arial"/>
          <w:kern w:val="0"/>
          <w:lang w:eastAsia="en-GB"/>
          <w14:ligatures w14:val="none"/>
        </w:rPr>
        <w:t>Vearing</w:t>
      </w:r>
      <w:proofErr w:type="spellEnd"/>
      <w:r w:rsidRPr="00715C4F">
        <w:rPr>
          <w:rFonts w:ascii="Arial" w:eastAsia="Times New Roman" w:hAnsi="Arial" w:cs="Arial"/>
          <w:kern w:val="0"/>
          <w:lang w:eastAsia="en-GB"/>
          <w14:ligatures w14:val="none"/>
        </w:rPr>
        <w:t xml:space="preserve"> </w:t>
      </w:r>
      <w:r w:rsidR="002F568D" w:rsidRPr="00715C4F">
        <w:rPr>
          <w:rFonts w:ascii="Arial" w:eastAsia="Times New Roman" w:hAnsi="Arial" w:cs="Arial"/>
          <w:kern w:val="0"/>
          <w:lang w:eastAsia="en-GB"/>
          <w14:ligatures w14:val="none"/>
        </w:rPr>
        <w:t>et al.,</w:t>
      </w:r>
      <w:r w:rsidRPr="00715C4F">
        <w:rPr>
          <w:rFonts w:ascii="Arial" w:eastAsia="Times New Roman" w:hAnsi="Arial" w:cs="Arial"/>
          <w:kern w:val="0"/>
          <w:lang w:eastAsia="en-GB"/>
          <w14:ligatures w14:val="none"/>
        </w:rPr>
        <w:t xml:space="preserve"> (2021) observed high levels of deficiency and insufficiency among African-Caribbean and African residents in Britain and Coley-Grant </w:t>
      </w:r>
      <w:r w:rsidR="003A4B6C" w:rsidRPr="00715C4F">
        <w:rPr>
          <w:rFonts w:ascii="Arial" w:eastAsia="Times New Roman" w:hAnsi="Arial" w:cs="Arial"/>
          <w:kern w:val="0"/>
          <w:lang w:eastAsia="en-GB"/>
          <w14:ligatures w14:val="none"/>
        </w:rPr>
        <w:t>et al.,</w:t>
      </w:r>
      <w:r w:rsidRPr="00715C4F">
        <w:rPr>
          <w:rFonts w:ascii="Arial" w:eastAsia="Times New Roman" w:hAnsi="Arial" w:cs="Arial"/>
          <w:kern w:val="0"/>
          <w:lang w:eastAsia="en-GB"/>
          <w14:ligatures w14:val="none"/>
        </w:rPr>
        <w:t xml:space="preserve"> (2021) reported a vitamin D deficiency in UK South Asians compared to White participants. This is consistent with the wider UK and international evidence that shows that populations with darker skin pigmentations are more likely to be vitamin D deficient in higher latitudes countries (</w:t>
      </w:r>
      <w:proofErr w:type="spellStart"/>
      <w:r w:rsidRPr="00715C4F">
        <w:rPr>
          <w:rFonts w:ascii="Arial" w:eastAsia="Times New Roman" w:hAnsi="Arial" w:cs="Arial"/>
          <w:kern w:val="0"/>
          <w:lang w:eastAsia="en-GB"/>
          <w14:ligatures w14:val="none"/>
        </w:rPr>
        <w:t>Hanel</w:t>
      </w:r>
      <w:proofErr w:type="spellEnd"/>
      <w:r w:rsidRPr="00715C4F">
        <w:rPr>
          <w:rFonts w:ascii="Arial" w:eastAsia="Times New Roman" w:hAnsi="Arial" w:cs="Arial"/>
          <w:kern w:val="0"/>
          <w:lang w:eastAsia="en-GB"/>
          <w14:ligatures w14:val="none"/>
        </w:rPr>
        <w:t xml:space="preserve"> and </w:t>
      </w:r>
      <w:proofErr w:type="spellStart"/>
      <w:r w:rsidRPr="00715C4F">
        <w:rPr>
          <w:rFonts w:ascii="Arial" w:eastAsia="Times New Roman" w:hAnsi="Arial" w:cs="Arial"/>
          <w:kern w:val="0"/>
          <w:lang w:eastAsia="en-GB"/>
          <w14:ligatures w14:val="none"/>
        </w:rPr>
        <w:t>Carlberg</w:t>
      </w:r>
      <w:proofErr w:type="spellEnd"/>
      <w:r w:rsidRPr="00715C4F">
        <w:rPr>
          <w:rFonts w:ascii="Arial" w:eastAsia="Times New Roman" w:hAnsi="Arial" w:cs="Arial"/>
          <w:kern w:val="0"/>
          <w:lang w:eastAsia="en-GB"/>
          <w14:ligatures w14:val="none"/>
        </w:rPr>
        <w:t>, 2020; Darling, 2020).</w:t>
      </w:r>
    </w:p>
    <w:p w14:paraId="65FB09C1" w14:textId="3D055074" w:rsidR="00811E49" w:rsidRPr="00715C4F" w:rsidRDefault="000E33DD" w:rsidP="00715C4F">
      <w:pPr>
        <w:spacing w:before="24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I</w:t>
      </w:r>
      <w:r w:rsidR="00811E49" w:rsidRPr="00715C4F">
        <w:rPr>
          <w:rFonts w:ascii="Arial" w:eastAsia="Times New Roman" w:hAnsi="Arial" w:cs="Arial"/>
          <w:kern w:val="0"/>
          <w:lang w:eastAsia="en-GB"/>
          <w14:ligatures w14:val="none"/>
        </w:rPr>
        <w:t>t would be a mistake to equate ethnicity with a discrete biotic variable. Besides the reduction in cutaneous vitamin D synthesis that occurs with similar ultraviolet B (UVB) exposure to skin, ethnicity is also linked to variation in exposure to the sun (sunbathers, clothing habits, etc.), dietary intake, work, socioeconomic status, and vitamin D supplementation (</w:t>
      </w:r>
      <w:proofErr w:type="spellStart"/>
      <w:r w:rsidR="00811E49" w:rsidRPr="00715C4F">
        <w:rPr>
          <w:rFonts w:ascii="Arial" w:eastAsia="Times New Roman" w:hAnsi="Arial" w:cs="Arial"/>
          <w:kern w:val="0"/>
          <w:lang w:eastAsia="en-GB"/>
          <w14:ligatures w14:val="none"/>
        </w:rPr>
        <w:t>Ospina</w:t>
      </w:r>
      <w:proofErr w:type="spellEnd"/>
      <w:r w:rsidR="00811E49" w:rsidRPr="00715C4F">
        <w:rPr>
          <w:rFonts w:ascii="Arial" w:eastAsia="Times New Roman" w:hAnsi="Arial" w:cs="Arial"/>
          <w:kern w:val="0"/>
          <w:lang w:eastAsia="en-GB"/>
          <w14:ligatures w14:val="none"/>
        </w:rPr>
        <w:t xml:space="preserve"> et al., 2024; </w:t>
      </w:r>
      <w:proofErr w:type="spellStart"/>
      <w:r w:rsidR="00811E49" w:rsidRPr="00715C4F">
        <w:rPr>
          <w:rFonts w:ascii="Arial" w:eastAsia="Times New Roman" w:hAnsi="Arial" w:cs="Arial"/>
          <w:kern w:val="0"/>
          <w:lang w:eastAsia="en-GB"/>
          <w14:ligatures w14:val="none"/>
        </w:rPr>
        <w:t>Hanel</w:t>
      </w:r>
      <w:proofErr w:type="spellEnd"/>
      <w:r w:rsidR="00811E49" w:rsidRPr="00715C4F">
        <w:rPr>
          <w:rFonts w:ascii="Arial" w:eastAsia="Times New Roman" w:hAnsi="Arial" w:cs="Arial"/>
          <w:kern w:val="0"/>
          <w:lang w:eastAsia="en-GB"/>
          <w14:ligatures w14:val="none"/>
        </w:rPr>
        <w:t xml:space="preserve"> and </w:t>
      </w:r>
      <w:proofErr w:type="spellStart"/>
      <w:r w:rsidR="00811E49" w:rsidRPr="00715C4F">
        <w:rPr>
          <w:rFonts w:ascii="Arial" w:eastAsia="Times New Roman" w:hAnsi="Arial" w:cs="Arial"/>
          <w:kern w:val="0"/>
          <w:lang w:eastAsia="en-GB"/>
          <w14:ligatures w14:val="none"/>
        </w:rPr>
        <w:t>Carlberg</w:t>
      </w:r>
      <w:proofErr w:type="spellEnd"/>
      <w:r w:rsidR="00811E49" w:rsidRPr="00715C4F">
        <w:rPr>
          <w:rFonts w:ascii="Arial" w:eastAsia="Times New Roman" w:hAnsi="Arial" w:cs="Arial"/>
          <w:kern w:val="0"/>
          <w:lang w:eastAsia="en-GB"/>
          <w14:ligatures w14:val="none"/>
        </w:rPr>
        <w:t xml:space="preserve">, 2020). This more multidimensional interpretation of the findings of Sutherland </w:t>
      </w:r>
      <w:r w:rsidR="0009334B" w:rsidRPr="00715C4F">
        <w:rPr>
          <w:rFonts w:ascii="Arial" w:eastAsia="Times New Roman" w:hAnsi="Arial" w:cs="Arial"/>
          <w:kern w:val="0"/>
          <w:lang w:eastAsia="en-GB"/>
          <w14:ligatures w14:val="none"/>
        </w:rPr>
        <w:t>et al.,</w:t>
      </w:r>
      <w:r w:rsidR="00811E49" w:rsidRPr="00715C4F">
        <w:rPr>
          <w:rFonts w:ascii="Arial" w:eastAsia="Times New Roman" w:hAnsi="Arial" w:cs="Arial"/>
          <w:kern w:val="0"/>
          <w:lang w:eastAsia="en-GB"/>
          <w14:ligatures w14:val="none"/>
        </w:rPr>
        <w:t xml:space="preserve"> (2021) and Lin </w:t>
      </w:r>
      <w:r w:rsidR="0009334B" w:rsidRPr="00715C4F">
        <w:rPr>
          <w:rFonts w:ascii="Arial" w:eastAsia="Times New Roman" w:hAnsi="Arial" w:cs="Arial"/>
          <w:kern w:val="0"/>
          <w:lang w:eastAsia="en-GB"/>
          <w14:ligatures w14:val="none"/>
        </w:rPr>
        <w:t>et al., (</w:t>
      </w:r>
      <w:r w:rsidR="00811E49" w:rsidRPr="00715C4F">
        <w:rPr>
          <w:rFonts w:ascii="Arial" w:eastAsia="Times New Roman" w:hAnsi="Arial" w:cs="Arial"/>
          <w:kern w:val="0"/>
          <w:lang w:eastAsia="en-GB"/>
          <w14:ligatures w14:val="none"/>
        </w:rPr>
        <w:t xml:space="preserve">2021) is justified, as vitamin D deficiency was also related to season and deprivation, body composition, lifestyle and supplementation. </w:t>
      </w:r>
    </w:p>
    <w:p w14:paraId="6AB21105" w14:textId="1008EAF1" w:rsidR="00811E49" w:rsidRPr="00715C4F" w:rsidRDefault="00811E49" w:rsidP="00715C4F">
      <w:pPr>
        <w:spacing w:before="24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This is especially highlighted in Smith </w:t>
      </w:r>
      <w:r w:rsidR="00E06C6C" w:rsidRPr="00715C4F">
        <w:rPr>
          <w:rFonts w:ascii="Arial" w:eastAsia="Times New Roman" w:hAnsi="Arial" w:cs="Arial"/>
          <w:kern w:val="0"/>
          <w:lang w:eastAsia="en-GB"/>
          <w14:ligatures w14:val="none"/>
        </w:rPr>
        <w:t>et al., (</w:t>
      </w:r>
      <w:r w:rsidRPr="00715C4F">
        <w:rPr>
          <w:rFonts w:ascii="Arial" w:eastAsia="Times New Roman" w:hAnsi="Arial" w:cs="Arial"/>
          <w:kern w:val="0"/>
          <w:lang w:eastAsia="en-GB"/>
          <w14:ligatures w14:val="none"/>
        </w:rPr>
        <w:t>2021), who compared British-Bangladeshi migrants with populations in Bangladesh and showed that there could be important consequences of a mismatch between ancestral adaptation and the environment in the UK. This lends support to the hypothesis that migration to a higher latitude environment may change exposure conditions and hence vitamin D status. But the data is still largely observational. Most of the studies included were cross-sectional, and cannot determine temporal causality. Larger samples, especially from UK Biobank, can enhance the statistical reliability but cannot rule out selection bias or residual confounding. However, the evidence presented is strong to conclude that there is evidence of ethnic inequalities in vitamin D status but not to conclude that these inequalities are solely due to ethnicity.</w:t>
      </w:r>
    </w:p>
    <w:p w14:paraId="4C43D9D6" w14:textId="77777777" w:rsidR="00811E49" w:rsidRPr="00715C4F" w:rsidRDefault="00811E49" w:rsidP="00F051EC">
      <w:pPr>
        <w:pStyle w:val="Heading3"/>
        <w:rPr>
          <w:lang w:eastAsia="en-GB"/>
        </w:rPr>
      </w:pPr>
      <w:bookmarkStart w:id="88" w:name="_Toc241025934"/>
      <w:r w:rsidRPr="00715C4F">
        <w:rPr>
          <w:lang w:eastAsia="en-GB"/>
        </w:rPr>
        <w:t>5.2.2 Theme 2: Socioeconomic Determinants</w:t>
      </w:r>
      <w:bookmarkEnd w:id="88"/>
    </w:p>
    <w:p w14:paraId="6208CB98" w14:textId="0F09B0C9" w:rsidR="00811E49" w:rsidRPr="00715C4F" w:rsidRDefault="00811E49"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 review also showed that social and economic factors can be associated with disparities in vitamin D status. Sutherland </w:t>
      </w:r>
      <w:r w:rsidR="00AB55F5" w:rsidRPr="00715C4F">
        <w:rPr>
          <w:rFonts w:ascii="Arial" w:eastAsia="Times New Roman" w:hAnsi="Arial" w:cs="Arial"/>
          <w:kern w:val="0"/>
          <w:lang w:eastAsia="en-GB"/>
          <w14:ligatures w14:val="none"/>
        </w:rPr>
        <w:t xml:space="preserve">et al., </w:t>
      </w:r>
      <w:r w:rsidRPr="00715C4F">
        <w:rPr>
          <w:rFonts w:ascii="Arial" w:eastAsia="Times New Roman" w:hAnsi="Arial" w:cs="Arial"/>
          <w:kern w:val="0"/>
          <w:lang w:eastAsia="en-GB"/>
          <w14:ligatures w14:val="none"/>
        </w:rPr>
        <w:t xml:space="preserve">(2021) found an association between socioeconomic deprivation and vitamin D deficiency, and </w:t>
      </w:r>
      <w:proofErr w:type="spellStart"/>
      <w:r w:rsidRPr="00715C4F">
        <w:rPr>
          <w:rFonts w:ascii="Arial" w:eastAsia="Times New Roman" w:hAnsi="Arial" w:cs="Arial"/>
          <w:kern w:val="0"/>
          <w:lang w:eastAsia="en-GB"/>
          <w14:ligatures w14:val="none"/>
        </w:rPr>
        <w:t>Högler</w:t>
      </w:r>
      <w:proofErr w:type="spellEnd"/>
      <w:r w:rsidRPr="00715C4F">
        <w:rPr>
          <w:rFonts w:ascii="Arial" w:eastAsia="Times New Roman" w:hAnsi="Arial" w:cs="Arial"/>
          <w:kern w:val="0"/>
          <w:lang w:eastAsia="en-GB"/>
          <w14:ligatures w14:val="none"/>
        </w:rPr>
        <w:t xml:space="preserve"> </w:t>
      </w:r>
      <w:r w:rsidR="00AB55F5" w:rsidRPr="00715C4F">
        <w:rPr>
          <w:rFonts w:ascii="Arial" w:eastAsia="Times New Roman" w:hAnsi="Arial" w:cs="Arial"/>
          <w:kern w:val="0"/>
          <w:lang w:eastAsia="en-GB"/>
          <w14:ligatures w14:val="none"/>
        </w:rPr>
        <w:t xml:space="preserve">et al., </w:t>
      </w:r>
      <w:r w:rsidRPr="00715C4F">
        <w:rPr>
          <w:rFonts w:ascii="Arial" w:eastAsia="Times New Roman" w:hAnsi="Arial" w:cs="Arial"/>
          <w:kern w:val="0"/>
          <w:lang w:eastAsia="en-GB"/>
          <w14:ligatures w14:val="none"/>
        </w:rPr>
        <w:t xml:space="preserve">(2022) found relationships between socioeconomic deprivation, living environment and </w:t>
      </w:r>
      <w:proofErr w:type="spellStart"/>
      <w:r w:rsidRPr="00715C4F">
        <w:rPr>
          <w:rFonts w:ascii="Arial" w:eastAsia="Times New Roman" w:hAnsi="Arial" w:cs="Arial"/>
          <w:kern w:val="0"/>
          <w:lang w:eastAsia="en-GB"/>
          <w14:ligatures w14:val="none"/>
        </w:rPr>
        <w:t>newborn</w:t>
      </w:r>
      <w:proofErr w:type="spellEnd"/>
      <w:r w:rsidRPr="00715C4F">
        <w:rPr>
          <w:rFonts w:ascii="Arial" w:eastAsia="Times New Roman" w:hAnsi="Arial" w:cs="Arial"/>
          <w:kern w:val="0"/>
          <w:lang w:eastAsia="en-GB"/>
          <w14:ligatures w14:val="none"/>
        </w:rPr>
        <w:t xml:space="preserve"> vitamin D concentrations. The results are in line with the general message that health inequalities may be manifested along several material and behavioural pathways, and not just income.</w:t>
      </w:r>
    </w:p>
    <w:p w14:paraId="067772CB" w14:textId="77777777" w:rsidR="00811E49" w:rsidRPr="00715C4F" w:rsidRDefault="00811E49" w:rsidP="00715C4F">
      <w:pPr>
        <w:spacing w:before="24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Importantly, the socioeconomic deprivation must not be viewed as a direct physiological cause of vitamin D deficiency. Rather, lower socioeconomic status may limit access to nutritious foods, supplements, environmental conditions conducive to outdoor activity, and prevention services, in addition to impacting housing and job conditions. This interpretation is supported by the findings of Phelan et al (2024) who have found that there were differences in vitamin D levels between occupational groups and between demographics of healthcare workers in the UK. Thus, there is a chain of interrelated exposures linking socioeconomic factors.</w:t>
      </w:r>
    </w:p>
    <w:p w14:paraId="741CA110" w14:textId="1D89EFC3" w:rsidR="007964B6" w:rsidRPr="00715C4F" w:rsidRDefault="00811E49" w:rsidP="00715C4F">
      <w:pPr>
        <w:spacing w:before="24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However, care should be taken in interpreting the evidence. There was no uniformity in measuring the socioeconomic variables across the studies and these studies were observational in nature, which restricted the conclusions about the causal relationships. The results thus indicate that socioeconomic disadvantage is a key contextual factor but not a single cause of ethnic differences in vitamin D status</w:t>
      </w:r>
      <w:r w:rsidR="007964B6" w:rsidRPr="00715C4F">
        <w:rPr>
          <w:rFonts w:ascii="Arial" w:eastAsia="Times New Roman" w:hAnsi="Arial" w:cs="Arial"/>
          <w:kern w:val="0"/>
          <w:lang w:eastAsia="en-GB"/>
          <w14:ligatures w14:val="none"/>
        </w:rPr>
        <w:t>.</w:t>
      </w:r>
    </w:p>
    <w:p w14:paraId="095BCCFD" w14:textId="77777777" w:rsidR="007964B6" w:rsidRPr="00715C4F" w:rsidRDefault="007964B6" w:rsidP="00F051EC">
      <w:pPr>
        <w:pStyle w:val="Heading3"/>
        <w:rPr>
          <w:lang w:eastAsia="en-GB"/>
        </w:rPr>
      </w:pPr>
      <w:bookmarkStart w:id="89" w:name="_Toc241025935"/>
      <w:r w:rsidRPr="00715C4F">
        <w:rPr>
          <w:lang w:eastAsia="en-GB"/>
        </w:rPr>
        <w:t>5.2.3 Theme 3: Lifestyle, Environmental and Occupational Factors</w:t>
      </w:r>
      <w:bookmarkEnd w:id="89"/>
    </w:p>
    <w:p w14:paraId="0BE36CA3" w14:textId="77777777" w:rsidR="0088264A" w:rsidRPr="00715C4F" w:rsidRDefault="0088264A"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Further differences in vitamin D status were explained by lifestyle and environmental factors. Dietary intake, supplementation, and occupational exposure were consistently linked to vitamin D status in the evidence included, as was season and sunlight exposure (Darling et al., 2020; Sutherland et al., 2021; </w:t>
      </w:r>
      <w:proofErr w:type="spellStart"/>
      <w:r w:rsidRPr="00715C4F">
        <w:rPr>
          <w:rFonts w:ascii="Arial" w:eastAsia="Times New Roman" w:hAnsi="Arial" w:cs="Arial"/>
          <w:kern w:val="0"/>
          <w:lang w:eastAsia="en-GB"/>
          <w14:ligatures w14:val="none"/>
        </w:rPr>
        <w:t>Vearing</w:t>
      </w:r>
      <w:proofErr w:type="spellEnd"/>
      <w:r w:rsidRPr="00715C4F">
        <w:rPr>
          <w:rFonts w:ascii="Arial" w:eastAsia="Times New Roman" w:hAnsi="Arial" w:cs="Arial"/>
          <w:kern w:val="0"/>
          <w:lang w:eastAsia="en-GB"/>
          <w14:ligatures w14:val="none"/>
        </w:rPr>
        <w:t xml:space="preserve"> et al., 2021). This is biologically plausible because the production of vitamin D by the skin continues to be a significant source, and dietary and supplement sources can be used to make up for inadequate environmental production.</w:t>
      </w:r>
    </w:p>
    <w:p w14:paraId="2ECB6E3A" w14:textId="75688634" w:rsidR="0088264A" w:rsidRPr="00715C4F" w:rsidRDefault="0088264A" w:rsidP="00715C4F">
      <w:pPr>
        <w:spacing w:before="24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 longitudinal design of Santana </w:t>
      </w:r>
      <w:r w:rsidR="00AF7148" w:rsidRPr="00715C4F">
        <w:rPr>
          <w:rFonts w:ascii="Arial" w:eastAsia="Times New Roman" w:hAnsi="Arial" w:cs="Arial"/>
          <w:kern w:val="0"/>
          <w:lang w:eastAsia="en-GB"/>
          <w14:ligatures w14:val="none"/>
        </w:rPr>
        <w:t>et al.,</w:t>
      </w:r>
      <w:r w:rsidRPr="00715C4F">
        <w:rPr>
          <w:rFonts w:ascii="Arial" w:eastAsia="Times New Roman" w:hAnsi="Arial" w:cs="Arial"/>
          <w:kern w:val="0"/>
          <w:lang w:eastAsia="en-GB"/>
          <w14:ligatures w14:val="none"/>
        </w:rPr>
        <w:t xml:space="preserve"> (2024) study was useful in providing evidence for the seasonal variation in vitamin D and residential greenness, the exposure to the ultraviolet radiation, and lifestyle parameters. The results indicate that environmental exposures can be a factor in changes in vitamin D status over time. The association between environmental exposure and vitamin D production is not consistent among different populations, however. Sutherland </w:t>
      </w:r>
      <w:r w:rsidR="003F6170" w:rsidRPr="00715C4F">
        <w:rPr>
          <w:rFonts w:ascii="Arial" w:eastAsia="Times New Roman" w:hAnsi="Arial" w:cs="Arial"/>
          <w:kern w:val="0"/>
          <w:lang w:eastAsia="en-GB"/>
          <w14:ligatures w14:val="none"/>
        </w:rPr>
        <w:t>et al.,</w:t>
      </w:r>
      <w:r w:rsidR="00A235EE" w:rsidRPr="00715C4F">
        <w:rPr>
          <w:rFonts w:ascii="Arial" w:eastAsia="Times New Roman" w:hAnsi="Arial" w:cs="Arial"/>
          <w:kern w:val="0"/>
          <w:lang w:eastAsia="en-GB"/>
          <w14:ligatures w14:val="none"/>
        </w:rPr>
        <w:t xml:space="preserve"> </w:t>
      </w:r>
      <w:r w:rsidRPr="00715C4F">
        <w:rPr>
          <w:rFonts w:ascii="Arial" w:eastAsia="Times New Roman" w:hAnsi="Arial" w:cs="Arial"/>
          <w:kern w:val="0"/>
          <w:lang w:eastAsia="en-GB"/>
          <w14:ligatures w14:val="none"/>
        </w:rPr>
        <w:t>(2021) showed that outdoor time in the summer was less effective for Black participants than for White Europeans, reinforcing the need for the skin colo</w:t>
      </w:r>
      <w:r w:rsidR="00746D10">
        <w:rPr>
          <w:rFonts w:ascii="Arial" w:eastAsia="Times New Roman" w:hAnsi="Arial" w:cs="Arial"/>
          <w:kern w:val="0"/>
          <w:lang w:eastAsia="en-GB"/>
          <w14:ligatures w14:val="none"/>
        </w:rPr>
        <w:t>u</w:t>
      </w:r>
      <w:r w:rsidRPr="00715C4F">
        <w:rPr>
          <w:rFonts w:ascii="Arial" w:eastAsia="Times New Roman" w:hAnsi="Arial" w:cs="Arial"/>
          <w:kern w:val="0"/>
          <w:lang w:eastAsia="en-GB"/>
          <w14:ligatures w14:val="none"/>
        </w:rPr>
        <w:t>r of individuals to be taken into consideration when assessing sunlight exposure.</w:t>
      </w:r>
    </w:p>
    <w:p w14:paraId="3F4218F5" w14:textId="555FD1F7" w:rsidR="007964B6" w:rsidRPr="00715C4F" w:rsidRDefault="0088264A" w:rsidP="00715C4F">
      <w:pPr>
        <w:spacing w:before="24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Dietary behaviour also seems to be relevant. Oily fish consumption was a protective factor in several studies and in one study supplementation was noted to reduce the risk of deficiency (Darling et al., 2020; Sutherland et al., 2021; </w:t>
      </w:r>
      <w:proofErr w:type="spellStart"/>
      <w:r w:rsidRPr="00715C4F">
        <w:rPr>
          <w:rFonts w:ascii="Arial" w:eastAsia="Times New Roman" w:hAnsi="Arial" w:cs="Arial"/>
          <w:kern w:val="0"/>
          <w:lang w:eastAsia="en-GB"/>
          <w14:ligatures w14:val="none"/>
        </w:rPr>
        <w:t>Shraim</w:t>
      </w:r>
      <w:proofErr w:type="spellEnd"/>
      <w:r w:rsidRPr="00715C4F">
        <w:rPr>
          <w:rFonts w:ascii="Arial" w:eastAsia="Times New Roman" w:hAnsi="Arial" w:cs="Arial"/>
          <w:kern w:val="0"/>
          <w:lang w:eastAsia="en-GB"/>
          <w14:ligatures w14:val="none"/>
        </w:rPr>
        <w:t xml:space="preserve"> et al., 2025). Similarly, for the studies to be found in occupational research, e.g. Phelan </w:t>
      </w:r>
      <w:r w:rsidR="00E718BB" w:rsidRPr="00715C4F">
        <w:rPr>
          <w:rFonts w:ascii="Arial" w:eastAsia="Times New Roman" w:hAnsi="Arial" w:cs="Arial"/>
          <w:kern w:val="0"/>
          <w:lang w:eastAsia="en-GB"/>
          <w14:ligatures w14:val="none"/>
        </w:rPr>
        <w:t>et al.,</w:t>
      </w:r>
      <w:r w:rsidR="00A235EE" w:rsidRPr="00715C4F">
        <w:rPr>
          <w:rFonts w:ascii="Arial" w:eastAsia="Times New Roman" w:hAnsi="Arial" w:cs="Arial"/>
          <w:kern w:val="0"/>
          <w:lang w:eastAsia="en-GB"/>
          <w14:ligatures w14:val="none"/>
        </w:rPr>
        <w:t xml:space="preserve"> </w:t>
      </w:r>
      <w:r w:rsidRPr="00715C4F">
        <w:rPr>
          <w:rFonts w:ascii="Arial" w:eastAsia="Times New Roman" w:hAnsi="Arial" w:cs="Arial"/>
          <w:kern w:val="0"/>
          <w:lang w:eastAsia="en-GB"/>
          <w14:ligatures w14:val="none"/>
        </w:rPr>
        <w:t>(2024), the relev</w:t>
      </w:r>
      <w:r w:rsidR="00AA6585">
        <w:rPr>
          <w:rFonts w:ascii="Arial" w:eastAsia="Times New Roman" w:hAnsi="Arial" w:cs="Arial"/>
          <w:kern w:val="0"/>
          <w:lang w:eastAsia="en-GB"/>
          <w14:ligatures w14:val="none"/>
        </w:rPr>
        <w:t>ance of indoor work</w:t>
      </w:r>
      <w:r w:rsidRPr="00715C4F">
        <w:rPr>
          <w:rFonts w:ascii="Arial" w:eastAsia="Times New Roman" w:hAnsi="Arial" w:cs="Arial"/>
          <w:kern w:val="0"/>
          <w:lang w:eastAsia="en-GB"/>
          <w14:ligatures w14:val="none"/>
        </w:rPr>
        <w:t>, but individual differences in outdoor work are not fully included. In summary, the data shows that vitamin D status is the product of biological capacit</w:t>
      </w:r>
      <w:r w:rsidR="00AA6585">
        <w:rPr>
          <w:rFonts w:ascii="Arial" w:eastAsia="Times New Roman" w:hAnsi="Arial" w:cs="Arial"/>
          <w:kern w:val="0"/>
          <w:lang w:eastAsia="en-GB"/>
          <w14:ligatures w14:val="none"/>
        </w:rPr>
        <w:t>y, environmental exposure and</w:t>
      </w:r>
      <w:r w:rsidRPr="00715C4F">
        <w:rPr>
          <w:rFonts w:ascii="Arial" w:eastAsia="Times New Roman" w:hAnsi="Arial" w:cs="Arial"/>
          <w:kern w:val="0"/>
          <w:lang w:eastAsia="en-GB"/>
          <w14:ligatures w14:val="none"/>
        </w:rPr>
        <w:t xml:space="preserve"> behaviours rather than mediated by any one of </w:t>
      </w:r>
      <w:r w:rsidR="00811E49" w:rsidRPr="00715C4F">
        <w:rPr>
          <w:rFonts w:ascii="Arial" w:eastAsia="Times New Roman" w:hAnsi="Arial" w:cs="Arial"/>
          <w:kern w:val="0"/>
          <w:lang w:eastAsia="en-GB"/>
          <w14:ligatures w14:val="none"/>
        </w:rPr>
        <w:t>these individual factors</w:t>
      </w:r>
      <w:r w:rsidR="007964B6" w:rsidRPr="00715C4F">
        <w:rPr>
          <w:rFonts w:ascii="Arial" w:eastAsia="Times New Roman" w:hAnsi="Arial" w:cs="Arial"/>
          <w:kern w:val="0"/>
          <w:lang w:eastAsia="en-GB"/>
          <w14:ligatures w14:val="none"/>
        </w:rPr>
        <w:t>.</w:t>
      </w:r>
    </w:p>
    <w:p w14:paraId="65C43AAE" w14:textId="77777777" w:rsidR="007964B6" w:rsidRPr="00715C4F" w:rsidRDefault="007964B6" w:rsidP="00F051EC">
      <w:pPr>
        <w:pStyle w:val="Heading3"/>
        <w:rPr>
          <w:lang w:eastAsia="en-GB"/>
        </w:rPr>
      </w:pPr>
      <w:bookmarkStart w:id="90" w:name="_Toc241025936"/>
      <w:r w:rsidRPr="00715C4F">
        <w:rPr>
          <w:lang w:eastAsia="en-GB"/>
        </w:rPr>
        <w:t>5.2.4 Theme 4: Knowledge, Awareness and Cultural Perceptions</w:t>
      </w:r>
      <w:bookmarkEnd w:id="90"/>
    </w:p>
    <w:p w14:paraId="6B29828D" w14:textId="7D20D96C" w:rsidR="009B6D64" w:rsidRPr="00715C4F" w:rsidRDefault="009B6D64"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 qualitative evidence was therefore a useful addition to provide a behavioural dimension that was not as apparent in the quantitative studies. Zheng </w:t>
      </w:r>
      <w:r w:rsidR="005722BD" w:rsidRPr="00715C4F">
        <w:rPr>
          <w:rFonts w:ascii="Arial" w:eastAsia="Times New Roman" w:hAnsi="Arial" w:cs="Arial"/>
          <w:kern w:val="0"/>
          <w:lang w:eastAsia="en-GB"/>
          <w14:ligatures w14:val="none"/>
        </w:rPr>
        <w:t>et al.</w:t>
      </w:r>
      <w:r w:rsidR="00ED124A" w:rsidRPr="00715C4F">
        <w:rPr>
          <w:rFonts w:ascii="Arial" w:eastAsia="Times New Roman" w:hAnsi="Arial" w:cs="Arial"/>
          <w:kern w:val="0"/>
          <w:lang w:eastAsia="en-GB"/>
          <w14:ligatures w14:val="none"/>
        </w:rPr>
        <w:t>, (</w:t>
      </w:r>
      <w:r w:rsidRPr="00715C4F">
        <w:rPr>
          <w:rFonts w:ascii="Arial" w:eastAsia="Times New Roman" w:hAnsi="Arial" w:cs="Arial"/>
          <w:kern w:val="0"/>
          <w:lang w:eastAsia="en-GB"/>
          <w14:ligatures w14:val="none"/>
        </w:rPr>
        <w:t xml:space="preserve">2025) and Belfield and </w:t>
      </w:r>
      <w:proofErr w:type="spellStart"/>
      <w:r w:rsidRPr="00715C4F">
        <w:rPr>
          <w:rFonts w:ascii="Arial" w:eastAsia="Times New Roman" w:hAnsi="Arial" w:cs="Arial"/>
          <w:kern w:val="0"/>
          <w:lang w:eastAsia="en-GB"/>
          <w14:ligatures w14:val="none"/>
        </w:rPr>
        <w:t>Llahana</w:t>
      </w:r>
      <w:proofErr w:type="spellEnd"/>
      <w:r w:rsidRPr="00715C4F">
        <w:rPr>
          <w:rFonts w:ascii="Arial" w:eastAsia="Times New Roman" w:hAnsi="Arial" w:cs="Arial"/>
          <w:kern w:val="0"/>
          <w:lang w:eastAsia="en-GB"/>
          <w14:ligatures w14:val="none"/>
        </w:rPr>
        <w:t xml:space="preserve"> (2024) demonstrated that there were differences in </w:t>
      </w:r>
      <w:r w:rsidRPr="00715C4F">
        <w:rPr>
          <w:rFonts w:ascii="Arial" w:eastAsia="Times New Roman" w:hAnsi="Arial" w:cs="Arial"/>
          <w:kern w:val="0"/>
          <w:lang w:eastAsia="en-GB"/>
          <w14:ligatures w14:val="none"/>
        </w:rPr>
        <w:lastRenderedPageBreak/>
        <w:t xml:space="preserve">knowledge and attitudes of vitamin D deficiency, supplementation and dietary habits among those of minority ethnic communities. In the UK, </w:t>
      </w:r>
      <w:proofErr w:type="spellStart"/>
      <w:r w:rsidRPr="00715C4F">
        <w:rPr>
          <w:rFonts w:ascii="Arial" w:eastAsia="Times New Roman" w:hAnsi="Arial" w:cs="Arial"/>
          <w:kern w:val="0"/>
          <w:lang w:eastAsia="en-GB"/>
          <w14:ligatures w14:val="none"/>
        </w:rPr>
        <w:t>Tanna</w:t>
      </w:r>
      <w:proofErr w:type="spellEnd"/>
      <w:r w:rsidRPr="00715C4F">
        <w:rPr>
          <w:rFonts w:ascii="Arial" w:eastAsia="Times New Roman" w:hAnsi="Arial" w:cs="Arial"/>
          <w:kern w:val="0"/>
          <w:lang w:eastAsia="en-GB"/>
          <w14:ligatures w14:val="none"/>
        </w:rPr>
        <w:t xml:space="preserve"> </w:t>
      </w:r>
      <w:r w:rsidR="00ED124A" w:rsidRPr="00715C4F">
        <w:rPr>
          <w:rFonts w:ascii="Arial" w:eastAsia="Times New Roman" w:hAnsi="Arial" w:cs="Arial"/>
          <w:kern w:val="0"/>
          <w:lang w:eastAsia="en-GB"/>
          <w14:ligatures w14:val="none"/>
        </w:rPr>
        <w:t>et al., (</w:t>
      </w:r>
      <w:r w:rsidRPr="00715C4F">
        <w:rPr>
          <w:rFonts w:ascii="Arial" w:eastAsia="Times New Roman" w:hAnsi="Arial" w:cs="Arial"/>
          <w:kern w:val="0"/>
          <w:lang w:eastAsia="en-GB"/>
          <w14:ligatures w14:val="none"/>
        </w:rPr>
        <w:t>2023) also showed that vitamin D awareness was fairly high among adults and healthcare professionals and NHSC were viewed as trustworthy sources of information.</w:t>
      </w:r>
    </w:p>
    <w:p w14:paraId="669C317E" w14:textId="7568DE3D" w:rsidR="007964B6" w:rsidRPr="00715C4F" w:rsidRDefault="005A08A2" w:rsidP="00715C4F">
      <w:pPr>
        <w:spacing w:before="24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J</w:t>
      </w:r>
      <w:r w:rsidR="009B6D64" w:rsidRPr="00715C4F">
        <w:rPr>
          <w:rFonts w:ascii="Arial" w:eastAsia="Times New Roman" w:hAnsi="Arial" w:cs="Arial"/>
          <w:kern w:val="0"/>
          <w:lang w:eastAsia="en-GB"/>
          <w14:ligatures w14:val="none"/>
        </w:rPr>
        <w:t xml:space="preserve">ust because you have knowledge doesn't mean you will take preventive action. The result is important because purely information-based public-health interventions might be ineffective if barriers at the structural and cultural level do not get addressed. Zheng </w:t>
      </w:r>
      <w:r w:rsidR="00ED124A" w:rsidRPr="00715C4F">
        <w:rPr>
          <w:rFonts w:ascii="Arial" w:eastAsia="Times New Roman" w:hAnsi="Arial" w:cs="Arial"/>
          <w:kern w:val="0"/>
          <w:lang w:eastAsia="en-GB"/>
          <w14:ligatures w14:val="none"/>
        </w:rPr>
        <w:t xml:space="preserve">et al., </w:t>
      </w:r>
      <w:r w:rsidR="009B6D64" w:rsidRPr="00715C4F">
        <w:rPr>
          <w:rFonts w:ascii="Arial" w:eastAsia="Times New Roman" w:hAnsi="Arial" w:cs="Arial"/>
          <w:kern w:val="0"/>
          <w:lang w:eastAsia="en-GB"/>
          <w14:ligatures w14:val="none"/>
        </w:rPr>
        <w:t>(2025) found that cultural factors and accessibility to sunlight are barriers to behavio</w:t>
      </w:r>
      <w:r w:rsidR="00F30884">
        <w:rPr>
          <w:rFonts w:ascii="Arial" w:eastAsia="Times New Roman" w:hAnsi="Arial" w:cs="Arial"/>
          <w:kern w:val="0"/>
          <w:lang w:eastAsia="en-GB"/>
          <w14:ligatures w14:val="none"/>
        </w:rPr>
        <w:t>u</w:t>
      </w:r>
      <w:r w:rsidR="009B6D64" w:rsidRPr="00715C4F">
        <w:rPr>
          <w:rFonts w:ascii="Arial" w:eastAsia="Times New Roman" w:hAnsi="Arial" w:cs="Arial"/>
          <w:kern w:val="0"/>
          <w:lang w:eastAsia="en-GB"/>
          <w14:ligatures w14:val="none"/>
        </w:rPr>
        <w:t>r, highlighting that behavio</w:t>
      </w:r>
      <w:r w:rsidR="00F30884">
        <w:rPr>
          <w:rFonts w:ascii="Arial" w:eastAsia="Times New Roman" w:hAnsi="Arial" w:cs="Arial"/>
          <w:kern w:val="0"/>
          <w:lang w:eastAsia="en-GB"/>
          <w14:ligatures w14:val="none"/>
        </w:rPr>
        <w:t>u</w:t>
      </w:r>
      <w:r w:rsidR="009B6D64" w:rsidRPr="00715C4F">
        <w:rPr>
          <w:rFonts w:ascii="Arial" w:eastAsia="Times New Roman" w:hAnsi="Arial" w:cs="Arial"/>
          <w:kern w:val="0"/>
          <w:lang w:eastAsia="en-GB"/>
          <w14:ligatures w14:val="none"/>
        </w:rPr>
        <w:t xml:space="preserve">r can also be influenced by circumstances in addition to individual knowledge. The results of Belfield and </w:t>
      </w:r>
      <w:proofErr w:type="spellStart"/>
      <w:r w:rsidR="009B6D64" w:rsidRPr="00715C4F">
        <w:rPr>
          <w:rFonts w:ascii="Arial" w:eastAsia="Times New Roman" w:hAnsi="Arial" w:cs="Arial"/>
          <w:kern w:val="0"/>
          <w:lang w:eastAsia="en-GB"/>
          <w14:ligatures w14:val="none"/>
        </w:rPr>
        <w:t>Llahana</w:t>
      </w:r>
      <w:proofErr w:type="spellEnd"/>
      <w:r w:rsidR="009B6D64" w:rsidRPr="00715C4F">
        <w:rPr>
          <w:rFonts w:ascii="Arial" w:eastAsia="Times New Roman" w:hAnsi="Arial" w:cs="Arial"/>
          <w:kern w:val="0"/>
          <w:lang w:eastAsia="en-GB"/>
          <w14:ligatures w14:val="none"/>
        </w:rPr>
        <w:t xml:space="preserve"> (2024) also suggest that culturally specific perceptions might affect the perception of vitamin D deficiency among Bengali-origin women. So these studies must not be seen as being representative of all ethnic minority groups in the UK.</w:t>
      </w:r>
      <w:r w:rsidR="007964B6" w:rsidRPr="00715C4F">
        <w:rPr>
          <w:rFonts w:ascii="Arial" w:eastAsia="Times New Roman" w:hAnsi="Arial" w:cs="Arial"/>
          <w:kern w:val="0"/>
          <w:lang w:eastAsia="en-GB"/>
          <w14:ligatures w14:val="none"/>
        </w:rPr>
        <w:t xml:space="preserve"> </w:t>
      </w:r>
    </w:p>
    <w:p w14:paraId="1123AE4E" w14:textId="77777777" w:rsidR="007964B6" w:rsidRPr="00715C4F" w:rsidRDefault="007964B6" w:rsidP="00F051EC">
      <w:pPr>
        <w:pStyle w:val="Heading3"/>
        <w:rPr>
          <w:lang w:eastAsia="en-GB"/>
        </w:rPr>
      </w:pPr>
      <w:bookmarkStart w:id="91" w:name="_Toc241025937"/>
      <w:r w:rsidRPr="00715C4F">
        <w:rPr>
          <w:lang w:eastAsia="en-GB"/>
        </w:rPr>
        <w:t>5.2.5 Theme 5: Vitamin D Supplementation and Prevention</w:t>
      </w:r>
      <w:bookmarkEnd w:id="91"/>
    </w:p>
    <w:p w14:paraId="619AE15C" w14:textId="5A80EA8E" w:rsidR="006C3FD9" w:rsidRPr="00715C4F" w:rsidRDefault="006C3FD9"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 last theme suggests that supplementation is an important potentially modifiable aspect of vitamin D prevention. The use of vitamin D supplements was found to be associated with improved vitamin D status or reduced risk for vitamin D deficiency in several studies (Darling et al., 2020; Sutherland et al., 2021; </w:t>
      </w:r>
      <w:proofErr w:type="spellStart"/>
      <w:r w:rsidRPr="00715C4F">
        <w:rPr>
          <w:rFonts w:ascii="Arial" w:eastAsia="Times New Roman" w:hAnsi="Arial" w:cs="Arial"/>
          <w:kern w:val="0"/>
          <w:lang w:eastAsia="en-GB"/>
          <w14:ligatures w14:val="none"/>
        </w:rPr>
        <w:t>Shraim</w:t>
      </w:r>
      <w:proofErr w:type="spellEnd"/>
      <w:r w:rsidRPr="00715C4F">
        <w:rPr>
          <w:rFonts w:ascii="Arial" w:eastAsia="Times New Roman" w:hAnsi="Arial" w:cs="Arial"/>
          <w:kern w:val="0"/>
          <w:lang w:eastAsia="en-GB"/>
          <w14:ligatures w14:val="none"/>
        </w:rPr>
        <w:t xml:space="preserve"> et al., 2025). </w:t>
      </w:r>
      <w:proofErr w:type="spellStart"/>
      <w:r w:rsidRPr="00715C4F">
        <w:rPr>
          <w:rFonts w:ascii="Arial" w:eastAsia="Times New Roman" w:hAnsi="Arial" w:cs="Arial"/>
          <w:kern w:val="0"/>
          <w:lang w:eastAsia="en-GB"/>
          <w14:ligatures w14:val="none"/>
        </w:rPr>
        <w:t>Tanna</w:t>
      </w:r>
      <w:proofErr w:type="spellEnd"/>
      <w:r w:rsidRPr="00715C4F">
        <w:rPr>
          <w:rFonts w:ascii="Arial" w:eastAsia="Times New Roman" w:hAnsi="Arial" w:cs="Arial"/>
          <w:kern w:val="0"/>
          <w:lang w:eastAsia="en-GB"/>
          <w14:ligatures w14:val="none"/>
        </w:rPr>
        <w:t xml:space="preserve"> </w:t>
      </w:r>
      <w:r w:rsidR="002137AB" w:rsidRPr="00715C4F">
        <w:rPr>
          <w:rFonts w:ascii="Arial" w:eastAsia="Times New Roman" w:hAnsi="Arial" w:cs="Arial"/>
          <w:kern w:val="0"/>
          <w:lang w:eastAsia="en-GB"/>
          <w14:ligatures w14:val="none"/>
        </w:rPr>
        <w:t>et al.</w:t>
      </w:r>
      <w:r w:rsidR="00F41A59" w:rsidRPr="00715C4F">
        <w:rPr>
          <w:rFonts w:ascii="Arial" w:eastAsia="Times New Roman" w:hAnsi="Arial" w:cs="Arial"/>
          <w:kern w:val="0"/>
          <w:lang w:eastAsia="en-GB"/>
          <w14:ligatures w14:val="none"/>
        </w:rPr>
        <w:t>, (</w:t>
      </w:r>
      <w:r w:rsidRPr="00715C4F">
        <w:rPr>
          <w:rFonts w:ascii="Arial" w:eastAsia="Times New Roman" w:hAnsi="Arial" w:cs="Arial"/>
          <w:kern w:val="0"/>
          <w:lang w:eastAsia="en-GB"/>
          <w14:ligatures w14:val="none"/>
        </w:rPr>
        <w:t>2023) also found significant public interest in the use of supplements and vitamin D fortification, but not necessarily in the form of regular use.</w:t>
      </w:r>
    </w:p>
    <w:p w14:paraId="0DC4619D" w14:textId="26C6429E" w:rsidR="006C3FD9" w:rsidRPr="00715C4F" w:rsidRDefault="006C3FD9" w:rsidP="00715C4F">
      <w:pPr>
        <w:spacing w:before="24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In terms of prevention, evidence from </w:t>
      </w:r>
      <w:proofErr w:type="spellStart"/>
      <w:r w:rsidRPr="00715C4F">
        <w:rPr>
          <w:rFonts w:ascii="Arial" w:eastAsia="Times New Roman" w:hAnsi="Arial" w:cs="Arial"/>
          <w:kern w:val="0"/>
          <w:lang w:eastAsia="en-GB"/>
          <w14:ligatures w14:val="none"/>
        </w:rPr>
        <w:t>Uday</w:t>
      </w:r>
      <w:proofErr w:type="spellEnd"/>
      <w:r w:rsidRPr="00715C4F">
        <w:rPr>
          <w:rFonts w:ascii="Arial" w:eastAsia="Times New Roman" w:hAnsi="Arial" w:cs="Arial"/>
          <w:kern w:val="0"/>
          <w:lang w:eastAsia="en-GB"/>
          <w14:ligatures w14:val="none"/>
        </w:rPr>
        <w:t xml:space="preserve"> et al., (2021) is particularly important as it showed that there was significant vitamin D deficiency in </w:t>
      </w:r>
      <w:proofErr w:type="spellStart"/>
      <w:r w:rsidRPr="00715C4F">
        <w:rPr>
          <w:rFonts w:ascii="Arial" w:eastAsia="Times New Roman" w:hAnsi="Arial" w:cs="Arial"/>
          <w:kern w:val="0"/>
          <w:lang w:eastAsia="en-GB"/>
          <w14:ligatures w14:val="none"/>
        </w:rPr>
        <w:t>newborns</w:t>
      </w:r>
      <w:proofErr w:type="spellEnd"/>
      <w:r w:rsidRPr="00715C4F">
        <w:rPr>
          <w:rFonts w:ascii="Arial" w:eastAsia="Times New Roman" w:hAnsi="Arial" w:cs="Arial"/>
          <w:kern w:val="0"/>
          <w:lang w:eastAsia="en-GB"/>
          <w14:ligatures w14:val="none"/>
        </w:rPr>
        <w:t xml:space="preserve"> and this deficiency is significant across the various ethnic groups and seasons. </w:t>
      </w:r>
      <w:proofErr w:type="spellStart"/>
      <w:r w:rsidRPr="00715C4F">
        <w:rPr>
          <w:rFonts w:ascii="Arial" w:eastAsia="Times New Roman" w:hAnsi="Arial" w:cs="Arial"/>
          <w:kern w:val="0"/>
          <w:lang w:eastAsia="en-GB"/>
          <w14:ligatures w14:val="none"/>
        </w:rPr>
        <w:t>Högler</w:t>
      </w:r>
      <w:proofErr w:type="spellEnd"/>
      <w:r w:rsidRPr="00715C4F">
        <w:rPr>
          <w:rFonts w:ascii="Arial" w:eastAsia="Times New Roman" w:hAnsi="Arial" w:cs="Arial"/>
          <w:kern w:val="0"/>
          <w:lang w:eastAsia="en-GB"/>
          <w14:ligatures w14:val="none"/>
        </w:rPr>
        <w:t xml:space="preserve"> </w:t>
      </w:r>
      <w:r w:rsidR="00F41A59" w:rsidRPr="00715C4F">
        <w:rPr>
          <w:rFonts w:ascii="Arial" w:eastAsia="Times New Roman" w:hAnsi="Arial" w:cs="Arial"/>
          <w:kern w:val="0"/>
          <w:lang w:eastAsia="en-GB"/>
          <w14:ligatures w14:val="none"/>
        </w:rPr>
        <w:t xml:space="preserve">et al., </w:t>
      </w:r>
      <w:r w:rsidRPr="00715C4F">
        <w:rPr>
          <w:rFonts w:ascii="Arial" w:eastAsia="Times New Roman" w:hAnsi="Arial" w:cs="Arial"/>
          <w:kern w:val="0"/>
          <w:lang w:eastAsia="en-GB"/>
          <w14:ligatures w14:val="none"/>
        </w:rPr>
        <w:t xml:space="preserve">(2022) also showed that seasonal and socioeconomic factors impact </w:t>
      </w:r>
      <w:proofErr w:type="spellStart"/>
      <w:r w:rsidRPr="00715C4F">
        <w:rPr>
          <w:rFonts w:ascii="Arial" w:eastAsia="Times New Roman" w:hAnsi="Arial" w:cs="Arial"/>
          <w:kern w:val="0"/>
          <w:lang w:eastAsia="en-GB"/>
          <w14:ligatures w14:val="none"/>
        </w:rPr>
        <w:t>newborn</w:t>
      </w:r>
      <w:proofErr w:type="spellEnd"/>
      <w:r w:rsidRPr="00715C4F">
        <w:rPr>
          <w:rFonts w:ascii="Arial" w:eastAsia="Times New Roman" w:hAnsi="Arial" w:cs="Arial"/>
          <w:kern w:val="0"/>
          <w:lang w:eastAsia="en-GB"/>
          <w14:ligatures w14:val="none"/>
        </w:rPr>
        <w:t xml:space="preserve"> vitamin D status. The findings here suggest that both maternal vulnerability and early-life vulnerability should be taken into account in the design of prevention strategies. But further evidence comes from </w:t>
      </w:r>
      <w:proofErr w:type="spellStart"/>
      <w:r w:rsidRPr="00715C4F">
        <w:rPr>
          <w:rFonts w:ascii="Arial" w:eastAsia="Times New Roman" w:hAnsi="Arial" w:cs="Arial"/>
          <w:kern w:val="0"/>
          <w:lang w:eastAsia="en-GB"/>
          <w14:ligatures w14:val="none"/>
        </w:rPr>
        <w:t>Shraim</w:t>
      </w:r>
      <w:proofErr w:type="spellEnd"/>
      <w:r w:rsidRPr="00715C4F">
        <w:rPr>
          <w:rFonts w:ascii="Arial" w:eastAsia="Times New Roman" w:hAnsi="Arial" w:cs="Arial"/>
          <w:kern w:val="0"/>
          <w:lang w:eastAsia="en-GB"/>
          <w14:ligatures w14:val="none"/>
        </w:rPr>
        <w:t xml:space="preserve"> et al., who found a very large sample of UK Biobank participants to be suffering from severe vitamin D deficiency, which was over-represented in the Asian population and was strongly correlated with low ambient UVB exposure.</w:t>
      </w:r>
    </w:p>
    <w:p w14:paraId="5EF224A8" w14:textId="209D3572" w:rsidR="007964B6" w:rsidRPr="00715C4F" w:rsidRDefault="006C3FD9" w:rsidP="00715C4F">
      <w:pPr>
        <w:spacing w:before="24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While there is some evidence, supplement use should be interpreted with caution. Most of the evidence provided herein is</w:t>
      </w:r>
      <w:r w:rsidR="000D77FE">
        <w:rPr>
          <w:rFonts w:ascii="Arial" w:eastAsia="Times New Roman" w:hAnsi="Arial" w:cs="Arial"/>
          <w:kern w:val="0"/>
          <w:lang w:eastAsia="en-GB"/>
          <w14:ligatures w14:val="none"/>
        </w:rPr>
        <w:t xml:space="preserve"> association-based, not randomis</w:t>
      </w:r>
      <w:r w:rsidRPr="00715C4F">
        <w:rPr>
          <w:rFonts w:ascii="Arial" w:eastAsia="Times New Roman" w:hAnsi="Arial" w:cs="Arial"/>
          <w:kern w:val="0"/>
          <w:lang w:eastAsia="en-GB"/>
          <w14:ligatures w14:val="none"/>
        </w:rPr>
        <w:t xml:space="preserve">ed intervention-based, thus some supplementation cannot always be attributed as the </w:t>
      </w:r>
      <w:r w:rsidRPr="00715C4F">
        <w:rPr>
          <w:rFonts w:ascii="Arial" w:eastAsia="Times New Roman" w:hAnsi="Arial" w:cs="Arial"/>
          <w:kern w:val="0"/>
          <w:lang w:eastAsia="en-GB"/>
          <w14:ligatures w14:val="none"/>
        </w:rPr>
        <w:lastRenderedPageBreak/>
        <w:t>direct cause of better vitamin D status. There may be healthy user bias as users differ from non-users in health awareness, diet, and involvement in health care.</w:t>
      </w:r>
    </w:p>
    <w:p w14:paraId="16A31A4C" w14:textId="77777777" w:rsidR="00C93717" w:rsidRPr="00715C4F" w:rsidRDefault="00C93717" w:rsidP="0022637B">
      <w:pPr>
        <w:pStyle w:val="Heading2"/>
        <w:rPr>
          <w:lang w:eastAsia="en-GB"/>
        </w:rPr>
      </w:pPr>
      <w:bookmarkStart w:id="92" w:name="_Toc241025938"/>
      <w:r w:rsidRPr="00715C4F">
        <w:rPr>
          <w:lang w:eastAsia="en-GB"/>
        </w:rPr>
        <w:t>5.3 Findings in Relation to Research Question and Objectives</w:t>
      </w:r>
      <w:bookmarkEnd w:id="92"/>
    </w:p>
    <w:p w14:paraId="0A349647" w14:textId="7A616064" w:rsidR="00C93717" w:rsidRPr="00715C4F" w:rsidRDefault="00C93717" w:rsidP="00CE0372">
      <w:pPr>
        <w:spacing w:after="0" w:line="360" w:lineRule="auto"/>
        <w:jc w:val="both"/>
        <w:rPr>
          <w:rFonts w:ascii="Arial" w:hAnsi="Arial" w:cs="Arial"/>
        </w:rPr>
      </w:pPr>
      <w:bookmarkStart w:id="93" w:name="_Toc241025939"/>
      <w:r w:rsidRPr="00715C4F">
        <w:rPr>
          <w:rStyle w:val="Heading3Char"/>
          <w:rFonts w:eastAsiaTheme="minorEastAsia"/>
          <w:sz w:val="22"/>
        </w:rPr>
        <w:t xml:space="preserve">5.3.1 Research Question </w:t>
      </w:r>
      <w:r w:rsidR="005E7161" w:rsidRPr="00715C4F">
        <w:rPr>
          <w:rStyle w:val="Heading3Char"/>
          <w:rFonts w:eastAsiaTheme="minorEastAsia"/>
          <w:sz w:val="22"/>
        </w:rPr>
        <w:t>-</w:t>
      </w:r>
      <w:bookmarkEnd w:id="93"/>
      <w:r w:rsidR="005E7161" w:rsidRPr="00715C4F">
        <w:rPr>
          <w:rFonts w:ascii="Arial" w:hAnsi="Arial" w:cs="Arial"/>
          <w:b/>
        </w:rPr>
        <w:t xml:space="preserve"> What is the key demographic, cultural, and socioeconomic determinants associated with vitamin D deficiency among ethnic minority populations in the United Kingdom?</w:t>
      </w:r>
    </w:p>
    <w:p w14:paraId="1E75CBE8" w14:textId="7000AEA3" w:rsidR="00C93717" w:rsidRPr="00715C4F" w:rsidRDefault="00182539"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 results suggest a high prevalence of vitamin D deficiency in ethnic minority groups in the UK, with many interacting factors accounting for this. Season, sunlight exposure, diet, supplementation, socioeconomic deprivation and occupational factors also were associated with poorer vitamin D status, with ethnicity consistently being associated with poorer status, especially for South Asian and Black populations (Darling et al., 2020; Sutherland et al., 2021; Lin et al., 2021; </w:t>
      </w:r>
      <w:proofErr w:type="spellStart"/>
      <w:r w:rsidRPr="00715C4F">
        <w:rPr>
          <w:rFonts w:ascii="Arial" w:eastAsia="Times New Roman" w:hAnsi="Arial" w:cs="Arial"/>
          <w:kern w:val="0"/>
          <w:lang w:eastAsia="en-GB"/>
          <w14:ligatures w14:val="none"/>
        </w:rPr>
        <w:t>Vearing</w:t>
      </w:r>
      <w:proofErr w:type="spellEnd"/>
      <w:r w:rsidRPr="00715C4F">
        <w:rPr>
          <w:rFonts w:ascii="Arial" w:eastAsia="Times New Roman" w:hAnsi="Arial" w:cs="Arial"/>
          <w:kern w:val="0"/>
          <w:lang w:eastAsia="en-GB"/>
          <w14:ligatures w14:val="none"/>
        </w:rPr>
        <w:t xml:space="preserve"> et al., 2021). Overall, the evidence showed that vitamin D status in ethnic minority groups in the UK was affected by interacting ethnic, socioeconomic, lifestyle, environmental and behavioural factors and not solely </w:t>
      </w:r>
      <w:r w:rsidR="00AF101C" w:rsidRPr="00715C4F">
        <w:rPr>
          <w:rFonts w:ascii="Arial" w:eastAsia="Times New Roman" w:hAnsi="Arial" w:cs="Arial"/>
          <w:kern w:val="0"/>
          <w:lang w:eastAsia="en-GB"/>
          <w14:ligatures w14:val="none"/>
        </w:rPr>
        <w:t>ethnicity</w:t>
      </w:r>
      <w:r w:rsidR="00C93717" w:rsidRPr="00715C4F">
        <w:rPr>
          <w:rFonts w:ascii="Arial" w:eastAsia="Times New Roman" w:hAnsi="Arial" w:cs="Arial"/>
          <w:kern w:val="0"/>
          <w:lang w:eastAsia="en-GB"/>
          <w14:ligatures w14:val="none"/>
        </w:rPr>
        <w:t>.</w:t>
      </w:r>
      <w:r w:rsidR="00A235EE" w:rsidRPr="00715C4F">
        <w:rPr>
          <w:rFonts w:ascii="Arial" w:eastAsia="Times New Roman" w:hAnsi="Arial" w:cs="Arial"/>
          <w:kern w:val="0"/>
          <w:lang w:eastAsia="en-GB"/>
          <w14:ligatures w14:val="none"/>
        </w:rPr>
        <w:t xml:space="preserve"> </w:t>
      </w:r>
    </w:p>
    <w:p w14:paraId="58296473" w14:textId="3DF1E1A7" w:rsidR="005E7161" w:rsidRPr="00715C4F" w:rsidRDefault="00C93717" w:rsidP="00715C4F">
      <w:pPr>
        <w:spacing w:before="240" w:after="0" w:line="360" w:lineRule="auto"/>
        <w:jc w:val="both"/>
        <w:rPr>
          <w:rFonts w:ascii="Arial" w:eastAsia="Times New Roman" w:hAnsi="Arial" w:cs="Arial"/>
          <w:b/>
          <w:bCs/>
          <w:kern w:val="0"/>
          <w:lang w:eastAsia="en-GB"/>
          <w14:ligatures w14:val="none"/>
        </w:rPr>
      </w:pPr>
      <w:bookmarkStart w:id="94" w:name="_Toc241025940"/>
      <w:r w:rsidRPr="00715C4F">
        <w:rPr>
          <w:rStyle w:val="Heading3Char"/>
          <w:rFonts w:eastAsiaTheme="minorEastAsia"/>
          <w:sz w:val="22"/>
        </w:rPr>
        <w:t>5.3.2 Objective 1</w:t>
      </w:r>
      <w:bookmarkEnd w:id="94"/>
      <w:r w:rsidRPr="00715C4F">
        <w:rPr>
          <w:rFonts w:ascii="Arial" w:eastAsia="Times New Roman" w:hAnsi="Arial" w:cs="Arial"/>
          <w:b/>
          <w:bCs/>
          <w:kern w:val="0"/>
          <w:lang w:eastAsia="en-GB"/>
          <w14:ligatures w14:val="none"/>
        </w:rPr>
        <w:t xml:space="preserve"> </w:t>
      </w:r>
      <w:r w:rsidR="005E7161" w:rsidRPr="00715C4F">
        <w:rPr>
          <w:rFonts w:ascii="Arial" w:eastAsia="Times New Roman" w:hAnsi="Arial" w:cs="Arial"/>
          <w:b/>
          <w:bCs/>
          <w:kern w:val="0"/>
          <w:lang w:eastAsia="en-GB"/>
          <w14:ligatures w14:val="none"/>
        </w:rPr>
        <w:t>-</w:t>
      </w:r>
      <w:r w:rsidR="005E7161" w:rsidRPr="00715C4F">
        <w:rPr>
          <w:rFonts w:ascii="Arial" w:hAnsi="Arial" w:cs="Arial"/>
        </w:rPr>
        <w:t xml:space="preserve"> </w:t>
      </w:r>
      <w:r w:rsidR="005E7161" w:rsidRPr="00715C4F">
        <w:rPr>
          <w:rFonts w:ascii="Arial" w:eastAsia="Times New Roman" w:hAnsi="Arial" w:cs="Arial"/>
          <w:b/>
          <w:bCs/>
          <w:kern w:val="0"/>
          <w:lang w:eastAsia="en-GB"/>
          <w14:ligatures w14:val="none"/>
        </w:rPr>
        <w:t>To determine the underlying reasons, influences and prevalence of vitamin D deficiency among ethnic minority populations living in the United Kingdom.</w:t>
      </w:r>
    </w:p>
    <w:p w14:paraId="5DE63CB7" w14:textId="7AC4D8AA" w:rsidR="00C93717" w:rsidRPr="00715C4F" w:rsidRDefault="00522361"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bCs/>
          <w:kern w:val="0"/>
          <w:lang w:eastAsia="en-GB"/>
          <w14:ligatures w14:val="none"/>
        </w:rPr>
        <w:t xml:space="preserve">The goal was met because the evidence reviewed showed that there was a significant deficiency in South Asian, Black African and African-Caribbean populations (Darling et al., 2020; Sutherland et al., 2021; Lin et al., 2021; </w:t>
      </w:r>
      <w:proofErr w:type="spellStart"/>
      <w:r w:rsidRPr="00715C4F">
        <w:rPr>
          <w:rFonts w:ascii="Arial" w:eastAsia="Times New Roman" w:hAnsi="Arial" w:cs="Arial"/>
          <w:bCs/>
          <w:kern w:val="0"/>
          <w:lang w:eastAsia="en-GB"/>
          <w14:ligatures w14:val="none"/>
        </w:rPr>
        <w:t>Vearing</w:t>
      </w:r>
      <w:proofErr w:type="spellEnd"/>
      <w:r w:rsidRPr="00715C4F">
        <w:rPr>
          <w:rFonts w:ascii="Arial" w:eastAsia="Times New Roman" w:hAnsi="Arial" w:cs="Arial"/>
          <w:bCs/>
          <w:kern w:val="0"/>
          <w:lang w:eastAsia="en-GB"/>
          <w14:ligatures w14:val="none"/>
        </w:rPr>
        <w:t xml:space="preserve"> et al., 2021) and ethnicity, season, limited exposure to UV, dietary patterns, supplementation and socioeconomic circumstances were identified as important influencers. But mostly observational evidence is used to restrict causal interpretation. Objective 1 was achieved</w:t>
      </w:r>
      <w:r w:rsidRPr="00715C4F">
        <w:rPr>
          <w:rFonts w:ascii="Arial" w:eastAsia="Times New Roman" w:hAnsi="Arial" w:cs="Arial"/>
          <w:b/>
          <w:bCs/>
          <w:kern w:val="0"/>
          <w:lang w:eastAsia="en-GB"/>
          <w14:ligatures w14:val="none"/>
        </w:rPr>
        <w:t>.</w:t>
      </w:r>
    </w:p>
    <w:p w14:paraId="0DB0A70E" w14:textId="724B2859" w:rsidR="005E7161" w:rsidRPr="00715C4F" w:rsidRDefault="00C93717" w:rsidP="00715C4F">
      <w:pPr>
        <w:spacing w:before="240" w:after="0" w:line="360" w:lineRule="auto"/>
        <w:jc w:val="both"/>
        <w:rPr>
          <w:rFonts w:ascii="Arial" w:eastAsia="Times New Roman" w:hAnsi="Arial" w:cs="Arial"/>
          <w:b/>
          <w:bCs/>
          <w:kern w:val="0"/>
          <w:lang w:eastAsia="en-GB"/>
          <w14:ligatures w14:val="none"/>
        </w:rPr>
      </w:pPr>
      <w:bookmarkStart w:id="95" w:name="_Toc241025941"/>
      <w:r w:rsidRPr="00715C4F">
        <w:rPr>
          <w:rStyle w:val="Heading3Char"/>
          <w:rFonts w:eastAsiaTheme="minorEastAsia"/>
          <w:sz w:val="22"/>
        </w:rPr>
        <w:t>5.3.3 Objective 2</w:t>
      </w:r>
      <w:bookmarkEnd w:id="95"/>
      <w:r w:rsidRPr="00715C4F">
        <w:rPr>
          <w:rFonts w:ascii="Arial" w:eastAsia="Times New Roman" w:hAnsi="Arial" w:cs="Arial"/>
          <w:b/>
          <w:bCs/>
          <w:kern w:val="0"/>
          <w:lang w:eastAsia="en-GB"/>
          <w14:ligatures w14:val="none"/>
        </w:rPr>
        <w:t xml:space="preserve"> </w:t>
      </w:r>
      <w:r w:rsidR="005E7161" w:rsidRPr="00715C4F">
        <w:rPr>
          <w:rFonts w:ascii="Arial" w:eastAsia="Times New Roman" w:hAnsi="Arial" w:cs="Arial"/>
          <w:b/>
          <w:bCs/>
          <w:kern w:val="0"/>
          <w:lang w:eastAsia="en-GB"/>
          <w14:ligatures w14:val="none"/>
        </w:rPr>
        <w:t>-To examine the association between demographic factors (such as age, gender, ethnicity, and duration of residence in the UK) and vitamin D deficiency.</w:t>
      </w:r>
    </w:p>
    <w:p w14:paraId="6DED05E7" w14:textId="548F31A9" w:rsidR="00C93717" w:rsidRPr="00715C4F" w:rsidRDefault="00F41874"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bCs/>
          <w:kern w:val="0"/>
          <w:lang w:eastAsia="en-GB"/>
          <w14:ligatures w14:val="none"/>
        </w:rPr>
        <w:t xml:space="preserve">Ethnicity was consistently associated with vitamin D status, with age and gender also being shown to have some effect on the risk of vitamin D deficiency in some studies (Darling et al., 2020; Sutherland et al., 2021; Phelan et al., 2024). The importance of migration and length of time in the country was also noted by Smith et al (2021) who pointed to the distinction between British-Bangladeshi and Bangladeshi women. Objective 2 was </w:t>
      </w:r>
      <w:r w:rsidR="004831C6" w:rsidRPr="00715C4F">
        <w:rPr>
          <w:rFonts w:ascii="Arial" w:eastAsia="Times New Roman" w:hAnsi="Arial" w:cs="Arial"/>
          <w:bCs/>
          <w:kern w:val="0"/>
          <w:lang w:eastAsia="en-GB"/>
          <w14:ligatures w14:val="none"/>
        </w:rPr>
        <w:t>achieving</w:t>
      </w:r>
      <w:r w:rsidR="00C93717" w:rsidRPr="00715C4F">
        <w:rPr>
          <w:rFonts w:ascii="Arial" w:eastAsia="Times New Roman" w:hAnsi="Arial" w:cs="Arial"/>
          <w:bCs/>
          <w:kern w:val="0"/>
          <w:lang w:eastAsia="en-GB"/>
          <w14:ligatures w14:val="none"/>
        </w:rPr>
        <w:t>.</w:t>
      </w:r>
      <w:r w:rsidR="00A235EE" w:rsidRPr="00715C4F">
        <w:rPr>
          <w:rFonts w:ascii="Arial" w:eastAsia="Times New Roman" w:hAnsi="Arial" w:cs="Arial"/>
          <w:bCs/>
          <w:kern w:val="0"/>
          <w:lang w:eastAsia="en-GB"/>
          <w14:ligatures w14:val="none"/>
        </w:rPr>
        <w:t xml:space="preserve"> </w:t>
      </w:r>
    </w:p>
    <w:p w14:paraId="05D00527" w14:textId="464F7080" w:rsidR="005E7161" w:rsidRPr="00715C4F" w:rsidRDefault="00C93717" w:rsidP="00715C4F">
      <w:pPr>
        <w:spacing w:before="240" w:after="0" w:line="360" w:lineRule="auto"/>
        <w:jc w:val="both"/>
        <w:rPr>
          <w:rFonts w:ascii="Arial" w:eastAsia="Times New Roman" w:hAnsi="Arial" w:cs="Arial"/>
          <w:b/>
          <w:bCs/>
          <w:kern w:val="0"/>
          <w:lang w:eastAsia="en-GB"/>
          <w14:ligatures w14:val="none"/>
        </w:rPr>
      </w:pPr>
      <w:bookmarkStart w:id="96" w:name="_Toc241025942"/>
      <w:r w:rsidRPr="00715C4F">
        <w:rPr>
          <w:rStyle w:val="Heading3Char"/>
          <w:rFonts w:eastAsiaTheme="minorEastAsia"/>
          <w:sz w:val="22"/>
        </w:rPr>
        <w:lastRenderedPageBreak/>
        <w:t>5.3.4 Objective 3</w:t>
      </w:r>
      <w:bookmarkEnd w:id="96"/>
      <w:r w:rsidRPr="00715C4F">
        <w:rPr>
          <w:rFonts w:ascii="Arial" w:eastAsia="Times New Roman" w:hAnsi="Arial" w:cs="Arial"/>
          <w:b/>
          <w:bCs/>
          <w:kern w:val="0"/>
          <w:lang w:eastAsia="en-GB"/>
          <w14:ligatures w14:val="none"/>
        </w:rPr>
        <w:t xml:space="preserve"> </w:t>
      </w:r>
      <w:r w:rsidR="005E7161" w:rsidRPr="00715C4F">
        <w:rPr>
          <w:rFonts w:ascii="Arial" w:eastAsia="Times New Roman" w:hAnsi="Arial" w:cs="Arial"/>
          <w:b/>
          <w:bCs/>
          <w:kern w:val="0"/>
          <w:lang w:eastAsia="en-GB"/>
          <w14:ligatures w14:val="none"/>
        </w:rPr>
        <w:t>-To assess the influence of cultural and lifestyle factors (including clothing practices, dietary habits, sun exposure, and supplementation use) on vitamin D status</w:t>
      </w:r>
    </w:p>
    <w:p w14:paraId="125418C1" w14:textId="7B678D4E" w:rsidR="00C93717" w:rsidRPr="00715C4F" w:rsidRDefault="004831C6"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bCs/>
          <w:kern w:val="0"/>
          <w:lang w:eastAsia="en-GB"/>
          <w14:ligatures w14:val="none"/>
        </w:rPr>
        <w:t xml:space="preserve">The results indicated that sun exposure, diet and dietary supplements were associated with vitamin D </w:t>
      </w:r>
      <w:r w:rsidR="005F1C56">
        <w:rPr>
          <w:rFonts w:ascii="Arial" w:eastAsia="Times New Roman" w:hAnsi="Arial" w:cs="Arial"/>
          <w:bCs/>
          <w:kern w:val="0"/>
          <w:lang w:eastAsia="en-GB"/>
          <w14:ligatures w14:val="none"/>
        </w:rPr>
        <w:t>status, whereas cultural practis</w:t>
      </w:r>
      <w:r w:rsidRPr="00715C4F">
        <w:rPr>
          <w:rFonts w:ascii="Arial" w:eastAsia="Times New Roman" w:hAnsi="Arial" w:cs="Arial"/>
          <w:bCs/>
          <w:kern w:val="0"/>
          <w:lang w:eastAsia="en-GB"/>
          <w14:ligatures w14:val="none"/>
        </w:rPr>
        <w:t>es may have an impact on exposure to</w:t>
      </w:r>
      <w:r w:rsidR="005F1C56">
        <w:rPr>
          <w:rFonts w:ascii="Arial" w:eastAsia="Times New Roman" w:hAnsi="Arial" w:cs="Arial"/>
          <w:bCs/>
          <w:kern w:val="0"/>
          <w:lang w:eastAsia="en-GB"/>
          <w14:ligatures w14:val="none"/>
        </w:rPr>
        <w:t xml:space="preserve"> sunlight and dietary practis</w:t>
      </w:r>
      <w:r w:rsidRPr="00715C4F">
        <w:rPr>
          <w:rFonts w:ascii="Arial" w:eastAsia="Times New Roman" w:hAnsi="Arial" w:cs="Arial"/>
          <w:bCs/>
          <w:kern w:val="0"/>
          <w:lang w:eastAsia="en-GB"/>
          <w14:ligatures w14:val="none"/>
        </w:rPr>
        <w:t xml:space="preserve">es (Darling et al., 2020; Sutherland et al., 2021; </w:t>
      </w:r>
      <w:proofErr w:type="spellStart"/>
      <w:r w:rsidRPr="00715C4F">
        <w:rPr>
          <w:rFonts w:ascii="Arial" w:eastAsia="Times New Roman" w:hAnsi="Arial" w:cs="Arial"/>
          <w:bCs/>
          <w:kern w:val="0"/>
          <w:lang w:eastAsia="en-GB"/>
          <w14:ligatures w14:val="none"/>
        </w:rPr>
        <w:t>Vearing</w:t>
      </w:r>
      <w:proofErr w:type="spellEnd"/>
      <w:r w:rsidRPr="00715C4F">
        <w:rPr>
          <w:rFonts w:ascii="Arial" w:eastAsia="Times New Roman" w:hAnsi="Arial" w:cs="Arial"/>
          <w:bCs/>
          <w:kern w:val="0"/>
          <w:lang w:eastAsia="en-GB"/>
          <w14:ligatures w14:val="none"/>
        </w:rPr>
        <w:t xml:space="preserve"> et al., 2021). Practical barriers to prevention and cultural perceptions of prevention were also identified in qualitative evidence (Zheng et al., 2025; Belfield and </w:t>
      </w:r>
      <w:proofErr w:type="spellStart"/>
      <w:r w:rsidRPr="00715C4F">
        <w:rPr>
          <w:rFonts w:ascii="Arial" w:eastAsia="Times New Roman" w:hAnsi="Arial" w:cs="Arial"/>
          <w:bCs/>
          <w:kern w:val="0"/>
          <w:lang w:eastAsia="en-GB"/>
          <w14:ligatures w14:val="none"/>
        </w:rPr>
        <w:t>Llahana</w:t>
      </w:r>
      <w:proofErr w:type="spellEnd"/>
      <w:r w:rsidRPr="00715C4F">
        <w:rPr>
          <w:rFonts w:ascii="Arial" w:eastAsia="Times New Roman" w:hAnsi="Arial" w:cs="Arial"/>
          <w:bCs/>
          <w:kern w:val="0"/>
          <w:lang w:eastAsia="en-GB"/>
          <w14:ligatures w14:val="none"/>
        </w:rPr>
        <w:t>, 2024). Objective 3 was achieved.</w:t>
      </w:r>
    </w:p>
    <w:p w14:paraId="3F46678D" w14:textId="1ACAA2A2" w:rsidR="00C93717" w:rsidRPr="00715C4F" w:rsidRDefault="00C93717" w:rsidP="000B55B2">
      <w:pPr>
        <w:spacing w:before="240" w:after="0" w:line="360" w:lineRule="auto"/>
        <w:jc w:val="both"/>
        <w:rPr>
          <w:rFonts w:ascii="Arial" w:eastAsia="Times New Roman" w:hAnsi="Arial" w:cs="Arial"/>
          <w:b/>
          <w:bCs/>
          <w:kern w:val="0"/>
          <w:lang w:eastAsia="en-GB"/>
          <w14:ligatures w14:val="none"/>
        </w:rPr>
      </w:pPr>
      <w:bookmarkStart w:id="97" w:name="_Toc241025943"/>
      <w:r w:rsidRPr="00715C4F">
        <w:rPr>
          <w:rStyle w:val="Heading3Char"/>
          <w:rFonts w:eastAsiaTheme="minorEastAsia"/>
          <w:sz w:val="22"/>
        </w:rPr>
        <w:t>5.3.5 Objective 4</w:t>
      </w:r>
      <w:bookmarkEnd w:id="97"/>
      <w:r w:rsidRPr="00715C4F">
        <w:rPr>
          <w:rFonts w:ascii="Arial" w:eastAsia="Times New Roman" w:hAnsi="Arial" w:cs="Arial"/>
          <w:b/>
          <w:bCs/>
          <w:kern w:val="0"/>
          <w:lang w:eastAsia="en-GB"/>
          <w14:ligatures w14:val="none"/>
        </w:rPr>
        <w:t xml:space="preserve"> </w:t>
      </w:r>
      <w:r w:rsidR="005E7161" w:rsidRPr="00715C4F">
        <w:rPr>
          <w:rFonts w:ascii="Arial" w:eastAsia="Times New Roman" w:hAnsi="Arial" w:cs="Arial"/>
          <w:b/>
          <w:bCs/>
          <w:kern w:val="0"/>
          <w:lang w:eastAsia="en-GB"/>
          <w14:ligatures w14:val="none"/>
        </w:rPr>
        <w:t>-To evaluate the impact of socioeconomic factors (such as income level, education, and access to healthcare</w:t>
      </w:r>
      <w:r w:rsidR="005E7161" w:rsidRPr="00715C4F">
        <w:rPr>
          <w:rFonts w:ascii="Arial" w:hAnsi="Arial" w:cs="Arial"/>
        </w:rPr>
        <w:t xml:space="preserve"> </w:t>
      </w:r>
      <w:r w:rsidR="005E7161" w:rsidRPr="00715C4F">
        <w:rPr>
          <w:rFonts w:ascii="Arial" w:eastAsia="Times New Roman" w:hAnsi="Arial" w:cs="Arial"/>
          <w:b/>
          <w:bCs/>
          <w:kern w:val="0"/>
          <w:lang w:eastAsia="en-GB"/>
          <w14:ligatures w14:val="none"/>
        </w:rPr>
        <w:t>services) on the risk of vitamin D deficiency among ethnic minority in the UK.</w:t>
      </w:r>
    </w:p>
    <w:p w14:paraId="1170E6E8" w14:textId="4C3A1384" w:rsidR="007964B6" w:rsidRPr="00715C4F" w:rsidRDefault="0050583A"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bCs/>
          <w:kern w:val="0"/>
          <w:lang w:eastAsia="en-GB"/>
          <w14:ligatures w14:val="none"/>
        </w:rPr>
        <w:t xml:space="preserve">Lower levels of vitamin D occurred in the </w:t>
      </w:r>
      <w:r w:rsidR="00AA7CE1" w:rsidRPr="00715C4F">
        <w:rPr>
          <w:rFonts w:ascii="Arial" w:eastAsia="Times New Roman" w:hAnsi="Arial" w:cs="Arial"/>
          <w:bCs/>
          <w:kern w:val="0"/>
          <w:lang w:eastAsia="en-GB"/>
          <w14:ligatures w14:val="none"/>
        </w:rPr>
        <w:t>new-born</w:t>
      </w:r>
      <w:r w:rsidRPr="00715C4F">
        <w:rPr>
          <w:rFonts w:ascii="Arial" w:eastAsia="Times New Roman" w:hAnsi="Arial" w:cs="Arial"/>
          <w:bCs/>
          <w:kern w:val="0"/>
          <w:lang w:eastAsia="en-GB"/>
          <w14:ligatures w14:val="none"/>
        </w:rPr>
        <w:t xml:space="preserve"> and UK Biobank studies in relation to socioeconomic deprivation (</w:t>
      </w:r>
      <w:proofErr w:type="spellStart"/>
      <w:r w:rsidRPr="00715C4F">
        <w:rPr>
          <w:rFonts w:ascii="Arial" w:eastAsia="Times New Roman" w:hAnsi="Arial" w:cs="Arial"/>
          <w:bCs/>
          <w:kern w:val="0"/>
          <w:lang w:eastAsia="en-GB"/>
          <w14:ligatures w14:val="none"/>
        </w:rPr>
        <w:t>Högler</w:t>
      </w:r>
      <w:proofErr w:type="spellEnd"/>
      <w:r w:rsidRPr="00715C4F">
        <w:rPr>
          <w:rFonts w:ascii="Arial" w:eastAsia="Times New Roman" w:hAnsi="Arial" w:cs="Arial"/>
          <w:bCs/>
          <w:kern w:val="0"/>
          <w:lang w:eastAsia="en-GB"/>
          <w14:ligatures w14:val="none"/>
        </w:rPr>
        <w:t xml:space="preserve"> et al., 2022; Sutherland et al., 2021). Qualitative evidence also suggested that cost, accessibility and practical barriers may impact prevention and supplementation (Zheng et al., 2025). But, socioeconomic measures were not uniformly collected in all studies. Some success was made towards Objective 4</w:t>
      </w:r>
      <w:r w:rsidR="00C93717" w:rsidRPr="00715C4F">
        <w:rPr>
          <w:rFonts w:ascii="Arial" w:eastAsia="Times New Roman" w:hAnsi="Arial" w:cs="Arial"/>
          <w:bCs/>
          <w:kern w:val="0"/>
          <w:lang w:eastAsia="en-GB"/>
          <w14:ligatures w14:val="none"/>
        </w:rPr>
        <w:t>.</w:t>
      </w:r>
    </w:p>
    <w:p w14:paraId="1D1CC616" w14:textId="77777777" w:rsidR="006848C7" w:rsidRPr="00715C4F" w:rsidRDefault="006848C7" w:rsidP="0022637B">
      <w:pPr>
        <w:pStyle w:val="Heading2"/>
        <w:rPr>
          <w:lang w:eastAsia="en-GB"/>
        </w:rPr>
      </w:pPr>
      <w:bookmarkStart w:id="98" w:name="_Toc241025944"/>
      <w:r w:rsidRPr="00715C4F">
        <w:rPr>
          <w:lang w:eastAsia="en-GB"/>
        </w:rPr>
        <w:t>5.4 Implications and Future Research Needs</w:t>
      </w:r>
      <w:bookmarkEnd w:id="98"/>
    </w:p>
    <w:p w14:paraId="73E7E885" w14:textId="01BB47DF" w:rsidR="006848C7" w:rsidRPr="00715C4F" w:rsidRDefault="006848C7" w:rsidP="00F051EC">
      <w:pPr>
        <w:pStyle w:val="Heading3"/>
        <w:rPr>
          <w:lang w:eastAsia="en-GB"/>
        </w:rPr>
      </w:pPr>
      <w:bookmarkStart w:id="99" w:name="_Toc241025945"/>
      <w:r w:rsidRPr="00715C4F">
        <w:rPr>
          <w:lang w:eastAsia="en-GB"/>
        </w:rPr>
        <w:t>5.4.1 Public Health Implications</w:t>
      </w:r>
      <w:bookmarkEnd w:id="99"/>
      <w:r w:rsidRPr="00715C4F">
        <w:rPr>
          <w:lang w:eastAsia="en-GB"/>
        </w:rPr>
        <w:t xml:space="preserve"> </w:t>
      </w:r>
    </w:p>
    <w:p w14:paraId="22D02ECE" w14:textId="712FBE6C" w:rsidR="006848C7" w:rsidRPr="00715C4F" w:rsidRDefault="00E83112"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This study has relevance to public health policy in the UK. Targeted measures to prevent vitamin D deficiency in ethnic minority groups should be implemented alongside universal measures which do not consider the varied population groups. Ethnicity should be taken into account, in public health programmes, alongside season, sunlight exposure, diet and socioeconomic factors and access to supplementation. Higher risk groups are especially important with regard to improving awareness and access to preventive resources (Sutherland et al., 2021; Lin et al., 2021).</w:t>
      </w:r>
    </w:p>
    <w:p w14:paraId="27A04B50" w14:textId="754D4023" w:rsidR="006848C7" w:rsidRPr="00715C4F" w:rsidRDefault="006848C7" w:rsidP="00F051EC">
      <w:pPr>
        <w:pStyle w:val="Heading3"/>
        <w:rPr>
          <w:lang w:eastAsia="en-GB"/>
        </w:rPr>
      </w:pPr>
      <w:bookmarkStart w:id="100" w:name="_Toc241025946"/>
      <w:r w:rsidRPr="00715C4F">
        <w:rPr>
          <w:lang w:eastAsia="en-GB"/>
        </w:rPr>
        <w:t>5.4.2 Implications for Healthcare Professionals</w:t>
      </w:r>
      <w:bookmarkEnd w:id="100"/>
      <w:r w:rsidRPr="00715C4F">
        <w:rPr>
          <w:lang w:eastAsia="en-GB"/>
        </w:rPr>
        <w:t xml:space="preserve"> </w:t>
      </w:r>
    </w:p>
    <w:p w14:paraId="4B75F190" w14:textId="35E2F566" w:rsidR="006848C7" w:rsidRPr="00715C4F" w:rsidRDefault="00E33961"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Healthcare professionals should be aware of ethnic minority groups as being potentially at a higher risk and be mindful of the differences in demographic, cultural, lifestyle and socioeconomic risk factors when giving advices on vitamin D. Communication can enhance understanding and engagement, especially if there are misconceptions, access or cost barriers to prevention (Belfield and </w:t>
      </w:r>
      <w:proofErr w:type="spellStart"/>
      <w:r w:rsidRPr="00715C4F">
        <w:rPr>
          <w:rFonts w:ascii="Arial" w:eastAsia="Times New Roman" w:hAnsi="Arial" w:cs="Arial"/>
          <w:kern w:val="0"/>
          <w:lang w:eastAsia="en-GB"/>
          <w14:ligatures w14:val="none"/>
        </w:rPr>
        <w:t>Llahana</w:t>
      </w:r>
      <w:proofErr w:type="spellEnd"/>
      <w:r w:rsidRPr="00715C4F">
        <w:rPr>
          <w:rFonts w:ascii="Arial" w:eastAsia="Times New Roman" w:hAnsi="Arial" w:cs="Arial"/>
          <w:kern w:val="0"/>
          <w:lang w:eastAsia="en-GB"/>
          <w14:ligatures w14:val="none"/>
        </w:rPr>
        <w:t>, 2024; Zheng et al., 2025)</w:t>
      </w:r>
      <w:r w:rsidR="006848C7" w:rsidRPr="00715C4F">
        <w:rPr>
          <w:rFonts w:ascii="Arial" w:eastAsia="Times New Roman" w:hAnsi="Arial" w:cs="Arial"/>
          <w:kern w:val="0"/>
          <w:lang w:eastAsia="en-GB"/>
          <w14:ligatures w14:val="none"/>
        </w:rPr>
        <w:t>.</w:t>
      </w:r>
    </w:p>
    <w:p w14:paraId="06C0EF51" w14:textId="7B390C4D" w:rsidR="006848C7" w:rsidRPr="00715C4F" w:rsidRDefault="006848C7" w:rsidP="00F051EC">
      <w:pPr>
        <w:pStyle w:val="Heading3"/>
        <w:rPr>
          <w:lang w:eastAsia="en-GB"/>
        </w:rPr>
      </w:pPr>
      <w:bookmarkStart w:id="101" w:name="_Toc241025947"/>
      <w:r w:rsidRPr="00715C4F">
        <w:rPr>
          <w:lang w:eastAsia="en-GB"/>
        </w:rPr>
        <w:lastRenderedPageBreak/>
        <w:t>5.4.3 Prevention and Supplementation</w:t>
      </w:r>
      <w:bookmarkEnd w:id="101"/>
      <w:r w:rsidRPr="00715C4F">
        <w:rPr>
          <w:lang w:eastAsia="en-GB"/>
        </w:rPr>
        <w:t xml:space="preserve"> </w:t>
      </w:r>
    </w:p>
    <w:p w14:paraId="32A9AD46" w14:textId="633D4E9C" w:rsidR="006848C7" w:rsidRPr="00715C4F" w:rsidRDefault="00345A30"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There is a need to integrate prevention strategies, including: appropriate supplementation counsel</w:t>
      </w:r>
      <w:r w:rsidR="007257EC">
        <w:rPr>
          <w:rFonts w:ascii="Arial" w:eastAsia="Times New Roman" w:hAnsi="Arial" w:cs="Arial"/>
          <w:kern w:val="0"/>
          <w:lang w:eastAsia="en-GB"/>
          <w14:ligatures w14:val="none"/>
        </w:rPr>
        <w:t>l</w:t>
      </w:r>
      <w:r w:rsidRPr="00715C4F">
        <w:rPr>
          <w:rFonts w:ascii="Arial" w:eastAsia="Times New Roman" w:hAnsi="Arial" w:cs="Arial"/>
          <w:kern w:val="0"/>
          <w:lang w:eastAsia="en-GB"/>
          <w14:ligatures w14:val="none"/>
        </w:rPr>
        <w:t xml:space="preserve">ing and promotion of dietary sources, safe sun exposure and better access to credible information. However, there is evidence that supplementation is associated with improved vitamin D status, highlighting its potential for prevention but also a challenge in adherence and access to supplementation equitably (Darling et al., 2020; Sutherland et al., 2021; </w:t>
      </w:r>
      <w:proofErr w:type="spellStart"/>
      <w:r w:rsidRPr="00715C4F">
        <w:rPr>
          <w:rFonts w:ascii="Arial" w:eastAsia="Times New Roman" w:hAnsi="Arial" w:cs="Arial"/>
          <w:kern w:val="0"/>
          <w:lang w:eastAsia="en-GB"/>
          <w14:ligatures w14:val="none"/>
        </w:rPr>
        <w:t>Shraim</w:t>
      </w:r>
      <w:proofErr w:type="spellEnd"/>
      <w:r w:rsidRPr="00715C4F">
        <w:rPr>
          <w:rFonts w:ascii="Arial" w:eastAsia="Times New Roman" w:hAnsi="Arial" w:cs="Arial"/>
          <w:kern w:val="0"/>
          <w:lang w:eastAsia="en-GB"/>
          <w14:ligatures w14:val="none"/>
        </w:rPr>
        <w:t xml:space="preserve"> et al., 2025).</w:t>
      </w:r>
    </w:p>
    <w:p w14:paraId="32692EC5" w14:textId="30B487D5" w:rsidR="006848C7" w:rsidRPr="00715C4F" w:rsidRDefault="008B09DE" w:rsidP="00F051EC">
      <w:pPr>
        <w:pStyle w:val="Heading3"/>
        <w:rPr>
          <w:lang w:eastAsia="en-GB"/>
        </w:rPr>
      </w:pPr>
      <w:bookmarkStart w:id="102" w:name="_Toc241025948"/>
      <w:r w:rsidRPr="00715C4F">
        <w:rPr>
          <w:lang w:eastAsia="en-GB"/>
        </w:rPr>
        <w:t>5.4.4 Future Research Needs</w:t>
      </w:r>
      <w:bookmarkEnd w:id="102"/>
    </w:p>
    <w:p w14:paraId="52091E3C" w14:textId="5846CCC8" w:rsidR="006848C7" w:rsidRPr="00715C4F" w:rsidRDefault="0079690E"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Longitudinal and intervention studies are needed in the future to facilitate the conclusion of temporal relationships and effectiveness of ethnic minority specific prevention strategies. Research should also explore any adherence issues with supplementation and cultural barriers, as well as any socioeconomic factors and occupational exposure to sunlight. Standardisation of vitamin D deficiency levels would facilitate comparison across studies and enhance the evidence synthesis. Further research is needed for improved coverage of under-researched ethnic minority groups and to explore the interaction of individual demographic, cultural, environmental and socioeconomic factors over time. This research would help inform more robustly developed interventions and their impact on vitamin D status disparities.</w:t>
      </w:r>
    </w:p>
    <w:p w14:paraId="42D9D0E5" w14:textId="77777777" w:rsidR="006848C7" w:rsidRPr="00715C4F" w:rsidRDefault="006848C7" w:rsidP="0022637B">
      <w:pPr>
        <w:pStyle w:val="Heading2"/>
        <w:rPr>
          <w:lang w:eastAsia="en-GB"/>
        </w:rPr>
      </w:pPr>
      <w:bookmarkStart w:id="103" w:name="_Toc241025949"/>
      <w:r w:rsidRPr="00715C4F">
        <w:rPr>
          <w:lang w:eastAsia="en-GB"/>
        </w:rPr>
        <w:t>5.5 Strengths, Limitations and Potential Bias</w:t>
      </w:r>
      <w:bookmarkEnd w:id="103"/>
    </w:p>
    <w:p w14:paraId="392FA6A7" w14:textId="7AADD868" w:rsidR="006848C7" w:rsidRPr="00715C4F" w:rsidRDefault="006160D4" w:rsidP="00F051EC">
      <w:pPr>
        <w:pStyle w:val="Heading3"/>
        <w:rPr>
          <w:lang w:eastAsia="en-GB"/>
        </w:rPr>
      </w:pPr>
      <w:bookmarkStart w:id="104" w:name="_Toc241025950"/>
      <w:r w:rsidRPr="00715C4F">
        <w:rPr>
          <w:lang w:eastAsia="en-GB"/>
        </w:rPr>
        <w:t>5.5.1 Strengths</w:t>
      </w:r>
      <w:bookmarkEnd w:id="104"/>
    </w:p>
    <w:p w14:paraId="741916C0" w14:textId="3FFCD87E" w:rsidR="006848C7" w:rsidRPr="00715C4F" w:rsidRDefault="002856FB"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There are a number of strengths to this systematic review. A systematic search of seven databases was conducted with </w:t>
      </w:r>
      <w:r w:rsidR="006160D4" w:rsidRPr="00715C4F">
        <w:rPr>
          <w:rFonts w:ascii="Arial" w:eastAsia="Times New Roman" w:hAnsi="Arial" w:cs="Arial"/>
          <w:kern w:val="0"/>
          <w:lang w:eastAsia="en-GB"/>
          <w14:ligatures w14:val="none"/>
        </w:rPr>
        <w:t>a predetermined eligibility criterion</w:t>
      </w:r>
      <w:r w:rsidRPr="00715C4F">
        <w:rPr>
          <w:rFonts w:ascii="Arial" w:eastAsia="Times New Roman" w:hAnsi="Arial" w:cs="Arial"/>
          <w:kern w:val="0"/>
          <w:lang w:eastAsia="en-GB"/>
          <w14:ligatures w14:val="none"/>
        </w:rPr>
        <w:t>, supporting a structured and transparent evidence-identification process. The review was conducted using PRISMA 2020 guidelines and critically appraised the quality of</w:t>
      </w:r>
      <w:r w:rsidR="005C7339">
        <w:rPr>
          <w:rFonts w:ascii="Arial" w:eastAsia="Times New Roman" w:hAnsi="Arial" w:cs="Arial"/>
          <w:kern w:val="0"/>
          <w:lang w:eastAsia="en-GB"/>
          <w14:ligatures w14:val="none"/>
        </w:rPr>
        <w:t xml:space="preserve"> the</w:t>
      </w:r>
      <w:r w:rsidRPr="00715C4F">
        <w:rPr>
          <w:rFonts w:ascii="Arial" w:eastAsia="Times New Roman" w:hAnsi="Arial" w:cs="Arial"/>
          <w:kern w:val="0"/>
          <w:lang w:eastAsia="en-GB"/>
          <w14:ligatures w14:val="none"/>
        </w:rPr>
        <w:t xml:space="preserve"> method. Cross-sectional, qualitative, cohort and case-control studies were included, allowing for both measurable associations and context to be considered. Thematic synthesis also helped to integrate evidence across the various determinants of vitamin D deficiency.</w:t>
      </w:r>
    </w:p>
    <w:p w14:paraId="018ACBE6" w14:textId="25515383" w:rsidR="006848C7" w:rsidRPr="00715C4F" w:rsidRDefault="006848C7" w:rsidP="00F051EC">
      <w:pPr>
        <w:pStyle w:val="Heading3"/>
        <w:rPr>
          <w:lang w:eastAsia="en-GB"/>
        </w:rPr>
      </w:pPr>
      <w:bookmarkStart w:id="105" w:name="_Toc241025951"/>
      <w:r w:rsidRPr="00715C4F">
        <w:rPr>
          <w:lang w:eastAsia="en-GB"/>
        </w:rPr>
        <w:t>5.5.2 Limitations and Potential Bias</w:t>
      </w:r>
      <w:bookmarkEnd w:id="105"/>
      <w:r w:rsidRPr="00715C4F">
        <w:rPr>
          <w:lang w:eastAsia="en-GB"/>
        </w:rPr>
        <w:t xml:space="preserve"> </w:t>
      </w:r>
    </w:p>
    <w:p w14:paraId="18841194" w14:textId="77777777" w:rsidR="00971483" w:rsidRPr="00715C4F" w:rsidRDefault="00971483" w:rsidP="00715C4F">
      <w:pPr>
        <w:spacing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Available evidence may have been affected by publication bias at the review level as significant papers are more likely to be published. While seven databases were searched, relevant studies may have been missed from those that are not indexed in them. Heterogeneity was also introduced because of the differences in populations, study designs, measurement techniques and vitamin D thresholds, making direct </w:t>
      </w:r>
      <w:r w:rsidRPr="00715C4F">
        <w:rPr>
          <w:rFonts w:ascii="Arial" w:eastAsia="Times New Roman" w:hAnsi="Arial" w:cs="Arial"/>
          <w:kern w:val="0"/>
          <w:lang w:eastAsia="en-GB"/>
          <w14:ligatures w14:val="none"/>
        </w:rPr>
        <w:lastRenderedPageBreak/>
        <w:t>comparisons difficult. The conclusions of the review are primarily based on the quality and reporting of the studies included, as it combines secondary evidence.</w:t>
      </w:r>
    </w:p>
    <w:p w14:paraId="04F55A38" w14:textId="0A08F4C8" w:rsidR="006848C7" w:rsidRPr="00715C4F" w:rsidRDefault="00971483" w:rsidP="00715C4F">
      <w:pPr>
        <w:spacing w:before="240" w:line="360" w:lineRule="auto"/>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Most of the evidence on the included-study level was observational in nature, and some of the cross-sectional studies did not allow the determination of causation. Some samples may have been selected in a way that led to selection bias and self-reported data on diet, sun exposure and lifestyle may have resulted in recall or reporting bias. There is also the potential for residual confounding due to the close relationship among the demographic, socioeconomic and behavioural factors. Additionally, differences in definitions and thresholds of vitamin D deficiency may have affected vitamin D deficiency prevalence reported by different studies</w:t>
      </w:r>
      <w:r w:rsidR="00E32BB8" w:rsidRPr="00715C4F">
        <w:rPr>
          <w:rFonts w:ascii="Arial" w:eastAsia="Times New Roman" w:hAnsi="Arial" w:cs="Arial"/>
          <w:kern w:val="0"/>
          <w:lang w:eastAsia="en-GB"/>
          <w14:ligatures w14:val="none"/>
        </w:rPr>
        <w:t>.</w:t>
      </w:r>
    </w:p>
    <w:p w14:paraId="5392BE6E" w14:textId="2B524957" w:rsidR="006848C7" w:rsidRPr="00715C4F" w:rsidRDefault="006160D4" w:rsidP="0022637B">
      <w:pPr>
        <w:pStyle w:val="Heading2"/>
        <w:rPr>
          <w:lang w:eastAsia="en-GB"/>
        </w:rPr>
      </w:pPr>
      <w:bookmarkStart w:id="106" w:name="_Toc241025952"/>
      <w:r w:rsidRPr="00715C4F">
        <w:rPr>
          <w:lang w:eastAsia="en-GB"/>
        </w:rPr>
        <w:t>5.6 Conclusions</w:t>
      </w:r>
      <w:bookmarkEnd w:id="106"/>
    </w:p>
    <w:p w14:paraId="6B8B1336" w14:textId="77777777" w:rsidR="004C1954" w:rsidRPr="00715C4F" w:rsidRDefault="00C10EDD" w:rsidP="00715C4F">
      <w:pPr>
        <w:spacing w:line="360" w:lineRule="auto"/>
        <w:jc w:val="both"/>
        <w:rPr>
          <w:rFonts w:ascii="Arial" w:eastAsia="Times New Roman" w:hAnsi="Arial" w:cs="Arial"/>
          <w:kern w:val="0"/>
          <w:lang w:eastAsia="en-GB"/>
          <w14:ligatures w14:val="none"/>
        </w:rPr>
        <w:sectPr w:rsidR="004C1954" w:rsidRPr="00715C4F" w:rsidSect="000F32B8">
          <w:pgSz w:w="11906" w:h="16838"/>
          <w:pgMar w:top="1440" w:right="1800" w:bottom="1440" w:left="1800" w:header="708" w:footer="708" w:gutter="0"/>
          <w:cols w:space="708"/>
          <w:docGrid w:linePitch="360"/>
        </w:sectPr>
      </w:pPr>
      <w:r w:rsidRPr="00715C4F">
        <w:rPr>
          <w:rFonts w:ascii="Arial" w:eastAsia="Times New Roman" w:hAnsi="Arial" w:cs="Arial"/>
          <w:kern w:val="0"/>
          <w:lang w:eastAsia="en-GB"/>
          <w14:ligatures w14:val="none"/>
        </w:rPr>
        <w:t>In the UK, this systematic review reported the high prevalence of vitamin D deficiency in ethnic minority groups, especially amongst South Asian and Black communities. But there was no association between vitamin D status and ethnic group. The evidence showed interactions between ethnicity, sunlight exposure, season, diet, supplements, and socioeconomic factors and lifestyle. Thus, there is great potential for targeted prevention and supplementation to help prevent vitamin D deficiency, especially in higher-risk groups. However, the body of evidence was largely observational and varied, which made it difficult to draw conclusions about causation and to be certain of the comparability of studies. In overall, a multi-dimensional approach is necessary and culturally sensitive approach should be taken to tackle vitamin D deficiency and related inequalities in ethnic minority groups in the UK.</w:t>
      </w:r>
    </w:p>
    <w:p w14:paraId="547C7115" w14:textId="46A9E021" w:rsidR="00892569" w:rsidRPr="00715C4F" w:rsidRDefault="00892569" w:rsidP="00092116">
      <w:pPr>
        <w:pStyle w:val="Heading1"/>
        <w:rPr>
          <w:lang w:eastAsia="en-GB"/>
        </w:rPr>
      </w:pPr>
      <w:bookmarkStart w:id="107" w:name="_Toc241025953"/>
      <w:r w:rsidRPr="00715C4F">
        <w:rPr>
          <w:lang w:eastAsia="en-GB"/>
        </w:rPr>
        <w:lastRenderedPageBreak/>
        <w:t>References</w:t>
      </w:r>
      <w:bookmarkEnd w:id="107"/>
    </w:p>
    <w:p w14:paraId="4B05C38A" w14:textId="77777777" w:rsidR="00EF416A" w:rsidRPr="00715C4F" w:rsidRDefault="00EF416A" w:rsidP="00715C4F">
      <w:pPr>
        <w:numPr>
          <w:ilvl w:val="0"/>
          <w:numId w:val="28"/>
        </w:numPr>
        <w:tabs>
          <w:tab w:val="clear" w:pos="720"/>
        </w:tabs>
        <w:spacing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Alshahrani</w:t>
      </w:r>
      <w:proofErr w:type="spellEnd"/>
      <w:r w:rsidRPr="00715C4F">
        <w:rPr>
          <w:rFonts w:ascii="Arial" w:eastAsia="Times New Roman" w:hAnsi="Arial" w:cs="Arial"/>
          <w:kern w:val="0"/>
          <w:lang w:eastAsia="en-GB"/>
          <w14:ligatures w14:val="none"/>
        </w:rPr>
        <w:t xml:space="preserve">, F. and </w:t>
      </w:r>
      <w:proofErr w:type="spellStart"/>
      <w:r w:rsidRPr="00715C4F">
        <w:rPr>
          <w:rFonts w:ascii="Arial" w:eastAsia="Times New Roman" w:hAnsi="Arial" w:cs="Arial"/>
          <w:kern w:val="0"/>
          <w:lang w:eastAsia="en-GB"/>
          <w14:ligatures w14:val="none"/>
        </w:rPr>
        <w:t>Aljohani</w:t>
      </w:r>
      <w:proofErr w:type="spellEnd"/>
      <w:r w:rsidRPr="00715C4F">
        <w:rPr>
          <w:rFonts w:ascii="Arial" w:eastAsia="Times New Roman" w:hAnsi="Arial" w:cs="Arial"/>
          <w:kern w:val="0"/>
          <w:lang w:eastAsia="en-GB"/>
          <w14:ligatures w14:val="none"/>
        </w:rPr>
        <w:t xml:space="preserve">, N. (2013) ‘Vitamin D: deficiency, sufficiency and toxicity’, </w:t>
      </w:r>
      <w:r w:rsidRPr="00715C4F">
        <w:rPr>
          <w:rFonts w:ascii="Arial" w:eastAsia="Times New Roman" w:hAnsi="Arial" w:cs="Arial"/>
          <w:i/>
          <w:iCs/>
          <w:kern w:val="0"/>
          <w:lang w:eastAsia="en-GB"/>
          <w14:ligatures w14:val="none"/>
        </w:rPr>
        <w:t>Nutrients</w:t>
      </w:r>
      <w:r w:rsidRPr="00715C4F">
        <w:rPr>
          <w:rFonts w:ascii="Arial" w:eastAsia="Times New Roman" w:hAnsi="Arial" w:cs="Arial"/>
          <w:kern w:val="0"/>
          <w:lang w:eastAsia="en-GB"/>
          <w14:ligatures w14:val="none"/>
        </w:rPr>
        <w:t>, 5(9), pp. 3605–3616.</w:t>
      </w:r>
      <w:r w:rsidRPr="00715C4F">
        <w:rPr>
          <w:rFonts w:ascii="Arial" w:eastAsia="Times New Roman" w:hAnsi="Arial" w:cs="Arial"/>
          <w:kern w:val="0"/>
          <w:lang w:eastAsia="en-GB"/>
          <w14:ligatures w14:val="none"/>
        </w:rPr>
        <w:br/>
        <w:t xml:space="preserve"> </w:t>
      </w:r>
      <w:hyperlink r:id="rId12" w:history="1">
        <w:r w:rsidRPr="00715C4F">
          <w:rPr>
            <w:rStyle w:val="Hyperlink"/>
            <w:rFonts w:ascii="Arial" w:eastAsia="Times New Roman" w:hAnsi="Arial" w:cs="Arial"/>
            <w:kern w:val="0"/>
            <w:lang w:eastAsia="en-GB"/>
            <w14:ligatures w14:val="none"/>
          </w:rPr>
          <w:t>https://doi.org/10.3390/nu5093605</w:t>
        </w:r>
      </w:hyperlink>
      <w:r w:rsidRPr="00715C4F">
        <w:rPr>
          <w:rFonts w:ascii="Arial" w:eastAsia="Times New Roman" w:hAnsi="Arial" w:cs="Arial"/>
          <w:kern w:val="0"/>
          <w:lang w:eastAsia="en-GB"/>
          <w14:ligatures w14:val="none"/>
        </w:rPr>
        <w:t xml:space="preserve"> [Accessed 20 July 2026]. </w:t>
      </w:r>
    </w:p>
    <w:p w14:paraId="372B6438"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Amrein</w:t>
      </w:r>
      <w:proofErr w:type="spellEnd"/>
      <w:r w:rsidRPr="00715C4F">
        <w:rPr>
          <w:rFonts w:ascii="Arial" w:eastAsia="Times New Roman" w:hAnsi="Arial" w:cs="Arial"/>
          <w:kern w:val="0"/>
          <w:lang w:eastAsia="en-GB"/>
          <w14:ligatures w14:val="none"/>
        </w:rPr>
        <w:t xml:space="preserve">, K. et al. (2020) ‘Vitamin D deficiency 2.0: an update on the current status worldwide’, </w:t>
      </w:r>
      <w:r w:rsidRPr="00715C4F">
        <w:rPr>
          <w:rFonts w:ascii="Arial" w:eastAsia="Times New Roman" w:hAnsi="Arial" w:cs="Arial"/>
          <w:i/>
          <w:iCs/>
          <w:kern w:val="0"/>
          <w:lang w:eastAsia="en-GB"/>
          <w14:ligatures w14:val="none"/>
        </w:rPr>
        <w:t>European Journal of Clinical Nutrition</w:t>
      </w:r>
      <w:r w:rsidRPr="00715C4F">
        <w:rPr>
          <w:rFonts w:ascii="Arial" w:eastAsia="Times New Roman" w:hAnsi="Arial" w:cs="Arial"/>
          <w:kern w:val="0"/>
          <w:lang w:eastAsia="en-GB"/>
          <w14:ligatures w14:val="none"/>
        </w:rPr>
        <w:t>, 74, pp. 1498–1503.</w:t>
      </w:r>
      <w:r w:rsidRPr="00715C4F">
        <w:rPr>
          <w:rFonts w:ascii="Arial" w:eastAsia="Times New Roman" w:hAnsi="Arial" w:cs="Arial"/>
          <w:kern w:val="0"/>
          <w:lang w:eastAsia="en-GB"/>
          <w14:ligatures w14:val="none"/>
        </w:rPr>
        <w:br/>
        <w:t xml:space="preserve"> </w:t>
      </w:r>
      <w:hyperlink r:id="rId13" w:tgtFrame="_new" w:history="1">
        <w:r w:rsidRPr="00715C4F">
          <w:rPr>
            <w:rFonts w:ascii="Arial" w:eastAsia="Times New Roman" w:hAnsi="Arial" w:cs="Arial"/>
            <w:color w:val="0000FF"/>
            <w:kern w:val="0"/>
            <w:u w:val="single"/>
            <w:lang w:eastAsia="en-GB"/>
            <w14:ligatures w14:val="none"/>
          </w:rPr>
          <w:t>https://doi.org/10.1038/s41430-020-0558-y</w:t>
        </w:r>
      </w:hyperlink>
      <w:r w:rsidRPr="00715C4F">
        <w:rPr>
          <w:rFonts w:ascii="Arial" w:eastAsia="Times New Roman" w:hAnsi="Arial" w:cs="Arial"/>
          <w:kern w:val="0"/>
          <w:lang w:eastAsia="en-GB"/>
          <w14:ligatures w14:val="none"/>
        </w:rPr>
        <w:t xml:space="preserve"> [Accessed 20 July 2026]. </w:t>
      </w:r>
    </w:p>
    <w:p w14:paraId="16B07F14"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Arksey</w:t>
      </w:r>
      <w:proofErr w:type="spellEnd"/>
      <w:r w:rsidRPr="00715C4F">
        <w:rPr>
          <w:rFonts w:ascii="Arial" w:eastAsia="Times New Roman" w:hAnsi="Arial" w:cs="Arial"/>
          <w:kern w:val="0"/>
          <w:lang w:eastAsia="en-GB"/>
          <w14:ligatures w14:val="none"/>
        </w:rPr>
        <w:t xml:space="preserve">, H. and O’Malley, L. (2005) ‘Scoping studies: towards a methodological framework’, </w:t>
      </w:r>
      <w:r w:rsidRPr="00715C4F">
        <w:rPr>
          <w:rFonts w:ascii="Arial" w:eastAsia="Times New Roman" w:hAnsi="Arial" w:cs="Arial"/>
          <w:i/>
          <w:iCs/>
          <w:kern w:val="0"/>
          <w:lang w:eastAsia="en-GB"/>
          <w14:ligatures w14:val="none"/>
        </w:rPr>
        <w:t>International Journal of Social Research Methodology</w:t>
      </w:r>
      <w:r w:rsidRPr="00715C4F">
        <w:rPr>
          <w:rFonts w:ascii="Arial" w:eastAsia="Times New Roman" w:hAnsi="Arial" w:cs="Arial"/>
          <w:kern w:val="0"/>
          <w:lang w:eastAsia="en-GB"/>
          <w14:ligatures w14:val="none"/>
        </w:rPr>
        <w:t>, 8(1), pp. 19–32.</w:t>
      </w:r>
      <w:r w:rsidRPr="00715C4F">
        <w:rPr>
          <w:rFonts w:ascii="Arial" w:eastAsia="Times New Roman" w:hAnsi="Arial" w:cs="Arial"/>
          <w:kern w:val="0"/>
          <w:lang w:eastAsia="en-GB"/>
          <w14:ligatures w14:val="none"/>
        </w:rPr>
        <w:br/>
        <w:t xml:space="preserve"> </w:t>
      </w:r>
      <w:hyperlink r:id="rId14" w:tgtFrame="_new" w:history="1">
        <w:r w:rsidRPr="00715C4F">
          <w:rPr>
            <w:rFonts w:ascii="Arial" w:eastAsia="Times New Roman" w:hAnsi="Arial" w:cs="Arial"/>
            <w:color w:val="0000FF"/>
            <w:kern w:val="0"/>
            <w:u w:val="single"/>
            <w:lang w:eastAsia="en-GB"/>
            <w14:ligatures w14:val="none"/>
          </w:rPr>
          <w:t>https://doi.org/10.1080/1364557032000119616</w:t>
        </w:r>
      </w:hyperlink>
      <w:r w:rsidRPr="00715C4F">
        <w:rPr>
          <w:rFonts w:ascii="Arial" w:eastAsia="Times New Roman" w:hAnsi="Arial" w:cs="Arial"/>
          <w:kern w:val="0"/>
          <w:lang w:eastAsia="en-GB"/>
          <w14:ligatures w14:val="none"/>
        </w:rPr>
        <w:t xml:space="preserve"> [Accessed 21 July 2026]. </w:t>
      </w:r>
    </w:p>
    <w:p w14:paraId="0C07E7BA"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Autier</w:t>
      </w:r>
      <w:proofErr w:type="spellEnd"/>
      <w:r w:rsidRPr="00715C4F">
        <w:rPr>
          <w:rFonts w:ascii="Arial" w:eastAsia="Times New Roman" w:hAnsi="Arial" w:cs="Arial"/>
          <w:kern w:val="0"/>
          <w:lang w:eastAsia="en-GB"/>
          <w14:ligatures w14:val="none"/>
        </w:rPr>
        <w:t xml:space="preserve">, P. et al. (2014) ‘Vitamin D status and ill health: a systematic review’, </w:t>
      </w:r>
      <w:r w:rsidRPr="00715C4F">
        <w:rPr>
          <w:rFonts w:ascii="Arial" w:eastAsia="Times New Roman" w:hAnsi="Arial" w:cs="Arial"/>
          <w:i/>
          <w:iCs/>
          <w:kern w:val="0"/>
          <w:lang w:eastAsia="en-GB"/>
          <w14:ligatures w14:val="none"/>
        </w:rPr>
        <w:t>The Lancet Diabetes &amp; Endocrinology</w:t>
      </w:r>
      <w:r w:rsidRPr="00715C4F">
        <w:rPr>
          <w:rFonts w:ascii="Arial" w:eastAsia="Times New Roman" w:hAnsi="Arial" w:cs="Arial"/>
          <w:kern w:val="0"/>
          <w:lang w:eastAsia="en-GB"/>
          <w14:ligatures w14:val="none"/>
        </w:rPr>
        <w:t>, 2(1), pp. 76–89.</w:t>
      </w:r>
      <w:r w:rsidRPr="00715C4F">
        <w:rPr>
          <w:rFonts w:ascii="Arial" w:eastAsia="Times New Roman" w:hAnsi="Arial" w:cs="Arial"/>
          <w:kern w:val="0"/>
          <w:lang w:eastAsia="en-GB"/>
          <w14:ligatures w14:val="none"/>
        </w:rPr>
        <w:br/>
        <w:t xml:space="preserve"> </w:t>
      </w:r>
      <w:hyperlink r:id="rId15" w:history="1">
        <w:r w:rsidRPr="00715C4F">
          <w:rPr>
            <w:rStyle w:val="Hyperlink"/>
            <w:rFonts w:ascii="Arial" w:eastAsia="Times New Roman" w:hAnsi="Arial" w:cs="Arial"/>
            <w:kern w:val="0"/>
            <w:lang w:eastAsia="en-GB"/>
            <w14:ligatures w14:val="none"/>
          </w:rPr>
          <w:t>https://doi.org/10.1016/S2213-8587(13)70165-7</w:t>
        </w:r>
      </w:hyperlink>
      <w:r w:rsidRPr="00715C4F">
        <w:rPr>
          <w:rFonts w:ascii="Arial" w:eastAsia="Times New Roman" w:hAnsi="Arial" w:cs="Arial"/>
          <w:kern w:val="0"/>
          <w:lang w:eastAsia="en-GB"/>
          <w14:ligatures w14:val="none"/>
        </w:rPr>
        <w:t xml:space="preserve"> [Accessed 21 July 2026]. </w:t>
      </w:r>
    </w:p>
    <w:p w14:paraId="26518CA9"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Bauer, S.R. et al. (2013) ‘Comparison of vitamin D blood measurements from different laboratories’, </w:t>
      </w:r>
      <w:r w:rsidRPr="00715C4F">
        <w:rPr>
          <w:rFonts w:ascii="Arial" w:eastAsia="Times New Roman" w:hAnsi="Arial" w:cs="Arial"/>
          <w:i/>
          <w:iCs/>
          <w:kern w:val="0"/>
          <w:lang w:eastAsia="en-GB"/>
          <w14:ligatures w14:val="none"/>
        </w:rPr>
        <w:t>Cancer Epidemiology, Biomarkers &amp; Prevention</w:t>
      </w:r>
      <w:r w:rsidRPr="00715C4F">
        <w:rPr>
          <w:rFonts w:ascii="Arial" w:eastAsia="Times New Roman" w:hAnsi="Arial" w:cs="Arial"/>
          <w:kern w:val="0"/>
          <w:lang w:eastAsia="en-GB"/>
          <w14:ligatures w14:val="none"/>
        </w:rPr>
        <w:t xml:space="preserve">, 22(7), pp. 1224–1230. </w:t>
      </w:r>
      <w:hyperlink r:id="rId16" w:history="1">
        <w:r w:rsidRPr="00715C4F">
          <w:rPr>
            <w:rStyle w:val="Hyperlink"/>
            <w:rFonts w:ascii="Arial" w:eastAsia="Times New Roman" w:hAnsi="Arial" w:cs="Arial"/>
            <w:kern w:val="0"/>
            <w:lang w:eastAsia="en-GB"/>
            <w14:ligatures w14:val="none"/>
          </w:rPr>
          <w:t>https://doi.org/10.1158/1055-9965.EPI-13-0159</w:t>
        </w:r>
      </w:hyperlink>
      <w:r w:rsidRPr="00715C4F">
        <w:rPr>
          <w:rFonts w:ascii="Arial" w:eastAsia="Times New Roman" w:hAnsi="Arial" w:cs="Arial"/>
          <w:kern w:val="0"/>
          <w:lang w:eastAsia="en-GB"/>
          <w14:ligatures w14:val="none"/>
        </w:rPr>
        <w:t xml:space="preserve"> [Accessed 22 July 2026]. </w:t>
      </w:r>
    </w:p>
    <w:p w14:paraId="218DEAD1"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Belfield, P. and </w:t>
      </w:r>
      <w:proofErr w:type="spellStart"/>
      <w:r w:rsidRPr="00715C4F">
        <w:rPr>
          <w:rFonts w:ascii="Arial" w:eastAsia="Times New Roman" w:hAnsi="Arial" w:cs="Arial"/>
          <w:kern w:val="0"/>
          <w:lang w:eastAsia="en-GB"/>
          <w14:ligatures w14:val="none"/>
        </w:rPr>
        <w:t>Llahana</w:t>
      </w:r>
      <w:proofErr w:type="spellEnd"/>
      <w:r w:rsidRPr="00715C4F">
        <w:rPr>
          <w:rFonts w:ascii="Arial" w:eastAsia="Times New Roman" w:hAnsi="Arial" w:cs="Arial"/>
          <w:kern w:val="0"/>
          <w:lang w:eastAsia="en-GB"/>
          <w14:ligatures w14:val="none"/>
        </w:rPr>
        <w:t xml:space="preserve">, S. (2024) ‘A qualitative study to explore the knowledge and perceptions of vitamin D deficiency in women of Bengali origin living in the UK’, </w:t>
      </w:r>
      <w:r w:rsidRPr="00715C4F">
        <w:rPr>
          <w:rFonts w:ascii="Arial" w:eastAsia="Times New Roman" w:hAnsi="Arial" w:cs="Arial"/>
          <w:i/>
          <w:iCs/>
          <w:kern w:val="0"/>
          <w:lang w:eastAsia="en-GB"/>
          <w14:ligatures w14:val="none"/>
        </w:rPr>
        <w:t>Practice Nursing</w:t>
      </w:r>
      <w:r w:rsidRPr="00715C4F">
        <w:rPr>
          <w:rFonts w:ascii="Arial" w:eastAsia="Times New Roman" w:hAnsi="Arial" w:cs="Arial"/>
          <w:kern w:val="0"/>
          <w:lang w:eastAsia="en-GB"/>
          <w14:ligatures w14:val="none"/>
        </w:rPr>
        <w:t>, 35(5), pp. 166–172.</w:t>
      </w:r>
      <w:r w:rsidRPr="00715C4F">
        <w:rPr>
          <w:rFonts w:ascii="Arial" w:eastAsia="Times New Roman" w:hAnsi="Arial" w:cs="Arial"/>
          <w:kern w:val="0"/>
          <w:lang w:eastAsia="en-GB"/>
          <w14:ligatures w14:val="none"/>
        </w:rPr>
        <w:br/>
        <w:t xml:space="preserve"> </w:t>
      </w:r>
      <w:hyperlink r:id="rId17" w:history="1">
        <w:r w:rsidRPr="00715C4F">
          <w:rPr>
            <w:rStyle w:val="Hyperlink"/>
            <w:rFonts w:ascii="Arial" w:eastAsia="Times New Roman" w:hAnsi="Arial" w:cs="Arial"/>
            <w:kern w:val="0"/>
            <w:lang w:eastAsia="en-GB"/>
            <w14:ligatures w14:val="none"/>
          </w:rPr>
          <w:t>https://doi.org/10.12968/pnur.2024.35.5.166</w:t>
        </w:r>
      </w:hyperlink>
      <w:r w:rsidRPr="00715C4F">
        <w:rPr>
          <w:rFonts w:ascii="Arial" w:eastAsia="Times New Roman" w:hAnsi="Arial" w:cs="Arial"/>
          <w:kern w:val="0"/>
          <w:lang w:eastAsia="en-GB"/>
          <w14:ligatures w14:val="none"/>
        </w:rPr>
        <w:t xml:space="preserve"> [Accessed 22 July 2026]. </w:t>
      </w:r>
    </w:p>
    <w:p w14:paraId="5C7608F9"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Bikle</w:t>
      </w:r>
      <w:proofErr w:type="spellEnd"/>
      <w:r w:rsidRPr="00715C4F">
        <w:rPr>
          <w:rFonts w:ascii="Arial" w:eastAsia="Times New Roman" w:hAnsi="Arial" w:cs="Arial"/>
          <w:kern w:val="0"/>
          <w:lang w:eastAsia="en-GB"/>
          <w14:ligatures w14:val="none"/>
        </w:rPr>
        <w:t xml:space="preserve">, D.D. (2014) ‘Vitamin D metabolism, mechanism of action, and clinical applications’, </w:t>
      </w:r>
      <w:r w:rsidRPr="00715C4F">
        <w:rPr>
          <w:rFonts w:ascii="Arial" w:eastAsia="Times New Roman" w:hAnsi="Arial" w:cs="Arial"/>
          <w:i/>
          <w:iCs/>
          <w:kern w:val="0"/>
          <w:lang w:eastAsia="en-GB"/>
          <w14:ligatures w14:val="none"/>
        </w:rPr>
        <w:t>Chemistry &amp; Biology</w:t>
      </w:r>
      <w:r w:rsidRPr="00715C4F">
        <w:rPr>
          <w:rFonts w:ascii="Arial" w:eastAsia="Times New Roman" w:hAnsi="Arial" w:cs="Arial"/>
          <w:kern w:val="0"/>
          <w:lang w:eastAsia="en-GB"/>
          <w14:ligatures w14:val="none"/>
        </w:rPr>
        <w:t>, 21(3), pp. 319–329.</w:t>
      </w:r>
      <w:r w:rsidRPr="00715C4F">
        <w:rPr>
          <w:rFonts w:ascii="Arial" w:eastAsia="Times New Roman" w:hAnsi="Arial" w:cs="Arial"/>
          <w:kern w:val="0"/>
          <w:lang w:eastAsia="en-GB"/>
          <w14:ligatures w14:val="none"/>
        </w:rPr>
        <w:br/>
        <w:t xml:space="preserve"> </w:t>
      </w:r>
      <w:hyperlink r:id="rId18" w:history="1">
        <w:r w:rsidRPr="00715C4F">
          <w:rPr>
            <w:rStyle w:val="Hyperlink"/>
            <w:rFonts w:ascii="Arial" w:eastAsia="Times New Roman" w:hAnsi="Arial" w:cs="Arial"/>
            <w:kern w:val="0"/>
            <w:lang w:eastAsia="en-GB"/>
            <w14:ligatures w14:val="none"/>
          </w:rPr>
          <w:t>https://doi.org/10.1016/j.chembiol.2013.12.016</w:t>
        </w:r>
      </w:hyperlink>
      <w:r w:rsidRPr="00715C4F">
        <w:rPr>
          <w:rFonts w:ascii="Arial" w:eastAsia="Times New Roman" w:hAnsi="Arial" w:cs="Arial"/>
          <w:kern w:val="0"/>
          <w:lang w:eastAsia="en-GB"/>
          <w14:ligatures w14:val="none"/>
        </w:rPr>
        <w:t xml:space="preserve"> [Accessed 23 July 2026]. </w:t>
      </w:r>
    </w:p>
    <w:p w14:paraId="37432960"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Bischoff-Ferrari, H.A. et al. (2006) ‘Estimation of optimal serum concentrations of 25-hydroxyvitamin D for multiple health outcomes’, </w:t>
      </w:r>
      <w:r w:rsidRPr="00715C4F">
        <w:rPr>
          <w:rFonts w:ascii="Arial" w:eastAsia="Times New Roman" w:hAnsi="Arial" w:cs="Arial"/>
          <w:i/>
          <w:iCs/>
          <w:kern w:val="0"/>
          <w:lang w:eastAsia="en-GB"/>
          <w14:ligatures w14:val="none"/>
        </w:rPr>
        <w:t>The American Journal of Clinical Nutrition</w:t>
      </w:r>
      <w:r w:rsidRPr="00715C4F">
        <w:rPr>
          <w:rFonts w:ascii="Arial" w:eastAsia="Times New Roman" w:hAnsi="Arial" w:cs="Arial"/>
          <w:kern w:val="0"/>
          <w:lang w:eastAsia="en-GB"/>
          <w14:ligatures w14:val="none"/>
        </w:rPr>
        <w:t xml:space="preserve">, 84(1), pp. 18–28. </w:t>
      </w:r>
      <w:hyperlink r:id="rId19" w:history="1">
        <w:r w:rsidRPr="00715C4F">
          <w:rPr>
            <w:rStyle w:val="Hyperlink"/>
            <w:rFonts w:ascii="Arial" w:eastAsia="Times New Roman" w:hAnsi="Arial" w:cs="Arial"/>
            <w:kern w:val="0"/>
            <w:lang w:eastAsia="en-GB"/>
            <w14:ligatures w14:val="none"/>
          </w:rPr>
          <w:t>https://doi.org/10.1093/ajcn/84.1.18</w:t>
        </w:r>
      </w:hyperlink>
      <w:r w:rsidRPr="00715C4F">
        <w:rPr>
          <w:rFonts w:ascii="Arial" w:eastAsia="Times New Roman" w:hAnsi="Arial" w:cs="Arial"/>
          <w:kern w:val="0"/>
          <w:lang w:eastAsia="en-GB"/>
          <w14:ligatures w14:val="none"/>
        </w:rPr>
        <w:t xml:space="preserve"> [Accessed 24 July 2026]. </w:t>
      </w:r>
    </w:p>
    <w:p w14:paraId="26971773"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Bischoff-Ferrari, H.A. et al. (2006) ‘Fracture prevention with vitamin D supplementation: a meta-analysis of randomized controlled trials’, </w:t>
      </w:r>
      <w:r w:rsidRPr="00715C4F">
        <w:rPr>
          <w:rFonts w:ascii="Arial" w:eastAsia="Times New Roman" w:hAnsi="Arial" w:cs="Arial"/>
          <w:i/>
          <w:iCs/>
          <w:kern w:val="0"/>
          <w:lang w:eastAsia="en-GB"/>
          <w14:ligatures w14:val="none"/>
        </w:rPr>
        <w:t>JAMA</w:t>
      </w:r>
      <w:r w:rsidRPr="00715C4F">
        <w:rPr>
          <w:rFonts w:ascii="Arial" w:eastAsia="Times New Roman" w:hAnsi="Arial" w:cs="Arial"/>
          <w:kern w:val="0"/>
          <w:lang w:eastAsia="en-GB"/>
          <w14:ligatures w14:val="none"/>
        </w:rPr>
        <w:t xml:space="preserve">, 295(18), pp. 2250–2261. </w:t>
      </w:r>
      <w:hyperlink r:id="rId20" w:history="1">
        <w:r w:rsidRPr="00715C4F">
          <w:rPr>
            <w:rStyle w:val="Hyperlink"/>
            <w:rFonts w:ascii="Arial" w:eastAsia="Times New Roman" w:hAnsi="Arial" w:cs="Arial"/>
            <w:kern w:val="0"/>
            <w:lang w:eastAsia="en-GB"/>
            <w14:ligatures w14:val="none"/>
          </w:rPr>
          <w:t>https://doi.org/10.1001/jama.295.18.2250</w:t>
        </w:r>
      </w:hyperlink>
      <w:r w:rsidRPr="00715C4F">
        <w:rPr>
          <w:rFonts w:ascii="Arial" w:eastAsia="Times New Roman" w:hAnsi="Arial" w:cs="Arial"/>
          <w:kern w:val="0"/>
          <w:lang w:eastAsia="en-GB"/>
          <w14:ligatures w14:val="none"/>
        </w:rPr>
        <w:t xml:space="preserve"> [Accessed 23 July 2026]. </w:t>
      </w:r>
    </w:p>
    <w:p w14:paraId="0D6B6CE0"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Bischoff-Ferrari, H.A. et al. (2009) ‘A pooled analysis of vitamin D dose requirements for fracture prevention’, </w:t>
      </w:r>
      <w:r w:rsidRPr="00715C4F">
        <w:rPr>
          <w:rFonts w:ascii="Arial" w:eastAsia="Times New Roman" w:hAnsi="Arial" w:cs="Arial"/>
          <w:i/>
          <w:iCs/>
          <w:kern w:val="0"/>
          <w:lang w:eastAsia="en-GB"/>
          <w14:ligatures w14:val="none"/>
        </w:rPr>
        <w:t>The New England Journal of Medicine</w:t>
      </w:r>
      <w:r w:rsidRPr="00715C4F">
        <w:rPr>
          <w:rFonts w:ascii="Arial" w:eastAsia="Times New Roman" w:hAnsi="Arial" w:cs="Arial"/>
          <w:kern w:val="0"/>
          <w:lang w:eastAsia="en-GB"/>
          <w14:ligatures w14:val="none"/>
        </w:rPr>
        <w:t xml:space="preserve">, 361, pp. 1391–1399. </w:t>
      </w:r>
      <w:hyperlink r:id="rId21" w:history="1">
        <w:r w:rsidRPr="00715C4F">
          <w:rPr>
            <w:rStyle w:val="Hyperlink"/>
            <w:rFonts w:ascii="Arial" w:eastAsia="Times New Roman" w:hAnsi="Arial" w:cs="Arial"/>
            <w:kern w:val="0"/>
            <w:lang w:eastAsia="en-GB"/>
            <w14:ligatures w14:val="none"/>
          </w:rPr>
          <w:t>https://doi.org/10.1056/NEJMoa0805828</w:t>
        </w:r>
      </w:hyperlink>
      <w:r w:rsidRPr="00715C4F">
        <w:rPr>
          <w:rFonts w:ascii="Arial" w:eastAsia="Times New Roman" w:hAnsi="Arial" w:cs="Arial"/>
          <w:kern w:val="0"/>
          <w:lang w:eastAsia="en-GB"/>
          <w14:ligatures w14:val="none"/>
        </w:rPr>
        <w:t xml:space="preserve"> [Accessed 24 July 2026]. </w:t>
      </w:r>
    </w:p>
    <w:p w14:paraId="6D3C7589"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Bjelakovic</w:t>
      </w:r>
      <w:proofErr w:type="spellEnd"/>
      <w:r w:rsidRPr="00715C4F">
        <w:rPr>
          <w:rFonts w:ascii="Arial" w:eastAsia="Times New Roman" w:hAnsi="Arial" w:cs="Arial"/>
          <w:kern w:val="0"/>
          <w:lang w:eastAsia="en-GB"/>
          <w14:ligatures w14:val="none"/>
        </w:rPr>
        <w:t xml:space="preserve">, G. et al. (2014) ‘Vitamin D supplementation for prevention of mortality in adults’, </w:t>
      </w:r>
      <w:r w:rsidRPr="00715C4F">
        <w:rPr>
          <w:rFonts w:ascii="Arial" w:eastAsia="Times New Roman" w:hAnsi="Arial" w:cs="Arial"/>
          <w:i/>
          <w:iCs/>
          <w:kern w:val="0"/>
          <w:lang w:eastAsia="en-GB"/>
          <w14:ligatures w14:val="none"/>
        </w:rPr>
        <w:t>Cochrane Database of Systematic Reviews</w:t>
      </w:r>
      <w:r w:rsidRPr="00715C4F">
        <w:rPr>
          <w:rFonts w:ascii="Arial" w:eastAsia="Times New Roman" w:hAnsi="Arial" w:cs="Arial"/>
          <w:kern w:val="0"/>
          <w:lang w:eastAsia="en-GB"/>
          <w14:ligatures w14:val="none"/>
        </w:rPr>
        <w:t>, (1), CD007470.</w:t>
      </w:r>
      <w:r w:rsidRPr="00715C4F">
        <w:rPr>
          <w:rFonts w:ascii="Arial" w:eastAsia="Times New Roman" w:hAnsi="Arial" w:cs="Arial"/>
          <w:kern w:val="0"/>
          <w:lang w:eastAsia="en-GB"/>
          <w14:ligatures w14:val="none"/>
        </w:rPr>
        <w:br/>
        <w:t xml:space="preserve"> </w:t>
      </w:r>
      <w:hyperlink r:id="rId22" w:tgtFrame="_new" w:history="1">
        <w:r w:rsidRPr="00715C4F">
          <w:rPr>
            <w:rFonts w:ascii="Arial" w:eastAsia="Times New Roman" w:hAnsi="Arial" w:cs="Arial"/>
            <w:color w:val="0000FF"/>
            <w:kern w:val="0"/>
            <w:u w:val="single"/>
            <w:lang w:eastAsia="en-GB"/>
            <w14:ligatures w14:val="none"/>
          </w:rPr>
          <w:t>https://doi.org/10.1002/14651858.CD007470.pub3</w:t>
        </w:r>
      </w:hyperlink>
      <w:r w:rsidRPr="00715C4F">
        <w:rPr>
          <w:rFonts w:ascii="Arial" w:eastAsia="Times New Roman" w:hAnsi="Arial" w:cs="Arial"/>
          <w:kern w:val="0"/>
          <w:lang w:eastAsia="en-GB"/>
          <w14:ligatures w14:val="none"/>
        </w:rPr>
        <w:t xml:space="preserve"> [Accessed 25 July 2026]. </w:t>
      </w:r>
    </w:p>
    <w:p w14:paraId="4375F065"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 xml:space="preserve">Bouillon, R. et al. (2019) ‘Skeletal and </w:t>
      </w:r>
      <w:proofErr w:type="spellStart"/>
      <w:r w:rsidRPr="00715C4F">
        <w:rPr>
          <w:rFonts w:ascii="Arial" w:eastAsia="Times New Roman" w:hAnsi="Arial" w:cs="Arial"/>
          <w:kern w:val="0"/>
          <w:lang w:eastAsia="en-GB"/>
          <w14:ligatures w14:val="none"/>
        </w:rPr>
        <w:t>extraskeletal</w:t>
      </w:r>
      <w:proofErr w:type="spellEnd"/>
      <w:r w:rsidRPr="00715C4F">
        <w:rPr>
          <w:rFonts w:ascii="Arial" w:eastAsia="Times New Roman" w:hAnsi="Arial" w:cs="Arial"/>
          <w:kern w:val="0"/>
          <w:lang w:eastAsia="en-GB"/>
          <w14:ligatures w14:val="none"/>
        </w:rPr>
        <w:t xml:space="preserve"> actions of vitamin D: current evidence and outstanding questions’, </w:t>
      </w:r>
      <w:r w:rsidRPr="00715C4F">
        <w:rPr>
          <w:rFonts w:ascii="Arial" w:eastAsia="Times New Roman" w:hAnsi="Arial" w:cs="Arial"/>
          <w:i/>
          <w:iCs/>
          <w:kern w:val="0"/>
          <w:lang w:eastAsia="en-GB"/>
          <w14:ligatures w14:val="none"/>
        </w:rPr>
        <w:t>Endocrine Reviews</w:t>
      </w:r>
      <w:r w:rsidRPr="00715C4F">
        <w:rPr>
          <w:rFonts w:ascii="Arial" w:eastAsia="Times New Roman" w:hAnsi="Arial" w:cs="Arial"/>
          <w:kern w:val="0"/>
          <w:lang w:eastAsia="en-GB"/>
          <w14:ligatures w14:val="none"/>
        </w:rPr>
        <w:t>, 40(4), pp. 1109–1151.</w:t>
      </w:r>
      <w:r w:rsidRPr="00715C4F">
        <w:rPr>
          <w:rFonts w:ascii="Arial" w:eastAsia="Times New Roman" w:hAnsi="Arial" w:cs="Arial"/>
          <w:kern w:val="0"/>
          <w:lang w:eastAsia="en-GB"/>
          <w14:ligatures w14:val="none"/>
        </w:rPr>
        <w:br/>
        <w:t xml:space="preserve"> </w:t>
      </w:r>
      <w:hyperlink r:id="rId23" w:tgtFrame="_new" w:history="1">
        <w:r w:rsidRPr="00715C4F">
          <w:rPr>
            <w:rFonts w:ascii="Arial" w:eastAsia="Times New Roman" w:hAnsi="Arial" w:cs="Arial"/>
            <w:color w:val="0000FF"/>
            <w:kern w:val="0"/>
            <w:u w:val="single"/>
            <w:lang w:eastAsia="en-GB"/>
            <w14:ligatures w14:val="none"/>
          </w:rPr>
          <w:t>https://doi.org/10.1210/er.2018-00126</w:t>
        </w:r>
      </w:hyperlink>
      <w:r w:rsidRPr="00715C4F">
        <w:rPr>
          <w:rFonts w:ascii="Arial" w:eastAsia="Times New Roman" w:hAnsi="Arial" w:cs="Arial"/>
          <w:kern w:val="0"/>
          <w:lang w:eastAsia="en-GB"/>
          <w14:ligatures w14:val="none"/>
        </w:rPr>
        <w:t xml:space="preserve"> [Accessed 25 July 2026]. </w:t>
      </w:r>
    </w:p>
    <w:p w14:paraId="1E9434A0"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Bouillon, R., </w:t>
      </w:r>
      <w:proofErr w:type="spellStart"/>
      <w:r w:rsidRPr="00715C4F">
        <w:rPr>
          <w:rFonts w:ascii="Arial" w:eastAsia="Times New Roman" w:hAnsi="Arial" w:cs="Arial"/>
          <w:kern w:val="0"/>
          <w:lang w:eastAsia="en-GB"/>
          <w14:ligatures w14:val="none"/>
        </w:rPr>
        <w:t>Manousopoulou</w:t>
      </w:r>
      <w:proofErr w:type="spellEnd"/>
      <w:r w:rsidRPr="00715C4F">
        <w:rPr>
          <w:rFonts w:ascii="Arial" w:eastAsia="Times New Roman" w:hAnsi="Arial" w:cs="Arial"/>
          <w:kern w:val="0"/>
          <w:lang w:eastAsia="en-GB"/>
          <w14:ligatures w14:val="none"/>
        </w:rPr>
        <w:t xml:space="preserve">, A. et al. (2021) ‘Vitamin D and human health: lessons from Mendelian randomisation studies’, </w:t>
      </w:r>
      <w:r w:rsidRPr="00715C4F">
        <w:rPr>
          <w:rFonts w:ascii="Arial" w:eastAsia="Times New Roman" w:hAnsi="Arial" w:cs="Arial"/>
          <w:i/>
          <w:iCs/>
          <w:kern w:val="0"/>
          <w:lang w:eastAsia="en-GB"/>
          <w14:ligatures w14:val="none"/>
        </w:rPr>
        <w:t>Nature Reviews Endocrinology</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r>
      <w:hyperlink r:id="rId24" w:history="1">
        <w:r w:rsidRPr="00715C4F">
          <w:rPr>
            <w:rStyle w:val="Hyperlink"/>
            <w:rFonts w:ascii="Arial" w:eastAsia="Times New Roman" w:hAnsi="Arial" w:cs="Arial"/>
            <w:kern w:val="0"/>
            <w:lang w:eastAsia="en-GB"/>
            <w14:ligatures w14:val="none"/>
          </w:rPr>
          <w:t>https://www.nature.com/search?q=Vitamin%20D%20and%20human%20health%20lessons%20from%20Mendelian%20randomisation%20studies</w:t>
        </w:r>
      </w:hyperlink>
      <w:r w:rsidRPr="00715C4F">
        <w:rPr>
          <w:rFonts w:ascii="Arial" w:eastAsia="Times New Roman" w:hAnsi="Arial" w:cs="Arial"/>
          <w:kern w:val="0"/>
          <w:lang w:eastAsia="en-GB"/>
          <w14:ligatures w14:val="none"/>
        </w:rPr>
        <w:t xml:space="preserve"> [Accessed 12 September 2026]. </w:t>
      </w:r>
    </w:p>
    <w:p w14:paraId="36B3A11D"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Bournot</w:t>
      </w:r>
      <w:proofErr w:type="spellEnd"/>
      <w:r w:rsidRPr="00715C4F">
        <w:rPr>
          <w:rFonts w:ascii="Arial" w:eastAsia="Times New Roman" w:hAnsi="Arial" w:cs="Arial"/>
          <w:kern w:val="0"/>
          <w:lang w:eastAsia="en-GB"/>
          <w14:ligatures w14:val="none"/>
        </w:rPr>
        <w:t xml:space="preserve">, A.R. et al. (2026) ‘Association between serum 25-hydroxyvitamin D status and respiratory tract infections requiring hospital admission’, </w:t>
      </w:r>
      <w:r w:rsidRPr="00715C4F">
        <w:rPr>
          <w:rFonts w:ascii="Arial" w:eastAsia="Times New Roman" w:hAnsi="Arial" w:cs="Arial"/>
          <w:i/>
          <w:iCs/>
          <w:kern w:val="0"/>
          <w:lang w:eastAsia="en-GB"/>
          <w14:ligatures w14:val="none"/>
        </w:rPr>
        <w:t>The American Journal of Clinical Nutrition</w:t>
      </w:r>
      <w:r w:rsidRPr="00715C4F">
        <w:rPr>
          <w:rFonts w:ascii="Arial" w:eastAsia="Times New Roman" w:hAnsi="Arial" w:cs="Arial"/>
          <w:kern w:val="0"/>
          <w:lang w:eastAsia="en-GB"/>
          <w14:ligatures w14:val="none"/>
        </w:rPr>
        <w:t>, 123(2), 101179.</w:t>
      </w:r>
      <w:r w:rsidRPr="00715C4F">
        <w:rPr>
          <w:rFonts w:ascii="Arial" w:eastAsia="Times New Roman" w:hAnsi="Arial" w:cs="Arial"/>
          <w:kern w:val="0"/>
          <w:lang w:eastAsia="en-GB"/>
          <w14:ligatures w14:val="none"/>
        </w:rPr>
        <w:br/>
        <w:t xml:space="preserve"> </w:t>
      </w:r>
      <w:hyperlink r:id="rId25" w:history="1">
        <w:r w:rsidRPr="00715C4F">
          <w:rPr>
            <w:rStyle w:val="Hyperlink"/>
            <w:rFonts w:ascii="Arial" w:eastAsia="Times New Roman" w:hAnsi="Arial" w:cs="Arial"/>
            <w:kern w:val="0"/>
            <w:lang w:eastAsia="en-GB"/>
            <w14:ligatures w14:val="none"/>
          </w:rPr>
          <w:t>https://doi.org/10.1016/j.ajcnut.2025.101179</w:t>
        </w:r>
      </w:hyperlink>
      <w:r w:rsidRPr="00715C4F">
        <w:rPr>
          <w:rFonts w:ascii="Arial" w:eastAsia="Times New Roman" w:hAnsi="Arial" w:cs="Arial"/>
          <w:kern w:val="0"/>
          <w:lang w:eastAsia="en-GB"/>
          <w14:ligatures w14:val="none"/>
        </w:rPr>
        <w:t xml:space="preserve"> [Accessed 26 July 2026]. </w:t>
      </w:r>
    </w:p>
    <w:p w14:paraId="243897D9"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Braun, V. and Clarke, V. (2006) ‘Using thematic analysis in psychology’, </w:t>
      </w:r>
      <w:r w:rsidRPr="00715C4F">
        <w:rPr>
          <w:rFonts w:ascii="Arial" w:eastAsia="Times New Roman" w:hAnsi="Arial" w:cs="Arial"/>
          <w:i/>
          <w:iCs/>
          <w:kern w:val="0"/>
          <w:lang w:eastAsia="en-GB"/>
          <w14:ligatures w14:val="none"/>
        </w:rPr>
        <w:t>Qualitative Research in Psychology</w:t>
      </w:r>
      <w:r w:rsidRPr="00715C4F">
        <w:rPr>
          <w:rFonts w:ascii="Arial" w:eastAsia="Times New Roman" w:hAnsi="Arial" w:cs="Arial"/>
          <w:kern w:val="0"/>
          <w:lang w:eastAsia="en-GB"/>
          <w14:ligatures w14:val="none"/>
        </w:rPr>
        <w:t>, 3(2), pp. 77–101.</w:t>
      </w:r>
      <w:r w:rsidRPr="00715C4F">
        <w:rPr>
          <w:rFonts w:ascii="Arial" w:eastAsia="Times New Roman" w:hAnsi="Arial" w:cs="Arial"/>
          <w:kern w:val="0"/>
          <w:lang w:eastAsia="en-GB"/>
          <w14:ligatures w14:val="none"/>
        </w:rPr>
        <w:br/>
        <w:t xml:space="preserve"> </w:t>
      </w:r>
      <w:hyperlink r:id="rId26" w:tgtFrame="_new" w:history="1">
        <w:r w:rsidRPr="00715C4F">
          <w:rPr>
            <w:rFonts w:ascii="Arial" w:eastAsia="Times New Roman" w:hAnsi="Arial" w:cs="Arial"/>
            <w:color w:val="0000FF"/>
            <w:kern w:val="0"/>
            <w:u w:val="single"/>
            <w:lang w:eastAsia="en-GB"/>
            <w14:ligatures w14:val="none"/>
          </w:rPr>
          <w:t>https://doi.org/10.1191/1478088706qp063oa</w:t>
        </w:r>
      </w:hyperlink>
      <w:r w:rsidRPr="00715C4F">
        <w:rPr>
          <w:rFonts w:ascii="Arial" w:eastAsia="Times New Roman" w:hAnsi="Arial" w:cs="Arial"/>
          <w:kern w:val="0"/>
          <w:lang w:eastAsia="en-GB"/>
          <w14:ligatures w14:val="none"/>
        </w:rPr>
        <w:t xml:space="preserve"> [Accessed 26 July 2026]. </w:t>
      </w:r>
    </w:p>
    <w:p w14:paraId="2A263028"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Braun, V. and Clarke, V. (2021) </w:t>
      </w:r>
      <w:r w:rsidRPr="00715C4F">
        <w:rPr>
          <w:rFonts w:ascii="Arial" w:eastAsia="Times New Roman" w:hAnsi="Arial" w:cs="Arial"/>
          <w:i/>
          <w:iCs/>
          <w:kern w:val="0"/>
          <w:lang w:eastAsia="en-GB"/>
          <w14:ligatures w14:val="none"/>
        </w:rPr>
        <w:t>Thematic Analysis: A Practical Guide</w:t>
      </w:r>
      <w:r w:rsidRPr="00715C4F">
        <w:rPr>
          <w:rFonts w:ascii="Arial" w:eastAsia="Times New Roman" w:hAnsi="Arial" w:cs="Arial"/>
          <w:kern w:val="0"/>
          <w:lang w:eastAsia="en-GB"/>
          <w14:ligatures w14:val="none"/>
        </w:rPr>
        <w:t xml:space="preserve">. London: SAGE. </w:t>
      </w:r>
      <w:hyperlink r:id="rId27" w:tgtFrame="_new" w:history="1">
        <w:r w:rsidRPr="00715C4F">
          <w:rPr>
            <w:rFonts w:ascii="Arial" w:eastAsia="Times New Roman" w:hAnsi="Arial" w:cs="Arial"/>
            <w:color w:val="0000FF"/>
            <w:kern w:val="0"/>
            <w:u w:val="single"/>
            <w:lang w:eastAsia="en-GB"/>
            <w14:ligatures w14:val="none"/>
          </w:rPr>
          <w:t>https://uk.sagepub.com/en-gb/eur/thematic-analysis/book248481</w:t>
        </w:r>
      </w:hyperlink>
      <w:r w:rsidRPr="00715C4F">
        <w:rPr>
          <w:rFonts w:ascii="Arial" w:eastAsia="Times New Roman" w:hAnsi="Arial" w:cs="Arial"/>
          <w:kern w:val="0"/>
          <w:lang w:eastAsia="en-GB"/>
          <w14:ligatures w14:val="none"/>
        </w:rPr>
        <w:t xml:space="preserve"> [Accessed 27 July 2026]. </w:t>
      </w:r>
    </w:p>
    <w:p w14:paraId="16123D95"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Calvo</w:t>
      </w:r>
      <w:proofErr w:type="spellEnd"/>
      <w:r w:rsidRPr="00715C4F">
        <w:rPr>
          <w:rFonts w:ascii="Arial" w:eastAsia="Times New Roman" w:hAnsi="Arial" w:cs="Arial"/>
          <w:kern w:val="0"/>
          <w:lang w:eastAsia="en-GB"/>
          <w14:ligatures w14:val="none"/>
        </w:rPr>
        <w:t xml:space="preserve">, M.S., Whiting, S.J. and Barton, C.N. (2005) ‘Vitamin D intake: a global perspective of current </w:t>
      </w:r>
      <w:proofErr w:type="gramStart"/>
      <w:r w:rsidRPr="00715C4F">
        <w:rPr>
          <w:rFonts w:ascii="Arial" w:eastAsia="Times New Roman" w:hAnsi="Arial" w:cs="Arial"/>
          <w:kern w:val="0"/>
          <w:lang w:eastAsia="en-GB"/>
          <w14:ligatures w14:val="none"/>
        </w:rPr>
        <w:t>status’</w:t>
      </w:r>
      <w:proofErr w:type="gramEnd"/>
      <w:r w:rsidRPr="00715C4F">
        <w:rPr>
          <w:rFonts w:ascii="Arial" w:eastAsia="Times New Roman" w:hAnsi="Arial" w:cs="Arial"/>
          <w:kern w:val="0"/>
          <w:lang w:eastAsia="en-GB"/>
          <w14:ligatures w14:val="none"/>
        </w:rPr>
        <w:t xml:space="preserve">, </w:t>
      </w:r>
      <w:r w:rsidRPr="00715C4F">
        <w:rPr>
          <w:rFonts w:ascii="Arial" w:eastAsia="Times New Roman" w:hAnsi="Arial" w:cs="Arial"/>
          <w:i/>
          <w:iCs/>
          <w:kern w:val="0"/>
          <w:lang w:eastAsia="en-GB"/>
          <w14:ligatures w14:val="none"/>
        </w:rPr>
        <w:t>The Journal of Nutrition</w:t>
      </w:r>
      <w:r w:rsidRPr="00715C4F">
        <w:rPr>
          <w:rFonts w:ascii="Arial" w:eastAsia="Times New Roman" w:hAnsi="Arial" w:cs="Arial"/>
          <w:kern w:val="0"/>
          <w:lang w:eastAsia="en-GB"/>
          <w14:ligatures w14:val="none"/>
        </w:rPr>
        <w:t>, 135(2), pp. 310–316.</w:t>
      </w:r>
      <w:r w:rsidRPr="00715C4F">
        <w:rPr>
          <w:rFonts w:ascii="Arial" w:eastAsia="Times New Roman" w:hAnsi="Arial" w:cs="Arial"/>
          <w:kern w:val="0"/>
          <w:lang w:eastAsia="en-GB"/>
          <w14:ligatures w14:val="none"/>
        </w:rPr>
        <w:br/>
      </w:r>
      <w:hyperlink r:id="rId28" w:history="1">
        <w:r w:rsidRPr="00715C4F">
          <w:rPr>
            <w:rStyle w:val="Hyperlink"/>
            <w:rFonts w:ascii="Arial" w:eastAsia="Times New Roman" w:hAnsi="Arial" w:cs="Arial"/>
            <w:kern w:val="0"/>
            <w:lang w:eastAsia="en-GB"/>
            <w14:ligatures w14:val="none"/>
          </w:rPr>
          <w:t>https://doi.org/10.1093/jn/135.2.31</w:t>
        </w:r>
      </w:hyperlink>
      <w:r w:rsidRPr="00715C4F">
        <w:rPr>
          <w:rFonts w:ascii="Arial" w:eastAsia="Times New Roman" w:hAnsi="Arial" w:cs="Arial"/>
          <w:kern w:val="0"/>
          <w:lang w:eastAsia="en-GB"/>
          <w14:ligatures w14:val="none"/>
        </w:rPr>
        <w:t xml:space="preserve"> [Accessed 27 July 2026]. </w:t>
      </w:r>
    </w:p>
    <w:p w14:paraId="54D148CE"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Cashman, K.D. (2015) ‘Vitamin D: dietary requirements and food fortification as a means of helping achieve adequate vitamin D status’, </w:t>
      </w:r>
      <w:r w:rsidRPr="00715C4F">
        <w:rPr>
          <w:rFonts w:ascii="Arial" w:eastAsia="Times New Roman" w:hAnsi="Arial" w:cs="Arial"/>
          <w:i/>
          <w:iCs/>
          <w:kern w:val="0"/>
          <w:lang w:eastAsia="en-GB"/>
          <w14:ligatures w14:val="none"/>
        </w:rPr>
        <w:t>The Journal of Steroid Biochemistry and Molecular Biology</w:t>
      </w:r>
      <w:r w:rsidRPr="00715C4F">
        <w:rPr>
          <w:rFonts w:ascii="Arial" w:eastAsia="Times New Roman" w:hAnsi="Arial" w:cs="Arial"/>
          <w:kern w:val="0"/>
          <w:lang w:eastAsia="en-GB"/>
          <w14:ligatures w14:val="none"/>
        </w:rPr>
        <w:t>, 148, pp. 19–26.</w:t>
      </w:r>
      <w:r w:rsidRPr="00715C4F">
        <w:rPr>
          <w:rFonts w:ascii="Arial" w:eastAsia="Times New Roman" w:hAnsi="Arial" w:cs="Arial"/>
          <w:kern w:val="0"/>
          <w:lang w:eastAsia="en-GB"/>
          <w14:ligatures w14:val="none"/>
        </w:rPr>
        <w:br/>
        <w:t xml:space="preserve"> </w:t>
      </w:r>
      <w:hyperlink r:id="rId29" w:history="1">
        <w:r w:rsidRPr="00715C4F">
          <w:rPr>
            <w:rStyle w:val="Hyperlink"/>
            <w:rFonts w:ascii="Arial" w:eastAsia="Times New Roman" w:hAnsi="Arial" w:cs="Arial"/>
            <w:kern w:val="0"/>
            <w:lang w:eastAsia="en-GB"/>
            <w14:ligatures w14:val="none"/>
          </w:rPr>
          <w:t>https://doi.org/10.1016/j.jsbmb.2015.01.023</w:t>
        </w:r>
      </w:hyperlink>
      <w:r w:rsidRPr="00715C4F">
        <w:rPr>
          <w:rFonts w:ascii="Arial" w:eastAsia="Times New Roman" w:hAnsi="Arial" w:cs="Arial"/>
          <w:kern w:val="0"/>
          <w:lang w:eastAsia="en-GB"/>
          <w14:ligatures w14:val="none"/>
        </w:rPr>
        <w:t xml:space="preserve"> [Accessed 28 July 2026]. </w:t>
      </w:r>
    </w:p>
    <w:p w14:paraId="7BE2F234"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Cashman, K.D. et al. (2008) ‘Relative effectiveness of oral 25-hydroxyvitamin D3 and vitamin D3’, </w:t>
      </w:r>
      <w:r w:rsidRPr="00715C4F">
        <w:rPr>
          <w:rFonts w:ascii="Arial" w:eastAsia="Times New Roman" w:hAnsi="Arial" w:cs="Arial"/>
          <w:i/>
          <w:iCs/>
          <w:kern w:val="0"/>
          <w:lang w:eastAsia="en-GB"/>
          <w14:ligatures w14:val="none"/>
        </w:rPr>
        <w:t>The American Journal of Clinical Nutrition</w:t>
      </w:r>
      <w:r w:rsidRPr="00715C4F">
        <w:rPr>
          <w:rFonts w:ascii="Arial" w:eastAsia="Times New Roman" w:hAnsi="Arial" w:cs="Arial"/>
          <w:kern w:val="0"/>
          <w:lang w:eastAsia="en-GB"/>
          <w14:ligatures w14:val="none"/>
        </w:rPr>
        <w:t>, 87(6), pp. 1842–1849.</w:t>
      </w:r>
      <w:r w:rsidRPr="00715C4F">
        <w:rPr>
          <w:rFonts w:ascii="Arial" w:eastAsia="Times New Roman" w:hAnsi="Arial" w:cs="Arial"/>
          <w:kern w:val="0"/>
          <w:lang w:eastAsia="en-GB"/>
          <w14:ligatures w14:val="none"/>
        </w:rPr>
        <w:br/>
        <w:t xml:space="preserve"> </w:t>
      </w:r>
      <w:hyperlink r:id="rId30" w:history="1">
        <w:r w:rsidRPr="00715C4F">
          <w:rPr>
            <w:rStyle w:val="Hyperlink"/>
            <w:rFonts w:ascii="Arial" w:eastAsia="Times New Roman" w:hAnsi="Arial" w:cs="Arial"/>
            <w:kern w:val="0"/>
            <w:lang w:eastAsia="en-GB"/>
            <w14:ligatures w14:val="none"/>
          </w:rPr>
          <w:t>https://doi.org/10.1093/ajcn/87.6.184</w:t>
        </w:r>
      </w:hyperlink>
      <w:r w:rsidRPr="00715C4F">
        <w:rPr>
          <w:rFonts w:ascii="Arial" w:eastAsia="Times New Roman" w:hAnsi="Arial" w:cs="Arial"/>
          <w:kern w:val="0"/>
          <w:lang w:eastAsia="en-GB"/>
          <w14:ligatures w14:val="none"/>
        </w:rPr>
        <w:t xml:space="preserve"> [Accessed 29 July 2026]. </w:t>
      </w:r>
    </w:p>
    <w:p w14:paraId="4C72C042"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Cashman, K.D. et al. (2016) ‘Vitamin D deficiency in Europe: pandemic?</w:t>
      </w:r>
      <w:proofErr w:type="gramStart"/>
      <w:r w:rsidRPr="00715C4F">
        <w:rPr>
          <w:rFonts w:ascii="Arial" w:eastAsia="Times New Roman" w:hAnsi="Arial" w:cs="Arial"/>
          <w:kern w:val="0"/>
          <w:lang w:eastAsia="en-GB"/>
          <w14:ligatures w14:val="none"/>
        </w:rPr>
        <w:t>’,</w:t>
      </w:r>
      <w:proofErr w:type="gramEnd"/>
      <w:r w:rsidRPr="00715C4F">
        <w:rPr>
          <w:rFonts w:ascii="Arial" w:eastAsia="Times New Roman" w:hAnsi="Arial" w:cs="Arial"/>
          <w:kern w:val="0"/>
          <w:lang w:eastAsia="en-GB"/>
          <w14:ligatures w14:val="none"/>
        </w:rPr>
        <w:t xml:space="preserve"> </w:t>
      </w:r>
      <w:r w:rsidRPr="00715C4F">
        <w:rPr>
          <w:rFonts w:ascii="Arial" w:eastAsia="Times New Roman" w:hAnsi="Arial" w:cs="Arial"/>
          <w:i/>
          <w:iCs/>
          <w:kern w:val="0"/>
          <w:lang w:eastAsia="en-GB"/>
          <w14:ligatures w14:val="none"/>
        </w:rPr>
        <w:t>The American Journal of Clinical Nutrition</w:t>
      </w:r>
      <w:r w:rsidRPr="00715C4F">
        <w:rPr>
          <w:rFonts w:ascii="Arial" w:eastAsia="Times New Roman" w:hAnsi="Arial" w:cs="Arial"/>
          <w:kern w:val="0"/>
          <w:lang w:eastAsia="en-GB"/>
          <w14:ligatures w14:val="none"/>
        </w:rPr>
        <w:t>, 103(4), pp. 1033–1044.</w:t>
      </w:r>
      <w:r w:rsidRPr="00715C4F">
        <w:rPr>
          <w:rFonts w:ascii="Arial" w:eastAsia="Times New Roman" w:hAnsi="Arial" w:cs="Arial"/>
          <w:kern w:val="0"/>
          <w:lang w:eastAsia="en-GB"/>
          <w14:ligatures w14:val="none"/>
        </w:rPr>
        <w:br/>
        <w:t xml:space="preserve"> </w:t>
      </w:r>
      <w:hyperlink r:id="rId31" w:history="1">
        <w:r w:rsidRPr="00715C4F">
          <w:rPr>
            <w:rStyle w:val="Hyperlink"/>
            <w:rFonts w:ascii="Arial" w:eastAsia="Times New Roman" w:hAnsi="Arial" w:cs="Arial"/>
            <w:kern w:val="0"/>
            <w:lang w:eastAsia="en-GB"/>
            <w14:ligatures w14:val="none"/>
          </w:rPr>
          <w:t>https://doi.org/10.3945/ajcn.115.120873</w:t>
        </w:r>
      </w:hyperlink>
      <w:r w:rsidRPr="00715C4F">
        <w:rPr>
          <w:rFonts w:ascii="Arial" w:eastAsia="Times New Roman" w:hAnsi="Arial" w:cs="Arial"/>
          <w:kern w:val="0"/>
          <w:lang w:eastAsia="en-GB"/>
          <w14:ligatures w14:val="none"/>
        </w:rPr>
        <w:t xml:space="preserve"> [Accessed 28 July 2026]. </w:t>
      </w:r>
    </w:p>
    <w:p w14:paraId="6946781E"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Cashman, K.D. et al. (2020) ‘Vitamin D deficiency: defining, prevalence, causes, and strategies of addressing it’, </w:t>
      </w:r>
      <w:r w:rsidRPr="00715C4F">
        <w:rPr>
          <w:rFonts w:ascii="Arial" w:eastAsia="Times New Roman" w:hAnsi="Arial" w:cs="Arial"/>
          <w:i/>
          <w:iCs/>
          <w:kern w:val="0"/>
          <w:lang w:eastAsia="en-GB"/>
          <w14:ligatures w14:val="none"/>
        </w:rPr>
        <w:t>Nutrients</w:t>
      </w:r>
      <w:r w:rsidRPr="00715C4F">
        <w:rPr>
          <w:rFonts w:ascii="Arial" w:eastAsia="Times New Roman" w:hAnsi="Arial" w:cs="Arial"/>
          <w:kern w:val="0"/>
          <w:lang w:eastAsia="en-GB"/>
          <w14:ligatures w14:val="none"/>
        </w:rPr>
        <w:t>, 12(6), 1589.</w:t>
      </w:r>
      <w:r w:rsidRPr="00715C4F">
        <w:rPr>
          <w:rFonts w:ascii="Arial" w:eastAsia="Times New Roman" w:hAnsi="Arial" w:cs="Arial"/>
          <w:kern w:val="0"/>
          <w:lang w:eastAsia="en-GB"/>
          <w14:ligatures w14:val="none"/>
        </w:rPr>
        <w:br/>
        <w:t xml:space="preserve"> </w:t>
      </w:r>
      <w:hyperlink r:id="rId32" w:history="1">
        <w:r w:rsidRPr="00715C4F">
          <w:rPr>
            <w:rStyle w:val="Hyperlink"/>
            <w:rFonts w:ascii="Arial" w:eastAsia="Times New Roman" w:hAnsi="Arial" w:cs="Arial"/>
            <w:kern w:val="0"/>
            <w:lang w:eastAsia="en-GB"/>
            <w14:ligatures w14:val="none"/>
          </w:rPr>
          <w:t>https://doi.org/10.3390/nu12061589</w:t>
        </w:r>
      </w:hyperlink>
      <w:r w:rsidRPr="00715C4F">
        <w:rPr>
          <w:rFonts w:ascii="Arial" w:eastAsia="Times New Roman" w:hAnsi="Arial" w:cs="Arial"/>
          <w:kern w:val="0"/>
          <w:lang w:eastAsia="en-GB"/>
          <w14:ligatures w14:val="none"/>
        </w:rPr>
        <w:t xml:space="preserve"> [Accessed 30 July 2026]. </w:t>
      </w:r>
    </w:p>
    <w:p w14:paraId="4F7B166D"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 xml:space="preserve">Cashman, K.D., Kiely, M. and </w:t>
      </w:r>
      <w:proofErr w:type="spellStart"/>
      <w:r w:rsidRPr="00715C4F">
        <w:rPr>
          <w:rFonts w:ascii="Arial" w:eastAsia="Times New Roman" w:hAnsi="Arial" w:cs="Arial"/>
          <w:kern w:val="0"/>
          <w:lang w:eastAsia="en-GB"/>
          <w14:ligatures w14:val="none"/>
        </w:rPr>
        <w:t>Seamans</w:t>
      </w:r>
      <w:proofErr w:type="spellEnd"/>
      <w:r w:rsidRPr="00715C4F">
        <w:rPr>
          <w:rFonts w:ascii="Arial" w:eastAsia="Times New Roman" w:hAnsi="Arial" w:cs="Arial"/>
          <w:kern w:val="0"/>
          <w:lang w:eastAsia="en-GB"/>
          <w14:ligatures w14:val="none"/>
        </w:rPr>
        <w:t>, K.M. (2011) ‘Vitamin D deficiency in Europe: pandemic?</w:t>
      </w:r>
      <w:proofErr w:type="gramStart"/>
      <w:r w:rsidRPr="00715C4F">
        <w:rPr>
          <w:rFonts w:ascii="Arial" w:eastAsia="Times New Roman" w:hAnsi="Arial" w:cs="Arial"/>
          <w:kern w:val="0"/>
          <w:lang w:eastAsia="en-GB"/>
          <w14:ligatures w14:val="none"/>
        </w:rPr>
        <w:t>’,</w:t>
      </w:r>
      <w:proofErr w:type="gramEnd"/>
      <w:r w:rsidRPr="00715C4F">
        <w:rPr>
          <w:rFonts w:ascii="Arial" w:eastAsia="Times New Roman" w:hAnsi="Arial" w:cs="Arial"/>
          <w:kern w:val="0"/>
          <w:lang w:eastAsia="en-GB"/>
          <w14:ligatures w14:val="none"/>
        </w:rPr>
        <w:t xml:space="preserve"> </w:t>
      </w:r>
      <w:r w:rsidRPr="00715C4F">
        <w:rPr>
          <w:rFonts w:ascii="Arial" w:eastAsia="Times New Roman" w:hAnsi="Arial" w:cs="Arial"/>
          <w:i/>
          <w:iCs/>
          <w:kern w:val="0"/>
          <w:lang w:eastAsia="en-GB"/>
          <w14:ligatures w14:val="none"/>
        </w:rPr>
        <w:t>The American Journal of Clinical Nutrition</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33" w:history="1">
        <w:r w:rsidRPr="00715C4F">
          <w:rPr>
            <w:rStyle w:val="Hyperlink"/>
            <w:rFonts w:ascii="Arial" w:eastAsia="Times New Roman" w:hAnsi="Arial" w:cs="Arial"/>
            <w:kern w:val="0"/>
            <w:lang w:eastAsia="en-GB"/>
            <w14:ligatures w14:val="none"/>
          </w:rPr>
          <w:t>https://academic.oup.com/ajcn/search-results?q=Vitamin%20D%20deficiency%20in%20Europe%20pandemic</w:t>
        </w:r>
      </w:hyperlink>
      <w:r w:rsidRPr="00715C4F">
        <w:rPr>
          <w:rFonts w:ascii="Arial" w:eastAsia="Times New Roman" w:hAnsi="Arial" w:cs="Arial"/>
          <w:kern w:val="0"/>
          <w:lang w:eastAsia="en-GB"/>
          <w14:ligatures w14:val="none"/>
        </w:rPr>
        <w:t xml:space="preserve"> [Accessed 12 September 2026]. </w:t>
      </w:r>
    </w:p>
    <w:p w14:paraId="40183348"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Cashman, K.D., Ritz, C., Kiely, M. and Odin Collaboration (2017) ‘Improved dietary guidelines for vitamin D’, </w:t>
      </w:r>
      <w:r w:rsidRPr="00715C4F">
        <w:rPr>
          <w:rFonts w:ascii="Arial" w:eastAsia="Times New Roman" w:hAnsi="Arial" w:cs="Arial"/>
          <w:i/>
          <w:iCs/>
          <w:kern w:val="0"/>
          <w:lang w:eastAsia="en-GB"/>
          <w14:ligatures w14:val="none"/>
        </w:rPr>
        <w:t>European Journal of Clinical Nutrition</w:t>
      </w:r>
      <w:r w:rsidRPr="00715C4F">
        <w:rPr>
          <w:rFonts w:ascii="Arial" w:eastAsia="Times New Roman" w:hAnsi="Arial" w:cs="Arial"/>
          <w:kern w:val="0"/>
          <w:lang w:eastAsia="en-GB"/>
          <w14:ligatures w14:val="none"/>
        </w:rPr>
        <w:t xml:space="preserve">, 71, pp. 1033–1040. </w:t>
      </w:r>
      <w:hyperlink r:id="rId34" w:history="1">
        <w:r w:rsidRPr="00715C4F">
          <w:rPr>
            <w:rStyle w:val="Hyperlink"/>
            <w:rFonts w:ascii="Arial" w:eastAsia="Times New Roman" w:hAnsi="Arial" w:cs="Arial"/>
            <w:kern w:val="0"/>
            <w:lang w:eastAsia="en-GB"/>
            <w14:ligatures w14:val="none"/>
          </w:rPr>
          <w:t>https://doi.org/10.1038/ejcn.2017.8</w:t>
        </w:r>
      </w:hyperlink>
      <w:r w:rsidRPr="00715C4F">
        <w:rPr>
          <w:rFonts w:ascii="Arial" w:eastAsia="Times New Roman" w:hAnsi="Arial" w:cs="Arial"/>
          <w:kern w:val="0"/>
          <w:lang w:eastAsia="en-GB"/>
          <w14:ligatures w14:val="none"/>
        </w:rPr>
        <w:t xml:space="preserve"> [Accessed 29 July 2026]. </w:t>
      </w:r>
    </w:p>
    <w:p w14:paraId="7B742945"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Clemens, T.L. et al. (1982) ‘Increased skin pigment reduces the capacity of skin to synthesise vitamin D3’, </w:t>
      </w:r>
      <w:r w:rsidRPr="00715C4F">
        <w:rPr>
          <w:rFonts w:ascii="Arial" w:eastAsia="Times New Roman" w:hAnsi="Arial" w:cs="Arial"/>
          <w:i/>
          <w:iCs/>
          <w:kern w:val="0"/>
          <w:lang w:eastAsia="en-GB"/>
          <w14:ligatures w14:val="none"/>
        </w:rPr>
        <w:t>The Lancet</w:t>
      </w:r>
      <w:r w:rsidRPr="00715C4F">
        <w:rPr>
          <w:rFonts w:ascii="Arial" w:eastAsia="Times New Roman" w:hAnsi="Arial" w:cs="Arial"/>
          <w:kern w:val="0"/>
          <w:lang w:eastAsia="en-GB"/>
          <w14:ligatures w14:val="none"/>
        </w:rPr>
        <w:t>, 1(8263), pp. 74–76.</w:t>
      </w:r>
      <w:r w:rsidRPr="00715C4F">
        <w:rPr>
          <w:rFonts w:ascii="Arial" w:eastAsia="Times New Roman" w:hAnsi="Arial" w:cs="Arial"/>
          <w:kern w:val="0"/>
          <w:lang w:eastAsia="en-GB"/>
          <w14:ligatures w14:val="none"/>
        </w:rPr>
        <w:br/>
        <w:t xml:space="preserve"> </w:t>
      </w:r>
      <w:hyperlink r:id="rId35" w:history="1">
        <w:r w:rsidRPr="00715C4F">
          <w:rPr>
            <w:rStyle w:val="Hyperlink"/>
            <w:rFonts w:ascii="Arial" w:eastAsia="Times New Roman" w:hAnsi="Arial" w:cs="Arial"/>
            <w:kern w:val="0"/>
            <w:lang w:eastAsia="en-GB"/>
            <w14:ligatures w14:val="none"/>
          </w:rPr>
          <w:t>https://doi.org/10.1016/S0140-6736(82)90215-8</w:t>
        </w:r>
      </w:hyperlink>
      <w:r w:rsidRPr="00715C4F">
        <w:rPr>
          <w:rFonts w:ascii="Arial" w:eastAsia="Times New Roman" w:hAnsi="Arial" w:cs="Arial"/>
          <w:kern w:val="0"/>
          <w:lang w:eastAsia="en-GB"/>
          <w14:ligatures w14:val="none"/>
        </w:rPr>
        <w:t xml:space="preserve"> [Accessed 30 July 2026]. </w:t>
      </w:r>
    </w:p>
    <w:p w14:paraId="32602D49"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Cochrane Collaboration (2024) </w:t>
      </w:r>
      <w:r w:rsidRPr="00715C4F">
        <w:rPr>
          <w:rFonts w:ascii="Arial" w:eastAsia="Times New Roman" w:hAnsi="Arial" w:cs="Arial"/>
          <w:i/>
          <w:iCs/>
          <w:kern w:val="0"/>
          <w:lang w:eastAsia="en-GB"/>
          <w14:ligatures w14:val="none"/>
        </w:rPr>
        <w:t>Cochrane Handbook for Systematic Reviews of Interventions</w:t>
      </w:r>
      <w:r w:rsidRPr="00715C4F">
        <w:rPr>
          <w:rFonts w:ascii="Arial" w:eastAsia="Times New Roman" w:hAnsi="Arial" w:cs="Arial"/>
          <w:kern w:val="0"/>
          <w:lang w:eastAsia="en-GB"/>
          <w14:ligatures w14:val="none"/>
        </w:rPr>
        <w:t xml:space="preserve">. 2nd </w:t>
      </w:r>
      <w:proofErr w:type="spellStart"/>
      <w:r w:rsidRPr="00715C4F">
        <w:rPr>
          <w:rFonts w:ascii="Arial" w:eastAsia="Times New Roman" w:hAnsi="Arial" w:cs="Arial"/>
          <w:kern w:val="0"/>
          <w:lang w:eastAsia="en-GB"/>
          <w14:ligatures w14:val="none"/>
        </w:rPr>
        <w:t>edn</w:t>
      </w:r>
      <w:proofErr w:type="spellEnd"/>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r w:rsidRPr="00715C4F">
        <w:rPr>
          <w:rFonts w:ascii="Arial" w:eastAsia="Times New Roman" w:hAnsi="Arial" w:cs="Arial"/>
          <w:color w:val="0000FF"/>
          <w:kern w:val="0"/>
          <w:u w:val="single"/>
          <w:lang w:eastAsia="en-GB"/>
          <w14:ligatures w14:val="none"/>
        </w:rPr>
        <w:t>https://training.cochrane.org/handbook</w:t>
      </w:r>
      <w:r w:rsidRPr="00715C4F">
        <w:rPr>
          <w:rFonts w:ascii="Arial" w:eastAsia="Times New Roman" w:hAnsi="Arial" w:cs="Arial"/>
          <w:kern w:val="0"/>
          <w:lang w:eastAsia="en-GB"/>
          <w14:ligatures w14:val="none"/>
        </w:rPr>
        <w:t xml:space="preserve">[Accessed 1 August 2026]. </w:t>
      </w:r>
    </w:p>
    <w:p w14:paraId="2EB60EAE"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Coley-Grant, D. et al. (2021) ‘The relationship between intact parathyroid hormone and 25-hydroxyvitamin D in United Kingdom resident South Asians and Whites’, </w:t>
      </w:r>
      <w:r w:rsidRPr="00715C4F">
        <w:rPr>
          <w:rFonts w:ascii="Arial" w:eastAsia="Times New Roman" w:hAnsi="Arial" w:cs="Arial"/>
          <w:i/>
          <w:iCs/>
          <w:kern w:val="0"/>
          <w:lang w:eastAsia="en-GB"/>
          <w14:ligatures w14:val="none"/>
        </w:rPr>
        <w:t>Hormone and Metabolic Research</w:t>
      </w:r>
      <w:r w:rsidRPr="00715C4F">
        <w:rPr>
          <w:rFonts w:ascii="Arial" w:eastAsia="Times New Roman" w:hAnsi="Arial" w:cs="Arial"/>
          <w:kern w:val="0"/>
          <w:lang w:eastAsia="en-GB"/>
          <w14:ligatures w14:val="none"/>
        </w:rPr>
        <w:t>, 53(10), pp. 672–675.</w:t>
      </w:r>
      <w:r w:rsidRPr="00715C4F">
        <w:rPr>
          <w:rFonts w:ascii="Arial" w:eastAsia="Times New Roman" w:hAnsi="Arial" w:cs="Arial"/>
          <w:kern w:val="0"/>
          <w:lang w:eastAsia="en-GB"/>
          <w14:ligatures w14:val="none"/>
        </w:rPr>
        <w:br/>
        <w:t xml:space="preserve"> </w:t>
      </w:r>
      <w:hyperlink r:id="rId36" w:history="1">
        <w:r w:rsidRPr="00715C4F">
          <w:rPr>
            <w:rStyle w:val="Hyperlink"/>
            <w:rFonts w:ascii="Arial" w:eastAsia="Times New Roman" w:hAnsi="Arial" w:cs="Arial"/>
            <w:kern w:val="0"/>
            <w:lang w:eastAsia="en-GB"/>
            <w14:ligatures w14:val="none"/>
          </w:rPr>
          <w:t>https://doi.org/10.1055/a-1521-5026</w:t>
        </w:r>
      </w:hyperlink>
      <w:r w:rsidRPr="00715C4F">
        <w:rPr>
          <w:rFonts w:ascii="Arial" w:eastAsia="Times New Roman" w:hAnsi="Arial" w:cs="Arial"/>
          <w:kern w:val="0"/>
          <w:lang w:eastAsia="en-GB"/>
          <w14:ligatures w14:val="none"/>
        </w:rPr>
        <w:t xml:space="preserve"> [Accessed 31 July 2026]. </w:t>
      </w:r>
    </w:p>
    <w:p w14:paraId="195DF5CA"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Coughlan, M. and Cronin, P. (2021) </w:t>
      </w:r>
      <w:r w:rsidRPr="00715C4F">
        <w:rPr>
          <w:rFonts w:ascii="Arial" w:eastAsia="Times New Roman" w:hAnsi="Arial" w:cs="Arial"/>
          <w:i/>
          <w:iCs/>
          <w:kern w:val="0"/>
          <w:lang w:eastAsia="en-GB"/>
          <w14:ligatures w14:val="none"/>
        </w:rPr>
        <w:t>Doing a Literature Review in Nursing, Health and Social Care</w:t>
      </w:r>
      <w:r w:rsidRPr="00715C4F">
        <w:rPr>
          <w:rFonts w:ascii="Arial" w:eastAsia="Times New Roman" w:hAnsi="Arial" w:cs="Arial"/>
          <w:kern w:val="0"/>
          <w:lang w:eastAsia="en-GB"/>
          <w14:ligatures w14:val="none"/>
        </w:rPr>
        <w:t xml:space="preserve">. 3rd </w:t>
      </w:r>
      <w:proofErr w:type="spellStart"/>
      <w:r w:rsidRPr="00715C4F">
        <w:rPr>
          <w:rFonts w:ascii="Arial" w:eastAsia="Times New Roman" w:hAnsi="Arial" w:cs="Arial"/>
          <w:kern w:val="0"/>
          <w:lang w:eastAsia="en-GB"/>
          <w14:ligatures w14:val="none"/>
        </w:rPr>
        <w:t>edn</w:t>
      </w:r>
      <w:proofErr w:type="spellEnd"/>
      <w:r w:rsidRPr="00715C4F">
        <w:rPr>
          <w:rFonts w:ascii="Arial" w:eastAsia="Times New Roman" w:hAnsi="Arial" w:cs="Arial"/>
          <w:kern w:val="0"/>
          <w:lang w:eastAsia="en-GB"/>
          <w14:ligatures w14:val="none"/>
        </w:rPr>
        <w:t>. London: SAGE.</w:t>
      </w:r>
      <w:r w:rsidRPr="00715C4F">
        <w:rPr>
          <w:rFonts w:ascii="Arial" w:eastAsia="Times New Roman" w:hAnsi="Arial" w:cs="Arial"/>
          <w:kern w:val="0"/>
          <w:lang w:eastAsia="en-GB"/>
          <w14:ligatures w14:val="none"/>
        </w:rPr>
        <w:br/>
        <w:t xml:space="preserve"> </w:t>
      </w:r>
      <w:hyperlink r:id="rId37" w:history="1">
        <w:r w:rsidRPr="00715C4F">
          <w:rPr>
            <w:rStyle w:val="Hyperlink"/>
            <w:rFonts w:ascii="Arial" w:eastAsia="Times New Roman" w:hAnsi="Arial" w:cs="Arial"/>
            <w:kern w:val="0"/>
            <w:lang w:eastAsia="en-GB"/>
            <w14:ligatures w14:val="none"/>
          </w:rPr>
          <w:t>https://uk.sagepub.com/en-gb/eur/doing-a-literature-review-in-nursing-health-and-social-care/book269556</w:t>
        </w:r>
      </w:hyperlink>
      <w:r w:rsidRPr="00715C4F">
        <w:rPr>
          <w:rFonts w:ascii="Arial" w:eastAsia="Times New Roman" w:hAnsi="Arial" w:cs="Arial"/>
          <w:kern w:val="0"/>
          <w:lang w:eastAsia="en-GB"/>
          <w14:ligatures w14:val="none"/>
        </w:rPr>
        <w:t xml:space="preserve"> [Accessed 31 July 2026]. </w:t>
      </w:r>
    </w:p>
    <w:p w14:paraId="44AB1249"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Darling, A.L. (2020) ‘Vitamin D deficiency in western dwelling South Asian populations’, </w:t>
      </w:r>
      <w:r w:rsidRPr="00715C4F">
        <w:rPr>
          <w:rFonts w:ascii="Arial" w:eastAsia="Times New Roman" w:hAnsi="Arial" w:cs="Arial"/>
          <w:i/>
          <w:iCs/>
          <w:kern w:val="0"/>
          <w:lang w:eastAsia="en-GB"/>
          <w14:ligatures w14:val="none"/>
        </w:rPr>
        <w:t>Proceedings of the Nutrition Society</w:t>
      </w:r>
      <w:r w:rsidRPr="00715C4F">
        <w:rPr>
          <w:rFonts w:ascii="Arial" w:eastAsia="Times New Roman" w:hAnsi="Arial" w:cs="Arial"/>
          <w:kern w:val="0"/>
          <w:lang w:eastAsia="en-GB"/>
          <w14:ligatures w14:val="none"/>
        </w:rPr>
        <w:t>, 79(3), pp. 259–271.</w:t>
      </w:r>
      <w:r w:rsidRPr="00715C4F">
        <w:rPr>
          <w:rFonts w:ascii="Arial" w:eastAsia="Times New Roman" w:hAnsi="Arial" w:cs="Arial"/>
          <w:kern w:val="0"/>
          <w:lang w:eastAsia="en-GB"/>
          <w14:ligatures w14:val="none"/>
        </w:rPr>
        <w:br/>
        <w:t xml:space="preserve"> </w:t>
      </w:r>
      <w:hyperlink r:id="rId38" w:history="1">
        <w:r w:rsidRPr="00715C4F">
          <w:rPr>
            <w:rStyle w:val="Hyperlink"/>
            <w:rFonts w:ascii="Arial" w:eastAsia="Times New Roman" w:hAnsi="Arial" w:cs="Arial"/>
            <w:kern w:val="0"/>
            <w:lang w:eastAsia="en-GB"/>
            <w14:ligatures w14:val="none"/>
          </w:rPr>
          <w:t>https://doi.org/10.1017/S0029665120000063</w:t>
        </w:r>
      </w:hyperlink>
      <w:r w:rsidRPr="00715C4F">
        <w:rPr>
          <w:rFonts w:ascii="Arial" w:eastAsia="Times New Roman" w:hAnsi="Arial" w:cs="Arial"/>
          <w:kern w:val="0"/>
          <w:lang w:eastAsia="en-GB"/>
          <w14:ligatures w14:val="none"/>
        </w:rPr>
        <w:t xml:space="preserve"> [Accessed 2 August 2026]. </w:t>
      </w:r>
    </w:p>
    <w:p w14:paraId="71E9546E"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Darling, A.L. et al. (2013) ‘Vitamin D deficiency in UK South Asian women of childbearing age’, </w:t>
      </w:r>
      <w:r w:rsidRPr="00715C4F">
        <w:rPr>
          <w:rFonts w:ascii="Arial" w:eastAsia="Times New Roman" w:hAnsi="Arial" w:cs="Arial"/>
          <w:i/>
          <w:iCs/>
          <w:kern w:val="0"/>
          <w:lang w:eastAsia="en-GB"/>
          <w14:ligatures w14:val="none"/>
        </w:rPr>
        <w:t>Osteoporosis International</w:t>
      </w:r>
      <w:r w:rsidRPr="00715C4F">
        <w:rPr>
          <w:rFonts w:ascii="Arial" w:eastAsia="Times New Roman" w:hAnsi="Arial" w:cs="Arial"/>
          <w:kern w:val="0"/>
          <w:lang w:eastAsia="en-GB"/>
          <w14:ligatures w14:val="none"/>
        </w:rPr>
        <w:t>, 24(2), pp. 477–488.</w:t>
      </w:r>
      <w:r w:rsidRPr="00715C4F">
        <w:rPr>
          <w:rFonts w:ascii="Arial" w:eastAsia="Times New Roman" w:hAnsi="Arial" w:cs="Arial"/>
          <w:kern w:val="0"/>
          <w:lang w:eastAsia="en-GB"/>
          <w14:ligatures w14:val="none"/>
        </w:rPr>
        <w:br/>
        <w:t xml:space="preserve"> </w:t>
      </w:r>
      <w:hyperlink r:id="rId39" w:history="1">
        <w:r w:rsidRPr="00715C4F">
          <w:rPr>
            <w:rStyle w:val="Hyperlink"/>
            <w:rFonts w:ascii="Arial" w:eastAsia="Times New Roman" w:hAnsi="Arial" w:cs="Arial"/>
            <w:kern w:val="0"/>
            <w:lang w:eastAsia="en-GB"/>
            <w14:ligatures w14:val="none"/>
          </w:rPr>
          <w:t>https://doi.org/10.1007/s00198-012-1973-2</w:t>
        </w:r>
      </w:hyperlink>
      <w:r w:rsidRPr="00715C4F">
        <w:rPr>
          <w:rFonts w:ascii="Arial" w:eastAsia="Times New Roman" w:hAnsi="Arial" w:cs="Arial"/>
          <w:kern w:val="0"/>
          <w:lang w:eastAsia="en-GB"/>
          <w14:ligatures w14:val="none"/>
        </w:rPr>
        <w:t xml:space="preserve"> [Accessed 1 August 2026]. </w:t>
      </w:r>
    </w:p>
    <w:p w14:paraId="1F58FEF7"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Darling, A.L. et al. (2018) ‘Vitamin D supplement use and associated demographic, dietary and lifestyle factors in 8024 South Asians’, </w:t>
      </w:r>
      <w:r w:rsidRPr="00715C4F">
        <w:rPr>
          <w:rFonts w:ascii="Arial" w:eastAsia="Times New Roman" w:hAnsi="Arial" w:cs="Arial"/>
          <w:i/>
          <w:iCs/>
          <w:kern w:val="0"/>
          <w:lang w:eastAsia="en-GB"/>
          <w14:ligatures w14:val="none"/>
        </w:rPr>
        <w:t>Public Health Nutrition</w:t>
      </w:r>
      <w:r w:rsidRPr="00715C4F">
        <w:rPr>
          <w:rFonts w:ascii="Arial" w:eastAsia="Times New Roman" w:hAnsi="Arial" w:cs="Arial"/>
          <w:kern w:val="0"/>
          <w:lang w:eastAsia="en-GB"/>
          <w14:ligatures w14:val="none"/>
        </w:rPr>
        <w:t>, 21(14), pp. 2678–2688.</w:t>
      </w:r>
      <w:r w:rsidRPr="00715C4F">
        <w:rPr>
          <w:rFonts w:ascii="Arial" w:eastAsia="Times New Roman" w:hAnsi="Arial" w:cs="Arial"/>
          <w:kern w:val="0"/>
          <w:lang w:eastAsia="en-GB"/>
          <w14:ligatures w14:val="none"/>
        </w:rPr>
        <w:br/>
        <w:t xml:space="preserve"> </w:t>
      </w:r>
      <w:hyperlink r:id="rId40" w:history="1">
        <w:r w:rsidRPr="00715C4F">
          <w:rPr>
            <w:rStyle w:val="Hyperlink"/>
            <w:rFonts w:ascii="Arial" w:eastAsia="Times New Roman" w:hAnsi="Arial" w:cs="Arial"/>
            <w:kern w:val="0"/>
            <w:lang w:eastAsia="en-GB"/>
            <w14:ligatures w14:val="none"/>
          </w:rPr>
          <w:t>https://doi.org/10.1017/S1368980018001404</w:t>
        </w:r>
      </w:hyperlink>
      <w:r w:rsidRPr="00715C4F">
        <w:rPr>
          <w:rFonts w:ascii="Arial" w:eastAsia="Times New Roman" w:hAnsi="Arial" w:cs="Arial"/>
          <w:kern w:val="0"/>
          <w:lang w:eastAsia="en-GB"/>
          <w14:ligatures w14:val="none"/>
        </w:rPr>
        <w:t xml:space="preserve"> [Accessed 2 August 2026]. </w:t>
      </w:r>
    </w:p>
    <w:p w14:paraId="343A1F13"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Darling, A.L. et al. (2021) ‘Very high prevalence of 25-hydroxyvitamin D deficiency in 6433 UK South Asian adults’, </w:t>
      </w:r>
      <w:r w:rsidRPr="00715C4F">
        <w:rPr>
          <w:rFonts w:ascii="Arial" w:eastAsia="Times New Roman" w:hAnsi="Arial" w:cs="Arial"/>
          <w:i/>
          <w:iCs/>
          <w:kern w:val="0"/>
          <w:lang w:eastAsia="en-GB"/>
          <w14:ligatures w14:val="none"/>
        </w:rPr>
        <w:t>British Journal of Nutrition</w:t>
      </w:r>
      <w:r w:rsidRPr="00715C4F">
        <w:rPr>
          <w:rFonts w:ascii="Arial" w:eastAsia="Times New Roman" w:hAnsi="Arial" w:cs="Arial"/>
          <w:kern w:val="0"/>
          <w:lang w:eastAsia="en-GB"/>
          <w14:ligatures w14:val="none"/>
        </w:rPr>
        <w:t xml:space="preserve">, 125(4), pp. 448–459. </w:t>
      </w:r>
      <w:hyperlink r:id="rId41" w:history="1">
        <w:r w:rsidRPr="00715C4F">
          <w:rPr>
            <w:rStyle w:val="Hyperlink"/>
            <w:rFonts w:ascii="Arial" w:eastAsia="Times New Roman" w:hAnsi="Arial" w:cs="Arial"/>
            <w:kern w:val="0"/>
            <w:lang w:eastAsia="en-GB"/>
            <w14:ligatures w14:val="none"/>
          </w:rPr>
          <w:t>https://doi.org/10.1017/S0007114520002779</w:t>
        </w:r>
      </w:hyperlink>
      <w:r w:rsidRPr="00715C4F">
        <w:rPr>
          <w:rFonts w:ascii="Arial" w:eastAsia="Times New Roman" w:hAnsi="Arial" w:cs="Arial"/>
          <w:kern w:val="0"/>
          <w:lang w:eastAsia="en-GB"/>
          <w14:ligatures w14:val="none"/>
        </w:rPr>
        <w:t xml:space="preserve"> [Accessed 3 August 2026]. </w:t>
      </w:r>
    </w:p>
    <w:p w14:paraId="34C6F179" w14:textId="77777777" w:rsidR="00EF416A" w:rsidRPr="00715C4F" w:rsidRDefault="00EF416A" w:rsidP="00715C4F">
      <w:pPr>
        <w:numPr>
          <w:ilvl w:val="0"/>
          <w:numId w:val="28"/>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lastRenderedPageBreak/>
        <w:t>Datta</w:t>
      </w:r>
      <w:proofErr w:type="spellEnd"/>
      <w:r w:rsidRPr="00715C4F">
        <w:rPr>
          <w:rFonts w:ascii="Arial" w:eastAsia="Times New Roman" w:hAnsi="Arial" w:cs="Arial"/>
          <w:kern w:val="0"/>
          <w:lang w:eastAsia="en-GB"/>
          <w14:ligatures w14:val="none"/>
        </w:rPr>
        <w:t xml:space="preserve">, S. et al. (2002) ‘Vitamin D deficiency in pregnant women from a non-European ethnic minority population’, </w:t>
      </w:r>
      <w:r w:rsidRPr="00715C4F">
        <w:rPr>
          <w:rFonts w:ascii="Arial" w:eastAsia="Times New Roman" w:hAnsi="Arial" w:cs="Arial"/>
          <w:i/>
          <w:iCs/>
          <w:kern w:val="0"/>
          <w:lang w:eastAsia="en-GB"/>
          <w14:ligatures w14:val="none"/>
        </w:rPr>
        <w:t>BJOG</w:t>
      </w:r>
      <w:r w:rsidRPr="00715C4F">
        <w:rPr>
          <w:rFonts w:ascii="Arial" w:eastAsia="Times New Roman" w:hAnsi="Arial" w:cs="Arial"/>
          <w:kern w:val="0"/>
          <w:lang w:eastAsia="en-GB"/>
          <w14:ligatures w14:val="none"/>
        </w:rPr>
        <w:t>, 109(8), pp. 905–908.</w:t>
      </w:r>
      <w:r w:rsidRPr="00715C4F">
        <w:rPr>
          <w:rFonts w:ascii="Arial" w:eastAsia="Times New Roman" w:hAnsi="Arial" w:cs="Arial"/>
          <w:kern w:val="0"/>
          <w:lang w:eastAsia="en-GB"/>
          <w14:ligatures w14:val="none"/>
        </w:rPr>
        <w:br/>
        <w:t xml:space="preserve"> </w:t>
      </w:r>
      <w:hyperlink r:id="rId42" w:history="1">
        <w:r w:rsidRPr="00715C4F">
          <w:rPr>
            <w:rStyle w:val="Hyperlink"/>
            <w:rFonts w:ascii="Arial" w:eastAsia="Times New Roman" w:hAnsi="Arial" w:cs="Arial"/>
            <w:kern w:val="0"/>
            <w:lang w:eastAsia="en-GB"/>
            <w14:ligatures w14:val="none"/>
          </w:rPr>
          <w:t>https://doi.org/10.1111/j.1471-0528.2002.01171.x</w:t>
        </w:r>
      </w:hyperlink>
      <w:r w:rsidRPr="00715C4F">
        <w:rPr>
          <w:rFonts w:ascii="Arial" w:eastAsia="Times New Roman" w:hAnsi="Arial" w:cs="Arial"/>
          <w:kern w:val="0"/>
          <w:lang w:eastAsia="en-GB"/>
          <w14:ligatures w14:val="none"/>
        </w:rPr>
        <w:t xml:space="preserve"> [Accessed 3 August 2026]. </w:t>
      </w:r>
    </w:p>
    <w:p w14:paraId="4F2A7311"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Dawson-Hughes, B. et al. (2010) ‘IOF position statement: vitamin D recommendations for older adults’, </w:t>
      </w:r>
      <w:r w:rsidRPr="00715C4F">
        <w:rPr>
          <w:rFonts w:ascii="Arial" w:eastAsia="Times New Roman" w:hAnsi="Arial" w:cs="Arial"/>
          <w:i/>
          <w:iCs/>
          <w:kern w:val="0"/>
          <w:lang w:eastAsia="en-GB"/>
          <w14:ligatures w14:val="none"/>
        </w:rPr>
        <w:t>Osteoporosis International</w:t>
      </w:r>
      <w:r w:rsidRPr="00715C4F">
        <w:rPr>
          <w:rFonts w:ascii="Arial" w:eastAsia="Times New Roman" w:hAnsi="Arial" w:cs="Arial"/>
          <w:kern w:val="0"/>
          <w:lang w:eastAsia="en-GB"/>
          <w14:ligatures w14:val="none"/>
        </w:rPr>
        <w:t>, 21(7), pp. 1151–1154.</w:t>
      </w:r>
      <w:r w:rsidRPr="00715C4F">
        <w:rPr>
          <w:rFonts w:ascii="Arial" w:eastAsia="Times New Roman" w:hAnsi="Arial" w:cs="Arial"/>
          <w:kern w:val="0"/>
          <w:lang w:eastAsia="en-GB"/>
          <w14:ligatures w14:val="none"/>
        </w:rPr>
        <w:br/>
        <w:t xml:space="preserve"> </w:t>
      </w:r>
      <w:hyperlink r:id="rId43" w:history="1">
        <w:r w:rsidRPr="00715C4F">
          <w:rPr>
            <w:rStyle w:val="Hyperlink"/>
            <w:rFonts w:ascii="Arial" w:eastAsia="Times New Roman" w:hAnsi="Arial" w:cs="Arial"/>
            <w:kern w:val="0"/>
            <w:lang w:eastAsia="en-GB"/>
            <w14:ligatures w14:val="none"/>
          </w:rPr>
          <w:t>https://doi.org/10.1007/s00198-010-1285-3</w:t>
        </w:r>
      </w:hyperlink>
      <w:r w:rsidRPr="00715C4F">
        <w:rPr>
          <w:rFonts w:ascii="Arial" w:eastAsia="Times New Roman" w:hAnsi="Arial" w:cs="Arial"/>
          <w:kern w:val="0"/>
          <w:lang w:eastAsia="en-GB"/>
          <w14:ligatures w14:val="none"/>
        </w:rPr>
        <w:t xml:space="preserve"> [Accessed 4 August 2026]. </w:t>
      </w:r>
    </w:p>
    <w:p w14:paraId="2A8D314A"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Dawson-Hughes, B., Harris, S.S., Krall, E.A. and </w:t>
      </w:r>
      <w:proofErr w:type="spellStart"/>
      <w:r w:rsidRPr="00715C4F">
        <w:rPr>
          <w:rFonts w:ascii="Arial" w:eastAsia="Times New Roman" w:hAnsi="Arial" w:cs="Arial"/>
          <w:kern w:val="0"/>
          <w:lang w:eastAsia="en-GB"/>
          <w14:ligatures w14:val="none"/>
        </w:rPr>
        <w:t>Dallal</w:t>
      </w:r>
      <w:proofErr w:type="spellEnd"/>
      <w:r w:rsidRPr="00715C4F">
        <w:rPr>
          <w:rFonts w:ascii="Arial" w:eastAsia="Times New Roman" w:hAnsi="Arial" w:cs="Arial"/>
          <w:kern w:val="0"/>
          <w:lang w:eastAsia="en-GB"/>
          <w14:ligatures w14:val="none"/>
        </w:rPr>
        <w:t xml:space="preserve">, G.E. (1997) ‘Effect of calcium and vitamin D supplementation on bone density in men and women 65 years of age or older’, </w:t>
      </w:r>
      <w:r w:rsidRPr="00715C4F">
        <w:rPr>
          <w:rFonts w:ascii="Arial" w:eastAsia="Times New Roman" w:hAnsi="Arial" w:cs="Arial"/>
          <w:i/>
          <w:iCs/>
          <w:kern w:val="0"/>
          <w:lang w:eastAsia="en-GB"/>
          <w14:ligatures w14:val="none"/>
        </w:rPr>
        <w:t>The New England Journal of Medicine</w:t>
      </w:r>
      <w:r w:rsidRPr="00715C4F">
        <w:rPr>
          <w:rFonts w:ascii="Arial" w:eastAsia="Times New Roman" w:hAnsi="Arial" w:cs="Arial"/>
          <w:kern w:val="0"/>
          <w:lang w:eastAsia="en-GB"/>
          <w14:ligatures w14:val="none"/>
        </w:rPr>
        <w:t>, 337, pp. 670–676.</w:t>
      </w:r>
      <w:r w:rsidRPr="00715C4F">
        <w:rPr>
          <w:rFonts w:ascii="Arial" w:eastAsia="Times New Roman" w:hAnsi="Arial" w:cs="Arial"/>
          <w:kern w:val="0"/>
          <w:lang w:eastAsia="en-GB"/>
          <w14:ligatures w14:val="none"/>
        </w:rPr>
        <w:br/>
        <w:t xml:space="preserve"> </w:t>
      </w:r>
      <w:hyperlink r:id="rId44" w:history="1">
        <w:r w:rsidRPr="00715C4F">
          <w:rPr>
            <w:rStyle w:val="Hyperlink"/>
            <w:rFonts w:ascii="Arial" w:eastAsia="Times New Roman" w:hAnsi="Arial" w:cs="Arial"/>
            <w:kern w:val="0"/>
            <w:lang w:eastAsia="en-GB"/>
            <w14:ligatures w14:val="none"/>
          </w:rPr>
          <w:t>https://doi.org/10.1056/NEJM199709043371003</w:t>
        </w:r>
      </w:hyperlink>
      <w:r w:rsidRPr="00715C4F">
        <w:rPr>
          <w:rFonts w:ascii="Arial" w:eastAsia="Times New Roman" w:hAnsi="Arial" w:cs="Arial"/>
          <w:kern w:val="0"/>
          <w:lang w:eastAsia="en-GB"/>
          <w14:ligatures w14:val="none"/>
        </w:rPr>
        <w:t xml:space="preserve"> [Accessed 12 September 2026]. </w:t>
      </w:r>
    </w:p>
    <w:p w14:paraId="05A89CC2"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DeLuca, H.F. (2004) ‘Overview of general physiologic features and functions of vitamin D’, </w:t>
      </w:r>
      <w:r w:rsidRPr="00715C4F">
        <w:rPr>
          <w:rFonts w:ascii="Arial" w:eastAsia="Times New Roman" w:hAnsi="Arial" w:cs="Arial"/>
          <w:i/>
          <w:iCs/>
          <w:kern w:val="0"/>
          <w:lang w:eastAsia="en-GB"/>
          <w14:ligatures w14:val="none"/>
        </w:rPr>
        <w:t>The American Journal of Clinical Nutrition</w:t>
      </w:r>
      <w:r w:rsidRPr="00715C4F">
        <w:rPr>
          <w:rFonts w:ascii="Arial" w:eastAsia="Times New Roman" w:hAnsi="Arial" w:cs="Arial"/>
          <w:kern w:val="0"/>
          <w:lang w:eastAsia="en-GB"/>
          <w14:ligatures w14:val="none"/>
        </w:rPr>
        <w:t xml:space="preserve">, 80(6 </w:t>
      </w:r>
      <w:proofErr w:type="spellStart"/>
      <w:r w:rsidRPr="00715C4F">
        <w:rPr>
          <w:rFonts w:ascii="Arial" w:eastAsia="Times New Roman" w:hAnsi="Arial" w:cs="Arial"/>
          <w:kern w:val="0"/>
          <w:lang w:eastAsia="en-GB"/>
          <w14:ligatures w14:val="none"/>
        </w:rPr>
        <w:t>Suppl</w:t>
      </w:r>
      <w:proofErr w:type="spellEnd"/>
      <w:r w:rsidRPr="00715C4F">
        <w:rPr>
          <w:rFonts w:ascii="Arial" w:eastAsia="Times New Roman" w:hAnsi="Arial" w:cs="Arial"/>
          <w:kern w:val="0"/>
          <w:lang w:eastAsia="en-GB"/>
          <w14:ligatures w14:val="none"/>
        </w:rPr>
        <w:t>), pp. 1689S–1696S.</w:t>
      </w:r>
      <w:r w:rsidRPr="00715C4F">
        <w:rPr>
          <w:rFonts w:ascii="Arial" w:eastAsia="Times New Roman" w:hAnsi="Arial" w:cs="Arial"/>
          <w:kern w:val="0"/>
          <w:lang w:eastAsia="en-GB"/>
          <w14:ligatures w14:val="none"/>
        </w:rPr>
        <w:br/>
        <w:t xml:space="preserve"> </w:t>
      </w:r>
      <w:hyperlink r:id="rId45" w:history="1">
        <w:r w:rsidRPr="00715C4F">
          <w:rPr>
            <w:rStyle w:val="Hyperlink"/>
            <w:rFonts w:ascii="Arial" w:eastAsia="Times New Roman" w:hAnsi="Arial" w:cs="Arial"/>
            <w:kern w:val="0"/>
            <w:lang w:eastAsia="en-GB"/>
            <w14:ligatures w14:val="none"/>
          </w:rPr>
          <w:t>https://doi.org/10.1093/ajcn/80.6.1689S</w:t>
        </w:r>
      </w:hyperlink>
      <w:r w:rsidRPr="00715C4F">
        <w:rPr>
          <w:rFonts w:ascii="Arial" w:eastAsia="Times New Roman" w:hAnsi="Arial" w:cs="Arial"/>
          <w:kern w:val="0"/>
          <w:lang w:eastAsia="en-GB"/>
          <w14:ligatures w14:val="none"/>
        </w:rPr>
        <w:t xml:space="preserve"> [Accessed 4 August 2026]. </w:t>
      </w:r>
    </w:p>
    <w:p w14:paraId="30926CC9"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Donin</w:t>
      </w:r>
      <w:proofErr w:type="spellEnd"/>
      <w:r w:rsidRPr="00715C4F">
        <w:rPr>
          <w:rFonts w:ascii="Arial" w:eastAsia="Times New Roman" w:hAnsi="Arial" w:cs="Arial"/>
          <w:kern w:val="0"/>
          <w:lang w:eastAsia="en-GB"/>
          <w14:ligatures w14:val="none"/>
        </w:rPr>
        <w:t xml:space="preserve">, A.S. et al. (2025) ‘Prevalence and correlates of vitamin D deficiency in primary school children’, </w:t>
      </w:r>
      <w:r w:rsidRPr="00715C4F">
        <w:rPr>
          <w:rFonts w:ascii="Arial" w:eastAsia="Times New Roman" w:hAnsi="Arial" w:cs="Arial"/>
          <w:i/>
          <w:iCs/>
          <w:kern w:val="0"/>
          <w:lang w:eastAsia="en-GB"/>
          <w14:ligatures w14:val="none"/>
        </w:rPr>
        <w:t>British Journal of Nutrition</w:t>
      </w:r>
      <w:r w:rsidRPr="00715C4F">
        <w:rPr>
          <w:rFonts w:ascii="Arial" w:eastAsia="Times New Roman" w:hAnsi="Arial" w:cs="Arial"/>
          <w:kern w:val="0"/>
          <w:lang w:eastAsia="en-GB"/>
          <w14:ligatures w14:val="none"/>
        </w:rPr>
        <w:t>, 134(8), pp. 689–695.</w:t>
      </w:r>
      <w:r w:rsidRPr="00715C4F">
        <w:rPr>
          <w:rFonts w:ascii="Arial" w:eastAsia="Times New Roman" w:hAnsi="Arial" w:cs="Arial"/>
          <w:kern w:val="0"/>
          <w:lang w:eastAsia="en-GB"/>
          <w14:ligatures w14:val="none"/>
        </w:rPr>
        <w:br/>
        <w:t xml:space="preserve"> </w:t>
      </w:r>
      <w:hyperlink r:id="rId46" w:history="1">
        <w:r w:rsidRPr="00715C4F">
          <w:rPr>
            <w:rStyle w:val="Hyperlink"/>
            <w:rFonts w:ascii="Arial" w:eastAsia="Times New Roman" w:hAnsi="Arial" w:cs="Arial"/>
            <w:kern w:val="0"/>
            <w:lang w:eastAsia="en-GB"/>
            <w14:ligatures w14:val="none"/>
          </w:rPr>
          <w:t>https://doi.org/10.1017/S0007114525105187</w:t>
        </w:r>
      </w:hyperlink>
      <w:r w:rsidRPr="00715C4F">
        <w:rPr>
          <w:rFonts w:ascii="Arial" w:eastAsia="Times New Roman" w:hAnsi="Arial" w:cs="Arial"/>
          <w:kern w:val="0"/>
          <w:lang w:eastAsia="en-GB"/>
          <w14:ligatures w14:val="none"/>
        </w:rPr>
        <w:t xml:space="preserve"> [Accessed 5 August 2026]. </w:t>
      </w:r>
    </w:p>
    <w:p w14:paraId="7C64183C"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El-Hajj </w:t>
      </w:r>
      <w:proofErr w:type="spellStart"/>
      <w:r w:rsidRPr="00715C4F">
        <w:rPr>
          <w:rFonts w:ascii="Arial" w:eastAsia="Times New Roman" w:hAnsi="Arial" w:cs="Arial"/>
          <w:kern w:val="0"/>
          <w:lang w:eastAsia="en-GB"/>
          <w14:ligatures w14:val="none"/>
        </w:rPr>
        <w:t>Fuleihan</w:t>
      </w:r>
      <w:proofErr w:type="spellEnd"/>
      <w:r w:rsidRPr="00715C4F">
        <w:rPr>
          <w:rFonts w:ascii="Arial" w:eastAsia="Times New Roman" w:hAnsi="Arial" w:cs="Arial"/>
          <w:kern w:val="0"/>
          <w:lang w:eastAsia="en-GB"/>
          <w14:ligatures w14:val="none"/>
        </w:rPr>
        <w:t xml:space="preserve">, G. et al. (2019) ‘Serum 25-hydroxyvitamin D levels: variability, knowledge gaps, and implications for clinical practice’, </w:t>
      </w:r>
      <w:r w:rsidRPr="00715C4F">
        <w:rPr>
          <w:rFonts w:ascii="Arial" w:eastAsia="Times New Roman" w:hAnsi="Arial" w:cs="Arial"/>
          <w:i/>
          <w:iCs/>
          <w:kern w:val="0"/>
          <w:lang w:eastAsia="en-GB"/>
          <w14:ligatures w14:val="none"/>
        </w:rPr>
        <w:t>Endocrine Reviews</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47" w:history="1">
        <w:r w:rsidRPr="00715C4F">
          <w:rPr>
            <w:rStyle w:val="Hyperlink"/>
            <w:rFonts w:ascii="Arial" w:eastAsia="Times New Roman" w:hAnsi="Arial" w:cs="Arial"/>
            <w:kern w:val="0"/>
            <w:lang w:eastAsia="en-GB"/>
            <w14:ligatures w14:val="none"/>
          </w:rPr>
          <w:t>https://academic.oup.com/edrv/search-results?q=Serum%2025-hydroxyvitamin%20D%20levels%20variability</w:t>
        </w:r>
      </w:hyperlink>
      <w:r w:rsidRPr="00715C4F">
        <w:rPr>
          <w:rFonts w:ascii="Arial" w:eastAsia="Times New Roman" w:hAnsi="Arial" w:cs="Arial"/>
          <w:kern w:val="0"/>
          <w:lang w:eastAsia="en-GB"/>
          <w14:ligatures w14:val="none"/>
        </w:rPr>
        <w:t xml:space="preserve"> [Accessed 12 September 2026]. </w:t>
      </w:r>
    </w:p>
    <w:p w14:paraId="27029EFF"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Engelsen</w:t>
      </w:r>
      <w:proofErr w:type="spellEnd"/>
      <w:r w:rsidRPr="00715C4F">
        <w:rPr>
          <w:rFonts w:ascii="Arial" w:eastAsia="Times New Roman" w:hAnsi="Arial" w:cs="Arial"/>
          <w:kern w:val="0"/>
          <w:lang w:eastAsia="en-GB"/>
          <w14:ligatures w14:val="none"/>
        </w:rPr>
        <w:t xml:space="preserve">, O. (2010) ‘The relationship between ultraviolet radiation exposure and vitamin D status’, </w:t>
      </w:r>
      <w:r w:rsidRPr="00715C4F">
        <w:rPr>
          <w:rFonts w:ascii="Arial" w:eastAsia="Times New Roman" w:hAnsi="Arial" w:cs="Arial"/>
          <w:i/>
          <w:iCs/>
          <w:kern w:val="0"/>
          <w:lang w:eastAsia="en-GB"/>
          <w14:ligatures w14:val="none"/>
        </w:rPr>
        <w:t>Nutrients</w:t>
      </w:r>
      <w:r w:rsidRPr="00715C4F">
        <w:rPr>
          <w:rFonts w:ascii="Arial" w:eastAsia="Times New Roman" w:hAnsi="Arial" w:cs="Arial"/>
          <w:kern w:val="0"/>
          <w:lang w:eastAsia="en-GB"/>
          <w14:ligatures w14:val="none"/>
        </w:rPr>
        <w:t>, 2(5), pp. 482–495.</w:t>
      </w:r>
      <w:r w:rsidRPr="00715C4F">
        <w:rPr>
          <w:rFonts w:ascii="Arial" w:eastAsia="Times New Roman" w:hAnsi="Arial" w:cs="Arial"/>
          <w:kern w:val="0"/>
          <w:lang w:eastAsia="en-GB"/>
          <w14:ligatures w14:val="none"/>
        </w:rPr>
        <w:br/>
        <w:t xml:space="preserve"> </w:t>
      </w:r>
      <w:hyperlink r:id="rId48" w:tgtFrame="_new" w:history="1">
        <w:r w:rsidRPr="00715C4F">
          <w:rPr>
            <w:rFonts w:ascii="Arial" w:eastAsia="Times New Roman" w:hAnsi="Arial" w:cs="Arial"/>
            <w:color w:val="0000FF"/>
            <w:kern w:val="0"/>
            <w:u w:val="single"/>
            <w:lang w:eastAsia="en-GB"/>
            <w14:ligatures w14:val="none"/>
          </w:rPr>
          <w:t>https://doi.org/10.3390/nu2050482</w:t>
        </w:r>
      </w:hyperlink>
      <w:r w:rsidRPr="00715C4F">
        <w:rPr>
          <w:rFonts w:ascii="Arial" w:eastAsia="Times New Roman" w:hAnsi="Arial" w:cs="Arial"/>
          <w:kern w:val="0"/>
          <w:lang w:eastAsia="en-GB"/>
          <w14:ligatures w14:val="none"/>
        </w:rPr>
        <w:t xml:space="preserve"> [Accessed 5 August 2026]. </w:t>
      </w:r>
    </w:p>
    <w:p w14:paraId="2A9A7760"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European Food Safety Authority (2016) ‘Dietary reference values for vitamin D’, </w:t>
      </w:r>
      <w:r w:rsidRPr="00715C4F">
        <w:rPr>
          <w:rFonts w:ascii="Arial" w:eastAsia="Times New Roman" w:hAnsi="Arial" w:cs="Arial"/>
          <w:i/>
          <w:iCs/>
          <w:kern w:val="0"/>
          <w:lang w:eastAsia="en-GB"/>
          <w14:ligatures w14:val="none"/>
        </w:rPr>
        <w:t>EFSA Journal</w:t>
      </w:r>
      <w:r w:rsidRPr="00715C4F">
        <w:rPr>
          <w:rFonts w:ascii="Arial" w:eastAsia="Times New Roman" w:hAnsi="Arial" w:cs="Arial"/>
          <w:kern w:val="0"/>
          <w:lang w:eastAsia="en-GB"/>
          <w14:ligatures w14:val="none"/>
        </w:rPr>
        <w:t>, 14(10), 4547.</w:t>
      </w:r>
      <w:r w:rsidRPr="00715C4F">
        <w:rPr>
          <w:rFonts w:ascii="Arial" w:eastAsia="Times New Roman" w:hAnsi="Arial" w:cs="Arial"/>
          <w:kern w:val="0"/>
          <w:lang w:eastAsia="en-GB"/>
          <w14:ligatures w14:val="none"/>
        </w:rPr>
        <w:br/>
        <w:t xml:space="preserve"> </w:t>
      </w:r>
      <w:hyperlink r:id="rId49" w:tgtFrame="_new" w:history="1">
        <w:r w:rsidRPr="00715C4F">
          <w:rPr>
            <w:rFonts w:ascii="Arial" w:eastAsia="Times New Roman" w:hAnsi="Arial" w:cs="Arial"/>
            <w:color w:val="0000FF"/>
            <w:kern w:val="0"/>
            <w:u w:val="single"/>
            <w:lang w:eastAsia="en-GB"/>
            <w14:ligatures w14:val="none"/>
          </w:rPr>
          <w:t>https://doi.org/10.2903/j.efsa.2016.4547</w:t>
        </w:r>
      </w:hyperlink>
      <w:r w:rsidRPr="00715C4F">
        <w:rPr>
          <w:rFonts w:ascii="Arial" w:eastAsia="Times New Roman" w:hAnsi="Arial" w:cs="Arial"/>
          <w:kern w:val="0"/>
          <w:lang w:eastAsia="en-GB"/>
          <w14:ligatures w14:val="none"/>
        </w:rPr>
        <w:t xml:space="preserve"> [Accessed 6 August 2026]. </w:t>
      </w:r>
    </w:p>
    <w:p w14:paraId="02E27672"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Forouhi</w:t>
      </w:r>
      <w:proofErr w:type="spellEnd"/>
      <w:r w:rsidRPr="00715C4F">
        <w:rPr>
          <w:rFonts w:ascii="Arial" w:eastAsia="Times New Roman" w:hAnsi="Arial" w:cs="Arial"/>
          <w:kern w:val="0"/>
          <w:lang w:eastAsia="en-GB"/>
          <w14:ligatures w14:val="none"/>
        </w:rPr>
        <w:t xml:space="preserve">, N.G. et al. (2008) ‘Baseline serum 25-hydroxy vitamin D is predictive of future </w:t>
      </w:r>
      <w:proofErr w:type="spellStart"/>
      <w:r w:rsidRPr="00715C4F">
        <w:rPr>
          <w:rFonts w:ascii="Arial" w:eastAsia="Times New Roman" w:hAnsi="Arial" w:cs="Arial"/>
          <w:kern w:val="0"/>
          <w:lang w:eastAsia="en-GB"/>
          <w14:ligatures w14:val="none"/>
        </w:rPr>
        <w:t>glycemic</w:t>
      </w:r>
      <w:proofErr w:type="spellEnd"/>
      <w:r w:rsidRPr="00715C4F">
        <w:rPr>
          <w:rFonts w:ascii="Arial" w:eastAsia="Times New Roman" w:hAnsi="Arial" w:cs="Arial"/>
          <w:kern w:val="0"/>
          <w:lang w:eastAsia="en-GB"/>
          <w14:ligatures w14:val="none"/>
        </w:rPr>
        <w:t xml:space="preserve"> status’, </w:t>
      </w:r>
      <w:r w:rsidRPr="00715C4F">
        <w:rPr>
          <w:rFonts w:ascii="Arial" w:eastAsia="Times New Roman" w:hAnsi="Arial" w:cs="Arial"/>
          <w:i/>
          <w:iCs/>
          <w:kern w:val="0"/>
          <w:lang w:eastAsia="en-GB"/>
          <w14:ligatures w14:val="none"/>
        </w:rPr>
        <w:t>Diabetes</w:t>
      </w:r>
      <w:r w:rsidRPr="00715C4F">
        <w:rPr>
          <w:rFonts w:ascii="Arial" w:eastAsia="Times New Roman" w:hAnsi="Arial" w:cs="Arial"/>
          <w:kern w:val="0"/>
          <w:lang w:eastAsia="en-GB"/>
          <w14:ligatures w14:val="none"/>
        </w:rPr>
        <w:t>, 57(10), pp. 2619–2625.</w:t>
      </w:r>
      <w:r w:rsidRPr="00715C4F">
        <w:rPr>
          <w:rFonts w:ascii="Arial" w:eastAsia="Times New Roman" w:hAnsi="Arial" w:cs="Arial"/>
          <w:kern w:val="0"/>
          <w:lang w:eastAsia="en-GB"/>
          <w14:ligatures w14:val="none"/>
        </w:rPr>
        <w:br/>
        <w:t xml:space="preserve"> </w:t>
      </w:r>
      <w:hyperlink r:id="rId50" w:history="1">
        <w:r w:rsidRPr="00715C4F">
          <w:rPr>
            <w:rStyle w:val="Hyperlink"/>
            <w:rFonts w:ascii="Arial" w:eastAsia="Times New Roman" w:hAnsi="Arial" w:cs="Arial"/>
            <w:kern w:val="0"/>
            <w:lang w:eastAsia="en-GB"/>
            <w14:ligatures w14:val="none"/>
          </w:rPr>
          <w:t>https://doi.org/10.2337/db08-0593</w:t>
        </w:r>
      </w:hyperlink>
      <w:r w:rsidRPr="00715C4F">
        <w:rPr>
          <w:rFonts w:ascii="Arial" w:eastAsia="Times New Roman" w:hAnsi="Arial" w:cs="Arial"/>
          <w:kern w:val="0"/>
          <w:lang w:eastAsia="en-GB"/>
          <w14:ligatures w14:val="none"/>
        </w:rPr>
        <w:t xml:space="preserve"> [Accessed 6 August 2026]. </w:t>
      </w:r>
    </w:p>
    <w:p w14:paraId="44E69B5A"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Fraser, W.D. and Milan, A.M. (2013) ‘Vitamin D assays: past and present debates’, </w:t>
      </w:r>
      <w:r w:rsidRPr="00715C4F">
        <w:rPr>
          <w:rFonts w:ascii="Arial" w:eastAsia="Times New Roman" w:hAnsi="Arial" w:cs="Arial"/>
          <w:i/>
          <w:iCs/>
          <w:kern w:val="0"/>
          <w:lang w:eastAsia="en-GB"/>
          <w14:ligatures w14:val="none"/>
        </w:rPr>
        <w:t>Calcified Tissue International</w:t>
      </w:r>
      <w:r w:rsidRPr="00715C4F">
        <w:rPr>
          <w:rFonts w:ascii="Arial" w:eastAsia="Times New Roman" w:hAnsi="Arial" w:cs="Arial"/>
          <w:kern w:val="0"/>
          <w:lang w:eastAsia="en-GB"/>
          <w14:ligatures w14:val="none"/>
        </w:rPr>
        <w:t>, 92(2), pp. 118–127.</w:t>
      </w:r>
      <w:r w:rsidRPr="00715C4F">
        <w:rPr>
          <w:rFonts w:ascii="Arial" w:eastAsia="Times New Roman" w:hAnsi="Arial" w:cs="Arial"/>
          <w:kern w:val="0"/>
          <w:lang w:eastAsia="en-GB"/>
          <w14:ligatures w14:val="none"/>
        </w:rPr>
        <w:br/>
        <w:t xml:space="preserve"> </w:t>
      </w:r>
      <w:hyperlink r:id="rId51" w:history="1">
        <w:r w:rsidRPr="00715C4F">
          <w:rPr>
            <w:rStyle w:val="Hyperlink"/>
            <w:rFonts w:ascii="Arial" w:eastAsia="Times New Roman" w:hAnsi="Arial" w:cs="Arial"/>
            <w:kern w:val="0"/>
            <w:lang w:eastAsia="en-GB"/>
            <w14:ligatures w14:val="none"/>
          </w:rPr>
          <w:t>https://doi.org/10.1007/s00223-012-9698-9</w:t>
        </w:r>
      </w:hyperlink>
      <w:r w:rsidRPr="00715C4F">
        <w:rPr>
          <w:rFonts w:ascii="Arial" w:eastAsia="Times New Roman" w:hAnsi="Arial" w:cs="Arial"/>
          <w:kern w:val="0"/>
          <w:lang w:eastAsia="en-GB"/>
          <w14:ligatures w14:val="none"/>
        </w:rPr>
        <w:t xml:space="preserve"> [Accessed 7 August 2026]. </w:t>
      </w:r>
    </w:p>
    <w:p w14:paraId="5DE29E6B"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lastRenderedPageBreak/>
        <w:t>Giustina</w:t>
      </w:r>
      <w:proofErr w:type="spellEnd"/>
      <w:r w:rsidRPr="00715C4F">
        <w:rPr>
          <w:rFonts w:ascii="Arial" w:eastAsia="Times New Roman" w:hAnsi="Arial" w:cs="Arial"/>
          <w:kern w:val="0"/>
          <w:lang w:eastAsia="en-GB"/>
          <w14:ligatures w14:val="none"/>
        </w:rPr>
        <w:t xml:space="preserve">, A. et al. (2024) ‘Vitamin D for the prevention of disease: an Endocrine Society clinical practice guideline’, </w:t>
      </w:r>
      <w:r w:rsidRPr="00715C4F">
        <w:rPr>
          <w:rFonts w:ascii="Arial" w:eastAsia="Times New Roman" w:hAnsi="Arial" w:cs="Arial"/>
          <w:i/>
          <w:iCs/>
          <w:kern w:val="0"/>
          <w:lang w:eastAsia="en-GB"/>
          <w14:ligatures w14:val="none"/>
        </w:rPr>
        <w:t>The Journal of Clinical Endocrinology &amp; Metabolism</w:t>
      </w:r>
      <w:r w:rsidRPr="00715C4F">
        <w:rPr>
          <w:rFonts w:ascii="Arial" w:eastAsia="Times New Roman" w:hAnsi="Arial" w:cs="Arial"/>
          <w:kern w:val="0"/>
          <w:lang w:eastAsia="en-GB"/>
          <w14:ligatures w14:val="none"/>
        </w:rPr>
        <w:t>, 109(8), pp. 1907–1947.</w:t>
      </w:r>
      <w:r w:rsidRPr="00715C4F">
        <w:rPr>
          <w:rFonts w:ascii="Arial" w:eastAsia="Times New Roman" w:hAnsi="Arial" w:cs="Arial"/>
          <w:kern w:val="0"/>
          <w:lang w:eastAsia="en-GB"/>
          <w14:ligatures w14:val="none"/>
        </w:rPr>
        <w:br/>
        <w:t xml:space="preserve"> </w:t>
      </w:r>
      <w:hyperlink r:id="rId52" w:tgtFrame="_new" w:history="1">
        <w:r w:rsidRPr="00715C4F">
          <w:rPr>
            <w:rFonts w:ascii="Arial" w:eastAsia="Times New Roman" w:hAnsi="Arial" w:cs="Arial"/>
            <w:color w:val="0000FF"/>
            <w:kern w:val="0"/>
            <w:u w:val="single"/>
            <w:lang w:eastAsia="en-GB"/>
            <w14:ligatures w14:val="none"/>
          </w:rPr>
          <w:t>https://doi.org/10.1210/clinem/dgae290</w:t>
        </w:r>
      </w:hyperlink>
      <w:r w:rsidRPr="00715C4F">
        <w:rPr>
          <w:rFonts w:ascii="Arial" w:eastAsia="Times New Roman" w:hAnsi="Arial" w:cs="Arial"/>
          <w:kern w:val="0"/>
          <w:lang w:eastAsia="en-GB"/>
          <w14:ligatures w14:val="none"/>
        </w:rPr>
        <w:t xml:space="preserve"> [Accessed 7 August 2026]. </w:t>
      </w:r>
    </w:p>
    <w:p w14:paraId="59E44DBB"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Hanel</w:t>
      </w:r>
      <w:proofErr w:type="spellEnd"/>
      <w:r w:rsidRPr="00715C4F">
        <w:rPr>
          <w:rFonts w:ascii="Arial" w:eastAsia="Times New Roman" w:hAnsi="Arial" w:cs="Arial"/>
          <w:kern w:val="0"/>
          <w:lang w:eastAsia="en-GB"/>
          <w14:ligatures w14:val="none"/>
        </w:rPr>
        <w:t xml:space="preserve">, A. and </w:t>
      </w:r>
      <w:proofErr w:type="spellStart"/>
      <w:r w:rsidRPr="00715C4F">
        <w:rPr>
          <w:rFonts w:ascii="Arial" w:eastAsia="Times New Roman" w:hAnsi="Arial" w:cs="Arial"/>
          <w:kern w:val="0"/>
          <w:lang w:eastAsia="en-GB"/>
          <w14:ligatures w14:val="none"/>
        </w:rPr>
        <w:t>Carlberg</w:t>
      </w:r>
      <w:proofErr w:type="spellEnd"/>
      <w:r w:rsidRPr="00715C4F">
        <w:rPr>
          <w:rFonts w:ascii="Arial" w:eastAsia="Times New Roman" w:hAnsi="Arial" w:cs="Arial"/>
          <w:kern w:val="0"/>
          <w:lang w:eastAsia="en-GB"/>
          <w14:ligatures w14:val="none"/>
        </w:rPr>
        <w:t xml:space="preserve">, C. (2020) ‘Vitamin D and evolution: pharmacologic implications’, </w:t>
      </w:r>
      <w:r w:rsidRPr="00715C4F">
        <w:rPr>
          <w:rFonts w:ascii="Arial" w:eastAsia="Times New Roman" w:hAnsi="Arial" w:cs="Arial"/>
          <w:i/>
          <w:iCs/>
          <w:kern w:val="0"/>
          <w:lang w:eastAsia="en-GB"/>
          <w14:ligatures w14:val="none"/>
        </w:rPr>
        <w:t>Nutrients</w:t>
      </w:r>
      <w:r w:rsidRPr="00715C4F">
        <w:rPr>
          <w:rFonts w:ascii="Arial" w:eastAsia="Times New Roman" w:hAnsi="Arial" w:cs="Arial"/>
          <w:kern w:val="0"/>
          <w:lang w:eastAsia="en-GB"/>
          <w14:ligatures w14:val="none"/>
        </w:rPr>
        <w:t>, 12(6), 1688.</w:t>
      </w:r>
      <w:r w:rsidRPr="00715C4F">
        <w:rPr>
          <w:rFonts w:ascii="Arial" w:eastAsia="Times New Roman" w:hAnsi="Arial" w:cs="Arial"/>
          <w:kern w:val="0"/>
          <w:lang w:eastAsia="en-GB"/>
          <w14:ligatures w14:val="none"/>
        </w:rPr>
        <w:br/>
        <w:t xml:space="preserve"> </w:t>
      </w:r>
      <w:hyperlink r:id="rId53" w:history="1">
        <w:r w:rsidRPr="00715C4F">
          <w:rPr>
            <w:rStyle w:val="Hyperlink"/>
            <w:rFonts w:ascii="Arial" w:eastAsia="Times New Roman" w:hAnsi="Arial" w:cs="Arial"/>
            <w:kern w:val="0"/>
            <w:lang w:eastAsia="en-GB"/>
            <w14:ligatures w14:val="none"/>
          </w:rPr>
          <w:t>https://doi.org/10.3390/nu12061688</w:t>
        </w:r>
      </w:hyperlink>
      <w:r w:rsidRPr="00715C4F">
        <w:rPr>
          <w:rFonts w:ascii="Arial" w:eastAsia="Times New Roman" w:hAnsi="Arial" w:cs="Arial"/>
          <w:kern w:val="0"/>
          <w:lang w:eastAsia="en-GB"/>
          <w14:ligatures w14:val="none"/>
        </w:rPr>
        <w:t xml:space="preserve"> [Accessed 8 August 2026]. </w:t>
      </w:r>
    </w:p>
    <w:p w14:paraId="2686D720"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Higgins, J.P.T. et al. (eds.) (2024) </w:t>
      </w:r>
      <w:r w:rsidRPr="00715C4F">
        <w:rPr>
          <w:rFonts w:ascii="Arial" w:eastAsia="Times New Roman" w:hAnsi="Arial" w:cs="Arial"/>
          <w:i/>
          <w:iCs/>
          <w:kern w:val="0"/>
          <w:lang w:eastAsia="en-GB"/>
          <w14:ligatures w14:val="none"/>
        </w:rPr>
        <w:t>Cochrane Handbook for Systematic Reviews of Interventions</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54" w:tgtFrame="_new" w:history="1">
        <w:r w:rsidRPr="00715C4F">
          <w:rPr>
            <w:rFonts w:ascii="Arial" w:eastAsia="Times New Roman" w:hAnsi="Arial" w:cs="Arial"/>
            <w:color w:val="0000FF"/>
            <w:kern w:val="0"/>
            <w:u w:val="single"/>
            <w:lang w:eastAsia="en-GB"/>
            <w14:ligatures w14:val="none"/>
          </w:rPr>
          <w:t>https://training.cochrane.org/handbook</w:t>
        </w:r>
      </w:hyperlink>
      <w:r w:rsidRPr="00715C4F">
        <w:rPr>
          <w:rFonts w:ascii="Arial" w:eastAsia="Times New Roman" w:hAnsi="Arial" w:cs="Arial"/>
          <w:kern w:val="0"/>
          <w:lang w:eastAsia="en-GB"/>
          <w14:ligatures w14:val="none"/>
        </w:rPr>
        <w:t xml:space="preserve"> [Accessed 8 August 2026]. </w:t>
      </w:r>
    </w:p>
    <w:p w14:paraId="1DF7B873"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Högler</w:t>
      </w:r>
      <w:proofErr w:type="spellEnd"/>
      <w:r w:rsidRPr="00715C4F">
        <w:rPr>
          <w:rFonts w:ascii="Arial" w:eastAsia="Times New Roman" w:hAnsi="Arial" w:cs="Arial"/>
          <w:kern w:val="0"/>
          <w:lang w:eastAsia="en-GB"/>
          <w14:ligatures w14:val="none"/>
        </w:rPr>
        <w:t xml:space="preserve">, W. et al. (2022) ‘Influence of maternal socioeconomic deprivation and living environment on </w:t>
      </w:r>
      <w:proofErr w:type="spellStart"/>
      <w:r w:rsidRPr="00715C4F">
        <w:rPr>
          <w:rFonts w:ascii="Arial" w:eastAsia="Times New Roman" w:hAnsi="Arial" w:cs="Arial"/>
          <w:kern w:val="0"/>
          <w:lang w:eastAsia="en-GB"/>
          <w14:ligatures w14:val="none"/>
        </w:rPr>
        <w:t>newborn</w:t>
      </w:r>
      <w:proofErr w:type="spellEnd"/>
      <w:r w:rsidRPr="00715C4F">
        <w:rPr>
          <w:rFonts w:ascii="Arial" w:eastAsia="Times New Roman" w:hAnsi="Arial" w:cs="Arial"/>
          <w:kern w:val="0"/>
          <w:lang w:eastAsia="en-GB"/>
          <w14:ligatures w14:val="none"/>
        </w:rPr>
        <w:t xml:space="preserve"> bloodspot 25-hydroxyvitamin D levels’, </w:t>
      </w:r>
      <w:r w:rsidRPr="00715C4F">
        <w:rPr>
          <w:rFonts w:ascii="Arial" w:eastAsia="Times New Roman" w:hAnsi="Arial" w:cs="Arial"/>
          <w:i/>
          <w:iCs/>
          <w:kern w:val="0"/>
          <w:lang w:eastAsia="en-GB"/>
          <w14:ligatures w14:val="none"/>
        </w:rPr>
        <w:t>Frontiers in Endocrinology</w:t>
      </w:r>
      <w:r w:rsidRPr="00715C4F">
        <w:rPr>
          <w:rFonts w:ascii="Arial" w:eastAsia="Times New Roman" w:hAnsi="Arial" w:cs="Arial"/>
          <w:kern w:val="0"/>
          <w:lang w:eastAsia="en-GB"/>
          <w14:ligatures w14:val="none"/>
        </w:rPr>
        <w:t>, 13, 978580.</w:t>
      </w:r>
      <w:r w:rsidRPr="00715C4F">
        <w:rPr>
          <w:rFonts w:ascii="Arial" w:eastAsia="Times New Roman" w:hAnsi="Arial" w:cs="Arial"/>
          <w:kern w:val="0"/>
          <w:lang w:eastAsia="en-GB"/>
          <w14:ligatures w14:val="none"/>
        </w:rPr>
        <w:br/>
        <w:t xml:space="preserve"> </w:t>
      </w:r>
      <w:hyperlink r:id="rId55" w:history="1">
        <w:r w:rsidRPr="00715C4F">
          <w:rPr>
            <w:rStyle w:val="Hyperlink"/>
            <w:rFonts w:ascii="Arial" w:eastAsia="Times New Roman" w:hAnsi="Arial" w:cs="Arial"/>
            <w:kern w:val="0"/>
            <w:lang w:eastAsia="en-GB"/>
            <w14:ligatures w14:val="none"/>
          </w:rPr>
          <w:t>https://doi.org/10.3389/fendo.2022.978580</w:t>
        </w:r>
      </w:hyperlink>
      <w:r w:rsidRPr="00715C4F">
        <w:rPr>
          <w:rFonts w:ascii="Arial" w:eastAsia="Times New Roman" w:hAnsi="Arial" w:cs="Arial"/>
          <w:kern w:val="0"/>
          <w:lang w:eastAsia="en-GB"/>
          <w14:ligatures w14:val="none"/>
        </w:rPr>
        <w:t xml:space="preserve"> [Accessed 11 August 2026]. </w:t>
      </w:r>
    </w:p>
    <w:p w14:paraId="436BD4BE"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Holick</w:t>
      </w:r>
      <w:proofErr w:type="spellEnd"/>
      <w:r w:rsidRPr="00715C4F">
        <w:rPr>
          <w:rFonts w:ascii="Arial" w:eastAsia="Times New Roman" w:hAnsi="Arial" w:cs="Arial"/>
          <w:kern w:val="0"/>
          <w:lang w:eastAsia="en-GB"/>
          <w14:ligatures w14:val="none"/>
        </w:rPr>
        <w:t xml:space="preserve">, M.F. (2006) ‘High prevalence of vitamin D inadequacy and implications for health’, </w:t>
      </w:r>
      <w:r w:rsidRPr="00715C4F">
        <w:rPr>
          <w:rFonts w:ascii="Arial" w:eastAsia="Times New Roman" w:hAnsi="Arial" w:cs="Arial"/>
          <w:i/>
          <w:iCs/>
          <w:kern w:val="0"/>
          <w:lang w:eastAsia="en-GB"/>
          <w14:ligatures w14:val="none"/>
        </w:rPr>
        <w:t>Mayo Clinic Proceedings</w:t>
      </w:r>
      <w:r w:rsidRPr="00715C4F">
        <w:rPr>
          <w:rFonts w:ascii="Arial" w:eastAsia="Times New Roman" w:hAnsi="Arial" w:cs="Arial"/>
          <w:kern w:val="0"/>
          <w:lang w:eastAsia="en-GB"/>
          <w14:ligatures w14:val="none"/>
        </w:rPr>
        <w:t>, 81(3), pp. 353–373.</w:t>
      </w:r>
      <w:r w:rsidRPr="00715C4F">
        <w:rPr>
          <w:rFonts w:ascii="Arial" w:eastAsia="Times New Roman" w:hAnsi="Arial" w:cs="Arial"/>
          <w:kern w:val="0"/>
          <w:lang w:eastAsia="en-GB"/>
          <w14:ligatures w14:val="none"/>
        </w:rPr>
        <w:br/>
        <w:t xml:space="preserve"> </w:t>
      </w:r>
      <w:hyperlink r:id="rId56" w:history="1">
        <w:r w:rsidRPr="00715C4F">
          <w:rPr>
            <w:rStyle w:val="Hyperlink"/>
            <w:rFonts w:ascii="Arial" w:eastAsia="Times New Roman" w:hAnsi="Arial" w:cs="Arial"/>
            <w:kern w:val="0"/>
            <w:lang w:eastAsia="en-GB"/>
            <w14:ligatures w14:val="none"/>
          </w:rPr>
          <w:t>https://doi.org/10.4065/81.3.353</w:t>
        </w:r>
      </w:hyperlink>
      <w:r w:rsidRPr="00715C4F">
        <w:rPr>
          <w:rFonts w:ascii="Arial" w:eastAsia="Times New Roman" w:hAnsi="Arial" w:cs="Arial"/>
          <w:kern w:val="0"/>
          <w:lang w:eastAsia="en-GB"/>
          <w14:ligatures w14:val="none"/>
        </w:rPr>
        <w:t xml:space="preserve"> [Accessed 12 September 2026]. </w:t>
      </w:r>
    </w:p>
    <w:p w14:paraId="1ACD4302"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Holick</w:t>
      </w:r>
      <w:proofErr w:type="spellEnd"/>
      <w:r w:rsidRPr="00715C4F">
        <w:rPr>
          <w:rFonts w:ascii="Arial" w:eastAsia="Times New Roman" w:hAnsi="Arial" w:cs="Arial"/>
          <w:kern w:val="0"/>
          <w:lang w:eastAsia="en-GB"/>
          <w14:ligatures w14:val="none"/>
        </w:rPr>
        <w:t xml:space="preserve">, M.F. (2007) ‘Vitamin D deficiency’, </w:t>
      </w:r>
      <w:r w:rsidRPr="00715C4F">
        <w:rPr>
          <w:rFonts w:ascii="Arial" w:eastAsia="Times New Roman" w:hAnsi="Arial" w:cs="Arial"/>
          <w:i/>
          <w:iCs/>
          <w:kern w:val="0"/>
          <w:lang w:eastAsia="en-GB"/>
          <w14:ligatures w14:val="none"/>
        </w:rPr>
        <w:t>The New England Journal of Medicine</w:t>
      </w:r>
      <w:r w:rsidRPr="00715C4F">
        <w:rPr>
          <w:rFonts w:ascii="Arial" w:eastAsia="Times New Roman" w:hAnsi="Arial" w:cs="Arial"/>
          <w:kern w:val="0"/>
          <w:lang w:eastAsia="en-GB"/>
          <w14:ligatures w14:val="none"/>
        </w:rPr>
        <w:t>, 357(3), pp. 266–281.</w:t>
      </w:r>
      <w:r w:rsidRPr="00715C4F">
        <w:rPr>
          <w:rFonts w:ascii="Arial" w:eastAsia="Times New Roman" w:hAnsi="Arial" w:cs="Arial"/>
          <w:kern w:val="0"/>
          <w:lang w:eastAsia="en-GB"/>
          <w14:ligatures w14:val="none"/>
        </w:rPr>
        <w:br/>
        <w:t xml:space="preserve"> </w:t>
      </w:r>
      <w:hyperlink r:id="rId57" w:tgtFrame="_new" w:history="1">
        <w:r w:rsidRPr="00715C4F">
          <w:rPr>
            <w:rFonts w:ascii="Arial" w:eastAsia="Times New Roman" w:hAnsi="Arial" w:cs="Arial"/>
            <w:color w:val="0000FF"/>
            <w:kern w:val="0"/>
            <w:u w:val="single"/>
            <w:lang w:eastAsia="en-GB"/>
            <w14:ligatures w14:val="none"/>
          </w:rPr>
          <w:t>https://doi.org/10.1056/NEJMra070553</w:t>
        </w:r>
      </w:hyperlink>
      <w:r w:rsidRPr="00715C4F">
        <w:rPr>
          <w:rFonts w:ascii="Arial" w:eastAsia="Times New Roman" w:hAnsi="Arial" w:cs="Arial"/>
          <w:kern w:val="0"/>
          <w:lang w:eastAsia="en-GB"/>
          <w14:ligatures w14:val="none"/>
        </w:rPr>
        <w:t xml:space="preserve"> [Accessed 9 August 2026]. </w:t>
      </w:r>
    </w:p>
    <w:p w14:paraId="4F90703A"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Holick</w:t>
      </w:r>
      <w:proofErr w:type="spellEnd"/>
      <w:r w:rsidRPr="00715C4F">
        <w:rPr>
          <w:rFonts w:ascii="Arial" w:eastAsia="Times New Roman" w:hAnsi="Arial" w:cs="Arial"/>
          <w:kern w:val="0"/>
          <w:lang w:eastAsia="en-GB"/>
          <w14:ligatures w14:val="none"/>
        </w:rPr>
        <w:t>, M.F. (2008) ‘Vitamin D: a D-</w:t>
      </w:r>
      <w:proofErr w:type="spellStart"/>
      <w:r w:rsidRPr="00715C4F">
        <w:rPr>
          <w:rFonts w:ascii="Arial" w:eastAsia="Times New Roman" w:hAnsi="Arial" w:cs="Arial"/>
          <w:kern w:val="0"/>
          <w:lang w:eastAsia="en-GB"/>
          <w14:ligatures w14:val="none"/>
        </w:rPr>
        <w:t>lightful</w:t>
      </w:r>
      <w:proofErr w:type="spellEnd"/>
      <w:r w:rsidRPr="00715C4F">
        <w:rPr>
          <w:rFonts w:ascii="Arial" w:eastAsia="Times New Roman" w:hAnsi="Arial" w:cs="Arial"/>
          <w:kern w:val="0"/>
          <w:lang w:eastAsia="en-GB"/>
          <w14:ligatures w14:val="none"/>
        </w:rPr>
        <w:t xml:space="preserve"> solution for health’, </w:t>
      </w:r>
      <w:r w:rsidRPr="00715C4F">
        <w:rPr>
          <w:rFonts w:ascii="Arial" w:eastAsia="Times New Roman" w:hAnsi="Arial" w:cs="Arial"/>
          <w:i/>
          <w:iCs/>
          <w:kern w:val="0"/>
          <w:lang w:eastAsia="en-GB"/>
          <w14:ligatures w14:val="none"/>
        </w:rPr>
        <w:t>Nutrition Reviews</w:t>
      </w:r>
      <w:r w:rsidRPr="00715C4F">
        <w:rPr>
          <w:rFonts w:ascii="Arial" w:eastAsia="Times New Roman" w:hAnsi="Arial" w:cs="Arial"/>
          <w:kern w:val="0"/>
          <w:lang w:eastAsia="en-GB"/>
          <w14:ligatures w14:val="none"/>
        </w:rPr>
        <w:t>, 66(suppl_2), pp. S182–S194.</w:t>
      </w:r>
      <w:r w:rsidRPr="00715C4F">
        <w:rPr>
          <w:rFonts w:ascii="Arial" w:eastAsia="Times New Roman" w:hAnsi="Arial" w:cs="Arial"/>
          <w:kern w:val="0"/>
          <w:lang w:eastAsia="en-GB"/>
          <w14:ligatures w14:val="none"/>
        </w:rPr>
        <w:br/>
        <w:t xml:space="preserve"> </w:t>
      </w:r>
      <w:hyperlink r:id="rId58" w:history="1">
        <w:r w:rsidRPr="00715C4F">
          <w:rPr>
            <w:rStyle w:val="Hyperlink"/>
            <w:rFonts w:ascii="Arial" w:eastAsia="Times New Roman" w:hAnsi="Arial" w:cs="Arial"/>
            <w:kern w:val="0"/>
            <w:lang w:eastAsia="en-GB"/>
            <w14:ligatures w14:val="none"/>
          </w:rPr>
          <w:t>https://doi.org/10.1111/j.1753-4887.2008.00100.x</w:t>
        </w:r>
      </w:hyperlink>
      <w:r w:rsidRPr="00715C4F">
        <w:rPr>
          <w:rFonts w:ascii="Arial" w:eastAsia="Times New Roman" w:hAnsi="Arial" w:cs="Arial"/>
          <w:kern w:val="0"/>
          <w:lang w:eastAsia="en-GB"/>
          <w14:ligatures w14:val="none"/>
        </w:rPr>
        <w:t xml:space="preserve"> [Accessed 9 August 2026]. </w:t>
      </w:r>
    </w:p>
    <w:p w14:paraId="732E4C5D"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Holick</w:t>
      </w:r>
      <w:proofErr w:type="spellEnd"/>
      <w:r w:rsidRPr="00715C4F">
        <w:rPr>
          <w:rFonts w:ascii="Arial" w:eastAsia="Times New Roman" w:hAnsi="Arial" w:cs="Arial"/>
          <w:kern w:val="0"/>
          <w:lang w:eastAsia="en-GB"/>
          <w14:ligatures w14:val="none"/>
        </w:rPr>
        <w:t xml:space="preserve">, M.F. (2011) ‘Vitamin D: evolutionary, physiological and health perspectives’, </w:t>
      </w:r>
      <w:r w:rsidRPr="00715C4F">
        <w:rPr>
          <w:rFonts w:ascii="Arial" w:eastAsia="Times New Roman" w:hAnsi="Arial" w:cs="Arial"/>
          <w:i/>
          <w:iCs/>
          <w:kern w:val="0"/>
          <w:lang w:eastAsia="en-GB"/>
          <w14:ligatures w14:val="none"/>
        </w:rPr>
        <w:t>Current Drug Targets</w:t>
      </w:r>
      <w:r w:rsidRPr="00715C4F">
        <w:rPr>
          <w:rFonts w:ascii="Arial" w:eastAsia="Times New Roman" w:hAnsi="Arial" w:cs="Arial"/>
          <w:kern w:val="0"/>
          <w:lang w:eastAsia="en-GB"/>
          <w14:ligatures w14:val="none"/>
        </w:rPr>
        <w:t>, 12(1), pp. 4–18.</w:t>
      </w:r>
      <w:r w:rsidRPr="00715C4F">
        <w:rPr>
          <w:rFonts w:ascii="Arial" w:eastAsia="Times New Roman" w:hAnsi="Arial" w:cs="Arial"/>
          <w:kern w:val="0"/>
          <w:lang w:eastAsia="en-GB"/>
          <w14:ligatures w14:val="none"/>
        </w:rPr>
        <w:br/>
        <w:t xml:space="preserve"> </w:t>
      </w:r>
      <w:hyperlink r:id="rId59" w:history="1">
        <w:r w:rsidRPr="00715C4F">
          <w:rPr>
            <w:rStyle w:val="Hyperlink"/>
            <w:rFonts w:ascii="Arial" w:eastAsia="Times New Roman" w:hAnsi="Arial" w:cs="Arial"/>
            <w:kern w:val="0"/>
            <w:lang w:eastAsia="en-GB"/>
            <w14:ligatures w14:val="none"/>
          </w:rPr>
          <w:t>https://doi.org/10.2174/138945011793591635</w:t>
        </w:r>
      </w:hyperlink>
      <w:r w:rsidRPr="00715C4F">
        <w:rPr>
          <w:rFonts w:ascii="Arial" w:eastAsia="Times New Roman" w:hAnsi="Arial" w:cs="Arial"/>
          <w:kern w:val="0"/>
          <w:lang w:eastAsia="en-GB"/>
          <w14:ligatures w14:val="none"/>
        </w:rPr>
        <w:t xml:space="preserve"> [Accessed 10 August 2026]. </w:t>
      </w:r>
    </w:p>
    <w:p w14:paraId="5234902F"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Holick</w:t>
      </w:r>
      <w:proofErr w:type="spellEnd"/>
      <w:r w:rsidRPr="00715C4F">
        <w:rPr>
          <w:rFonts w:ascii="Arial" w:eastAsia="Times New Roman" w:hAnsi="Arial" w:cs="Arial"/>
          <w:kern w:val="0"/>
          <w:lang w:eastAsia="en-GB"/>
          <w14:ligatures w14:val="none"/>
        </w:rPr>
        <w:t xml:space="preserve">, M.F. (2017) ‘The vitamin D deficiency pandemic’, </w:t>
      </w:r>
      <w:r w:rsidRPr="00715C4F">
        <w:rPr>
          <w:rFonts w:ascii="Arial" w:eastAsia="Times New Roman" w:hAnsi="Arial" w:cs="Arial"/>
          <w:i/>
          <w:iCs/>
          <w:kern w:val="0"/>
          <w:lang w:eastAsia="en-GB"/>
          <w14:ligatures w14:val="none"/>
        </w:rPr>
        <w:t>Reviews in Endocrine and Metabolic Disorders</w:t>
      </w:r>
      <w:r w:rsidRPr="00715C4F">
        <w:rPr>
          <w:rFonts w:ascii="Arial" w:eastAsia="Times New Roman" w:hAnsi="Arial" w:cs="Arial"/>
          <w:kern w:val="0"/>
          <w:lang w:eastAsia="en-GB"/>
          <w14:ligatures w14:val="none"/>
        </w:rPr>
        <w:t>, 18, pp. 153–165.</w:t>
      </w:r>
      <w:r w:rsidRPr="00715C4F">
        <w:rPr>
          <w:rFonts w:ascii="Arial" w:eastAsia="Times New Roman" w:hAnsi="Arial" w:cs="Arial"/>
          <w:kern w:val="0"/>
          <w:lang w:eastAsia="en-GB"/>
          <w14:ligatures w14:val="none"/>
        </w:rPr>
        <w:br/>
        <w:t xml:space="preserve"> </w:t>
      </w:r>
      <w:hyperlink r:id="rId60" w:history="1">
        <w:r w:rsidRPr="00715C4F">
          <w:rPr>
            <w:rStyle w:val="Hyperlink"/>
            <w:rFonts w:ascii="Arial" w:eastAsia="Times New Roman" w:hAnsi="Arial" w:cs="Arial"/>
            <w:kern w:val="0"/>
            <w:lang w:eastAsia="en-GB"/>
            <w14:ligatures w14:val="none"/>
          </w:rPr>
          <w:t>https://doi.org/10.1007/s11154-017-9424-1</w:t>
        </w:r>
      </w:hyperlink>
      <w:r w:rsidRPr="00715C4F">
        <w:rPr>
          <w:rFonts w:ascii="Arial" w:eastAsia="Times New Roman" w:hAnsi="Arial" w:cs="Arial"/>
          <w:kern w:val="0"/>
          <w:lang w:eastAsia="en-GB"/>
          <w14:ligatures w14:val="none"/>
        </w:rPr>
        <w:t xml:space="preserve"> [Accessed 10 August 2026]. </w:t>
      </w:r>
    </w:p>
    <w:p w14:paraId="458C336A"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Holick</w:t>
      </w:r>
      <w:proofErr w:type="spellEnd"/>
      <w:r w:rsidRPr="00715C4F">
        <w:rPr>
          <w:rFonts w:ascii="Arial" w:eastAsia="Times New Roman" w:hAnsi="Arial" w:cs="Arial"/>
          <w:kern w:val="0"/>
          <w:lang w:eastAsia="en-GB"/>
          <w14:ligatures w14:val="none"/>
        </w:rPr>
        <w:t xml:space="preserve">, M.F. et al. (2011) ‘Evaluation, treatment, and prevention of vitamin D deficiency’, </w:t>
      </w:r>
      <w:r w:rsidRPr="00715C4F">
        <w:rPr>
          <w:rFonts w:ascii="Arial" w:eastAsia="Times New Roman" w:hAnsi="Arial" w:cs="Arial"/>
          <w:i/>
          <w:iCs/>
          <w:kern w:val="0"/>
          <w:lang w:eastAsia="en-GB"/>
          <w14:ligatures w14:val="none"/>
        </w:rPr>
        <w:t>The Journal of Clinical Endocrinology &amp; Metabolism</w:t>
      </w:r>
      <w:r w:rsidRPr="00715C4F">
        <w:rPr>
          <w:rFonts w:ascii="Arial" w:eastAsia="Times New Roman" w:hAnsi="Arial" w:cs="Arial"/>
          <w:kern w:val="0"/>
          <w:lang w:eastAsia="en-GB"/>
          <w14:ligatures w14:val="none"/>
        </w:rPr>
        <w:t>, 96(7), pp. 1911–1930.</w:t>
      </w:r>
      <w:r w:rsidRPr="00715C4F">
        <w:rPr>
          <w:rFonts w:ascii="Arial" w:eastAsia="Times New Roman" w:hAnsi="Arial" w:cs="Arial"/>
          <w:kern w:val="0"/>
          <w:lang w:eastAsia="en-GB"/>
          <w14:ligatures w14:val="none"/>
        </w:rPr>
        <w:br/>
        <w:t xml:space="preserve"> </w:t>
      </w:r>
      <w:hyperlink r:id="rId61" w:tgtFrame="_new" w:history="1">
        <w:r w:rsidRPr="00715C4F">
          <w:rPr>
            <w:rFonts w:ascii="Arial" w:eastAsia="Times New Roman" w:hAnsi="Arial" w:cs="Arial"/>
            <w:color w:val="0000FF"/>
            <w:kern w:val="0"/>
            <w:u w:val="single"/>
            <w:lang w:eastAsia="en-GB"/>
            <w14:ligatures w14:val="none"/>
          </w:rPr>
          <w:t>https://doi.org/10.1210/jc.2011-0385</w:t>
        </w:r>
      </w:hyperlink>
      <w:r w:rsidRPr="00715C4F">
        <w:rPr>
          <w:rFonts w:ascii="Arial" w:eastAsia="Times New Roman" w:hAnsi="Arial" w:cs="Arial"/>
          <w:kern w:val="0"/>
          <w:lang w:eastAsia="en-GB"/>
          <w14:ligatures w14:val="none"/>
        </w:rPr>
        <w:t xml:space="preserve"> [Accessed 11 August 2026]. </w:t>
      </w:r>
    </w:p>
    <w:p w14:paraId="2E9D4944"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 xml:space="preserve">Institute of Medicine (2011) </w:t>
      </w:r>
      <w:r w:rsidRPr="00715C4F">
        <w:rPr>
          <w:rFonts w:ascii="Arial" w:eastAsia="Times New Roman" w:hAnsi="Arial" w:cs="Arial"/>
          <w:i/>
          <w:iCs/>
          <w:kern w:val="0"/>
          <w:lang w:eastAsia="en-GB"/>
          <w14:ligatures w14:val="none"/>
        </w:rPr>
        <w:t>Dietary Reference Intakes for Calcium and Vitamin D</w:t>
      </w:r>
      <w:r w:rsidRPr="00715C4F">
        <w:rPr>
          <w:rFonts w:ascii="Arial" w:eastAsia="Times New Roman" w:hAnsi="Arial" w:cs="Arial"/>
          <w:kern w:val="0"/>
          <w:lang w:eastAsia="en-GB"/>
          <w14:ligatures w14:val="none"/>
        </w:rPr>
        <w:t>. Washington, DC: National Academies Press.</w:t>
      </w:r>
      <w:r w:rsidRPr="00715C4F">
        <w:rPr>
          <w:rFonts w:ascii="Arial" w:eastAsia="Times New Roman" w:hAnsi="Arial" w:cs="Arial"/>
          <w:kern w:val="0"/>
          <w:lang w:eastAsia="en-GB"/>
          <w14:ligatures w14:val="none"/>
        </w:rPr>
        <w:br/>
        <w:t xml:space="preserve"> </w:t>
      </w:r>
      <w:hyperlink r:id="rId62" w:tgtFrame="_new" w:history="1">
        <w:r w:rsidRPr="00715C4F">
          <w:rPr>
            <w:rFonts w:ascii="Arial" w:eastAsia="Times New Roman" w:hAnsi="Arial" w:cs="Arial"/>
            <w:color w:val="0000FF"/>
            <w:kern w:val="0"/>
            <w:u w:val="single"/>
            <w:lang w:eastAsia="en-GB"/>
            <w14:ligatures w14:val="none"/>
          </w:rPr>
          <w:t>https://doi.org/10.17226/13050</w:t>
        </w:r>
      </w:hyperlink>
      <w:r w:rsidRPr="00715C4F">
        <w:rPr>
          <w:rFonts w:ascii="Arial" w:eastAsia="Times New Roman" w:hAnsi="Arial" w:cs="Arial"/>
          <w:kern w:val="0"/>
          <w:lang w:eastAsia="en-GB"/>
          <w14:ligatures w14:val="none"/>
        </w:rPr>
        <w:t xml:space="preserve"> [Accessed 12 August 2026]. </w:t>
      </w:r>
    </w:p>
    <w:p w14:paraId="631094C9"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Janssen, R. et al. (2021) ‘Vitamin D deficiency in ethnic minority populations: a public health challenge’, </w:t>
      </w:r>
      <w:r w:rsidRPr="00715C4F">
        <w:rPr>
          <w:rFonts w:ascii="Arial" w:eastAsia="Times New Roman" w:hAnsi="Arial" w:cs="Arial"/>
          <w:i/>
          <w:iCs/>
          <w:kern w:val="0"/>
          <w:lang w:eastAsia="en-GB"/>
          <w14:ligatures w14:val="none"/>
        </w:rPr>
        <w:t>Nutrients</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63" w:history="1">
        <w:r w:rsidRPr="00715C4F">
          <w:rPr>
            <w:rStyle w:val="Hyperlink"/>
            <w:rFonts w:ascii="Arial" w:eastAsia="Times New Roman" w:hAnsi="Arial" w:cs="Arial"/>
            <w:kern w:val="0"/>
            <w:lang w:eastAsia="en-GB"/>
            <w14:ligatures w14:val="none"/>
          </w:rPr>
          <w:t>https://www.mdpi.com/search?query=Vitamin%20D%20deficiency%20in%20ethnic%20minority%20populations%20Janssen</w:t>
        </w:r>
      </w:hyperlink>
      <w:r w:rsidRPr="00715C4F">
        <w:rPr>
          <w:rFonts w:ascii="Arial" w:eastAsia="Times New Roman" w:hAnsi="Arial" w:cs="Arial"/>
          <w:kern w:val="0"/>
          <w:lang w:eastAsia="en-GB"/>
          <w14:ligatures w14:val="none"/>
        </w:rPr>
        <w:t xml:space="preserve"> [Accessed 12 August 2026]. </w:t>
      </w:r>
    </w:p>
    <w:p w14:paraId="0E28D01E"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Joanna Briggs Institute (2023) </w:t>
      </w:r>
      <w:r w:rsidRPr="00715C4F">
        <w:rPr>
          <w:rFonts w:ascii="Arial" w:eastAsia="Times New Roman" w:hAnsi="Arial" w:cs="Arial"/>
          <w:i/>
          <w:iCs/>
          <w:kern w:val="0"/>
          <w:lang w:eastAsia="en-GB"/>
          <w14:ligatures w14:val="none"/>
        </w:rPr>
        <w:t>JBI Critical Appraisal Tools</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64" w:tgtFrame="_new" w:history="1">
        <w:r w:rsidRPr="00715C4F">
          <w:rPr>
            <w:rFonts w:ascii="Arial" w:eastAsia="Times New Roman" w:hAnsi="Arial" w:cs="Arial"/>
            <w:color w:val="0000FF"/>
            <w:kern w:val="0"/>
            <w:u w:val="single"/>
            <w:lang w:eastAsia="en-GB"/>
            <w14:ligatures w14:val="none"/>
          </w:rPr>
          <w:t>https://jbi.global/critical-appraisal-tools</w:t>
        </w:r>
      </w:hyperlink>
      <w:r w:rsidRPr="00715C4F">
        <w:rPr>
          <w:rFonts w:ascii="Arial" w:eastAsia="Times New Roman" w:hAnsi="Arial" w:cs="Arial"/>
          <w:kern w:val="0"/>
          <w:lang w:eastAsia="en-GB"/>
          <w14:ligatures w14:val="none"/>
        </w:rPr>
        <w:t xml:space="preserve"> [Accessed 13 August 2026]. </w:t>
      </w:r>
    </w:p>
    <w:p w14:paraId="4EC4D45B"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Jolliffe</w:t>
      </w:r>
      <w:proofErr w:type="spellEnd"/>
      <w:r w:rsidRPr="00715C4F">
        <w:rPr>
          <w:rFonts w:ascii="Arial" w:eastAsia="Times New Roman" w:hAnsi="Arial" w:cs="Arial"/>
          <w:kern w:val="0"/>
          <w:lang w:eastAsia="en-GB"/>
          <w14:ligatures w14:val="none"/>
        </w:rPr>
        <w:t xml:space="preserve">, D.A. et al. (2021) ‘Vitamin D supplementation to prevent acute respiratory infections’, </w:t>
      </w:r>
      <w:r w:rsidRPr="00715C4F">
        <w:rPr>
          <w:rFonts w:ascii="Arial" w:eastAsia="Times New Roman" w:hAnsi="Arial" w:cs="Arial"/>
          <w:i/>
          <w:iCs/>
          <w:kern w:val="0"/>
          <w:lang w:eastAsia="en-GB"/>
          <w14:ligatures w14:val="none"/>
        </w:rPr>
        <w:t>The Lancet Diabetes &amp; Endocrinology</w:t>
      </w:r>
      <w:r w:rsidRPr="00715C4F">
        <w:rPr>
          <w:rFonts w:ascii="Arial" w:eastAsia="Times New Roman" w:hAnsi="Arial" w:cs="Arial"/>
          <w:kern w:val="0"/>
          <w:lang w:eastAsia="en-GB"/>
          <w14:ligatures w14:val="none"/>
        </w:rPr>
        <w:t>, 9(5), pp. 276–292.</w:t>
      </w:r>
      <w:r w:rsidRPr="00715C4F">
        <w:rPr>
          <w:rFonts w:ascii="Arial" w:eastAsia="Times New Roman" w:hAnsi="Arial" w:cs="Arial"/>
          <w:kern w:val="0"/>
          <w:lang w:eastAsia="en-GB"/>
          <w14:ligatures w14:val="none"/>
        </w:rPr>
        <w:br/>
        <w:t xml:space="preserve"> </w:t>
      </w:r>
      <w:hyperlink r:id="rId65" w:history="1">
        <w:r w:rsidRPr="00715C4F">
          <w:rPr>
            <w:rStyle w:val="Hyperlink"/>
            <w:rFonts w:ascii="Arial" w:eastAsia="Times New Roman" w:hAnsi="Arial" w:cs="Arial"/>
            <w:kern w:val="0"/>
            <w:lang w:eastAsia="en-GB"/>
            <w14:ligatures w14:val="none"/>
          </w:rPr>
          <w:t>https://doi.org/10.1016/S2213-8587(21)00051-6</w:t>
        </w:r>
      </w:hyperlink>
      <w:r w:rsidRPr="00715C4F">
        <w:rPr>
          <w:rFonts w:ascii="Arial" w:eastAsia="Times New Roman" w:hAnsi="Arial" w:cs="Arial"/>
          <w:kern w:val="0"/>
          <w:lang w:eastAsia="en-GB"/>
          <w14:ligatures w14:val="none"/>
        </w:rPr>
        <w:t xml:space="preserve"> [Accessed 13 August 2026]. </w:t>
      </w:r>
    </w:p>
    <w:p w14:paraId="70138F82"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Kennel, K.A., Drake, M.T. and Hurley, D.L. (2010) ‘Vitamin D deficiency in adults: when to test and how to treat’, </w:t>
      </w:r>
      <w:r w:rsidRPr="00715C4F">
        <w:rPr>
          <w:rFonts w:ascii="Arial" w:eastAsia="Times New Roman" w:hAnsi="Arial" w:cs="Arial"/>
          <w:i/>
          <w:iCs/>
          <w:kern w:val="0"/>
          <w:lang w:eastAsia="en-GB"/>
          <w14:ligatures w14:val="none"/>
        </w:rPr>
        <w:t>Mayo Clinic Proceedings</w:t>
      </w:r>
      <w:r w:rsidRPr="00715C4F">
        <w:rPr>
          <w:rFonts w:ascii="Arial" w:eastAsia="Times New Roman" w:hAnsi="Arial" w:cs="Arial"/>
          <w:kern w:val="0"/>
          <w:lang w:eastAsia="en-GB"/>
          <w14:ligatures w14:val="none"/>
        </w:rPr>
        <w:t>, 85(8), pp. 752–758.</w:t>
      </w:r>
      <w:r w:rsidRPr="00715C4F">
        <w:rPr>
          <w:rFonts w:ascii="Arial" w:eastAsia="Times New Roman" w:hAnsi="Arial" w:cs="Arial"/>
          <w:kern w:val="0"/>
          <w:lang w:eastAsia="en-GB"/>
          <w14:ligatures w14:val="none"/>
        </w:rPr>
        <w:br/>
        <w:t xml:space="preserve"> </w:t>
      </w:r>
      <w:hyperlink r:id="rId66" w:history="1">
        <w:r w:rsidRPr="00715C4F">
          <w:rPr>
            <w:rStyle w:val="Hyperlink"/>
            <w:rFonts w:ascii="Arial" w:eastAsia="Times New Roman" w:hAnsi="Arial" w:cs="Arial"/>
            <w:kern w:val="0"/>
            <w:lang w:eastAsia="en-GB"/>
            <w14:ligatures w14:val="none"/>
          </w:rPr>
          <w:t>https://doi.org/10.4065/mcp.2010.0138</w:t>
        </w:r>
      </w:hyperlink>
      <w:r w:rsidRPr="00715C4F">
        <w:rPr>
          <w:rFonts w:ascii="Arial" w:eastAsia="Times New Roman" w:hAnsi="Arial" w:cs="Arial"/>
          <w:kern w:val="0"/>
          <w:lang w:eastAsia="en-GB"/>
          <w14:ligatures w14:val="none"/>
        </w:rPr>
        <w:t xml:space="preserve"> [Accessed 14 August 2026]. </w:t>
      </w:r>
    </w:p>
    <w:p w14:paraId="39755002"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Kift</w:t>
      </w:r>
      <w:proofErr w:type="spellEnd"/>
      <w:r w:rsidRPr="00715C4F">
        <w:rPr>
          <w:rFonts w:ascii="Arial" w:eastAsia="Times New Roman" w:hAnsi="Arial" w:cs="Arial"/>
          <w:kern w:val="0"/>
          <w:lang w:eastAsia="en-GB"/>
          <w14:ligatures w14:val="none"/>
        </w:rPr>
        <w:t xml:space="preserve">, R. et al. (2018) ‘Observational study to determine whether a number of UK factors influence vitamin D status’, </w:t>
      </w:r>
      <w:r w:rsidRPr="00715C4F">
        <w:rPr>
          <w:rFonts w:ascii="Arial" w:eastAsia="Times New Roman" w:hAnsi="Arial" w:cs="Arial"/>
          <w:i/>
          <w:iCs/>
          <w:kern w:val="0"/>
          <w:lang w:eastAsia="en-GB"/>
          <w14:ligatures w14:val="none"/>
        </w:rPr>
        <w:t xml:space="preserve">Photochemical &amp; </w:t>
      </w:r>
      <w:proofErr w:type="spellStart"/>
      <w:r w:rsidRPr="00715C4F">
        <w:rPr>
          <w:rFonts w:ascii="Arial" w:eastAsia="Times New Roman" w:hAnsi="Arial" w:cs="Arial"/>
          <w:i/>
          <w:iCs/>
          <w:kern w:val="0"/>
          <w:lang w:eastAsia="en-GB"/>
          <w14:ligatures w14:val="none"/>
        </w:rPr>
        <w:t>Photobiological</w:t>
      </w:r>
      <w:proofErr w:type="spellEnd"/>
      <w:r w:rsidRPr="00715C4F">
        <w:rPr>
          <w:rFonts w:ascii="Arial" w:eastAsia="Times New Roman" w:hAnsi="Arial" w:cs="Arial"/>
          <w:i/>
          <w:iCs/>
          <w:kern w:val="0"/>
          <w:lang w:eastAsia="en-GB"/>
          <w14:ligatures w14:val="none"/>
        </w:rPr>
        <w:t xml:space="preserve"> Sciences</w:t>
      </w:r>
      <w:r w:rsidRPr="00715C4F">
        <w:rPr>
          <w:rFonts w:ascii="Arial" w:eastAsia="Times New Roman" w:hAnsi="Arial" w:cs="Arial"/>
          <w:kern w:val="0"/>
          <w:lang w:eastAsia="en-GB"/>
          <w14:ligatures w14:val="none"/>
        </w:rPr>
        <w:t xml:space="preserve">, 17, pp. 123–130. </w:t>
      </w:r>
      <w:hyperlink r:id="rId67" w:history="1">
        <w:r w:rsidRPr="00715C4F">
          <w:rPr>
            <w:rStyle w:val="Hyperlink"/>
            <w:rFonts w:ascii="Arial" w:eastAsia="Times New Roman" w:hAnsi="Arial" w:cs="Arial"/>
            <w:kern w:val="0"/>
            <w:lang w:eastAsia="en-GB"/>
            <w14:ligatures w14:val="none"/>
          </w:rPr>
          <w:t>https://doi.org/10.1039/C8PP00186A</w:t>
        </w:r>
      </w:hyperlink>
      <w:r w:rsidRPr="00715C4F">
        <w:rPr>
          <w:rFonts w:ascii="Arial" w:eastAsia="Times New Roman" w:hAnsi="Arial" w:cs="Arial"/>
          <w:kern w:val="0"/>
          <w:lang w:eastAsia="en-GB"/>
          <w14:ligatures w14:val="none"/>
        </w:rPr>
        <w:t xml:space="preserve"> [Accessed 14 August 2026]. </w:t>
      </w:r>
    </w:p>
    <w:p w14:paraId="648B3836"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Lanham-New, S.A. et al. (2020) ‘Vitamin D and SARS-CoV-2 virus/COVID-19 disease’, </w:t>
      </w:r>
      <w:r w:rsidRPr="00715C4F">
        <w:rPr>
          <w:rFonts w:ascii="Arial" w:eastAsia="Times New Roman" w:hAnsi="Arial" w:cs="Arial"/>
          <w:i/>
          <w:iCs/>
          <w:kern w:val="0"/>
          <w:lang w:eastAsia="en-GB"/>
          <w14:ligatures w14:val="none"/>
        </w:rPr>
        <w:t>BMJ Nutrition, Prevention &amp; Health</w:t>
      </w:r>
      <w:r w:rsidRPr="00715C4F">
        <w:rPr>
          <w:rFonts w:ascii="Arial" w:eastAsia="Times New Roman" w:hAnsi="Arial" w:cs="Arial"/>
          <w:kern w:val="0"/>
          <w:lang w:eastAsia="en-GB"/>
          <w14:ligatures w14:val="none"/>
        </w:rPr>
        <w:t>, 3(1), pp. 106–110.</w:t>
      </w:r>
      <w:r w:rsidRPr="00715C4F">
        <w:rPr>
          <w:rFonts w:ascii="Arial" w:eastAsia="Times New Roman" w:hAnsi="Arial" w:cs="Arial"/>
          <w:kern w:val="0"/>
          <w:lang w:eastAsia="en-GB"/>
          <w14:ligatures w14:val="none"/>
        </w:rPr>
        <w:br/>
        <w:t xml:space="preserve"> </w:t>
      </w:r>
      <w:hyperlink r:id="rId68" w:history="1">
        <w:r w:rsidRPr="00715C4F">
          <w:rPr>
            <w:rStyle w:val="Hyperlink"/>
            <w:rFonts w:ascii="Arial" w:eastAsia="Times New Roman" w:hAnsi="Arial" w:cs="Arial"/>
            <w:kern w:val="0"/>
            <w:lang w:eastAsia="en-GB"/>
            <w14:ligatures w14:val="none"/>
          </w:rPr>
          <w:t>https://doi.org/10.1136/bmjnph-2020-000089</w:t>
        </w:r>
      </w:hyperlink>
      <w:r w:rsidRPr="00715C4F">
        <w:rPr>
          <w:rFonts w:ascii="Arial" w:eastAsia="Times New Roman" w:hAnsi="Arial" w:cs="Arial"/>
          <w:kern w:val="0"/>
          <w:lang w:eastAsia="en-GB"/>
          <w14:ligatures w14:val="none"/>
        </w:rPr>
        <w:t xml:space="preserve"> [Accessed 15 August 2026]. </w:t>
      </w:r>
    </w:p>
    <w:p w14:paraId="4BF86781"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Lanham-New, S.A. et al. (2022) ‘UK nutrition research partnership “hot topic” workshop: vitamin D’, </w:t>
      </w:r>
      <w:r w:rsidRPr="00715C4F">
        <w:rPr>
          <w:rFonts w:ascii="Arial" w:eastAsia="Times New Roman" w:hAnsi="Arial" w:cs="Arial"/>
          <w:i/>
          <w:iCs/>
          <w:kern w:val="0"/>
          <w:lang w:eastAsia="en-GB"/>
          <w14:ligatures w14:val="none"/>
        </w:rPr>
        <w:t>Nutrition Bulletin</w:t>
      </w:r>
      <w:r w:rsidRPr="00715C4F">
        <w:rPr>
          <w:rFonts w:ascii="Arial" w:eastAsia="Times New Roman" w:hAnsi="Arial" w:cs="Arial"/>
          <w:kern w:val="0"/>
          <w:lang w:eastAsia="en-GB"/>
          <w14:ligatures w14:val="none"/>
        </w:rPr>
        <w:t>, 47(2), pp. 246–260.</w:t>
      </w:r>
      <w:r w:rsidRPr="00715C4F">
        <w:rPr>
          <w:rFonts w:ascii="Arial" w:eastAsia="Times New Roman" w:hAnsi="Arial" w:cs="Arial"/>
          <w:kern w:val="0"/>
          <w:lang w:eastAsia="en-GB"/>
          <w14:ligatures w14:val="none"/>
        </w:rPr>
        <w:br/>
        <w:t xml:space="preserve"> </w:t>
      </w:r>
      <w:hyperlink r:id="rId69" w:history="1">
        <w:r w:rsidRPr="00715C4F">
          <w:rPr>
            <w:rStyle w:val="Hyperlink"/>
            <w:rFonts w:ascii="Arial" w:eastAsia="Times New Roman" w:hAnsi="Arial" w:cs="Arial"/>
            <w:kern w:val="0"/>
            <w:lang w:eastAsia="en-GB"/>
            <w14:ligatures w14:val="none"/>
          </w:rPr>
          <w:t>https://doi.org/10.1111/nbu.12557</w:t>
        </w:r>
      </w:hyperlink>
      <w:r w:rsidRPr="00715C4F">
        <w:rPr>
          <w:rFonts w:ascii="Arial" w:eastAsia="Times New Roman" w:hAnsi="Arial" w:cs="Arial"/>
          <w:kern w:val="0"/>
          <w:lang w:eastAsia="en-GB"/>
          <w14:ligatures w14:val="none"/>
        </w:rPr>
        <w:t xml:space="preserve"> [Accessed 15 August 2026]. </w:t>
      </w:r>
    </w:p>
    <w:p w14:paraId="13A78B52"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Levac</w:t>
      </w:r>
      <w:proofErr w:type="spellEnd"/>
      <w:r w:rsidRPr="00715C4F">
        <w:rPr>
          <w:rFonts w:ascii="Arial" w:eastAsia="Times New Roman" w:hAnsi="Arial" w:cs="Arial"/>
          <w:kern w:val="0"/>
          <w:lang w:eastAsia="en-GB"/>
          <w14:ligatures w14:val="none"/>
        </w:rPr>
        <w:t xml:space="preserve">, D., Colquhoun, H. and O’Brien, K.K. (2010) ‘Scoping studies: advancing the methodology’, </w:t>
      </w:r>
      <w:r w:rsidRPr="00715C4F">
        <w:rPr>
          <w:rFonts w:ascii="Arial" w:eastAsia="Times New Roman" w:hAnsi="Arial" w:cs="Arial"/>
          <w:i/>
          <w:iCs/>
          <w:kern w:val="0"/>
          <w:lang w:eastAsia="en-GB"/>
          <w14:ligatures w14:val="none"/>
        </w:rPr>
        <w:t>Implementation Science</w:t>
      </w:r>
      <w:r w:rsidRPr="00715C4F">
        <w:rPr>
          <w:rFonts w:ascii="Arial" w:eastAsia="Times New Roman" w:hAnsi="Arial" w:cs="Arial"/>
          <w:kern w:val="0"/>
          <w:lang w:eastAsia="en-GB"/>
          <w14:ligatures w14:val="none"/>
        </w:rPr>
        <w:t>, 5, 69.</w:t>
      </w:r>
      <w:r w:rsidRPr="00715C4F">
        <w:rPr>
          <w:rFonts w:ascii="Arial" w:eastAsia="Times New Roman" w:hAnsi="Arial" w:cs="Arial"/>
          <w:kern w:val="0"/>
          <w:lang w:eastAsia="en-GB"/>
          <w14:ligatures w14:val="none"/>
        </w:rPr>
        <w:br/>
        <w:t xml:space="preserve"> </w:t>
      </w:r>
      <w:hyperlink r:id="rId70" w:tgtFrame="_new" w:history="1">
        <w:r w:rsidRPr="00715C4F">
          <w:rPr>
            <w:rFonts w:ascii="Arial" w:eastAsia="Times New Roman" w:hAnsi="Arial" w:cs="Arial"/>
            <w:color w:val="0000FF"/>
            <w:kern w:val="0"/>
            <w:u w:val="single"/>
            <w:lang w:eastAsia="en-GB"/>
            <w14:ligatures w14:val="none"/>
          </w:rPr>
          <w:t>https://doi.org/10.1186/1748-5908-5-69</w:t>
        </w:r>
      </w:hyperlink>
      <w:r w:rsidRPr="00715C4F">
        <w:rPr>
          <w:rFonts w:ascii="Arial" w:eastAsia="Times New Roman" w:hAnsi="Arial" w:cs="Arial"/>
          <w:kern w:val="0"/>
          <w:lang w:eastAsia="en-GB"/>
          <w14:ligatures w14:val="none"/>
        </w:rPr>
        <w:t xml:space="preserve"> [Accessed 16 August 2026]. </w:t>
      </w:r>
    </w:p>
    <w:p w14:paraId="1D9878E5"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Lin, L.Y. et al. (2021) ‘Distribution of vitamin D status in the UK’, </w:t>
      </w:r>
      <w:r w:rsidRPr="00715C4F">
        <w:rPr>
          <w:rFonts w:ascii="Arial" w:eastAsia="Times New Roman" w:hAnsi="Arial" w:cs="Arial"/>
          <w:i/>
          <w:iCs/>
          <w:kern w:val="0"/>
          <w:lang w:eastAsia="en-GB"/>
          <w14:ligatures w14:val="none"/>
        </w:rPr>
        <w:t>BMJ Open</w:t>
      </w:r>
      <w:r w:rsidRPr="00715C4F">
        <w:rPr>
          <w:rFonts w:ascii="Arial" w:eastAsia="Times New Roman" w:hAnsi="Arial" w:cs="Arial"/>
          <w:kern w:val="0"/>
          <w:lang w:eastAsia="en-GB"/>
          <w14:ligatures w14:val="none"/>
        </w:rPr>
        <w:t xml:space="preserve">, 11(1), e038503. </w:t>
      </w:r>
      <w:hyperlink r:id="rId71" w:history="1">
        <w:r w:rsidRPr="00715C4F">
          <w:rPr>
            <w:rStyle w:val="Hyperlink"/>
            <w:rFonts w:ascii="Arial" w:eastAsia="Times New Roman" w:hAnsi="Arial" w:cs="Arial"/>
            <w:kern w:val="0"/>
            <w:lang w:eastAsia="en-GB"/>
            <w14:ligatures w14:val="none"/>
          </w:rPr>
          <w:t>https://doi.org/10.1136/bmjopen-2020-038503</w:t>
        </w:r>
      </w:hyperlink>
      <w:r w:rsidRPr="00715C4F">
        <w:rPr>
          <w:rFonts w:ascii="Arial" w:eastAsia="Times New Roman" w:hAnsi="Arial" w:cs="Arial"/>
          <w:kern w:val="0"/>
          <w:lang w:eastAsia="en-GB"/>
          <w14:ligatures w14:val="none"/>
        </w:rPr>
        <w:t xml:space="preserve"> [Accessed 16 August 2026]. </w:t>
      </w:r>
    </w:p>
    <w:p w14:paraId="7D62B431"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Lips, P. (2006) ‘Vitamin D physiology’, </w:t>
      </w:r>
      <w:r w:rsidRPr="00715C4F">
        <w:rPr>
          <w:rFonts w:ascii="Arial" w:eastAsia="Times New Roman" w:hAnsi="Arial" w:cs="Arial"/>
          <w:i/>
          <w:iCs/>
          <w:kern w:val="0"/>
          <w:lang w:eastAsia="en-GB"/>
          <w14:ligatures w14:val="none"/>
        </w:rPr>
        <w:t>Progress in Biophysics and Molecular Biology</w:t>
      </w:r>
      <w:r w:rsidRPr="00715C4F">
        <w:rPr>
          <w:rFonts w:ascii="Arial" w:eastAsia="Times New Roman" w:hAnsi="Arial" w:cs="Arial"/>
          <w:kern w:val="0"/>
          <w:lang w:eastAsia="en-GB"/>
          <w14:ligatures w14:val="none"/>
        </w:rPr>
        <w:t>, 92(1), pp. 4–8.</w:t>
      </w:r>
      <w:r w:rsidRPr="00715C4F">
        <w:rPr>
          <w:rFonts w:ascii="Arial" w:eastAsia="Times New Roman" w:hAnsi="Arial" w:cs="Arial"/>
          <w:kern w:val="0"/>
          <w:lang w:eastAsia="en-GB"/>
          <w14:ligatures w14:val="none"/>
        </w:rPr>
        <w:br/>
        <w:t xml:space="preserve"> </w:t>
      </w:r>
      <w:hyperlink r:id="rId72" w:history="1">
        <w:r w:rsidRPr="00715C4F">
          <w:rPr>
            <w:rStyle w:val="Hyperlink"/>
            <w:rFonts w:ascii="Arial" w:eastAsia="Times New Roman" w:hAnsi="Arial" w:cs="Arial"/>
            <w:kern w:val="0"/>
            <w:lang w:eastAsia="en-GB"/>
            <w14:ligatures w14:val="none"/>
          </w:rPr>
          <w:t>https://doi.org/10.1016/j.pbiomolbio.2006.02.016</w:t>
        </w:r>
      </w:hyperlink>
      <w:r w:rsidRPr="00715C4F">
        <w:rPr>
          <w:rFonts w:ascii="Arial" w:eastAsia="Times New Roman" w:hAnsi="Arial" w:cs="Arial"/>
          <w:kern w:val="0"/>
          <w:lang w:eastAsia="en-GB"/>
          <w14:ligatures w14:val="none"/>
        </w:rPr>
        <w:t xml:space="preserve"> [Accessed 17 August 2026]. </w:t>
      </w:r>
    </w:p>
    <w:p w14:paraId="4EA7B52F"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Lips, P. et al. (2019) ‘Current vitamin D status in European and Middle East countries’, </w:t>
      </w:r>
      <w:r w:rsidRPr="00715C4F">
        <w:rPr>
          <w:rFonts w:ascii="Arial" w:eastAsia="Times New Roman" w:hAnsi="Arial" w:cs="Arial"/>
          <w:i/>
          <w:iCs/>
          <w:kern w:val="0"/>
          <w:lang w:eastAsia="en-GB"/>
          <w14:ligatures w14:val="none"/>
        </w:rPr>
        <w:t>European Journal of Endocrinology</w:t>
      </w:r>
      <w:r w:rsidRPr="00715C4F">
        <w:rPr>
          <w:rFonts w:ascii="Arial" w:eastAsia="Times New Roman" w:hAnsi="Arial" w:cs="Arial"/>
          <w:kern w:val="0"/>
          <w:lang w:eastAsia="en-GB"/>
          <w14:ligatures w14:val="none"/>
        </w:rPr>
        <w:t>, 180(4), pp. P23–P54.</w:t>
      </w:r>
      <w:r w:rsidRPr="00715C4F">
        <w:rPr>
          <w:rFonts w:ascii="Arial" w:eastAsia="Times New Roman" w:hAnsi="Arial" w:cs="Arial"/>
          <w:kern w:val="0"/>
          <w:lang w:eastAsia="en-GB"/>
          <w14:ligatures w14:val="none"/>
        </w:rPr>
        <w:br/>
        <w:t xml:space="preserve"> </w:t>
      </w:r>
      <w:hyperlink r:id="rId73" w:history="1">
        <w:r w:rsidRPr="00715C4F">
          <w:rPr>
            <w:rStyle w:val="Hyperlink"/>
            <w:rFonts w:ascii="Arial" w:eastAsia="Times New Roman" w:hAnsi="Arial" w:cs="Arial"/>
            <w:kern w:val="0"/>
            <w:lang w:eastAsia="en-GB"/>
            <w14:ligatures w14:val="none"/>
          </w:rPr>
          <w:t>https://doi.org/10.1530/EJE-18-0736</w:t>
        </w:r>
      </w:hyperlink>
      <w:r w:rsidRPr="00715C4F">
        <w:rPr>
          <w:rFonts w:ascii="Arial" w:eastAsia="Times New Roman" w:hAnsi="Arial" w:cs="Arial"/>
          <w:kern w:val="0"/>
          <w:lang w:eastAsia="en-GB"/>
          <w14:ligatures w14:val="none"/>
        </w:rPr>
        <w:t xml:space="preserve"> [Accessed 17 August 2026]. </w:t>
      </w:r>
    </w:p>
    <w:p w14:paraId="12DEAFCF"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 xml:space="preserve">Lowe, N.M. and </w:t>
      </w:r>
      <w:proofErr w:type="spellStart"/>
      <w:r w:rsidRPr="00715C4F">
        <w:rPr>
          <w:rFonts w:ascii="Arial" w:eastAsia="Times New Roman" w:hAnsi="Arial" w:cs="Arial"/>
          <w:kern w:val="0"/>
          <w:lang w:eastAsia="en-GB"/>
          <w14:ligatures w14:val="none"/>
        </w:rPr>
        <w:t>Bhojani</w:t>
      </w:r>
      <w:proofErr w:type="spellEnd"/>
      <w:r w:rsidRPr="00715C4F">
        <w:rPr>
          <w:rFonts w:ascii="Arial" w:eastAsia="Times New Roman" w:hAnsi="Arial" w:cs="Arial"/>
          <w:kern w:val="0"/>
          <w:lang w:eastAsia="en-GB"/>
          <w14:ligatures w14:val="none"/>
        </w:rPr>
        <w:t xml:space="preserve">, I. (2017) ‘Special considerations for vitamin D in the South Asian population in the UK’, </w:t>
      </w:r>
      <w:r w:rsidRPr="00715C4F">
        <w:rPr>
          <w:rFonts w:ascii="Arial" w:eastAsia="Times New Roman" w:hAnsi="Arial" w:cs="Arial"/>
          <w:i/>
          <w:iCs/>
          <w:kern w:val="0"/>
          <w:lang w:eastAsia="en-GB"/>
          <w14:ligatures w14:val="none"/>
        </w:rPr>
        <w:t>Therapeutic Advances in Musculoskeletal Disease</w:t>
      </w:r>
      <w:r w:rsidRPr="00715C4F">
        <w:rPr>
          <w:rFonts w:ascii="Arial" w:eastAsia="Times New Roman" w:hAnsi="Arial" w:cs="Arial"/>
          <w:kern w:val="0"/>
          <w:lang w:eastAsia="en-GB"/>
          <w14:ligatures w14:val="none"/>
        </w:rPr>
        <w:t>, 9(6), pp. 137–144.</w:t>
      </w:r>
      <w:r w:rsidRPr="00715C4F">
        <w:rPr>
          <w:rFonts w:ascii="Arial" w:eastAsia="Times New Roman" w:hAnsi="Arial" w:cs="Arial"/>
          <w:kern w:val="0"/>
          <w:lang w:eastAsia="en-GB"/>
          <w14:ligatures w14:val="none"/>
        </w:rPr>
        <w:br/>
        <w:t xml:space="preserve"> </w:t>
      </w:r>
      <w:hyperlink r:id="rId74" w:history="1">
        <w:r w:rsidRPr="00715C4F">
          <w:rPr>
            <w:rStyle w:val="Hyperlink"/>
            <w:rFonts w:ascii="Arial" w:eastAsia="Times New Roman" w:hAnsi="Arial" w:cs="Arial"/>
            <w:kern w:val="0"/>
            <w:lang w:eastAsia="en-GB"/>
            <w14:ligatures w14:val="none"/>
          </w:rPr>
          <w:t>https://doi.org/10.1177/1759720X17704430</w:t>
        </w:r>
      </w:hyperlink>
      <w:r w:rsidRPr="00715C4F">
        <w:rPr>
          <w:rFonts w:ascii="Arial" w:eastAsia="Times New Roman" w:hAnsi="Arial" w:cs="Arial"/>
          <w:kern w:val="0"/>
          <w:lang w:eastAsia="en-GB"/>
          <w14:ligatures w14:val="none"/>
        </w:rPr>
        <w:t xml:space="preserve"> [Accessed 18 August 2026]. </w:t>
      </w:r>
    </w:p>
    <w:p w14:paraId="040B429D" w14:textId="77777777" w:rsidR="00EF416A" w:rsidRPr="00715C4F" w:rsidRDefault="00EF416A" w:rsidP="00715C4F">
      <w:pPr>
        <w:numPr>
          <w:ilvl w:val="0"/>
          <w:numId w:val="29"/>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MacLaughlin</w:t>
      </w:r>
      <w:proofErr w:type="spellEnd"/>
      <w:r w:rsidRPr="00715C4F">
        <w:rPr>
          <w:rFonts w:ascii="Arial" w:eastAsia="Times New Roman" w:hAnsi="Arial" w:cs="Arial"/>
          <w:kern w:val="0"/>
          <w:lang w:eastAsia="en-GB"/>
          <w14:ligatures w14:val="none"/>
        </w:rPr>
        <w:t xml:space="preserve">, J. and </w:t>
      </w:r>
      <w:proofErr w:type="spellStart"/>
      <w:r w:rsidRPr="00715C4F">
        <w:rPr>
          <w:rFonts w:ascii="Arial" w:eastAsia="Times New Roman" w:hAnsi="Arial" w:cs="Arial"/>
          <w:kern w:val="0"/>
          <w:lang w:eastAsia="en-GB"/>
          <w14:ligatures w14:val="none"/>
        </w:rPr>
        <w:t>Holick</w:t>
      </w:r>
      <w:proofErr w:type="spellEnd"/>
      <w:r w:rsidRPr="00715C4F">
        <w:rPr>
          <w:rFonts w:ascii="Arial" w:eastAsia="Times New Roman" w:hAnsi="Arial" w:cs="Arial"/>
          <w:kern w:val="0"/>
          <w:lang w:eastAsia="en-GB"/>
          <w14:ligatures w14:val="none"/>
        </w:rPr>
        <w:t xml:space="preserve">, M.F. (1985) ‘Aging decreases the capacity of human skin to produce vitamin D3’, </w:t>
      </w:r>
      <w:r w:rsidRPr="00715C4F">
        <w:rPr>
          <w:rFonts w:ascii="Arial" w:eastAsia="Times New Roman" w:hAnsi="Arial" w:cs="Arial"/>
          <w:i/>
          <w:iCs/>
          <w:kern w:val="0"/>
          <w:lang w:eastAsia="en-GB"/>
          <w14:ligatures w14:val="none"/>
        </w:rPr>
        <w:t>The Journal of Clinical Endocrinology &amp; Metabolism</w:t>
      </w:r>
      <w:r w:rsidRPr="00715C4F">
        <w:rPr>
          <w:rFonts w:ascii="Arial" w:eastAsia="Times New Roman" w:hAnsi="Arial" w:cs="Arial"/>
          <w:kern w:val="0"/>
          <w:lang w:eastAsia="en-GB"/>
          <w14:ligatures w14:val="none"/>
        </w:rPr>
        <w:t>, 61(1), pp. 117–121.</w:t>
      </w:r>
      <w:r w:rsidRPr="00715C4F">
        <w:rPr>
          <w:rFonts w:ascii="Arial" w:eastAsia="Times New Roman" w:hAnsi="Arial" w:cs="Arial"/>
          <w:kern w:val="0"/>
          <w:lang w:eastAsia="en-GB"/>
          <w14:ligatures w14:val="none"/>
        </w:rPr>
        <w:br/>
        <w:t xml:space="preserve"> </w:t>
      </w:r>
      <w:hyperlink r:id="rId75" w:history="1">
        <w:r w:rsidRPr="00715C4F">
          <w:rPr>
            <w:rStyle w:val="Hyperlink"/>
            <w:rFonts w:ascii="Arial" w:eastAsia="Times New Roman" w:hAnsi="Arial" w:cs="Arial"/>
            <w:kern w:val="0"/>
            <w:lang w:eastAsia="en-GB"/>
            <w14:ligatures w14:val="none"/>
          </w:rPr>
          <w:t>https://doi.org/10.1210/jcem-61-1-117</w:t>
        </w:r>
      </w:hyperlink>
      <w:r w:rsidRPr="00715C4F">
        <w:rPr>
          <w:rFonts w:ascii="Arial" w:eastAsia="Times New Roman" w:hAnsi="Arial" w:cs="Arial"/>
          <w:kern w:val="0"/>
          <w:lang w:eastAsia="en-GB"/>
          <w14:ligatures w14:val="none"/>
        </w:rPr>
        <w:t xml:space="preserve"> [Accessed 18 August 2026]. </w:t>
      </w:r>
    </w:p>
    <w:p w14:paraId="3F072D2B"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Manson, J.E. et al. (2019) ‘Vitamin D supplements and prevention of cancer and cardiovascular disease’, </w:t>
      </w:r>
      <w:r w:rsidRPr="00715C4F">
        <w:rPr>
          <w:rFonts w:ascii="Arial" w:eastAsia="Times New Roman" w:hAnsi="Arial" w:cs="Arial"/>
          <w:i/>
          <w:iCs/>
          <w:kern w:val="0"/>
          <w:lang w:eastAsia="en-GB"/>
          <w14:ligatures w14:val="none"/>
        </w:rPr>
        <w:t>The New England Journal of Medicine</w:t>
      </w:r>
      <w:r w:rsidRPr="00715C4F">
        <w:rPr>
          <w:rFonts w:ascii="Arial" w:eastAsia="Times New Roman" w:hAnsi="Arial" w:cs="Arial"/>
          <w:kern w:val="0"/>
          <w:lang w:eastAsia="en-GB"/>
          <w14:ligatures w14:val="none"/>
        </w:rPr>
        <w:t>, 380(1), pp. 33–44.</w:t>
      </w:r>
      <w:r w:rsidRPr="00715C4F">
        <w:rPr>
          <w:rFonts w:ascii="Arial" w:eastAsia="Times New Roman" w:hAnsi="Arial" w:cs="Arial"/>
          <w:kern w:val="0"/>
          <w:lang w:eastAsia="en-GB"/>
          <w14:ligatures w14:val="none"/>
        </w:rPr>
        <w:br/>
        <w:t xml:space="preserve"> </w:t>
      </w:r>
      <w:hyperlink r:id="rId76" w:tgtFrame="_new" w:history="1">
        <w:r w:rsidRPr="00715C4F">
          <w:rPr>
            <w:rFonts w:ascii="Arial" w:eastAsia="Times New Roman" w:hAnsi="Arial" w:cs="Arial"/>
            <w:color w:val="0000FF"/>
            <w:kern w:val="0"/>
            <w:u w:val="single"/>
            <w:lang w:eastAsia="en-GB"/>
            <w14:ligatures w14:val="none"/>
          </w:rPr>
          <w:t>https://doi.org/10.1056/NEJMoa1809944</w:t>
        </w:r>
      </w:hyperlink>
      <w:r w:rsidRPr="00715C4F">
        <w:rPr>
          <w:rFonts w:ascii="Arial" w:eastAsia="Times New Roman" w:hAnsi="Arial" w:cs="Arial"/>
          <w:kern w:val="0"/>
          <w:lang w:eastAsia="en-GB"/>
          <w14:ligatures w14:val="none"/>
        </w:rPr>
        <w:t xml:space="preserve"> [Accessed 19 August 2026]. </w:t>
      </w:r>
    </w:p>
    <w:p w14:paraId="115CA3F0"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Martineau, A.R. et al. (2017) ‘Vitamin D supplementation to prevent acute respiratory tract infections’, </w:t>
      </w:r>
      <w:r w:rsidRPr="00715C4F">
        <w:rPr>
          <w:rFonts w:ascii="Arial" w:eastAsia="Times New Roman" w:hAnsi="Arial" w:cs="Arial"/>
          <w:i/>
          <w:iCs/>
          <w:kern w:val="0"/>
          <w:lang w:eastAsia="en-GB"/>
          <w14:ligatures w14:val="none"/>
        </w:rPr>
        <w:t>BMJ</w:t>
      </w:r>
      <w:r w:rsidRPr="00715C4F">
        <w:rPr>
          <w:rFonts w:ascii="Arial" w:eastAsia="Times New Roman" w:hAnsi="Arial" w:cs="Arial"/>
          <w:kern w:val="0"/>
          <w:lang w:eastAsia="en-GB"/>
          <w14:ligatures w14:val="none"/>
        </w:rPr>
        <w:t>, 356, i6583.</w:t>
      </w:r>
      <w:r w:rsidRPr="00715C4F">
        <w:rPr>
          <w:rFonts w:ascii="Arial" w:eastAsia="Times New Roman" w:hAnsi="Arial" w:cs="Arial"/>
          <w:kern w:val="0"/>
          <w:lang w:eastAsia="en-GB"/>
          <w14:ligatures w14:val="none"/>
        </w:rPr>
        <w:br/>
        <w:t xml:space="preserve"> </w:t>
      </w:r>
      <w:hyperlink r:id="rId77" w:history="1">
        <w:r w:rsidRPr="00715C4F">
          <w:rPr>
            <w:rStyle w:val="Hyperlink"/>
            <w:rFonts w:ascii="Arial" w:eastAsia="Times New Roman" w:hAnsi="Arial" w:cs="Arial"/>
            <w:kern w:val="0"/>
            <w:lang w:eastAsia="en-GB"/>
            <w14:ligatures w14:val="none"/>
          </w:rPr>
          <w:t>https://doi.org/10.1136/bmj.i6583</w:t>
        </w:r>
      </w:hyperlink>
      <w:r w:rsidRPr="00715C4F">
        <w:rPr>
          <w:rFonts w:ascii="Arial" w:eastAsia="Times New Roman" w:hAnsi="Arial" w:cs="Arial"/>
          <w:kern w:val="0"/>
          <w:lang w:eastAsia="en-GB"/>
          <w14:ligatures w14:val="none"/>
        </w:rPr>
        <w:t xml:space="preserve"> [Accessed 19 August 2026]. </w:t>
      </w:r>
    </w:p>
    <w:p w14:paraId="2A09F572"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Matsuoka, L.Y. et al. (1988) ‘Chronic sunscreen use decreases circulating concentrations of 25-hydroxyvitamin D’, </w:t>
      </w:r>
      <w:r w:rsidRPr="00715C4F">
        <w:rPr>
          <w:rFonts w:ascii="Arial" w:eastAsia="Times New Roman" w:hAnsi="Arial" w:cs="Arial"/>
          <w:i/>
          <w:iCs/>
          <w:kern w:val="0"/>
          <w:lang w:eastAsia="en-GB"/>
          <w14:ligatures w14:val="none"/>
        </w:rPr>
        <w:t>Archives of Dermatology</w:t>
      </w:r>
      <w:r w:rsidRPr="00715C4F">
        <w:rPr>
          <w:rFonts w:ascii="Arial" w:eastAsia="Times New Roman" w:hAnsi="Arial" w:cs="Arial"/>
          <w:kern w:val="0"/>
          <w:lang w:eastAsia="en-GB"/>
          <w14:ligatures w14:val="none"/>
        </w:rPr>
        <w:t>, 124(12), pp. 1802–1804.</w:t>
      </w:r>
      <w:hyperlink r:id="rId78" w:history="1">
        <w:r w:rsidRPr="00715C4F">
          <w:rPr>
            <w:rStyle w:val="Hyperlink"/>
            <w:rFonts w:ascii="Arial" w:eastAsia="Times New Roman" w:hAnsi="Arial" w:cs="Arial"/>
            <w:kern w:val="0"/>
            <w:lang w:eastAsia="en-GB"/>
            <w14:ligatures w14:val="none"/>
          </w:rPr>
          <w:t>https://pubmed.ncbi.nlm.nih.gov/?term=Chronic+sunscreen+use+decreases+circulating+concentrations+of+25-hydroxyvitamin+D</w:t>
        </w:r>
      </w:hyperlink>
      <w:r w:rsidRPr="00715C4F">
        <w:rPr>
          <w:rFonts w:ascii="Arial" w:eastAsia="Times New Roman" w:hAnsi="Arial" w:cs="Arial"/>
          <w:kern w:val="0"/>
          <w:lang w:eastAsia="en-GB"/>
          <w14:ligatures w14:val="none"/>
        </w:rPr>
        <w:t xml:space="preserve"> [Accessed 20 August 2026]. </w:t>
      </w:r>
    </w:p>
    <w:p w14:paraId="5B19E649"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Matsuoka, L.Y. et al. (1991) ‘Clothing prevents ultraviolet-B radiation-dependent photosynthesis of vitamin D3’, </w:t>
      </w:r>
      <w:r w:rsidRPr="00715C4F">
        <w:rPr>
          <w:rFonts w:ascii="Arial" w:eastAsia="Times New Roman" w:hAnsi="Arial" w:cs="Arial"/>
          <w:i/>
          <w:iCs/>
          <w:kern w:val="0"/>
          <w:lang w:eastAsia="en-GB"/>
          <w14:ligatures w14:val="none"/>
        </w:rPr>
        <w:t>The Journal of Clinical Endocrinology &amp; Metabolism</w:t>
      </w:r>
      <w:r w:rsidRPr="00715C4F">
        <w:rPr>
          <w:rFonts w:ascii="Arial" w:eastAsia="Times New Roman" w:hAnsi="Arial" w:cs="Arial"/>
          <w:kern w:val="0"/>
          <w:lang w:eastAsia="en-GB"/>
          <w14:ligatures w14:val="none"/>
        </w:rPr>
        <w:t>, 73(1), pp. 141–146.</w:t>
      </w:r>
      <w:r w:rsidRPr="00715C4F">
        <w:rPr>
          <w:rFonts w:ascii="Arial" w:eastAsia="Times New Roman" w:hAnsi="Arial" w:cs="Arial"/>
          <w:kern w:val="0"/>
          <w:lang w:eastAsia="en-GB"/>
          <w14:ligatures w14:val="none"/>
        </w:rPr>
        <w:br/>
        <w:t xml:space="preserve"> </w:t>
      </w:r>
      <w:hyperlink r:id="rId79" w:history="1">
        <w:r w:rsidRPr="00715C4F">
          <w:rPr>
            <w:rStyle w:val="Hyperlink"/>
            <w:rFonts w:ascii="Arial" w:eastAsia="Times New Roman" w:hAnsi="Arial" w:cs="Arial"/>
            <w:kern w:val="0"/>
            <w:lang w:eastAsia="en-GB"/>
            <w14:ligatures w14:val="none"/>
          </w:rPr>
          <w:t>https://doi.org/10.1210/jcem-73-1-141</w:t>
        </w:r>
      </w:hyperlink>
      <w:r w:rsidRPr="00715C4F">
        <w:rPr>
          <w:rFonts w:ascii="Arial" w:eastAsia="Times New Roman" w:hAnsi="Arial" w:cs="Arial"/>
          <w:kern w:val="0"/>
          <w:lang w:eastAsia="en-GB"/>
          <w14:ligatures w14:val="none"/>
        </w:rPr>
        <w:t xml:space="preserve"> [Accessed 13 September 2026]. </w:t>
      </w:r>
    </w:p>
    <w:p w14:paraId="0BA4707D"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Misra</w:t>
      </w:r>
      <w:proofErr w:type="spellEnd"/>
      <w:r w:rsidRPr="00715C4F">
        <w:rPr>
          <w:rFonts w:ascii="Arial" w:eastAsia="Times New Roman" w:hAnsi="Arial" w:cs="Arial"/>
          <w:kern w:val="0"/>
          <w:lang w:eastAsia="en-GB"/>
          <w14:ligatures w14:val="none"/>
        </w:rPr>
        <w:t xml:space="preserve">, M. et al. (2008) ‘Vitamin D deficiency in children and its management’, </w:t>
      </w:r>
      <w:proofErr w:type="spellStart"/>
      <w:r w:rsidRPr="00715C4F">
        <w:rPr>
          <w:rFonts w:ascii="Arial" w:eastAsia="Times New Roman" w:hAnsi="Arial" w:cs="Arial"/>
          <w:i/>
          <w:iCs/>
          <w:kern w:val="0"/>
          <w:lang w:eastAsia="en-GB"/>
          <w14:ligatures w14:val="none"/>
        </w:rPr>
        <w:t>Pediatrics</w:t>
      </w:r>
      <w:proofErr w:type="spellEnd"/>
      <w:r w:rsidRPr="00715C4F">
        <w:rPr>
          <w:rFonts w:ascii="Arial" w:eastAsia="Times New Roman" w:hAnsi="Arial" w:cs="Arial"/>
          <w:kern w:val="0"/>
          <w:lang w:eastAsia="en-GB"/>
          <w14:ligatures w14:val="none"/>
        </w:rPr>
        <w:t>, 122(2), pp. 398–417.</w:t>
      </w:r>
      <w:r w:rsidRPr="00715C4F">
        <w:rPr>
          <w:rFonts w:ascii="Arial" w:eastAsia="Times New Roman" w:hAnsi="Arial" w:cs="Arial"/>
          <w:kern w:val="0"/>
          <w:lang w:eastAsia="en-GB"/>
          <w14:ligatures w14:val="none"/>
        </w:rPr>
        <w:br/>
        <w:t xml:space="preserve"> </w:t>
      </w:r>
      <w:hyperlink r:id="rId80" w:tgtFrame="_new" w:history="1">
        <w:r w:rsidRPr="00715C4F">
          <w:rPr>
            <w:rFonts w:ascii="Arial" w:eastAsia="Times New Roman" w:hAnsi="Arial" w:cs="Arial"/>
            <w:color w:val="0000FF"/>
            <w:kern w:val="0"/>
            <w:u w:val="single"/>
            <w:lang w:eastAsia="en-GB"/>
            <w14:ligatures w14:val="none"/>
          </w:rPr>
          <w:t>https://doi.org/10.1542/peds.2007-1894</w:t>
        </w:r>
      </w:hyperlink>
      <w:r w:rsidRPr="00715C4F">
        <w:rPr>
          <w:rFonts w:ascii="Arial" w:eastAsia="Times New Roman" w:hAnsi="Arial" w:cs="Arial"/>
          <w:kern w:val="0"/>
          <w:lang w:eastAsia="en-GB"/>
          <w14:ligatures w14:val="none"/>
        </w:rPr>
        <w:t xml:space="preserve"> [Accessed 21 August 2026]. </w:t>
      </w:r>
    </w:p>
    <w:p w14:paraId="3E7C2974"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Mithal</w:t>
      </w:r>
      <w:proofErr w:type="spellEnd"/>
      <w:r w:rsidRPr="00715C4F">
        <w:rPr>
          <w:rFonts w:ascii="Arial" w:eastAsia="Times New Roman" w:hAnsi="Arial" w:cs="Arial"/>
          <w:kern w:val="0"/>
          <w:lang w:eastAsia="en-GB"/>
          <w14:ligatures w14:val="none"/>
        </w:rPr>
        <w:t xml:space="preserve">, A. et al. (2009) ‘Global vitamin D status and determinants of </w:t>
      </w:r>
      <w:proofErr w:type="spellStart"/>
      <w:r w:rsidRPr="00715C4F">
        <w:rPr>
          <w:rFonts w:ascii="Arial" w:eastAsia="Times New Roman" w:hAnsi="Arial" w:cs="Arial"/>
          <w:kern w:val="0"/>
          <w:lang w:eastAsia="en-GB"/>
          <w14:ligatures w14:val="none"/>
        </w:rPr>
        <w:t>hypovitaminosis</w:t>
      </w:r>
      <w:proofErr w:type="spellEnd"/>
      <w:r w:rsidRPr="00715C4F">
        <w:rPr>
          <w:rFonts w:ascii="Arial" w:eastAsia="Times New Roman" w:hAnsi="Arial" w:cs="Arial"/>
          <w:kern w:val="0"/>
          <w:lang w:eastAsia="en-GB"/>
          <w14:ligatures w14:val="none"/>
        </w:rPr>
        <w:t xml:space="preserve"> D’, </w:t>
      </w:r>
      <w:r w:rsidRPr="00715C4F">
        <w:rPr>
          <w:rFonts w:ascii="Arial" w:eastAsia="Times New Roman" w:hAnsi="Arial" w:cs="Arial"/>
          <w:i/>
          <w:iCs/>
          <w:kern w:val="0"/>
          <w:lang w:eastAsia="en-GB"/>
          <w14:ligatures w14:val="none"/>
        </w:rPr>
        <w:t>Osteoporosis International</w:t>
      </w:r>
      <w:r w:rsidRPr="00715C4F">
        <w:rPr>
          <w:rFonts w:ascii="Arial" w:eastAsia="Times New Roman" w:hAnsi="Arial" w:cs="Arial"/>
          <w:kern w:val="0"/>
          <w:lang w:eastAsia="en-GB"/>
          <w14:ligatures w14:val="none"/>
        </w:rPr>
        <w:t>, 20, pp. 1807–1820.</w:t>
      </w:r>
      <w:r w:rsidRPr="00715C4F">
        <w:rPr>
          <w:rFonts w:ascii="Arial" w:eastAsia="Times New Roman" w:hAnsi="Arial" w:cs="Arial"/>
          <w:kern w:val="0"/>
          <w:lang w:eastAsia="en-GB"/>
          <w14:ligatures w14:val="none"/>
        </w:rPr>
        <w:br/>
        <w:t xml:space="preserve"> </w:t>
      </w:r>
      <w:hyperlink r:id="rId81" w:history="1">
        <w:r w:rsidRPr="00715C4F">
          <w:rPr>
            <w:rStyle w:val="Hyperlink"/>
            <w:rFonts w:ascii="Arial" w:eastAsia="Times New Roman" w:hAnsi="Arial" w:cs="Arial"/>
            <w:kern w:val="0"/>
            <w:lang w:eastAsia="en-GB"/>
            <w14:ligatures w14:val="none"/>
          </w:rPr>
          <w:t>https://doi.org/10.1007/s00198-009-0954-6</w:t>
        </w:r>
      </w:hyperlink>
      <w:r w:rsidRPr="00715C4F">
        <w:rPr>
          <w:rFonts w:ascii="Arial" w:eastAsia="Times New Roman" w:hAnsi="Arial" w:cs="Arial"/>
          <w:kern w:val="0"/>
          <w:lang w:eastAsia="en-GB"/>
          <w14:ligatures w14:val="none"/>
        </w:rPr>
        <w:t xml:space="preserve"> [Accessed 20 August 2026]. </w:t>
      </w:r>
    </w:p>
    <w:p w14:paraId="3C4F09E7"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Moher, D. et al. (2009) ‘Preferred reporting items for systematic reviews and meta-analyses: the PRISMA statement’, </w:t>
      </w:r>
      <w:r w:rsidRPr="00715C4F">
        <w:rPr>
          <w:rFonts w:ascii="Arial" w:eastAsia="Times New Roman" w:hAnsi="Arial" w:cs="Arial"/>
          <w:i/>
          <w:iCs/>
          <w:kern w:val="0"/>
          <w:lang w:eastAsia="en-GB"/>
          <w14:ligatures w14:val="none"/>
        </w:rPr>
        <w:t>BMJ</w:t>
      </w:r>
      <w:r w:rsidRPr="00715C4F">
        <w:rPr>
          <w:rFonts w:ascii="Arial" w:eastAsia="Times New Roman" w:hAnsi="Arial" w:cs="Arial"/>
          <w:kern w:val="0"/>
          <w:lang w:eastAsia="en-GB"/>
          <w14:ligatures w14:val="none"/>
        </w:rPr>
        <w:t>, 339, b2535.</w:t>
      </w:r>
      <w:r w:rsidRPr="00715C4F">
        <w:rPr>
          <w:rFonts w:ascii="Arial" w:eastAsia="Times New Roman" w:hAnsi="Arial" w:cs="Arial"/>
          <w:kern w:val="0"/>
          <w:lang w:eastAsia="en-GB"/>
          <w14:ligatures w14:val="none"/>
        </w:rPr>
        <w:br/>
        <w:t xml:space="preserve"> </w:t>
      </w:r>
      <w:hyperlink r:id="rId82" w:tgtFrame="_new" w:history="1">
        <w:r w:rsidRPr="00715C4F">
          <w:rPr>
            <w:rFonts w:ascii="Arial" w:eastAsia="Times New Roman" w:hAnsi="Arial" w:cs="Arial"/>
            <w:color w:val="0000FF"/>
            <w:kern w:val="0"/>
            <w:u w:val="single"/>
            <w:lang w:eastAsia="en-GB"/>
            <w14:ligatures w14:val="none"/>
          </w:rPr>
          <w:t>https://doi.org/10.1136/bmj.b2535</w:t>
        </w:r>
      </w:hyperlink>
      <w:r w:rsidRPr="00715C4F">
        <w:rPr>
          <w:rFonts w:ascii="Arial" w:eastAsia="Times New Roman" w:hAnsi="Arial" w:cs="Arial"/>
          <w:kern w:val="0"/>
          <w:lang w:eastAsia="en-GB"/>
          <w14:ligatures w14:val="none"/>
        </w:rPr>
        <w:t xml:space="preserve"> [Accessed 21 August 2026]. </w:t>
      </w:r>
    </w:p>
    <w:p w14:paraId="3F3BB6B0"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 xml:space="preserve">National Academies of Sciences, Engineering, and Medicine (2011) </w:t>
      </w:r>
      <w:r w:rsidRPr="00715C4F">
        <w:rPr>
          <w:rFonts w:ascii="Arial" w:eastAsia="Times New Roman" w:hAnsi="Arial" w:cs="Arial"/>
          <w:i/>
          <w:iCs/>
          <w:kern w:val="0"/>
          <w:lang w:eastAsia="en-GB"/>
          <w14:ligatures w14:val="none"/>
        </w:rPr>
        <w:t>Dietary Reference Intakes for Calcium and Vitamin D</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83" w:tgtFrame="_new" w:history="1">
        <w:r w:rsidRPr="00715C4F">
          <w:rPr>
            <w:rFonts w:ascii="Arial" w:eastAsia="Times New Roman" w:hAnsi="Arial" w:cs="Arial"/>
            <w:color w:val="0000FF"/>
            <w:kern w:val="0"/>
            <w:u w:val="single"/>
            <w:lang w:eastAsia="en-GB"/>
            <w14:ligatures w14:val="none"/>
          </w:rPr>
          <w:t>https://doi.org/10.17226/13050</w:t>
        </w:r>
      </w:hyperlink>
      <w:r w:rsidRPr="00715C4F">
        <w:rPr>
          <w:rFonts w:ascii="Arial" w:eastAsia="Times New Roman" w:hAnsi="Arial" w:cs="Arial"/>
          <w:kern w:val="0"/>
          <w:lang w:eastAsia="en-GB"/>
          <w14:ligatures w14:val="none"/>
        </w:rPr>
        <w:t xml:space="preserve"> [Accessed 22 August 2026]. </w:t>
      </w:r>
    </w:p>
    <w:p w14:paraId="70DC5A9F"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National Institute for Health and Care Excellence (2014) </w:t>
      </w:r>
      <w:r w:rsidRPr="00715C4F">
        <w:rPr>
          <w:rFonts w:ascii="Arial" w:eastAsia="Times New Roman" w:hAnsi="Arial" w:cs="Arial"/>
          <w:i/>
          <w:iCs/>
          <w:kern w:val="0"/>
          <w:lang w:eastAsia="en-GB"/>
          <w14:ligatures w14:val="none"/>
        </w:rPr>
        <w:t>Vitamin D: Supplement Use in At-Risk Groups</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84" w:tgtFrame="_new" w:history="1">
        <w:r w:rsidRPr="00715C4F">
          <w:rPr>
            <w:rFonts w:ascii="Arial" w:eastAsia="Times New Roman" w:hAnsi="Arial" w:cs="Arial"/>
            <w:color w:val="0000FF"/>
            <w:kern w:val="0"/>
            <w:u w:val="single"/>
            <w:lang w:eastAsia="en-GB"/>
            <w14:ligatures w14:val="none"/>
          </w:rPr>
          <w:t>https://www.nice.org.uk/guidance/ph56</w:t>
        </w:r>
      </w:hyperlink>
      <w:r w:rsidRPr="00715C4F">
        <w:rPr>
          <w:rFonts w:ascii="Arial" w:eastAsia="Times New Roman" w:hAnsi="Arial" w:cs="Arial"/>
          <w:kern w:val="0"/>
          <w:lang w:eastAsia="en-GB"/>
          <w14:ligatures w14:val="none"/>
        </w:rPr>
        <w:t xml:space="preserve"> [Accessed 22 August 2026]. </w:t>
      </w:r>
    </w:p>
    <w:p w14:paraId="508D7A0D"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National Institute for Health and Care Excellence (2017) </w:t>
      </w:r>
      <w:r w:rsidRPr="00715C4F">
        <w:rPr>
          <w:rFonts w:ascii="Arial" w:eastAsia="Times New Roman" w:hAnsi="Arial" w:cs="Arial"/>
          <w:i/>
          <w:iCs/>
          <w:kern w:val="0"/>
          <w:lang w:eastAsia="en-GB"/>
          <w14:ligatures w14:val="none"/>
        </w:rPr>
        <w:t>Vitamin D: Supplement Use in At-Risk Groups</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85" w:tgtFrame="_new" w:history="1">
        <w:r w:rsidRPr="00715C4F">
          <w:rPr>
            <w:rFonts w:ascii="Arial" w:eastAsia="Times New Roman" w:hAnsi="Arial" w:cs="Arial"/>
            <w:color w:val="0000FF"/>
            <w:kern w:val="0"/>
            <w:u w:val="single"/>
            <w:lang w:eastAsia="en-GB"/>
            <w14:ligatures w14:val="none"/>
          </w:rPr>
          <w:t>https://www.nice.org.uk/guidance/ph56</w:t>
        </w:r>
      </w:hyperlink>
      <w:r w:rsidRPr="00715C4F">
        <w:rPr>
          <w:rFonts w:ascii="Arial" w:eastAsia="Times New Roman" w:hAnsi="Arial" w:cs="Arial"/>
          <w:kern w:val="0"/>
          <w:lang w:eastAsia="en-GB"/>
          <w14:ligatures w14:val="none"/>
        </w:rPr>
        <w:t xml:space="preserve"> [Accessed 23 August 2026]. </w:t>
      </w:r>
    </w:p>
    <w:p w14:paraId="5E901AF7"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National Institute for Health and Care Excellence (2025) </w:t>
      </w:r>
      <w:r w:rsidRPr="00715C4F">
        <w:rPr>
          <w:rFonts w:ascii="Arial" w:eastAsia="Times New Roman" w:hAnsi="Arial" w:cs="Arial"/>
          <w:i/>
          <w:iCs/>
          <w:kern w:val="0"/>
          <w:lang w:eastAsia="en-GB"/>
          <w14:ligatures w14:val="none"/>
        </w:rPr>
        <w:t>Maternal and Child Nutrition: Vitamin D Supplementation Recommendations</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86" w:tgtFrame="_new" w:history="1">
        <w:r w:rsidRPr="00715C4F">
          <w:rPr>
            <w:rFonts w:ascii="Arial" w:eastAsia="Times New Roman" w:hAnsi="Arial" w:cs="Arial"/>
            <w:color w:val="0000FF"/>
            <w:kern w:val="0"/>
            <w:u w:val="single"/>
            <w:lang w:eastAsia="en-GB"/>
            <w14:ligatures w14:val="none"/>
          </w:rPr>
          <w:t>https://www.nice.org.uk/</w:t>
        </w:r>
      </w:hyperlink>
      <w:r w:rsidRPr="00715C4F">
        <w:rPr>
          <w:rFonts w:ascii="Arial" w:eastAsia="Times New Roman" w:hAnsi="Arial" w:cs="Arial"/>
          <w:kern w:val="0"/>
          <w:lang w:eastAsia="en-GB"/>
          <w14:ligatures w14:val="none"/>
        </w:rPr>
        <w:t xml:space="preserve"> [Accessed 23 August 2026]. </w:t>
      </w:r>
    </w:p>
    <w:p w14:paraId="59675231"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National Institutes of Health, Office of Dietary Supplements (2024) </w:t>
      </w:r>
      <w:r w:rsidRPr="00715C4F">
        <w:rPr>
          <w:rFonts w:ascii="Arial" w:eastAsia="Times New Roman" w:hAnsi="Arial" w:cs="Arial"/>
          <w:i/>
          <w:iCs/>
          <w:kern w:val="0"/>
          <w:lang w:eastAsia="en-GB"/>
          <w14:ligatures w14:val="none"/>
        </w:rPr>
        <w:t>Vitamin D Fact Sheet for Health Professionals</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87" w:tgtFrame="_new" w:history="1">
        <w:r w:rsidRPr="00715C4F">
          <w:rPr>
            <w:rFonts w:ascii="Arial" w:eastAsia="Times New Roman" w:hAnsi="Arial" w:cs="Arial"/>
            <w:color w:val="0000FF"/>
            <w:kern w:val="0"/>
            <w:u w:val="single"/>
            <w:lang w:eastAsia="en-GB"/>
            <w14:ligatures w14:val="none"/>
          </w:rPr>
          <w:t>https://ods.od.nih.gov/factsheets/VitaminD-HealthProfessional/</w:t>
        </w:r>
      </w:hyperlink>
      <w:r w:rsidRPr="00715C4F">
        <w:rPr>
          <w:rFonts w:ascii="Arial" w:eastAsia="Times New Roman" w:hAnsi="Arial" w:cs="Arial"/>
          <w:kern w:val="0"/>
          <w:lang w:eastAsia="en-GB"/>
          <w14:ligatures w14:val="none"/>
        </w:rPr>
        <w:t xml:space="preserve"> [Accessed 24 August 2026]. </w:t>
      </w:r>
    </w:p>
    <w:p w14:paraId="6BC9012F"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National Osteoporosis Society (2013) </w:t>
      </w:r>
      <w:r w:rsidRPr="00715C4F">
        <w:rPr>
          <w:rFonts w:ascii="Arial" w:eastAsia="Times New Roman" w:hAnsi="Arial" w:cs="Arial"/>
          <w:i/>
          <w:iCs/>
          <w:kern w:val="0"/>
          <w:lang w:eastAsia="en-GB"/>
          <w14:ligatures w14:val="none"/>
        </w:rPr>
        <w:t>Vitamin D and Bone Health: A Practical Clinical Guideline for Patient Management</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88" w:tgtFrame="_new" w:history="1">
        <w:r w:rsidRPr="00715C4F">
          <w:rPr>
            <w:rFonts w:ascii="Arial" w:eastAsia="Times New Roman" w:hAnsi="Arial" w:cs="Arial"/>
            <w:color w:val="0000FF"/>
            <w:kern w:val="0"/>
            <w:u w:val="single"/>
            <w:lang w:eastAsia="en-GB"/>
            <w14:ligatures w14:val="none"/>
          </w:rPr>
          <w:t>https://www.nos.org.uk/</w:t>
        </w:r>
      </w:hyperlink>
      <w:r w:rsidRPr="00715C4F">
        <w:rPr>
          <w:rFonts w:ascii="Arial" w:eastAsia="Times New Roman" w:hAnsi="Arial" w:cs="Arial"/>
          <w:kern w:val="0"/>
          <w:lang w:eastAsia="en-GB"/>
          <w14:ligatures w14:val="none"/>
        </w:rPr>
        <w:t xml:space="preserve"> [Accessed 13 September 2026]. </w:t>
      </w:r>
    </w:p>
    <w:p w14:paraId="193F4AAF"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Page, M.J. et al. (2021) ‘The PRISMA 2020 statement’, </w:t>
      </w:r>
      <w:r w:rsidRPr="00715C4F">
        <w:rPr>
          <w:rFonts w:ascii="Arial" w:eastAsia="Times New Roman" w:hAnsi="Arial" w:cs="Arial"/>
          <w:i/>
          <w:iCs/>
          <w:kern w:val="0"/>
          <w:lang w:eastAsia="en-GB"/>
          <w14:ligatures w14:val="none"/>
        </w:rPr>
        <w:t>BMJ</w:t>
      </w:r>
      <w:r w:rsidRPr="00715C4F">
        <w:rPr>
          <w:rFonts w:ascii="Arial" w:eastAsia="Times New Roman" w:hAnsi="Arial" w:cs="Arial"/>
          <w:kern w:val="0"/>
          <w:lang w:eastAsia="en-GB"/>
          <w14:ligatures w14:val="none"/>
        </w:rPr>
        <w:t>, 372, n71.</w:t>
      </w:r>
      <w:r w:rsidRPr="00715C4F">
        <w:rPr>
          <w:rFonts w:ascii="Arial" w:eastAsia="Times New Roman" w:hAnsi="Arial" w:cs="Arial"/>
          <w:kern w:val="0"/>
          <w:lang w:eastAsia="en-GB"/>
          <w14:ligatures w14:val="none"/>
        </w:rPr>
        <w:br/>
        <w:t xml:space="preserve"> </w:t>
      </w:r>
      <w:hyperlink r:id="rId89" w:tgtFrame="_new" w:history="1">
        <w:r w:rsidRPr="00715C4F">
          <w:rPr>
            <w:rFonts w:ascii="Arial" w:eastAsia="Times New Roman" w:hAnsi="Arial" w:cs="Arial"/>
            <w:color w:val="0000FF"/>
            <w:kern w:val="0"/>
            <w:u w:val="single"/>
            <w:lang w:eastAsia="en-GB"/>
            <w14:ligatures w14:val="none"/>
          </w:rPr>
          <w:t>https://doi.org/10.1136/bmj.n71</w:t>
        </w:r>
      </w:hyperlink>
      <w:r w:rsidRPr="00715C4F">
        <w:rPr>
          <w:rFonts w:ascii="Arial" w:eastAsia="Times New Roman" w:hAnsi="Arial" w:cs="Arial"/>
          <w:kern w:val="0"/>
          <w:lang w:eastAsia="en-GB"/>
          <w14:ligatures w14:val="none"/>
        </w:rPr>
        <w:t xml:space="preserve"> [Accessed 24 August 2026]. </w:t>
      </w:r>
    </w:p>
    <w:p w14:paraId="2C20D08D"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Pearce, S.H.S. and </w:t>
      </w:r>
      <w:proofErr w:type="spellStart"/>
      <w:r w:rsidRPr="00715C4F">
        <w:rPr>
          <w:rFonts w:ascii="Arial" w:eastAsia="Times New Roman" w:hAnsi="Arial" w:cs="Arial"/>
          <w:kern w:val="0"/>
          <w:lang w:eastAsia="en-GB"/>
          <w14:ligatures w14:val="none"/>
        </w:rPr>
        <w:t>Cheetham</w:t>
      </w:r>
      <w:proofErr w:type="spellEnd"/>
      <w:r w:rsidRPr="00715C4F">
        <w:rPr>
          <w:rFonts w:ascii="Arial" w:eastAsia="Times New Roman" w:hAnsi="Arial" w:cs="Arial"/>
          <w:kern w:val="0"/>
          <w:lang w:eastAsia="en-GB"/>
          <w14:ligatures w14:val="none"/>
        </w:rPr>
        <w:t xml:space="preserve">, T.D. (2010) ‘Diagnosis and management of vitamin D deficiency’, </w:t>
      </w:r>
      <w:r w:rsidRPr="00715C4F">
        <w:rPr>
          <w:rFonts w:ascii="Arial" w:eastAsia="Times New Roman" w:hAnsi="Arial" w:cs="Arial"/>
          <w:i/>
          <w:iCs/>
          <w:kern w:val="0"/>
          <w:lang w:eastAsia="en-GB"/>
          <w14:ligatures w14:val="none"/>
        </w:rPr>
        <w:t>BMJ</w:t>
      </w:r>
      <w:r w:rsidRPr="00715C4F">
        <w:rPr>
          <w:rFonts w:ascii="Arial" w:eastAsia="Times New Roman" w:hAnsi="Arial" w:cs="Arial"/>
          <w:kern w:val="0"/>
          <w:lang w:eastAsia="en-GB"/>
          <w14:ligatures w14:val="none"/>
        </w:rPr>
        <w:t>, 340, b5664.</w:t>
      </w:r>
      <w:r w:rsidRPr="00715C4F">
        <w:rPr>
          <w:rFonts w:ascii="Arial" w:eastAsia="Times New Roman" w:hAnsi="Arial" w:cs="Arial"/>
          <w:kern w:val="0"/>
          <w:lang w:eastAsia="en-GB"/>
          <w14:ligatures w14:val="none"/>
        </w:rPr>
        <w:br/>
        <w:t xml:space="preserve"> </w:t>
      </w:r>
      <w:hyperlink r:id="rId90" w:history="1">
        <w:r w:rsidRPr="00715C4F">
          <w:rPr>
            <w:rStyle w:val="Hyperlink"/>
            <w:rFonts w:ascii="Arial" w:eastAsia="Times New Roman" w:hAnsi="Arial" w:cs="Arial"/>
            <w:kern w:val="0"/>
            <w:lang w:eastAsia="en-GB"/>
            <w14:ligatures w14:val="none"/>
          </w:rPr>
          <w:t>https://doi.org/10.1136/bmj.b5664</w:t>
        </w:r>
      </w:hyperlink>
      <w:r w:rsidRPr="00715C4F">
        <w:rPr>
          <w:rFonts w:ascii="Arial" w:eastAsia="Times New Roman" w:hAnsi="Arial" w:cs="Arial"/>
          <w:kern w:val="0"/>
          <w:lang w:eastAsia="en-GB"/>
          <w14:ligatures w14:val="none"/>
        </w:rPr>
        <w:t xml:space="preserve"> [Accessed 25 August 2026]. </w:t>
      </w:r>
    </w:p>
    <w:p w14:paraId="01ED74D0"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Phelan, J. et al. (2024) ‘Vital D: a modifiable occupational risk factor of UK healthcare workers’, </w:t>
      </w:r>
      <w:r w:rsidRPr="00715C4F">
        <w:rPr>
          <w:rFonts w:ascii="Arial" w:eastAsia="Times New Roman" w:hAnsi="Arial" w:cs="Arial"/>
          <w:i/>
          <w:iCs/>
          <w:kern w:val="0"/>
          <w:lang w:eastAsia="en-GB"/>
          <w14:ligatures w14:val="none"/>
        </w:rPr>
        <w:t>PLOS ONE</w:t>
      </w:r>
      <w:r w:rsidRPr="00715C4F">
        <w:rPr>
          <w:rFonts w:ascii="Arial" w:eastAsia="Times New Roman" w:hAnsi="Arial" w:cs="Arial"/>
          <w:kern w:val="0"/>
          <w:lang w:eastAsia="en-GB"/>
          <w14:ligatures w14:val="none"/>
        </w:rPr>
        <w:t>, 19(4), e0296247.</w:t>
      </w:r>
      <w:r w:rsidRPr="00715C4F">
        <w:rPr>
          <w:rFonts w:ascii="Arial" w:eastAsia="Times New Roman" w:hAnsi="Arial" w:cs="Arial"/>
          <w:kern w:val="0"/>
          <w:lang w:eastAsia="en-GB"/>
          <w14:ligatures w14:val="none"/>
        </w:rPr>
        <w:br/>
        <w:t xml:space="preserve"> </w:t>
      </w:r>
      <w:hyperlink r:id="rId91" w:history="1">
        <w:r w:rsidRPr="00715C4F">
          <w:rPr>
            <w:rStyle w:val="Hyperlink"/>
            <w:rFonts w:ascii="Arial" w:eastAsia="Times New Roman" w:hAnsi="Arial" w:cs="Arial"/>
            <w:kern w:val="0"/>
            <w:lang w:eastAsia="en-GB"/>
            <w14:ligatures w14:val="none"/>
          </w:rPr>
          <w:t>https://doi.org/10.1371/journal.pone.0296247</w:t>
        </w:r>
      </w:hyperlink>
      <w:r w:rsidRPr="00715C4F">
        <w:rPr>
          <w:rFonts w:ascii="Arial" w:eastAsia="Times New Roman" w:hAnsi="Arial" w:cs="Arial"/>
          <w:kern w:val="0"/>
          <w:lang w:eastAsia="en-GB"/>
          <w14:ligatures w14:val="none"/>
        </w:rPr>
        <w:t xml:space="preserve"> [Accessed 25 August 2026]. </w:t>
      </w:r>
    </w:p>
    <w:p w14:paraId="0DA6FCE6"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Pilz</w:t>
      </w:r>
      <w:proofErr w:type="spellEnd"/>
      <w:r w:rsidRPr="00715C4F">
        <w:rPr>
          <w:rFonts w:ascii="Arial" w:eastAsia="Times New Roman" w:hAnsi="Arial" w:cs="Arial"/>
          <w:kern w:val="0"/>
          <w:lang w:eastAsia="en-GB"/>
          <w14:ligatures w14:val="none"/>
        </w:rPr>
        <w:t xml:space="preserve">, S. et al. (2018) ‘Vitamin D testing and treatment’, </w:t>
      </w:r>
      <w:r w:rsidRPr="00715C4F">
        <w:rPr>
          <w:rFonts w:ascii="Arial" w:eastAsia="Times New Roman" w:hAnsi="Arial" w:cs="Arial"/>
          <w:i/>
          <w:iCs/>
          <w:kern w:val="0"/>
          <w:lang w:eastAsia="en-GB"/>
          <w14:ligatures w14:val="none"/>
        </w:rPr>
        <w:t>Endocrine Connections</w:t>
      </w:r>
      <w:r w:rsidRPr="00715C4F">
        <w:rPr>
          <w:rFonts w:ascii="Arial" w:eastAsia="Times New Roman" w:hAnsi="Arial" w:cs="Arial"/>
          <w:kern w:val="0"/>
          <w:lang w:eastAsia="en-GB"/>
          <w14:ligatures w14:val="none"/>
        </w:rPr>
        <w:t>, 7(7), pp. R218–R229.</w:t>
      </w:r>
      <w:r w:rsidRPr="00715C4F">
        <w:rPr>
          <w:rFonts w:ascii="Arial" w:eastAsia="Times New Roman" w:hAnsi="Arial" w:cs="Arial"/>
          <w:kern w:val="0"/>
          <w:lang w:eastAsia="en-GB"/>
          <w14:ligatures w14:val="none"/>
        </w:rPr>
        <w:br/>
        <w:t xml:space="preserve"> </w:t>
      </w:r>
      <w:hyperlink r:id="rId92" w:history="1">
        <w:r w:rsidRPr="00715C4F">
          <w:rPr>
            <w:rStyle w:val="Hyperlink"/>
            <w:rFonts w:ascii="Arial" w:eastAsia="Times New Roman" w:hAnsi="Arial" w:cs="Arial"/>
            <w:kern w:val="0"/>
            <w:lang w:eastAsia="en-GB"/>
            <w14:ligatures w14:val="none"/>
          </w:rPr>
          <w:t>https://doi.org/10.1530/EC-18-0141</w:t>
        </w:r>
      </w:hyperlink>
      <w:r w:rsidRPr="00715C4F">
        <w:rPr>
          <w:rFonts w:ascii="Arial" w:eastAsia="Times New Roman" w:hAnsi="Arial" w:cs="Arial"/>
          <w:kern w:val="0"/>
          <w:lang w:eastAsia="en-GB"/>
          <w14:ligatures w14:val="none"/>
        </w:rPr>
        <w:t xml:space="preserve"> [Accessed 26 August 2026]. </w:t>
      </w:r>
    </w:p>
    <w:p w14:paraId="5A40B2E9"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Pludowski</w:t>
      </w:r>
      <w:proofErr w:type="spellEnd"/>
      <w:r w:rsidRPr="00715C4F">
        <w:rPr>
          <w:rFonts w:ascii="Arial" w:eastAsia="Times New Roman" w:hAnsi="Arial" w:cs="Arial"/>
          <w:kern w:val="0"/>
          <w:lang w:eastAsia="en-GB"/>
          <w14:ligatures w14:val="none"/>
        </w:rPr>
        <w:t xml:space="preserve">, P. et al. (2018) ‘Vitamin D effects on musculoskeletal health, immunity, autoimmunity, cardiovascular disease, cancer, fertility, pregnancy, dementia and mortality’, </w:t>
      </w:r>
      <w:r w:rsidRPr="00715C4F">
        <w:rPr>
          <w:rFonts w:ascii="Arial" w:eastAsia="Times New Roman" w:hAnsi="Arial" w:cs="Arial"/>
          <w:i/>
          <w:iCs/>
          <w:kern w:val="0"/>
          <w:lang w:eastAsia="en-GB"/>
          <w14:ligatures w14:val="none"/>
        </w:rPr>
        <w:t>Autoimmunity Reviews</w:t>
      </w:r>
      <w:r w:rsidRPr="00715C4F">
        <w:rPr>
          <w:rFonts w:ascii="Arial" w:eastAsia="Times New Roman" w:hAnsi="Arial" w:cs="Arial"/>
          <w:kern w:val="0"/>
          <w:lang w:eastAsia="en-GB"/>
          <w14:ligatures w14:val="none"/>
        </w:rPr>
        <w:t>, 17(9), pp. 976–989.</w:t>
      </w:r>
      <w:r w:rsidRPr="00715C4F">
        <w:rPr>
          <w:rFonts w:ascii="Arial" w:eastAsia="Times New Roman" w:hAnsi="Arial" w:cs="Arial"/>
          <w:kern w:val="0"/>
          <w:lang w:eastAsia="en-GB"/>
          <w14:ligatures w14:val="none"/>
        </w:rPr>
        <w:br/>
        <w:t xml:space="preserve"> </w:t>
      </w:r>
      <w:hyperlink r:id="rId93" w:history="1">
        <w:r w:rsidRPr="00715C4F">
          <w:rPr>
            <w:rStyle w:val="Hyperlink"/>
            <w:rFonts w:ascii="Arial" w:eastAsia="Times New Roman" w:hAnsi="Arial" w:cs="Arial"/>
            <w:kern w:val="0"/>
            <w:lang w:eastAsia="en-GB"/>
            <w14:ligatures w14:val="none"/>
          </w:rPr>
          <w:t>https://doi.org/10.1016/j.autrev.2018.06.005</w:t>
        </w:r>
      </w:hyperlink>
      <w:r w:rsidRPr="00715C4F">
        <w:rPr>
          <w:rFonts w:ascii="Arial" w:eastAsia="Times New Roman" w:hAnsi="Arial" w:cs="Arial"/>
          <w:kern w:val="0"/>
          <w:lang w:eastAsia="en-GB"/>
          <w14:ligatures w14:val="none"/>
        </w:rPr>
        <w:t xml:space="preserve"> [Accessed 26 August 2026]. </w:t>
      </w:r>
    </w:p>
    <w:p w14:paraId="7F1C7DB1"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lastRenderedPageBreak/>
        <w:t>Pludowski</w:t>
      </w:r>
      <w:proofErr w:type="spellEnd"/>
      <w:r w:rsidRPr="00715C4F">
        <w:rPr>
          <w:rFonts w:ascii="Arial" w:eastAsia="Times New Roman" w:hAnsi="Arial" w:cs="Arial"/>
          <w:kern w:val="0"/>
          <w:lang w:eastAsia="en-GB"/>
          <w14:ligatures w14:val="none"/>
        </w:rPr>
        <w:t xml:space="preserve">, P., </w:t>
      </w:r>
      <w:proofErr w:type="spellStart"/>
      <w:r w:rsidRPr="00715C4F">
        <w:rPr>
          <w:rFonts w:ascii="Arial" w:eastAsia="Times New Roman" w:hAnsi="Arial" w:cs="Arial"/>
          <w:kern w:val="0"/>
          <w:lang w:eastAsia="en-GB"/>
          <w14:ligatures w14:val="none"/>
        </w:rPr>
        <w:t>Koszowska</w:t>
      </w:r>
      <w:proofErr w:type="spellEnd"/>
      <w:r w:rsidRPr="00715C4F">
        <w:rPr>
          <w:rFonts w:ascii="Arial" w:eastAsia="Times New Roman" w:hAnsi="Arial" w:cs="Arial"/>
          <w:kern w:val="0"/>
          <w:lang w:eastAsia="en-GB"/>
          <w14:ligatures w14:val="none"/>
        </w:rPr>
        <w:t xml:space="preserve">, A. et al. (2023) ‘Vitamin D supplementation: a position statement of the Polish Society of Endocrinology’, </w:t>
      </w:r>
      <w:r w:rsidRPr="00715C4F">
        <w:rPr>
          <w:rFonts w:ascii="Arial" w:eastAsia="Times New Roman" w:hAnsi="Arial" w:cs="Arial"/>
          <w:i/>
          <w:iCs/>
          <w:kern w:val="0"/>
          <w:lang w:eastAsia="en-GB"/>
          <w14:ligatures w14:val="none"/>
        </w:rPr>
        <w:t>Nutrients</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r>
      <w:hyperlink r:id="rId94" w:history="1">
        <w:r w:rsidRPr="00715C4F">
          <w:rPr>
            <w:rStyle w:val="Hyperlink"/>
            <w:rFonts w:ascii="Arial" w:eastAsia="Times New Roman" w:hAnsi="Arial" w:cs="Arial"/>
            <w:kern w:val="0"/>
            <w:lang w:eastAsia="en-GB"/>
            <w14:ligatures w14:val="none"/>
          </w:rPr>
          <w:t>https://www.mdpi.com/search?query=Vitamin%20D%20supplementation%20position%20statement%20Polish%20Society%20Endocrinology</w:t>
        </w:r>
      </w:hyperlink>
      <w:r w:rsidRPr="00715C4F">
        <w:rPr>
          <w:rFonts w:ascii="Arial" w:eastAsia="Times New Roman" w:hAnsi="Arial" w:cs="Arial"/>
          <w:kern w:val="0"/>
          <w:lang w:eastAsia="en-GB"/>
          <w14:ligatures w14:val="none"/>
        </w:rPr>
        <w:t xml:space="preserve"> [Accessed 27 August 2026]. </w:t>
      </w:r>
    </w:p>
    <w:p w14:paraId="030EE278"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Popay</w:t>
      </w:r>
      <w:proofErr w:type="spellEnd"/>
      <w:r w:rsidRPr="00715C4F">
        <w:rPr>
          <w:rFonts w:ascii="Arial" w:eastAsia="Times New Roman" w:hAnsi="Arial" w:cs="Arial"/>
          <w:kern w:val="0"/>
          <w:lang w:eastAsia="en-GB"/>
          <w14:ligatures w14:val="none"/>
        </w:rPr>
        <w:t xml:space="preserve">, J. et al. (2006) </w:t>
      </w:r>
      <w:r w:rsidRPr="00715C4F">
        <w:rPr>
          <w:rFonts w:ascii="Arial" w:eastAsia="Times New Roman" w:hAnsi="Arial" w:cs="Arial"/>
          <w:i/>
          <w:iCs/>
          <w:kern w:val="0"/>
          <w:lang w:eastAsia="en-GB"/>
          <w14:ligatures w14:val="none"/>
        </w:rPr>
        <w:t>Guidance on the Conduct of Narrative Synthesis in Systematic Reviews</w:t>
      </w:r>
      <w:r w:rsidRPr="00715C4F">
        <w:rPr>
          <w:rFonts w:ascii="Arial" w:eastAsia="Times New Roman" w:hAnsi="Arial" w:cs="Arial"/>
          <w:kern w:val="0"/>
          <w:lang w:eastAsia="en-GB"/>
          <w14:ligatures w14:val="none"/>
        </w:rPr>
        <w:t xml:space="preserve">. </w:t>
      </w:r>
      <w:hyperlink r:id="rId95" w:history="1">
        <w:r w:rsidRPr="00715C4F">
          <w:rPr>
            <w:rStyle w:val="Hyperlink"/>
            <w:rFonts w:ascii="Arial" w:eastAsia="Times New Roman" w:hAnsi="Arial" w:cs="Arial"/>
            <w:kern w:val="0"/>
            <w:lang w:eastAsia="en-GB"/>
            <w14:ligatures w14:val="none"/>
          </w:rPr>
          <w:t>https://www.lancaster.ac.uk/people/faculty-researchers/</w:t>
        </w:r>
      </w:hyperlink>
      <w:r w:rsidRPr="00715C4F">
        <w:rPr>
          <w:rFonts w:ascii="Arial" w:eastAsia="Times New Roman" w:hAnsi="Arial" w:cs="Arial"/>
          <w:kern w:val="0"/>
          <w:lang w:eastAsia="en-GB"/>
          <w14:ligatures w14:val="none"/>
        </w:rPr>
        <w:t xml:space="preserve"> [Accessed 27 August 2026]. </w:t>
      </w:r>
    </w:p>
    <w:p w14:paraId="6D12D01C"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Public Health England (2016a) </w:t>
      </w:r>
      <w:r w:rsidRPr="00715C4F">
        <w:rPr>
          <w:rFonts w:ascii="Arial" w:eastAsia="Times New Roman" w:hAnsi="Arial" w:cs="Arial"/>
          <w:i/>
          <w:iCs/>
          <w:kern w:val="0"/>
          <w:lang w:eastAsia="en-GB"/>
          <w14:ligatures w14:val="none"/>
        </w:rPr>
        <w:t>Vitamin D and Health</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96" w:history="1">
        <w:r w:rsidRPr="00715C4F">
          <w:rPr>
            <w:rStyle w:val="Hyperlink"/>
            <w:rFonts w:ascii="Arial" w:eastAsia="Times New Roman" w:hAnsi="Arial" w:cs="Arial"/>
            <w:kern w:val="0"/>
            <w:lang w:eastAsia="en-GB"/>
            <w14:ligatures w14:val="none"/>
          </w:rPr>
          <w:t>https://www.gov.uk/government/publications/vitamin-d-and-health</w:t>
        </w:r>
      </w:hyperlink>
      <w:r w:rsidRPr="00715C4F">
        <w:rPr>
          <w:rFonts w:ascii="Arial" w:eastAsia="Times New Roman" w:hAnsi="Arial" w:cs="Arial"/>
          <w:kern w:val="0"/>
          <w:lang w:eastAsia="en-GB"/>
          <w14:ligatures w14:val="none"/>
        </w:rPr>
        <w:t xml:space="preserve"> [Accessed 28 August 2026]. </w:t>
      </w:r>
    </w:p>
    <w:p w14:paraId="05C6BD0F"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Public Health England (2016b) ‘PHE publishes new advice on vitamin D’.</w:t>
      </w:r>
      <w:r w:rsidRPr="00715C4F">
        <w:rPr>
          <w:rFonts w:ascii="Arial" w:eastAsia="Times New Roman" w:hAnsi="Arial" w:cs="Arial"/>
          <w:kern w:val="0"/>
          <w:lang w:eastAsia="en-GB"/>
          <w14:ligatures w14:val="none"/>
        </w:rPr>
        <w:br/>
        <w:t xml:space="preserve"> </w:t>
      </w:r>
      <w:hyperlink r:id="rId97" w:tgtFrame="_new" w:history="1">
        <w:r w:rsidRPr="00715C4F">
          <w:rPr>
            <w:rFonts w:ascii="Arial" w:eastAsia="Times New Roman" w:hAnsi="Arial" w:cs="Arial"/>
            <w:color w:val="0000FF"/>
            <w:kern w:val="0"/>
            <w:u w:val="single"/>
            <w:lang w:eastAsia="en-GB"/>
            <w14:ligatures w14:val="none"/>
          </w:rPr>
          <w:t>https://www.gov.uk/government/news/phe-publishes-new-advice-on-vitamin-d</w:t>
        </w:r>
      </w:hyperlink>
      <w:r w:rsidRPr="00715C4F">
        <w:rPr>
          <w:rFonts w:ascii="Arial" w:eastAsia="Times New Roman" w:hAnsi="Arial" w:cs="Arial"/>
          <w:kern w:val="0"/>
          <w:lang w:eastAsia="en-GB"/>
          <w14:ligatures w14:val="none"/>
        </w:rPr>
        <w:t xml:space="preserve"> [Accessed 28 August 2026]. </w:t>
      </w:r>
    </w:p>
    <w:p w14:paraId="344FAECF"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Rejnmark</w:t>
      </w:r>
      <w:proofErr w:type="spellEnd"/>
      <w:r w:rsidRPr="00715C4F">
        <w:rPr>
          <w:rFonts w:ascii="Arial" w:eastAsia="Times New Roman" w:hAnsi="Arial" w:cs="Arial"/>
          <w:kern w:val="0"/>
          <w:lang w:eastAsia="en-GB"/>
          <w14:ligatures w14:val="none"/>
        </w:rPr>
        <w:t xml:space="preserve">, L. et al. (2017) ‘Non-skeletal health effects of vitamin D supplementation’, </w:t>
      </w:r>
      <w:r w:rsidRPr="00715C4F">
        <w:rPr>
          <w:rFonts w:ascii="Arial" w:eastAsia="Times New Roman" w:hAnsi="Arial" w:cs="Arial"/>
          <w:i/>
          <w:iCs/>
          <w:kern w:val="0"/>
          <w:lang w:eastAsia="en-GB"/>
          <w14:ligatures w14:val="none"/>
        </w:rPr>
        <w:t>Endocrine Connections</w:t>
      </w:r>
      <w:r w:rsidRPr="00715C4F">
        <w:rPr>
          <w:rFonts w:ascii="Arial" w:eastAsia="Times New Roman" w:hAnsi="Arial" w:cs="Arial"/>
          <w:kern w:val="0"/>
          <w:lang w:eastAsia="en-GB"/>
          <w14:ligatures w14:val="none"/>
        </w:rPr>
        <w:t>, 6(8), pp. 646–668.</w:t>
      </w:r>
      <w:r w:rsidRPr="00715C4F">
        <w:rPr>
          <w:rFonts w:ascii="Arial" w:eastAsia="Times New Roman" w:hAnsi="Arial" w:cs="Arial"/>
          <w:kern w:val="0"/>
          <w:lang w:eastAsia="en-GB"/>
          <w14:ligatures w14:val="none"/>
        </w:rPr>
        <w:br/>
        <w:t xml:space="preserve"> </w:t>
      </w:r>
      <w:hyperlink r:id="rId98" w:history="1">
        <w:r w:rsidRPr="00715C4F">
          <w:rPr>
            <w:rStyle w:val="Hyperlink"/>
            <w:rFonts w:ascii="Arial" w:eastAsia="Times New Roman" w:hAnsi="Arial" w:cs="Arial"/>
            <w:kern w:val="0"/>
            <w:lang w:eastAsia="en-GB"/>
            <w14:ligatures w14:val="none"/>
          </w:rPr>
          <w:t>https://doi.org/10.1530/EC-17-0111</w:t>
        </w:r>
      </w:hyperlink>
      <w:r w:rsidRPr="00715C4F">
        <w:rPr>
          <w:rFonts w:ascii="Arial" w:eastAsia="Times New Roman" w:hAnsi="Arial" w:cs="Arial"/>
          <w:kern w:val="0"/>
          <w:lang w:eastAsia="en-GB"/>
          <w14:ligatures w14:val="none"/>
        </w:rPr>
        <w:t xml:space="preserve"> [Accessed 29 August 2026]. </w:t>
      </w:r>
    </w:p>
    <w:p w14:paraId="6FF2042D"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Rethlefsen</w:t>
      </w:r>
      <w:proofErr w:type="spellEnd"/>
      <w:r w:rsidRPr="00715C4F">
        <w:rPr>
          <w:rFonts w:ascii="Arial" w:eastAsia="Times New Roman" w:hAnsi="Arial" w:cs="Arial"/>
          <w:kern w:val="0"/>
          <w:lang w:eastAsia="en-GB"/>
          <w14:ligatures w14:val="none"/>
        </w:rPr>
        <w:t xml:space="preserve">, M.L. et al. (2021) ‘PRISMA-S’, </w:t>
      </w:r>
      <w:r w:rsidRPr="00715C4F">
        <w:rPr>
          <w:rFonts w:ascii="Arial" w:eastAsia="Times New Roman" w:hAnsi="Arial" w:cs="Arial"/>
          <w:i/>
          <w:iCs/>
          <w:kern w:val="0"/>
          <w:lang w:eastAsia="en-GB"/>
          <w14:ligatures w14:val="none"/>
        </w:rPr>
        <w:t>Systematic Reviews</w:t>
      </w:r>
      <w:r w:rsidRPr="00715C4F">
        <w:rPr>
          <w:rFonts w:ascii="Arial" w:eastAsia="Times New Roman" w:hAnsi="Arial" w:cs="Arial"/>
          <w:kern w:val="0"/>
          <w:lang w:eastAsia="en-GB"/>
          <w14:ligatures w14:val="none"/>
        </w:rPr>
        <w:t>, 10, 39.</w:t>
      </w:r>
      <w:r w:rsidRPr="00715C4F">
        <w:rPr>
          <w:rFonts w:ascii="Arial" w:eastAsia="Times New Roman" w:hAnsi="Arial" w:cs="Arial"/>
          <w:kern w:val="0"/>
          <w:lang w:eastAsia="en-GB"/>
          <w14:ligatures w14:val="none"/>
        </w:rPr>
        <w:br/>
        <w:t xml:space="preserve"> </w:t>
      </w:r>
      <w:hyperlink r:id="rId99" w:tgtFrame="_new" w:history="1">
        <w:r w:rsidRPr="00715C4F">
          <w:rPr>
            <w:rFonts w:ascii="Arial" w:eastAsia="Times New Roman" w:hAnsi="Arial" w:cs="Arial"/>
            <w:color w:val="0000FF"/>
            <w:kern w:val="0"/>
            <w:u w:val="single"/>
            <w:lang w:eastAsia="en-GB"/>
            <w14:ligatures w14:val="none"/>
          </w:rPr>
          <w:t>https://doi.org/10.1186/s13643-020-01542-z</w:t>
        </w:r>
      </w:hyperlink>
      <w:r w:rsidRPr="00715C4F">
        <w:rPr>
          <w:rFonts w:ascii="Arial" w:eastAsia="Times New Roman" w:hAnsi="Arial" w:cs="Arial"/>
          <w:kern w:val="0"/>
          <w:lang w:eastAsia="en-GB"/>
          <w14:ligatures w14:val="none"/>
        </w:rPr>
        <w:t xml:space="preserve"> [Accessed 29 August 2026]. </w:t>
      </w:r>
    </w:p>
    <w:p w14:paraId="32972F67"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Ross, A.C. et al. (2011) ‘The 2011 report on dietary reference intakes for calcium and vitamin D’, </w:t>
      </w:r>
      <w:r w:rsidRPr="00715C4F">
        <w:rPr>
          <w:rFonts w:ascii="Arial" w:eastAsia="Times New Roman" w:hAnsi="Arial" w:cs="Arial"/>
          <w:i/>
          <w:iCs/>
          <w:kern w:val="0"/>
          <w:lang w:eastAsia="en-GB"/>
          <w14:ligatures w14:val="none"/>
        </w:rPr>
        <w:t>The Journal of Clinical Endocrinology &amp; Metabolism</w:t>
      </w:r>
      <w:r w:rsidRPr="00715C4F">
        <w:rPr>
          <w:rFonts w:ascii="Arial" w:eastAsia="Times New Roman" w:hAnsi="Arial" w:cs="Arial"/>
          <w:kern w:val="0"/>
          <w:lang w:eastAsia="en-GB"/>
          <w14:ligatures w14:val="none"/>
        </w:rPr>
        <w:t xml:space="preserve">, 96(1), pp. 53–58. </w:t>
      </w:r>
      <w:hyperlink r:id="rId100" w:tgtFrame="_new" w:history="1">
        <w:r w:rsidRPr="00715C4F">
          <w:rPr>
            <w:rFonts w:ascii="Arial" w:eastAsia="Times New Roman" w:hAnsi="Arial" w:cs="Arial"/>
            <w:color w:val="0000FF"/>
            <w:kern w:val="0"/>
            <w:u w:val="single"/>
            <w:lang w:eastAsia="en-GB"/>
            <w14:ligatures w14:val="none"/>
          </w:rPr>
          <w:t>https://doi.org/10.1210/jc.2010-2704</w:t>
        </w:r>
      </w:hyperlink>
      <w:r w:rsidRPr="00715C4F">
        <w:rPr>
          <w:rFonts w:ascii="Arial" w:eastAsia="Times New Roman" w:hAnsi="Arial" w:cs="Arial"/>
          <w:kern w:val="0"/>
          <w:lang w:eastAsia="en-GB"/>
          <w14:ligatures w14:val="none"/>
        </w:rPr>
        <w:t xml:space="preserve"> [Accessed 30 August 2026]. </w:t>
      </w:r>
    </w:p>
    <w:p w14:paraId="6D026266"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Roth, D.E. et al. (2018) ‘Global prevalence and disease burden of vitamin D deficiency’, </w:t>
      </w:r>
      <w:r w:rsidRPr="00715C4F">
        <w:rPr>
          <w:rFonts w:ascii="Arial" w:eastAsia="Times New Roman" w:hAnsi="Arial" w:cs="Arial"/>
          <w:i/>
          <w:iCs/>
          <w:kern w:val="0"/>
          <w:lang w:eastAsia="en-GB"/>
          <w14:ligatures w14:val="none"/>
        </w:rPr>
        <w:t>Annals of the New York Academy of Sciences</w:t>
      </w:r>
      <w:r w:rsidRPr="00715C4F">
        <w:rPr>
          <w:rFonts w:ascii="Arial" w:eastAsia="Times New Roman" w:hAnsi="Arial" w:cs="Arial"/>
          <w:kern w:val="0"/>
          <w:lang w:eastAsia="en-GB"/>
          <w14:ligatures w14:val="none"/>
        </w:rPr>
        <w:t>, 1430(1), pp. 44–79.</w:t>
      </w:r>
      <w:r w:rsidRPr="00715C4F">
        <w:rPr>
          <w:rFonts w:ascii="Arial" w:eastAsia="Times New Roman" w:hAnsi="Arial" w:cs="Arial"/>
          <w:kern w:val="0"/>
          <w:lang w:eastAsia="en-GB"/>
          <w14:ligatures w14:val="none"/>
        </w:rPr>
        <w:br/>
        <w:t xml:space="preserve"> </w:t>
      </w:r>
      <w:hyperlink r:id="rId101" w:history="1">
        <w:r w:rsidRPr="00715C4F">
          <w:rPr>
            <w:rStyle w:val="Hyperlink"/>
            <w:rFonts w:ascii="Arial" w:eastAsia="Times New Roman" w:hAnsi="Arial" w:cs="Arial"/>
            <w:kern w:val="0"/>
            <w:lang w:eastAsia="en-GB"/>
            <w14:ligatures w14:val="none"/>
          </w:rPr>
          <w:t>https://doi.org/10.1111/nyas.13968</w:t>
        </w:r>
      </w:hyperlink>
      <w:r w:rsidRPr="00715C4F">
        <w:rPr>
          <w:rFonts w:ascii="Arial" w:eastAsia="Times New Roman" w:hAnsi="Arial" w:cs="Arial"/>
          <w:kern w:val="0"/>
          <w:lang w:eastAsia="en-GB"/>
          <w14:ligatures w14:val="none"/>
        </w:rPr>
        <w:t xml:space="preserve"> [Accessed 30 August 2026]. </w:t>
      </w:r>
    </w:p>
    <w:p w14:paraId="0F85D70C"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Roth, D.E., </w:t>
      </w:r>
      <w:proofErr w:type="spellStart"/>
      <w:r w:rsidRPr="00715C4F">
        <w:rPr>
          <w:rFonts w:ascii="Arial" w:eastAsia="Times New Roman" w:hAnsi="Arial" w:cs="Arial"/>
          <w:kern w:val="0"/>
          <w:lang w:eastAsia="en-GB"/>
          <w14:ligatures w14:val="none"/>
        </w:rPr>
        <w:t>Hoddinott</w:t>
      </w:r>
      <w:proofErr w:type="spellEnd"/>
      <w:r w:rsidRPr="00715C4F">
        <w:rPr>
          <w:rFonts w:ascii="Arial" w:eastAsia="Times New Roman" w:hAnsi="Arial" w:cs="Arial"/>
          <w:kern w:val="0"/>
          <w:lang w:eastAsia="en-GB"/>
          <w14:ligatures w14:val="none"/>
        </w:rPr>
        <w:t xml:space="preserve">, J. et al. (2020) ‘Vitamin D supplementation and health outcomes: evidence from systematic reviews and trials’, </w:t>
      </w:r>
      <w:r w:rsidRPr="00715C4F">
        <w:rPr>
          <w:rFonts w:ascii="Arial" w:eastAsia="Times New Roman" w:hAnsi="Arial" w:cs="Arial"/>
          <w:i/>
          <w:iCs/>
          <w:kern w:val="0"/>
          <w:lang w:eastAsia="en-GB"/>
          <w14:ligatures w14:val="none"/>
        </w:rPr>
        <w:t>The Lancet</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102" w:history="1">
        <w:r w:rsidRPr="00715C4F">
          <w:rPr>
            <w:rStyle w:val="Hyperlink"/>
            <w:rFonts w:ascii="Arial" w:eastAsia="Times New Roman" w:hAnsi="Arial" w:cs="Arial"/>
            <w:kern w:val="0"/>
            <w:lang w:eastAsia="en-GB"/>
            <w14:ligatures w14:val="none"/>
          </w:rPr>
          <w:t>https://www.thelancet.com/search-results?query=Vitamin%20D%20supplementation%20and%20health%20outcomes</w:t>
        </w:r>
      </w:hyperlink>
      <w:r w:rsidRPr="00715C4F">
        <w:rPr>
          <w:rFonts w:ascii="Arial" w:eastAsia="Times New Roman" w:hAnsi="Arial" w:cs="Arial"/>
          <w:kern w:val="0"/>
          <w:lang w:eastAsia="en-GB"/>
          <w14:ligatures w14:val="none"/>
        </w:rPr>
        <w:t xml:space="preserve"> [Accessed 13 September 2026]. </w:t>
      </w:r>
    </w:p>
    <w:p w14:paraId="1C97A1BB"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Santana, K.V.S.S. et al. (2024) ‘Residential greenness, lifestyle, and vitamin D’, </w:t>
      </w:r>
      <w:r w:rsidRPr="00715C4F">
        <w:rPr>
          <w:rFonts w:ascii="Arial" w:eastAsia="Times New Roman" w:hAnsi="Arial" w:cs="Arial"/>
          <w:i/>
          <w:iCs/>
          <w:kern w:val="0"/>
          <w:lang w:eastAsia="en-GB"/>
          <w14:ligatures w14:val="none"/>
        </w:rPr>
        <w:t>Nutrients</w:t>
      </w:r>
      <w:r w:rsidRPr="00715C4F">
        <w:rPr>
          <w:rFonts w:ascii="Arial" w:eastAsia="Times New Roman" w:hAnsi="Arial" w:cs="Arial"/>
          <w:kern w:val="0"/>
          <w:lang w:eastAsia="en-GB"/>
          <w14:ligatures w14:val="none"/>
        </w:rPr>
        <w:t>, 16(8), 1214.</w:t>
      </w:r>
      <w:r w:rsidRPr="00715C4F">
        <w:rPr>
          <w:rFonts w:ascii="Arial" w:eastAsia="Times New Roman" w:hAnsi="Arial" w:cs="Arial"/>
          <w:kern w:val="0"/>
          <w:lang w:eastAsia="en-GB"/>
          <w14:ligatures w14:val="none"/>
        </w:rPr>
        <w:br/>
        <w:t xml:space="preserve"> </w:t>
      </w:r>
      <w:hyperlink r:id="rId103" w:history="1">
        <w:r w:rsidRPr="00715C4F">
          <w:rPr>
            <w:rStyle w:val="Hyperlink"/>
            <w:rFonts w:ascii="Arial" w:eastAsia="Times New Roman" w:hAnsi="Arial" w:cs="Arial"/>
            <w:kern w:val="0"/>
            <w:lang w:eastAsia="en-GB"/>
            <w14:ligatures w14:val="none"/>
          </w:rPr>
          <w:t>https://doi.org/10.3390/nu16081214</w:t>
        </w:r>
      </w:hyperlink>
      <w:r w:rsidRPr="00715C4F">
        <w:rPr>
          <w:rFonts w:ascii="Arial" w:eastAsia="Times New Roman" w:hAnsi="Arial" w:cs="Arial"/>
          <w:kern w:val="0"/>
          <w:lang w:eastAsia="en-GB"/>
          <w14:ligatures w14:val="none"/>
        </w:rPr>
        <w:t xml:space="preserve"> [Accessed 1 September 2026]. </w:t>
      </w:r>
    </w:p>
    <w:p w14:paraId="00244985"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Schleicher</w:t>
      </w:r>
      <w:proofErr w:type="spellEnd"/>
      <w:r w:rsidRPr="00715C4F">
        <w:rPr>
          <w:rFonts w:ascii="Arial" w:eastAsia="Times New Roman" w:hAnsi="Arial" w:cs="Arial"/>
          <w:kern w:val="0"/>
          <w:lang w:eastAsia="en-GB"/>
          <w14:ligatures w14:val="none"/>
        </w:rPr>
        <w:t xml:space="preserve">, R.L. et al. (2016) ‘National estimates of serum total 25-hydroxyvitamin D’, </w:t>
      </w:r>
      <w:r w:rsidRPr="00715C4F">
        <w:rPr>
          <w:rFonts w:ascii="Arial" w:eastAsia="Times New Roman" w:hAnsi="Arial" w:cs="Arial"/>
          <w:i/>
          <w:iCs/>
          <w:kern w:val="0"/>
          <w:lang w:eastAsia="en-GB"/>
          <w14:ligatures w14:val="none"/>
        </w:rPr>
        <w:t>The Journal of Nutrition</w:t>
      </w:r>
      <w:r w:rsidRPr="00715C4F">
        <w:rPr>
          <w:rFonts w:ascii="Arial" w:eastAsia="Times New Roman" w:hAnsi="Arial" w:cs="Arial"/>
          <w:kern w:val="0"/>
          <w:lang w:eastAsia="en-GB"/>
          <w14:ligatures w14:val="none"/>
        </w:rPr>
        <w:t>, 146(5), pp. 1051–1061.</w:t>
      </w:r>
      <w:r w:rsidRPr="00715C4F">
        <w:rPr>
          <w:rFonts w:ascii="Arial" w:eastAsia="Times New Roman" w:hAnsi="Arial" w:cs="Arial"/>
          <w:kern w:val="0"/>
          <w:lang w:eastAsia="en-GB"/>
          <w14:ligatures w14:val="none"/>
        </w:rPr>
        <w:br/>
        <w:t xml:space="preserve"> </w:t>
      </w:r>
      <w:hyperlink r:id="rId104" w:history="1">
        <w:r w:rsidRPr="00715C4F">
          <w:rPr>
            <w:rStyle w:val="Hyperlink"/>
            <w:rFonts w:ascii="Arial" w:eastAsia="Times New Roman" w:hAnsi="Arial" w:cs="Arial"/>
            <w:kern w:val="0"/>
            <w:lang w:eastAsia="en-GB"/>
            <w14:ligatures w14:val="none"/>
          </w:rPr>
          <w:t>https://doi.org/10.3945/jn.115.227728</w:t>
        </w:r>
      </w:hyperlink>
      <w:r w:rsidRPr="00715C4F">
        <w:rPr>
          <w:rFonts w:ascii="Arial" w:eastAsia="Times New Roman" w:hAnsi="Arial" w:cs="Arial"/>
          <w:kern w:val="0"/>
          <w:lang w:eastAsia="en-GB"/>
          <w14:ligatures w14:val="none"/>
        </w:rPr>
        <w:t xml:space="preserve"> [Accessed 1 September 2026]. </w:t>
      </w:r>
    </w:p>
    <w:p w14:paraId="0B252AD8"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 xml:space="preserve">Scientific Advisory Committee on Nutrition (2016) </w:t>
      </w:r>
      <w:r w:rsidRPr="00715C4F">
        <w:rPr>
          <w:rFonts w:ascii="Arial" w:eastAsia="Times New Roman" w:hAnsi="Arial" w:cs="Arial"/>
          <w:i/>
          <w:iCs/>
          <w:kern w:val="0"/>
          <w:lang w:eastAsia="en-GB"/>
          <w14:ligatures w14:val="none"/>
        </w:rPr>
        <w:t>Vitamin D and Health</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105" w:history="1">
        <w:r w:rsidRPr="00715C4F">
          <w:rPr>
            <w:rStyle w:val="Hyperlink"/>
            <w:rFonts w:ascii="Arial" w:eastAsia="Times New Roman" w:hAnsi="Arial" w:cs="Arial"/>
            <w:kern w:val="0"/>
            <w:lang w:eastAsia="en-GB"/>
            <w14:ligatures w14:val="none"/>
          </w:rPr>
          <w:t>https://www.gov.uk/government/publications/vitamin-d-and-health</w:t>
        </w:r>
      </w:hyperlink>
      <w:r w:rsidRPr="00715C4F">
        <w:rPr>
          <w:rFonts w:ascii="Arial" w:eastAsia="Times New Roman" w:hAnsi="Arial" w:cs="Arial"/>
          <w:kern w:val="0"/>
          <w:lang w:eastAsia="en-GB"/>
          <w14:ligatures w14:val="none"/>
        </w:rPr>
        <w:t xml:space="preserve"> [Accessed 31 August 2026]. </w:t>
      </w:r>
    </w:p>
    <w:p w14:paraId="2BE94470"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Scientific Advisory Committee on Nutrition (2020) </w:t>
      </w:r>
      <w:r w:rsidRPr="00715C4F">
        <w:rPr>
          <w:rFonts w:ascii="Arial" w:eastAsia="Times New Roman" w:hAnsi="Arial" w:cs="Arial"/>
          <w:i/>
          <w:iCs/>
          <w:kern w:val="0"/>
          <w:lang w:eastAsia="en-GB"/>
          <w14:ligatures w14:val="none"/>
        </w:rPr>
        <w:t>Vitamin D and Acute Respiratory Tract Infections</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106" w:history="1">
        <w:r w:rsidRPr="00715C4F">
          <w:rPr>
            <w:rStyle w:val="Hyperlink"/>
            <w:rFonts w:ascii="Arial" w:eastAsia="Times New Roman" w:hAnsi="Arial" w:cs="Arial"/>
            <w:kern w:val="0"/>
            <w:lang w:eastAsia="en-GB"/>
            <w14:ligatures w14:val="none"/>
          </w:rPr>
          <w:t>https://www.gov.uk/government/publications/vitamin-d-and-acute-respiratory-tract-infections</w:t>
        </w:r>
      </w:hyperlink>
      <w:r w:rsidRPr="00715C4F">
        <w:rPr>
          <w:rFonts w:ascii="Arial" w:eastAsia="Times New Roman" w:hAnsi="Arial" w:cs="Arial"/>
          <w:kern w:val="0"/>
          <w:lang w:eastAsia="en-GB"/>
          <w14:ligatures w14:val="none"/>
        </w:rPr>
        <w:t xml:space="preserve"> [Accessed 31 August 2026]. </w:t>
      </w:r>
    </w:p>
    <w:p w14:paraId="2EF345BC"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Sempos</w:t>
      </w:r>
      <w:proofErr w:type="spellEnd"/>
      <w:r w:rsidRPr="00715C4F">
        <w:rPr>
          <w:rFonts w:ascii="Arial" w:eastAsia="Times New Roman" w:hAnsi="Arial" w:cs="Arial"/>
          <w:kern w:val="0"/>
          <w:lang w:eastAsia="en-GB"/>
          <w14:ligatures w14:val="none"/>
        </w:rPr>
        <w:t xml:space="preserve">, C.T. and Binkley, N. (2020) ‘2nd International Conference on Controversies in Vitamin D’, </w:t>
      </w:r>
      <w:r w:rsidRPr="00715C4F">
        <w:rPr>
          <w:rFonts w:ascii="Arial" w:eastAsia="Times New Roman" w:hAnsi="Arial" w:cs="Arial"/>
          <w:i/>
          <w:iCs/>
          <w:kern w:val="0"/>
          <w:lang w:eastAsia="en-GB"/>
          <w14:ligatures w14:val="none"/>
        </w:rPr>
        <w:t>Nutrients</w:t>
      </w:r>
      <w:r w:rsidRPr="00715C4F">
        <w:rPr>
          <w:rFonts w:ascii="Arial" w:eastAsia="Times New Roman" w:hAnsi="Arial" w:cs="Arial"/>
          <w:kern w:val="0"/>
          <w:lang w:eastAsia="en-GB"/>
          <w14:ligatures w14:val="none"/>
        </w:rPr>
        <w:t>, 12.</w:t>
      </w:r>
      <w:r w:rsidRPr="00715C4F">
        <w:rPr>
          <w:rFonts w:ascii="Arial" w:eastAsia="Times New Roman" w:hAnsi="Arial" w:cs="Arial"/>
          <w:kern w:val="0"/>
          <w:lang w:eastAsia="en-GB"/>
          <w14:ligatures w14:val="none"/>
        </w:rPr>
        <w:br/>
        <w:t xml:space="preserve"> </w:t>
      </w:r>
      <w:hyperlink r:id="rId107" w:tgtFrame="_new" w:history="1">
        <w:r w:rsidRPr="00715C4F">
          <w:rPr>
            <w:rFonts w:ascii="Arial" w:eastAsia="Times New Roman" w:hAnsi="Arial" w:cs="Arial"/>
            <w:color w:val="0000FF"/>
            <w:kern w:val="0"/>
            <w:u w:val="single"/>
            <w:lang w:eastAsia="en-GB"/>
            <w14:ligatures w14:val="none"/>
          </w:rPr>
          <w:t>https://www.mdpi.com/2072-6643/12</w:t>
        </w:r>
      </w:hyperlink>
      <w:r w:rsidRPr="00715C4F">
        <w:rPr>
          <w:rFonts w:ascii="Arial" w:eastAsia="Times New Roman" w:hAnsi="Arial" w:cs="Arial"/>
          <w:kern w:val="0"/>
          <w:lang w:eastAsia="en-GB"/>
          <w14:ligatures w14:val="none"/>
        </w:rPr>
        <w:t xml:space="preserve"> [Accessed 2 September 2026]. </w:t>
      </w:r>
    </w:p>
    <w:p w14:paraId="45C70BB6" w14:textId="77777777" w:rsidR="00EF416A" w:rsidRPr="00715C4F" w:rsidRDefault="00EF416A" w:rsidP="00715C4F">
      <w:pPr>
        <w:numPr>
          <w:ilvl w:val="0"/>
          <w:numId w:val="30"/>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Shraim</w:t>
      </w:r>
      <w:proofErr w:type="spellEnd"/>
      <w:r w:rsidRPr="00715C4F">
        <w:rPr>
          <w:rFonts w:ascii="Arial" w:eastAsia="Times New Roman" w:hAnsi="Arial" w:cs="Arial"/>
          <w:kern w:val="0"/>
          <w:lang w:eastAsia="en-GB"/>
          <w14:ligatures w14:val="none"/>
        </w:rPr>
        <w:t xml:space="preserve">, R. et al. (2025) ‘Prevalence and determinants of profound vitamin D deficiency’, </w:t>
      </w:r>
      <w:r w:rsidRPr="00715C4F">
        <w:rPr>
          <w:rFonts w:ascii="Arial" w:eastAsia="Times New Roman" w:hAnsi="Arial" w:cs="Arial"/>
          <w:i/>
          <w:iCs/>
          <w:kern w:val="0"/>
          <w:lang w:eastAsia="en-GB"/>
          <w14:ligatures w14:val="none"/>
        </w:rPr>
        <w:t>Journal of Steroid Biochemistry and Molecular Biology</w:t>
      </w:r>
      <w:r w:rsidRPr="00715C4F">
        <w:rPr>
          <w:rFonts w:ascii="Arial" w:eastAsia="Times New Roman" w:hAnsi="Arial" w:cs="Arial"/>
          <w:kern w:val="0"/>
          <w:lang w:eastAsia="en-GB"/>
          <w14:ligatures w14:val="none"/>
        </w:rPr>
        <w:t>, 250, 106737.</w:t>
      </w:r>
      <w:r w:rsidRPr="00715C4F">
        <w:rPr>
          <w:rFonts w:ascii="Arial" w:eastAsia="Times New Roman" w:hAnsi="Arial" w:cs="Arial"/>
          <w:kern w:val="0"/>
          <w:lang w:eastAsia="en-GB"/>
          <w14:ligatures w14:val="none"/>
        </w:rPr>
        <w:br/>
        <w:t xml:space="preserve"> </w:t>
      </w:r>
      <w:hyperlink r:id="rId108" w:history="1">
        <w:r w:rsidRPr="00715C4F">
          <w:rPr>
            <w:rStyle w:val="Hyperlink"/>
            <w:rFonts w:ascii="Arial" w:eastAsia="Times New Roman" w:hAnsi="Arial" w:cs="Arial"/>
            <w:kern w:val="0"/>
            <w:lang w:eastAsia="en-GB"/>
            <w14:ligatures w14:val="none"/>
          </w:rPr>
          <w:t>https://doi.org/10.1016/j.jsbmb.2025.106737</w:t>
        </w:r>
      </w:hyperlink>
      <w:r w:rsidRPr="00715C4F">
        <w:rPr>
          <w:rFonts w:ascii="Arial" w:eastAsia="Times New Roman" w:hAnsi="Arial" w:cs="Arial"/>
          <w:kern w:val="0"/>
          <w:lang w:eastAsia="en-GB"/>
          <w14:ligatures w14:val="none"/>
        </w:rPr>
        <w:t xml:space="preserve"> [Accessed 2 September 2026]. </w:t>
      </w:r>
    </w:p>
    <w:p w14:paraId="00190F1D"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Siddiqee</w:t>
      </w:r>
      <w:proofErr w:type="spellEnd"/>
      <w:r w:rsidRPr="00715C4F">
        <w:rPr>
          <w:rFonts w:ascii="Arial" w:eastAsia="Times New Roman" w:hAnsi="Arial" w:cs="Arial"/>
          <w:kern w:val="0"/>
          <w:lang w:eastAsia="en-GB"/>
          <w14:ligatures w14:val="none"/>
        </w:rPr>
        <w:t xml:space="preserve">, M.H. et al. (2021) ‘High prevalence of vitamin D deficiency among the South Asian adults’, </w:t>
      </w:r>
      <w:r w:rsidRPr="00715C4F">
        <w:rPr>
          <w:rFonts w:ascii="Arial" w:eastAsia="Times New Roman" w:hAnsi="Arial" w:cs="Arial"/>
          <w:i/>
          <w:iCs/>
          <w:kern w:val="0"/>
          <w:lang w:eastAsia="en-GB"/>
          <w14:ligatures w14:val="none"/>
        </w:rPr>
        <w:t>BMC Public Health</w:t>
      </w:r>
      <w:r w:rsidRPr="00715C4F">
        <w:rPr>
          <w:rFonts w:ascii="Arial" w:eastAsia="Times New Roman" w:hAnsi="Arial" w:cs="Arial"/>
          <w:kern w:val="0"/>
          <w:lang w:eastAsia="en-GB"/>
          <w14:ligatures w14:val="none"/>
        </w:rPr>
        <w:t>, 21, 1823.</w:t>
      </w:r>
      <w:r w:rsidRPr="00715C4F">
        <w:rPr>
          <w:rFonts w:ascii="Arial" w:eastAsia="Times New Roman" w:hAnsi="Arial" w:cs="Arial"/>
          <w:kern w:val="0"/>
          <w:lang w:eastAsia="en-GB"/>
          <w14:ligatures w14:val="none"/>
        </w:rPr>
        <w:br/>
        <w:t xml:space="preserve"> </w:t>
      </w:r>
      <w:hyperlink r:id="rId109" w:history="1">
        <w:r w:rsidRPr="00715C4F">
          <w:rPr>
            <w:rStyle w:val="Hyperlink"/>
            <w:rFonts w:ascii="Arial" w:eastAsia="Times New Roman" w:hAnsi="Arial" w:cs="Arial"/>
            <w:kern w:val="0"/>
            <w:lang w:eastAsia="en-GB"/>
            <w14:ligatures w14:val="none"/>
          </w:rPr>
          <w:t>https://doi.org/10.1186/s12889-021-11888-1</w:t>
        </w:r>
      </w:hyperlink>
      <w:r w:rsidRPr="00715C4F">
        <w:rPr>
          <w:rFonts w:ascii="Arial" w:eastAsia="Times New Roman" w:hAnsi="Arial" w:cs="Arial"/>
          <w:kern w:val="0"/>
          <w:lang w:eastAsia="en-GB"/>
          <w14:ligatures w14:val="none"/>
        </w:rPr>
        <w:t xml:space="preserve"> [Accessed 3 September 2026]. </w:t>
      </w:r>
    </w:p>
    <w:p w14:paraId="5C6579FD"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Smith, H. et al. (2009) ‘Effect of annual vitamin D3 supplementation on fracture risk’, </w:t>
      </w:r>
      <w:r w:rsidRPr="00715C4F">
        <w:rPr>
          <w:rFonts w:ascii="Arial" w:eastAsia="Times New Roman" w:hAnsi="Arial" w:cs="Arial"/>
          <w:i/>
          <w:iCs/>
          <w:kern w:val="0"/>
          <w:lang w:eastAsia="en-GB"/>
          <w14:ligatures w14:val="none"/>
        </w:rPr>
        <w:t>Journal of Bone and Mineral Research</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110" w:history="1">
        <w:r w:rsidRPr="00715C4F">
          <w:rPr>
            <w:rStyle w:val="Hyperlink"/>
            <w:rFonts w:ascii="Arial" w:eastAsia="Times New Roman" w:hAnsi="Arial" w:cs="Arial"/>
            <w:kern w:val="0"/>
            <w:lang w:eastAsia="en-GB"/>
            <w14:ligatures w14:val="none"/>
          </w:rPr>
          <w:t>https://academic.oup.com/jbmr/search-results?q=Effect%20of%20annual%20vitamin%20D3%20supplementation%20on%20fracture%20risk</w:t>
        </w:r>
      </w:hyperlink>
      <w:r w:rsidRPr="00715C4F">
        <w:rPr>
          <w:rFonts w:ascii="Arial" w:eastAsia="Times New Roman" w:hAnsi="Arial" w:cs="Arial"/>
          <w:kern w:val="0"/>
          <w:lang w:eastAsia="en-GB"/>
          <w14:ligatures w14:val="none"/>
        </w:rPr>
        <w:t xml:space="preserve"> [Accessed 13 September 2026]. </w:t>
      </w:r>
    </w:p>
    <w:p w14:paraId="3C05D06E"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Smith, N. et al. (2021) ‘Mismatch: a comparative study of vitamin D status in British-Bangladeshi migrants’, </w:t>
      </w:r>
      <w:r w:rsidRPr="00715C4F">
        <w:rPr>
          <w:rFonts w:ascii="Arial" w:eastAsia="Times New Roman" w:hAnsi="Arial" w:cs="Arial"/>
          <w:i/>
          <w:iCs/>
          <w:kern w:val="0"/>
          <w:lang w:eastAsia="en-GB"/>
          <w14:ligatures w14:val="none"/>
        </w:rPr>
        <w:t>Evolution, Medicine, and Public Health</w:t>
      </w:r>
      <w:r w:rsidRPr="00715C4F">
        <w:rPr>
          <w:rFonts w:ascii="Arial" w:eastAsia="Times New Roman" w:hAnsi="Arial" w:cs="Arial"/>
          <w:kern w:val="0"/>
          <w:lang w:eastAsia="en-GB"/>
          <w14:ligatures w14:val="none"/>
        </w:rPr>
        <w:t xml:space="preserve">, 9(1), pp. 164–173. </w:t>
      </w:r>
      <w:hyperlink r:id="rId111" w:history="1">
        <w:r w:rsidRPr="00715C4F">
          <w:rPr>
            <w:rStyle w:val="Hyperlink"/>
            <w:rFonts w:ascii="Arial" w:eastAsia="Times New Roman" w:hAnsi="Arial" w:cs="Arial"/>
            <w:kern w:val="0"/>
            <w:lang w:eastAsia="en-GB"/>
            <w14:ligatures w14:val="none"/>
          </w:rPr>
          <w:t>https://doi.org/10.1093/emph/eoab001</w:t>
        </w:r>
      </w:hyperlink>
      <w:r w:rsidRPr="00715C4F">
        <w:rPr>
          <w:rFonts w:ascii="Arial" w:eastAsia="Times New Roman" w:hAnsi="Arial" w:cs="Arial"/>
          <w:kern w:val="0"/>
          <w:lang w:eastAsia="en-GB"/>
          <w14:ligatures w14:val="none"/>
        </w:rPr>
        <w:t xml:space="preserve"> [Accessed 3 September 2026]. </w:t>
      </w:r>
    </w:p>
    <w:p w14:paraId="4619D431"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Sterne, J.A.C. et al. (2016) ‘ROBINS-I’, </w:t>
      </w:r>
      <w:r w:rsidRPr="00715C4F">
        <w:rPr>
          <w:rFonts w:ascii="Arial" w:eastAsia="Times New Roman" w:hAnsi="Arial" w:cs="Arial"/>
          <w:i/>
          <w:iCs/>
          <w:kern w:val="0"/>
          <w:lang w:eastAsia="en-GB"/>
          <w14:ligatures w14:val="none"/>
        </w:rPr>
        <w:t>BMJ</w:t>
      </w:r>
      <w:r w:rsidRPr="00715C4F">
        <w:rPr>
          <w:rFonts w:ascii="Arial" w:eastAsia="Times New Roman" w:hAnsi="Arial" w:cs="Arial"/>
          <w:kern w:val="0"/>
          <w:lang w:eastAsia="en-GB"/>
          <w14:ligatures w14:val="none"/>
        </w:rPr>
        <w:t>, 355, i4919.</w:t>
      </w:r>
      <w:r w:rsidRPr="00715C4F">
        <w:rPr>
          <w:rFonts w:ascii="Arial" w:eastAsia="Times New Roman" w:hAnsi="Arial" w:cs="Arial"/>
          <w:kern w:val="0"/>
          <w:lang w:eastAsia="en-GB"/>
          <w14:ligatures w14:val="none"/>
        </w:rPr>
        <w:br/>
        <w:t xml:space="preserve"> </w:t>
      </w:r>
      <w:hyperlink r:id="rId112" w:tgtFrame="_new" w:history="1">
        <w:r w:rsidRPr="00715C4F">
          <w:rPr>
            <w:rFonts w:ascii="Arial" w:eastAsia="Times New Roman" w:hAnsi="Arial" w:cs="Arial"/>
            <w:color w:val="0000FF"/>
            <w:kern w:val="0"/>
            <w:u w:val="single"/>
            <w:lang w:eastAsia="en-GB"/>
            <w14:ligatures w14:val="none"/>
          </w:rPr>
          <w:t>https://doi.org/10.1136/bmj.i4919</w:t>
        </w:r>
      </w:hyperlink>
      <w:r w:rsidRPr="00715C4F">
        <w:rPr>
          <w:rFonts w:ascii="Arial" w:eastAsia="Times New Roman" w:hAnsi="Arial" w:cs="Arial"/>
          <w:kern w:val="0"/>
          <w:lang w:eastAsia="en-GB"/>
          <w14:ligatures w14:val="none"/>
        </w:rPr>
        <w:t xml:space="preserve"> [Accessed 4 September 2026]. </w:t>
      </w:r>
    </w:p>
    <w:p w14:paraId="67EE3989"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Sterne, J.A.C. et al. (2019) ‘</w:t>
      </w:r>
      <w:proofErr w:type="spellStart"/>
      <w:r w:rsidRPr="00715C4F">
        <w:rPr>
          <w:rFonts w:ascii="Arial" w:eastAsia="Times New Roman" w:hAnsi="Arial" w:cs="Arial"/>
          <w:kern w:val="0"/>
          <w:lang w:eastAsia="en-GB"/>
          <w14:ligatures w14:val="none"/>
        </w:rPr>
        <w:t>RoB</w:t>
      </w:r>
      <w:proofErr w:type="spellEnd"/>
      <w:r w:rsidRPr="00715C4F">
        <w:rPr>
          <w:rFonts w:ascii="Arial" w:eastAsia="Times New Roman" w:hAnsi="Arial" w:cs="Arial"/>
          <w:kern w:val="0"/>
          <w:lang w:eastAsia="en-GB"/>
          <w14:ligatures w14:val="none"/>
        </w:rPr>
        <w:t xml:space="preserve"> 2: a revised tool for assessing risk of bias in randomised trials’, </w:t>
      </w:r>
      <w:r w:rsidRPr="00715C4F">
        <w:rPr>
          <w:rFonts w:ascii="Arial" w:eastAsia="Times New Roman" w:hAnsi="Arial" w:cs="Arial"/>
          <w:i/>
          <w:iCs/>
          <w:kern w:val="0"/>
          <w:lang w:eastAsia="en-GB"/>
          <w14:ligatures w14:val="none"/>
        </w:rPr>
        <w:t>BMJ</w:t>
      </w:r>
      <w:r w:rsidRPr="00715C4F">
        <w:rPr>
          <w:rFonts w:ascii="Arial" w:eastAsia="Times New Roman" w:hAnsi="Arial" w:cs="Arial"/>
          <w:kern w:val="0"/>
          <w:lang w:eastAsia="en-GB"/>
          <w14:ligatures w14:val="none"/>
        </w:rPr>
        <w:t>, 366, l4898.</w:t>
      </w:r>
      <w:r w:rsidRPr="00715C4F">
        <w:rPr>
          <w:rFonts w:ascii="Arial" w:eastAsia="Times New Roman" w:hAnsi="Arial" w:cs="Arial"/>
          <w:kern w:val="0"/>
          <w:lang w:eastAsia="en-GB"/>
          <w14:ligatures w14:val="none"/>
        </w:rPr>
        <w:br/>
        <w:t xml:space="preserve"> </w:t>
      </w:r>
      <w:hyperlink r:id="rId113" w:tgtFrame="_new" w:history="1">
        <w:r w:rsidRPr="00715C4F">
          <w:rPr>
            <w:rFonts w:ascii="Arial" w:eastAsia="Times New Roman" w:hAnsi="Arial" w:cs="Arial"/>
            <w:color w:val="0000FF"/>
            <w:kern w:val="0"/>
            <w:u w:val="single"/>
            <w:lang w:eastAsia="en-GB"/>
            <w14:ligatures w14:val="none"/>
          </w:rPr>
          <w:t>https://doi.org/10.1136/bmj.l4898</w:t>
        </w:r>
      </w:hyperlink>
      <w:r w:rsidRPr="00715C4F">
        <w:rPr>
          <w:rFonts w:ascii="Arial" w:eastAsia="Times New Roman" w:hAnsi="Arial" w:cs="Arial"/>
          <w:kern w:val="0"/>
          <w:lang w:eastAsia="en-GB"/>
          <w14:ligatures w14:val="none"/>
        </w:rPr>
        <w:t xml:space="preserve"> [Accessed 4 September 2026]. </w:t>
      </w:r>
    </w:p>
    <w:p w14:paraId="39221F87"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Sutherland, J.P. et al. (2021) ‘Differences and determinants of vitamin D deficiency among UK Biobank participants’, </w:t>
      </w:r>
      <w:r w:rsidRPr="00715C4F">
        <w:rPr>
          <w:rFonts w:ascii="Arial" w:eastAsia="Times New Roman" w:hAnsi="Arial" w:cs="Arial"/>
          <w:i/>
          <w:iCs/>
          <w:kern w:val="0"/>
          <w:lang w:eastAsia="en-GB"/>
          <w14:ligatures w14:val="none"/>
        </w:rPr>
        <w:t>Clinical Nutrition</w:t>
      </w:r>
      <w:r w:rsidRPr="00715C4F">
        <w:rPr>
          <w:rFonts w:ascii="Arial" w:eastAsia="Times New Roman" w:hAnsi="Arial" w:cs="Arial"/>
          <w:kern w:val="0"/>
          <w:lang w:eastAsia="en-GB"/>
          <w14:ligatures w14:val="none"/>
        </w:rPr>
        <w:t>, 40(5), pp. 3436–3447.</w:t>
      </w:r>
      <w:r w:rsidRPr="00715C4F">
        <w:rPr>
          <w:rFonts w:ascii="Arial" w:eastAsia="Times New Roman" w:hAnsi="Arial" w:cs="Arial"/>
          <w:kern w:val="0"/>
          <w:lang w:eastAsia="en-GB"/>
          <w14:ligatures w14:val="none"/>
        </w:rPr>
        <w:br/>
        <w:t xml:space="preserve"> </w:t>
      </w:r>
      <w:hyperlink r:id="rId114" w:history="1">
        <w:r w:rsidRPr="00715C4F">
          <w:rPr>
            <w:rStyle w:val="Hyperlink"/>
            <w:rFonts w:ascii="Arial" w:eastAsia="Times New Roman" w:hAnsi="Arial" w:cs="Arial"/>
            <w:kern w:val="0"/>
            <w:lang w:eastAsia="en-GB"/>
            <w14:ligatures w14:val="none"/>
          </w:rPr>
          <w:t>https://doi.org/10.1016/j.clnu.2020.11.019</w:t>
        </w:r>
      </w:hyperlink>
      <w:r w:rsidRPr="00715C4F">
        <w:rPr>
          <w:rFonts w:ascii="Arial" w:eastAsia="Times New Roman" w:hAnsi="Arial" w:cs="Arial"/>
          <w:kern w:val="0"/>
          <w:lang w:eastAsia="en-GB"/>
          <w14:ligatures w14:val="none"/>
        </w:rPr>
        <w:t xml:space="preserve"> [Accessed 5 September 2026]. </w:t>
      </w:r>
    </w:p>
    <w:p w14:paraId="6D2040F4"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Tanna</w:t>
      </w:r>
      <w:proofErr w:type="spellEnd"/>
      <w:r w:rsidRPr="00715C4F">
        <w:rPr>
          <w:rFonts w:ascii="Arial" w:eastAsia="Times New Roman" w:hAnsi="Arial" w:cs="Arial"/>
          <w:kern w:val="0"/>
          <w:lang w:eastAsia="en-GB"/>
          <w14:ligatures w14:val="none"/>
        </w:rPr>
        <w:t xml:space="preserve">, N.K. et al. (2021) ‘Interventions to improve vitamin D status in at-risk ethnic groups’, </w:t>
      </w:r>
      <w:r w:rsidRPr="00715C4F">
        <w:rPr>
          <w:rFonts w:ascii="Arial" w:eastAsia="Times New Roman" w:hAnsi="Arial" w:cs="Arial"/>
          <w:i/>
          <w:iCs/>
          <w:kern w:val="0"/>
          <w:lang w:eastAsia="en-GB"/>
          <w14:ligatures w14:val="none"/>
        </w:rPr>
        <w:t>Public Health Nutrition</w:t>
      </w:r>
      <w:r w:rsidRPr="00715C4F">
        <w:rPr>
          <w:rFonts w:ascii="Arial" w:eastAsia="Times New Roman" w:hAnsi="Arial" w:cs="Arial"/>
          <w:kern w:val="0"/>
          <w:lang w:eastAsia="en-GB"/>
          <w14:ligatures w14:val="none"/>
        </w:rPr>
        <w:t>, 24(11), pp. 3498–3519.</w:t>
      </w:r>
      <w:r w:rsidRPr="00715C4F">
        <w:rPr>
          <w:rFonts w:ascii="Arial" w:eastAsia="Times New Roman" w:hAnsi="Arial" w:cs="Arial"/>
          <w:kern w:val="0"/>
          <w:lang w:eastAsia="en-GB"/>
          <w14:ligatures w14:val="none"/>
        </w:rPr>
        <w:br/>
        <w:t xml:space="preserve"> </w:t>
      </w:r>
      <w:hyperlink r:id="rId115" w:history="1">
        <w:r w:rsidRPr="00715C4F">
          <w:rPr>
            <w:rStyle w:val="Hyperlink"/>
            <w:rFonts w:ascii="Arial" w:eastAsia="Times New Roman" w:hAnsi="Arial" w:cs="Arial"/>
            <w:kern w:val="0"/>
            <w:lang w:eastAsia="en-GB"/>
            <w14:ligatures w14:val="none"/>
          </w:rPr>
          <w:t>https://doi.org/10.1017/S1368980021000756</w:t>
        </w:r>
      </w:hyperlink>
      <w:r w:rsidRPr="00715C4F">
        <w:rPr>
          <w:rFonts w:ascii="Arial" w:eastAsia="Times New Roman" w:hAnsi="Arial" w:cs="Arial"/>
          <w:kern w:val="0"/>
          <w:lang w:eastAsia="en-GB"/>
          <w14:ligatures w14:val="none"/>
        </w:rPr>
        <w:t xml:space="preserve"> [Accessed 5 September 2026]. </w:t>
      </w:r>
    </w:p>
    <w:p w14:paraId="0968B25A"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lastRenderedPageBreak/>
        <w:t>Tanna</w:t>
      </w:r>
      <w:proofErr w:type="spellEnd"/>
      <w:r w:rsidRPr="00715C4F">
        <w:rPr>
          <w:rFonts w:ascii="Arial" w:eastAsia="Times New Roman" w:hAnsi="Arial" w:cs="Arial"/>
          <w:kern w:val="0"/>
          <w:lang w:eastAsia="en-GB"/>
          <w14:ligatures w14:val="none"/>
        </w:rPr>
        <w:t xml:space="preserve">, N.K. et al. (2023) ‘Knowledge, attitudes, and practices associated with vitamin D supplementation’, </w:t>
      </w:r>
      <w:r w:rsidRPr="00715C4F">
        <w:rPr>
          <w:rFonts w:ascii="Arial" w:eastAsia="Times New Roman" w:hAnsi="Arial" w:cs="Arial"/>
          <w:i/>
          <w:iCs/>
          <w:kern w:val="0"/>
          <w:lang w:eastAsia="en-GB"/>
          <w14:ligatures w14:val="none"/>
        </w:rPr>
        <w:t>PLOS ONE</w:t>
      </w:r>
      <w:r w:rsidRPr="00715C4F">
        <w:rPr>
          <w:rFonts w:ascii="Arial" w:eastAsia="Times New Roman" w:hAnsi="Arial" w:cs="Arial"/>
          <w:kern w:val="0"/>
          <w:lang w:eastAsia="en-GB"/>
          <w14:ligatures w14:val="none"/>
        </w:rPr>
        <w:t>, 18(8), e0281172.</w:t>
      </w:r>
      <w:r w:rsidRPr="00715C4F">
        <w:rPr>
          <w:rFonts w:ascii="Arial" w:eastAsia="Times New Roman" w:hAnsi="Arial" w:cs="Arial"/>
          <w:kern w:val="0"/>
          <w:lang w:eastAsia="en-GB"/>
          <w14:ligatures w14:val="none"/>
        </w:rPr>
        <w:br/>
        <w:t xml:space="preserve"> </w:t>
      </w:r>
      <w:hyperlink r:id="rId116" w:history="1">
        <w:r w:rsidRPr="00715C4F">
          <w:rPr>
            <w:rStyle w:val="Hyperlink"/>
            <w:rFonts w:ascii="Arial" w:eastAsia="Times New Roman" w:hAnsi="Arial" w:cs="Arial"/>
            <w:kern w:val="0"/>
            <w:lang w:eastAsia="en-GB"/>
            <w14:ligatures w14:val="none"/>
          </w:rPr>
          <w:t>https://doi.org/10.1371/journal.pone.0281172</w:t>
        </w:r>
      </w:hyperlink>
      <w:r w:rsidRPr="00715C4F">
        <w:rPr>
          <w:rFonts w:ascii="Arial" w:eastAsia="Times New Roman" w:hAnsi="Arial" w:cs="Arial"/>
          <w:kern w:val="0"/>
          <w:lang w:eastAsia="en-GB"/>
          <w14:ligatures w14:val="none"/>
        </w:rPr>
        <w:t xml:space="preserve"> [Accessed 6 September 2026]. </w:t>
      </w:r>
    </w:p>
    <w:p w14:paraId="108ED4C8"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U.S. Preventive Services Task Force (2021) ‘Screening for vitamin D deficiency in adults’, </w:t>
      </w:r>
      <w:r w:rsidRPr="00715C4F">
        <w:rPr>
          <w:rFonts w:ascii="Arial" w:eastAsia="Times New Roman" w:hAnsi="Arial" w:cs="Arial"/>
          <w:i/>
          <w:iCs/>
          <w:kern w:val="0"/>
          <w:lang w:eastAsia="en-GB"/>
          <w14:ligatures w14:val="none"/>
        </w:rPr>
        <w:t>JAMA</w:t>
      </w:r>
      <w:r w:rsidRPr="00715C4F">
        <w:rPr>
          <w:rFonts w:ascii="Arial" w:eastAsia="Times New Roman" w:hAnsi="Arial" w:cs="Arial"/>
          <w:kern w:val="0"/>
          <w:lang w:eastAsia="en-GB"/>
          <w14:ligatures w14:val="none"/>
        </w:rPr>
        <w:t>, 325(14), pp. 1436–1442.</w:t>
      </w:r>
      <w:r w:rsidRPr="00715C4F">
        <w:rPr>
          <w:rFonts w:ascii="Arial" w:eastAsia="Times New Roman" w:hAnsi="Arial" w:cs="Arial"/>
          <w:kern w:val="0"/>
          <w:lang w:eastAsia="en-GB"/>
          <w14:ligatures w14:val="none"/>
        </w:rPr>
        <w:br/>
        <w:t xml:space="preserve"> </w:t>
      </w:r>
      <w:hyperlink r:id="rId117" w:tgtFrame="_new" w:history="1">
        <w:r w:rsidRPr="00715C4F">
          <w:rPr>
            <w:rFonts w:ascii="Arial" w:eastAsia="Times New Roman" w:hAnsi="Arial" w:cs="Arial"/>
            <w:color w:val="0000FF"/>
            <w:kern w:val="0"/>
            <w:u w:val="single"/>
            <w:lang w:eastAsia="en-GB"/>
            <w14:ligatures w14:val="none"/>
          </w:rPr>
          <w:t>https://doi.org/10.1001/jama.2021.3069</w:t>
        </w:r>
      </w:hyperlink>
      <w:r w:rsidRPr="00715C4F">
        <w:rPr>
          <w:rFonts w:ascii="Arial" w:eastAsia="Times New Roman" w:hAnsi="Arial" w:cs="Arial"/>
          <w:kern w:val="0"/>
          <w:lang w:eastAsia="en-GB"/>
          <w14:ligatures w14:val="none"/>
        </w:rPr>
        <w:t xml:space="preserve"> [Accessed 7 September 2026]. </w:t>
      </w:r>
    </w:p>
    <w:p w14:paraId="5285A4F8"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Uday</w:t>
      </w:r>
      <w:proofErr w:type="spellEnd"/>
      <w:r w:rsidRPr="00715C4F">
        <w:rPr>
          <w:rFonts w:ascii="Arial" w:eastAsia="Times New Roman" w:hAnsi="Arial" w:cs="Arial"/>
          <w:kern w:val="0"/>
          <w:lang w:eastAsia="en-GB"/>
          <w14:ligatures w14:val="none"/>
        </w:rPr>
        <w:t xml:space="preserve">, S. et al. (2021) ‘Failure of national antenatal vitamin D supplementation programme’, </w:t>
      </w:r>
      <w:r w:rsidRPr="00715C4F">
        <w:rPr>
          <w:rFonts w:ascii="Arial" w:eastAsia="Times New Roman" w:hAnsi="Arial" w:cs="Arial"/>
          <w:i/>
          <w:iCs/>
          <w:kern w:val="0"/>
          <w:lang w:eastAsia="en-GB"/>
          <w14:ligatures w14:val="none"/>
        </w:rPr>
        <w:t>Clinical Nutrition</w:t>
      </w:r>
      <w:r w:rsidRPr="00715C4F">
        <w:rPr>
          <w:rFonts w:ascii="Arial" w:eastAsia="Times New Roman" w:hAnsi="Arial" w:cs="Arial"/>
          <w:kern w:val="0"/>
          <w:lang w:eastAsia="en-GB"/>
          <w14:ligatures w14:val="none"/>
        </w:rPr>
        <w:t>, 40(5), pp. 3542–3551.</w:t>
      </w:r>
      <w:r w:rsidRPr="00715C4F">
        <w:rPr>
          <w:rFonts w:ascii="Arial" w:eastAsia="Times New Roman" w:hAnsi="Arial" w:cs="Arial"/>
          <w:kern w:val="0"/>
          <w:lang w:eastAsia="en-GB"/>
          <w14:ligatures w14:val="none"/>
        </w:rPr>
        <w:br/>
        <w:t xml:space="preserve"> </w:t>
      </w:r>
      <w:hyperlink r:id="rId118" w:history="1">
        <w:r w:rsidRPr="00715C4F">
          <w:rPr>
            <w:rStyle w:val="Hyperlink"/>
            <w:rFonts w:ascii="Arial" w:eastAsia="Times New Roman" w:hAnsi="Arial" w:cs="Arial"/>
            <w:kern w:val="0"/>
            <w:lang w:eastAsia="en-GB"/>
            <w14:ligatures w14:val="none"/>
          </w:rPr>
          <w:t>https://doi.org/10.1016/j.clnu.2020.12.008</w:t>
        </w:r>
      </w:hyperlink>
      <w:r w:rsidRPr="00715C4F">
        <w:rPr>
          <w:rFonts w:ascii="Arial" w:eastAsia="Times New Roman" w:hAnsi="Arial" w:cs="Arial"/>
          <w:kern w:val="0"/>
          <w:lang w:eastAsia="en-GB"/>
          <w14:ligatures w14:val="none"/>
        </w:rPr>
        <w:t xml:space="preserve"> [Accessed 6 September 2026]. </w:t>
      </w:r>
    </w:p>
    <w:p w14:paraId="6C168D4A"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Vaughan, M. et al. (2022) ‘Changes in 25-hydroxyvitamin D levels post-vitamin D supplementation’, </w:t>
      </w:r>
      <w:r w:rsidRPr="00715C4F">
        <w:rPr>
          <w:rFonts w:ascii="Arial" w:eastAsia="Times New Roman" w:hAnsi="Arial" w:cs="Arial"/>
          <w:i/>
          <w:iCs/>
          <w:kern w:val="0"/>
          <w:lang w:eastAsia="en-GB"/>
          <w14:ligatures w14:val="none"/>
        </w:rPr>
        <w:t>Journal of Human Nutrition and Dietetics</w:t>
      </w:r>
      <w:r w:rsidRPr="00715C4F">
        <w:rPr>
          <w:rFonts w:ascii="Arial" w:eastAsia="Times New Roman" w:hAnsi="Arial" w:cs="Arial"/>
          <w:kern w:val="0"/>
          <w:lang w:eastAsia="en-GB"/>
          <w14:ligatures w14:val="none"/>
        </w:rPr>
        <w:t>, 35(5), pp. 995–1005.</w:t>
      </w:r>
      <w:r w:rsidRPr="00715C4F">
        <w:rPr>
          <w:rFonts w:ascii="Arial" w:eastAsia="Times New Roman" w:hAnsi="Arial" w:cs="Arial"/>
          <w:kern w:val="0"/>
          <w:lang w:eastAsia="en-GB"/>
          <w14:ligatures w14:val="none"/>
        </w:rPr>
        <w:br/>
        <w:t xml:space="preserve"> </w:t>
      </w:r>
      <w:hyperlink r:id="rId119" w:history="1">
        <w:r w:rsidRPr="00715C4F">
          <w:rPr>
            <w:rStyle w:val="Hyperlink"/>
            <w:rFonts w:ascii="Arial" w:eastAsia="Times New Roman" w:hAnsi="Arial" w:cs="Arial"/>
            <w:kern w:val="0"/>
            <w:lang w:eastAsia="en-GB"/>
            <w14:ligatures w14:val="none"/>
          </w:rPr>
          <w:t>https://doi.org/10.1111/jhn.12949</w:t>
        </w:r>
      </w:hyperlink>
      <w:r w:rsidRPr="00715C4F">
        <w:rPr>
          <w:rFonts w:ascii="Arial" w:eastAsia="Times New Roman" w:hAnsi="Arial" w:cs="Arial"/>
          <w:kern w:val="0"/>
          <w:lang w:eastAsia="en-GB"/>
          <w14:ligatures w14:val="none"/>
        </w:rPr>
        <w:t xml:space="preserve"> [Accessed 8 September 2026]. </w:t>
      </w:r>
    </w:p>
    <w:p w14:paraId="38374FDC"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Vearing</w:t>
      </w:r>
      <w:proofErr w:type="spellEnd"/>
      <w:r w:rsidRPr="00715C4F">
        <w:rPr>
          <w:rFonts w:ascii="Arial" w:eastAsia="Times New Roman" w:hAnsi="Arial" w:cs="Arial"/>
          <w:kern w:val="0"/>
          <w:lang w:eastAsia="en-GB"/>
          <w14:ligatures w14:val="none"/>
        </w:rPr>
        <w:t xml:space="preserve">, R.M. et al. (2021) ‘Vitamin D status of the British African-Caribbean residents’, </w:t>
      </w:r>
      <w:r w:rsidRPr="00715C4F">
        <w:rPr>
          <w:rFonts w:ascii="Arial" w:eastAsia="Times New Roman" w:hAnsi="Arial" w:cs="Arial"/>
          <w:i/>
          <w:iCs/>
          <w:kern w:val="0"/>
          <w:lang w:eastAsia="en-GB"/>
          <w14:ligatures w14:val="none"/>
        </w:rPr>
        <w:t>Nutrients</w:t>
      </w:r>
      <w:r w:rsidRPr="00715C4F">
        <w:rPr>
          <w:rFonts w:ascii="Arial" w:eastAsia="Times New Roman" w:hAnsi="Arial" w:cs="Arial"/>
          <w:kern w:val="0"/>
          <w:lang w:eastAsia="en-GB"/>
          <w14:ligatures w14:val="none"/>
        </w:rPr>
        <w:t>, 13(11), 4104.</w:t>
      </w:r>
      <w:r w:rsidRPr="00715C4F">
        <w:rPr>
          <w:rFonts w:ascii="Arial" w:eastAsia="Times New Roman" w:hAnsi="Arial" w:cs="Arial"/>
          <w:kern w:val="0"/>
          <w:lang w:eastAsia="en-GB"/>
          <w14:ligatures w14:val="none"/>
        </w:rPr>
        <w:br/>
        <w:t xml:space="preserve"> </w:t>
      </w:r>
      <w:hyperlink r:id="rId120" w:history="1">
        <w:r w:rsidRPr="00715C4F">
          <w:rPr>
            <w:rStyle w:val="Hyperlink"/>
            <w:rFonts w:ascii="Arial" w:eastAsia="Times New Roman" w:hAnsi="Arial" w:cs="Arial"/>
            <w:kern w:val="0"/>
            <w:lang w:eastAsia="en-GB"/>
            <w14:ligatures w14:val="none"/>
          </w:rPr>
          <w:t>https://doi.org/10.3390/nu13114104</w:t>
        </w:r>
      </w:hyperlink>
      <w:r w:rsidRPr="00715C4F">
        <w:rPr>
          <w:rFonts w:ascii="Arial" w:eastAsia="Times New Roman" w:hAnsi="Arial" w:cs="Arial"/>
          <w:kern w:val="0"/>
          <w:lang w:eastAsia="en-GB"/>
          <w14:ligatures w14:val="none"/>
        </w:rPr>
        <w:t xml:space="preserve"> [Accessed 7 September 2026]. </w:t>
      </w:r>
    </w:p>
    <w:p w14:paraId="3CFF8E0D"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Vieth</w:t>
      </w:r>
      <w:proofErr w:type="spellEnd"/>
      <w:r w:rsidRPr="00715C4F">
        <w:rPr>
          <w:rFonts w:ascii="Arial" w:eastAsia="Times New Roman" w:hAnsi="Arial" w:cs="Arial"/>
          <w:kern w:val="0"/>
          <w:lang w:eastAsia="en-GB"/>
          <w14:ligatures w14:val="none"/>
        </w:rPr>
        <w:t>, R. (2006) ‘What is the optimal vitamin D status for health?</w:t>
      </w:r>
      <w:proofErr w:type="gramStart"/>
      <w:r w:rsidRPr="00715C4F">
        <w:rPr>
          <w:rFonts w:ascii="Arial" w:eastAsia="Times New Roman" w:hAnsi="Arial" w:cs="Arial"/>
          <w:kern w:val="0"/>
          <w:lang w:eastAsia="en-GB"/>
          <w14:ligatures w14:val="none"/>
        </w:rPr>
        <w:t>’,</w:t>
      </w:r>
      <w:proofErr w:type="gramEnd"/>
      <w:r w:rsidRPr="00715C4F">
        <w:rPr>
          <w:rFonts w:ascii="Arial" w:eastAsia="Times New Roman" w:hAnsi="Arial" w:cs="Arial"/>
          <w:kern w:val="0"/>
          <w:lang w:eastAsia="en-GB"/>
          <w14:ligatures w14:val="none"/>
        </w:rPr>
        <w:t xml:space="preserve"> </w:t>
      </w:r>
      <w:r w:rsidRPr="00715C4F">
        <w:rPr>
          <w:rFonts w:ascii="Arial" w:eastAsia="Times New Roman" w:hAnsi="Arial" w:cs="Arial"/>
          <w:i/>
          <w:iCs/>
          <w:kern w:val="0"/>
          <w:lang w:eastAsia="en-GB"/>
          <w14:ligatures w14:val="none"/>
        </w:rPr>
        <w:t>Progress in Biophysics and Molecular Biology</w:t>
      </w:r>
      <w:r w:rsidRPr="00715C4F">
        <w:rPr>
          <w:rFonts w:ascii="Arial" w:eastAsia="Times New Roman" w:hAnsi="Arial" w:cs="Arial"/>
          <w:kern w:val="0"/>
          <w:lang w:eastAsia="en-GB"/>
          <w14:ligatures w14:val="none"/>
        </w:rPr>
        <w:t>, 92(1), pp. 26–32.</w:t>
      </w:r>
      <w:r w:rsidRPr="00715C4F">
        <w:rPr>
          <w:rFonts w:ascii="Arial" w:eastAsia="Times New Roman" w:hAnsi="Arial" w:cs="Arial"/>
          <w:kern w:val="0"/>
          <w:lang w:eastAsia="en-GB"/>
          <w14:ligatures w14:val="none"/>
        </w:rPr>
        <w:br/>
        <w:t xml:space="preserve"> </w:t>
      </w:r>
      <w:hyperlink r:id="rId121" w:history="1">
        <w:r w:rsidRPr="00715C4F">
          <w:rPr>
            <w:rStyle w:val="Hyperlink"/>
            <w:rFonts w:ascii="Arial" w:eastAsia="Times New Roman" w:hAnsi="Arial" w:cs="Arial"/>
            <w:kern w:val="0"/>
            <w:lang w:eastAsia="en-GB"/>
            <w14:ligatures w14:val="none"/>
          </w:rPr>
          <w:t>https://doi.org/10.1016/j.pbiomolbio.2006.02.003</w:t>
        </w:r>
      </w:hyperlink>
      <w:r w:rsidRPr="00715C4F">
        <w:rPr>
          <w:rFonts w:ascii="Arial" w:eastAsia="Times New Roman" w:hAnsi="Arial" w:cs="Arial"/>
          <w:kern w:val="0"/>
          <w:lang w:eastAsia="en-GB"/>
          <w14:ligatures w14:val="none"/>
        </w:rPr>
        <w:t xml:space="preserve"> [Accessed 8 September 2026]. </w:t>
      </w:r>
    </w:p>
    <w:p w14:paraId="32F96E7A"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Wacker, M. and </w:t>
      </w:r>
      <w:proofErr w:type="spellStart"/>
      <w:r w:rsidRPr="00715C4F">
        <w:rPr>
          <w:rFonts w:ascii="Arial" w:eastAsia="Times New Roman" w:hAnsi="Arial" w:cs="Arial"/>
          <w:kern w:val="0"/>
          <w:lang w:eastAsia="en-GB"/>
          <w14:ligatures w14:val="none"/>
        </w:rPr>
        <w:t>Holick</w:t>
      </w:r>
      <w:proofErr w:type="spellEnd"/>
      <w:r w:rsidRPr="00715C4F">
        <w:rPr>
          <w:rFonts w:ascii="Arial" w:eastAsia="Times New Roman" w:hAnsi="Arial" w:cs="Arial"/>
          <w:kern w:val="0"/>
          <w:lang w:eastAsia="en-GB"/>
          <w14:ligatures w14:val="none"/>
        </w:rPr>
        <w:t xml:space="preserve">, M.F. (2013) ‘Sunlight and vitamin D: a global perspective for health’, </w:t>
      </w:r>
      <w:proofErr w:type="spellStart"/>
      <w:r w:rsidRPr="00715C4F">
        <w:rPr>
          <w:rFonts w:ascii="Arial" w:eastAsia="Times New Roman" w:hAnsi="Arial" w:cs="Arial"/>
          <w:i/>
          <w:iCs/>
          <w:kern w:val="0"/>
          <w:lang w:eastAsia="en-GB"/>
          <w14:ligatures w14:val="none"/>
        </w:rPr>
        <w:t>Dermato</w:t>
      </w:r>
      <w:proofErr w:type="spellEnd"/>
      <w:r w:rsidRPr="00715C4F">
        <w:rPr>
          <w:rFonts w:ascii="Arial" w:eastAsia="Times New Roman" w:hAnsi="Arial" w:cs="Arial"/>
          <w:i/>
          <w:iCs/>
          <w:kern w:val="0"/>
          <w:lang w:eastAsia="en-GB"/>
          <w14:ligatures w14:val="none"/>
        </w:rPr>
        <w:t>-Endocrinology</w:t>
      </w:r>
      <w:r w:rsidRPr="00715C4F">
        <w:rPr>
          <w:rFonts w:ascii="Arial" w:eastAsia="Times New Roman" w:hAnsi="Arial" w:cs="Arial"/>
          <w:kern w:val="0"/>
          <w:lang w:eastAsia="en-GB"/>
          <w14:ligatures w14:val="none"/>
        </w:rPr>
        <w:t>, 5(1), pp. 51–108.</w:t>
      </w:r>
      <w:r w:rsidRPr="00715C4F">
        <w:rPr>
          <w:rFonts w:ascii="Arial" w:eastAsia="Times New Roman" w:hAnsi="Arial" w:cs="Arial"/>
          <w:kern w:val="0"/>
          <w:lang w:eastAsia="en-GB"/>
          <w14:ligatures w14:val="none"/>
        </w:rPr>
        <w:br/>
        <w:t xml:space="preserve"> </w:t>
      </w:r>
      <w:hyperlink r:id="rId122" w:tgtFrame="_new" w:history="1">
        <w:r w:rsidRPr="00715C4F">
          <w:rPr>
            <w:rFonts w:ascii="Arial" w:eastAsia="Times New Roman" w:hAnsi="Arial" w:cs="Arial"/>
            <w:color w:val="0000FF"/>
            <w:kern w:val="0"/>
            <w:u w:val="single"/>
            <w:lang w:eastAsia="en-GB"/>
            <w14:ligatures w14:val="none"/>
          </w:rPr>
          <w:t>https://doi.org/10.4161/derm.24494</w:t>
        </w:r>
      </w:hyperlink>
      <w:r w:rsidRPr="00715C4F">
        <w:rPr>
          <w:rFonts w:ascii="Arial" w:eastAsia="Times New Roman" w:hAnsi="Arial" w:cs="Arial"/>
          <w:kern w:val="0"/>
          <w:lang w:eastAsia="en-GB"/>
          <w14:ligatures w14:val="none"/>
        </w:rPr>
        <w:t xml:space="preserve"> [Accessed 9 September 2026]. </w:t>
      </w:r>
    </w:p>
    <w:p w14:paraId="26100B6C"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Wang, T.J. et al. (2010) ‘Common genetic determinants of vitamin D insufficiency: a genome-wide association study’, </w:t>
      </w:r>
      <w:r w:rsidRPr="00715C4F">
        <w:rPr>
          <w:rFonts w:ascii="Arial" w:eastAsia="Times New Roman" w:hAnsi="Arial" w:cs="Arial"/>
          <w:i/>
          <w:iCs/>
          <w:kern w:val="0"/>
          <w:lang w:eastAsia="en-GB"/>
          <w14:ligatures w14:val="none"/>
        </w:rPr>
        <w:t>The Lancet</w:t>
      </w:r>
      <w:r w:rsidRPr="00715C4F">
        <w:rPr>
          <w:rFonts w:ascii="Arial" w:eastAsia="Times New Roman" w:hAnsi="Arial" w:cs="Arial"/>
          <w:kern w:val="0"/>
          <w:lang w:eastAsia="en-GB"/>
          <w14:ligatures w14:val="none"/>
        </w:rPr>
        <w:t>, 376(9736), pp. 180–188.</w:t>
      </w:r>
      <w:r w:rsidRPr="00715C4F">
        <w:rPr>
          <w:rFonts w:ascii="Arial" w:eastAsia="Times New Roman" w:hAnsi="Arial" w:cs="Arial"/>
          <w:kern w:val="0"/>
          <w:lang w:eastAsia="en-GB"/>
          <w14:ligatures w14:val="none"/>
        </w:rPr>
        <w:br/>
        <w:t xml:space="preserve"> </w:t>
      </w:r>
      <w:hyperlink r:id="rId123" w:history="1">
        <w:r w:rsidRPr="00715C4F">
          <w:rPr>
            <w:rStyle w:val="Hyperlink"/>
            <w:rFonts w:ascii="Arial" w:eastAsia="Times New Roman" w:hAnsi="Arial" w:cs="Arial"/>
            <w:kern w:val="0"/>
            <w:lang w:eastAsia="en-GB"/>
            <w14:ligatures w14:val="none"/>
          </w:rPr>
          <w:t>https://doi.org/10.1016/S0140-6736(10)60588-0</w:t>
        </w:r>
      </w:hyperlink>
      <w:r w:rsidRPr="00715C4F">
        <w:rPr>
          <w:rFonts w:ascii="Arial" w:eastAsia="Times New Roman" w:hAnsi="Arial" w:cs="Arial"/>
          <w:kern w:val="0"/>
          <w:lang w:eastAsia="en-GB"/>
          <w14:ligatures w14:val="none"/>
        </w:rPr>
        <w:t xml:space="preserve"> [Accessed 13 September 2026]. </w:t>
      </w:r>
    </w:p>
    <w:p w14:paraId="5093048D"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Webb, A.R. and </w:t>
      </w:r>
      <w:proofErr w:type="spellStart"/>
      <w:r w:rsidRPr="00715C4F">
        <w:rPr>
          <w:rFonts w:ascii="Arial" w:eastAsia="Times New Roman" w:hAnsi="Arial" w:cs="Arial"/>
          <w:kern w:val="0"/>
          <w:lang w:eastAsia="en-GB"/>
          <w14:ligatures w14:val="none"/>
        </w:rPr>
        <w:t>Engelsen</w:t>
      </w:r>
      <w:proofErr w:type="spellEnd"/>
      <w:r w:rsidRPr="00715C4F">
        <w:rPr>
          <w:rFonts w:ascii="Arial" w:eastAsia="Times New Roman" w:hAnsi="Arial" w:cs="Arial"/>
          <w:kern w:val="0"/>
          <w:lang w:eastAsia="en-GB"/>
          <w14:ligatures w14:val="none"/>
        </w:rPr>
        <w:t xml:space="preserve">, O. (2006) ‘Calculated ultraviolet exposure times for vitamin D synthesis’, </w:t>
      </w:r>
      <w:r w:rsidRPr="00715C4F">
        <w:rPr>
          <w:rFonts w:ascii="Arial" w:eastAsia="Times New Roman" w:hAnsi="Arial" w:cs="Arial"/>
          <w:i/>
          <w:iCs/>
          <w:kern w:val="0"/>
          <w:lang w:eastAsia="en-GB"/>
          <w14:ligatures w14:val="none"/>
        </w:rPr>
        <w:t>Photochemistry and Photobiology</w:t>
      </w:r>
      <w:r w:rsidRPr="00715C4F">
        <w:rPr>
          <w:rFonts w:ascii="Arial" w:eastAsia="Times New Roman" w:hAnsi="Arial" w:cs="Arial"/>
          <w:kern w:val="0"/>
          <w:lang w:eastAsia="en-GB"/>
          <w14:ligatures w14:val="none"/>
        </w:rPr>
        <w:t>, 82(6), pp. 1697–1703.</w:t>
      </w:r>
      <w:r w:rsidRPr="00715C4F">
        <w:rPr>
          <w:rFonts w:ascii="Arial" w:eastAsia="Times New Roman" w:hAnsi="Arial" w:cs="Arial"/>
          <w:kern w:val="0"/>
          <w:lang w:eastAsia="en-GB"/>
          <w14:ligatures w14:val="none"/>
        </w:rPr>
        <w:br/>
        <w:t xml:space="preserve"> </w:t>
      </w:r>
      <w:hyperlink r:id="rId124" w:history="1">
        <w:r w:rsidRPr="00715C4F">
          <w:rPr>
            <w:rStyle w:val="Hyperlink"/>
            <w:rFonts w:ascii="Arial" w:eastAsia="Times New Roman" w:hAnsi="Arial" w:cs="Arial"/>
            <w:kern w:val="0"/>
            <w:lang w:eastAsia="en-GB"/>
            <w14:ligatures w14:val="none"/>
          </w:rPr>
          <w:t>https://doi.org/10.1562/2006-09-13-RA-683</w:t>
        </w:r>
      </w:hyperlink>
      <w:r w:rsidRPr="00715C4F">
        <w:rPr>
          <w:rFonts w:ascii="Arial" w:eastAsia="Times New Roman" w:hAnsi="Arial" w:cs="Arial"/>
          <w:kern w:val="0"/>
          <w:lang w:eastAsia="en-GB"/>
          <w14:ligatures w14:val="none"/>
        </w:rPr>
        <w:t xml:space="preserve"> [Accessed 10 September 2026]. </w:t>
      </w:r>
    </w:p>
    <w:p w14:paraId="332278A7"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Webb, A.R., Kline, L. and </w:t>
      </w:r>
      <w:proofErr w:type="spellStart"/>
      <w:r w:rsidRPr="00715C4F">
        <w:rPr>
          <w:rFonts w:ascii="Arial" w:eastAsia="Times New Roman" w:hAnsi="Arial" w:cs="Arial"/>
          <w:kern w:val="0"/>
          <w:lang w:eastAsia="en-GB"/>
          <w14:ligatures w14:val="none"/>
        </w:rPr>
        <w:t>Holick</w:t>
      </w:r>
      <w:proofErr w:type="spellEnd"/>
      <w:r w:rsidRPr="00715C4F">
        <w:rPr>
          <w:rFonts w:ascii="Arial" w:eastAsia="Times New Roman" w:hAnsi="Arial" w:cs="Arial"/>
          <w:kern w:val="0"/>
          <w:lang w:eastAsia="en-GB"/>
          <w14:ligatures w14:val="none"/>
        </w:rPr>
        <w:t xml:space="preserve">, M.F. (1988) ‘Influence of season and latitude on the cutaneous synthesis of vitamin D3’, </w:t>
      </w:r>
      <w:r w:rsidRPr="00715C4F">
        <w:rPr>
          <w:rFonts w:ascii="Arial" w:eastAsia="Times New Roman" w:hAnsi="Arial" w:cs="Arial"/>
          <w:i/>
          <w:iCs/>
          <w:kern w:val="0"/>
          <w:lang w:eastAsia="en-GB"/>
          <w14:ligatures w14:val="none"/>
        </w:rPr>
        <w:t>The Journal of Clinical Endocrinology &amp; Metabolism</w:t>
      </w:r>
      <w:r w:rsidRPr="00715C4F">
        <w:rPr>
          <w:rFonts w:ascii="Arial" w:eastAsia="Times New Roman" w:hAnsi="Arial" w:cs="Arial"/>
          <w:kern w:val="0"/>
          <w:lang w:eastAsia="en-GB"/>
          <w14:ligatures w14:val="none"/>
        </w:rPr>
        <w:t>, 67(2), pp. 373–378.</w:t>
      </w:r>
      <w:r w:rsidRPr="00715C4F">
        <w:rPr>
          <w:rFonts w:ascii="Arial" w:eastAsia="Times New Roman" w:hAnsi="Arial" w:cs="Arial"/>
          <w:kern w:val="0"/>
          <w:lang w:eastAsia="en-GB"/>
          <w14:ligatures w14:val="none"/>
        </w:rPr>
        <w:br/>
        <w:t xml:space="preserve"> </w:t>
      </w:r>
      <w:hyperlink r:id="rId125" w:history="1">
        <w:r w:rsidRPr="00715C4F">
          <w:rPr>
            <w:rStyle w:val="Hyperlink"/>
            <w:rFonts w:ascii="Arial" w:eastAsia="Times New Roman" w:hAnsi="Arial" w:cs="Arial"/>
            <w:kern w:val="0"/>
            <w:lang w:eastAsia="en-GB"/>
            <w14:ligatures w14:val="none"/>
          </w:rPr>
          <w:t>https://doi.org/10.1210/jcem-67-2-373</w:t>
        </w:r>
      </w:hyperlink>
      <w:r w:rsidRPr="00715C4F">
        <w:rPr>
          <w:rFonts w:ascii="Arial" w:eastAsia="Times New Roman" w:hAnsi="Arial" w:cs="Arial"/>
          <w:kern w:val="0"/>
          <w:lang w:eastAsia="en-GB"/>
          <w14:ligatures w14:val="none"/>
        </w:rPr>
        <w:t xml:space="preserve"> [Accessed 9 September 2026]. </w:t>
      </w:r>
    </w:p>
    <w:p w14:paraId="4C7B79EE"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World Health Organization (2020) </w:t>
      </w:r>
      <w:r w:rsidRPr="00715C4F">
        <w:rPr>
          <w:rFonts w:ascii="Arial" w:eastAsia="Times New Roman" w:hAnsi="Arial" w:cs="Arial"/>
          <w:i/>
          <w:iCs/>
          <w:kern w:val="0"/>
          <w:lang w:eastAsia="en-GB"/>
          <w14:ligatures w14:val="none"/>
        </w:rPr>
        <w:t>Health Equity and COVID-19: Policy Brief</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126" w:history="1">
        <w:r w:rsidRPr="00715C4F">
          <w:rPr>
            <w:rStyle w:val="Hyperlink"/>
            <w:rFonts w:ascii="Arial" w:eastAsia="Times New Roman" w:hAnsi="Arial" w:cs="Arial"/>
            <w:kern w:val="0"/>
            <w:lang w:eastAsia="en-GB"/>
            <w14:ligatures w14:val="none"/>
          </w:rPr>
          <w:t>https://www.who.int/publications/i/item/WHO-2019-nCoV-Policy_Brief-Health_Equity-2020.1</w:t>
        </w:r>
      </w:hyperlink>
      <w:r w:rsidRPr="00715C4F">
        <w:rPr>
          <w:rFonts w:ascii="Arial" w:eastAsia="Times New Roman" w:hAnsi="Arial" w:cs="Arial"/>
          <w:kern w:val="0"/>
          <w:lang w:eastAsia="en-GB"/>
          <w14:ligatures w14:val="none"/>
        </w:rPr>
        <w:t xml:space="preserve"> [Accessed 10 September 2026]. </w:t>
      </w:r>
    </w:p>
    <w:p w14:paraId="38018271"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World Health Organization (2022) </w:t>
      </w:r>
      <w:r w:rsidRPr="00715C4F">
        <w:rPr>
          <w:rFonts w:ascii="Arial" w:eastAsia="Times New Roman" w:hAnsi="Arial" w:cs="Arial"/>
          <w:i/>
          <w:iCs/>
          <w:kern w:val="0"/>
          <w:lang w:eastAsia="en-GB"/>
          <w14:ligatures w14:val="none"/>
        </w:rPr>
        <w:t>Ageing and Health</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127" w:tgtFrame="_new" w:history="1">
        <w:r w:rsidRPr="00715C4F">
          <w:rPr>
            <w:rFonts w:ascii="Arial" w:eastAsia="Times New Roman" w:hAnsi="Arial" w:cs="Arial"/>
            <w:color w:val="0000FF"/>
            <w:kern w:val="0"/>
            <w:u w:val="single"/>
            <w:lang w:eastAsia="en-GB"/>
            <w14:ligatures w14:val="none"/>
          </w:rPr>
          <w:t>https://www.who.int/news-room/fact-sheets/detail/ageing-and-health</w:t>
        </w:r>
      </w:hyperlink>
      <w:r w:rsidRPr="00715C4F">
        <w:rPr>
          <w:rFonts w:ascii="Arial" w:eastAsia="Times New Roman" w:hAnsi="Arial" w:cs="Arial"/>
          <w:kern w:val="0"/>
          <w:lang w:eastAsia="en-GB"/>
          <w14:ligatures w14:val="none"/>
        </w:rPr>
        <w:t xml:space="preserve"> [Accessed 11 September 2026]. </w:t>
      </w:r>
    </w:p>
    <w:p w14:paraId="2CF600DE"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lastRenderedPageBreak/>
        <w:t xml:space="preserve">World Health Organization (2023) </w:t>
      </w:r>
      <w:r w:rsidRPr="00715C4F">
        <w:rPr>
          <w:rFonts w:ascii="Arial" w:eastAsia="Times New Roman" w:hAnsi="Arial" w:cs="Arial"/>
          <w:i/>
          <w:iCs/>
          <w:kern w:val="0"/>
          <w:lang w:eastAsia="en-GB"/>
          <w14:ligatures w14:val="none"/>
        </w:rPr>
        <w:t>Decade of Healthy Ageing: Baseline Report</w:t>
      </w:r>
      <w:r w:rsidRPr="00715C4F">
        <w:rPr>
          <w:rFonts w:ascii="Arial" w:eastAsia="Times New Roman" w:hAnsi="Arial" w:cs="Arial"/>
          <w:kern w:val="0"/>
          <w:lang w:eastAsia="en-GB"/>
          <w14:ligatures w14:val="none"/>
        </w:rPr>
        <w:t>.</w:t>
      </w:r>
      <w:r w:rsidRPr="00715C4F">
        <w:rPr>
          <w:rFonts w:ascii="Arial" w:eastAsia="Times New Roman" w:hAnsi="Arial" w:cs="Arial"/>
          <w:kern w:val="0"/>
          <w:lang w:eastAsia="en-GB"/>
          <w14:ligatures w14:val="none"/>
        </w:rPr>
        <w:br/>
        <w:t xml:space="preserve"> </w:t>
      </w:r>
      <w:hyperlink r:id="rId128" w:history="1">
        <w:r w:rsidRPr="00715C4F">
          <w:rPr>
            <w:rStyle w:val="Hyperlink"/>
            <w:rFonts w:ascii="Arial" w:eastAsia="Times New Roman" w:hAnsi="Arial" w:cs="Arial"/>
            <w:kern w:val="0"/>
            <w:lang w:eastAsia="en-GB"/>
            <w14:ligatures w14:val="none"/>
          </w:rPr>
          <w:t>https://www.who.int/publications/i/item/9789240079698</w:t>
        </w:r>
      </w:hyperlink>
      <w:r w:rsidRPr="00715C4F">
        <w:rPr>
          <w:rFonts w:ascii="Arial" w:eastAsia="Times New Roman" w:hAnsi="Arial" w:cs="Arial"/>
          <w:kern w:val="0"/>
          <w:lang w:eastAsia="en-GB"/>
          <w14:ligatures w14:val="none"/>
        </w:rPr>
        <w:t xml:space="preserve"> [Accessed 11 September 2026]. </w:t>
      </w:r>
    </w:p>
    <w:p w14:paraId="748C19FD" w14:textId="77777777" w:rsidR="00EF416A" w:rsidRPr="00715C4F"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r w:rsidRPr="00715C4F">
        <w:rPr>
          <w:rFonts w:ascii="Arial" w:eastAsia="Times New Roman" w:hAnsi="Arial" w:cs="Arial"/>
          <w:kern w:val="0"/>
          <w:lang w:eastAsia="en-GB"/>
          <w14:ligatures w14:val="none"/>
        </w:rPr>
        <w:t xml:space="preserve">Zheng, C. et al. (2025) ‘Exploring perceptions of vitamin D deficiency and cultural influences in people from minority ethnic groups aged 60+ in East London’, </w:t>
      </w:r>
      <w:r w:rsidRPr="00715C4F">
        <w:rPr>
          <w:rFonts w:ascii="Arial" w:eastAsia="Times New Roman" w:hAnsi="Arial" w:cs="Arial"/>
          <w:i/>
          <w:iCs/>
          <w:kern w:val="0"/>
          <w:lang w:eastAsia="en-GB"/>
          <w14:ligatures w14:val="none"/>
        </w:rPr>
        <w:t>BMC Research Notes</w:t>
      </w:r>
      <w:r w:rsidRPr="00715C4F">
        <w:rPr>
          <w:rFonts w:ascii="Arial" w:eastAsia="Times New Roman" w:hAnsi="Arial" w:cs="Arial"/>
          <w:kern w:val="0"/>
          <w:lang w:eastAsia="en-GB"/>
          <w14:ligatures w14:val="none"/>
        </w:rPr>
        <w:t>, 18, 378.</w:t>
      </w:r>
      <w:r w:rsidRPr="00715C4F">
        <w:rPr>
          <w:rFonts w:ascii="Arial" w:eastAsia="Times New Roman" w:hAnsi="Arial" w:cs="Arial"/>
          <w:kern w:val="0"/>
          <w:lang w:eastAsia="en-GB"/>
          <w14:ligatures w14:val="none"/>
        </w:rPr>
        <w:br/>
        <w:t xml:space="preserve"> </w:t>
      </w:r>
      <w:hyperlink r:id="rId129" w:history="1">
        <w:r w:rsidRPr="00715C4F">
          <w:rPr>
            <w:rStyle w:val="Hyperlink"/>
            <w:rFonts w:ascii="Arial" w:eastAsia="Times New Roman" w:hAnsi="Arial" w:cs="Arial"/>
            <w:kern w:val="0"/>
            <w:lang w:eastAsia="en-GB"/>
            <w14:ligatures w14:val="none"/>
          </w:rPr>
          <w:t>https://doi.org/10.1186/s13104-025-07439-1</w:t>
        </w:r>
      </w:hyperlink>
      <w:r w:rsidRPr="00715C4F">
        <w:rPr>
          <w:rFonts w:ascii="Arial" w:eastAsia="Times New Roman" w:hAnsi="Arial" w:cs="Arial"/>
          <w:kern w:val="0"/>
          <w:lang w:eastAsia="en-GB"/>
          <w14:ligatures w14:val="none"/>
        </w:rPr>
        <w:t xml:space="preserve"> [Accessed 12 September 2026]. </w:t>
      </w:r>
    </w:p>
    <w:p w14:paraId="3DCDFAD8" w14:textId="77777777" w:rsidR="00EF416A" w:rsidRPr="00005716" w:rsidRDefault="00EF416A" w:rsidP="00715C4F">
      <w:pPr>
        <w:numPr>
          <w:ilvl w:val="0"/>
          <w:numId w:val="31"/>
        </w:numPr>
        <w:tabs>
          <w:tab w:val="clear" w:pos="720"/>
        </w:tabs>
        <w:spacing w:before="100" w:beforeAutospacing="1" w:after="100" w:afterAutospacing="1" w:line="360" w:lineRule="auto"/>
        <w:ind w:left="0" w:firstLine="0"/>
        <w:jc w:val="both"/>
        <w:rPr>
          <w:rFonts w:ascii="Arial" w:eastAsia="Times New Roman" w:hAnsi="Arial" w:cs="Arial"/>
          <w:kern w:val="0"/>
          <w:lang w:eastAsia="en-GB"/>
          <w14:ligatures w14:val="none"/>
        </w:rPr>
      </w:pPr>
      <w:proofErr w:type="spellStart"/>
      <w:r w:rsidRPr="00715C4F">
        <w:rPr>
          <w:rFonts w:ascii="Arial" w:eastAsia="Times New Roman" w:hAnsi="Arial" w:cs="Arial"/>
          <w:kern w:val="0"/>
          <w:lang w:eastAsia="en-GB"/>
          <w14:ligatures w14:val="none"/>
        </w:rPr>
        <w:t>Zittermann</w:t>
      </w:r>
      <w:proofErr w:type="spellEnd"/>
      <w:r w:rsidRPr="00715C4F">
        <w:rPr>
          <w:rFonts w:ascii="Arial" w:eastAsia="Times New Roman" w:hAnsi="Arial" w:cs="Arial"/>
          <w:kern w:val="0"/>
          <w:lang w:eastAsia="en-GB"/>
          <w14:ligatures w14:val="none"/>
        </w:rPr>
        <w:t xml:space="preserve">, A. et al. (2012) ‘Vitamin D and cardiovascular disease: an updated narrative review’, </w:t>
      </w:r>
      <w:r w:rsidRPr="00715C4F">
        <w:rPr>
          <w:rFonts w:ascii="Arial" w:eastAsia="Times New Roman" w:hAnsi="Arial" w:cs="Arial"/>
          <w:i/>
          <w:iCs/>
          <w:kern w:val="0"/>
          <w:lang w:eastAsia="en-GB"/>
          <w14:ligatures w14:val="none"/>
        </w:rPr>
        <w:t>International Journal of Molecular Sciences</w:t>
      </w:r>
      <w:r w:rsidRPr="00715C4F">
        <w:rPr>
          <w:rFonts w:ascii="Arial" w:eastAsia="Times New Roman" w:hAnsi="Arial" w:cs="Arial"/>
          <w:kern w:val="0"/>
          <w:lang w:eastAsia="en-GB"/>
          <w14:ligatures w14:val="none"/>
        </w:rPr>
        <w:t xml:space="preserve">, 13(12), pp. 14858–14897. </w:t>
      </w:r>
      <w:hyperlink r:id="rId130" w:history="1">
        <w:r w:rsidRPr="00715C4F">
          <w:rPr>
            <w:rStyle w:val="Hyperlink"/>
            <w:rFonts w:ascii="Arial" w:eastAsia="Times New Roman" w:hAnsi="Arial" w:cs="Arial"/>
            <w:kern w:val="0"/>
            <w:lang w:eastAsia="en-GB"/>
            <w14:ligatures w14:val="none"/>
          </w:rPr>
          <w:t>https://doi.org/10.3390/ijms131214858</w:t>
        </w:r>
      </w:hyperlink>
      <w:r w:rsidRPr="00715C4F">
        <w:rPr>
          <w:rFonts w:ascii="Arial" w:eastAsia="Times New Roman" w:hAnsi="Arial" w:cs="Arial"/>
          <w:kern w:val="0"/>
          <w:lang w:eastAsia="en-GB"/>
          <w14:ligatures w14:val="none"/>
        </w:rPr>
        <w:t xml:space="preserve"> [Accessed 13 September 2026].</w:t>
      </w:r>
      <w:r>
        <w:rPr>
          <w:rFonts w:ascii="Arial" w:eastAsia="Times New Roman" w:hAnsi="Arial" w:cs="Arial"/>
          <w:kern w:val="0"/>
          <w:lang w:eastAsia="en-GB"/>
          <w14:ligatures w14:val="none"/>
        </w:rPr>
        <w:t xml:space="preserve"> </w:t>
      </w:r>
    </w:p>
    <w:sectPr w:rsidR="00EF416A" w:rsidRPr="00005716" w:rsidSect="000F32B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2DD17" w14:textId="77777777" w:rsidR="0028144C" w:rsidRDefault="0028144C">
      <w:pPr>
        <w:spacing w:after="0" w:line="240" w:lineRule="auto"/>
      </w:pPr>
      <w:r>
        <w:separator/>
      </w:r>
    </w:p>
  </w:endnote>
  <w:endnote w:type="continuationSeparator" w:id="0">
    <w:p w14:paraId="3A9F696D" w14:textId="77777777" w:rsidR="0028144C" w:rsidRDefault="00281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9AA3E" w14:textId="77777777" w:rsidR="00D5404B" w:rsidRDefault="00D5404B">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D5404B" w:rsidRDefault="00D5404B">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9E3F4" w14:textId="61ABB89F" w:rsidR="00D5404B" w:rsidRPr="000E7642" w:rsidRDefault="00D5404B" w:rsidP="009F7956">
    <w:pPr>
      <w:spacing w:after="0" w:line="240" w:lineRule="auto"/>
      <w:ind w:right="-3"/>
      <w:jc w:val="right"/>
      <w:rPr>
        <w:rFonts w:ascii="Arial" w:hAnsi="Arial" w:cs="Arial"/>
      </w:rPr>
    </w:pPr>
    <w:r w:rsidRPr="000E7642">
      <w:rPr>
        <w:rFonts w:ascii="Arial" w:hAnsi="Arial" w:cs="Arial"/>
      </w:rPr>
      <w:fldChar w:fldCharType="begin"/>
    </w:r>
    <w:r w:rsidRPr="000E7642">
      <w:rPr>
        <w:rFonts w:ascii="Arial" w:hAnsi="Arial" w:cs="Arial"/>
      </w:rPr>
      <w:instrText xml:space="preserve"> PAGE   \* MERGEFORMAT </w:instrText>
    </w:r>
    <w:r w:rsidRPr="000E7642">
      <w:rPr>
        <w:rFonts w:ascii="Arial" w:hAnsi="Arial" w:cs="Arial"/>
      </w:rPr>
      <w:fldChar w:fldCharType="separate"/>
    </w:r>
    <w:r w:rsidR="003B53EF" w:rsidRPr="003B53EF">
      <w:rPr>
        <w:rFonts w:ascii="Arial" w:eastAsia="Calibri" w:hAnsi="Arial" w:cs="Arial"/>
        <w:noProof/>
      </w:rPr>
      <w:t>63</w:t>
    </w:r>
    <w:r w:rsidRPr="000E7642">
      <w:rPr>
        <w:rFonts w:ascii="Arial" w:eastAsia="Calibri"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72DA1" w14:textId="6151C245" w:rsidR="00D5404B" w:rsidRDefault="00D5404B" w:rsidP="00094BA6">
    <w:pPr>
      <w:spacing w:after="0"/>
      <w:ind w:right="-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45A7DA" w14:textId="77777777" w:rsidR="0028144C" w:rsidRDefault="0028144C">
      <w:pPr>
        <w:spacing w:after="0" w:line="240" w:lineRule="auto"/>
      </w:pPr>
      <w:r>
        <w:separator/>
      </w:r>
    </w:p>
  </w:footnote>
  <w:footnote w:type="continuationSeparator" w:id="0">
    <w:p w14:paraId="6CF1BF35" w14:textId="77777777" w:rsidR="0028144C" w:rsidRDefault="002814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0CED"/>
    <w:multiLevelType w:val="hybridMultilevel"/>
    <w:tmpl w:val="41BAE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06BC6"/>
    <w:multiLevelType w:val="multilevel"/>
    <w:tmpl w:val="A4F8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B1299"/>
    <w:multiLevelType w:val="multilevel"/>
    <w:tmpl w:val="744C0276"/>
    <w:lvl w:ilvl="0">
      <w:start w:val="1"/>
      <w:numFmt w:val="decimal"/>
      <w:lvlText w:val="%1"/>
      <w:lvlJc w:val="left"/>
      <w:pPr>
        <w:ind w:left="400" w:hanging="400"/>
      </w:pPr>
      <w:rPr>
        <w:rFonts w:hint="default"/>
      </w:rPr>
    </w:lvl>
    <w:lvl w:ilvl="1">
      <w:start w:val="7"/>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121DED"/>
    <w:multiLevelType w:val="multilevel"/>
    <w:tmpl w:val="771C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043A2"/>
    <w:multiLevelType w:val="hybridMultilevel"/>
    <w:tmpl w:val="CF941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056C00"/>
    <w:multiLevelType w:val="multilevel"/>
    <w:tmpl w:val="31EA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95B66"/>
    <w:multiLevelType w:val="multilevel"/>
    <w:tmpl w:val="29925444"/>
    <w:lvl w:ilvl="0">
      <w:start w:val="1"/>
      <w:numFmt w:val="decimal"/>
      <w:lvlText w:val="%1."/>
      <w:lvlJc w:val="left"/>
      <w:pPr>
        <w:ind w:left="405" w:hanging="405"/>
      </w:pPr>
      <w:rPr>
        <w:rFonts w:ascii="Arial" w:eastAsiaTheme="minorEastAsia" w:hAnsi="Arial" w:cs="Arial"/>
        <w:b w:val="0"/>
        <w:color w:val="auto"/>
        <w:sz w:val="24"/>
      </w:rPr>
    </w:lvl>
    <w:lvl w:ilvl="1">
      <w:start w:val="7"/>
      <w:numFmt w:val="decimal"/>
      <w:lvlText w:val="%1.%2"/>
      <w:lvlJc w:val="left"/>
      <w:pPr>
        <w:ind w:left="405" w:hanging="405"/>
      </w:pPr>
      <w:rPr>
        <w:rFonts w:eastAsiaTheme="minorEastAsia" w:cs="Arial" w:hint="default"/>
        <w:b w:val="0"/>
        <w:color w:val="auto"/>
        <w:sz w:val="24"/>
      </w:rPr>
    </w:lvl>
    <w:lvl w:ilvl="2">
      <w:start w:val="1"/>
      <w:numFmt w:val="decimal"/>
      <w:lvlText w:val="%1.%2.%3"/>
      <w:lvlJc w:val="left"/>
      <w:pPr>
        <w:ind w:left="720" w:hanging="720"/>
      </w:pPr>
      <w:rPr>
        <w:rFonts w:eastAsiaTheme="minorEastAsia" w:cs="Arial" w:hint="default"/>
        <w:b w:val="0"/>
        <w:color w:val="auto"/>
        <w:sz w:val="24"/>
      </w:rPr>
    </w:lvl>
    <w:lvl w:ilvl="3">
      <w:start w:val="1"/>
      <w:numFmt w:val="decimal"/>
      <w:lvlText w:val="%1.%2.%3.%4"/>
      <w:lvlJc w:val="left"/>
      <w:pPr>
        <w:ind w:left="1080" w:hanging="1080"/>
      </w:pPr>
      <w:rPr>
        <w:rFonts w:eastAsiaTheme="minorEastAsia" w:cs="Arial" w:hint="default"/>
        <w:b w:val="0"/>
        <w:color w:val="auto"/>
        <w:sz w:val="24"/>
      </w:rPr>
    </w:lvl>
    <w:lvl w:ilvl="4">
      <w:start w:val="1"/>
      <w:numFmt w:val="decimal"/>
      <w:lvlText w:val="%1.%2.%3.%4.%5"/>
      <w:lvlJc w:val="left"/>
      <w:pPr>
        <w:ind w:left="1080" w:hanging="1080"/>
      </w:pPr>
      <w:rPr>
        <w:rFonts w:eastAsiaTheme="minorEastAsia" w:cs="Arial" w:hint="default"/>
        <w:b w:val="0"/>
        <w:color w:val="auto"/>
        <w:sz w:val="24"/>
      </w:rPr>
    </w:lvl>
    <w:lvl w:ilvl="5">
      <w:start w:val="1"/>
      <w:numFmt w:val="decimal"/>
      <w:lvlText w:val="%1.%2.%3.%4.%5.%6"/>
      <w:lvlJc w:val="left"/>
      <w:pPr>
        <w:ind w:left="1440" w:hanging="1440"/>
      </w:pPr>
      <w:rPr>
        <w:rFonts w:eastAsiaTheme="minorEastAsia" w:cs="Arial" w:hint="default"/>
        <w:b w:val="0"/>
        <w:color w:val="auto"/>
        <w:sz w:val="24"/>
      </w:rPr>
    </w:lvl>
    <w:lvl w:ilvl="6">
      <w:start w:val="1"/>
      <w:numFmt w:val="decimal"/>
      <w:lvlText w:val="%1.%2.%3.%4.%5.%6.%7"/>
      <w:lvlJc w:val="left"/>
      <w:pPr>
        <w:ind w:left="1440" w:hanging="1440"/>
      </w:pPr>
      <w:rPr>
        <w:rFonts w:eastAsiaTheme="minorEastAsia" w:cs="Arial" w:hint="default"/>
        <w:b w:val="0"/>
        <w:color w:val="auto"/>
        <w:sz w:val="24"/>
      </w:rPr>
    </w:lvl>
    <w:lvl w:ilvl="7">
      <w:start w:val="1"/>
      <w:numFmt w:val="decimal"/>
      <w:lvlText w:val="%1.%2.%3.%4.%5.%6.%7.%8"/>
      <w:lvlJc w:val="left"/>
      <w:pPr>
        <w:ind w:left="1800" w:hanging="1800"/>
      </w:pPr>
      <w:rPr>
        <w:rFonts w:eastAsiaTheme="minorEastAsia" w:cs="Arial" w:hint="default"/>
        <w:b w:val="0"/>
        <w:color w:val="auto"/>
        <w:sz w:val="24"/>
      </w:rPr>
    </w:lvl>
    <w:lvl w:ilvl="8">
      <w:start w:val="1"/>
      <w:numFmt w:val="decimal"/>
      <w:lvlText w:val="%1.%2.%3.%4.%5.%6.%7.%8.%9"/>
      <w:lvlJc w:val="left"/>
      <w:pPr>
        <w:ind w:left="1800" w:hanging="1800"/>
      </w:pPr>
      <w:rPr>
        <w:rFonts w:eastAsiaTheme="minorEastAsia" w:cs="Arial" w:hint="default"/>
        <w:b w:val="0"/>
        <w:color w:val="auto"/>
        <w:sz w:val="24"/>
      </w:rPr>
    </w:lvl>
  </w:abstractNum>
  <w:abstractNum w:abstractNumId="7" w15:restartNumberingAfterBreak="0">
    <w:nsid w:val="10B23469"/>
    <w:multiLevelType w:val="hybridMultilevel"/>
    <w:tmpl w:val="77B49C74"/>
    <w:lvl w:ilvl="0" w:tplc="858CB334">
      <w:start w:val="2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2C110E"/>
    <w:multiLevelType w:val="hybridMultilevel"/>
    <w:tmpl w:val="FBEC5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5852A2"/>
    <w:multiLevelType w:val="hybridMultilevel"/>
    <w:tmpl w:val="C71AA6C0"/>
    <w:lvl w:ilvl="0" w:tplc="08090001">
      <w:start w:val="2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33038B"/>
    <w:multiLevelType w:val="multilevel"/>
    <w:tmpl w:val="1702E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870AF4"/>
    <w:multiLevelType w:val="multilevel"/>
    <w:tmpl w:val="E0B2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CF56CB"/>
    <w:multiLevelType w:val="multilevel"/>
    <w:tmpl w:val="F6747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733FB5"/>
    <w:multiLevelType w:val="hybridMultilevel"/>
    <w:tmpl w:val="7506E0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F9565B"/>
    <w:multiLevelType w:val="multilevel"/>
    <w:tmpl w:val="2E46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8557AD"/>
    <w:multiLevelType w:val="multilevel"/>
    <w:tmpl w:val="9E26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EF0C43"/>
    <w:multiLevelType w:val="multilevel"/>
    <w:tmpl w:val="0DA6E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A17BE3"/>
    <w:multiLevelType w:val="multilevel"/>
    <w:tmpl w:val="0F14BA9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A332F7"/>
    <w:multiLevelType w:val="hybridMultilevel"/>
    <w:tmpl w:val="D170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9B5767"/>
    <w:multiLevelType w:val="hybridMultilevel"/>
    <w:tmpl w:val="A1C44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6A75CA"/>
    <w:multiLevelType w:val="multilevel"/>
    <w:tmpl w:val="0E786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9B65E6"/>
    <w:multiLevelType w:val="hybridMultilevel"/>
    <w:tmpl w:val="F1587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0E5799"/>
    <w:multiLevelType w:val="multilevel"/>
    <w:tmpl w:val="95B4A008"/>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DF0159"/>
    <w:multiLevelType w:val="hybridMultilevel"/>
    <w:tmpl w:val="DC22C5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02064A6"/>
    <w:multiLevelType w:val="multilevel"/>
    <w:tmpl w:val="040A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E55AD3"/>
    <w:multiLevelType w:val="multilevel"/>
    <w:tmpl w:val="4708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2035A6"/>
    <w:multiLevelType w:val="multilevel"/>
    <w:tmpl w:val="ABAEA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285F65"/>
    <w:multiLevelType w:val="multilevel"/>
    <w:tmpl w:val="CE00818A"/>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5C1EF6"/>
    <w:multiLevelType w:val="multilevel"/>
    <w:tmpl w:val="0226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EB641D"/>
    <w:multiLevelType w:val="multilevel"/>
    <w:tmpl w:val="104E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DF3840"/>
    <w:multiLevelType w:val="hybridMultilevel"/>
    <w:tmpl w:val="74D0E51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1" w15:restartNumberingAfterBreak="0">
    <w:nsid w:val="7FCA303C"/>
    <w:multiLevelType w:val="hybridMultilevel"/>
    <w:tmpl w:val="39108D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30"/>
  </w:num>
  <w:num w:numId="3">
    <w:abstractNumId w:val="23"/>
  </w:num>
  <w:num w:numId="4">
    <w:abstractNumId w:val="10"/>
  </w:num>
  <w:num w:numId="5">
    <w:abstractNumId w:val="31"/>
  </w:num>
  <w:num w:numId="6">
    <w:abstractNumId w:val="1"/>
  </w:num>
  <w:num w:numId="7">
    <w:abstractNumId w:val="11"/>
  </w:num>
  <w:num w:numId="8">
    <w:abstractNumId w:val="16"/>
  </w:num>
  <w:num w:numId="9">
    <w:abstractNumId w:val="15"/>
  </w:num>
  <w:num w:numId="10">
    <w:abstractNumId w:val="29"/>
  </w:num>
  <w:num w:numId="11">
    <w:abstractNumId w:val="24"/>
  </w:num>
  <w:num w:numId="12">
    <w:abstractNumId w:val="3"/>
  </w:num>
  <w:num w:numId="13">
    <w:abstractNumId w:val="14"/>
  </w:num>
  <w:num w:numId="14">
    <w:abstractNumId w:val="5"/>
  </w:num>
  <w:num w:numId="15">
    <w:abstractNumId w:val="28"/>
  </w:num>
  <w:num w:numId="16">
    <w:abstractNumId w:val="26"/>
  </w:num>
  <w:num w:numId="17">
    <w:abstractNumId w:val="25"/>
  </w:num>
  <w:num w:numId="18">
    <w:abstractNumId w:val="20"/>
  </w:num>
  <w:num w:numId="19">
    <w:abstractNumId w:val="8"/>
  </w:num>
  <w:num w:numId="20">
    <w:abstractNumId w:val="4"/>
  </w:num>
  <w:num w:numId="21">
    <w:abstractNumId w:val="7"/>
  </w:num>
  <w:num w:numId="22">
    <w:abstractNumId w:val="13"/>
  </w:num>
  <w:num w:numId="23">
    <w:abstractNumId w:val="21"/>
  </w:num>
  <w:num w:numId="24">
    <w:abstractNumId w:val="19"/>
  </w:num>
  <w:num w:numId="25">
    <w:abstractNumId w:val="18"/>
  </w:num>
  <w:num w:numId="26">
    <w:abstractNumId w:val="9"/>
  </w:num>
  <w:num w:numId="27">
    <w:abstractNumId w:val="0"/>
  </w:num>
  <w:num w:numId="28">
    <w:abstractNumId w:val="12"/>
  </w:num>
  <w:num w:numId="29">
    <w:abstractNumId w:val="17"/>
  </w:num>
  <w:num w:numId="30">
    <w:abstractNumId w:val="22"/>
  </w:num>
  <w:num w:numId="31">
    <w:abstractNumId w:val="27"/>
  </w:num>
  <w:num w:numId="3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4C5"/>
    <w:rsid w:val="00005716"/>
    <w:rsid w:val="000137CF"/>
    <w:rsid w:val="00014683"/>
    <w:rsid w:val="000146D1"/>
    <w:rsid w:val="0001513C"/>
    <w:rsid w:val="000330ED"/>
    <w:rsid w:val="000353D0"/>
    <w:rsid w:val="00037D72"/>
    <w:rsid w:val="000415FF"/>
    <w:rsid w:val="00044393"/>
    <w:rsid w:val="000473CB"/>
    <w:rsid w:val="00052B69"/>
    <w:rsid w:val="00052D36"/>
    <w:rsid w:val="00055269"/>
    <w:rsid w:val="000555DE"/>
    <w:rsid w:val="00055DDA"/>
    <w:rsid w:val="00061A0A"/>
    <w:rsid w:val="00063342"/>
    <w:rsid w:val="00067A6A"/>
    <w:rsid w:val="00084290"/>
    <w:rsid w:val="000842A6"/>
    <w:rsid w:val="00092116"/>
    <w:rsid w:val="0009334B"/>
    <w:rsid w:val="0009334E"/>
    <w:rsid w:val="00094BA6"/>
    <w:rsid w:val="000A024B"/>
    <w:rsid w:val="000A0F10"/>
    <w:rsid w:val="000A201F"/>
    <w:rsid w:val="000A2A53"/>
    <w:rsid w:val="000A5D2B"/>
    <w:rsid w:val="000B058B"/>
    <w:rsid w:val="000B152B"/>
    <w:rsid w:val="000B432E"/>
    <w:rsid w:val="000B55B2"/>
    <w:rsid w:val="000C3832"/>
    <w:rsid w:val="000C39D5"/>
    <w:rsid w:val="000C5681"/>
    <w:rsid w:val="000C5913"/>
    <w:rsid w:val="000C614F"/>
    <w:rsid w:val="000C7125"/>
    <w:rsid w:val="000D0837"/>
    <w:rsid w:val="000D29A9"/>
    <w:rsid w:val="000D3958"/>
    <w:rsid w:val="000D697C"/>
    <w:rsid w:val="000D77FE"/>
    <w:rsid w:val="000E11AE"/>
    <w:rsid w:val="000E1986"/>
    <w:rsid w:val="000E3085"/>
    <w:rsid w:val="000E33DD"/>
    <w:rsid w:val="000E41F0"/>
    <w:rsid w:val="000E433A"/>
    <w:rsid w:val="000E4ED5"/>
    <w:rsid w:val="000E4F56"/>
    <w:rsid w:val="000E66A6"/>
    <w:rsid w:val="000E6B54"/>
    <w:rsid w:val="000E6D17"/>
    <w:rsid w:val="000E7642"/>
    <w:rsid w:val="000F0F46"/>
    <w:rsid w:val="000F2207"/>
    <w:rsid w:val="000F32B8"/>
    <w:rsid w:val="000F53A7"/>
    <w:rsid w:val="000F6576"/>
    <w:rsid w:val="001006D7"/>
    <w:rsid w:val="00100AA1"/>
    <w:rsid w:val="00102473"/>
    <w:rsid w:val="00102713"/>
    <w:rsid w:val="001039C5"/>
    <w:rsid w:val="001063AE"/>
    <w:rsid w:val="00111584"/>
    <w:rsid w:val="00111B79"/>
    <w:rsid w:val="00113366"/>
    <w:rsid w:val="0012046A"/>
    <w:rsid w:val="00131206"/>
    <w:rsid w:val="00144FA5"/>
    <w:rsid w:val="001502B1"/>
    <w:rsid w:val="001537AF"/>
    <w:rsid w:val="00153887"/>
    <w:rsid w:val="00153A51"/>
    <w:rsid w:val="00155AA2"/>
    <w:rsid w:val="00157A44"/>
    <w:rsid w:val="00161722"/>
    <w:rsid w:val="00161BA9"/>
    <w:rsid w:val="00171D19"/>
    <w:rsid w:val="00171D98"/>
    <w:rsid w:val="001726AA"/>
    <w:rsid w:val="00182539"/>
    <w:rsid w:val="00182EDB"/>
    <w:rsid w:val="0018409F"/>
    <w:rsid w:val="00187AF9"/>
    <w:rsid w:val="00190130"/>
    <w:rsid w:val="0019107B"/>
    <w:rsid w:val="0019560C"/>
    <w:rsid w:val="00196715"/>
    <w:rsid w:val="001A0C60"/>
    <w:rsid w:val="001A0EB5"/>
    <w:rsid w:val="001A60C1"/>
    <w:rsid w:val="001A7775"/>
    <w:rsid w:val="001B1F4D"/>
    <w:rsid w:val="001B67D2"/>
    <w:rsid w:val="001C01E7"/>
    <w:rsid w:val="001C5965"/>
    <w:rsid w:val="001C722D"/>
    <w:rsid w:val="001D0C6F"/>
    <w:rsid w:val="001E083A"/>
    <w:rsid w:val="001E715A"/>
    <w:rsid w:val="001F08B2"/>
    <w:rsid w:val="001F7C71"/>
    <w:rsid w:val="002006C4"/>
    <w:rsid w:val="0020344D"/>
    <w:rsid w:val="00207C40"/>
    <w:rsid w:val="002137AB"/>
    <w:rsid w:val="00214C0E"/>
    <w:rsid w:val="00214CBD"/>
    <w:rsid w:val="002169BC"/>
    <w:rsid w:val="002200F5"/>
    <w:rsid w:val="0022637B"/>
    <w:rsid w:val="00227F5D"/>
    <w:rsid w:val="002309D7"/>
    <w:rsid w:val="00230FAF"/>
    <w:rsid w:val="00237523"/>
    <w:rsid w:val="00242E23"/>
    <w:rsid w:val="002442CB"/>
    <w:rsid w:val="0024620A"/>
    <w:rsid w:val="00246D6E"/>
    <w:rsid w:val="00247124"/>
    <w:rsid w:val="0025326A"/>
    <w:rsid w:val="00255436"/>
    <w:rsid w:val="00255993"/>
    <w:rsid w:val="00256327"/>
    <w:rsid w:val="00257CD0"/>
    <w:rsid w:val="00265B85"/>
    <w:rsid w:val="00266439"/>
    <w:rsid w:val="002708BC"/>
    <w:rsid w:val="00273681"/>
    <w:rsid w:val="00273E1F"/>
    <w:rsid w:val="002778AD"/>
    <w:rsid w:val="0028144C"/>
    <w:rsid w:val="0028333E"/>
    <w:rsid w:val="002856FB"/>
    <w:rsid w:val="002931D1"/>
    <w:rsid w:val="00293232"/>
    <w:rsid w:val="00293E90"/>
    <w:rsid w:val="002970BB"/>
    <w:rsid w:val="002A0458"/>
    <w:rsid w:val="002A0EA4"/>
    <w:rsid w:val="002A24CB"/>
    <w:rsid w:val="002A431E"/>
    <w:rsid w:val="002A443F"/>
    <w:rsid w:val="002A54D3"/>
    <w:rsid w:val="002A6B8E"/>
    <w:rsid w:val="002A7778"/>
    <w:rsid w:val="002B0421"/>
    <w:rsid w:val="002B04A6"/>
    <w:rsid w:val="002B4172"/>
    <w:rsid w:val="002B523E"/>
    <w:rsid w:val="002C21CB"/>
    <w:rsid w:val="002C2721"/>
    <w:rsid w:val="002C2987"/>
    <w:rsid w:val="002C37E0"/>
    <w:rsid w:val="002C3E54"/>
    <w:rsid w:val="002C5EB6"/>
    <w:rsid w:val="002D1858"/>
    <w:rsid w:val="002D245C"/>
    <w:rsid w:val="002D5D5E"/>
    <w:rsid w:val="002D7AF6"/>
    <w:rsid w:val="002E2AEE"/>
    <w:rsid w:val="002E4266"/>
    <w:rsid w:val="002F0A25"/>
    <w:rsid w:val="002F1B3C"/>
    <w:rsid w:val="002F3CC7"/>
    <w:rsid w:val="002F436F"/>
    <w:rsid w:val="002F568D"/>
    <w:rsid w:val="00304406"/>
    <w:rsid w:val="00304D12"/>
    <w:rsid w:val="0031296B"/>
    <w:rsid w:val="00312F33"/>
    <w:rsid w:val="00313DE1"/>
    <w:rsid w:val="00314C2D"/>
    <w:rsid w:val="0032304E"/>
    <w:rsid w:val="003259A1"/>
    <w:rsid w:val="00325A8F"/>
    <w:rsid w:val="00331CBA"/>
    <w:rsid w:val="003335C9"/>
    <w:rsid w:val="0033483F"/>
    <w:rsid w:val="003375E5"/>
    <w:rsid w:val="0033765F"/>
    <w:rsid w:val="00337CB9"/>
    <w:rsid w:val="00343845"/>
    <w:rsid w:val="00344B50"/>
    <w:rsid w:val="00345A30"/>
    <w:rsid w:val="00346CA1"/>
    <w:rsid w:val="00347FC7"/>
    <w:rsid w:val="00350D3F"/>
    <w:rsid w:val="003516C9"/>
    <w:rsid w:val="003521B1"/>
    <w:rsid w:val="00357B04"/>
    <w:rsid w:val="003601C6"/>
    <w:rsid w:val="00363BC5"/>
    <w:rsid w:val="003653A1"/>
    <w:rsid w:val="00367725"/>
    <w:rsid w:val="00370BC3"/>
    <w:rsid w:val="00371427"/>
    <w:rsid w:val="00374BA6"/>
    <w:rsid w:val="00386925"/>
    <w:rsid w:val="00387C05"/>
    <w:rsid w:val="003906E4"/>
    <w:rsid w:val="00393D36"/>
    <w:rsid w:val="00395B38"/>
    <w:rsid w:val="00396375"/>
    <w:rsid w:val="003967A5"/>
    <w:rsid w:val="003A035E"/>
    <w:rsid w:val="003A20D1"/>
    <w:rsid w:val="003A23C3"/>
    <w:rsid w:val="003A3104"/>
    <w:rsid w:val="003A4B6C"/>
    <w:rsid w:val="003A66D9"/>
    <w:rsid w:val="003B1769"/>
    <w:rsid w:val="003B53EF"/>
    <w:rsid w:val="003B7F62"/>
    <w:rsid w:val="003C0FF5"/>
    <w:rsid w:val="003C35D2"/>
    <w:rsid w:val="003C46AE"/>
    <w:rsid w:val="003C610D"/>
    <w:rsid w:val="003C6B33"/>
    <w:rsid w:val="003C780E"/>
    <w:rsid w:val="003C7834"/>
    <w:rsid w:val="003D4C88"/>
    <w:rsid w:val="003D5266"/>
    <w:rsid w:val="003D5357"/>
    <w:rsid w:val="003D708A"/>
    <w:rsid w:val="003D753D"/>
    <w:rsid w:val="003F58D8"/>
    <w:rsid w:val="003F6170"/>
    <w:rsid w:val="00400CB3"/>
    <w:rsid w:val="0040520B"/>
    <w:rsid w:val="004072D3"/>
    <w:rsid w:val="004108AB"/>
    <w:rsid w:val="00413752"/>
    <w:rsid w:val="0041631D"/>
    <w:rsid w:val="00416526"/>
    <w:rsid w:val="00416BBE"/>
    <w:rsid w:val="00416C87"/>
    <w:rsid w:val="004173FF"/>
    <w:rsid w:val="00417BBD"/>
    <w:rsid w:val="004208EB"/>
    <w:rsid w:val="00422CF3"/>
    <w:rsid w:val="004304C5"/>
    <w:rsid w:val="004309DD"/>
    <w:rsid w:val="00430ACE"/>
    <w:rsid w:val="00431AD0"/>
    <w:rsid w:val="004328AD"/>
    <w:rsid w:val="00440040"/>
    <w:rsid w:val="004429B4"/>
    <w:rsid w:val="00443840"/>
    <w:rsid w:val="00444FEE"/>
    <w:rsid w:val="004452EE"/>
    <w:rsid w:val="0045283F"/>
    <w:rsid w:val="004528E6"/>
    <w:rsid w:val="004569F9"/>
    <w:rsid w:val="0046200A"/>
    <w:rsid w:val="00463ACD"/>
    <w:rsid w:val="00464417"/>
    <w:rsid w:val="00464B5F"/>
    <w:rsid w:val="00467B34"/>
    <w:rsid w:val="004711FB"/>
    <w:rsid w:val="00472C91"/>
    <w:rsid w:val="004779D2"/>
    <w:rsid w:val="004821F9"/>
    <w:rsid w:val="004831C6"/>
    <w:rsid w:val="0048331D"/>
    <w:rsid w:val="00484044"/>
    <w:rsid w:val="004925F6"/>
    <w:rsid w:val="004A0D30"/>
    <w:rsid w:val="004A1CA8"/>
    <w:rsid w:val="004B756C"/>
    <w:rsid w:val="004C0525"/>
    <w:rsid w:val="004C1954"/>
    <w:rsid w:val="004C7A31"/>
    <w:rsid w:val="004D03F0"/>
    <w:rsid w:val="004D22F1"/>
    <w:rsid w:val="004D23ED"/>
    <w:rsid w:val="004D29F1"/>
    <w:rsid w:val="004E0DB5"/>
    <w:rsid w:val="004F7A04"/>
    <w:rsid w:val="004F7CB5"/>
    <w:rsid w:val="0050583A"/>
    <w:rsid w:val="005065F9"/>
    <w:rsid w:val="00512F1E"/>
    <w:rsid w:val="00522361"/>
    <w:rsid w:val="00527B6F"/>
    <w:rsid w:val="00527C95"/>
    <w:rsid w:val="005357CA"/>
    <w:rsid w:val="005359AE"/>
    <w:rsid w:val="005416AA"/>
    <w:rsid w:val="005479D8"/>
    <w:rsid w:val="0055216F"/>
    <w:rsid w:val="0056296E"/>
    <w:rsid w:val="0056306D"/>
    <w:rsid w:val="00565E47"/>
    <w:rsid w:val="005722BD"/>
    <w:rsid w:val="00572682"/>
    <w:rsid w:val="00576A03"/>
    <w:rsid w:val="005813E1"/>
    <w:rsid w:val="00582EFE"/>
    <w:rsid w:val="00583BCE"/>
    <w:rsid w:val="0058439A"/>
    <w:rsid w:val="00584A5A"/>
    <w:rsid w:val="00585363"/>
    <w:rsid w:val="00586DBA"/>
    <w:rsid w:val="00587E94"/>
    <w:rsid w:val="00590F69"/>
    <w:rsid w:val="00591432"/>
    <w:rsid w:val="00591581"/>
    <w:rsid w:val="00592116"/>
    <w:rsid w:val="00593A4C"/>
    <w:rsid w:val="005944E3"/>
    <w:rsid w:val="00595E2E"/>
    <w:rsid w:val="005A08A2"/>
    <w:rsid w:val="005A1123"/>
    <w:rsid w:val="005A1E6A"/>
    <w:rsid w:val="005A357B"/>
    <w:rsid w:val="005A5642"/>
    <w:rsid w:val="005A71FB"/>
    <w:rsid w:val="005B3600"/>
    <w:rsid w:val="005B6591"/>
    <w:rsid w:val="005B78A2"/>
    <w:rsid w:val="005B7E91"/>
    <w:rsid w:val="005C3439"/>
    <w:rsid w:val="005C7339"/>
    <w:rsid w:val="005D0754"/>
    <w:rsid w:val="005D23F7"/>
    <w:rsid w:val="005E357E"/>
    <w:rsid w:val="005E38C7"/>
    <w:rsid w:val="005E7161"/>
    <w:rsid w:val="005F046A"/>
    <w:rsid w:val="005F0C91"/>
    <w:rsid w:val="005F1350"/>
    <w:rsid w:val="005F167D"/>
    <w:rsid w:val="005F1C56"/>
    <w:rsid w:val="005F5916"/>
    <w:rsid w:val="00600A8B"/>
    <w:rsid w:val="006077DD"/>
    <w:rsid w:val="00607A92"/>
    <w:rsid w:val="00614EA9"/>
    <w:rsid w:val="006160D4"/>
    <w:rsid w:val="00617B04"/>
    <w:rsid w:val="00617F80"/>
    <w:rsid w:val="006212DD"/>
    <w:rsid w:val="006221C9"/>
    <w:rsid w:val="00622C5D"/>
    <w:rsid w:val="00623436"/>
    <w:rsid w:val="00623C0E"/>
    <w:rsid w:val="00627261"/>
    <w:rsid w:val="00627CF0"/>
    <w:rsid w:val="00630DED"/>
    <w:rsid w:val="006313FF"/>
    <w:rsid w:val="006359BA"/>
    <w:rsid w:val="006360B4"/>
    <w:rsid w:val="0063625B"/>
    <w:rsid w:val="00644CFD"/>
    <w:rsid w:val="0064535A"/>
    <w:rsid w:val="0064584A"/>
    <w:rsid w:val="00646C80"/>
    <w:rsid w:val="006541A2"/>
    <w:rsid w:val="00654F7C"/>
    <w:rsid w:val="00656079"/>
    <w:rsid w:val="00663DA2"/>
    <w:rsid w:val="00676B99"/>
    <w:rsid w:val="00680673"/>
    <w:rsid w:val="006823A4"/>
    <w:rsid w:val="006848C7"/>
    <w:rsid w:val="0068553E"/>
    <w:rsid w:val="006914FF"/>
    <w:rsid w:val="00692840"/>
    <w:rsid w:val="006955E4"/>
    <w:rsid w:val="006A3D68"/>
    <w:rsid w:val="006A48A9"/>
    <w:rsid w:val="006A6787"/>
    <w:rsid w:val="006B19D1"/>
    <w:rsid w:val="006B35D9"/>
    <w:rsid w:val="006B5A28"/>
    <w:rsid w:val="006B706E"/>
    <w:rsid w:val="006C0B0F"/>
    <w:rsid w:val="006C1C3C"/>
    <w:rsid w:val="006C3FD9"/>
    <w:rsid w:val="006C4A00"/>
    <w:rsid w:val="006C5407"/>
    <w:rsid w:val="006C57E0"/>
    <w:rsid w:val="006D03D8"/>
    <w:rsid w:val="006D162D"/>
    <w:rsid w:val="006D5C94"/>
    <w:rsid w:val="006D6EC1"/>
    <w:rsid w:val="006E2A3A"/>
    <w:rsid w:val="006F23AA"/>
    <w:rsid w:val="006F38CA"/>
    <w:rsid w:val="006F647A"/>
    <w:rsid w:val="00700FA8"/>
    <w:rsid w:val="0070279F"/>
    <w:rsid w:val="00703816"/>
    <w:rsid w:val="00705F71"/>
    <w:rsid w:val="007072A1"/>
    <w:rsid w:val="0071003B"/>
    <w:rsid w:val="00711251"/>
    <w:rsid w:val="00713B46"/>
    <w:rsid w:val="00713D06"/>
    <w:rsid w:val="00714A81"/>
    <w:rsid w:val="00715C4F"/>
    <w:rsid w:val="00716051"/>
    <w:rsid w:val="007160F1"/>
    <w:rsid w:val="007179B2"/>
    <w:rsid w:val="00721D41"/>
    <w:rsid w:val="00722D0D"/>
    <w:rsid w:val="00722DA8"/>
    <w:rsid w:val="007257EC"/>
    <w:rsid w:val="00732478"/>
    <w:rsid w:val="00742870"/>
    <w:rsid w:val="007446D0"/>
    <w:rsid w:val="00745AFD"/>
    <w:rsid w:val="00746D10"/>
    <w:rsid w:val="0074770C"/>
    <w:rsid w:val="007500B6"/>
    <w:rsid w:val="00752EBE"/>
    <w:rsid w:val="00755BFB"/>
    <w:rsid w:val="00760D43"/>
    <w:rsid w:val="00761754"/>
    <w:rsid w:val="0076244C"/>
    <w:rsid w:val="00763FCE"/>
    <w:rsid w:val="00765FCB"/>
    <w:rsid w:val="00767BC7"/>
    <w:rsid w:val="00770C62"/>
    <w:rsid w:val="00771EAC"/>
    <w:rsid w:val="007726C3"/>
    <w:rsid w:val="00773103"/>
    <w:rsid w:val="00774D45"/>
    <w:rsid w:val="0077615C"/>
    <w:rsid w:val="00783527"/>
    <w:rsid w:val="007843AD"/>
    <w:rsid w:val="00786346"/>
    <w:rsid w:val="00790165"/>
    <w:rsid w:val="007944E2"/>
    <w:rsid w:val="00794EC6"/>
    <w:rsid w:val="007964B6"/>
    <w:rsid w:val="0079690E"/>
    <w:rsid w:val="007A31BD"/>
    <w:rsid w:val="007A42EC"/>
    <w:rsid w:val="007B5555"/>
    <w:rsid w:val="007C4AE3"/>
    <w:rsid w:val="007D33C9"/>
    <w:rsid w:val="007D4977"/>
    <w:rsid w:val="007D5614"/>
    <w:rsid w:val="007E14FD"/>
    <w:rsid w:val="007E3423"/>
    <w:rsid w:val="007E45FE"/>
    <w:rsid w:val="007E7FD5"/>
    <w:rsid w:val="007F06D6"/>
    <w:rsid w:val="007F1C8A"/>
    <w:rsid w:val="007F3292"/>
    <w:rsid w:val="007F41EE"/>
    <w:rsid w:val="007F5266"/>
    <w:rsid w:val="007F7A0C"/>
    <w:rsid w:val="00801829"/>
    <w:rsid w:val="00801B9D"/>
    <w:rsid w:val="00803D3D"/>
    <w:rsid w:val="00807848"/>
    <w:rsid w:val="00811574"/>
    <w:rsid w:val="00811E49"/>
    <w:rsid w:val="00812671"/>
    <w:rsid w:val="00812B49"/>
    <w:rsid w:val="00813D0F"/>
    <w:rsid w:val="008163F6"/>
    <w:rsid w:val="00816481"/>
    <w:rsid w:val="008176F1"/>
    <w:rsid w:val="00825CC3"/>
    <w:rsid w:val="00832EB3"/>
    <w:rsid w:val="0084119E"/>
    <w:rsid w:val="00851ADD"/>
    <w:rsid w:val="00851D37"/>
    <w:rsid w:val="00854E4D"/>
    <w:rsid w:val="008677CF"/>
    <w:rsid w:val="00872D75"/>
    <w:rsid w:val="008759AB"/>
    <w:rsid w:val="00880A6A"/>
    <w:rsid w:val="0088264A"/>
    <w:rsid w:val="00883620"/>
    <w:rsid w:val="00884828"/>
    <w:rsid w:val="00885D2A"/>
    <w:rsid w:val="008863EC"/>
    <w:rsid w:val="00892569"/>
    <w:rsid w:val="00892CDC"/>
    <w:rsid w:val="0089443C"/>
    <w:rsid w:val="008A1345"/>
    <w:rsid w:val="008A35C6"/>
    <w:rsid w:val="008A5F74"/>
    <w:rsid w:val="008A6059"/>
    <w:rsid w:val="008A73BC"/>
    <w:rsid w:val="008B09DE"/>
    <w:rsid w:val="008B237C"/>
    <w:rsid w:val="008B5EE5"/>
    <w:rsid w:val="008B7F97"/>
    <w:rsid w:val="008C3196"/>
    <w:rsid w:val="008C544B"/>
    <w:rsid w:val="008C6839"/>
    <w:rsid w:val="008C70B5"/>
    <w:rsid w:val="008D056D"/>
    <w:rsid w:val="008D4296"/>
    <w:rsid w:val="008D4491"/>
    <w:rsid w:val="008D6BF7"/>
    <w:rsid w:val="008D7A87"/>
    <w:rsid w:val="008E2B6B"/>
    <w:rsid w:val="008F4124"/>
    <w:rsid w:val="008F4A2C"/>
    <w:rsid w:val="00906624"/>
    <w:rsid w:val="00910AB5"/>
    <w:rsid w:val="009220E4"/>
    <w:rsid w:val="009225B9"/>
    <w:rsid w:val="009243A4"/>
    <w:rsid w:val="009244D1"/>
    <w:rsid w:val="00925AF5"/>
    <w:rsid w:val="00925E5A"/>
    <w:rsid w:val="00931C15"/>
    <w:rsid w:val="0095261C"/>
    <w:rsid w:val="009538AF"/>
    <w:rsid w:val="00954E4C"/>
    <w:rsid w:val="009603AD"/>
    <w:rsid w:val="00961119"/>
    <w:rsid w:val="00963F71"/>
    <w:rsid w:val="00964405"/>
    <w:rsid w:val="009650C3"/>
    <w:rsid w:val="00965DB9"/>
    <w:rsid w:val="00966202"/>
    <w:rsid w:val="009663CE"/>
    <w:rsid w:val="0097000A"/>
    <w:rsid w:val="0097037E"/>
    <w:rsid w:val="00970582"/>
    <w:rsid w:val="009706D0"/>
    <w:rsid w:val="00971483"/>
    <w:rsid w:val="0097412F"/>
    <w:rsid w:val="00975D28"/>
    <w:rsid w:val="00975D6A"/>
    <w:rsid w:val="00976991"/>
    <w:rsid w:val="00985585"/>
    <w:rsid w:val="0098684B"/>
    <w:rsid w:val="00986A40"/>
    <w:rsid w:val="0099173C"/>
    <w:rsid w:val="00994C22"/>
    <w:rsid w:val="00995F63"/>
    <w:rsid w:val="009976C8"/>
    <w:rsid w:val="009A1B64"/>
    <w:rsid w:val="009A2EB3"/>
    <w:rsid w:val="009B5A9D"/>
    <w:rsid w:val="009B6D64"/>
    <w:rsid w:val="009C1899"/>
    <w:rsid w:val="009C210D"/>
    <w:rsid w:val="009C2B52"/>
    <w:rsid w:val="009C4B70"/>
    <w:rsid w:val="009C7BAD"/>
    <w:rsid w:val="009D57B3"/>
    <w:rsid w:val="009D77BA"/>
    <w:rsid w:val="009E1645"/>
    <w:rsid w:val="009E281C"/>
    <w:rsid w:val="009E3C6E"/>
    <w:rsid w:val="009E7633"/>
    <w:rsid w:val="009E788A"/>
    <w:rsid w:val="009F1FCD"/>
    <w:rsid w:val="009F20CC"/>
    <w:rsid w:val="009F3BD3"/>
    <w:rsid w:val="009F42ED"/>
    <w:rsid w:val="009F43ED"/>
    <w:rsid w:val="009F64C5"/>
    <w:rsid w:val="009F7956"/>
    <w:rsid w:val="00A0261A"/>
    <w:rsid w:val="00A03AC4"/>
    <w:rsid w:val="00A10780"/>
    <w:rsid w:val="00A107E5"/>
    <w:rsid w:val="00A21FCC"/>
    <w:rsid w:val="00A235EE"/>
    <w:rsid w:val="00A261E8"/>
    <w:rsid w:val="00A26EA4"/>
    <w:rsid w:val="00A30247"/>
    <w:rsid w:val="00A4637C"/>
    <w:rsid w:val="00A46FD0"/>
    <w:rsid w:val="00A50A71"/>
    <w:rsid w:val="00A517E7"/>
    <w:rsid w:val="00A526F4"/>
    <w:rsid w:val="00A52B74"/>
    <w:rsid w:val="00A61626"/>
    <w:rsid w:val="00A62435"/>
    <w:rsid w:val="00A63DA9"/>
    <w:rsid w:val="00A6688C"/>
    <w:rsid w:val="00A7282F"/>
    <w:rsid w:val="00A7490C"/>
    <w:rsid w:val="00A75E32"/>
    <w:rsid w:val="00A90C3C"/>
    <w:rsid w:val="00A956DA"/>
    <w:rsid w:val="00A9635A"/>
    <w:rsid w:val="00AA6585"/>
    <w:rsid w:val="00AA7CE1"/>
    <w:rsid w:val="00AB1DD7"/>
    <w:rsid w:val="00AB55F5"/>
    <w:rsid w:val="00AC11CF"/>
    <w:rsid w:val="00AC169A"/>
    <w:rsid w:val="00AC3B0A"/>
    <w:rsid w:val="00AD116B"/>
    <w:rsid w:val="00AD1464"/>
    <w:rsid w:val="00AD2AEC"/>
    <w:rsid w:val="00AD543A"/>
    <w:rsid w:val="00AD759F"/>
    <w:rsid w:val="00AD7866"/>
    <w:rsid w:val="00AF101C"/>
    <w:rsid w:val="00AF6206"/>
    <w:rsid w:val="00AF7148"/>
    <w:rsid w:val="00B00956"/>
    <w:rsid w:val="00B05E52"/>
    <w:rsid w:val="00B1105A"/>
    <w:rsid w:val="00B22B5A"/>
    <w:rsid w:val="00B25727"/>
    <w:rsid w:val="00B322EE"/>
    <w:rsid w:val="00B52789"/>
    <w:rsid w:val="00B60029"/>
    <w:rsid w:val="00B6721D"/>
    <w:rsid w:val="00B7154D"/>
    <w:rsid w:val="00B71D6A"/>
    <w:rsid w:val="00B74A59"/>
    <w:rsid w:val="00B766FC"/>
    <w:rsid w:val="00B76E86"/>
    <w:rsid w:val="00B81299"/>
    <w:rsid w:val="00B82C25"/>
    <w:rsid w:val="00B82FBC"/>
    <w:rsid w:val="00B85386"/>
    <w:rsid w:val="00B868C8"/>
    <w:rsid w:val="00B91A1F"/>
    <w:rsid w:val="00B9298F"/>
    <w:rsid w:val="00B94F7D"/>
    <w:rsid w:val="00B971B9"/>
    <w:rsid w:val="00BA029C"/>
    <w:rsid w:val="00BA0B8B"/>
    <w:rsid w:val="00BA1AB0"/>
    <w:rsid w:val="00BA4164"/>
    <w:rsid w:val="00BA4BDB"/>
    <w:rsid w:val="00BA69AA"/>
    <w:rsid w:val="00BB0560"/>
    <w:rsid w:val="00BB3742"/>
    <w:rsid w:val="00BB5CFC"/>
    <w:rsid w:val="00BB7BB9"/>
    <w:rsid w:val="00BC0119"/>
    <w:rsid w:val="00BC1552"/>
    <w:rsid w:val="00BC2E5F"/>
    <w:rsid w:val="00BC5610"/>
    <w:rsid w:val="00BC67C0"/>
    <w:rsid w:val="00BD22D8"/>
    <w:rsid w:val="00BD2400"/>
    <w:rsid w:val="00BE363C"/>
    <w:rsid w:val="00BE4622"/>
    <w:rsid w:val="00BE6F21"/>
    <w:rsid w:val="00BF1BBE"/>
    <w:rsid w:val="00BF4868"/>
    <w:rsid w:val="00BF49B5"/>
    <w:rsid w:val="00BF5A3D"/>
    <w:rsid w:val="00C06290"/>
    <w:rsid w:val="00C10EDD"/>
    <w:rsid w:val="00C11162"/>
    <w:rsid w:val="00C1228C"/>
    <w:rsid w:val="00C1357D"/>
    <w:rsid w:val="00C13A7A"/>
    <w:rsid w:val="00C16085"/>
    <w:rsid w:val="00C30387"/>
    <w:rsid w:val="00C36602"/>
    <w:rsid w:val="00C406B7"/>
    <w:rsid w:val="00C4085F"/>
    <w:rsid w:val="00C44FD8"/>
    <w:rsid w:val="00C53642"/>
    <w:rsid w:val="00C54C9F"/>
    <w:rsid w:val="00C56A32"/>
    <w:rsid w:val="00C56CCD"/>
    <w:rsid w:val="00C5757B"/>
    <w:rsid w:val="00C60BBA"/>
    <w:rsid w:val="00C6278E"/>
    <w:rsid w:val="00C62BC3"/>
    <w:rsid w:val="00C72C6A"/>
    <w:rsid w:val="00C8507F"/>
    <w:rsid w:val="00C8564B"/>
    <w:rsid w:val="00C90469"/>
    <w:rsid w:val="00C90AFF"/>
    <w:rsid w:val="00C91265"/>
    <w:rsid w:val="00C926A3"/>
    <w:rsid w:val="00C93717"/>
    <w:rsid w:val="00C938ED"/>
    <w:rsid w:val="00C95452"/>
    <w:rsid w:val="00C96548"/>
    <w:rsid w:val="00CA112D"/>
    <w:rsid w:val="00CA539B"/>
    <w:rsid w:val="00CA541B"/>
    <w:rsid w:val="00CB16CC"/>
    <w:rsid w:val="00CB57A1"/>
    <w:rsid w:val="00CC1443"/>
    <w:rsid w:val="00CC34C7"/>
    <w:rsid w:val="00CC7121"/>
    <w:rsid w:val="00CD4246"/>
    <w:rsid w:val="00CD617A"/>
    <w:rsid w:val="00CE0372"/>
    <w:rsid w:val="00CF139D"/>
    <w:rsid w:val="00CF1BE8"/>
    <w:rsid w:val="00CF1F67"/>
    <w:rsid w:val="00CF36A6"/>
    <w:rsid w:val="00CF4986"/>
    <w:rsid w:val="00CF5280"/>
    <w:rsid w:val="00D00182"/>
    <w:rsid w:val="00D01361"/>
    <w:rsid w:val="00D03383"/>
    <w:rsid w:val="00D03E3D"/>
    <w:rsid w:val="00D104C1"/>
    <w:rsid w:val="00D12531"/>
    <w:rsid w:val="00D12600"/>
    <w:rsid w:val="00D142F8"/>
    <w:rsid w:val="00D14926"/>
    <w:rsid w:val="00D15EF2"/>
    <w:rsid w:val="00D1620D"/>
    <w:rsid w:val="00D17E31"/>
    <w:rsid w:val="00D22B4C"/>
    <w:rsid w:val="00D2332B"/>
    <w:rsid w:val="00D235DC"/>
    <w:rsid w:val="00D27096"/>
    <w:rsid w:val="00D33438"/>
    <w:rsid w:val="00D34195"/>
    <w:rsid w:val="00D345F4"/>
    <w:rsid w:val="00D34E4D"/>
    <w:rsid w:val="00D36742"/>
    <w:rsid w:val="00D41930"/>
    <w:rsid w:val="00D42405"/>
    <w:rsid w:val="00D50099"/>
    <w:rsid w:val="00D50CE6"/>
    <w:rsid w:val="00D52DB3"/>
    <w:rsid w:val="00D5404B"/>
    <w:rsid w:val="00D54FC6"/>
    <w:rsid w:val="00D55D22"/>
    <w:rsid w:val="00D55F18"/>
    <w:rsid w:val="00D56D51"/>
    <w:rsid w:val="00D60F7B"/>
    <w:rsid w:val="00D61405"/>
    <w:rsid w:val="00D61487"/>
    <w:rsid w:val="00D63ED5"/>
    <w:rsid w:val="00D6758D"/>
    <w:rsid w:val="00D67610"/>
    <w:rsid w:val="00D704CB"/>
    <w:rsid w:val="00D70773"/>
    <w:rsid w:val="00D72A01"/>
    <w:rsid w:val="00D731F8"/>
    <w:rsid w:val="00D754BB"/>
    <w:rsid w:val="00D804CB"/>
    <w:rsid w:val="00D82080"/>
    <w:rsid w:val="00D8499A"/>
    <w:rsid w:val="00D86F0B"/>
    <w:rsid w:val="00D92341"/>
    <w:rsid w:val="00D92E14"/>
    <w:rsid w:val="00D93D1A"/>
    <w:rsid w:val="00D96E78"/>
    <w:rsid w:val="00D97630"/>
    <w:rsid w:val="00DA5863"/>
    <w:rsid w:val="00DA5FA8"/>
    <w:rsid w:val="00DB143E"/>
    <w:rsid w:val="00DB3E13"/>
    <w:rsid w:val="00DB3EDB"/>
    <w:rsid w:val="00DB5883"/>
    <w:rsid w:val="00DC3980"/>
    <w:rsid w:val="00DC43C8"/>
    <w:rsid w:val="00DC6ADB"/>
    <w:rsid w:val="00DD11D5"/>
    <w:rsid w:val="00DD1290"/>
    <w:rsid w:val="00DD3ECA"/>
    <w:rsid w:val="00DD4CB5"/>
    <w:rsid w:val="00DD5283"/>
    <w:rsid w:val="00DD60E1"/>
    <w:rsid w:val="00DD69B6"/>
    <w:rsid w:val="00DD77E8"/>
    <w:rsid w:val="00DD7AA5"/>
    <w:rsid w:val="00DE7DB3"/>
    <w:rsid w:val="00DF01A6"/>
    <w:rsid w:val="00DF0E0D"/>
    <w:rsid w:val="00DF1EE6"/>
    <w:rsid w:val="00DF2C6E"/>
    <w:rsid w:val="00DF3CB3"/>
    <w:rsid w:val="00E06044"/>
    <w:rsid w:val="00E06C6C"/>
    <w:rsid w:val="00E06F4A"/>
    <w:rsid w:val="00E10C85"/>
    <w:rsid w:val="00E113FE"/>
    <w:rsid w:val="00E13247"/>
    <w:rsid w:val="00E21A80"/>
    <w:rsid w:val="00E260B0"/>
    <w:rsid w:val="00E26AE3"/>
    <w:rsid w:val="00E26B7C"/>
    <w:rsid w:val="00E32BB8"/>
    <w:rsid w:val="00E33961"/>
    <w:rsid w:val="00E34452"/>
    <w:rsid w:val="00E40475"/>
    <w:rsid w:val="00E406A9"/>
    <w:rsid w:val="00E43BD6"/>
    <w:rsid w:val="00E44076"/>
    <w:rsid w:val="00E45E94"/>
    <w:rsid w:val="00E533F3"/>
    <w:rsid w:val="00E53941"/>
    <w:rsid w:val="00E54C0A"/>
    <w:rsid w:val="00E560AB"/>
    <w:rsid w:val="00E561DA"/>
    <w:rsid w:val="00E56B4C"/>
    <w:rsid w:val="00E57BA7"/>
    <w:rsid w:val="00E63C5F"/>
    <w:rsid w:val="00E64F00"/>
    <w:rsid w:val="00E718BB"/>
    <w:rsid w:val="00E74C71"/>
    <w:rsid w:val="00E83112"/>
    <w:rsid w:val="00E84229"/>
    <w:rsid w:val="00E91DC7"/>
    <w:rsid w:val="00E93989"/>
    <w:rsid w:val="00EA0BD5"/>
    <w:rsid w:val="00EA11E2"/>
    <w:rsid w:val="00EA2CA5"/>
    <w:rsid w:val="00EA3B29"/>
    <w:rsid w:val="00EA754C"/>
    <w:rsid w:val="00EB68DF"/>
    <w:rsid w:val="00EB7D8F"/>
    <w:rsid w:val="00EC0087"/>
    <w:rsid w:val="00EC0F1F"/>
    <w:rsid w:val="00EC4266"/>
    <w:rsid w:val="00ED124A"/>
    <w:rsid w:val="00ED5A95"/>
    <w:rsid w:val="00EE03EE"/>
    <w:rsid w:val="00EE1A39"/>
    <w:rsid w:val="00EE2EA5"/>
    <w:rsid w:val="00EE347A"/>
    <w:rsid w:val="00EE3598"/>
    <w:rsid w:val="00EE362E"/>
    <w:rsid w:val="00EF0FAD"/>
    <w:rsid w:val="00EF2CEE"/>
    <w:rsid w:val="00EF416A"/>
    <w:rsid w:val="00F00E06"/>
    <w:rsid w:val="00F051EC"/>
    <w:rsid w:val="00F05414"/>
    <w:rsid w:val="00F064B2"/>
    <w:rsid w:val="00F20A0F"/>
    <w:rsid w:val="00F20E2F"/>
    <w:rsid w:val="00F21B3E"/>
    <w:rsid w:val="00F23B2C"/>
    <w:rsid w:val="00F24400"/>
    <w:rsid w:val="00F300D3"/>
    <w:rsid w:val="00F30884"/>
    <w:rsid w:val="00F30AB6"/>
    <w:rsid w:val="00F372BA"/>
    <w:rsid w:val="00F37A43"/>
    <w:rsid w:val="00F40931"/>
    <w:rsid w:val="00F41874"/>
    <w:rsid w:val="00F41A59"/>
    <w:rsid w:val="00F41BE7"/>
    <w:rsid w:val="00F4500B"/>
    <w:rsid w:val="00F46FF3"/>
    <w:rsid w:val="00F52628"/>
    <w:rsid w:val="00F558C4"/>
    <w:rsid w:val="00F63444"/>
    <w:rsid w:val="00F71E44"/>
    <w:rsid w:val="00F720AA"/>
    <w:rsid w:val="00F728B5"/>
    <w:rsid w:val="00F734BD"/>
    <w:rsid w:val="00F77F59"/>
    <w:rsid w:val="00F82498"/>
    <w:rsid w:val="00F93E87"/>
    <w:rsid w:val="00FA17BE"/>
    <w:rsid w:val="00FB245A"/>
    <w:rsid w:val="00FB7B7B"/>
    <w:rsid w:val="00FC0200"/>
    <w:rsid w:val="00FC1941"/>
    <w:rsid w:val="00FC2246"/>
    <w:rsid w:val="00FC2818"/>
    <w:rsid w:val="00FD05D1"/>
    <w:rsid w:val="00FD0BDD"/>
    <w:rsid w:val="00FD1ADF"/>
    <w:rsid w:val="00FD2B7B"/>
    <w:rsid w:val="00FD428C"/>
    <w:rsid w:val="00FD58DD"/>
    <w:rsid w:val="00FD648B"/>
    <w:rsid w:val="00FE2324"/>
    <w:rsid w:val="00FE681B"/>
    <w:rsid w:val="00FE7CF0"/>
    <w:rsid w:val="00FF1A36"/>
    <w:rsid w:val="00FF1E24"/>
    <w:rsid w:val="00FF226C"/>
    <w:rsid w:val="00FF4F2D"/>
    <w:rsid w:val="00FF5D71"/>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8B2"/>
  </w:style>
  <w:style w:type="paragraph" w:styleId="Heading1">
    <w:name w:val="heading 1"/>
    <w:next w:val="Normal"/>
    <w:link w:val="Heading1Char"/>
    <w:autoRedefine/>
    <w:uiPriority w:val="9"/>
    <w:qFormat/>
    <w:rsid w:val="00092116"/>
    <w:pPr>
      <w:keepNext/>
      <w:keepLines/>
      <w:spacing w:after="152" w:line="360" w:lineRule="auto"/>
      <w:ind w:right="2"/>
      <w:jc w:val="center"/>
      <w:outlineLvl w:val="0"/>
    </w:pPr>
    <w:rPr>
      <w:rFonts w:ascii="Arial" w:eastAsia="Times New Roman" w:hAnsi="Arial" w:cs="Arial"/>
      <w:b/>
      <w:bCs/>
      <w:color w:val="000000"/>
      <w:sz w:val="32"/>
    </w:rPr>
  </w:style>
  <w:style w:type="paragraph" w:styleId="Heading2">
    <w:name w:val="heading 2"/>
    <w:next w:val="Normal"/>
    <w:link w:val="Heading2Char"/>
    <w:autoRedefine/>
    <w:uiPriority w:val="9"/>
    <w:unhideWhenUsed/>
    <w:qFormat/>
    <w:rsid w:val="0022637B"/>
    <w:pPr>
      <w:keepNext/>
      <w:keepLines/>
      <w:spacing w:after="0" w:line="360" w:lineRule="auto"/>
      <w:ind w:left="10" w:right="2" w:hanging="10"/>
      <w:jc w:val="both"/>
      <w:outlineLvl w:val="1"/>
    </w:pPr>
    <w:rPr>
      <w:rFonts w:ascii="Arial" w:eastAsia="Times New Roman" w:hAnsi="Arial" w:cs="Arial"/>
      <w:b/>
      <w:color w:val="000000"/>
      <w:sz w:val="28"/>
    </w:rPr>
  </w:style>
  <w:style w:type="paragraph" w:styleId="Heading3">
    <w:name w:val="heading 3"/>
    <w:next w:val="Normal"/>
    <w:link w:val="Heading3Char"/>
    <w:autoRedefine/>
    <w:uiPriority w:val="9"/>
    <w:unhideWhenUsed/>
    <w:qFormat/>
    <w:rsid w:val="00F051EC"/>
    <w:pPr>
      <w:keepNext/>
      <w:keepLines/>
      <w:spacing w:after="0" w:line="360" w:lineRule="auto"/>
      <w:jc w:val="both"/>
      <w:outlineLvl w:val="2"/>
    </w:pPr>
    <w:rPr>
      <w:rFonts w:ascii="Arial" w:eastAsia="Times New Roman" w:hAnsi="Arial" w:cs="Arial"/>
      <w:b/>
      <w:sz w:val="24"/>
      <w:u w:color="000000"/>
    </w:rPr>
  </w:style>
  <w:style w:type="paragraph" w:styleId="Heading4">
    <w:name w:val="heading 4"/>
    <w:basedOn w:val="Normal"/>
    <w:next w:val="Normal"/>
    <w:link w:val="Heading4Char"/>
    <w:uiPriority w:val="9"/>
    <w:semiHidden/>
    <w:unhideWhenUsed/>
    <w:qFormat/>
    <w:rsid w:val="00393D3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116"/>
    <w:rPr>
      <w:rFonts w:ascii="Arial" w:eastAsia="Times New Roman" w:hAnsi="Arial" w:cs="Arial"/>
      <w:b/>
      <w:bCs/>
      <w:color w:val="000000"/>
      <w:sz w:val="32"/>
    </w:rPr>
  </w:style>
  <w:style w:type="character" w:customStyle="1" w:styleId="Heading2Char">
    <w:name w:val="Heading 2 Char"/>
    <w:basedOn w:val="DefaultParagraphFont"/>
    <w:link w:val="Heading2"/>
    <w:uiPriority w:val="9"/>
    <w:rsid w:val="0022637B"/>
    <w:rPr>
      <w:rFonts w:ascii="Arial" w:eastAsia="Times New Roman" w:hAnsi="Arial" w:cs="Arial"/>
      <w:b/>
      <w:color w:val="000000"/>
      <w:sz w:val="28"/>
    </w:rPr>
  </w:style>
  <w:style w:type="character" w:customStyle="1" w:styleId="Heading3Char">
    <w:name w:val="Heading 3 Char"/>
    <w:basedOn w:val="DefaultParagraphFont"/>
    <w:link w:val="Heading3"/>
    <w:uiPriority w:val="9"/>
    <w:rsid w:val="00F051EC"/>
    <w:rPr>
      <w:rFonts w:ascii="Arial" w:eastAsia="Times New Roman" w:hAnsi="Arial" w:cs="Arial"/>
      <w:b/>
      <w:sz w:val="24"/>
      <w:u w:color="000000"/>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BD24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400"/>
  </w:style>
  <w:style w:type="paragraph" w:styleId="ListParagraph">
    <w:name w:val="List Paragraph"/>
    <w:basedOn w:val="Normal"/>
    <w:uiPriority w:val="34"/>
    <w:qFormat/>
    <w:rsid w:val="00C938ED"/>
    <w:pPr>
      <w:ind w:left="720"/>
      <w:contextualSpacing/>
    </w:pPr>
  </w:style>
  <w:style w:type="paragraph" w:styleId="TOCHeading">
    <w:name w:val="TOC Heading"/>
    <w:basedOn w:val="Heading1"/>
    <w:next w:val="Normal"/>
    <w:uiPriority w:val="39"/>
    <w:unhideWhenUsed/>
    <w:qFormat/>
    <w:rsid w:val="00F20E2F"/>
    <w:pPr>
      <w:spacing w:before="240" w:after="0" w:line="259" w:lineRule="auto"/>
      <w:ind w:right="0"/>
      <w:jc w:val="left"/>
      <w:outlineLvl w:val="9"/>
    </w:pPr>
    <w:rPr>
      <w:rFonts w:asciiTheme="majorHAnsi" w:eastAsiaTheme="majorEastAsia" w:hAnsiTheme="majorHAnsi" w:cstheme="majorBidi"/>
      <w:b w:val="0"/>
      <w:color w:val="2F5496" w:themeColor="accent1" w:themeShade="BF"/>
      <w:kern w:val="0"/>
      <w:szCs w:val="32"/>
      <w:lang w:val="en-US" w:eastAsia="en-US"/>
      <w14:ligatures w14:val="none"/>
    </w:rPr>
  </w:style>
  <w:style w:type="paragraph" w:styleId="TOC2">
    <w:name w:val="toc 2"/>
    <w:basedOn w:val="Normal"/>
    <w:next w:val="Normal"/>
    <w:autoRedefine/>
    <w:uiPriority w:val="39"/>
    <w:unhideWhenUsed/>
    <w:rsid w:val="00F20E2F"/>
    <w:pPr>
      <w:spacing w:after="100"/>
      <w:ind w:left="220"/>
    </w:pPr>
  </w:style>
  <w:style w:type="character" w:styleId="Hyperlink">
    <w:name w:val="Hyperlink"/>
    <w:basedOn w:val="DefaultParagraphFont"/>
    <w:uiPriority w:val="99"/>
    <w:unhideWhenUsed/>
    <w:rsid w:val="00F20E2F"/>
    <w:rPr>
      <w:color w:val="0563C1" w:themeColor="hyperlink"/>
      <w:u w:val="single"/>
    </w:rPr>
  </w:style>
  <w:style w:type="paragraph" w:styleId="TOC3">
    <w:name w:val="toc 3"/>
    <w:basedOn w:val="Normal"/>
    <w:next w:val="Normal"/>
    <w:autoRedefine/>
    <w:uiPriority w:val="39"/>
    <w:unhideWhenUsed/>
    <w:rsid w:val="00D63ED5"/>
    <w:pPr>
      <w:spacing w:after="100"/>
      <w:ind w:left="440"/>
    </w:pPr>
  </w:style>
  <w:style w:type="table" w:styleId="TableGrid">
    <w:name w:val="Table Grid"/>
    <w:basedOn w:val="TableNormal"/>
    <w:uiPriority w:val="39"/>
    <w:rsid w:val="004F7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F226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A3104"/>
    <w:pPr>
      <w:spacing w:after="0"/>
    </w:pPr>
  </w:style>
  <w:style w:type="table" w:customStyle="1" w:styleId="TableGrid1">
    <w:name w:val="Table Grid1"/>
    <w:basedOn w:val="TableNormal"/>
    <w:next w:val="TableGrid"/>
    <w:uiPriority w:val="39"/>
    <w:rsid w:val="00786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393D36"/>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3521B1"/>
    <w:rPr>
      <w:b/>
      <w:bCs/>
    </w:rPr>
  </w:style>
  <w:style w:type="paragraph" w:styleId="BalloonText">
    <w:name w:val="Balloon Text"/>
    <w:basedOn w:val="Normal"/>
    <w:link w:val="BalloonTextChar"/>
    <w:uiPriority w:val="99"/>
    <w:semiHidden/>
    <w:unhideWhenUsed/>
    <w:rsid w:val="000415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5FF"/>
    <w:rPr>
      <w:rFonts w:ascii="Segoe UI" w:hAnsi="Segoe UI" w:cs="Segoe UI"/>
      <w:sz w:val="18"/>
      <w:szCs w:val="18"/>
    </w:rPr>
  </w:style>
  <w:style w:type="paragraph" w:customStyle="1" w:styleId="isselectedend">
    <w:name w:val="isselectedend"/>
    <w:basedOn w:val="Normal"/>
    <w:rsid w:val="00111B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11B79"/>
    <w:rPr>
      <w:i/>
      <w:iCs/>
    </w:rPr>
  </w:style>
  <w:style w:type="character" w:customStyle="1" w:styleId="text-token-text-primary">
    <w:name w:val="text-token-text-primary"/>
    <w:basedOn w:val="DefaultParagraphFont"/>
    <w:rsid w:val="00111B79"/>
  </w:style>
  <w:style w:type="paragraph" w:styleId="NormalWeb">
    <w:name w:val="Normal (Web)"/>
    <w:basedOn w:val="Normal"/>
    <w:uiPriority w:val="99"/>
    <w:semiHidden/>
    <w:unhideWhenUsed/>
    <w:rsid w:val="00111B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DF0E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96397">
      <w:bodyDiv w:val="1"/>
      <w:marLeft w:val="0"/>
      <w:marRight w:val="0"/>
      <w:marTop w:val="0"/>
      <w:marBottom w:val="0"/>
      <w:divBdr>
        <w:top w:val="none" w:sz="0" w:space="0" w:color="auto"/>
        <w:left w:val="none" w:sz="0" w:space="0" w:color="auto"/>
        <w:bottom w:val="none" w:sz="0" w:space="0" w:color="auto"/>
        <w:right w:val="none" w:sz="0" w:space="0" w:color="auto"/>
      </w:divBdr>
    </w:div>
    <w:div w:id="166143799">
      <w:bodyDiv w:val="1"/>
      <w:marLeft w:val="0"/>
      <w:marRight w:val="0"/>
      <w:marTop w:val="0"/>
      <w:marBottom w:val="0"/>
      <w:divBdr>
        <w:top w:val="none" w:sz="0" w:space="0" w:color="auto"/>
        <w:left w:val="none" w:sz="0" w:space="0" w:color="auto"/>
        <w:bottom w:val="none" w:sz="0" w:space="0" w:color="auto"/>
        <w:right w:val="none" w:sz="0" w:space="0" w:color="auto"/>
      </w:divBdr>
    </w:div>
    <w:div w:id="188766634">
      <w:bodyDiv w:val="1"/>
      <w:marLeft w:val="0"/>
      <w:marRight w:val="0"/>
      <w:marTop w:val="0"/>
      <w:marBottom w:val="0"/>
      <w:divBdr>
        <w:top w:val="none" w:sz="0" w:space="0" w:color="auto"/>
        <w:left w:val="none" w:sz="0" w:space="0" w:color="auto"/>
        <w:bottom w:val="none" w:sz="0" w:space="0" w:color="auto"/>
        <w:right w:val="none" w:sz="0" w:space="0" w:color="auto"/>
      </w:divBdr>
    </w:div>
    <w:div w:id="193467407">
      <w:bodyDiv w:val="1"/>
      <w:marLeft w:val="0"/>
      <w:marRight w:val="0"/>
      <w:marTop w:val="0"/>
      <w:marBottom w:val="0"/>
      <w:divBdr>
        <w:top w:val="none" w:sz="0" w:space="0" w:color="auto"/>
        <w:left w:val="none" w:sz="0" w:space="0" w:color="auto"/>
        <w:bottom w:val="none" w:sz="0" w:space="0" w:color="auto"/>
        <w:right w:val="none" w:sz="0" w:space="0" w:color="auto"/>
      </w:divBdr>
      <w:divsChild>
        <w:div w:id="172113684">
          <w:marLeft w:val="0"/>
          <w:marRight w:val="0"/>
          <w:marTop w:val="0"/>
          <w:marBottom w:val="0"/>
          <w:divBdr>
            <w:top w:val="none" w:sz="0" w:space="0" w:color="auto"/>
            <w:left w:val="none" w:sz="0" w:space="0" w:color="auto"/>
            <w:bottom w:val="none" w:sz="0" w:space="0" w:color="auto"/>
            <w:right w:val="none" w:sz="0" w:space="0" w:color="auto"/>
          </w:divBdr>
          <w:divsChild>
            <w:div w:id="6850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12637">
      <w:bodyDiv w:val="1"/>
      <w:marLeft w:val="0"/>
      <w:marRight w:val="0"/>
      <w:marTop w:val="0"/>
      <w:marBottom w:val="0"/>
      <w:divBdr>
        <w:top w:val="none" w:sz="0" w:space="0" w:color="auto"/>
        <w:left w:val="none" w:sz="0" w:space="0" w:color="auto"/>
        <w:bottom w:val="none" w:sz="0" w:space="0" w:color="auto"/>
        <w:right w:val="none" w:sz="0" w:space="0" w:color="auto"/>
      </w:divBdr>
    </w:div>
    <w:div w:id="333605047">
      <w:bodyDiv w:val="1"/>
      <w:marLeft w:val="0"/>
      <w:marRight w:val="0"/>
      <w:marTop w:val="0"/>
      <w:marBottom w:val="0"/>
      <w:divBdr>
        <w:top w:val="none" w:sz="0" w:space="0" w:color="auto"/>
        <w:left w:val="none" w:sz="0" w:space="0" w:color="auto"/>
        <w:bottom w:val="none" w:sz="0" w:space="0" w:color="auto"/>
        <w:right w:val="none" w:sz="0" w:space="0" w:color="auto"/>
      </w:divBdr>
    </w:div>
    <w:div w:id="376635761">
      <w:bodyDiv w:val="1"/>
      <w:marLeft w:val="0"/>
      <w:marRight w:val="0"/>
      <w:marTop w:val="0"/>
      <w:marBottom w:val="0"/>
      <w:divBdr>
        <w:top w:val="none" w:sz="0" w:space="0" w:color="auto"/>
        <w:left w:val="none" w:sz="0" w:space="0" w:color="auto"/>
        <w:bottom w:val="none" w:sz="0" w:space="0" w:color="auto"/>
        <w:right w:val="none" w:sz="0" w:space="0" w:color="auto"/>
      </w:divBdr>
    </w:div>
    <w:div w:id="446391111">
      <w:bodyDiv w:val="1"/>
      <w:marLeft w:val="0"/>
      <w:marRight w:val="0"/>
      <w:marTop w:val="0"/>
      <w:marBottom w:val="0"/>
      <w:divBdr>
        <w:top w:val="none" w:sz="0" w:space="0" w:color="auto"/>
        <w:left w:val="none" w:sz="0" w:space="0" w:color="auto"/>
        <w:bottom w:val="none" w:sz="0" w:space="0" w:color="auto"/>
        <w:right w:val="none" w:sz="0" w:space="0" w:color="auto"/>
      </w:divBdr>
      <w:divsChild>
        <w:div w:id="230696827">
          <w:marLeft w:val="0"/>
          <w:marRight w:val="0"/>
          <w:marTop w:val="0"/>
          <w:marBottom w:val="0"/>
          <w:divBdr>
            <w:top w:val="none" w:sz="0" w:space="0" w:color="auto"/>
            <w:left w:val="none" w:sz="0" w:space="0" w:color="auto"/>
            <w:bottom w:val="none" w:sz="0" w:space="0" w:color="auto"/>
            <w:right w:val="none" w:sz="0" w:space="0" w:color="auto"/>
          </w:divBdr>
          <w:divsChild>
            <w:div w:id="213497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858346">
      <w:bodyDiv w:val="1"/>
      <w:marLeft w:val="0"/>
      <w:marRight w:val="0"/>
      <w:marTop w:val="0"/>
      <w:marBottom w:val="0"/>
      <w:divBdr>
        <w:top w:val="none" w:sz="0" w:space="0" w:color="auto"/>
        <w:left w:val="none" w:sz="0" w:space="0" w:color="auto"/>
        <w:bottom w:val="none" w:sz="0" w:space="0" w:color="auto"/>
        <w:right w:val="none" w:sz="0" w:space="0" w:color="auto"/>
      </w:divBdr>
    </w:div>
    <w:div w:id="563637814">
      <w:bodyDiv w:val="1"/>
      <w:marLeft w:val="0"/>
      <w:marRight w:val="0"/>
      <w:marTop w:val="0"/>
      <w:marBottom w:val="0"/>
      <w:divBdr>
        <w:top w:val="none" w:sz="0" w:space="0" w:color="auto"/>
        <w:left w:val="none" w:sz="0" w:space="0" w:color="auto"/>
        <w:bottom w:val="none" w:sz="0" w:space="0" w:color="auto"/>
        <w:right w:val="none" w:sz="0" w:space="0" w:color="auto"/>
      </w:divBdr>
      <w:divsChild>
        <w:div w:id="1767071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763997">
      <w:bodyDiv w:val="1"/>
      <w:marLeft w:val="0"/>
      <w:marRight w:val="0"/>
      <w:marTop w:val="0"/>
      <w:marBottom w:val="0"/>
      <w:divBdr>
        <w:top w:val="none" w:sz="0" w:space="0" w:color="auto"/>
        <w:left w:val="none" w:sz="0" w:space="0" w:color="auto"/>
        <w:bottom w:val="none" w:sz="0" w:space="0" w:color="auto"/>
        <w:right w:val="none" w:sz="0" w:space="0" w:color="auto"/>
      </w:divBdr>
    </w:div>
    <w:div w:id="658536701">
      <w:bodyDiv w:val="1"/>
      <w:marLeft w:val="0"/>
      <w:marRight w:val="0"/>
      <w:marTop w:val="0"/>
      <w:marBottom w:val="0"/>
      <w:divBdr>
        <w:top w:val="none" w:sz="0" w:space="0" w:color="auto"/>
        <w:left w:val="none" w:sz="0" w:space="0" w:color="auto"/>
        <w:bottom w:val="none" w:sz="0" w:space="0" w:color="auto"/>
        <w:right w:val="none" w:sz="0" w:space="0" w:color="auto"/>
      </w:divBdr>
    </w:div>
    <w:div w:id="763379884">
      <w:bodyDiv w:val="1"/>
      <w:marLeft w:val="0"/>
      <w:marRight w:val="0"/>
      <w:marTop w:val="0"/>
      <w:marBottom w:val="0"/>
      <w:divBdr>
        <w:top w:val="none" w:sz="0" w:space="0" w:color="auto"/>
        <w:left w:val="none" w:sz="0" w:space="0" w:color="auto"/>
        <w:bottom w:val="none" w:sz="0" w:space="0" w:color="auto"/>
        <w:right w:val="none" w:sz="0" w:space="0" w:color="auto"/>
      </w:divBdr>
      <w:divsChild>
        <w:div w:id="360521225">
          <w:blockQuote w:val="1"/>
          <w:marLeft w:val="720"/>
          <w:marRight w:val="720"/>
          <w:marTop w:val="100"/>
          <w:marBottom w:val="100"/>
          <w:divBdr>
            <w:top w:val="none" w:sz="0" w:space="0" w:color="auto"/>
            <w:left w:val="none" w:sz="0" w:space="0" w:color="auto"/>
            <w:bottom w:val="none" w:sz="0" w:space="0" w:color="auto"/>
            <w:right w:val="none" w:sz="0" w:space="0" w:color="auto"/>
          </w:divBdr>
        </w:div>
        <w:div w:id="1557474748">
          <w:blockQuote w:val="1"/>
          <w:marLeft w:val="720"/>
          <w:marRight w:val="720"/>
          <w:marTop w:val="100"/>
          <w:marBottom w:val="100"/>
          <w:divBdr>
            <w:top w:val="none" w:sz="0" w:space="0" w:color="auto"/>
            <w:left w:val="none" w:sz="0" w:space="0" w:color="auto"/>
            <w:bottom w:val="none" w:sz="0" w:space="0" w:color="auto"/>
            <w:right w:val="none" w:sz="0" w:space="0" w:color="auto"/>
          </w:divBdr>
        </w:div>
        <w:div w:id="537279676">
          <w:blockQuote w:val="1"/>
          <w:marLeft w:val="720"/>
          <w:marRight w:val="720"/>
          <w:marTop w:val="100"/>
          <w:marBottom w:val="100"/>
          <w:divBdr>
            <w:top w:val="none" w:sz="0" w:space="0" w:color="auto"/>
            <w:left w:val="none" w:sz="0" w:space="0" w:color="auto"/>
            <w:bottom w:val="none" w:sz="0" w:space="0" w:color="auto"/>
            <w:right w:val="none" w:sz="0" w:space="0" w:color="auto"/>
          </w:divBdr>
        </w:div>
        <w:div w:id="546573237">
          <w:blockQuote w:val="1"/>
          <w:marLeft w:val="720"/>
          <w:marRight w:val="720"/>
          <w:marTop w:val="100"/>
          <w:marBottom w:val="100"/>
          <w:divBdr>
            <w:top w:val="none" w:sz="0" w:space="0" w:color="auto"/>
            <w:left w:val="none" w:sz="0" w:space="0" w:color="auto"/>
            <w:bottom w:val="none" w:sz="0" w:space="0" w:color="auto"/>
            <w:right w:val="none" w:sz="0" w:space="0" w:color="auto"/>
          </w:divBdr>
        </w:div>
        <w:div w:id="327907756">
          <w:blockQuote w:val="1"/>
          <w:marLeft w:val="720"/>
          <w:marRight w:val="720"/>
          <w:marTop w:val="100"/>
          <w:marBottom w:val="100"/>
          <w:divBdr>
            <w:top w:val="none" w:sz="0" w:space="0" w:color="auto"/>
            <w:left w:val="none" w:sz="0" w:space="0" w:color="auto"/>
            <w:bottom w:val="none" w:sz="0" w:space="0" w:color="auto"/>
            <w:right w:val="none" w:sz="0" w:space="0" w:color="auto"/>
          </w:divBdr>
        </w:div>
        <w:div w:id="889071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3721487">
      <w:bodyDiv w:val="1"/>
      <w:marLeft w:val="0"/>
      <w:marRight w:val="0"/>
      <w:marTop w:val="0"/>
      <w:marBottom w:val="0"/>
      <w:divBdr>
        <w:top w:val="none" w:sz="0" w:space="0" w:color="auto"/>
        <w:left w:val="none" w:sz="0" w:space="0" w:color="auto"/>
        <w:bottom w:val="none" w:sz="0" w:space="0" w:color="auto"/>
        <w:right w:val="none" w:sz="0" w:space="0" w:color="auto"/>
      </w:divBdr>
    </w:div>
    <w:div w:id="1027831254">
      <w:bodyDiv w:val="1"/>
      <w:marLeft w:val="0"/>
      <w:marRight w:val="0"/>
      <w:marTop w:val="0"/>
      <w:marBottom w:val="0"/>
      <w:divBdr>
        <w:top w:val="none" w:sz="0" w:space="0" w:color="auto"/>
        <w:left w:val="none" w:sz="0" w:space="0" w:color="auto"/>
        <w:bottom w:val="none" w:sz="0" w:space="0" w:color="auto"/>
        <w:right w:val="none" w:sz="0" w:space="0" w:color="auto"/>
      </w:divBdr>
    </w:div>
    <w:div w:id="1085227637">
      <w:bodyDiv w:val="1"/>
      <w:marLeft w:val="0"/>
      <w:marRight w:val="0"/>
      <w:marTop w:val="0"/>
      <w:marBottom w:val="0"/>
      <w:divBdr>
        <w:top w:val="none" w:sz="0" w:space="0" w:color="auto"/>
        <w:left w:val="none" w:sz="0" w:space="0" w:color="auto"/>
        <w:bottom w:val="none" w:sz="0" w:space="0" w:color="auto"/>
        <w:right w:val="none" w:sz="0" w:space="0" w:color="auto"/>
      </w:divBdr>
    </w:div>
    <w:div w:id="1137797259">
      <w:bodyDiv w:val="1"/>
      <w:marLeft w:val="0"/>
      <w:marRight w:val="0"/>
      <w:marTop w:val="0"/>
      <w:marBottom w:val="0"/>
      <w:divBdr>
        <w:top w:val="none" w:sz="0" w:space="0" w:color="auto"/>
        <w:left w:val="none" w:sz="0" w:space="0" w:color="auto"/>
        <w:bottom w:val="none" w:sz="0" w:space="0" w:color="auto"/>
        <w:right w:val="none" w:sz="0" w:space="0" w:color="auto"/>
      </w:divBdr>
    </w:div>
    <w:div w:id="1151943419">
      <w:bodyDiv w:val="1"/>
      <w:marLeft w:val="0"/>
      <w:marRight w:val="0"/>
      <w:marTop w:val="0"/>
      <w:marBottom w:val="0"/>
      <w:divBdr>
        <w:top w:val="none" w:sz="0" w:space="0" w:color="auto"/>
        <w:left w:val="none" w:sz="0" w:space="0" w:color="auto"/>
        <w:bottom w:val="none" w:sz="0" w:space="0" w:color="auto"/>
        <w:right w:val="none" w:sz="0" w:space="0" w:color="auto"/>
      </w:divBdr>
      <w:divsChild>
        <w:div w:id="144201677">
          <w:marLeft w:val="0"/>
          <w:marRight w:val="0"/>
          <w:marTop w:val="0"/>
          <w:marBottom w:val="0"/>
          <w:divBdr>
            <w:top w:val="none" w:sz="0" w:space="0" w:color="auto"/>
            <w:left w:val="none" w:sz="0" w:space="0" w:color="auto"/>
            <w:bottom w:val="none" w:sz="0" w:space="0" w:color="auto"/>
            <w:right w:val="none" w:sz="0" w:space="0" w:color="auto"/>
          </w:divBdr>
          <w:divsChild>
            <w:div w:id="41909050">
              <w:marLeft w:val="0"/>
              <w:marRight w:val="0"/>
              <w:marTop w:val="0"/>
              <w:marBottom w:val="0"/>
              <w:divBdr>
                <w:top w:val="none" w:sz="0" w:space="0" w:color="auto"/>
                <w:left w:val="none" w:sz="0" w:space="0" w:color="auto"/>
                <w:bottom w:val="none" w:sz="0" w:space="0" w:color="auto"/>
                <w:right w:val="none" w:sz="0" w:space="0" w:color="auto"/>
              </w:divBdr>
              <w:divsChild>
                <w:div w:id="1228997812">
                  <w:marLeft w:val="0"/>
                  <w:marRight w:val="0"/>
                  <w:marTop w:val="0"/>
                  <w:marBottom w:val="0"/>
                  <w:divBdr>
                    <w:top w:val="none" w:sz="0" w:space="0" w:color="auto"/>
                    <w:left w:val="none" w:sz="0" w:space="0" w:color="auto"/>
                    <w:bottom w:val="none" w:sz="0" w:space="0" w:color="auto"/>
                    <w:right w:val="none" w:sz="0" w:space="0" w:color="auto"/>
                  </w:divBdr>
                  <w:divsChild>
                    <w:div w:id="1091898954">
                      <w:marLeft w:val="0"/>
                      <w:marRight w:val="0"/>
                      <w:marTop w:val="0"/>
                      <w:marBottom w:val="0"/>
                      <w:divBdr>
                        <w:top w:val="none" w:sz="0" w:space="0" w:color="auto"/>
                        <w:left w:val="none" w:sz="0" w:space="0" w:color="auto"/>
                        <w:bottom w:val="none" w:sz="0" w:space="0" w:color="auto"/>
                        <w:right w:val="none" w:sz="0" w:space="0" w:color="auto"/>
                      </w:divBdr>
                      <w:divsChild>
                        <w:div w:id="1538738433">
                          <w:marLeft w:val="0"/>
                          <w:marRight w:val="0"/>
                          <w:marTop w:val="0"/>
                          <w:marBottom w:val="0"/>
                          <w:divBdr>
                            <w:top w:val="none" w:sz="0" w:space="0" w:color="auto"/>
                            <w:left w:val="none" w:sz="0" w:space="0" w:color="auto"/>
                            <w:bottom w:val="none" w:sz="0" w:space="0" w:color="auto"/>
                            <w:right w:val="none" w:sz="0" w:space="0" w:color="auto"/>
                          </w:divBdr>
                          <w:divsChild>
                            <w:div w:id="14894574">
                              <w:marLeft w:val="0"/>
                              <w:marRight w:val="0"/>
                              <w:marTop w:val="0"/>
                              <w:marBottom w:val="0"/>
                              <w:divBdr>
                                <w:top w:val="none" w:sz="0" w:space="0" w:color="auto"/>
                                <w:left w:val="none" w:sz="0" w:space="0" w:color="auto"/>
                                <w:bottom w:val="none" w:sz="0" w:space="0" w:color="auto"/>
                                <w:right w:val="none" w:sz="0" w:space="0" w:color="auto"/>
                              </w:divBdr>
                              <w:divsChild>
                                <w:div w:id="1972048881">
                                  <w:marLeft w:val="0"/>
                                  <w:marRight w:val="0"/>
                                  <w:marTop w:val="0"/>
                                  <w:marBottom w:val="0"/>
                                  <w:divBdr>
                                    <w:top w:val="none" w:sz="0" w:space="0" w:color="auto"/>
                                    <w:left w:val="none" w:sz="0" w:space="0" w:color="auto"/>
                                    <w:bottom w:val="none" w:sz="0" w:space="0" w:color="auto"/>
                                    <w:right w:val="none" w:sz="0" w:space="0" w:color="auto"/>
                                  </w:divBdr>
                                  <w:divsChild>
                                    <w:div w:id="985403513">
                                      <w:marLeft w:val="0"/>
                                      <w:marRight w:val="0"/>
                                      <w:marTop w:val="0"/>
                                      <w:marBottom w:val="0"/>
                                      <w:divBdr>
                                        <w:top w:val="none" w:sz="0" w:space="0" w:color="auto"/>
                                        <w:left w:val="none" w:sz="0" w:space="0" w:color="auto"/>
                                        <w:bottom w:val="none" w:sz="0" w:space="0" w:color="auto"/>
                                        <w:right w:val="none" w:sz="0" w:space="0" w:color="auto"/>
                                      </w:divBdr>
                                      <w:divsChild>
                                        <w:div w:id="1306744082">
                                          <w:marLeft w:val="0"/>
                                          <w:marRight w:val="0"/>
                                          <w:marTop w:val="0"/>
                                          <w:marBottom w:val="0"/>
                                          <w:divBdr>
                                            <w:top w:val="none" w:sz="0" w:space="0" w:color="auto"/>
                                            <w:left w:val="none" w:sz="0" w:space="0" w:color="auto"/>
                                            <w:bottom w:val="none" w:sz="0" w:space="0" w:color="auto"/>
                                            <w:right w:val="none" w:sz="0" w:space="0" w:color="auto"/>
                                          </w:divBdr>
                                          <w:divsChild>
                                            <w:div w:id="1205486395">
                                              <w:marLeft w:val="0"/>
                                              <w:marRight w:val="0"/>
                                              <w:marTop w:val="0"/>
                                              <w:marBottom w:val="0"/>
                                              <w:divBdr>
                                                <w:top w:val="none" w:sz="0" w:space="0" w:color="auto"/>
                                                <w:left w:val="none" w:sz="0" w:space="0" w:color="auto"/>
                                                <w:bottom w:val="none" w:sz="0" w:space="0" w:color="auto"/>
                                                <w:right w:val="none" w:sz="0" w:space="0" w:color="auto"/>
                                              </w:divBdr>
                                              <w:divsChild>
                                                <w:div w:id="1844279440">
                                                  <w:marLeft w:val="0"/>
                                                  <w:marRight w:val="0"/>
                                                  <w:marTop w:val="0"/>
                                                  <w:marBottom w:val="0"/>
                                                  <w:divBdr>
                                                    <w:top w:val="none" w:sz="0" w:space="0" w:color="auto"/>
                                                    <w:left w:val="none" w:sz="0" w:space="0" w:color="auto"/>
                                                    <w:bottom w:val="none" w:sz="0" w:space="0" w:color="auto"/>
                                                    <w:right w:val="none" w:sz="0" w:space="0" w:color="auto"/>
                                                  </w:divBdr>
                                                  <w:divsChild>
                                                    <w:div w:id="1817261886">
                                                      <w:marLeft w:val="0"/>
                                                      <w:marRight w:val="0"/>
                                                      <w:marTop w:val="0"/>
                                                      <w:marBottom w:val="0"/>
                                                      <w:divBdr>
                                                        <w:top w:val="none" w:sz="0" w:space="0" w:color="auto"/>
                                                        <w:left w:val="none" w:sz="0" w:space="0" w:color="auto"/>
                                                        <w:bottom w:val="none" w:sz="0" w:space="0" w:color="auto"/>
                                                        <w:right w:val="none" w:sz="0" w:space="0" w:color="auto"/>
                                                      </w:divBdr>
                                                      <w:divsChild>
                                                        <w:div w:id="50582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0108394">
          <w:marLeft w:val="0"/>
          <w:marRight w:val="0"/>
          <w:marTop w:val="0"/>
          <w:marBottom w:val="0"/>
          <w:divBdr>
            <w:top w:val="none" w:sz="0" w:space="0" w:color="auto"/>
            <w:left w:val="none" w:sz="0" w:space="0" w:color="auto"/>
            <w:bottom w:val="none" w:sz="0" w:space="0" w:color="auto"/>
            <w:right w:val="none" w:sz="0" w:space="0" w:color="auto"/>
          </w:divBdr>
          <w:divsChild>
            <w:div w:id="91634024">
              <w:marLeft w:val="0"/>
              <w:marRight w:val="0"/>
              <w:marTop w:val="0"/>
              <w:marBottom w:val="0"/>
              <w:divBdr>
                <w:top w:val="none" w:sz="0" w:space="0" w:color="auto"/>
                <w:left w:val="none" w:sz="0" w:space="0" w:color="auto"/>
                <w:bottom w:val="none" w:sz="0" w:space="0" w:color="auto"/>
                <w:right w:val="none" w:sz="0" w:space="0" w:color="auto"/>
              </w:divBdr>
              <w:divsChild>
                <w:div w:id="136192149">
                  <w:marLeft w:val="0"/>
                  <w:marRight w:val="0"/>
                  <w:marTop w:val="0"/>
                  <w:marBottom w:val="0"/>
                  <w:divBdr>
                    <w:top w:val="none" w:sz="0" w:space="0" w:color="auto"/>
                    <w:left w:val="none" w:sz="0" w:space="0" w:color="auto"/>
                    <w:bottom w:val="none" w:sz="0" w:space="0" w:color="auto"/>
                    <w:right w:val="none" w:sz="0" w:space="0" w:color="auto"/>
                  </w:divBdr>
                  <w:divsChild>
                    <w:div w:id="2008902510">
                      <w:marLeft w:val="0"/>
                      <w:marRight w:val="0"/>
                      <w:marTop w:val="0"/>
                      <w:marBottom w:val="0"/>
                      <w:divBdr>
                        <w:top w:val="none" w:sz="0" w:space="0" w:color="auto"/>
                        <w:left w:val="none" w:sz="0" w:space="0" w:color="auto"/>
                        <w:bottom w:val="none" w:sz="0" w:space="0" w:color="auto"/>
                        <w:right w:val="none" w:sz="0" w:space="0" w:color="auto"/>
                      </w:divBdr>
                      <w:divsChild>
                        <w:div w:id="896668196">
                          <w:marLeft w:val="0"/>
                          <w:marRight w:val="0"/>
                          <w:marTop w:val="0"/>
                          <w:marBottom w:val="0"/>
                          <w:divBdr>
                            <w:top w:val="none" w:sz="0" w:space="0" w:color="auto"/>
                            <w:left w:val="none" w:sz="0" w:space="0" w:color="auto"/>
                            <w:bottom w:val="none" w:sz="0" w:space="0" w:color="auto"/>
                            <w:right w:val="none" w:sz="0" w:space="0" w:color="auto"/>
                          </w:divBdr>
                          <w:divsChild>
                            <w:div w:id="295451914">
                              <w:marLeft w:val="0"/>
                              <w:marRight w:val="0"/>
                              <w:marTop w:val="0"/>
                              <w:marBottom w:val="0"/>
                              <w:divBdr>
                                <w:top w:val="none" w:sz="0" w:space="0" w:color="auto"/>
                                <w:left w:val="none" w:sz="0" w:space="0" w:color="auto"/>
                                <w:bottom w:val="none" w:sz="0" w:space="0" w:color="auto"/>
                                <w:right w:val="none" w:sz="0" w:space="0" w:color="auto"/>
                              </w:divBdr>
                              <w:divsChild>
                                <w:div w:id="618688707">
                                  <w:marLeft w:val="0"/>
                                  <w:marRight w:val="0"/>
                                  <w:marTop w:val="0"/>
                                  <w:marBottom w:val="0"/>
                                  <w:divBdr>
                                    <w:top w:val="none" w:sz="0" w:space="0" w:color="auto"/>
                                    <w:left w:val="none" w:sz="0" w:space="0" w:color="auto"/>
                                    <w:bottom w:val="none" w:sz="0" w:space="0" w:color="auto"/>
                                    <w:right w:val="none" w:sz="0" w:space="0" w:color="auto"/>
                                  </w:divBdr>
                                  <w:divsChild>
                                    <w:div w:id="458305951">
                                      <w:marLeft w:val="0"/>
                                      <w:marRight w:val="0"/>
                                      <w:marTop w:val="0"/>
                                      <w:marBottom w:val="0"/>
                                      <w:divBdr>
                                        <w:top w:val="none" w:sz="0" w:space="0" w:color="auto"/>
                                        <w:left w:val="none" w:sz="0" w:space="0" w:color="auto"/>
                                        <w:bottom w:val="none" w:sz="0" w:space="0" w:color="auto"/>
                                        <w:right w:val="none" w:sz="0" w:space="0" w:color="auto"/>
                                      </w:divBdr>
                                      <w:divsChild>
                                        <w:div w:id="1698848398">
                                          <w:marLeft w:val="0"/>
                                          <w:marRight w:val="0"/>
                                          <w:marTop w:val="0"/>
                                          <w:marBottom w:val="0"/>
                                          <w:divBdr>
                                            <w:top w:val="none" w:sz="0" w:space="0" w:color="auto"/>
                                            <w:left w:val="none" w:sz="0" w:space="0" w:color="auto"/>
                                            <w:bottom w:val="none" w:sz="0" w:space="0" w:color="auto"/>
                                            <w:right w:val="none" w:sz="0" w:space="0" w:color="auto"/>
                                          </w:divBdr>
                                          <w:divsChild>
                                            <w:div w:id="905726290">
                                              <w:marLeft w:val="0"/>
                                              <w:marRight w:val="0"/>
                                              <w:marTop w:val="0"/>
                                              <w:marBottom w:val="0"/>
                                              <w:divBdr>
                                                <w:top w:val="none" w:sz="0" w:space="0" w:color="auto"/>
                                                <w:left w:val="none" w:sz="0" w:space="0" w:color="auto"/>
                                                <w:bottom w:val="none" w:sz="0" w:space="0" w:color="auto"/>
                                                <w:right w:val="none" w:sz="0" w:space="0" w:color="auto"/>
                                              </w:divBdr>
                                              <w:divsChild>
                                                <w:div w:id="255672009">
                                                  <w:marLeft w:val="0"/>
                                                  <w:marRight w:val="0"/>
                                                  <w:marTop w:val="0"/>
                                                  <w:marBottom w:val="0"/>
                                                  <w:divBdr>
                                                    <w:top w:val="none" w:sz="0" w:space="0" w:color="auto"/>
                                                    <w:left w:val="none" w:sz="0" w:space="0" w:color="auto"/>
                                                    <w:bottom w:val="none" w:sz="0" w:space="0" w:color="auto"/>
                                                    <w:right w:val="none" w:sz="0" w:space="0" w:color="auto"/>
                                                  </w:divBdr>
                                                  <w:divsChild>
                                                    <w:div w:id="1099525688">
                                                      <w:marLeft w:val="0"/>
                                                      <w:marRight w:val="0"/>
                                                      <w:marTop w:val="0"/>
                                                      <w:marBottom w:val="0"/>
                                                      <w:divBdr>
                                                        <w:top w:val="none" w:sz="0" w:space="0" w:color="auto"/>
                                                        <w:left w:val="none" w:sz="0" w:space="0" w:color="auto"/>
                                                        <w:bottom w:val="none" w:sz="0" w:space="0" w:color="auto"/>
                                                        <w:right w:val="none" w:sz="0" w:space="0" w:color="auto"/>
                                                      </w:divBdr>
                                                      <w:divsChild>
                                                        <w:div w:id="186158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6936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463620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8249708">
      <w:bodyDiv w:val="1"/>
      <w:marLeft w:val="0"/>
      <w:marRight w:val="0"/>
      <w:marTop w:val="0"/>
      <w:marBottom w:val="0"/>
      <w:divBdr>
        <w:top w:val="none" w:sz="0" w:space="0" w:color="auto"/>
        <w:left w:val="none" w:sz="0" w:space="0" w:color="auto"/>
        <w:bottom w:val="none" w:sz="0" w:space="0" w:color="auto"/>
        <w:right w:val="none" w:sz="0" w:space="0" w:color="auto"/>
      </w:divBdr>
      <w:divsChild>
        <w:div w:id="403189457">
          <w:marLeft w:val="0"/>
          <w:marRight w:val="0"/>
          <w:marTop w:val="0"/>
          <w:marBottom w:val="0"/>
          <w:divBdr>
            <w:top w:val="none" w:sz="0" w:space="0" w:color="auto"/>
            <w:left w:val="none" w:sz="0" w:space="0" w:color="auto"/>
            <w:bottom w:val="none" w:sz="0" w:space="0" w:color="auto"/>
            <w:right w:val="none" w:sz="0" w:space="0" w:color="auto"/>
          </w:divBdr>
          <w:divsChild>
            <w:div w:id="121327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68277">
      <w:bodyDiv w:val="1"/>
      <w:marLeft w:val="0"/>
      <w:marRight w:val="0"/>
      <w:marTop w:val="0"/>
      <w:marBottom w:val="0"/>
      <w:divBdr>
        <w:top w:val="none" w:sz="0" w:space="0" w:color="auto"/>
        <w:left w:val="none" w:sz="0" w:space="0" w:color="auto"/>
        <w:bottom w:val="none" w:sz="0" w:space="0" w:color="auto"/>
        <w:right w:val="none" w:sz="0" w:space="0" w:color="auto"/>
      </w:divBdr>
    </w:div>
    <w:div w:id="1351495973">
      <w:bodyDiv w:val="1"/>
      <w:marLeft w:val="0"/>
      <w:marRight w:val="0"/>
      <w:marTop w:val="0"/>
      <w:marBottom w:val="0"/>
      <w:divBdr>
        <w:top w:val="none" w:sz="0" w:space="0" w:color="auto"/>
        <w:left w:val="none" w:sz="0" w:space="0" w:color="auto"/>
        <w:bottom w:val="none" w:sz="0" w:space="0" w:color="auto"/>
        <w:right w:val="none" w:sz="0" w:space="0" w:color="auto"/>
      </w:divBdr>
    </w:div>
    <w:div w:id="1356426651">
      <w:bodyDiv w:val="1"/>
      <w:marLeft w:val="0"/>
      <w:marRight w:val="0"/>
      <w:marTop w:val="0"/>
      <w:marBottom w:val="0"/>
      <w:divBdr>
        <w:top w:val="none" w:sz="0" w:space="0" w:color="auto"/>
        <w:left w:val="none" w:sz="0" w:space="0" w:color="auto"/>
        <w:bottom w:val="none" w:sz="0" w:space="0" w:color="auto"/>
        <w:right w:val="none" w:sz="0" w:space="0" w:color="auto"/>
      </w:divBdr>
    </w:div>
    <w:div w:id="1558473332">
      <w:bodyDiv w:val="1"/>
      <w:marLeft w:val="0"/>
      <w:marRight w:val="0"/>
      <w:marTop w:val="0"/>
      <w:marBottom w:val="0"/>
      <w:divBdr>
        <w:top w:val="none" w:sz="0" w:space="0" w:color="auto"/>
        <w:left w:val="none" w:sz="0" w:space="0" w:color="auto"/>
        <w:bottom w:val="none" w:sz="0" w:space="0" w:color="auto"/>
        <w:right w:val="none" w:sz="0" w:space="0" w:color="auto"/>
      </w:divBdr>
    </w:div>
    <w:div w:id="1578133046">
      <w:bodyDiv w:val="1"/>
      <w:marLeft w:val="0"/>
      <w:marRight w:val="0"/>
      <w:marTop w:val="0"/>
      <w:marBottom w:val="0"/>
      <w:divBdr>
        <w:top w:val="none" w:sz="0" w:space="0" w:color="auto"/>
        <w:left w:val="none" w:sz="0" w:space="0" w:color="auto"/>
        <w:bottom w:val="none" w:sz="0" w:space="0" w:color="auto"/>
        <w:right w:val="none" w:sz="0" w:space="0" w:color="auto"/>
      </w:divBdr>
    </w:div>
    <w:div w:id="1628781633">
      <w:bodyDiv w:val="1"/>
      <w:marLeft w:val="0"/>
      <w:marRight w:val="0"/>
      <w:marTop w:val="0"/>
      <w:marBottom w:val="0"/>
      <w:divBdr>
        <w:top w:val="none" w:sz="0" w:space="0" w:color="auto"/>
        <w:left w:val="none" w:sz="0" w:space="0" w:color="auto"/>
        <w:bottom w:val="none" w:sz="0" w:space="0" w:color="auto"/>
        <w:right w:val="none" w:sz="0" w:space="0" w:color="auto"/>
      </w:divBdr>
    </w:div>
    <w:div w:id="1728921058">
      <w:bodyDiv w:val="1"/>
      <w:marLeft w:val="0"/>
      <w:marRight w:val="0"/>
      <w:marTop w:val="0"/>
      <w:marBottom w:val="0"/>
      <w:divBdr>
        <w:top w:val="none" w:sz="0" w:space="0" w:color="auto"/>
        <w:left w:val="none" w:sz="0" w:space="0" w:color="auto"/>
        <w:bottom w:val="none" w:sz="0" w:space="0" w:color="auto"/>
        <w:right w:val="none" w:sz="0" w:space="0" w:color="auto"/>
      </w:divBdr>
    </w:div>
    <w:div w:id="1757090892">
      <w:bodyDiv w:val="1"/>
      <w:marLeft w:val="0"/>
      <w:marRight w:val="0"/>
      <w:marTop w:val="0"/>
      <w:marBottom w:val="0"/>
      <w:divBdr>
        <w:top w:val="none" w:sz="0" w:space="0" w:color="auto"/>
        <w:left w:val="none" w:sz="0" w:space="0" w:color="auto"/>
        <w:bottom w:val="none" w:sz="0" w:space="0" w:color="auto"/>
        <w:right w:val="none" w:sz="0" w:space="0" w:color="auto"/>
      </w:divBdr>
    </w:div>
    <w:div w:id="1820074811">
      <w:bodyDiv w:val="1"/>
      <w:marLeft w:val="0"/>
      <w:marRight w:val="0"/>
      <w:marTop w:val="0"/>
      <w:marBottom w:val="0"/>
      <w:divBdr>
        <w:top w:val="none" w:sz="0" w:space="0" w:color="auto"/>
        <w:left w:val="none" w:sz="0" w:space="0" w:color="auto"/>
        <w:bottom w:val="none" w:sz="0" w:space="0" w:color="auto"/>
        <w:right w:val="none" w:sz="0" w:space="0" w:color="auto"/>
      </w:divBdr>
    </w:div>
    <w:div w:id="1890995322">
      <w:bodyDiv w:val="1"/>
      <w:marLeft w:val="0"/>
      <w:marRight w:val="0"/>
      <w:marTop w:val="0"/>
      <w:marBottom w:val="0"/>
      <w:divBdr>
        <w:top w:val="none" w:sz="0" w:space="0" w:color="auto"/>
        <w:left w:val="none" w:sz="0" w:space="0" w:color="auto"/>
        <w:bottom w:val="none" w:sz="0" w:space="0" w:color="auto"/>
        <w:right w:val="none" w:sz="0" w:space="0" w:color="auto"/>
      </w:divBdr>
    </w:div>
    <w:div w:id="1939825715">
      <w:bodyDiv w:val="1"/>
      <w:marLeft w:val="0"/>
      <w:marRight w:val="0"/>
      <w:marTop w:val="0"/>
      <w:marBottom w:val="0"/>
      <w:divBdr>
        <w:top w:val="none" w:sz="0" w:space="0" w:color="auto"/>
        <w:left w:val="none" w:sz="0" w:space="0" w:color="auto"/>
        <w:bottom w:val="none" w:sz="0" w:space="0" w:color="auto"/>
        <w:right w:val="none" w:sz="0" w:space="0" w:color="auto"/>
      </w:divBdr>
    </w:div>
    <w:div w:id="206532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1/jama.2021.3069" TargetMode="External"/><Relationship Id="rId21" Type="http://schemas.openxmlformats.org/officeDocument/2006/relationships/hyperlink" Target="https://doi.org/10.1056/NEJMoa0805828" TargetMode="External"/><Relationship Id="rId42" Type="http://schemas.openxmlformats.org/officeDocument/2006/relationships/hyperlink" Target="https://doi.org/10.1111/j.1471-0528.2002.01171.x" TargetMode="External"/><Relationship Id="rId47" Type="http://schemas.openxmlformats.org/officeDocument/2006/relationships/hyperlink" Target="https://academic.oup.com/edrv/search-results?q=Serum%2025-hydroxyvitamin%20D%20levels%20variability" TargetMode="External"/><Relationship Id="rId63" Type="http://schemas.openxmlformats.org/officeDocument/2006/relationships/hyperlink" Target="https://www.mdpi.com/search?query=Vitamin%20D%20deficiency%20in%20ethnic%20minority%20populations%20Janssen" TargetMode="External"/><Relationship Id="rId68" Type="http://schemas.openxmlformats.org/officeDocument/2006/relationships/hyperlink" Target="https://doi.org/10.1136/bmjnph-2020-000089" TargetMode="External"/><Relationship Id="rId84" Type="http://schemas.openxmlformats.org/officeDocument/2006/relationships/hyperlink" Target="https://www.nice.org.uk/guidance/ph56" TargetMode="External"/><Relationship Id="rId89" Type="http://schemas.openxmlformats.org/officeDocument/2006/relationships/hyperlink" Target="https://doi.org/10.1136/bmj.n71" TargetMode="External"/><Relationship Id="rId112" Type="http://schemas.openxmlformats.org/officeDocument/2006/relationships/hyperlink" Target="https://doi.org/10.1136/bmj.i4919" TargetMode="External"/><Relationship Id="rId16" Type="http://schemas.openxmlformats.org/officeDocument/2006/relationships/hyperlink" Target="https://doi.org/10.1158/1055-9965.EPI-13-0159" TargetMode="External"/><Relationship Id="rId107" Type="http://schemas.openxmlformats.org/officeDocument/2006/relationships/hyperlink" Target="https://www.mdpi.com/2072-6643/12" TargetMode="External"/><Relationship Id="rId11" Type="http://schemas.openxmlformats.org/officeDocument/2006/relationships/footer" Target="footer3.xml"/><Relationship Id="rId32" Type="http://schemas.openxmlformats.org/officeDocument/2006/relationships/hyperlink" Target="https://doi.org/10.3390/nu12061589" TargetMode="External"/><Relationship Id="rId37" Type="http://schemas.openxmlformats.org/officeDocument/2006/relationships/hyperlink" Target="https://uk.sagepub.com/en-gb/eur/doing-a-literature-review-in-nursing-health-and-social-care/book269556" TargetMode="External"/><Relationship Id="rId53" Type="http://schemas.openxmlformats.org/officeDocument/2006/relationships/hyperlink" Target="https://doi.org/10.3390/nu12061688" TargetMode="External"/><Relationship Id="rId58" Type="http://schemas.openxmlformats.org/officeDocument/2006/relationships/hyperlink" Target="https://doi.org/10.1111/j.1753-4887.2008.00100.x" TargetMode="External"/><Relationship Id="rId74" Type="http://schemas.openxmlformats.org/officeDocument/2006/relationships/hyperlink" Target="https://doi.org/10.1177/1759720X17704430" TargetMode="External"/><Relationship Id="rId79" Type="http://schemas.openxmlformats.org/officeDocument/2006/relationships/hyperlink" Target="https://doi.org/10.1210/jcem-73-1-141" TargetMode="External"/><Relationship Id="rId102" Type="http://schemas.openxmlformats.org/officeDocument/2006/relationships/hyperlink" Target="https://www.thelancet.com/search-results?query=Vitamin%20D%20supplementation%20and%20health%20outcomes" TargetMode="External"/><Relationship Id="rId123" Type="http://schemas.openxmlformats.org/officeDocument/2006/relationships/hyperlink" Target="https://doi.org/10.1016/S0140-6736(10)60588-0" TargetMode="External"/><Relationship Id="rId128" Type="http://schemas.openxmlformats.org/officeDocument/2006/relationships/hyperlink" Target="https://www.who.int/publications/i/item/9789240079698" TargetMode="External"/><Relationship Id="rId5" Type="http://schemas.openxmlformats.org/officeDocument/2006/relationships/webSettings" Target="webSettings.xml"/><Relationship Id="rId90" Type="http://schemas.openxmlformats.org/officeDocument/2006/relationships/hyperlink" Target="https://doi.org/10.1136/bmj.b5664" TargetMode="External"/><Relationship Id="rId95" Type="http://schemas.openxmlformats.org/officeDocument/2006/relationships/hyperlink" Target="https://www.lancaster.ac.uk/people/faculty-researchers/" TargetMode="External"/><Relationship Id="rId22" Type="http://schemas.openxmlformats.org/officeDocument/2006/relationships/hyperlink" Target="https://doi.org/10.1002/14651858.CD007470.pub3" TargetMode="External"/><Relationship Id="rId27" Type="http://schemas.openxmlformats.org/officeDocument/2006/relationships/hyperlink" Target="https://uk.sagepub.com/en-gb/eur/thematic-analysis/book248481" TargetMode="External"/><Relationship Id="rId43" Type="http://schemas.openxmlformats.org/officeDocument/2006/relationships/hyperlink" Target="https://doi.org/10.1007/s00198-010-1285-3" TargetMode="External"/><Relationship Id="rId48" Type="http://schemas.openxmlformats.org/officeDocument/2006/relationships/hyperlink" Target="https://doi.org/10.3390/nu2050482" TargetMode="External"/><Relationship Id="rId64" Type="http://schemas.openxmlformats.org/officeDocument/2006/relationships/hyperlink" Target="https://jbi.global/critical-appraisal-tools" TargetMode="External"/><Relationship Id="rId69" Type="http://schemas.openxmlformats.org/officeDocument/2006/relationships/hyperlink" Target="https://doi.org/10.1111/nbu.12557" TargetMode="External"/><Relationship Id="rId113" Type="http://schemas.openxmlformats.org/officeDocument/2006/relationships/hyperlink" Target="https://doi.org/10.1136/bmj.l4898" TargetMode="External"/><Relationship Id="rId118" Type="http://schemas.openxmlformats.org/officeDocument/2006/relationships/hyperlink" Target="https://doi.org/10.1016/j.clnu.2020.12.008" TargetMode="External"/><Relationship Id="rId80" Type="http://schemas.openxmlformats.org/officeDocument/2006/relationships/hyperlink" Target="https://doi.org/10.1542/peds.2007-1894" TargetMode="External"/><Relationship Id="rId85" Type="http://schemas.openxmlformats.org/officeDocument/2006/relationships/hyperlink" Target="https://www.nice.org.uk/guidance/ph56" TargetMode="External"/><Relationship Id="rId12" Type="http://schemas.openxmlformats.org/officeDocument/2006/relationships/hyperlink" Target="https://doi.org/10.3390/nu5093605" TargetMode="External"/><Relationship Id="rId17" Type="http://schemas.openxmlformats.org/officeDocument/2006/relationships/hyperlink" Target="https://doi.org/10.12968/pnur.2024.35.5.166" TargetMode="External"/><Relationship Id="rId33" Type="http://schemas.openxmlformats.org/officeDocument/2006/relationships/hyperlink" Target="https://academic.oup.com/ajcn/search-results?q=Vitamin%20D%20deficiency%20in%20Europe%20pandemic" TargetMode="External"/><Relationship Id="rId38" Type="http://schemas.openxmlformats.org/officeDocument/2006/relationships/hyperlink" Target="https://doi.org/10.1017/S0029665120000063" TargetMode="External"/><Relationship Id="rId59" Type="http://schemas.openxmlformats.org/officeDocument/2006/relationships/hyperlink" Target="https://doi.org/10.2174/138945011793591635" TargetMode="External"/><Relationship Id="rId103" Type="http://schemas.openxmlformats.org/officeDocument/2006/relationships/hyperlink" Target="https://doi.org/10.3390/nu16081214" TargetMode="External"/><Relationship Id="rId108" Type="http://schemas.openxmlformats.org/officeDocument/2006/relationships/hyperlink" Target="https://doi.org/10.1016/j.jsbmb.2025.106737" TargetMode="External"/><Relationship Id="rId124" Type="http://schemas.openxmlformats.org/officeDocument/2006/relationships/hyperlink" Target="https://doi.org/10.1562/2006-09-13-RA-683" TargetMode="External"/><Relationship Id="rId129" Type="http://schemas.openxmlformats.org/officeDocument/2006/relationships/hyperlink" Target="https://doi.org/10.1186/s13104-025-07439-1" TargetMode="External"/><Relationship Id="rId54" Type="http://schemas.openxmlformats.org/officeDocument/2006/relationships/hyperlink" Target="https://training.cochrane.org/handbook" TargetMode="External"/><Relationship Id="rId70" Type="http://schemas.openxmlformats.org/officeDocument/2006/relationships/hyperlink" Target="https://doi.org/10.1186/1748-5908-5-69" TargetMode="External"/><Relationship Id="rId75" Type="http://schemas.openxmlformats.org/officeDocument/2006/relationships/hyperlink" Target="https://doi.org/10.1210/jcem-61-1-117" TargetMode="External"/><Relationship Id="rId91" Type="http://schemas.openxmlformats.org/officeDocument/2006/relationships/hyperlink" Target="https://doi.org/10.1371/journal.pone.0296247" TargetMode="External"/><Relationship Id="rId96" Type="http://schemas.openxmlformats.org/officeDocument/2006/relationships/hyperlink" Target="https://www.gov.uk/government/publications/vitamin-d-and-health"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10.1210/er.2018-00126" TargetMode="External"/><Relationship Id="rId28" Type="http://schemas.openxmlformats.org/officeDocument/2006/relationships/hyperlink" Target="https://doi.org/10.1093/jn/135.2.31" TargetMode="External"/><Relationship Id="rId49" Type="http://schemas.openxmlformats.org/officeDocument/2006/relationships/hyperlink" Target="https://doi.org/10.2903/j.efsa.2016.4547" TargetMode="External"/><Relationship Id="rId114" Type="http://schemas.openxmlformats.org/officeDocument/2006/relationships/hyperlink" Target="https://doi.org/10.1016/j.clnu.2020.11.019" TargetMode="External"/><Relationship Id="rId119" Type="http://schemas.openxmlformats.org/officeDocument/2006/relationships/hyperlink" Target="https://doi.org/10.1111/jhn.12949" TargetMode="External"/><Relationship Id="rId44" Type="http://schemas.openxmlformats.org/officeDocument/2006/relationships/hyperlink" Target="https://doi.org/10.1056/NEJM199709043371003" TargetMode="External"/><Relationship Id="rId60" Type="http://schemas.openxmlformats.org/officeDocument/2006/relationships/hyperlink" Target="https://doi.org/10.1007/s11154-017-9424-1" TargetMode="External"/><Relationship Id="rId65" Type="http://schemas.openxmlformats.org/officeDocument/2006/relationships/hyperlink" Target="https://doi.org/10.1016/S2213-8587(21)00051-6" TargetMode="External"/><Relationship Id="rId81" Type="http://schemas.openxmlformats.org/officeDocument/2006/relationships/hyperlink" Target="https://doi.org/10.1007/s00198-009-0954-6" TargetMode="External"/><Relationship Id="rId86" Type="http://schemas.openxmlformats.org/officeDocument/2006/relationships/hyperlink" Target="https://www.nice.org.uk/" TargetMode="External"/><Relationship Id="rId130" Type="http://schemas.openxmlformats.org/officeDocument/2006/relationships/hyperlink" Target="https://doi.org/10.3390/ijms131214858" TargetMode="External"/><Relationship Id="rId13" Type="http://schemas.openxmlformats.org/officeDocument/2006/relationships/hyperlink" Target="https://doi.org/10.1038/s41430-020-0558-y" TargetMode="External"/><Relationship Id="rId18" Type="http://schemas.openxmlformats.org/officeDocument/2006/relationships/hyperlink" Target="https://doi.org/10.1016/j.chembiol.2013.12.016" TargetMode="External"/><Relationship Id="rId39" Type="http://schemas.openxmlformats.org/officeDocument/2006/relationships/hyperlink" Target="https://doi.org/10.1007/s00198-012-1973-2" TargetMode="External"/><Relationship Id="rId109" Type="http://schemas.openxmlformats.org/officeDocument/2006/relationships/hyperlink" Target="https://doi.org/10.1186/s12889-021-11888-1" TargetMode="External"/><Relationship Id="rId34" Type="http://schemas.openxmlformats.org/officeDocument/2006/relationships/hyperlink" Target="https://doi.org/10.1038/ejcn.2017.8" TargetMode="External"/><Relationship Id="rId50" Type="http://schemas.openxmlformats.org/officeDocument/2006/relationships/hyperlink" Target="https://doi.org/10.2337/db08-0593" TargetMode="External"/><Relationship Id="rId55" Type="http://schemas.openxmlformats.org/officeDocument/2006/relationships/hyperlink" Target="https://doi.org/10.3389/fendo.2022.978580" TargetMode="External"/><Relationship Id="rId76" Type="http://schemas.openxmlformats.org/officeDocument/2006/relationships/hyperlink" Target="https://doi.org/10.1056/NEJMoa1809944" TargetMode="External"/><Relationship Id="rId97" Type="http://schemas.openxmlformats.org/officeDocument/2006/relationships/hyperlink" Target="https://www.gov.uk/government/news/phe-publishes-new-advice-on-vitamin-d" TargetMode="External"/><Relationship Id="rId104" Type="http://schemas.openxmlformats.org/officeDocument/2006/relationships/hyperlink" Target="https://doi.org/10.3945/jn.115.227728" TargetMode="External"/><Relationship Id="rId120" Type="http://schemas.openxmlformats.org/officeDocument/2006/relationships/hyperlink" Target="https://doi.org/10.3390/nu13114104" TargetMode="External"/><Relationship Id="rId125" Type="http://schemas.openxmlformats.org/officeDocument/2006/relationships/hyperlink" Target="https://doi.org/10.1210/jcem-67-2-373" TargetMode="External"/><Relationship Id="rId7" Type="http://schemas.openxmlformats.org/officeDocument/2006/relationships/endnotes" Target="endnotes.xml"/><Relationship Id="rId71" Type="http://schemas.openxmlformats.org/officeDocument/2006/relationships/hyperlink" Target="https://doi.org/10.1136/bmjopen-2020-038503" TargetMode="External"/><Relationship Id="rId92" Type="http://schemas.openxmlformats.org/officeDocument/2006/relationships/hyperlink" Target="https://doi.org/10.1530/EC-18-0141" TargetMode="External"/><Relationship Id="rId2" Type="http://schemas.openxmlformats.org/officeDocument/2006/relationships/numbering" Target="numbering.xml"/><Relationship Id="rId29" Type="http://schemas.openxmlformats.org/officeDocument/2006/relationships/hyperlink" Target="https://doi.org/10.1016/j.jsbmb.2015.01.023" TargetMode="External"/><Relationship Id="rId24" Type="http://schemas.openxmlformats.org/officeDocument/2006/relationships/hyperlink" Target="https://www.nature.com/search?q=Vitamin%20D%20and%20human%20health%20lessons%20from%20Mendelian%20randomisation%20studies" TargetMode="External"/><Relationship Id="rId40" Type="http://schemas.openxmlformats.org/officeDocument/2006/relationships/hyperlink" Target="https://doi.org/10.1017/S1368980018001404" TargetMode="External"/><Relationship Id="rId45" Type="http://schemas.openxmlformats.org/officeDocument/2006/relationships/hyperlink" Target="https://doi.org/10.1093/ajcn/80.6.1689S" TargetMode="External"/><Relationship Id="rId66" Type="http://schemas.openxmlformats.org/officeDocument/2006/relationships/hyperlink" Target="https://doi.org/10.4065/mcp.2010.0138" TargetMode="External"/><Relationship Id="rId87" Type="http://schemas.openxmlformats.org/officeDocument/2006/relationships/hyperlink" Target="https://ods.od.nih.gov/factsheets/VitaminD-HealthProfessional/" TargetMode="External"/><Relationship Id="rId110" Type="http://schemas.openxmlformats.org/officeDocument/2006/relationships/hyperlink" Target="https://academic.oup.com/jbmr/search-results?q=Effect%20of%20annual%20vitamin%20D3%20supplementation%20on%20fracture%20risk" TargetMode="External"/><Relationship Id="rId115" Type="http://schemas.openxmlformats.org/officeDocument/2006/relationships/hyperlink" Target="https://doi.org/10.1017/S1368980021000756" TargetMode="External"/><Relationship Id="rId131" Type="http://schemas.openxmlformats.org/officeDocument/2006/relationships/fontTable" Target="fontTable.xml"/><Relationship Id="rId61" Type="http://schemas.openxmlformats.org/officeDocument/2006/relationships/hyperlink" Target="https://doi.org/10.1210/jc.2011-0385" TargetMode="External"/><Relationship Id="rId82" Type="http://schemas.openxmlformats.org/officeDocument/2006/relationships/hyperlink" Target="https://doi.org/10.1136/bmj.b2535" TargetMode="External"/><Relationship Id="rId19" Type="http://schemas.openxmlformats.org/officeDocument/2006/relationships/hyperlink" Target="https://doi.org/10.1093/ajcn/84.1.18" TargetMode="External"/><Relationship Id="rId14" Type="http://schemas.openxmlformats.org/officeDocument/2006/relationships/hyperlink" Target="https://doi.org/10.1080/1364557032000119616" TargetMode="External"/><Relationship Id="rId30" Type="http://schemas.openxmlformats.org/officeDocument/2006/relationships/hyperlink" Target="https://doi.org/10.1093/ajcn/87.6.184" TargetMode="External"/><Relationship Id="rId35" Type="http://schemas.openxmlformats.org/officeDocument/2006/relationships/hyperlink" Target="https://doi.org/10.1016/S0140-6736(82)90215-8" TargetMode="External"/><Relationship Id="rId56" Type="http://schemas.openxmlformats.org/officeDocument/2006/relationships/hyperlink" Target="https://doi.org/10.4065/81.3.353" TargetMode="External"/><Relationship Id="rId77" Type="http://schemas.openxmlformats.org/officeDocument/2006/relationships/hyperlink" Target="https://doi.org/10.1136/bmj.i6583" TargetMode="External"/><Relationship Id="rId100" Type="http://schemas.openxmlformats.org/officeDocument/2006/relationships/hyperlink" Target="https://doi.org/10.1210/jc.2010-2704" TargetMode="External"/><Relationship Id="rId105" Type="http://schemas.openxmlformats.org/officeDocument/2006/relationships/hyperlink" Target="https://www.gov.uk/government/publications/vitamin-d-and-health" TargetMode="External"/><Relationship Id="rId126" Type="http://schemas.openxmlformats.org/officeDocument/2006/relationships/hyperlink" Target="https://www.who.int/publications/i/item/WHO-2019-nCoV-Policy_Brief-Health_Equity-2020.1" TargetMode="External"/><Relationship Id="rId8" Type="http://schemas.openxmlformats.org/officeDocument/2006/relationships/image" Target="media/image1.png"/><Relationship Id="rId51" Type="http://schemas.openxmlformats.org/officeDocument/2006/relationships/hyperlink" Target="https://doi.org/10.1007/s00223-012-9698-9" TargetMode="External"/><Relationship Id="rId72" Type="http://schemas.openxmlformats.org/officeDocument/2006/relationships/hyperlink" Target="https://doi.org/10.1016/j.pbiomolbio.2006.02.016" TargetMode="External"/><Relationship Id="rId93" Type="http://schemas.openxmlformats.org/officeDocument/2006/relationships/hyperlink" Target="https://doi.org/10.1016/j.autrev.2018.06.005" TargetMode="External"/><Relationship Id="rId98" Type="http://schemas.openxmlformats.org/officeDocument/2006/relationships/hyperlink" Target="https://doi.org/10.1530/EC-17-0111" TargetMode="External"/><Relationship Id="rId121" Type="http://schemas.openxmlformats.org/officeDocument/2006/relationships/hyperlink" Target="https://doi.org/10.1016/j.pbiomolbio.2006.02.003" TargetMode="External"/><Relationship Id="rId3" Type="http://schemas.openxmlformats.org/officeDocument/2006/relationships/styles" Target="styles.xml"/><Relationship Id="rId25" Type="http://schemas.openxmlformats.org/officeDocument/2006/relationships/hyperlink" Target="https://doi.org/10.1016/j.ajcnut.2025.101179" TargetMode="External"/><Relationship Id="rId46" Type="http://schemas.openxmlformats.org/officeDocument/2006/relationships/hyperlink" Target="https://doi.org/10.1017/S0007114525105187" TargetMode="External"/><Relationship Id="rId67" Type="http://schemas.openxmlformats.org/officeDocument/2006/relationships/hyperlink" Target="https://doi.org/10.1039/C8PP00186A" TargetMode="External"/><Relationship Id="rId116" Type="http://schemas.openxmlformats.org/officeDocument/2006/relationships/hyperlink" Target="https://doi.org/10.1371/journal.pone.0281172" TargetMode="External"/><Relationship Id="rId20" Type="http://schemas.openxmlformats.org/officeDocument/2006/relationships/hyperlink" Target="https://doi.org/10.1001/jama.295.18.2250" TargetMode="External"/><Relationship Id="rId41" Type="http://schemas.openxmlformats.org/officeDocument/2006/relationships/hyperlink" Target="https://doi.org/10.1017/S0007114520002779" TargetMode="External"/><Relationship Id="rId62" Type="http://schemas.openxmlformats.org/officeDocument/2006/relationships/hyperlink" Target="https://doi.org/10.17226/13050" TargetMode="External"/><Relationship Id="rId83" Type="http://schemas.openxmlformats.org/officeDocument/2006/relationships/hyperlink" Target="https://doi.org/10.17226/13050" TargetMode="External"/><Relationship Id="rId88" Type="http://schemas.openxmlformats.org/officeDocument/2006/relationships/hyperlink" Target="https://www.nos.org.uk/" TargetMode="External"/><Relationship Id="rId111" Type="http://schemas.openxmlformats.org/officeDocument/2006/relationships/hyperlink" Target="https://doi.org/10.1093/emph/eoab001" TargetMode="External"/><Relationship Id="rId132" Type="http://schemas.openxmlformats.org/officeDocument/2006/relationships/theme" Target="theme/theme1.xml"/><Relationship Id="rId15" Type="http://schemas.openxmlformats.org/officeDocument/2006/relationships/hyperlink" Target="https://doi.org/10.1016/S2213-8587(13)70165-7" TargetMode="External"/><Relationship Id="rId36" Type="http://schemas.openxmlformats.org/officeDocument/2006/relationships/hyperlink" Target="https://doi.org/10.1055/a-1521-5026" TargetMode="External"/><Relationship Id="rId57" Type="http://schemas.openxmlformats.org/officeDocument/2006/relationships/hyperlink" Target="https://doi.org/10.1056/NEJMra070553" TargetMode="External"/><Relationship Id="rId106" Type="http://schemas.openxmlformats.org/officeDocument/2006/relationships/hyperlink" Target="https://www.gov.uk/government/publications/vitamin-d-and-acute-respiratory-tract-infections" TargetMode="External"/><Relationship Id="rId127" Type="http://schemas.openxmlformats.org/officeDocument/2006/relationships/hyperlink" Target="https://www.who.int/news-room/fact-sheets/detail/ageing-and-health" TargetMode="External"/><Relationship Id="rId10" Type="http://schemas.openxmlformats.org/officeDocument/2006/relationships/footer" Target="footer2.xml"/><Relationship Id="rId31" Type="http://schemas.openxmlformats.org/officeDocument/2006/relationships/hyperlink" Target="https://doi.org/10.3945/ajcn.115.120873" TargetMode="External"/><Relationship Id="rId52" Type="http://schemas.openxmlformats.org/officeDocument/2006/relationships/hyperlink" Target="https://doi.org/10.1210/clinem/dgae290" TargetMode="External"/><Relationship Id="rId73" Type="http://schemas.openxmlformats.org/officeDocument/2006/relationships/hyperlink" Target="https://doi.org/10.1530/EJE-18-0736" TargetMode="External"/><Relationship Id="rId78" Type="http://schemas.openxmlformats.org/officeDocument/2006/relationships/hyperlink" Target="https://pubmed.ncbi.nlm.nih.gov/?term=Chronic+sunscreen+use+decreases+circulating+concentrations+of+25-hydroxyvitamin+D" TargetMode="External"/><Relationship Id="rId94" Type="http://schemas.openxmlformats.org/officeDocument/2006/relationships/hyperlink" Target="https://www.mdpi.com/search?query=Vitamin%20D%20supplementation%20position%20statement%20Polish%20Society%20Endocrinology" TargetMode="External"/><Relationship Id="rId99" Type="http://schemas.openxmlformats.org/officeDocument/2006/relationships/hyperlink" Target="https://doi.org/10.1186/s13643-020-01542-z" TargetMode="External"/><Relationship Id="rId101" Type="http://schemas.openxmlformats.org/officeDocument/2006/relationships/hyperlink" Target="https://doi.org/10.1111/nyas.13968" TargetMode="External"/><Relationship Id="rId122" Type="http://schemas.openxmlformats.org/officeDocument/2006/relationships/hyperlink" Target="https://doi.org/10.4161/derm.24494" TargetMode="Externa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hyperlink" Target="https://doi.org/10.1191/1478088706qp063o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85FB5-8AC9-490C-A6B3-FE2709CDF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1</Pages>
  <Words>23710</Words>
  <Characters>135147</Characters>
  <Application>Microsoft Office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Mukhlesur Rahman Shepon</dc:creator>
  <cp:keywords/>
  <dc:description/>
  <cp:lastModifiedBy>HP</cp:lastModifiedBy>
  <cp:revision>740</cp:revision>
  <cp:lastPrinted>2026-09-18T01:06:00Z</cp:lastPrinted>
  <dcterms:created xsi:type="dcterms:W3CDTF">2026-09-03T08:57:00Z</dcterms:created>
  <dcterms:modified xsi:type="dcterms:W3CDTF">2026-09-24T11:27:00Z</dcterms:modified>
</cp:coreProperties>
</file>