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740FA" w14:textId="77777777" w:rsidR="004600A4" w:rsidRPr="0012687B" w:rsidRDefault="004600A4" w:rsidP="00731B28">
      <w:pPr>
        <w:jc w:val="both"/>
        <w:rPr>
          <w:rFonts w:ascii="Times New Roman" w:hAnsi="Times New Roman" w:cs="Times New Roman"/>
        </w:rPr>
      </w:pPr>
    </w:p>
    <w:p w14:paraId="3D516D38" w14:textId="77777777" w:rsidR="006C7AFF" w:rsidRPr="0012687B" w:rsidRDefault="006C7AFF" w:rsidP="006C1D0C">
      <w:pPr>
        <w:jc w:val="center"/>
        <w:rPr>
          <w:rFonts w:ascii="Times New Roman" w:hAnsi="Times New Roman" w:cs="Times New Roman"/>
        </w:rPr>
      </w:pPr>
    </w:p>
    <w:p w14:paraId="2EBD33DE" w14:textId="77777777" w:rsidR="006C7AFF" w:rsidRPr="0012687B" w:rsidRDefault="006C7AFF" w:rsidP="006C1D0C">
      <w:pPr>
        <w:jc w:val="center"/>
        <w:rPr>
          <w:rFonts w:ascii="Times New Roman" w:hAnsi="Times New Roman" w:cs="Times New Roman"/>
        </w:rPr>
      </w:pPr>
    </w:p>
    <w:p w14:paraId="402F8D9A" w14:textId="77777777" w:rsidR="006C7AFF" w:rsidRPr="0012687B" w:rsidRDefault="006C7AFF" w:rsidP="006C1D0C">
      <w:pPr>
        <w:jc w:val="center"/>
        <w:rPr>
          <w:rFonts w:ascii="Times New Roman" w:hAnsi="Times New Roman" w:cs="Times New Roman"/>
        </w:rPr>
      </w:pPr>
    </w:p>
    <w:p w14:paraId="7F2286B5" w14:textId="77777777" w:rsidR="006C7AFF" w:rsidRPr="0012687B" w:rsidRDefault="006C7AFF" w:rsidP="006C1D0C">
      <w:pPr>
        <w:jc w:val="center"/>
        <w:rPr>
          <w:rFonts w:ascii="Times New Roman" w:hAnsi="Times New Roman" w:cs="Times New Roman"/>
        </w:rPr>
      </w:pPr>
    </w:p>
    <w:p w14:paraId="34629908" w14:textId="77777777" w:rsidR="006C7AFF" w:rsidRPr="0012687B" w:rsidRDefault="006C7AFF" w:rsidP="006C1D0C">
      <w:pPr>
        <w:jc w:val="center"/>
        <w:rPr>
          <w:rFonts w:ascii="Times New Roman" w:hAnsi="Times New Roman" w:cs="Times New Roman"/>
        </w:rPr>
      </w:pPr>
    </w:p>
    <w:p w14:paraId="73F02C8C" w14:textId="77777777" w:rsidR="006C7AFF" w:rsidRPr="0012687B" w:rsidRDefault="006C7AFF" w:rsidP="006C7AFF">
      <w:pPr>
        <w:rPr>
          <w:rFonts w:ascii="Times New Roman" w:hAnsi="Times New Roman" w:cs="Times New Roman"/>
        </w:rPr>
      </w:pPr>
    </w:p>
    <w:p w14:paraId="2B119115" w14:textId="77777777" w:rsidR="006C7AFF" w:rsidRPr="0012687B" w:rsidRDefault="006C7AFF" w:rsidP="006C1D0C">
      <w:pPr>
        <w:jc w:val="center"/>
        <w:rPr>
          <w:rFonts w:ascii="Times New Roman" w:hAnsi="Times New Roman" w:cs="Times New Roman"/>
        </w:rPr>
      </w:pPr>
    </w:p>
    <w:p w14:paraId="16DE68CE" w14:textId="77777777" w:rsidR="006C7AFF" w:rsidRPr="0012687B" w:rsidRDefault="006C7AFF" w:rsidP="006C7AFF">
      <w:pPr>
        <w:jc w:val="both"/>
        <w:rPr>
          <w:rFonts w:ascii="Times New Roman" w:hAnsi="Times New Roman" w:cs="Times New Roman"/>
        </w:rPr>
      </w:pPr>
      <w:r w:rsidRPr="0012687B">
        <w:rPr>
          <w:rFonts w:ascii="Times New Roman" w:hAnsi="Times New Roman" w:cs="Times New Roman"/>
        </w:rPr>
        <w:t xml:space="preserve">AI Declaration: </w:t>
      </w:r>
    </w:p>
    <w:p w14:paraId="6D6763C0" w14:textId="77777777" w:rsidR="006C7AFF" w:rsidRPr="0012687B" w:rsidRDefault="006C7AFF" w:rsidP="006C7AFF">
      <w:pPr>
        <w:jc w:val="both"/>
        <w:rPr>
          <w:rFonts w:ascii="Times New Roman" w:hAnsi="Times New Roman" w:cs="Times New Roman"/>
        </w:rPr>
      </w:pPr>
    </w:p>
    <w:p w14:paraId="326AB071" w14:textId="77777777" w:rsidR="006C7AFF" w:rsidRPr="0012687B" w:rsidRDefault="006C7AFF" w:rsidP="006C7AFF">
      <w:pPr>
        <w:jc w:val="both"/>
        <w:rPr>
          <w:rFonts w:ascii="Times New Roman" w:hAnsi="Times New Roman" w:cs="Times New Roman"/>
        </w:rPr>
      </w:pPr>
    </w:p>
    <w:p w14:paraId="41FFA3E9" w14:textId="0CB2B1F9" w:rsidR="006C7AFF" w:rsidRPr="0012687B" w:rsidRDefault="006C7AFF" w:rsidP="006C7AFF">
      <w:pPr>
        <w:jc w:val="both"/>
        <w:rPr>
          <w:rFonts w:ascii="Times New Roman" w:hAnsi="Times New Roman" w:cs="Times New Roman"/>
        </w:rPr>
      </w:pPr>
      <w:r w:rsidRPr="0012687B">
        <w:rPr>
          <w:rFonts w:ascii="Times New Roman" w:hAnsi="Times New Roman" w:cs="Times New Roman"/>
        </w:rPr>
        <w:t>I acknowledge the use of  Copilot ((</w:t>
      </w:r>
      <w:hyperlink r:id="rId7" w:history="1">
        <w:r w:rsidRPr="0012687B">
          <w:rPr>
            <w:rStyle w:val="Hyperlink"/>
            <w:rFonts w:ascii="Times New Roman" w:hAnsi="Times New Roman" w:cs="Times New Roman"/>
          </w:rPr>
          <w:t>https://copilot.microsoft.com</w:t>
        </w:r>
      </w:hyperlink>
      <w:r w:rsidRPr="0012687B">
        <w:rPr>
          <w:rFonts w:ascii="Times New Roman" w:hAnsi="Times New Roman" w:cs="Times New Roman"/>
        </w:rPr>
        <w:t xml:space="preserve">) on </w:t>
      </w:r>
      <w:r w:rsidRPr="0012687B">
        <w:rPr>
          <w:rFonts w:ascii="Times New Roman" w:hAnsi="Times New Roman" w:cs="Times New Roman"/>
        </w:rPr>
        <w:t>3</w:t>
      </w:r>
      <w:r w:rsidRPr="0012687B">
        <w:rPr>
          <w:rFonts w:ascii="Times New Roman" w:hAnsi="Times New Roman" w:cs="Times New Roman"/>
          <w:vertAlign w:val="superscript"/>
        </w:rPr>
        <w:t>rd</w:t>
      </w:r>
      <w:r w:rsidRPr="0012687B">
        <w:rPr>
          <w:rFonts w:ascii="Times New Roman" w:hAnsi="Times New Roman" w:cs="Times New Roman"/>
        </w:rPr>
        <w:t xml:space="preserve"> of May 2026. </w:t>
      </w:r>
    </w:p>
    <w:p w14:paraId="073FF8B7" w14:textId="77777777" w:rsidR="006C7AFF" w:rsidRPr="0012687B" w:rsidRDefault="006C7AFF" w:rsidP="006C7AFF">
      <w:pPr>
        <w:rPr>
          <w:rFonts w:ascii="Times New Roman" w:hAnsi="Times New Roman" w:cs="Times New Roman"/>
        </w:rPr>
      </w:pPr>
    </w:p>
    <w:p w14:paraId="3C353A81" w14:textId="77777777" w:rsidR="006C7AFF" w:rsidRPr="0012687B" w:rsidRDefault="006C7AFF" w:rsidP="006C7AFF">
      <w:pPr>
        <w:jc w:val="center"/>
        <w:rPr>
          <w:rFonts w:ascii="Times New Roman" w:hAnsi="Times New Roman" w:cs="Times New Roman"/>
        </w:rPr>
      </w:pPr>
    </w:p>
    <w:p w14:paraId="61123F47" w14:textId="73E56447" w:rsidR="006C7AFF" w:rsidRPr="0012687B" w:rsidRDefault="006C7AFF" w:rsidP="006C7AFF">
      <w:pPr>
        <w:pStyle w:val="ListParagraph"/>
        <w:numPr>
          <w:ilvl w:val="0"/>
          <w:numId w:val="1"/>
        </w:numPr>
        <w:rPr>
          <w:rFonts w:ascii="Times New Roman" w:hAnsi="Times New Roman" w:cs="Times New Roman"/>
        </w:rPr>
      </w:pPr>
      <w:r w:rsidRPr="0012687B">
        <w:rPr>
          <w:rFonts w:ascii="Times New Roman" w:hAnsi="Times New Roman" w:cs="Times New Roman"/>
        </w:rPr>
        <w:t>[Suggest another term fo</w:t>
      </w:r>
      <w:r w:rsidRPr="0012687B">
        <w:rPr>
          <w:rFonts w:ascii="Times New Roman" w:hAnsi="Times New Roman" w:cs="Times New Roman"/>
        </w:rPr>
        <w:t>r should</w:t>
      </w:r>
      <w:r w:rsidRPr="0012687B">
        <w:rPr>
          <w:rFonts w:ascii="Times New Roman" w:hAnsi="Times New Roman" w:cs="Times New Roman"/>
        </w:rPr>
        <w:t>.]</w:t>
      </w:r>
    </w:p>
    <w:p w14:paraId="14126D86" w14:textId="77777777" w:rsidR="006C7AFF" w:rsidRPr="0012687B" w:rsidRDefault="006C7AFF" w:rsidP="006C7AFF">
      <w:pPr>
        <w:rPr>
          <w:rFonts w:ascii="Times New Roman" w:hAnsi="Times New Roman" w:cs="Times New Roman"/>
        </w:rPr>
      </w:pPr>
    </w:p>
    <w:p w14:paraId="22006248" w14:textId="77777777" w:rsidR="006C7AFF" w:rsidRPr="0012687B" w:rsidRDefault="006C7AFF" w:rsidP="006C7AFF">
      <w:pPr>
        <w:rPr>
          <w:rFonts w:ascii="Times New Roman" w:hAnsi="Times New Roman" w:cs="Times New Roman"/>
        </w:rPr>
      </w:pPr>
    </w:p>
    <w:p w14:paraId="03C72B44" w14:textId="77777777" w:rsidR="006C7AFF" w:rsidRPr="0012687B" w:rsidRDefault="006C7AFF" w:rsidP="006C7AFF">
      <w:pPr>
        <w:rPr>
          <w:rFonts w:ascii="Times New Roman" w:hAnsi="Times New Roman" w:cs="Times New Roman"/>
        </w:rPr>
      </w:pPr>
    </w:p>
    <w:p w14:paraId="0AD391A5" w14:textId="77777777" w:rsidR="006C7AFF" w:rsidRPr="0012687B" w:rsidRDefault="006C7AFF" w:rsidP="006C7AFF">
      <w:pPr>
        <w:rPr>
          <w:rFonts w:ascii="Times New Roman" w:hAnsi="Times New Roman" w:cs="Times New Roman"/>
        </w:rPr>
      </w:pPr>
    </w:p>
    <w:p w14:paraId="7187146C" w14:textId="23706051" w:rsidR="006C7AFF" w:rsidRPr="0012687B" w:rsidRDefault="006C7AFF" w:rsidP="006C7AFF">
      <w:pPr>
        <w:pStyle w:val="ListParagraph"/>
        <w:numPr>
          <w:ilvl w:val="0"/>
          <w:numId w:val="1"/>
        </w:numPr>
        <w:rPr>
          <w:rFonts w:ascii="Times New Roman" w:hAnsi="Times New Roman" w:cs="Times New Roman"/>
        </w:rPr>
      </w:pPr>
      <w:r w:rsidRPr="0012687B">
        <w:rPr>
          <w:rFonts w:ascii="Times New Roman" w:hAnsi="Times New Roman" w:cs="Times New Roman"/>
        </w:rPr>
        <w:t>[Check spelling and grammar</w:t>
      </w:r>
      <w:r w:rsidRPr="0012687B">
        <w:rPr>
          <w:rFonts w:ascii="Times New Roman" w:hAnsi="Times New Roman" w:cs="Times New Roman"/>
        </w:rPr>
        <w:t xml:space="preserve"> for a paragraph</w:t>
      </w:r>
      <w:r w:rsidRPr="0012687B">
        <w:rPr>
          <w:rFonts w:ascii="Times New Roman" w:hAnsi="Times New Roman" w:cs="Times New Roman"/>
        </w:rPr>
        <w:t>.]</w:t>
      </w:r>
    </w:p>
    <w:p w14:paraId="662756E3" w14:textId="77777777" w:rsidR="006C7AFF" w:rsidRPr="0012687B" w:rsidRDefault="006C7AFF" w:rsidP="006C7AFF">
      <w:pPr>
        <w:jc w:val="center"/>
        <w:rPr>
          <w:rFonts w:ascii="Times New Roman" w:hAnsi="Times New Roman" w:cs="Times New Roman"/>
        </w:rPr>
      </w:pPr>
    </w:p>
    <w:p w14:paraId="0E3D32A3" w14:textId="77777777" w:rsidR="006C7AFF" w:rsidRPr="0012687B" w:rsidRDefault="006C7AFF" w:rsidP="006C7AFF">
      <w:pPr>
        <w:jc w:val="center"/>
        <w:rPr>
          <w:rFonts w:ascii="Times New Roman" w:hAnsi="Times New Roman" w:cs="Times New Roman"/>
        </w:rPr>
      </w:pPr>
    </w:p>
    <w:p w14:paraId="5CCC4778" w14:textId="77777777" w:rsidR="006C7AFF" w:rsidRPr="0012687B" w:rsidRDefault="006C7AFF" w:rsidP="006C7AFF">
      <w:pPr>
        <w:jc w:val="center"/>
        <w:rPr>
          <w:rFonts w:ascii="Times New Roman" w:hAnsi="Times New Roman" w:cs="Times New Roman"/>
        </w:rPr>
      </w:pPr>
    </w:p>
    <w:p w14:paraId="23DE9F89" w14:textId="77777777" w:rsidR="006C7AFF" w:rsidRPr="0012687B" w:rsidRDefault="006C7AFF" w:rsidP="006C7AFF">
      <w:pPr>
        <w:pStyle w:val="p1"/>
        <w:spacing w:line="360" w:lineRule="auto"/>
        <w:jc w:val="both"/>
        <w:rPr>
          <w:rFonts w:ascii="Times New Roman" w:hAnsi="Times New Roman"/>
          <w:sz w:val="24"/>
          <w:szCs w:val="24"/>
        </w:rPr>
      </w:pPr>
    </w:p>
    <w:p w14:paraId="2E9B158D" w14:textId="77777777" w:rsidR="006C7AFF" w:rsidRPr="0012687B" w:rsidRDefault="006C7AFF" w:rsidP="006C7AFF">
      <w:pPr>
        <w:pStyle w:val="p1"/>
        <w:spacing w:line="360" w:lineRule="auto"/>
        <w:jc w:val="both"/>
        <w:rPr>
          <w:rFonts w:ascii="Times New Roman" w:hAnsi="Times New Roman"/>
          <w:sz w:val="24"/>
          <w:szCs w:val="24"/>
        </w:rPr>
      </w:pPr>
      <w:r w:rsidRPr="0012687B">
        <w:rPr>
          <w:rFonts w:ascii="Times New Roman" w:hAnsi="Times New Roman"/>
          <w:sz w:val="24"/>
          <w:szCs w:val="24"/>
        </w:rPr>
        <w:t>I confirm that I have not presented any AI generated text as my own work. I confirm I</w:t>
      </w:r>
    </w:p>
    <w:p w14:paraId="0E968057" w14:textId="77777777" w:rsidR="006C7AFF" w:rsidRPr="0012687B" w:rsidRDefault="006C7AFF" w:rsidP="006C7AFF">
      <w:pPr>
        <w:pStyle w:val="p1"/>
        <w:spacing w:line="360" w:lineRule="auto"/>
        <w:jc w:val="both"/>
        <w:rPr>
          <w:rFonts w:ascii="Times New Roman" w:hAnsi="Times New Roman"/>
          <w:sz w:val="24"/>
          <w:szCs w:val="24"/>
        </w:rPr>
      </w:pPr>
      <w:r w:rsidRPr="0012687B">
        <w:rPr>
          <w:rFonts w:ascii="Times New Roman" w:hAnsi="Times New Roman"/>
          <w:sz w:val="24"/>
          <w:szCs w:val="24"/>
        </w:rPr>
        <w:t>have copies of my drafts, notes, and other resources I used before, and after the use of</w:t>
      </w:r>
    </w:p>
    <w:p w14:paraId="3EC65356" w14:textId="77777777" w:rsidR="006C7AFF" w:rsidRPr="0012687B" w:rsidRDefault="006C7AFF" w:rsidP="006C7AFF">
      <w:pPr>
        <w:pStyle w:val="p1"/>
        <w:spacing w:line="360" w:lineRule="auto"/>
        <w:jc w:val="both"/>
        <w:rPr>
          <w:rFonts w:ascii="Times New Roman" w:hAnsi="Times New Roman"/>
          <w:sz w:val="24"/>
          <w:szCs w:val="24"/>
        </w:rPr>
      </w:pPr>
      <w:r w:rsidRPr="0012687B">
        <w:rPr>
          <w:rFonts w:ascii="Times New Roman" w:hAnsi="Times New Roman"/>
          <w:sz w:val="24"/>
          <w:szCs w:val="24"/>
        </w:rPr>
        <w:t>AI tools which I may be asked to provide in evidence.</w:t>
      </w:r>
    </w:p>
    <w:p w14:paraId="44E008F3" w14:textId="77777777" w:rsidR="006C7AFF" w:rsidRPr="0012687B" w:rsidRDefault="006C7AFF" w:rsidP="006C1D0C">
      <w:pPr>
        <w:jc w:val="center"/>
        <w:rPr>
          <w:rFonts w:ascii="Times New Roman" w:hAnsi="Times New Roman" w:cs="Times New Roman"/>
        </w:rPr>
      </w:pPr>
    </w:p>
    <w:p w14:paraId="3FA09844" w14:textId="77777777" w:rsidR="006C7AFF" w:rsidRPr="0012687B" w:rsidRDefault="006C7AFF" w:rsidP="006C1D0C">
      <w:pPr>
        <w:jc w:val="center"/>
        <w:rPr>
          <w:rFonts w:ascii="Times New Roman" w:hAnsi="Times New Roman" w:cs="Times New Roman"/>
        </w:rPr>
      </w:pPr>
    </w:p>
    <w:p w14:paraId="4C00B805" w14:textId="77777777" w:rsidR="006C7AFF" w:rsidRPr="0012687B" w:rsidRDefault="006C7AFF" w:rsidP="006C1D0C">
      <w:pPr>
        <w:jc w:val="center"/>
        <w:rPr>
          <w:rFonts w:ascii="Times New Roman" w:hAnsi="Times New Roman" w:cs="Times New Roman"/>
        </w:rPr>
      </w:pPr>
    </w:p>
    <w:p w14:paraId="7179DD16" w14:textId="77777777" w:rsidR="006C7AFF" w:rsidRPr="0012687B" w:rsidRDefault="006C7AFF" w:rsidP="006C1D0C">
      <w:pPr>
        <w:jc w:val="center"/>
        <w:rPr>
          <w:rFonts w:ascii="Times New Roman" w:hAnsi="Times New Roman" w:cs="Times New Roman"/>
        </w:rPr>
      </w:pPr>
    </w:p>
    <w:p w14:paraId="4E421ACB" w14:textId="77777777" w:rsidR="006C7AFF" w:rsidRPr="0012687B" w:rsidRDefault="006C7AFF" w:rsidP="006C1D0C">
      <w:pPr>
        <w:jc w:val="center"/>
        <w:rPr>
          <w:rFonts w:ascii="Times New Roman" w:hAnsi="Times New Roman" w:cs="Times New Roman"/>
        </w:rPr>
      </w:pPr>
    </w:p>
    <w:p w14:paraId="0CB2F5D6" w14:textId="77777777" w:rsidR="006C7AFF" w:rsidRPr="0012687B" w:rsidRDefault="006C7AFF" w:rsidP="006C1D0C">
      <w:pPr>
        <w:jc w:val="center"/>
        <w:rPr>
          <w:rFonts w:ascii="Times New Roman" w:hAnsi="Times New Roman" w:cs="Times New Roman"/>
        </w:rPr>
      </w:pPr>
    </w:p>
    <w:p w14:paraId="0563FCB4" w14:textId="77777777" w:rsidR="006C7AFF" w:rsidRPr="0012687B" w:rsidRDefault="006C7AFF" w:rsidP="006C1D0C">
      <w:pPr>
        <w:jc w:val="center"/>
        <w:rPr>
          <w:rFonts w:ascii="Times New Roman" w:hAnsi="Times New Roman" w:cs="Times New Roman"/>
        </w:rPr>
      </w:pPr>
    </w:p>
    <w:p w14:paraId="6E951855" w14:textId="77777777" w:rsidR="006C7AFF" w:rsidRPr="0012687B" w:rsidRDefault="006C7AFF" w:rsidP="006C1D0C">
      <w:pPr>
        <w:jc w:val="center"/>
        <w:rPr>
          <w:rFonts w:ascii="Times New Roman" w:hAnsi="Times New Roman" w:cs="Times New Roman"/>
        </w:rPr>
      </w:pPr>
    </w:p>
    <w:p w14:paraId="11AD0A7C" w14:textId="77777777" w:rsidR="006C7AFF" w:rsidRPr="0012687B" w:rsidRDefault="006C7AFF" w:rsidP="006C1D0C">
      <w:pPr>
        <w:jc w:val="center"/>
        <w:rPr>
          <w:rFonts w:ascii="Times New Roman" w:hAnsi="Times New Roman" w:cs="Times New Roman"/>
        </w:rPr>
      </w:pPr>
    </w:p>
    <w:p w14:paraId="32A07A84" w14:textId="77777777" w:rsidR="006C7AFF" w:rsidRPr="0012687B" w:rsidRDefault="006C7AFF" w:rsidP="006C1D0C">
      <w:pPr>
        <w:jc w:val="center"/>
        <w:rPr>
          <w:rFonts w:ascii="Times New Roman" w:hAnsi="Times New Roman" w:cs="Times New Roman"/>
        </w:rPr>
      </w:pPr>
    </w:p>
    <w:p w14:paraId="0B1505EB" w14:textId="77777777" w:rsidR="006C7AFF" w:rsidRPr="0012687B" w:rsidRDefault="006C7AFF" w:rsidP="006C1D0C">
      <w:pPr>
        <w:jc w:val="center"/>
        <w:rPr>
          <w:rFonts w:ascii="Times New Roman" w:hAnsi="Times New Roman" w:cs="Times New Roman"/>
        </w:rPr>
      </w:pPr>
    </w:p>
    <w:p w14:paraId="0A6C720D" w14:textId="77777777" w:rsidR="006C7AFF" w:rsidRPr="0012687B" w:rsidRDefault="006C7AFF" w:rsidP="006C1D0C">
      <w:pPr>
        <w:jc w:val="center"/>
        <w:rPr>
          <w:rFonts w:ascii="Times New Roman" w:hAnsi="Times New Roman" w:cs="Times New Roman"/>
        </w:rPr>
      </w:pPr>
    </w:p>
    <w:p w14:paraId="6BB30B2B" w14:textId="77777777" w:rsidR="006C7AFF" w:rsidRPr="0012687B" w:rsidRDefault="006C7AFF" w:rsidP="006C1D0C">
      <w:pPr>
        <w:jc w:val="center"/>
        <w:rPr>
          <w:rFonts w:ascii="Times New Roman" w:hAnsi="Times New Roman" w:cs="Times New Roman"/>
        </w:rPr>
      </w:pPr>
    </w:p>
    <w:p w14:paraId="450EBEEC" w14:textId="77777777" w:rsidR="006C7AFF" w:rsidRPr="0012687B" w:rsidRDefault="006C7AFF" w:rsidP="006C1D0C">
      <w:pPr>
        <w:jc w:val="center"/>
        <w:rPr>
          <w:rFonts w:ascii="Times New Roman" w:hAnsi="Times New Roman" w:cs="Times New Roman"/>
        </w:rPr>
      </w:pPr>
    </w:p>
    <w:p w14:paraId="7DE9C1C1" w14:textId="77777777" w:rsidR="006C7AFF" w:rsidRPr="0012687B" w:rsidRDefault="006C7AFF" w:rsidP="006C1D0C">
      <w:pPr>
        <w:jc w:val="center"/>
        <w:rPr>
          <w:rFonts w:ascii="Times New Roman" w:hAnsi="Times New Roman" w:cs="Times New Roman"/>
        </w:rPr>
      </w:pPr>
    </w:p>
    <w:p w14:paraId="232485CC" w14:textId="77777777" w:rsidR="006C7AFF" w:rsidRPr="0012687B" w:rsidRDefault="006C7AFF" w:rsidP="006C1D0C">
      <w:pPr>
        <w:jc w:val="center"/>
        <w:rPr>
          <w:rFonts w:ascii="Times New Roman" w:hAnsi="Times New Roman" w:cs="Times New Roman"/>
        </w:rPr>
      </w:pPr>
    </w:p>
    <w:p w14:paraId="2FABE205" w14:textId="77777777" w:rsidR="006C7AFF" w:rsidRPr="0012687B" w:rsidRDefault="006C7AFF" w:rsidP="006C1D0C">
      <w:pPr>
        <w:jc w:val="center"/>
        <w:rPr>
          <w:rFonts w:ascii="Times New Roman" w:hAnsi="Times New Roman" w:cs="Times New Roman"/>
        </w:rPr>
      </w:pPr>
    </w:p>
    <w:p w14:paraId="6120194D" w14:textId="77777777" w:rsidR="006C7AFF" w:rsidRPr="0012687B" w:rsidRDefault="006C7AFF" w:rsidP="006C1D0C">
      <w:pPr>
        <w:jc w:val="center"/>
        <w:rPr>
          <w:rFonts w:ascii="Times New Roman" w:hAnsi="Times New Roman" w:cs="Times New Roman"/>
        </w:rPr>
      </w:pPr>
    </w:p>
    <w:p w14:paraId="3504A7E8" w14:textId="77777777" w:rsidR="006C7AFF" w:rsidRPr="0012687B" w:rsidRDefault="006C7AFF" w:rsidP="006C7AFF">
      <w:pPr>
        <w:rPr>
          <w:rFonts w:ascii="Times New Roman" w:hAnsi="Times New Roman" w:cs="Times New Roman"/>
        </w:rPr>
      </w:pPr>
    </w:p>
    <w:p w14:paraId="26F757F7" w14:textId="77777777" w:rsidR="006C7AFF" w:rsidRPr="0012687B" w:rsidRDefault="006C7AFF" w:rsidP="006C7AFF">
      <w:pPr>
        <w:rPr>
          <w:rFonts w:ascii="Times New Roman" w:hAnsi="Times New Roman" w:cs="Times New Roman"/>
        </w:rPr>
      </w:pPr>
    </w:p>
    <w:p w14:paraId="31FB4784" w14:textId="77777777" w:rsidR="006C7AFF" w:rsidRPr="0012687B" w:rsidRDefault="006C7AFF" w:rsidP="006C1D0C">
      <w:pPr>
        <w:jc w:val="center"/>
        <w:rPr>
          <w:rFonts w:ascii="Times New Roman" w:hAnsi="Times New Roman" w:cs="Times New Roman"/>
        </w:rPr>
      </w:pPr>
    </w:p>
    <w:p w14:paraId="6EC152CC" w14:textId="0EAA2FDF" w:rsidR="00416F5F" w:rsidRPr="0012687B" w:rsidRDefault="004600A4" w:rsidP="006C1D0C">
      <w:pPr>
        <w:jc w:val="center"/>
        <w:rPr>
          <w:rFonts w:ascii="Times New Roman" w:hAnsi="Times New Roman" w:cs="Times New Roman"/>
        </w:rPr>
      </w:pPr>
      <w:r w:rsidRPr="0012687B">
        <w:rPr>
          <w:rFonts w:ascii="Times New Roman" w:hAnsi="Times New Roman" w:cs="Times New Roman"/>
        </w:rPr>
        <w:lastRenderedPageBreak/>
        <w:t>Wills and Probate Practice</w:t>
      </w:r>
    </w:p>
    <w:p w14:paraId="19EB0844" w14:textId="77777777" w:rsidR="004600A4" w:rsidRPr="0012687B" w:rsidRDefault="004600A4" w:rsidP="00731B28">
      <w:pPr>
        <w:jc w:val="both"/>
        <w:rPr>
          <w:rFonts w:ascii="Times New Roman" w:hAnsi="Times New Roman" w:cs="Times New Roman"/>
        </w:rPr>
      </w:pPr>
    </w:p>
    <w:p w14:paraId="30B61AFA" w14:textId="77777777" w:rsidR="004600A4" w:rsidRPr="0012687B" w:rsidRDefault="004600A4" w:rsidP="00731B28">
      <w:pPr>
        <w:jc w:val="both"/>
        <w:rPr>
          <w:rFonts w:ascii="Times New Roman" w:hAnsi="Times New Roman" w:cs="Times New Roman"/>
        </w:rPr>
      </w:pPr>
    </w:p>
    <w:p w14:paraId="07DBDD34" w14:textId="29745B6B" w:rsidR="004600A4" w:rsidRPr="0012687B" w:rsidRDefault="00504020" w:rsidP="00731B28">
      <w:pPr>
        <w:jc w:val="both"/>
        <w:rPr>
          <w:rFonts w:ascii="Times New Roman" w:hAnsi="Times New Roman" w:cs="Times New Roman"/>
        </w:rPr>
      </w:pPr>
      <w:r w:rsidRPr="0012687B">
        <w:rPr>
          <w:rFonts w:ascii="Times New Roman" w:hAnsi="Times New Roman" w:cs="Times New Roman"/>
        </w:rPr>
        <w:t>Task 1:</w:t>
      </w:r>
    </w:p>
    <w:p w14:paraId="0204C0AA" w14:textId="77777777" w:rsidR="00504020" w:rsidRPr="0012687B" w:rsidRDefault="00504020" w:rsidP="00731B28">
      <w:pPr>
        <w:jc w:val="both"/>
        <w:rPr>
          <w:rFonts w:ascii="Times New Roman" w:hAnsi="Times New Roman" w:cs="Times New Roman"/>
        </w:rPr>
      </w:pPr>
    </w:p>
    <w:p w14:paraId="309DBF7E" w14:textId="72BEBE55" w:rsidR="004600A4" w:rsidRPr="0012687B" w:rsidRDefault="004600A4" w:rsidP="00731B28">
      <w:pPr>
        <w:jc w:val="both"/>
        <w:rPr>
          <w:rFonts w:ascii="Times New Roman" w:hAnsi="Times New Roman" w:cs="Times New Roman"/>
        </w:rPr>
      </w:pPr>
      <w:r w:rsidRPr="0012687B">
        <w:rPr>
          <w:rFonts w:ascii="Times New Roman" w:hAnsi="Times New Roman" w:cs="Times New Roman"/>
        </w:rPr>
        <w:t xml:space="preserve">Margaret Hughes’s must be structured carefully to ensure that her wishes are clearly reflected while also complying with the relevant legal requirements and achieving tax efficiency. The will should begin with standard introductory provisions, including a clause revoking any previous wills and confirming that the document represents her final testamentary intentions. Even though Margaret has stated she has not made a will before, including such a clause avoids any uncertainty. The will must also comply with the formalities set out in section 9 of the Wills Act 1837, meaning that it should be in writing, signed by Margaret, and witnessed by two individuals present at the same time. </w:t>
      </w:r>
    </w:p>
    <w:p w14:paraId="2EEC8BBE" w14:textId="77777777" w:rsidR="004600A4" w:rsidRPr="0012687B" w:rsidRDefault="004600A4" w:rsidP="00731B28">
      <w:pPr>
        <w:jc w:val="both"/>
        <w:rPr>
          <w:rFonts w:ascii="Times New Roman" w:hAnsi="Times New Roman" w:cs="Times New Roman"/>
        </w:rPr>
      </w:pPr>
    </w:p>
    <w:p w14:paraId="48C95312" w14:textId="57727FBE" w:rsidR="004600A4" w:rsidRPr="0012687B" w:rsidRDefault="004600A4" w:rsidP="00731B28">
      <w:pPr>
        <w:jc w:val="both"/>
        <w:rPr>
          <w:rFonts w:ascii="Times New Roman" w:hAnsi="Times New Roman" w:cs="Times New Roman"/>
        </w:rPr>
      </w:pPr>
      <w:r w:rsidRPr="0012687B">
        <w:rPr>
          <w:rFonts w:ascii="Times New Roman" w:hAnsi="Times New Roman" w:cs="Times New Roman"/>
        </w:rPr>
        <w:t>A key aspect of the will is the appointment of executors and trustees. Margaret has indicated that she would like Anns to act as her executor. While it is legally valid to appoint a single executor, it is generally advisable to appoint at least one substitute executor in case Anna is unable or unwilling to act. That is particularly important given that the will creates a trust for Daniel. Under section 34 of the Trustee Act 1925, there is a requirement for at least two trustees when dealing with land, unless a trust corporation is appointed. Therefore, it would be more practical for the will to appoint Anna together with an additional trustee or at least provide for a substitute. This reduces the risk of administrative delay and ensures continuity in estate management.</w:t>
      </w:r>
    </w:p>
    <w:p w14:paraId="4FF27B76" w14:textId="77777777" w:rsidR="004600A4" w:rsidRPr="0012687B" w:rsidRDefault="004600A4" w:rsidP="00731B28">
      <w:pPr>
        <w:jc w:val="both"/>
        <w:rPr>
          <w:rFonts w:ascii="Times New Roman" w:hAnsi="Times New Roman" w:cs="Times New Roman"/>
        </w:rPr>
      </w:pPr>
    </w:p>
    <w:p w14:paraId="0F2F2A59" w14:textId="77777777" w:rsidR="00731B28" w:rsidRPr="0012687B" w:rsidRDefault="00731B28" w:rsidP="00731B28">
      <w:pPr>
        <w:jc w:val="both"/>
        <w:rPr>
          <w:rFonts w:ascii="Times New Roman" w:hAnsi="Times New Roman" w:cs="Times New Roman"/>
        </w:rPr>
      </w:pPr>
    </w:p>
    <w:p w14:paraId="65267430" w14:textId="77777777" w:rsidR="00731B28" w:rsidRPr="0012687B" w:rsidRDefault="00731B28" w:rsidP="00731B28">
      <w:pPr>
        <w:jc w:val="both"/>
        <w:rPr>
          <w:rFonts w:ascii="Times New Roman" w:hAnsi="Times New Roman" w:cs="Times New Roman"/>
        </w:rPr>
      </w:pPr>
    </w:p>
    <w:p w14:paraId="0BD1F5BE" w14:textId="0D143E63" w:rsidR="004600A4" w:rsidRPr="0012687B" w:rsidRDefault="004600A4" w:rsidP="00731B28">
      <w:pPr>
        <w:jc w:val="both"/>
        <w:rPr>
          <w:rFonts w:ascii="Times New Roman" w:hAnsi="Times New Roman" w:cs="Times New Roman"/>
        </w:rPr>
      </w:pPr>
      <w:r w:rsidRPr="0012687B">
        <w:rPr>
          <w:rFonts w:ascii="Times New Roman" w:hAnsi="Times New Roman" w:cs="Times New Roman"/>
        </w:rPr>
        <w:t xml:space="preserve">The will should then address Margaret’s specific gifts. She wishes to leave her jewellery and her car to Ana, which are both examples of specific legacies. These must be clearly identified to avoid ambiguity. However, specific gifts are subject to the doctrine of ademption, meaning that if the estate is not owned anymore when the person dies, the gift will not go through, and it simply will not be given. This principle was illustrated in </w:t>
      </w:r>
      <w:r w:rsidR="00FD7CA2" w:rsidRPr="0012687B">
        <w:rPr>
          <w:rFonts w:ascii="Times New Roman" w:hAnsi="Times New Roman" w:cs="Times New Roman"/>
        </w:rPr>
        <w:t xml:space="preserve">Re Slater. Therefore, it may be sensible to consider whether a substitution clause is needed, although this is not strictly required. Including such a clause could reduce the risk of partial failure of the estate plan. </w:t>
      </w:r>
    </w:p>
    <w:p w14:paraId="6C83E34F" w14:textId="77777777" w:rsidR="00731B28" w:rsidRPr="0012687B" w:rsidRDefault="00731B28" w:rsidP="00731B28">
      <w:pPr>
        <w:jc w:val="both"/>
        <w:rPr>
          <w:rFonts w:ascii="Times New Roman" w:hAnsi="Times New Roman" w:cs="Times New Roman"/>
        </w:rPr>
      </w:pPr>
    </w:p>
    <w:p w14:paraId="75250035" w14:textId="78113582" w:rsidR="00FD7CA2" w:rsidRPr="0012687B" w:rsidRDefault="00FD7CA2" w:rsidP="00731B28">
      <w:pPr>
        <w:jc w:val="both"/>
        <w:rPr>
          <w:rFonts w:ascii="Times New Roman" w:hAnsi="Times New Roman" w:cs="Times New Roman"/>
        </w:rPr>
      </w:pPr>
      <w:r w:rsidRPr="0012687B">
        <w:rPr>
          <w:rFonts w:ascii="Times New Roman" w:hAnsi="Times New Roman" w:cs="Times New Roman"/>
        </w:rPr>
        <w:t xml:space="preserve">Margaret also intends to make pecuniary legacies, she wishes to leave £20,000 to her granddaughter Emily, payable when she reaches the age of 18. This creates a contingent gift, meaning the funds must be held on trust until that age is reached. During this period, the trustees will have powers under sections 31and 32 of the Trustee Act 1925 to apply income or capital for Emily’s maintenance, education, or general benefit. Margaret also wishes to leave £10,000 to Dogs Trust. This gift qualifies as a charitable legacy and is exempt from inheritance tax under section 23 of the Inheritance Tax Act 1984. The residuary estate clause is particularly important, as it deals with everything remaining after debts, taxes, and legacies have been satisfied. Margaret’s intention is that both Anna and Daniel benefit from the estate, but she has expressed concern about Daniel’s financial behaviour. As a result, the residue should be divided into two equal shares, with Anna receiving her share outright and Daniel’s share being held on trust. </w:t>
      </w:r>
    </w:p>
    <w:p w14:paraId="59CDB396" w14:textId="77777777" w:rsidR="00731B28" w:rsidRPr="0012687B" w:rsidRDefault="00731B28" w:rsidP="00731B28">
      <w:pPr>
        <w:jc w:val="both"/>
        <w:rPr>
          <w:rFonts w:ascii="Times New Roman" w:hAnsi="Times New Roman" w:cs="Times New Roman"/>
        </w:rPr>
      </w:pPr>
    </w:p>
    <w:p w14:paraId="25DE11B6" w14:textId="77777777" w:rsidR="00731B28" w:rsidRPr="0012687B" w:rsidRDefault="00731B28" w:rsidP="00731B28">
      <w:pPr>
        <w:jc w:val="both"/>
        <w:rPr>
          <w:rFonts w:ascii="Times New Roman" w:hAnsi="Times New Roman" w:cs="Times New Roman"/>
        </w:rPr>
      </w:pPr>
    </w:p>
    <w:p w14:paraId="493D8147" w14:textId="77777777" w:rsidR="00731B28" w:rsidRPr="0012687B" w:rsidRDefault="00731B28" w:rsidP="00731B28">
      <w:pPr>
        <w:jc w:val="both"/>
        <w:rPr>
          <w:rFonts w:ascii="Times New Roman" w:hAnsi="Times New Roman" w:cs="Times New Roman"/>
        </w:rPr>
      </w:pPr>
    </w:p>
    <w:p w14:paraId="6AD5877C" w14:textId="21DAA09C" w:rsidR="00731B28" w:rsidRPr="0012687B" w:rsidRDefault="00731B28"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r w:rsidRPr="0012687B">
        <w:rPr>
          <w:rFonts w:ascii="Times New Roman" w:hAnsi="Times New Roman" w:cs="Times New Roman"/>
        </w:rPr>
        <w:lastRenderedPageBreak/>
        <w:t xml:space="preserve">The trust for Daniel is central to the will and requires careful drafting. Margaret has indicated that she would like his share to be protected until he reaches the age of 55. A discretionary trust is the most appropriate structure because it gives trustees flexibility and control over distributions. Under such a trust, Daniel does not have a fixed entitlement, which protects the assets from poor financial decisions, creditors, or relationship breakdowns. In Gartside v IRC, it was confirmed that discretionary beneficiaries do not have a proprietary interest in trust assets. A limitation, however, is that Daniel has no certainty of benefit, but this is justified given Margaret’s clear protective intention. </w:t>
      </w:r>
      <w:r w:rsidRPr="00383EF3">
        <w:rPr>
          <w:rFonts w:ascii="Times New Roman" w:eastAsia="Times New Roman" w:hAnsi="Times New Roman" w:cs="Times New Roman"/>
          <w:color w:val="000000"/>
          <w:kern w:val="0"/>
          <w:lang w:eastAsia="en-GB"/>
          <w14:ligatures w14:val="none"/>
        </w:rPr>
        <w:t xml:space="preserve">A life interest trust was considered but is less suitable because it gives Daniel an automatic entitlement to income and could allow him to collapse the trust under Saunders v Vautier. Therefore, a discretionary trust is more secure and aligned with Margaret’s </w:t>
      </w:r>
      <w:r w:rsidRPr="0012687B">
        <w:rPr>
          <w:rFonts w:ascii="Times New Roman" w:eastAsia="Times New Roman" w:hAnsi="Times New Roman" w:cs="Times New Roman"/>
          <w:color w:val="000000"/>
          <w:kern w:val="0"/>
          <w:lang w:eastAsia="en-GB"/>
          <w14:ligatures w14:val="none"/>
        </w:rPr>
        <w:t>objectives. In</w:t>
      </w:r>
      <w:r w:rsidRPr="00383EF3">
        <w:rPr>
          <w:rFonts w:ascii="Times New Roman" w:eastAsia="Times New Roman" w:hAnsi="Times New Roman" w:cs="Times New Roman"/>
          <w:color w:val="000000"/>
          <w:kern w:val="0"/>
          <w:lang w:eastAsia="en-GB"/>
          <w14:ligatures w14:val="none"/>
        </w:rPr>
        <w:t xml:space="preserve"> addition to the trust structure, trustees should be granted broad administrative and investment powers under the Trustee Act 2000. This is important because it allows them to adapt investments to market changes and manage the trust efficiently. Trustees must also comply with the statutory duty of care under section 1 of the Act. This requires them to act with reasonable skill and care when managing assets. This is preferable because it reduces the risk of mismanagement and ensures professional standards of administration.</w:t>
      </w:r>
    </w:p>
    <w:p w14:paraId="7A95B3A7" w14:textId="77777777" w:rsidR="0048794C" w:rsidRPr="0012687B" w:rsidRDefault="0048794C"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p>
    <w:p w14:paraId="1016B978" w14:textId="77777777" w:rsidR="006C1D0C" w:rsidRPr="0012687B" w:rsidRDefault="0048794C" w:rsidP="006C1D0C">
      <w:pPr>
        <w:spacing w:before="100" w:beforeAutospacing="1" w:after="100" w:afterAutospacing="1"/>
        <w:rPr>
          <w:rFonts w:ascii="Times New Roman" w:eastAsia="Times New Roman" w:hAnsi="Times New Roman" w:cs="Times New Roman"/>
          <w:color w:val="000000"/>
          <w:kern w:val="0"/>
          <w:lang w:eastAsia="en-GB"/>
          <w14:ligatures w14:val="none"/>
        </w:rPr>
      </w:pPr>
      <w:r w:rsidRPr="0012687B">
        <w:rPr>
          <w:rFonts w:ascii="Times New Roman" w:eastAsia="Times New Roman" w:hAnsi="Times New Roman" w:cs="Times New Roman"/>
          <w:color w:val="000000"/>
          <w:kern w:val="0"/>
          <w:lang w:eastAsia="en-GB"/>
          <w14:ligatures w14:val="none"/>
        </w:rPr>
        <w:t>Trustees are also subject to fiduciary duties, including acting in the best interests of beneficiaries. The principle was confirmed in Bristol and West Building Society v Mothew. Beneficiaries also have rights to information under Schmidt v Rosewood Trust Ltd, ensuring transparency in trust administration. A letter of wishes should also be included</w:t>
      </w:r>
      <w:r w:rsidR="006C1D0C" w:rsidRPr="0012687B">
        <w:rPr>
          <w:rFonts w:ascii="Times New Roman" w:eastAsia="Times New Roman" w:hAnsi="Times New Roman" w:cs="Times New Roman"/>
          <w:color w:val="000000"/>
          <w:kern w:val="0"/>
          <w:lang w:eastAsia="en-GB"/>
          <w14:ligatures w14:val="none"/>
        </w:rPr>
        <w:t>.</w:t>
      </w:r>
      <w:r w:rsidRPr="0012687B">
        <w:rPr>
          <w:rFonts w:ascii="Times New Roman" w:eastAsia="Times New Roman" w:hAnsi="Times New Roman" w:cs="Times New Roman"/>
          <w:color w:val="000000"/>
          <w:kern w:val="0"/>
          <w:lang w:eastAsia="en-GB"/>
          <w14:ligatures w14:val="none"/>
        </w:rPr>
        <w:t xml:space="preserve"> </w:t>
      </w:r>
      <w:r w:rsidR="006C1D0C" w:rsidRPr="0012687B">
        <w:rPr>
          <w:rFonts w:ascii="Times New Roman" w:eastAsia="Times New Roman" w:hAnsi="Times New Roman" w:cs="Times New Roman"/>
          <w:color w:val="000000"/>
          <w:kern w:val="0"/>
          <w:lang w:eastAsia="en-GB"/>
          <w14:ligatures w14:val="none"/>
        </w:rPr>
        <w:t>A</w:t>
      </w:r>
      <w:r w:rsidRPr="0012687B">
        <w:rPr>
          <w:rFonts w:ascii="Times New Roman" w:eastAsia="Times New Roman" w:hAnsi="Times New Roman" w:cs="Times New Roman"/>
          <w:color w:val="000000"/>
          <w:kern w:val="0"/>
          <w:lang w:eastAsia="en-GB"/>
          <w14:ligatures w14:val="none"/>
        </w:rPr>
        <w:t>lthough not legally binding</w:t>
      </w:r>
      <w:r w:rsidR="006C1D0C" w:rsidRPr="0012687B">
        <w:rPr>
          <w:rFonts w:ascii="Times New Roman" w:eastAsia="Times New Roman" w:hAnsi="Times New Roman" w:cs="Times New Roman"/>
          <w:color w:val="000000"/>
          <w:kern w:val="0"/>
          <w:lang w:eastAsia="en-GB"/>
          <w14:ligatures w14:val="none"/>
        </w:rPr>
        <w:t xml:space="preserve">, it provides guidance on how trustees approach distributions for Daniel. For example, it may suggest prioritising housing, education, or essential living costs. This helps balance flexibility with Margaret’s intentions. </w:t>
      </w:r>
      <w:r w:rsidR="006C1D0C" w:rsidRPr="00383EF3">
        <w:rPr>
          <w:rFonts w:ascii="Times New Roman" w:eastAsia="Times New Roman" w:hAnsi="Times New Roman" w:cs="Times New Roman"/>
          <w:color w:val="000000"/>
          <w:kern w:val="0"/>
          <w:lang w:eastAsia="en-GB"/>
          <w14:ligatures w14:val="none"/>
        </w:rPr>
        <w:t>From a tax perspective, Margaret’s estate consists of a property valued at £480,000 and savings and investments worth £320,000, giving a total estate of £800,000. The nil-rate band of £325,000 applies, and the residence nil-rate band of £175,000 may also apply. Importantly, transferable allowances from her late husband may increase the combined threshold to £1 million under sections 8A and 8D of the Inheritance Tax Act 1984.</w:t>
      </w:r>
    </w:p>
    <w:p w14:paraId="5560017C" w14:textId="77777777" w:rsidR="006C1D0C" w:rsidRPr="0012687B" w:rsidRDefault="006C1D0C" w:rsidP="006C1D0C">
      <w:pPr>
        <w:spacing w:before="100" w:beforeAutospacing="1" w:after="100" w:afterAutospacing="1"/>
        <w:rPr>
          <w:rFonts w:ascii="Times New Roman" w:eastAsia="Times New Roman" w:hAnsi="Times New Roman" w:cs="Times New Roman"/>
          <w:color w:val="000000"/>
          <w:kern w:val="0"/>
          <w:lang w:eastAsia="en-GB"/>
          <w14:ligatures w14:val="none"/>
        </w:rPr>
      </w:pPr>
    </w:p>
    <w:p w14:paraId="4805D565" w14:textId="77777777" w:rsidR="006C1D0C" w:rsidRPr="0012687B" w:rsidRDefault="006C1D0C" w:rsidP="006C1D0C">
      <w:pPr>
        <w:spacing w:before="100" w:beforeAutospacing="1" w:after="100" w:afterAutospacing="1"/>
        <w:rPr>
          <w:rFonts w:ascii="Times New Roman" w:eastAsia="Times New Roman" w:hAnsi="Times New Roman" w:cs="Times New Roman"/>
          <w:color w:val="000000"/>
          <w:kern w:val="0"/>
          <w:lang w:eastAsia="en-GB"/>
          <w14:ligatures w14:val="none"/>
        </w:rPr>
      </w:pPr>
    </w:p>
    <w:p w14:paraId="024D1A46" w14:textId="3C7AECA6" w:rsidR="006C1D0C" w:rsidRPr="0012687B" w:rsidRDefault="006C1D0C" w:rsidP="006C1D0C">
      <w:pPr>
        <w:pStyle w:val="NormalWeb"/>
        <w:rPr>
          <w:color w:val="000000"/>
        </w:rPr>
      </w:pPr>
      <w:r w:rsidRPr="0012687B">
        <w:rPr>
          <w:color w:val="000000"/>
        </w:rPr>
        <w:t>Margaret’s estate is valued at £800,000, consisting of her property worth £480,000 and savings and investments worth £320,000. The £10,000 charitable gift to Dogs Trust is exempt from inheritance tax under the Inheritance Tax Act 1984and is therefore deducted first, reducing the chargeable estate to £790,000.</w:t>
      </w:r>
      <w:r w:rsidRPr="0012687B">
        <w:rPr>
          <w:color w:val="000000"/>
        </w:rPr>
        <w:t xml:space="preserve"> The nil-rate band of £325,000 and the residence nil-rate band of £175,000 would apply, giving a combined threshold of £500,000. In addition, because Margaret’s late husband left his estate to her, any unused nil-rate band and residence nil-rate band may be transferred, potentially increasing the available threshold to £1 million under sections 8A and 8D of the Inheritance Tax Act 1984. As the estate value of £790,000 falls below this combined threshold, no inheritance tax is likely to be payable if the transferable allowances are fully available. However, if the transferable allowances cannot be claimed, the taxable estate would be £290,000, and inheritance tax at 40% would result in a liability of £116,000. This demonstrates the importance of confirming the availability of transferable allowances with HMRC.</w:t>
      </w:r>
    </w:p>
    <w:p w14:paraId="5704D35A" w14:textId="77777777" w:rsidR="00096987" w:rsidRPr="0012687B" w:rsidRDefault="00096987" w:rsidP="006C1D0C">
      <w:pPr>
        <w:spacing w:before="100" w:beforeAutospacing="1" w:after="100" w:afterAutospacing="1"/>
        <w:rPr>
          <w:rFonts w:ascii="Times New Roman" w:eastAsia="Times New Roman" w:hAnsi="Times New Roman" w:cs="Times New Roman"/>
          <w:color w:val="000000"/>
          <w:kern w:val="0"/>
          <w:lang w:eastAsia="en-GB"/>
          <w14:ligatures w14:val="none"/>
        </w:rPr>
      </w:pPr>
      <w:r w:rsidRPr="0012687B">
        <w:rPr>
          <w:rFonts w:ascii="Times New Roman" w:eastAsia="Times New Roman" w:hAnsi="Times New Roman" w:cs="Times New Roman"/>
          <w:color w:val="000000"/>
          <w:kern w:val="0"/>
          <w:lang w:eastAsia="en-GB"/>
          <w14:ligatures w14:val="none"/>
        </w:rPr>
        <w:lastRenderedPageBreak/>
        <w:t xml:space="preserve">A key limitation is thar the availability of allowances must be confirmed with HMRC, meaning uncertainty remains until formal assessment. This increases the importance of accurate estate planning and compliance. </w:t>
      </w:r>
    </w:p>
    <w:p w14:paraId="2BD384C5" w14:textId="77777777" w:rsidR="00096987" w:rsidRPr="0012687B" w:rsidRDefault="00096987" w:rsidP="006C1D0C">
      <w:pPr>
        <w:spacing w:before="100" w:beforeAutospacing="1" w:after="100" w:afterAutospacing="1"/>
        <w:rPr>
          <w:rFonts w:ascii="Times New Roman" w:eastAsia="Times New Roman" w:hAnsi="Times New Roman" w:cs="Times New Roman"/>
          <w:color w:val="000000"/>
          <w:kern w:val="0"/>
          <w:lang w:eastAsia="en-GB"/>
          <w14:ligatures w14:val="none"/>
        </w:rPr>
      </w:pPr>
      <w:r w:rsidRPr="0012687B">
        <w:rPr>
          <w:rFonts w:ascii="Times New Roman" w:eastAsia="Times New Roman" w:hAnsi="Times New Roman" w:cs="Times New Roman"/>
          <w:color w:val="000000"/>
          <w:kern w:val="0"/>
          <w:lang w:eastAsia="en-GB"/>
          <w14:ligatures w14:val="none"/>
        </w:rPr>
        <w:t>The discretionary trust falls within the relevant property regime, meaning it may be subject to periodic and exit charges. However, it removes assets from Daniel’s personal estate, which may reduce long-term inheritance tax exposure.</w:t>
      </w:r>
    </w:p>
    <w:p w14:paraId="3FFD83BF" w14:textId="3500B2E4" w:rsidR="00096987" w:rsidRPr="0012687B" w:rsidRDefault="00096987" w:rsidP="006C1D0C">
      <w:pPr>
        <w:spacing w:before="100" w:beforeAutospacing="1" w:after="100" w:afterAutospacing="1"/>
        <w:rPr>
          <w:rFonts w:ascii="Times New Roman" w:eastAsia="Times New Roman" w:hAnsi="Times New Roman" w:cs="Times New Roman"/>
          <w:color w:val="000000"/>
          <w:kern w:val="0"/>
          <w:lang w:eastAsia="en-GB"/>
          <w14:ligatures w14:val="none"/>
        </w:rPr>
      </w:pPr>
      <w:r w:rsidRPr="0012687B">
        <w:rPr>
          <w:rFonts w:ascii="Times New Roman" w:eastAsia="Times New Roman" w:hAnsi="Times New Roman" w:cs="Times New Roman"/>
          <w:color w:val="000000"/>
          <w:kern w:val="0"/>
          <w:lang w:eastAsia="en-GB"/>
          <w14:ligatures w14:val="none"/>
        </w:rPr>
        <w:t xml:space="preserve"> Flexibility is also available through a deed of variation under section 142 of the Inheritance Tax Act 1984, allowing beneficiaries to alter distribution within two years of death. This is useful if family circumstances change. </w:t>
      </w:r>
    </w:p>
    <w:p w14:paraId="5F0F0F01" w14:textId="23A87B2E" w:rsidR="00096987" w:rsidRPr="0012687B" w:rsidRDefault="00096987" w:rsidP="006C1D0C">
      <w:pPr>
        <w:spacing w:before="100" w:beforeAutospacing="1" w:after="100" w:afterAutospacing="1"/>
        <w:rPr>
          <w:rFonts w:ascii="Times New Roman" w:eastAsia="Times New Roman" w:hAnsi="Times New Roman" w:cs="Times New Roman"/>
          <w:color w:val="000000"/>
          <w:kern w:val="0"/>
          <w:lang w:eastAsia="en-GB"/>
          <w14:ligatures w14:val="none"/>
        </w:rPr>
      </w:pPr>
      <w:r w:rsidRPr="0012687B">
        <w:rPr>
          <w:rFonts w:ascii="Times New Roman" w:eastAsia="Times New Roman" w:hAnsi="Times New Roman" w:cs="Times New Roman"/>
          <w:color w:val="000000"/>
          <w:kern w:val="0"/>
          <w:lang w:eastAsia="en-GB"/>
          <w14:ligatures w14:val="none"/>
        </w:rPr>
        <w:t xml:space="preserve">Overall, the structure provides a legally sound, tax-efficient, and flexible arrangement that </w:t>
      </w:r>
      <w:r w:rsidR="00504020" w:rsidRPr="0012687B">
        <w:rPr>
          <w:rFonts w:ascii="Times New Roman" w:eastAsia="Times New Roman" w:hAnsi="Times New Roman" w:cs="Times New Roman"/>
          <w:color w:val="000000"/>
          <w:kern w:val="0"/>
          <w:lang w:eastAsia="en-GB"/>
          <w14:ligatures w14:val="none"/>
        </w:rPr>
        <w:t xml:space="preserve">reflects Margaret’s wishes while balancing protection and fairness. </w:t>
      </w:r>
    </w:p>
    <w:p w14:paraId="25A3E997" w14:textId="01B72FA5" w:rsidR="00731B28" w:rsidRPr="0012687B" w:rsidRDefault="00731B28"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p>
    <w:p w14:paraId="14E819DF" w14:textId="77777777" w:rsidR="00504020" w:rsidRPr="0012687B" w:rsidRDefault="00504020"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p>
    <w:p w14:paraId="41E4F2FA" w14:textId="77777777" w:rsidR="00504020" w:rsidRPr="0012687B" w:rsidRDefault="00504020"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p>
    <w:p w14:paraId="42C818F3" w14:textId="4DDA9866" w:rsidR="00504020" w:rsidRPr="0012687B" w:rsidRDefault="00504020"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r w:rsidRPr="0012687B">
        <w:rPr>
          <w:rFonts w:ascii="Times New Roman" w:eastAsia="Times New Roman" w:hAnsi="Times New Roman" w:cs="Times New Roman"/>
          <w:color w:val="000000"/>
          <w:kern w:val="0"/>
          <w:lang w:eastAsia="en-GB"/>
          <w14:ligatures w14:val="none"/>
        </w:rPr>
        <w:t>Task 2:</w:t>
      </w:r>
    </w:p>
    <w:p w14:paraId="0C951B46" w14:textId="77777777" w:rsidR="00456271" w:rsidRPr="0012687B" w:rsidRDefault="00456271"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p>
    <w:p w14:paraId="0019094F" w14:textId="696DE2E6" w:rsidR="00456271" w:rsidRPr="0012687B" w:rsidRDefault="00456271"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r w:rsidRPr="0012687B">
        <w:rPr>
          <w:rFonts w:ascii="Times New Roman" w:eastAsia="Times New Roman" w:hAnsi="Times New Roman" w:cs="Times New Roman"/>
          <w:color w:val="000000"/>
          <w:kern w:val="0"/>
          <w:lang w:eastAsia="en-GB"/>
          <w14:ligatures w14:val="none"/>
        </w:rPr>
        <w:t xml:space="preserve">Following Margaret’s death, Anna, as the named executor, must take a number of important steps. The first step is to register the death and obtain the official death certificate, which will be required for dealing with banks, HMRC,  and the Probate Registry. She should also locate the original will and ensure that Margaret’s assets are secure. </w:t>
      </w:r>
    </w:p>
    <w:p w14:paraId="10CA2F10" w14:textId="77777777" w:rsidR="00504020" w:rsidRPr="0012687B" w:rsidRDefault="00504020"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p>
    <w:p w14:paraId="0E013968" w14:textId="77777777" w:rsidR="00456271" w:rsidRPr="0012687B" w:rsidRDefault="00456271" w:rsidP="00456271">
      <w:pPr>
        <w:pStyle w:val="NormalWeb"/>
        <w:rPr>
          <w:color w:val="000000"/>
        </w:rPr>
      </w:pPr>
      <w:r w:rsidRPr="0012687B">
        <w:rPr>
          <w:color w:val="000000"/>
        </w:rPr>
        <w:t>The next step is to confirm that the will is valid. This involves checking that it complies with section 9 of the</w:t>
      </w:r>
      <w:r w:rsidRPr="0012687B">
        <w:rPr>
          <w:rStyle w:val="apple-converted-space"/>
          <w:rFonts w:eastAsiaTheme="majorEastAsia"/>
          <w:color w:val="000000"/>
        </w:rPr>
        <w:t> </w:t>
      </w:r>
      <w:r w:rsidRPr="0012687B">
        <w:rPr>
          <w:rStyle w:val="whitespace-normal"/>
          <w:rFonts w:eastAsiaTheme="majorEastAsia"/>
          <w:color w:val="000000"/>
        </w:rPr>
        <w:t>Wills Act 1837</w:t>
      </w:r>
      <w:r w:rsidRPr="0012687B">
        <w:rPr>
          <w:color w:val="000000"/>
        </w:rPr>
        <w:t>, meaning it must be properly signed and witnessed. It is also necessary to consider whether Margaret had testamentary capacity at the time the will was made. The test for this is set out in</w:t>
      </w:r>
      <w:r w:rsidRPr="0012687B">
        <w:rPr>
          <w:rStyle w:val="apple-converted-space"/>
          <w:rFonts w:eastAsiaTheme="majorEastAsia"/>
          <w:color w:val="000000"/>
        </w:rPr>
        <w:t> </w:t>
      </w:r>
      <w:r w:rsidRPr="0012687B">
        <w:rPr>
          <w:rStyle w:val="whitespace-normal"/>
          <w:rFonts w:eastAsiaTheme="majorEastAsia"/>
          <w:color w:val="000000"/>
        </w:rPr>
        <w:t>Banks v Goodfellow</w:t>
      </w:r>
      <w:r w:rsidRPr="0012687B">
        <w:rPr>
          <w:color w:val="000000"/>
        </w:rPr>
        <w:t>, which requires that she understood the nature of making a will, the extent of her estate, and the claims of potential beneficiaries. Any concerns about undue influence or lack of knowledge must also be investigated.</w:t>
      </w:r>
    </w:p>
    <w:p w14:paraId="55CF5B9D" w14:textId="77777777" w:rsidR="00456271" w:rsidRPr="0012687B" w:rsidRDefault="00456271" w:rsidP="00456271">
      <w:pPr>
        <w:pStyle w:val="NormalWeb"/>
        <w:rPr>
          <w:color w:val="000000"/>
        </w:rPr>
      </w:pPr>
    </w:p>
    <w:p w14:paraId="45D045E9" w14:textId="77777777" w:rsidR="00456271" w:rsidRPr="0012687B" w:rsidRDefault="00456271" w:rsidP="00456271">
      <w:pPr>
        <w:pStyle w:val="NormalWeb"/>
        <w:rPr>
          <w:color w:val="000000"/>
        </w:rPr>
      </w:pPr>
      <w:r w:rsidRPr="0012687B">
        <w:rPr>
          <w:color w:val="000000"/>
        </w:rPr>
        <w:t>Anna is entitled to act as executor alone, but practical issues may arise because the will creates a trust. In such cases, at least two trustees are usually required, particularly where land is involved under section 34 of the</w:t>
      </w:r>
      <w:r w:rsidRPr="0012687B">
        <w:rPr>
          <w:rStyle w:val="apple-converted-space"/>
          <w:rFonts w:eastAsiaTheme="majorEastAsia"/>
          <w:color w:val="000000"/>
        </w:rPr>
        <w:t> </w:t>
      </w:r>
      <w:r w:rsidRPr="0012687B">
        <w:rPr>
          <w:rStyle w:val="whitespace-normal"/>
          <w:rFonts w:eastAsiaTheme="majorEastAsia"/>
          <w:color w:val="000000"/>
        </w:rPr>
        <w:t>Trustee Act 1925</w:t>
      </w:r>
      <w:r w:rsidRPr="0012687B">
        <w:rPr>
          <w:color w:val="000000"/>
        </w:rPr>
        <w:t>. If no substitute executor was appointed, this could cause delays and may require the appointment of an additional trustee. This is a practical risk because it can slow down administration and increase legal costs.</w:t>
      </w:r>
    </w:p>
    <w:p w14:paraId="61A56626" w14:textId="77777777" w:rsidR="00456271" w:rsidRPr="0012687B" w:rsidRDefault="00456271" w:rsidP="00456271">
      <w:pPr>
        <w:pStyle w:val="NormalWeb"/>
        <w:rPr>
          <w:color w:val="000000"/>
        </w:rPr>
      </w:pPr>
    </w:p>
    <w:p w14:paraId="17A89E54" w14:textId="7B49153D" w:rsidR="00456271" w:rsidRPr="0012687B" w:rsidRDefault="00456271" w:rsidP="00456271">
      <w:pPr>
        <w:pStyle w:val="NormalWeb"/>
        <w:rPr>
          <w:color w:val="000000"/>
        </w:rPr>
      </w:pPr>
      <w:r w:rsidRPr="0012687B">
        <w:rPr>
          <w:color w:val="000000"/>
        </w:rPr>
        <w:lastRenderedPageBreak/>
        <w:t xml:space="preserve">As a solicitor, it is important to follow the SRA Code of Conduct. This includes acting in the best interests of the client, providing clear information about costs, and communicating effectively. Extra care should be taken when dealing with grieving clients, ensuring that advice is clear and sensitive. This is particularly important because executors are often under emotional stress and may not fully understand legal obligations. </w:t>
      </w:r>
    </w:p>
    <w:p w14:paraId="147687E8" w14:textId="51CD49A8" w:rsidR="00456271" w:rsidRPr="0012687B" w:rsidRDefault="00456271" w:rsidP="00456271">
      <w:pPr>
        <w:pStyle w:val="NormalWeb"/>
        <w:rPr>
          <w:color w:val="000000"/>
        </w:rPr>
      </w:pPr>
    </w:p>
    <w:p w14:paraId="601D7757" w14:textId="7DDE8996" w:rsidR="00456271" w:rsidRPr="0012687B" w:rsidRDefault="00456271" w:rsidP="00456271">
      <w:pPr>
        <w:pStyle w:val="NormalWeb"/>
        <w:rPr>
          <w:color w:val="000000"/>
        </w:rPr>
      </w:pPr>
      <w:r w:rsidRPr="0012687B">
        <w:rPr>
          <w:color w:val="000000"/>
        </w:rPr>
        <w:t xml:space="preserve">The next stage is to prepare a full schedule of Margaret’s assets and liabilities. This includes her property, savings, investments, and personal possessions. Each asset must be valued at its market value at the date of death, as required by section 160 of the Inheritance Tax Act 1984. Professional valuations may be needed for property and jewellery. This is important because incorrect valuations can lead to HMRC penalties </w:t>
      </w:r>
      <w:r w:rsidR="00C75C88" w:rsidRPr="0012687B">
        <w:rPr>
          <w:color w:val="000000"/>
        </w:rPr>
        <w:t xml:space="preserve">or underpayment of tax. </w:t>
      </w:r>
    </w:p>
    <w:p w14:paraId="3BAAD321" w14:textId="77777777" w:rsidR="00456271" w:rsidRPr="0012687B" w:rsidRDefault="00456271" w:rsidP="00456271">
      <w:pPr>
        <w:pStyle w:val="NormalWeb"/>
        <w:rPr>
          <w:color w:val="000000"/>
        </w:rPr>
      </w:pPr>
    </w:p>
    <w:p w14:paraId="6D8A7FCC" w14:textId="77777777" w:rsidR="00C75C88" w:rsidRPr="0012687B" w:rsidRDefault="00C75C88" w:rsidP="00C75C88">
      <w:pPr>
        <w:pStyle w:val="NormalWeb"/>
        <w:rPr>
          <w:color w:val="000000"/>
        </w:rPr>
      </w:pPr>
      <w:r w:rsidRPr="0012687B">
        <w:rPr>
          <w:color w:val="000000"/>
        </w:rPr>
        <w:t>A key point is that probate valuation and inheritance tax valuation are not always identical. Probate focuses on gross estate value at death, whereas IHT calculations may include reliefs, exemptions, and lifetime transfers. This distinction is important for accurate</w:t>
      </w:r>
      <w:r w:rsidRPr="0012687B">
        <w:rPr>
          <w:color w:val="000000"/>
        </w:rPr>
        <w:t xml:space="preserve"> reporting. Inheritance</w:t>
      </w:r>
      <w:r w:rsidRPr="0012687B">
        <w:rPr>
          <w:color w:val="000000"/>
        </w:rPr>
        <w:t xml:space="preserve"> tax must then be calculated. The nil-rate band and residence nil-rate band should be applied, along with any exemptions such as the charitable gift. Executors must also check whether transferable allowances from a spouse apply, as this can significantly increase the tax-free threshold. A limitation here is that incorrect assumptions about allowances may lead to HMRC adjustments later, so confirmation is essential.</w:t>
      </w:r>
    </w:p>
    <w:p w14:paraId="36543E2D" w14:textId="75EF0472" w:rsidR="00C75C88" w:rsidRPr="0012687B" w:rsidRDefault="00C75C88" w:rsidP="00C75C88">
      <w:pPr>
        <w:pStyle w:val="NormalWeb"/>
        <w:rPr>
          <w:color w:val="000000"/>
        </w:rPr>
      </w:pPr>
      <w:r w:rsidRPr="0012687B">
        <w:rPr>
          <w:color w:val="000000"/>
        </w:rPr>
        <w:t>The executor is responsible for completing the relevant HMRC forms, usually the IHT400 for larger estates, and ensuring that tax is paid within six months of death. Payment can be made through the Direct Payment Scheme, which allows funds to be released directly from bank accounts. Importantly, executors can become personally liable for penalties if they distribute the estate before tax is properly settled.</w:t>
      </w:r>
    </w:p>
    <w:p w14:paraId="58E223CE" w14:textId="77777777" w:rsidR="00C75C88" w:rsidRPr="0012687B" w:rsidRDefault="00C75C88" w:rsidP="00C75C88">
      <w:pPr>
        <w:pStyle w:val="NormalWeb"/>
        <w:rPr>
          <w:color w:val="000000"/>
        </w:rPr>
      </w:pPr>
      <w:r w:rsidRPr="0012687B">
        <w:rPr>
          <w:color w:val="000000"/>
        </w:rPr>
        <w:t>The next step is to apply for the grant of probate. Since Margaret left a valid will and named an executor, the correct grant is a grant of probate. The application can be made online or by paper and must include the original will, death certificate, and inheritance tax documentation. A fee is payable, and delays can occur depending on the complexity of the estate.</w:t>
      </w:r>
    </w:p>
    <w:p w14:paraId="38A78760" w14:textId="77777777" w:rsidR="00456271" w:rsidRPr="0012687B" w:rsidRDefault="00456271" w:rsidP="00731B28">
      <w:pPr>
        <w:spacing w:before="100" w:beforeAutospacing="1" w:after="100" w:afterAutospacing="1"/>
        <w:jc w:val="both"/>
        <w:rPr>
          <w:rFonts w:ascii="Times New Roman" w:eastAsia="Times New Roman" w:hAnsi="Times New Roman" w:cs="Times New Roman"/>
          <w:color w:val="000000"/>
          <w:kern w:val="0"/>
          <w:lang w:eastAsia="en-GB"/>
          <w14:ligatures w14:val="none"/>
        </w:rPr>
      </w:pPr>
    </w:p>
    <w:p w14:paraId="68FCC3B1" w14:textId="4D972042" w:rsidR="00FA6DFC" w:rsidRPr="0012687B" w:rsidRDefault="00C75C88" w:rsidP="00731B28">
      <w:pPr>
        <w:spacing w:before="100" w:beforeAutospacing="1" w:after="100" w:afterAutospacing="1"/>
        <w:rPr>
          <w:rFonts w:ascii="Times New Roman" w:eastAsia="Times New Roman" w:hAnsi="Times New Roman" w:cs="Times New Roman"/>
          <w:color w:val="000000"/>
          <w:kern w:val="0"/>
          <w:lang w:eastAsia="en-GB"/>
          <w14:ligatures w14:val="none"/>
        </w:rPr>
      </w:pPr>
      <w:r w:rsidRPr="0012687B">
        <w:rPr>
          <w:rFonts w:ascii="Times New Roman" w:eastAsia="Times New Roman" w:hAnsi="Times New Roman" w:cs="Times New Roman"/>
          <w:color w:val="000000"/>
          <w:kern w:val="0"/>
          <w:lang w:eastAsia="en-GB"/>
          <w14:ligatures w14:val="none"/>
        </w:rPr>
        <w:t xml:space="preserve">These are several potential complications in this </w:t>
      </w:r>
      <w:r w:rsidR="00FA6DFC" w:rsidRPr="0012687B">
        <w:rPr>
          <w:rFonts w:ascii="Times New Roman" w:eastAsia="Times New Roman" w:hAnsi="Times New Roman" w:cs="Times New Roman"/>
          <w:color w:val="000000"/>
          <w:kern w:val="0"/>
          <w:lang w:eastAsia="en-GB"/>
          <w14:ligatures w14:val="none"/>
        </w:rPr>
        <w:t>case;</w:t>
      </w:r>
      <w:r w:rsidRPr="0012687B">
        <w:rPr>
          <w:rFonts w:ascii="Times New Roman" w:eastAsia="Times New Roman" w:hAnsi="Times New Roman" w:cs="Times New Roman"/>
          <w:color w:val="000000"/>
          <w:kern w:val="0"/>
          <w:lang w:eastAsia="en-GB"/>
          <w14:ligatures w14:val="none"/>
        </w:rPr>
        <w:t xml:space="preserve"> the lack of substitute executor could create difficulties if Anna </w:t>
      </w:r>
      <w:r w:rsidR="00FA6DFC" w:rsidRPr="0012687B">
        <w:rPr>
          <w:rFonts w:ascii="Times New Roman" w:eastAsia="Times New Roman" w:hAnsi="Times New Roman" w:cs="Times New Roman"/>
          <w:color w:val="000000"/>
          <w:kern w:val="0"/>
          <w:lang w:eastAsia="en-GB"/>
          <w14:ligatures w14:val="none"/>
        </w:rPr>
        <w:t>cannot</w:t>
      </w:r>
      <w:r w:rsidRPr="0012687B">
        <w:rPr>
          <w:rFonts w:ascii="Times New Roman" w:eastAsia="Times New Roman" w:hAnsi="Times New Roman" w:cs="Times New Roman"/>
          <w:color w:val="000000"/>
          <w:kern w:val="0"/>
          <w:lang w:eastAsia="en-GB"/>
          <w14:ligatures w14:val="none"/>
        </w:rPr>
        <w:t xml:space="preserve"> </w:t>
      </w:r>
      <w:r w:rsidR="00FA6DFC" w:rsidRPr="0012687B">
        <w:rPr>
          <w:rFonts w:ascii="Times New Roman" w:eastAsia="Times New Roman" w:hAnsi="Times New Roman" w:cs="Times New Roman"/>
          <w:color w:val="000000"/>
          <w:kern w:val="0"/>
          <w:lang w:eastAsia="en-GB"/>
          <w14:ligatures w14:val="none"/>
        </w:rPr>
        <w:t xml:space="preserve">act. Emily is a minor, meaning her inheritance must be held on trust until she reaches 18. The trust for Daniel also requires careful administration, including the appointment of at least two trustees where appropriate. Once probate has been granted, Anna’s role as the executor continues. She must collect in the estate assets, pay any outstanding debts, and distribute the estate in accordance with the will. Specific gifts and pecuniary legacies must be paid before distributing the residue. She must also prepare estate accounts, which provide a full record of the administration. This is important for transparency and to protect the executor from future disputes. </w:t>
      </w:r>
    </w:p>
    <w:p w14:paraId="339F0BC0" w14:textId="77777777" w:rsidR="00FA6DFC" w:rsidRPr="0012687B" w:rsidRDefault="00FA6DFC" w:rsidP="00731B28">
      <w:pPr>
        <w:spacing w:before="100" w:beforeAutospacing="1" w:after="100" w:afterAutospacing="1"/>
        <w:rPr>
          <w:rFonts w:ascii="Times New Roman" w:eastAsia="Times New Roman" w:hAnsi="Times New Roman" w:cs="Times New Roman"/>
          <w:color w:val="000000"/>
          <w:kern w:val="0"/>
          <w:lang w:eastAsia="en-GB"/>
          <w14:ligatures w14:val="none"/>
        </w:rPr>
      </w:pPr>
    </w:p>
    <w:p w14:paraId="0D15ADBB" w14:textId="77777777" w:rsidR="00FA6DFC" w:rsidRPr="0012687B" w:rsidRDefault="00FA6DFC" w:rsidP="00FA6DFC">
      <w:pPr>
        <w:pStyle w:val="NormalWeb"/>
        <w:rPr>
          <w:color w:val="000000"/>
        </w:rPr>
      </w:pPr>
      <w:r w:rsidRPr="0012687B">
        <w:rPr>
          <w:color w:val="000000"/>
        </w:rPr>
        <w:lastRenderedPageBreak/>
        <w:t>A further important step is the creation and administration of the trust for Daniel. Trustees must formally accept their role and ensure that the trust is properly constituted. The trust for Daniel may also give rise to registration requirements under the Trust Registration Service (TRS), introduced under the Money Laundering Regulations 2017. As this is a will trust that may become taxable, the trustees could be required to register the trust with HMRC within 90 days of becoming liable for tax. The trustees must provide details of the settlor, trustees, and beneficiaries and ensure that the information remains accurate and up to date. Trustees may also have continuing obligations to report trust income and capital gains to HMRC where applicable. Failure to comply with TRS obligations may result in penalties, making compliance an important part of trust administration. This ensures compliance and avoids financial penalties.</w:t>
      </w:r>
    </w:p>
    <w:p w14:paraId="4D25EC2F" w14:textId="77777777" w:rsidR="00FA6DFC" w:rsidRPr="0012687B" w:rsidRDefault="00FA6DFC" w:rsidP="00731B28">
      <w:pPr>
        <w:spacing w:before="100" w:beforeAutospacing="1" w:after="100" w:afterAutospacing="1"/>
        <w:rPr>
          <w:rFonts w:ascii="Times New Roman" w:eastAsia="Times New Roman" w:hAnsi="Times New Roman" w:cs="Times New Roman"/>
          <w:color w:val="000000"/>
          <w:kern w:val="0"/>
          <w:lang w:eastAsia="en-GB"/>
          <w14:ligatures w14:val="none"/>
        </w:rPr>
      </w:pPr>
    </w:p>
    <w:p w14:paraId="1C62059C" w14:textId="77777777" w:rsidR="006C7AFF" w:rsidRPr="0012687B" w:rsidRDefault="006C7AFF" w:rsidP="006C7AFF">
      <w:pPr>
        <w:autoSpaceDE w:val="0"/>
        <w:autoSpaceDN w:val="0"/>
        <w:adjustRightInd w:val="0"/>
        <w:rPr>
          <w:rFonts w:ascii="Times New Roman" w:hAnsi="Times New Roman" w:cs="Times New Roman"/>
        </w:rPr>
      </w:pPr>
    </w:p>
    <w:p w14:paraId="777DE359" w14:textId="77777777" w:rsidR="006C7AFF" w:rsidRPr="0012687B" w:rsidRDefault="006C7AFF" w:rsidP="006C7AFF">
      <w:pPr>
        <w:autoSpaceDE w:val="0"/>
        <w:autoSpaceDN w:val="0"/>
        <w:adjustRightInd w:val="0"/>
        <w:rPr>
          <w:rFonts w:ascii="Times New Roman" w:hAnsi="Times New Roman" w:cs="Times New Roman"/>
          <w:kern w:val="0"/>
        </w:rPr>
      </w:pPr>
      <w:r w:rsidRPr="0012687B">
        <w:rPr>
          <w:rFonts w:ascii="Times New Roman" w:hAnsi="Times New Roman" w:cs="Times New Roman"/>
          <w:color w:val="000000"/>
        </w:rPr>
        <w:t>In conclusion, Margaret Hughes’ estate requires careful will drafting and effective probate administration in order to ensure that her wishes are carried out correctly and efficiently. The proposed structure of the will provides protection for vulnerable beneficiaries, particularly through the discretionary trust for Daniel, while also ensuring that specific gifts and pecuniary legacies are distributed appropriately. In addition, the estate planning arrangements help minimise potential inheritance tax liability through the use of available exemptions and transferable allowances. Following Margaret’s death, Anna, as executor, must comply with the relevant probate, tax, and trust administration requirements, including HMRC reporting obligations and Trust Registration Service requirements where applicable. Overall, the proposed arrangements create a legally valid, practical, and tax-efficient outcome that reflects Margaret’s intentions while protecting the interests of all beneficiaries.</w:t>
      </w:r>
    </w:p>
    <w:p w14:paraId="7E86AE04" w14:textId="77777777" w:rsidR="00731B28" w:rsidRPr="0012687B" w:rsidRDefault="00731B28" w:rsidP="00731B28">
      <w:pPr>
        <w:spacing w:before="100" w:beforeAutospacing="1" w:after="100" w:afterAutospacing="1"/>
        <w:rPr>
          <w:rFonts w:ascii="Times New Roman" w:eastAsia="Times New Roman" w:hAnsi="Times New Roman" w:cs="Times New Roman"/>
          <w:color w:val="000000"/>
          <w:kern w:val="0"/>
          <w:lang w:eastAsia="en-GB"/>
          <w14:ligatures w14:val="none"/>
        </w:rPr>
      </w:pPr>
    </w:p>
    <w:p w14:paraId="7EDD700C" w14:textId="77777777" w:rsidR="00731B28" w:rsidRPr="0012687B" w:rsidRDefault="00731B28" w:rsidP="00731B28">
      <w:pPr>
        <w:spacing w:before="100" w:beforeAutospacing="1" w:after="100" w:afterAutospacing="1"/>
        <w:rPr>
          <w:rFonts w:ascii="Times New Roman" w:eastAsia="Times New Roman" w:hAnsi="Times New Roman" w:cs="Times New Roman"/>
          <w:color w:val="000000"/>
          <w:kern w:val="0"/>
          <w:lang w:eastAsia="en-GB"/>
          <w14:ligatures w14:val="none"/>
        </w:rPr>
      </w:pPr>
    </w:p>
    <w:p w14:paraId="48BC390B" w14:textId="77777777" w:rsidR="00731B28" w:rsidRPr="0012687B" w:rsidRDefault="00731B28" w:rsidP="00731B28">
      <w:pPr>
        <w:spacing w:before="100" w:beforeAutospacing="1" w:after="100" w:afterAutospacing="1"/>
        <w:rPr>
          <w:rFonts w:ascii="Times New Roman" w:eastAsia="Times New Roman" w:hAnsi="Times New Roman" w:cs="Times New Roman"/>
          <w:color w:val="000000"/>
          <w:kern w:val="0"/>
          <w:lang w:eastAsia="en-GB"/>
          <w14:ligatures w14:val="none"/>
        </w:rPr>
      </w:pPr>
    </w:p>
    <w:p w14:paraId="006EF3D1" w14:textId="77777777" w:rsidR="00731B28" w:rsidRPr="0012687B" w:rsidRDefault="00731B28" w:rsidP="00731B28">
      <w:pPr>
        <w:spacing w:before="100" w:beforeAutospacing="1" w:after="100" w:afterAutospacing="1"/>
        <w:rPr>
          <w:rFonts w:ascii="Times New Roman" w:eastAsia="Times New Roman" w:hAnsi="Times New Roman" w:cs="Times New Roman"/>
          <w:color w:val="000000"/>
          <w:kern w:val="0"/>
          <w:lang w:eastAsia="en-GB"/>
          <w14:ligatures w14:val="none"/>
        </w:rPr>
      </w:pPr>
    </w:p>
    <w:p w14:paraId="0D1A4299" w14:textId="77777777" w:rsidR="00731B28" w:rsidRPr="00383EF3" w:rsidRDefault="00731B28" w:rsidP="00731B28">
      <w:pPr>
        <w:spacing w:before="100" w:beforeAutospacing="1" w:after="100" w:afterAutospacing="1"/>
        <w:rPr>
          <w:rFonts w:ascii="Times New Roman" w:eastAsia="Times New Roman" w:hAnsi="Times New Roman" w:cs="Times New Roman"/>
          <w:color w:val="000000"/>
          <w:kern w:val="0"/>
          <w:lang w:eastAsia="en-GB"/>
          <w14:ligatures w14:val="none"/>
        </w:rPr>
      </w:pPr>
    </w:p>
    <w:p w14:paraId="28DE14ED" w14:textId="77777777" w:rsidR="00731B28" w:rsidRPr="00383EF3" w:rsidRDefault="00731B28" w:rsidP="00731B28">
      <w:pPr>
        <w:spacing w:before="100" w:beforeAutospacing="1" w:after="100" w:afterAutospacing="1"/>
        <w:rPr>
          <w:rFonts w:ascii="Times New Roman" w:eastAsia="Times New Roman" w:hAnsi="Times New Roman" w:cs="Times New Roman"/>
          <w:color w:val="000000"/>
          <w:kern w:val="0"/>
          <w:lang w:eastAsia="en-GB"/>
          <w14:ligatures w14:val="none"/>
        </w:rPr>
      </w:pPr>
    </w:p>
    <w:p w14:paraId="1A498D6D" w14:textId="60EB43BA" w:rsidR="00731B28" w:rsidRPr="0012687B" w:rsidRDefault="00731B28" w:rsidP="004600A4">
      <w:pPr>
        <w:rPr>
          <w:rFonts w:ascii="Times New Roman" w:hAnsi="Times New Roman" w:cs="Times New Roman"/>
        </w:rPr>
      </w:pPr>
    </w:p>
    <w:p w14:paraId="6966BEF6" w14:textId="77777777" w:rsidR="0006686D" w:rsidRPr="0012687B" w:rsidRDefault="0006686D" w:rsidP="004600A4">
      <w:pPr>
        <w:rPr>
          <w:rFonts w:ascii="Times New Roman" w:hAnsi="Times New Roman" w:cs="Times New Roman"/>
        </w:rPr>
      </w:pPr>
    </w:p>
    <w:p w14:paraId="3F8F3A44" w14:textId="77777777" w:rsidR="0006686D" w:rsidRPr="0012687B" w:rsidRDefault="0006686D" w:rsidP="004600A4">
      <w:pPr>
        <w:rPr>
          <w:rFonts w:ascii="Times New Roman" w:hAnsi="Times New Roman" w:cs="Times New Roman"/>
        </w:rPr>
      </w:pPr>
    </w:p>
    <w:p w14:paraId="47C1A37F" w14:textId="77777777" w:rsidR="0006686D" w:rsidRPr="0012687B" w:rsidRDefault="0006686D" w:rsidP="004600A4">
      <w:pPr>
        <w:rPr>
          <w:rFonts w:ascii="Times New Roman" w:hAnsi="Times New Roman" w:cs="Times New Roman"/>
        </w:rPr>
      </w:pPr>
    </w:p>
    <w:p w14:paraId="1CC06726" w14:textId="77777777" w:rsidR="0006686D" w:rsidRPr="0012687B" w:rsidRDefault="0006686D" w:rsidP="004600A4">
      <w:pPr>
        <w:rPr>
          <w:rFonts w:ascii="Times New Roman" w:hAnsi="Times New Roman" w:cs="Times New Roman"/>
        </w:rPr>
      </w:pPr>
    </w:p>
    <w:p w14:paraId="237E703A" w14:textId="77777777" w:rsidR="0006686D" w:rsidRPr="0012687B" w:rsidRDefault="0006686D" w:rsidP="004600A4">
      <w:pPr>
        <w:rPr>
          <w:rFonts w:ascii="Times New Roman" w:hAnsi="Times New Roman" w:cs="Times New Roman"/>
        </w:rPr>
      </w:pPr>
    </w:p>
    <w:p w14:paraId="6963E61C" w14:textId="77777777" w:rsidR="0006686D" w:rsidRPr="0012687B" w:rsidRDefault="0006686D" w:rsidP="004600A4">
      <w:pPr>
        <w:rPr>
          <w:rFonts w:ascii="Times New Roman" w:hAnsi="Times New Roman" w:cs="Times New Roman"/>
        </w:rPr>
      </w:pPr>
    </w:p>
    <w:p w14:paraId="1699C4D8" w14:textId="77777777" w:rsidR="0006686D" w:rsidRPr="0012687B" w:rsidRDefault="0006686D" w:rsidP="004600A4">
      <w:pPr>
        <w:rPr>
          <w:rFonts w:ascii="Times New Roman" w:hAnsi="Times New Roman" w:cs="Times New Roman"/>
        </w:rPr>
      </w:pPr>
    </w:p>
    <w:p w14:paraId="2E8783EE" w14:textId="77777777" w:rsidR="0006686D" w:rsidRPr="0012687B" w:rsidRDefault="0006686D" w:rsidP="004600A4">
      <w:pPr>
        <w:rPr>
          <w:rFonts w:ascii="Times New Roman" w:hAnsi="Times New Roman" w:cs="Times New Roman"/>
        </w:rPr>
      </w:pPr>
    </w:p>
    <w:p w14:paraId="52F0098A" w14:textId="77777777" w:rsidR="0006686D" w:rsidRPr="0012687B" w:rsidRDefault="0006686D" w:rsidP="004600A4">
      <w:pPr>
        <w:rPr>
          <w:rFonts w:ascii="Times New Roman" w:hAnsi="Times New Roman" w:cs="Times New Roman"/>
        </w:rPr>
      </w:pPr>
    </w:p>
    <w:p w14:paraId="7D86129E" w14:textId="5F35B2BB" w:rsidR="0006686D" w:rsidRPr="0012687B" w:rsidRDefault="00E8330D" w:rsidP="004600A4">
      <w:pPr>
        <w:rPr>
          <w:rFonts w:ascii="Times New Roman" w:hAnsi="Times New Roman" w:cs="Times New Roman"/>
        </w:rPr>
      </w:pPr>
      <w:r w:rsidRPr="0012687B">
        <w:rPr>
          <w:rFonts w:ascii="Times New Roman" w:hAnsi="Times New Roman" w:cs="Times New Roman"/>
        </w:rPr>
        <w:t xml:space="preserve">References: </w:t>
      </w:r>
    </w:p>
    <w:p w14:paraId="3F9EAC5C" w14:textId="77777777" w:rsidR="00E8330D" w:rsidRPr="0012687B" w:rsidRDefault="00E8330D" w:rsidP="004600A4">
      <w:pPr>
        <w:rPr>
          <w:rFonts w:ascii="Times New Roman" w:hAnsi="Times New Roman" w:cs="Times New Roman"/>
        </w:rPr>
      </w:pPr>
    </w:p>
    <w:p w14:paraId="26DD16DC" w14:textId="77777777" w:rsidR="00E8330D" w:rsidRPr="0012687B" w:rsidRDefault="00E8330D" w:rsidP="004600A4">
      <w:pPr>
        <w:rPr>
          <w:rFonts w:ascii="Times New Roman" w:hAnsi="Times New Roman" w:cs="Times New Roman"/>
        </w:rPr>
      </w:pPr>
    </w:p>
    <w:p w14:paraId="5FA6EB20" w14:textId="77777777" w:rsidR="004E4DD2" w:rsidRPr="0012687B" w:rsidRDefault="004E4DD2" w:rsidP="004E4DD2">
      <w:pPr>
        <w:spacing w:before="100" w:beforeAutospacing="1" w:after="100" w:afterAutospacing="1"/>
        <w:rPr>
          <w:rFonts w:ascii="Times New Roman" w:eastAsia="Times New Roman" w:hAnsi="Times New Roman" w:cs="Times New Roman"/>
          <w:color w:val="000000"/>
          <w:kern w:val="0"/>
          <w:lang w:eastAsia="en-GB"/>
          <w14:ligatures w14:val="none"/>
        </w:rPr>
      </w:pPr>
      <w:r w:rsidRPr="004E4DD2">
        <w:rPr>
          <w:rFonts w:ascii="Times New Roman" w:eastAsia="Times New Roman" w:hAnsi="Times New Roman" w:cs="Times New Roman"/>
          <w:i/>
          <w:iCs/>
          <w:color w:val="000000"/>
          <w:kern w:val="0"/>
          <w:lang w:eastAsia="en-GB"/>
          <w14:ligatures w14:val="none"/>
        </w:rPr>
        <w:t>CaseMine</w:t>
      </w:r>
      <w:r w:rsidRPr="004E4DD2">
        <w:rPr>
          <w:rFonts w:ascii="Times New Roman" w:eastAsia="Times New Roman" w:hAnsi="Times New Roman" w:cs="Times New Roman"/>
          <w:color w:val="000000"/>
          <w:kern w:val="0"/>
          <w:lang w:eastAsia="en-GB"/>
          <w14:ligatures w14:val="none"/>
        </w:rPr>
        <w:t> (no date) </w:t>
      </w:r>
      <w:r w:rsidRPr="004E4DD2">
        <w:rPr>
          <w:rFonts w:ascii="Times New Roman" w:eastAsia="Times New Roman" w:hAnsi="Times New Roman" w:cs="Times New Roman"/>
          <w:i/>
          <w:iCs/>
          <w:color w:val="000000"/>
          <w:kern w:val="0"/>
          <w:lang w:eastAsia="en-GB"/>
          <w14:ligatures w14:val="none"/>
        </w:rPr>
        <w:t>Casemine.com</w:t>
      </w:r>
      <w:r w:rsidRPr="004E4DD2">
        <w:rPr>
          <w:rFonts w:ascii="Times New Roman" w:eastAsia="Times New Roman" w:hAnsi="Times New Roman" w:cs="Times New Roman"/>
          <w:color w:val="000000"/>
          <w:kern w:val="0"/>
          <w:lang w:eastAsia="en-GB"/>
          <w14:ligatures w14:val="none"/>
        </w:rPr>
        <w:t>. Available at: https://www.casemine.com/judgement/uk/5a8ff8c960d03e7f57ecd6a6 (Accessed: 8 May 2026).</w:t>
      </w:r>
    </w:p>
    <w:p w14:paraId="21971912" w14:textId="77777777" w:rsidR="004E4DD2" w:rsidRPr="0012687B" w:rsidRDefault="004E4DD2" w:rsidP="004E4DD2">
      <w:pPr>
        <w:autoSpaceDE w:val="0"/>
        <w:autoSpaceDN w:val="0"/>
        <w:adjustRightInd w:val="0"/>
        <w:rPr>
          <w:rFonts w:ascii="Times New Roman" w:hAnsi="Times New Roman" w:cs="Times New Roman"/>
          <w:kern w:val="0"/>
        </w:rPr>
      </w:pPr>
    </w:p>
    <w:p w14:paraId="3CA99757" w14:textId="77777777" w:rsidR="004E4DD2" w:rsidRPr="0012687B" w:rsidRDefault="004E4DD2" w:rsidP="004E4DD2">
      <w:pPr>
        <w:autoSpaceDE w:val="0"/>
        <w:autoSpaceDN w:val="0"/>
        <w:adjustRightInd w:val="0"/>
        <w:rPr>
          <w:rFonts w:ascii="Times New Roman" w:hAnsi="Times New Roman" w:cs="Times New Roman"/>
          <w:kern w:val="0"/>
        </w:rPr>
      </w:pPr>
      <w:hyperlink r:id="rId8" w:history="1">
        <w:r w:rsidRPr="0012687B">
          <w:rPr>
            <w:rStyle w:val="Hyperlink"/>
            <w:rFonts w:ascii="Times New Roman" w:hAnsi="Times New Roman" w:cs="Times New Roman"/>
            <w:kern w:val="0"/>
          </w:rPr>
          <w:t>https://www.casemine.com/judgement/uk/5a8ff8c960d03e7f57ecd6a6</w:t>
        </w:r>
      </w:hyperlink>
    </w:p>
    <w:p w14:paraId="511FA93D" w14:textId="77777777" w:rsidR="004E4DD2" w:rsidRPr="0012687B" w:rsidRDefault="004E4DD2" w:rsidP="004E4DD2">
      <w:pPr>
        <w:autoSpaceDE w:val="0"/>
        <w:autoSpaceDN w:val="0"/>
        <w:adjustRightInd w:val="0"/>
        <w:rPr>
          <w:rFonts w:ascii="Times New Roman" w:hAnsi="Times New Roman" w:cs="Times New Roman"/>
          <w:kern w:val="0"/>
        </w:rPr>
      </w:pPr>
    </w:p>
    <w:p w14:paraId="46AC71AF" w14:textId="77777777" w:rsidR="004E4DD2" w:rsidRPr="0012687B" w:rsidRDefault="004E4DD2" w:rsidP="004E4DD2">
      <w:pPr>
        <w:autoSpaceDE w:val="0"/>
        <w:autoSpaceDN w:val="0"/>
        <w:adjustRightInd w:val="0"/>
        <w:rPr>
          <w:rFonts w:ascii="Times New Roman" w:hAnsi="Times New Roman" w:cs="Times New Roman"/>
          <w:kern w:val="0"/>
        </w:rPr>
      </w:pPr>
    </w:p>
    <w:p w14:paraId="60922F53" w14:textId="77777777" w:rsidR="004E4DD2" w:rsidRPr="004E4DD2" w:rsidRDefault="004E4DD2" w:rsidP="004E4DD2">
      <w:pPr>
        <w:spacing w:before="100" w:beforeAutospacing="1" w:after="100" w:afterAutospacing="1"/>
        <w:rPr>
          <w:rFonts w:ascii="Times New Roman" w:eastAsia="Times New Roman" w:hAnsi="Times New Roman" w:cs="Times New Roman"/>
          <w:color w:val="000000"/>
          <w:kern w:val="0"/>
          <w:lang w:eastAsia="en-GB"/>
          <w14:ligatures w14:val="none"/>
        </w:rPr>
      </w:pPr>
      <w:r w:rsidRPr="004E4DD2">
        <w:rPr>
          <w:rFonts w:ascii="Times New Roman" w:eastAsia="Times New Roman" w:hAnsi="Times New Roman" w:cs="Times New Roman"/>
          <w:i/>
          <w:iCs/>
          <w:color w:val="000000"/>
          <w:kern w:val="0"/>
          <w:lang w:eastAsia="en-GB"/>
          <w14:ligatures w14:val="none"/>
        </w:rPr>
        <w:t>CaseMine</w:t>
      </w:r>
      <w:r w:rsidRPr="004E4DD2">
        <w:rPr>
          <w:rFonts w:ascii="Times New Roman" w:eastAsia="Times New Roman" w:hAnsi="Times New Roman" w:cs="Times New Roman"/>
          <w:color w:val="000000"/>
          <w:kern w:val="0"/>
          <w:lang w:eastAsia="en-GB"/>
          <w14:ligatures w14:val="none"/>
        </w:rPr>
        <w:t> (no date b) </w:t>
      </w:r>
      <w:r w:rsidRPr="004E4DD2">
        <w:rPr>
          <w:rFonts w:ascii="Times New Roman" w:eastAsia="Times New Roman" w:hAnsi="Times New Roman" w:cs="Times New Roman"/>
          <w:i/>
          <w:iCs/>
          <w:color w:val="000000"/>
          <w:kern w:val="0"/>
          <w:lang w:eastAsia="en-GB"/>
          <w14:ligatures w14:val="none"/>
        </w:rPr>
        <w:t>Casemine.com</w:t>
      </w:r>
      <w:r w:rsidRPr="004E4DD2">
        <w:rPr>
          <w:rFonts w:ascii="Times New Roman" w:eastAsia="Times New Roman" w:hAnsi="Times New Roman" w:cs="Times New Roman"/>
          <w:color w:val="000000"/>
          <w:kern w:val="0"/>
          <w:lang w:eastAsia="en-GB"/>
          <w14:ligatures w14:val="none"/>
        </w:rPr>
        <w:t>. Available at: https://www.casemine.com/judgement/uk/5a938b4060d03e5f6b82bd11 (Accessed: 8 May 2026).</w:t>
      </w:r>
    </w:p>
    <w:p w14:paraId="632E5A71" w14:textId="77777777" w:rsidR="004E4DD2" w:rsidRPr="0012687B" w:rsidRDefault="004E4DD2" w:rsidP="004E4DD2">
      <w:pPr>
        <w:autoSpaceDE w:val="0"/>
        <w:autoSpaceDN w:val="0"/>
        <w:adjustRightInd w:val="0"/>
        <w:rPr>
          <w:rFonts w:ascii="Times New Roman" w:hAnsi="Times New Roman" w:cs="Times New Roman"/>
          <w:kern w:val="0"/>
        </w:rPr>
      </w:pPr>
    </w:p>
    <w:p w14:paraId="04509259" w14:textId="77777777" w:rsidR="004E4DD2" w:rsidRPr="0012687B" w:rsidRDefault="004E4DD2" w:rsidP="004E4DD2">
      <w:pPr>
        <w:autoSpaceDE w:val="0"/>
        <w:autoSpaceDN w:val="0"/>
        <w:adjustRightInd w:val="0"/>
        <w:rPr>
          <w:rFonts w:ascii="Times New Roman" w:hAnsi="Times New Roman" w:cs="Times New Roman"/>
          <w:kern w:val="0"/>
        </w:rPr>
      </w:pPr>
      <w:hyperlink r:id="rId9" w:history="1">
        <w:r w:rsidRPr="0012687B">
          <w:rPr>
            <w:rStyle w:val="Hyperlink"/>
            <w:rFonts w:ascii="Times New Roman" w:hAnsi="Times New Roman" w:cs="Times New Roman"/>
            <w:kern w:val="0"/>
          </w:rPr>
          <w:t>https://www.casemine.com/judgement/uk/5a938b4060d03e5f6b82bd11</w:t>
        </w:r>
      </w:hyperlink>
    </w:p>
    <w:p w14:paraId="5B099CE4" w14:textId="77777777" w:rsidR="004E4DD2" w:rsidRPr="0012687B" w:rsidRDefault="004E4DD2" w:rsidP="004E4DD2">
      <w:pPr>
        <w:autoSpaceDE w:val="0"/>
        <w:autoSpaceDN w:val="0"/>
        <w:adjustRightInd w:val="0"/>
        <w:rPr>
          <w:rFonts w:ascii="Times New Roman" w:hAnsi="Times New Roman" w:cs="Times New Roman"/>
          <w:kern w:val="0"/>
        </w:rPr>
      </w:pPr>
    </w:p>
    <w:p w14:paraId="1AD4C846" w14:textId="77777777" w:rsidR="004E4DD2" w:rsidRPr="0012687B" w:rsidRDefault="004E4DD2" w:rsidP="004E4DD2">
      <w:pPr>
        <w:spacing w:before="100" w:beforeAutospacing="1" w:after="100" w:afterAutospacing="1"/>
        <w:rPr>
          <w:rFonts w:ascii="Times New Roman" w:eastAsia="Times New Roman" w:hAnsi="Times New Roman" w:cs="Times New Roman"/>
          <w:color w:val="000000"/>
          <w:kern w:val="0"/>
          <w:lang w:eastAsia="en-GB"/>
          <w14:ligatures w14:val="none"/>
        </w:rPr>
      </w:pPr>
      <w:r w:rsidRPr="004E4DD2">
        <w:rPr>
          <w:rFonts w:ascii="Times New Roman" w:eastAsia="Times New Roman" w:hAnsi="Times New Roman" w:cs="Times New Roman"/>
          <w:i/>
          <w:iCs/>
          <w:color w:val="000000"/>
          <w:kern w:val="0"/>
          <w:lang w:eastAsia="en-GB"/>
          <w14:ligatures w14:val="none"/>
        </w:rPr>
        <w:t>CaseMine</w:t>
      </w:r>
      <w:r w:rsidRPr="004E4DD2">
        <w:rPr>
          <w:rFonts w:ascii="Times New Roman" w:eastAsia="Times New Roman" w:hAnsi="Times New Roman" w:cs="Times New Roman"/>
          <w:color w:val="000000"/>
          <w:kern w:val="0"/>
          <w:lang w:eastAsia="en-GB"/>
          <w14:ligatures w14:val="none"/>
        </w:rPr>
        <w:t> (no date c) </w:t>
      </w:r>
      <w:r w:rsidRPr="004E4DD2">
        <w:rPr>
          <w:rFonts w:ascii="Times New Roman" w:eastAsia="Times New Roman" w:hAnsi="Times New Roman" w:cs="Times New Roman"/>
          <w:i/>
          <w:iCs/>
          <w:color w:val="000000"/>
          <w:kern w:val="0"/>
          <w:lang w:eastAsia="en-GB"/>
          <w14:ligatures w14:val="none"/>
        </w:rPr>
        <w:t>Casemine.com</w:t>
      </w:r>
      <w:r w:rsidRPr="004E4DD2">
        <w:rPr>
          <w:rFonts w:ascii="Times New Roman" w:eastAsia="Times New Roman" w:hAnsi="Times New Roman" w:cs="Times New Roman"/>
          <w:color w:val="000000"/>
          <w:kern w:val="0"/>
          <w:lang w:eastAsia="en-GB"/>
          <w14:ligatures w14:val="none"/>
        </w:rPr>
        <w:t>. Available at: https://www.casemine.com/judgement/uk/5a938b4060d03e5f6b82bc68 (Accessed: 8 May 2026).</w:t>
      </w:r>
    </w:p>
    <w:p w14:paraId="7013D90D" w14:textId="77777777" w:rsidR="004E4DD2" w:rsidRPr="0012687B" w:rsidRDefault="004E4DD2" w:rsidP="004E4DD2">
      <w:pPr>
        <w:autoSpaceDE w:val="0"/>
        <w:autoSpaceDN w:val="0"/>
        <w:adjustRightInd w:val="0"/>
        <w:rPr>
          <w:rFonts w:ascii="Times New Roman" w:hAnsi="Times New Roman" w:cs="Times New Roman"/>
          <w:kern w:val="0"/>
        </w:rPr>
      </w:pPr>
      <w:hyperlink r:id="rId10" w:history="1">
        <w:r w:rsidRPr="0012687B">
          <w:rPr>
            <w:rStyle w:val="Hyperlink"/>
            <w:rFonts w:ascii="Times New Roman" w:hAnsi="Times New Roman" w:cs="Times New Roman"/>
            <w:kern w:val="0"/>
          </w:rPr>
          <w:t>https://www.casemine.com/judgement/uk/5a938b4060d03e5f6b82bc68</w:t>
        </w:r>
      </w:hyperlink>
    </w:p>
    <w:p w14:paraId="447ACDB2" w14:textId="77777777" w:rsidR="004E4DD2" w:rsidRPr="0012687B" w:rsidRDefault="004E4DD2" w:rsidP="004E4DD2">
      <w:pPr>
        <w:autoSpaceDE w:val="0"/>
        <w:autoSpaceDN w:val="0"/>
        <w:adjustRightInd w:val="0"/>
        <w:rPr>
          <w:rFonts w:ascii="Times New Roman" w:hAnsi="Times New Roman" w:cs="Times New Roman"/>
          <w:kern w:val="0"/>
        </w:rPr>
      </w:pPr>
    </w:p>
    <w:p w14:paraId="3631F6D0" w14:textId="77777777" w:rsidR="004E4DD2" w:rsidRPr="0012687B" w:rsidRDefault="004E4DD2" w:rsidP="004E4DD2">
      <w:pPr>
        <w:autoSpaceDE w:val="0"/>
        <w:autoSpaceDN w:val="0"/>
        <w:adjustRightInd w:val="0"/>
        <w:rPr>
          <w:rFonts w:ascii="Times New Roman" w:hAnsi="Times New Roman" w:cs="Times New Roman"/>
          <w:kern w:val="0"/>
        </w:rPr>
      </w:pPr>
    </w:p>
    <w:p w14:paraId="35D6588A" w14:textId="77777777" w:rsidR="004E4DD2" w:rsidRPr="004E4DD2" w:rsidRDefault="004E4DD2" w:rsidP="004E4DD2">
      <w:pPr>
        <w:spacing w:before="100" w:beforeAutospacing="1" w:after="100" w:afterAutospacing="1"/>
        <w:rPr>
          <w:rFonts w:ascii="Times New Roman" w:eastAsia="Times New Roman" w:hAnsi="Times New Roman" w:cs="Times New Roman"/>
          <w:color w:val="000000"/>
          <w:kern w:val="0"/>
          <w:lang w:eastAsia="en-GB"/>
          <w14:ligatures w14:val="none"/>
        </w:rPr>
      </w:pPr>
      <w:r w:rsidRPr="004E4DD2">
        <w:rPr>
          <w:rFonts w:ascii="Times New Roman" w:eastAsia="Times New Roman" w:hAnsi="Times New Roman" w:cs="Times New Roman"/>
          <w:i/>
          <w:iCs/>
          <w:color w:val="000000"/>
          <w:kern w:val="0"/>
          <w:lang w:eastAsia="en-GB"/>
          <w14:ligatures w14:val="none"/>
        </w:rPr>
        <w:t>CaseMine</w:t>
      </w:r>
      <w:r w:rsidRPr="004E4DD2">
        <w:rPr>
          <w:rFonts w:ascii="Times New Roman" w:eastAsia="Times New Roman" w:hAnsi="Times New Roman" w:cs="Times New Roman"/>
          <w:color w:val="000000"/>
          <w:kern w:val="0"/>
          <w:lang w:eastAsia="en-GB"/>
          <w14:ligatures w14:val="none"/>
        </w:rPr>
        <w:t> (no date d) </w:t>
      </w:r>
      <w:r w:rsidRPr="004E4DD2">
        <w:rPr>
          <w:rFonts w:ascii="Times New Roman" w:eastAsia="Times New Roman" w:hAnsi="Times New Roman" w:cs="Times New Roman"/>
          <w:i/>
          <w:iCs/>
          <w:color w:val="000000"/>
          <w:kern w:val="0"/>
          <w:lang w:eastAsia="en-GB"/>
          <w14:ligatures w14:val="none"/>
        </w:rPr>
        <w:t>Casemine.com</w:t>
      </w:r>
      <w:r w:rsidRPr="004E4DD2">
        <w:rPr>
          <w:rFonts w:ascii="Times New Roman" w:eastAsia="Times New Roman" w:hAnsi="Times New Roman" w:cs="Times New Roman"/>
          <w:color w:val="000000"/>
          <w:kern w:val="0"/>
          <w:lang w:eastAsia="en-GB"/>
          <w14:ligatures w14:val="none"/>
        </w:rPr>
        <w:t>. Available at: https://www.casemine.com/judgement/uk/5b516daf2c94e010ef2baf40 (Accessed: 8 May 2026).</w:t>
      </w:r>
    </w:p>
    <w:p w14:paraId="7B0F6AD7" w14:textId="77777777" w:rsidR="004E4DD2" w:rsidRPr="0012687B" w:rsidRDefault="004E4DD2" w:rsidP="004E4DD2">
      <w:pPr>
        <w:autoSpaceDE w:val="0"/>
        <w:autoSpaceDN w:val="0"/>
        <w:adjustRightInd w:val="0"/>
        <w:rPr>
          <w:rFonts w:ascii="Times New Roman" w:hAnsi="Times New Roman" w:cs="Times New Roman"/>
          <w:kern w:val="0"/>
        </w:rPr>
      </w:pPr>
    </w:p>
    <w:p w14:paraId="1982A99A" w14:textId="77777777" w:rsidR="004E4DD2" w:rsidRPr="0012687B" w:rsidRDefault="004E4DD2" w:rsidP="004E4DD2">
      <w:pPr>
        <w:autoSpaceDE w:val="0"/>
        <w:autoSpaceDN w:val="0"/>
        <w:adjustRightInd w:val="0"/>
        <w:rPr>
          <w:rFonts w:ascii="Times New Roman" w:hAnsi="Times New Roman" w:cs="Times New Roman"/>
          <w:kern w:val="0"/>
        </w:rPr>
      </w:pPr>
      <w:hyperlink r:id="rId11" w:history="1">
        <w:r w:rsidRPr="0012687B">
          <w:rPr>
            <w:rStyle w:val="Hyperlink"/>
            <w:rFonts w:ascii="Times New Roman" w:hAnsi="Times New Roman" w:cs="Times New Roman"/>
            <w:kern w:val="0"/>
          </w:rPr>
          <w:t>https://www.casemine.com/judgement/uk/5b516daf2c94e010ef2baf40</w:t>
        </w:r>
      </w:hyperlink>
    </w:p>
    <w:p w14:paraId="5AEBB9ED" w14:textId="77777777" w:rsidR="004E4DD2" w:rsidRPr="0012687B" w:rsidRDefault="004E4DD2" w:rsidP="004E4DD2">
      <w:pPr>
        <w:autoSpaceDE w:val="0"/>
        <w:autoSpaceDN w:val="0"/>
        <w:adjustRightInd w:val="0"/>
        <w:rPr>
          <w:rFonts w:ascii="Times New Roman" w:hAnsi="Times New Roman" w:cs="Times New Roman"/>
          <w:kern w:val="0"/>
        </w:rPr>
      </w:pPr>
    </w:p>
    <w:p w14:paraId="1BD22C02" w14:textId="77777777" w:rsidR="004E4DD2" w:rsidRPr="0012687B" w:rsidRDefault="004E4DD2" w:rsidP="004E4DD2">
      <w:pPr>
        <w:autoSpaceDE w:val="0"/>
        <w:autoSpaceDN w:val="0"/>
        <w:adjustRightInd w:val="0"/>
        <w:rPr>
          <w:rFonts w:ascii="Times New Roman" w:hAnsi="Times New Roman" w:cs="Times New Roman"/>
          <w:kern w:val="0"/>
        </w:rPr>
      </w:pPr>
    </w:p>
    <w:p w14:paraId="51B87F58" w14:textId="3918CAE1" w:rsidR="00E8330D" w:rsidRPr="0012687B" w:rsidRDefault="00E8330D" w:rsidP="00E8330D">
      <w:pPr>
        <w:spacing w:before="100" w:beforeAutospacing="1" w:after="100" w:afterAutospacing="1"/>
        <w:rPr>
          <w:rFonts w:ascii="Times New Roman" w:eastAsia="Times New Roman" w:hAnsi="Times New Roman" w:cs="Times New Roman"/>
          <w:color w:val="000000"/>
          <w:kern w:val="0"/>
          <w:lang w:eastAsia="en-GB"/>
          <w14:ligatures w14:val="none"/>
        </w:rPr>
      </w:pPr>
      <w:r w:rsidRPr="00E8330D">
        <w:rPr>
          <w:rFonts w:ascii="Times New Roman" w:eastAsia="Times New Roman" w:hAnsi="Times New Roman" w:cs="Times New Roman"/>
          <w:color w:val="000000"/>
          <w:kern w:val="0"/>
          <w:lang w:eastAsia="en-GB"/>
          <w14:ligatures w14:val="none"/>
        </w:rPr>
        <w:t>Expert Participation (1974) </w:t>
      </w:r>
      <w:r w:rsidRPr="00E8330D">
        <w:rPr>
          <w:rFonts w:ascii="Times New Roman" w:eastAsia="Times New Roman" w:hAnsi="Times New Roman" w:cs="Times New Roman"/>
          <w:i/>
          <w:iCs/>
          <w:color w:val="000000"/>
          <w:kern w:val="0"/>
          <w:lang w:eastAsia="en-GB"/>
          <w14:ligatures w14:val="none"/>
        </w:rPr>
        <w:t>Wills Act 1837</w:t>
      </w:r>
      <w:r w:rsidRPr="00E8330D">
        <w:rPr>
          <w:rFonts w:ascii="Times New Roman" w:eastAsia="Times New Roman" w:hAnsi="Times New Roman" w:cs="Times New Roman"/>
          <w:color w:val="000000"/>
          <w:kern w:val="0"/>
          <w:lang w:eastAsia="en-GB"/>
          <w14:ligatures w14:val="none"/>
        </w:rPr>
        <w:t>, </w:t>
      </w:r>
      <w:r w:rsidRPr="00E8330D">
        <w:rPr>
          <w:rFonts w:ascii="Times New Roman" w:eastAsia="Times New Roman" w:hAnsi="Times New Roman" w:cs="Times New Roman"/>
          <w:i/>
          <w:iCs/>
          <w:color w:val="000000"/>
          <w:kern w:val="0"/>
          <w:lang w:eastAsia="en-GB"/>
          <w14:ligatures w14:val="none"/>
        </w:rPr>
        <w:t>Statute Law Database</w:t>
      </w:r>
      <w:r w:rsidRPr="00E8330D">
        <w:rPr>
          <w:rFonts w:ascii="Times New Roman" w:eastAsia="Times New Roman" w:hAnsi="Times New Roman" w:cs="Times New Roman"/>
          <w:color w:val="000000"/>
          <w:kern w:val="0"/>
          <w:lang w:eastAsia="en-GB"/>
          <w14:ligatures w14:val="none"/>
        </w:rPr>
        <w:t>. Available at: https://www.legislation.gov.uk/ukpga/Will4and1Vict/7/26/contents (Accessed: 8 May 2026).</w:t>
      </w:r>
    </w:p>
    <w:p w14:paraId="6C13CFBA" w14:textId="0A29C3AF" w:rsidR="00E8330D" w:rsidRPr="0012687B" w:rsidRDefault="00E8330D" w:rsidP="00E8330D">
      <w:pPr>
        <w:autoSpaceDE w:val="0"/>
        <w:autoSpaceDN w:val="0"/>
        <w:adjustRightInd w:val="0"/>
        <w:rPr>
          <w:rFonts w:ascii="Times New Roman" w:hAnsi="Times New Roman" w:cs="Times New Roman"/>
          <w:kern w:val="0"/>
        </w:rPr>
      </w:pPr>
      <w:hyperlink r:id="rId12" w:history="1">
        <w:r w:rsidRPr="0012687B">
          <w:rPr>
            <w:rStyle w:val="Hyperlink"/>
            <w:rFonts w:ascii="Times New Roman" w:hAnsi="Times New Roman" w:cs="Times New Roman"/>
            <w:kern w:val="0"/>
          </w:rPr>
          <w:t>https://www.legislation.gov.uk/ukpga/Will4and1Vict/7/26/contents</w:t>
        </w:r>
      </w:hyperlink>
    </w:p>
    <w:p w14:paraId="0BBA1439" w14:textId="77777777" w:rsidR="00E8330D" w:rsidRPr="0012687B" w:rsidRDefault="00E8330D" w:rsidP="00E8330D">
      <w:pPr>
        <w:autoSpaceDE w:val="0"/>
        <w:autoSpaceDN w:val="0"/>
        <w:adjustRightInd w:val="0"/>
        <w:rPr>
          <w:rFonts w:ascii="Times New Roman" w:hAnsi="Times New Roman" w:cs="Times New Roman"/>
          <w:kern w:val="0"/>
        </w:rPr>
      </w:pPr>
    </w:p>
    <w:p w14:paraId="0D3FB2D6" w14:textId="77777777" w:rsidR="00E8330D" w:rsidRPr="0012687B" w:rsidRDefault="00E8330D" w:rsidP="00E8330D">
      <w:pPr>
        <w:autoSpaceDE w:val="0"/>
        <w:autoSpaceDN w:val="0"/>
        <w:adjustRightInd w:val="0"/>
        <w:rPr>
          <w:rFonts w:ascii="Times New Roman" w:hAnsi="Times New Roman" w:cs="Times New Roman"/>
          <w:kern w:val="0"/>
        </w:rPr>
      </w:pPr>
    </w:p>
    <w:p w14:paraId="47B88E1F" w14:textId="77777777" w:rsidR="00E8330D" w:rsidRPr="00E8330D" w:rsidRDefault="00E8330D" w:rsidP="00E8330D">
      <w:pPr>
        <w:spacing w:before="100" w:beforeAutospacing="1" w:after="100" w:afterAutospacing="1"/>
        <w:rPr>
          <w:rFonts w:ascii="Times New Roman" w:eastAsia="Times New Roman" w:hAnsi="Times New Roman" w:cs="Times New Roman"/>
          <w:color w:val="000000"/>
          <w:kern w:val="0"/>
          <w:lang w:eastAsia="en-GB"/>
          <w14:ligatures w14:val="none"/>
        </w:rPr>
      </w:pPr>
      <w:r w:rsidRPr="00E8330D">
        <w:rPr>
          <w:rFonts w:ascii="Times New Roman" w:eastAsia="Times New Roman" w:hAnsi="Times New Roman" w:cs="Times New Roman"/>
          <w:color w:val="000000"/>
          <w:kern w:val="0"/>
          <w:lang w:eastAsia="en-GB"/>
          <w14:ligatures w14:val="none"/>
        </w:rPr>
        <w:t>Expert Participation (1972) </w:t>
      </w:r>
      <w:r w:rsidRPr="00E8330D">
        <w:rPr>
          <w:rFonts w:ascii="Times New Roman" w:eastAsia="Times New Roman" w:hAnsi="Times New Roman" w:cs="Times New Roman"/>
          <w:i/>
          <w:iCs/>
          <w:color w:val="000000"/>
          <w:kern w:val="0"/>
          <w:lang w:eastAsia="en-GB"/>
          <w14:ligatures w14:val="none"/>
        </w:rPr>
        <w:t>Trustee Act 1925</w:t>
      </w:r>
      <w:r w:rsidRPr="00E8330D">
        <w:rPr>
          <w:rFonts w:ascii="Times New Roman" w:eastAsia="Times New Roman" w:hAnsi="Times New Roman" w:cs="Times New Roman"/>
          <w:color w:val="000000"/>
          <w:kern w:val="0"/>
          <w:lang w:eastAsia="en-GB"/>
          <w14:ligatures w14:val="none"/>
        </w:rPr>
        <w:t>, </w:t>
      </w:r>
      <w:r w:rsidRPr="00E8330D">
        <w:rPr>
          <w:rFonts w:ascii="Times New Roman" w:eastAsia="Times New Roman" w:hAnsi="Times New Roman" w:cs="Times New Roman"/>
          <w:i/>
          <w:iCs/>
          <w:color w:val="000000"/>
          <w:kern w:val="0"/>
          <w:lang w:eastAsia="en-GB"/>
          <w14:ligatures w14:val="none"/>
        </w:rPr>
        <w:t>Statute Law Database</w:t>
      </w:r>
      <w:r w:rsidRPr="00E8330D">
        <w:rPr>
          <w:rFonts w:ascii="Times New Roman" w:eastAsia="Times New Roman" w:hAnsi="Times New Roman" w:cs="Times New Roman"/>
          <w:color w:val="000000"/>
          <w:kern w:val="0"/>
          <w:lang w:eastAsia="en-GB"/>
          <w14:ligatures w14:val="none"/>
        </w:rPr>
        <w:t>. Available at: https://www.legislation.gov.uk/ukpga/Geo5/15-16/19/contents (Accessed: May 8, 2026).</w:t>
      </w:r>
    </w:p>
    <w:p w14:paraId="6C75C601" w14:textId="77777777" w:rsidR="00E8330D" w:rsidRPr="0012687B" w:rsidRDefault="00E8330D" w:rsidP="00E8330D">
      <w:pPr>
        <w:autoSpaceDE w:val="0"/>
        <w:autoSpaceDN w:val="0"/>
        <w:adjustRightInd w:val="0"/>
        <w:rPr>
          <w:rFonts w:ascii="Times New Roman" w:hAnsi="Times New Roman" w:cs="Times New Roman"/>
          <w:kern w:val="0"/>
        </w:rPr>
      </w:pPr>
    </w:p>
    <w:p w14:paraId="5B5F84E0" w14:textId="0BB78F54" w:rsidR="00E8330D" w:rsidRPr="0012687B" w:rsidRDefault="00E8330D" w:rsidP="00E8330D">
      <w:pPr>
        <w:autoSpaceDE w:val="0"/>
        <w:autoSpaceDN w:val="0"/>
        <w:adjustRightInd w:val="0"/>
        <w:rPr>
          <w:rFonts w:ascii="Times New Roman" w:hAnsi="Times New Roman" w:cs="Times New Roman"/>
          <w:kern w:val="0"/>
        </w:rPr>
      </w:pPr>
      <w:hyperlink r:id="rId13" w:history="1">
        <w:r w:rsidRPr="0012687B">
          <w:rPr>
            <w:rStyle w:val="Hyperlink"/>
            <w:rFonts w:ascii="Times New Roman" w:hAnsi="Times New Roman" w:cs="Times New Roman"/>
            <w:kern w:val="0"/>
          </w:rPr>
          <w:t>https://www.l</w:t>
        </w:r>
        <w:r w:rsidRPr="0012687B">
          <w:rPr>
            <w:rStyle w:val="Hyperlink"/>
            <w:rFonts w:ascii="Times New Roman" w:hAnsi="Times New Roman" w:cs="Times New Roman"/>
            <w:kern w:val="0"/>
          </w:rPr>
          <w:t>e</w:t>
        </w:r>
        <w:r w:rsidRPr="0012687B">
          <w:rPr>
            <w:rStyle w:val="Hyperlink"/>
            <w:rFonts w:ascii="Times New Roman" w:hAnsi="Times New Roman" w:cs="Times New Roman"/>
            <w:kern w:val="0"/>
          </w:rPr>
          <w:t>gislation.gov.uk/ukpga/Geo5/15-16/19/contents</w:t>
        </w:r>
      </w:hyperlink>
    </w:p>
    <w:p w14:paraId="3D5468DB" w14:textId="77777777" w:rsidR="00E8330D" w:rsidRPr="0012687B" w:rsidRDefault="00E8330D" w:rsidP="00E8330D">
      <w:pPr>
        <w:autoSpaceDE w:val="0"/>
        <w:autoSpaceDN w:val="0"/>
        <w:adjustRightInd w:val="0"/>
        <w:rPr>
          <w:rFonts w:ascii="Times New Roman" w:hAnsi="Times New Roman" w:cs="Times New Roman"/>
          <w:kern w:val="0"/>
        </w:rPr>
      </w:pPr>
    </w:p>
    <w:p w14:paraId="0D3D1C9D" w14:textId="77777777" w:rsidR="00E8330D" w:rsidRPr="0012687B" w:rsidRDefault="00E8330D" w:rsidP="00E8330D">
      <w:pPr>
        <w:autoSpaceDE w:val="0"/>
        <w:autoSpaceDN w:val="0"/>
        <w:adjustRightInd w:val="0"/>
        <w:rPr>
          <w:rFonts w:ascii="Times New Roman" w:hAnsi="Times New Roman" w:cs="Times New Roman"/>
          <w:kern w:val="0"/>
        </w:rPr>
      </w:pPr>
    </w:p>
    <w:p w14:paraId="111D6E18" w14:textId="382499C9" w:rsidR="00E8330D" w:rsidRPr="0012687B" w:rsidRDefault="00E8330D" w:rsidP="00E8330D">
      <w:pPr>
        <w:spacing w:before="100" w:beforeAutospacing="1" w:after="100" w:afterAutospacing="1"/>
        <w:rPr>
          <w:rFonts w:ascii="Times New Roman" w:eastAsia="Times New Roman" w:hAnsi="Times New Roman" w:cs="Times New Roman"/>
          <w:color w:val="000000"/>
          <w:kern w:val="0"/>
          <w:lang w:eastAsia="en-GB"/>
          <w14:ligatures w14:val="none"/>
        </w:rPr>
      </w:pPr>
      <w:r w:rsidRPr="00E8330D">
        <w:rPr>
          <w:rFonts w:ascii="Times New Roman" w:eastAsia="Times New Roman" w:hAnsi="Times New Roman" w:cs="Times New Roman"/>
          <w:color w:val="000000"/>
          <w:kern w:val="0"/>
          <w:lang w:eastAsia="en-GB"/>
          <w14:ligatures w14:val="none"/>
        </w:rPr>
        <w:t>Ex</w:t>
      </w:r>
      <w:r w:rsidRPr="0012687B">
        <w:rPr>
          <w:rFonts w:ascii="Times New Roman" w:eastAsia="Times New Roman" w:hAnsi="Times New Roman" w:cs="Times New Roman"/>
          <w:color w:val="000000"/>
          <w:kern w:val="0"/>
          <w:lang w:eastAsia="en-GB"/>
          <w14:ligatures w14:val="none"/>
        </w:rPr>
        <w:t>p</w:t>
      </w:r>
      <w:r w:rsidRPr="00E8330D">
        <w:rPr>
          <w:rFonts w:ascii="Times New Roman" w:eastAsia="Times New Roman" w:hAnsi="Times New Roman" w:cs="Times New Roman"/>
          <w:color w:val="000000"/>
          <w:kern w:val="0"/>
          <w:lang w:eastAsia="en-GB"/>
          <w14:ligatures w14:val="none"/>
        </w:rPr>
        <w:t>ert Participation (2000) </w:t>
      </w:r>
      <w:r w:rsidRPr="00E8330D">
        <w:rPr>
          <w:rFonts w:ascii="Times New Roman" w:eastAsia="Times New Roman" w:hAnsi="Times New Roman" w:cs="Times New Roman"/>
          <w:i/>
          <w:iCs/>
          <w:color w:val="000000"/>
          <w:kern w:val="0"/>
          <w:lang w:eastAsia="en-GB"/>
          <w14:ligatures w14:val="none"/>
        </w:rPr>
        <w:t>Trustee Act 2000</w:t>
      </w:r>
      <w:r w:rsidRPr="00E8330D">
        <w:rPr>
          <w:rFonts w:ascii="Times New Roman" w:eastAsia="Times New Roman" w:hAnsi="Times New Roman" w:cs="Times New Roman"/>
          <w:color w:val="000000"/>
          <w:kern w:val="0"/>
          <w:lang w:eastAsia="en-GB"/>
          <w14:ligatures w14:val="none"/>
        </w:rPr>
        <w:t>, </w:t>
      </w:r>
      <w:r w:rsidRPr="00E8330D">
        <w:rPr>
          <w:rFonts w:ascii="Times New Roman" w:eastAsia="Times New Roman" w:hAnsi="Times New Roman" w:cs="Times New Roman"/>
          <w:i/>
          <w:iCs/>
          <w:color w:val="000000"/>
          <w:kern w:val="0"/>
          <w:lang w:eastAsia="en-GB"/>
          <w14:ligatures w14:val="none"/>
        </w:rPr>
        <w:t>Statute Law Database</w:t>
      </w:r>
      <w:r w:rsidRPr="00E8330D">
        <w:rPr>
          <w:rFonts w:ascii="Times New Roman" w:eastAsia="Times New Roman" w:hAnsi="Times New Roman" w:cs="Times New Roman"/>
          <w:color w:val="000000"/>
          <w:kern w:val="0"/>
          <w:lang w:eastAsia="en-GB"/>
          <w14:ligatures w14:val="none"/>
        </w:rPr>
        <w:t>. Available at: https://www.legislation.gov.uk/ukpga/2000/29/contents (Accessed: 8 May 2026).</w:t>
      </w:r>
    </w:p>
    <w:p w14:paraId="179F0994" w14:textId="77777777" w:rsidR="00E8330D" w:rsidRPr="0012687B" w:rsidRDefault="00E8330D" w:rsidP="00E8330D">
      <w:pPr>
        <w:autoSpaceDE w:val="0"/>
        <w:autoSpaceDN w:val="0"/>
        <w:adjustRightInd w:val="0"/>
        <w:rPr>
          <w:rFonts w:ascii="Times New Roman" w:hAnsi="Times New Roman" w:cs="Times New Roman"/>
          <w:kern w:val="0"/>
        </w:rPr>
      </w:pPr>
    </w:p>
    <w:p w14:paraId="648EA775" w14:textId="6C689A11" w:rsidR="00E8330D" w:rsidRPr="0012687B" w:rsidRDefault="00E8330D" w:rsidP="00E8330D">
      <w:pPr>
        <w:autoSpaceDE w:val="0"/>
        <w:autoSpaceDN w:val="0"/>
        <w:adjustRightInd w:val="0"/>
        <w:rPr>
          <w:rFonts w:ascii="Times New Roman" w:hAnsi="Times New Roman" w:cs="Times New Roman"/>
          <w:kern w:val="0"/>
        </w:rPr>
      </w:pPr>
      <w:hyperlink r:id="rId14" w:history="1">
        <w:r w:rsidRPr="0012687B">
          <w:rPr>
            <w:rStyle w:val="Hyperlink"/>
            <w:rFonts w:ascii="Times New Roman" w:hAnsi="Times New Roman" w:cs="Times New Roman"/>
            <w:kern w:val="0"/>
          </w:rPr>
          <w:t>https://www.legislation.gov.uk/ukpga/2000/29/contents</w:t>
        </w:r>
      </w:hyperlink>
    </w:p>
    <w:p w14:paraId="1B3123C3" w14:textId="77777777" w:rsidR="00E8330D" w:rsidRPr="0012687B" w:rsidRDefault="00E8330D" w:rsidP="00E8330D">
      <w:pPr>
        <w:autoSpaceDE w:val="0"/>
        <w:autoSpaceDN w:val="0"/>
        <w:adjustRightInd w:val="0"/>
        <w:rPr>
          <w:rFonts w:ascii="Times New Roman" w:hAnsi="Times New Roman" w:cs="Times New Roman"/>
          <w:kern w:val="0"/>
        </w:rPr>
      </w:pPr>
    </w:p>
    <w:p w14:paraId="6F87EEF1" w14:textId="77777777" w:rsidR="00E8330D" w:rsidRPr="0012687B" w:rsidRDefault="00E8330D" w:rsidP="00E8330D">
      <w:pPr>
        <w:autoSpaceDE w:val="0"/>
        <w:autoSpaceDN w:val="0"/>
        <w:adjustRightInd w:val="0"/>
        <w:rPr>
          <w:rFonts w:ascii="Times New Roman" w:hAnsi="Times New Roman" w:cs="Times New Roman"/>
          <w:kern w:val="0"/>
        </w:rPr>
      </w:pPr>
    </w:p>
    <w:p w14:paraId="4187CAE7" w14:textId="77777777" w:rsidR="00E8330D" w:rsidRPr="00E8330D" w:rsidRDefault="00E8330D" w:rsidP="00E8330D">
      <w:pPr>
        <w:spacing w:before="100" w:beforeAutospacing="1" w:after="100" w:afterAutospacing="1"/>
        <w:rPr>
          <w:rFonts w:ascii="Times New Roman" w:eastAsia="Times New Roman" w:hAnsi="Times New Roman" w:cs="Times New Roman"/>
          <w:color w:val="000000"/>
          <w:kern w:val="0"/>
          <w:lang w:eastAsia="en-GB"/>
          <w14:ligatures w14:val="none"/>
        </w:rPr>
      </w:pPr>
      <w:r w:rsidRPr="00E8330D">
        <w:rPr>
          <w:rFonts w:ascii="Times New Roman" w:eastAsia="Times New Roman" w:hAnsi="Times New Roman" w:cs="Times New Roman"/>
          <w:color w:val="000000"/>
          <w:kern w:val="0"/>
          <w:lang w:eastAsia="en-GB"/>
          <w14:ligatures w14:val="none"/>
        </w:rPr>
        <w:t>Expert Participation (1991) </w:t>
      </w:r>
      <w:r w:rsidRPr="00E8330D">
        <w:rPr>
          <w:rFonts w:ascii="Times New Roman" w:eastAsia="Times New Roman" w:hAnsi="Times New Roman" w:cs="Times New Roman"/>
          <w:i/>
          <w:iCs/>
          <w:color w:val="000000"/>
          <w:kern w:val="0"/>
          <w:lang w:eastAsia="en-GB"/>
          <w14:ligatures w14:val="none"/>
        </w:rPr>
        <w:t>Inheritance tax Act 1984</w:t>
      </w:r>
      <w:r w:rsidRPr="00E8330D">
        <w:rPr>
          <w:rFonts w:ascii="Times New Roman" w:eastAsia="Times New Roman" w:hAnsi="Times New Roman" w:cs="Times New Roman"/>
          <w:color w:val="000000"/>
          <w:kern w:val="0"/>
          <w:lang w:eastAsia="en-GB"/>
          <w14:ligatures w14:val="none"/>
        </w:rPr>
        <w:t>, </w:t>
      </w:r>
      <w:r w:rsidRPr="00E8330D">
        <w:rPr>
          <w:rFonts w:ascii="Times New Roman" w:eastAsia="Times New Roman" w:hAnsi="Times New Roman" w:cs="Times New Roman"/>
          <w:i/>
          <w:iCs/>
          <w:color w:val="000000"/>
          <w:kern w:val="0"/>
          <w:lang w:eastAsia="en-GB"/>
          <w14:ligatures w14:val="none"/>
        </w:rPr>
        <w:t>Statute Law Database</w:t>
      </w:r>
      <w:r w:rsidRPr="00E8330D">
        <w:rPr>
          <w:rFonts w:ascii="Times New Roman" w:eastAsia="Times New Roman" w:hAnsi="Times New Roman" w:cs="Times New Roman"/>
          <w:color w:val="000000"/>
          <w:kern w:val="0"/>
          <w:lang w:eastAsia="en-GB"/>
          <w14:ligatures w14:val="none"/>
        </w:rPr>
        <w:t>. Available at: https://www.legislation.gov.uk/ukpga/1984/51/contents (Accessed: 8 May 2026).</w:t>
      </w:r>
    </w:p>
    <w:p w14:paraId="583C74E5" w14:textId="77777777" w:rsidR="00E8330D" w:rsidRPr="0012687B" w:rsidRDefault="00E8330D" w:rsidP="00E8330D">
      <w:pPr>
        <w:autoSpaceDE w:val="0"/>
        <w:autoSpaceDN w:val="0"/>
        <w:adjustRightInd w:val="0"/>
        <w:rPr>
          <w:rFonts w:ascii="Times New Roman" w:hAnsi="Times New Roman" w:cs="Times New Roman"/>
          <w:kern w:val="0"/>
        </w:rPr>
      </w:pPr>
    </w:p>
    <w:p w14:paraId="22EDF485" w14:textId="77777777" w:rsidR="00E8330D" w:rsidRPr="0012687B" w:rsidRDefault="00E8330D" w:rsidP="00E8330D">
      <w:pPr>
        <w:autoSpaceDE w:val="0"/>
        <w:autoSpaceDN w:val="0"/>
        <w:adjustRightInd w:val="0"/>
        <w:rPr>
          <w:rFonts w:ascii="Times New Roman" w:hAnsi="Times New Roman" w:cs="Times New Roman"/>
          <w:kern w:val="0"/>
        </w:rPr>
      </w:pPr>
      <w:hyperlink r:id="rId15" w:history="1">
        <w:r w:rsidRPr="0012687B">
          <w:rPr>
            <w:rStyle w:val="Hyperlink"/>
            <w:rFonts w:ascii="Times New Roman" w:hAnsi="Times New Roman" w:cs="Times New Roman"/>
            <w:kern w:val="0"/>
          </w:rPr>
          <w:t>https://www.legislation.gov.uk/ukpga/1984/51/contents</w:t>
        </w:r>
      </w:hyperlink>
    </w:p>
    <w:p w14:paraId="73F58DA4" w14:textId="77777777" w:rsidR="00E8330D" w:rsidRPr="0012687B" w:rsidRDefault="00E8330D" w:rsidP="00E8330D">
      <w:pPr>
        <w:autoSpaceDE w:val="0"/>
        <w:autoSpaceDN w:val="0"/>
        <w:adjustRightInd w:val="0"/>
        <w:rPr>
          <w:rFonts w:ascii="Times New Roman" w:hAnsi="Times New Roman" w:cs="Times New Roman"/>
          <w:kern w:val="0"/>
        </w:rPr>
      </w:pPr>
    </w:p>
    <w:p w14:paraId="0FC211DC" w14:textId="77777777" w:rsidR="00E8330D" w:rsidRPr="0012687B" w:rsidRDefault="00E8330D" w:rsidP="00E8330D">
      <w:pPr>
        <w:autoSpaceDE w:val="0"/>
        <w:autoSpaceDN w:val="0"/>
        <w:adjustRightInd w:val="0"/>
        <w:rPr>
          <w:rFonts w:ascii="Times New Roman" w:hAnsi="Times New Roman" w:cs="Times New Roman"/>
          <w:kern w:val="0"/>
        </w:rPr>
      </w:pPr>
    </w:p>
    <w:p w14:paraId="13D7421D" w14:textId="2E47B39B" w:rsidR="00E8330D" w:rsidRPr="00E8330D" w:rsidRDefault="00E8330D" w:rsidP="00E8330D">
      <w:pPr>
        <w:autoSpaceDE w:val="0"/>
        <w:autoSpaceDN w:val="0"/>
        <w:adjustRightInd w:val="0"/>
        <w:rPr>
          <w:rFonts w:ascii="Times New Roman" w:hAnsi="Times New Roman" w:cs="Times New Roman"/>
          <w:kern w:val="0"/>
        </w:rPr>
      </w:pPr>
      <w:r w:rsidRPr="00E8330D">
        <w:rPr>
          <w:rFonts w:ascii="Times New Roman" w:eastAsia="Times New Roman" w:hAnsi="Times New Roman" w:cs="Times New Roman"/>
          <w:color w:val="000000"/>
          <w:kern w:val="0"/>
          <w:lang w:eastAsia="en-GB"/>
          <w14:ligatures w14:val="none"/>
        </w:rPr>
        <w:t>Expert Participation (no date) </w:t>
      </w:r>
      <w:r w:rsidRPr="00E8330D">
        <w:rPr>
          <w:rFonts w:ascii="Times New Roman" w:eastAsia="Times New Roman" w:hAnsi="Times New Roman" w:cs="Times New Roman"/>
          <w:i/>
          <w:iCs/>
          <w:color w:val="000000"/>
          <w:kern w:val="0"/>
          <w:lang w:eastAsia="en-GB"/>
          <w14:ligatures w14:val="none"/>
        </w:rPr>
        <w:t>The money laundering, terrorist financing and transfer of funds (information on the Payer) Regulations 2017</w:t>
      </w:r>
      <w:r w:rsidRPr="00E8330D">
        <w:rPr>
          <w:rFonts w:ascii="Times New Roman" w:eastAsia="Times New Roman" w:hAnsi="Times New Roman" w:cs="Times New Roman"/>
          <w:color w:val="000000"/>
          <w:kern w:val="0"/>
          <w:lang w:eastAsia="en-GB"/>
          <w14:ligatures w14:val="none"/>
        </w:rPr>
        <w:t>, </w:t>
      </w:r>
      <w:r w:rsidRPr="00E8330D">
        <w:rPr>
          <w:rFonts w:ascii="Times New Roman" w:eastAsia="Times New Roman" w:hAnsi="Times New Roman" w:cs="Times New Roman"/>
          <w:i/>
          <w:iCs/>
          <w:color w:val="000000"/>
          <w:kern w:val="0"/>
          <w:lang w:eastAsia="en-GB"/>
          <w14:ligatures w14:val="none"/>
        </w:rPr>
        <w:t>Statute Law Database</w:t>
      </w:r>
      <w:r w:rsidRPr="00E8330D">
        <w:rPr>
          <w:rFonts w:ascii="Times New Roman" w:eastAsia="Times New Roman" w:hAnsi="Times New Roman" w:cs="Times New Roman"/>
          <w:color w:val="000000"/>
          <w:kern w:val="0"/>
          <w:lang w:eastAsia="en-GB"/>
          <w14:ligatures w14:val="none"/>
        </w:rPr>
        <w:t>. Available at: https://www.legislation.gov.uk/uksi/2017/692/contents (Accessed: 8 May 2026).</w:t>
      </w:r>
    </w:p>
    <w:p w14:paraId="44100A95" w14:textId="77777777" w:rsidR="00E8330D" w:rsidRPr="00E8330D" w:rsidRDefault="00E8330D" w:rsidP="00E8330D">
      <w:pPr>
        <w:rPr>
          <w:rFonts w:ascii="Times New Roman" w:eastAsia="Times New Roman" w:hAnsi="Times New Roman" w:cs="Times New Roman"/>
          <w:kern w:val="0"/>
          <w:lang w:eastAsia="en-GB"/>
          <w14:ligatures w14:val="none"/>
        </w:rPr>
      </w:pPr>
    </w:p>
    <w:p w14:paraId="75F2100A" w14:textId="77777777" w:rsidR="00E8330D" w:rsidRPr="0012687B" w:rsidRDefault="00E8330D" w:rsidP="00E8330D">
      <w:pPr>
        <w:autoSpaceDE w:val="0"/>
        <w:autoSpaceDN w:val="0"/>
        <w:adjustRightInd w:val="0"/>
        <w:rPr>
          <w:rFonts w:ascii="Times New Roman" w:hAnsi="Times New Roman" w:cs="Times New Roman"/>
          <w:kern w:val="0"/>
        </w:rPr>
      </w:pPr>
    </w:p>
    <w:p w14:paraId="18035D3B" w14:textId="77777777" w:rsidR="00E8330D" w:rsidRPr="0012687B" w:rsidRDefault="00E8330D" w:rsidP="00E8330D">
      <w:pPr>
        <w:autoSpaceDE w:val="0"/>
        <w:autoSpaceDN w:val="0"/>
        <w:adjustRightInd w:val="0"/>
        <w:rPr>
          <w:rFonts w:ascii="Times New Roman" w:hAnsi="Times New Roman" w:cs="Times New Roman"/>
          <w:kern w:val="0"/>
        </w:rPr>
      </w:pPr>
    </w:p>
    <w:p w14:paraId="5DB2047B" w14:textId="092C097E" w:rsidR="00E8330D" w:rsidRPr="0012687B" w:rsidRDefault="00E8330D" w:rsidP="00E8330D">
      <w:pPr>
        <w:autoSpaceDE w:val="0"/>
        <w:autoSpaceDN w:val="0"/>
        <w:adjustRightInd w:val="0"/>
        <w:rPr>
          <w:rFonts w:ascii="Times New Roman" w:hAnsi="Times New Roman" w:cs="Times New Roman"/>
          <w:kern w:val="0"/>
        </w:rPr>
      </w:pPr>
      <w:hyperlink r:id="rId16" w:history="1">
        <w:r w:rsidRPr="0012687B">
          <w:rPr>
            <w:rStyle w:val="Hyperlink"/>
            <w:rFonts w:ascii="Times New Roman" w:hAnsi="Times New Roman" w:cs="Times New Roman"/>
            <w:kern w:val="0"/>
          </w:rPr>
          <w:t>https://www.legislation.gov.uk/uksi/2017/692/contents</w:t>
        </w:r>
      </w:hyperlink>
    </w:p>
    <w:p w14:paraId="7FFC4C17" w14:textId="77777777" w:rsidR="004E4DD2" w:rsidRPr="0012687B" w:rsidRDefault="004E4DD2" w:rsidP="00E8330D">
      <w:pPr>
        <w:autoSpaceDE w:val="0"/>
        <w:autoSpaceDN w:val="0"/>
        <w:adjustRightInd w:val="0"/>
        <w:rPr>
          <w:rFonts w:ascii="Times New Roman" w:hAnsi="Times New Roman" w:cs="Times New Roman"/>
          <w:kern w:val="0"/>
        </w:rPr>
      </w:pPr>
    </w:p>
    <w:p w14:paraId="57DC22DE" w14:textId="77777777" w:rsidR="004E4DD2" w:rsidRPr="0012687B" w:rsidRDefault="004E4DD2" w:rsidP="00E8330D">
      <w:pPr>
        <w:autoSpaceDE w:val="0"/>
        <w:autoSpaceDN w:val="0"/>
        <w:adjustRightInd w:val="0"/>
        <w:rPr>
          <w:rFonts w:ascii="Times New Roman" w:hAnsi="Times New Roman" w:cs="Times New Roman"/>
          <w:kern w:val="0"/>
        </w:rPr>
      </w:pPr>
    </w:p>
    <w:p w14:paraId="2FEF908C" w14:textId="7496EE83" w:rsidR="004E4DD2" w:rsidRPr="004E4DD2" w:rsidRDefault="004E4DD2" w:rsidP="004E4DD2">
      <w:pPr>
        <w:spacing w:before="100" w:beforeAutospacing="1" w:after="100" w:afterAutospacing="1"/>
        <w:rPr>
          <w:rFonts w:ascii="Times New Roman" w:eastAsia="Times New Roman" w:hAnsi="Times New Roman" w:cs="Times New Roman"/>
          <w:color w:val="000000"/>
          <w:kern w:val="0"/>
          <w:lang w:eastAsia="en-GB"/>
          <w14:ligatures w14:val="none"/>
        </w:rPr>
      </w:pPr>
      <w:r w:rsidRPr="004E4DD2">
        <w:rPr>
          <w:rFonts w:ascii="Times New Roman" w:eastAsia="Times New Roman" w:hAnsi="Times New Roman" w:cs="Times New Roman"/>
          <w:color w:val="000000"/>
          <w:kern w:val="0"/>
          <w:lang w:eastAsia="en-GB"/>
          <w14:ligatures w14:val="none"/>
        </w:rPr>
        <w:t>National Case Law Archive (2026) </w:t>
      </w:r>
      <w:r w:rsidRPr="004E4DD2">
        <w:rPr>
          <w:rFonts w:ascii="Times New Roman" w:eastAsia="Times New Roman" w:hAnsi="Times New Roman" w:cs="Times New Roman"/>
          <w:i/>
          <w:iCs/>
          <w:color w:val="000000"/>
          <w:kern w:val="0"/>
          <w:lang w:eastAsia="en-GB"/>
          <w14:ligatures w14:val="none"/>
        </w:rPr>
        <w:t>Banks v Goodfellow (1870) LR 5 QB 549</w:t>
      </w:r>
      <w:r w:rsidRPr="004E4DD2">
        <w:rPr>
          <w:rFonts w:ascii="Times New Roman" w:eastAsia="Times New Roman" w:hAnsi="Times New Roman" w:cs="Times New Roman"/>
          <w:color w:val="000000"/>
          <w:kern w:val="0"/>
          <w:lang w:eastAsia="en-GB"/>
          <w14:ligatures w14:val="none"/>
        </w:rPr>
        <w:t>, </w:t>
      </w:r>
      <w:r w:rsidRPr="004E4DD2">
        <w:rPr>
          <w:rFonts w:ascii="Times New Roman" w:eastAsia="Times New Roman" w:hAnsi="Times New Roman" w:cs="Times New Roman"/>
          <w:i/>
          <w:iCs/>
          <w:color w:val="000000"/>
          <w:kern w:val="0"/>
          <w:lang w:eastAsia="en-GB"/>
          <w14:ligatures w14:val="none"/>
        </w:rPr>
        <w:t>National Case Law Archive</w:t>
      </w:r>
      <w:r w:rsidRPr="004E4DD2">
        <w:rPr>
          <w:rFonts w:ascii="Times New Roman" w:eastAsia="Times New Roman" w:hAnsi="Times New Roman" w:cs="Times New Roman"/>
          <w:color w:val="000000"/>
          <w:kern w:val="0"/>
          <w:lang w:eastAsia="en-GB"/>
          <w14:ligatures w14:val="none"/>
        </w:rPr>
        <w:t>. Available at: https://www.lawcases.net/cases/banks-v-goodfellow-1870-lr-5-qb-549/ (Accessed: 8 May 2026).</w:t>
      </w:r>
    </w:p>
    <w:p w14:paraId="273858D4" w14:textId="77777777" w:rsidR="004E4DD2" w:rsidRPr="0012687B" w:rsidRDefault="004E4DD2" w:rsidP="00E8330D">
      <w:pPr>
        <w:autoSpaceDE w:val="0"/>
        <w:autoSpaceDN w:val="0"/>
        <w:adjustRightInd w:val="0"/>
        <w:rPr>
          <w:rFonts w:ascii="Times New Roman" w:hAnsi="Times New Roman" w:cs="Times New Roman"/>
          <w:kern w:val="0"/>
        </w:rPr>
      </w:pPr>
    </w:p>
    <w:p w14:paraId="2EFA658E" w14:textId="11A08199" w:rsidR="00E8330D" w:rsidRPr="0012687B" w:rsidRDefault="004E4DD2" w:rsidP="00E8330D">
      <w:pPr>
        <w:autoSpaceDE w:val="0"/>
        <w:autoSpaceDN w:val="0"/>
        <w:adjustRightInd w:val="0"/>
        <w:rPr>
          <w:rFonts w:ascii="Times New Roman" w:hAnsi="Times New Roman" w:cs="Times New Roman"/>
          <w:kern w:val="0"/>
        </w:rPr>
      </w:pPr>
      <w:hyperlink r:id="rId17" w:history="1">
        <w:r w:rsidRPr="0012687B">
          <w:rPr>
            <w:rStyle w:val="Hyperlink"/>
            <w:rFonts w:ascii="Times New Roman" w:hAnsi="Times New Roman" w:cs="Times New Roman"/>
            <w:kern w:val="0"/>
          </w:rPr>
          <w:t>https://www.lawcases.net/cases/banks-v-goodfellow-1870-lr-5-qb-549/</w:t>
        </w:r>
      </w:hyperlink>
    </w:p>
    <w:p w14:paraId="28F403BE" w14:textId="77777777" w:rsidR="004E4DD2" w:rsidRPr="0012687B" w:rsidRDefault="004E4DD2" w:rsidP="00E8330D">
      <w:pPr>
        <w:autoSpaceDE w:val="0"/>
        <w:autoSpaceDN w:val="0"/>
        <w:adjustRightInd w:val="0"/>
        <w:rPr>
          <w:rFonts w:ascii="Times New Roman" w:hAnsi="Times New Roman" w:cs="Times New Roman"/>
          <w:kern w:val="0"/>
        </w:rPr>
      </w:pPr>
    </w:p>
    <w:p w14:paraId="2380DF1C" w14:textId="77777777" w:rsidR="004E4DD2" w:rsidRPr="0012687B" w:rsidRDefault="004E4DD2" w:rsidP="00E8330D">
      <w:pPr>
        <w:autoSpaceDE w:val="0"/>
        <w:autoSpaceDN w:val="0"/>
        <w:adjustRightInd w:val="0"/>
        <w:rPr>
          <w:rFonts w:ascii="Times New Roman" w:hAnsi="Times New Roman" w:cs="Times New Roman"/>
          <w:kern w:val="0"/>
        </w:rPr>
      </w:pPr>
    </w:p>
    <w:p w14:paraId="5CDD3314" w14:textId="77777777" w:rsidR="004E4DD2" w:rsidRPr="0012687B" w:rsidRDefault="004E4DD2" w:rsidP="00E8330D">
      <w:pPr>
        <w:autoSpaceDE w:val="0"/>
        <w:autoSpaceDN w:val="0"/>
        <w:adjustRightInd w:val="0"/>
        <w:rPr>
          <w:rFonts w:ascii="Times New Roman" w:hAnsi="Times New Roman" w:cs="Times New Roman"/>
          <w:kern w:val="0"/>
        </w:rPr>
      </w:pPr>
    </w:p>
    <w:p w14:paraId="14FB7E7E" w14:textId="77777777" w:rsidR="004E4DD2" w:rsidRPr="0012687B" w:rsidRDefault="004E4DD2" w:rsidP="00E8330D">
      <w:pPr>
        <w:autoSpaceDE w:val="0"/>
        <w:autoSpaceDN w:val="0"/>
        <w:adjustRightInd w:val="0"/>
        <w:rPr>
          <w:rFonts w:ascii="Times New Roman" w:hAnsi="Times New Roman" w:cs="Times New Roman"/>
          <w:kern w:val="0"/>
        </w:rPr>
      </w:pPr>
    </w:p>
    <w:p w14:paraId="4CA25E00" w14:textId="68B5DD2E" w:rsidR="004E4DD2" w:rsidRPr="0012687B" w:rsidRDefault="004E4DD2" w:rsidP="004E4DD2">
      <w:pPr>
        <w:spacing w:before="100" w:beforeAutospacing="1" w:after="100" w:afterAutospacing="1"/>
        <w:rPr>
          <w:rFonts w:ascii="Times New Roman" w:eastAsia="Times New Roman" w:hAnsi="Times New Roman" w:cs="Times New Roman"/>
          <w:color w:val="000000"/>
          <w:kern w:val="0"/>
          <w:lang w:eastAsia="en-GB"/>
          <w14:ligatures w14:val="none"/>
        </w:rPr>
      </w:pPr>
      <w:r w:rsidRPr="004E4DD2">
        <w:rPr>
          <w:rFonts w:ascii="Times New Roman" w:eastAsia="Times New Roman" w:hAnsi="Times New Roman" w:cs="Times New Roman"/>
          <w:color w:val="000000"/>
          <w:kern w:val="0"/>
          <w:lang w:eastAsia="en-GB"/>
          <w14:ligatures w14:val="none"/>
        </w:rPr>
        <w:t>People, O. and Howells, R. (2023) </w:t>
      </w:r>
      <w:r w:rsidRPr="004E4DD2">
        <w:rPr>
          <w:rFonts w:ascii="Times New Roman" w:eastAsia="Times New Roman" w:hAnsi="Times New Roman" w:cs="Times New Roman"/>
          <w:i/>
          <w:iCs/>
          <w:color w:val="000000"/>
          <w:kern w:val="0"/>
          <w:lang w:eastAsia="en-GB"/>
          <w14:ligatures w14:val="none"/>
        </w:rPr>
        <w:t>Banks V Goodfellow: Understanding the landmark case in testamentary capacity</w:t>
      </w:r>
      <w:r w:rsidRPr="004E4DD2">
        <w:rPr>
          <w:rFonts w:ascii="Times New Roman" w:eastAsia="Times New Roman" w:hAnsi="Times New Roman" w:cs="Times New Roman"/>
          <w:color w:val="000000"/>
          <w:kern w:val="0"/>
          <w:lang w:eastAsia="en-GB"/>
          <w14:ligatures w14:val="none"/>
        </w:rPr>
        <w:t>, </w:t>
      </w:r>
      <w:r w:rsidRPr="004E4DD2">
        <w:rPr>
          <w:rFonts w:ascii="Times New Roman" w:eastAsia="Times New Roman" w:hAnsi="Times New Roman" w:cs="Times New Roman"/>
          <w:i/>
          <w:iCs/>
          <w:color w:val="000000"/>
          <w:kern w:val="0"/>
          <w:lang w:eastAsia="en-GB"/>
          <w14:ligatures w14:val="none"/>
        </w:rPr>
        <w:t>JCP Solicitors</w:t>
      </w:r>
      <w:r w:rsidRPr="004E4DD2">
        <w:rPr>
          <w:rFonts w:ascii="Times New Roman" w:eastAsia="Times New Roman" w:hAnsi="Times New Roman" w:cs="Times New Roman"/>
          <w:color w:val="000000"/>
          <w:kern w:val="0"/>
          <w:lang w:eastAsia="en-GB"/>
          <w14:ligatures w14:val="none"/>
        </w:rPr>
        <w:t>. Available at: https://www.jcpsolicitors.co.uk/insights/blog/banks-v-goodfellow-testamentary-capacity/ (Accessed: 8 May 2026).</w:t>
      </w:r>
    </w:p>
    <w:p w14:paraId="04264A53" w14:textId="77777777" w:rsidR="004E4DD2" w:rsidRPr="0012687B" w:rsidRDefault="004E4DD2" w:rsidP="00E8330D">
      <w:pPr>
        <w:autoSpaceDE w:val="0"/>
        <w:autoSpaceDN w:val="0"/>
        <w:adjustRightInd w:val="0"/>
        <w:rPr>
          <w:rFonts w:ascii="Times New Roman" w:hAnsi="Times New Roman" w:cs="Times New Roman"/>
          <w:kern w:val="0"/>
        </w:rPr>
      </w:pPr>
    </w:p>
    <w:p w14:paraId="0EB774F5" w14:textId="40BD4392" w:rsidR="004E4DD2" w:rsidRPr="0012687B" w:rsidRDefault="004E4DD2" w:rsidP="00E8330D">
      <w:pPr>
        <w:autoSpaceDE w:val="0"/>
        <w:autoSpaceDN w:val="0"/>
        <w:adjustRightInd w:val="0"/>
        <w:rPr>
          <w:rFonts w:ascii="Times New Roman" w:hAnsi="Times New Roman" w:cs="Times New Roman"/>
          <w:kern w:val="0"/>
        </w:rPr>
      </w:pPr>
      <w:hyperlink r:id="rId18" w:history="1">
        <w:r w:rsidRPr="0012687B">
          <w:rPr>
            <w:rStyle w:val="Hyperlink"/>
            <w:rFonts w:ascii="Times New Roman" w:hAnsi="Times New Roman" w:cs="Times New Roman"/>
            <w:kern w:val="0"/>
          </w:rPr>
          <w:t>https://www.jcpsolicitors.co.uk/insights/blog/banks-v-goodfellow-testamentary-capacity/</w:t>
        </w:r>
      </w:hyperlink>
    </w:p>
    <w:p w14:paraId="4288C370" w14:textId="77777777" w:rsidR="004E4DD2" w:rsidRPr="0012687B" w:rsidRDefault="004E4DD2" w:rsidP="00E8330D">
      <w:pPr>
        <w:autoSpaceDE w:val="0"/>
        <w:autoSpaceDN w:val="0"/>
        <w:adjustRightInd w:val="0"/>
        <w:rPr>
          <w:rFonts w:ascii="Times New Roman" w:hAnsi="Times New Roman" w:cs="Times New Roman"/>
          <w:kern w:val="0"/>
        </w:rPr>
      </w:pPr>
    </w:p>
    <w:p w14:paraId="147C1206" w14:textId="77777777" w:rsidR="004E4DD2" w:rsidRPr="0012687B" w:rsidRDefault="004E4DD2" w:rsidP="00E8330D">
      <w:pPr>
        <w:autoSpaceDE w:val="0"/>
        <w:autoSpaceDN w:val="0"/>
        <w:adjustRightInd w:val="0"/>
        <w:rPr>
          <w:rFonts w:ascii="Times New Roman" w:hAnsi="Times New Roman" w:cs="Times New Roman"/>
          <w:kern w:val="0"/>
        </w:rPr>
      </w:pPr>
    </w:p>
    <w:p w14:paraId="5E6CF036" w14:textId="61A95115" w:rsidR="004E4DD2" w:rsidRPr="0012687B" w:rsidRDefault="004E4DD2" w:rsidP="004E4DD2">
      <w:pPr>
        <w:spacing w:before="100" w:beforeAutospacing="1" w:after="100" w:afterAutospacing="1"/>
        <w:rPr>
          <w:rFonts w:ascii="Times New Roman" w:eastAsia="Times New Roman" w:hAnsi="Times New Roman" w:cs="Times New Roman"/>
          <w:color w:val="000000"/>
          <w:kern w:val="0"/>
          <w:lang w:eastAsia="en-GB"/>
          <w14:ligatures w14:val="none"/>
        </w:rPr>
      </w:pPr>
      <w:r w:rsidRPr="004E4DD2">
        <w:rPr>
          <w:rFonts w:ascii="Times New Roman" w:eastAsia="Times New Roman" w:hAnsi="Times New Roman" w:cs="Times New Roman"/>
          <w:i/>
          <w:iCs/>
          <w:color w:val="000000"/>
          <w:kern w:val="0"/>
          <w:lang w:eastAsia="en-GB"/>
          <w14:ligatures w14:val="none"/>
        </w:rPr>
        <w:lastRenderedPageBreak/>
        <w:t>89. The rule in Saunders v Vautier</w:t>
      </w:r>
      <w:r w:rsidRPr="004E4DD2">
        <w:rPr>
          <w:rFonts w:ascii="Times New Roman" w:eastAsia="Times New Roman" w:hAnsi="Times New Roman" w:cs="Times New Roman"/>
          <w:color w:val="000000"/>
          <w:kern w:val="0"/>
          <w:lang w:eastAsia="en-GB"/>
          <w14:ligatures w14:val="none"/>
        </w:rPr>
        <w:t> (2024) </w:t>
      </w:r>
      <w:r w:rsidRPr="004E4DD2">
        <w:rPr>
          <w:rFonts w:ascii="Times New Roman" w:eastAsia="Times New Roman" w:hAnsi="Times New Roman" w:cs="Times New Roman"/>
          <w:i/>
          <w:iCs/>
          <w:color w:val="000000"/>
          <w:kern w:val="0"/>
          <w:lang w:eastAsia="en-GB"/>
          <w14:ligatures w14:val="none"/>
        </w:rPr>
        <w:t>Lexisnexis.co.uk</w:t>
      </w:r>
      <w:r w:rsidRPr="004E4DD2">
        <w:rPr>
          <w:rFonts w:ascii="Times New Roman" w:eastAsia="Times New Roman" w:hAnsi="Times New Roman" w:cs="Times New Roman"/>
          <w:color w:val="000000"/>
          <w:kern w:val="0"/>
          <w:lang w:eastAsia="en-GB"/>
          <w14:ligatures w14:val="none"/>
        </w:rPr>
        <w:t>. LexisNexis. Available at: https://www.lexisnexis.co.uk/legal/commentary/halsburys-laws-of-england/trusts-powers/89-the-rule-in-saunders-v-vautier (Accessed: 8 May 2026).</w:t>
      </w:r>
    </w:p>
    <w:p w14:paraId="129A3D86" w14:textId="77777777" w:rsidR="004E4DD2" w:rsidRPr="0012687B" w:rsidRDefault="004E4DD2" w:rsidP="00E8330D">
      <w:pPr>
        <w:autoSpaceDE w:val="0"/>
        <w:autoSpaceDN w:val="0"/>
        <w:adjustRightInd w:val="0"/>
        <w:rPr>
          <w:rFonts w:ascii="Times New Roman" w:hAnsi="Times New Roman" w:cs="Times New Roman"/>
          <w:kern w:val="0"/>
        </w:rPr>
      </w:pPr>
    </w:p>
    <w:p w14:paraId="5E9A713A" w14:textId="1FA57B71" w:rsidR="004E4DD2" w:rsidRPr="0012687B" w:rsidRDefault="004E4DD2" w:rsidP="00E8330D">
      <w:pPr>
        <w:autoSpaceDE w:val="0"/>
        <w:autoSpaceDN w:val="0"/>
        <w:adjustRightInd w:val="0"/>
        <w:rPr>
          <w:rFonts w:ascii="Times New Roman" w:hAnsi="Times New Roman" w:cs="Times New Roman"/>
          <w:kern w:val="0"/>
        </w:rPr>
      </w:pPr>
      <w:hyperlink r:id="rId19" w:history="1">
        <w:r w:rsidRPr="0012687B">
          <w:rPr>
            <w:rStyle w:val="Hyperlink"/>
            <w:rFonts w:ascii="Times New Roman" w:hAnsi="Times New Roman" w:cs="Times New Roman"/>
            <w:kern w:val="0"/>
          </w:rPr>
          <w:t>https://www.lexisnexis.co.uk/legal/commentary/halsburys-laws-of-england/trusts-powers/89-the-rule-in-saunders-v-vautier</w:t>
        </w:r>
      </w:hyperlink>
    </w:p>
    <w:p w14:paraId="710CA0A8" w14:textId="77777777" w:rsidR="004E4DD2" w:rsidRPr="0012687B" w:rsidRDefault="004E4DD2" w:rsidP="00E8330D">
      <w:pPr>
        <w:autoSpaceDE w:val="0"/>
        <w:autoSpaceDN w:val="0"/>
        <w:adjustRightInd w:val="0"/>
        <w:rPr>
          <w:rFonts w:ascii="Times New Roman" w:hAnsi="Times New Roman" w:cs="Times New Roman"/>
          <w:kern w:val="0"/>
        </w:rPr>
      </w:pPr>
    </w:p>
    <w:p w14:paraId="6412DB08" w14:textId="77777777" w:rsidR="004E4DD2" w:rsidRPr="0012687B" w:rsidRDefault="004E4DD2" w:rsidP="00E8330D">
      <w:pPr>
        <w:autoSpaceDE w:val="0"/>
        <w:autoSpaceDN w:val="0"/>
        <w:adjustRightInd w:val="0"/>
        <w:rPr>
          <w:rFonts w:ascii="Times New Roman" w:hAnsi="Times New Roman" w:cs="Times New Roman"/>
          <w:kern w:val="0"/>
        </w:rPr>
      </w:pPr>
    </w:p>
    <w:p w14:paraId="72D4FFB9" w14:textId="77777777" w:rsidR="004E4DD2" w:rsidRPr="004E4DD2" w:rsidRDefault="004E4DD2" w:rsidP="004E4DD2">
      <w:pPr>
        <w:spacing w:before="100" w:beforeAutospacing="1" w:after="100" w:afterAutospacing="1"/>
        <w:rPr>
          <w:rFonts w:ascii="Times New Roman" w:eastAsia="Times New Roman" w:hAnsi="Times New Roman" w:cs="Times New Roman"/>
          <w:color w:val="000000"/>
          <w:kern w:val="0"/>
          <w:lang w:eastAsia="en-GB"/>
          <w14:ligatures w14:val="none"/>
        </w:rPr>
      </w:pPr>
      <w:r w:rsidRPr="004E4DD2">
        <w:rPr>
          <w:rFonts w:ascii="Times New Roman" w:eastAsia="Times New Roman" w:hAnsi="Times New Roman" w:cs="Times New Roman"/>
          <w:color w:val="000000"/>
          <w:kern w:val="0"/>
          <w:lang w:eastAsia="en-GB"/>
          <w14:ligatures w14:val="none"/>
        </w:rPr>
        <w:t>Todd, T. (2013) </w:t>
      </w:r>
      <w:r w:rsidRPr="004E4DD2">
        <w:rPr>
          <w:rFonts w:ascii="Times New Roman" w:eastAsia="Times New Roman" w:hAnsi="Times New Roman" w:cs="Times New Roman"/>
          <w:i/>
          <w:iCs/>
          <w:color w:val="000000"/>
          <w:kern w:val="0"/>
          <w:lang w:eastAsia="en-GB"/>
          <w14:ligatures w14:val="none"/>
        </w:rPr>
        <w:t>The doctrine of ademption by conversion</w:t>
      </w:r>
      <w:r w:rsidRPr="004E4DD2">
        <w:rPr>
          <w:rFonts w:ascii="Times New Roman" w:eastAsia="Times New Roman" w:hAnsi="Times New Roman" w:cs="Times New Roman"/>
          <w:color w:val="000000"/>
          <w:kern w:val="0"/>
          <w:lang w:eastAsia="en-GB"/>
          <w14:ligatures w14:val="none"/>
        </w:rPr>
        <w:t>, </w:t>
      </w:r>
      <w:r w:rsidRPr="004E4DD2">
        <w:rPr>
          <w:rFonts w:ascii="Times New Roman" w:eastAsia="Times New Roman" w:hAnsi="Times New Roman" w:cs="Times New Roman"/>
          <w:i/>
          <w:iCs/>
          <w:color w:val="000000"/>
          <w:kern w:val="0"/>
          <w:lang w:eastAsia="en-GB"/>
          <w14:ligatures w14:val="none"/>
        </w:rPr>
        <w:t>Disinherited</w:t>
      </w:r>
      <w:r w:rsidRPr="004E4DD2">
        <w:rPr>
          <w:rFonts w:ascii="Times New Roman" w:eastAsia="Times New Roman" w:hAnsi="Times New Roman" w:cs="Times New Roman"/>
          <w:color w:val="000000"/>
          <w:kern w:val="0"/>
          <w:lang w:eastAsia="en-GB"/>
          <w14:ligatures w14:val="none"/>
        </w:rPr>
        <w:t>. Available at: https://disinherited.com/probate-litigation/the-doctrine-of-ademption-by-conversion/ (Accessed: 8 May 2026).</w:t>
      </w:r>
    </w:p>
    <w:p w14:paraId="7838B26D" w14:textId="77777777" w:rsidR="004E4DD2" w:rsidRPr="0012687B" w:rsidRDefault="004E4DD2" w:rsidP="00E8330D">
      <w:pPr>
        <w:autoSpaceDE w:val="0"/>
        <w:autoSpaceDN w:val="0"/>
        <w:adjustRightInd w:val="0"/>
        <w:rPr>
          <w:rFonts w:ascii="Times New Roman" w:hAnsi="Times New Roman" w:cs="Times New Roman"/>
          <w:kern w:val="0"/>
        </w:rPr>
      </w:pPr>
    </w:p>
    <w:p w14:paraId="0496D33B" w14:textId="6A6B265B" w:rsidR="004E4DD2" w:rsidRPr="0012687B" w:rsidRDefault="004E4DD2" w:rsidP="00E8330D">
      <w:pPr>
        <w:autoSpaceDE w:val="0"/>
        <w:autoSpaceDN w:val="0"/>
        <w:adjustRightInd w:val="0"/>
        <w:rPr>
          <w:rFonts w:ascii="Times New Roman" w:hAnsi="Times New Roman" w:cs="Times New Roman"/>
          <w:kern w:val="0"/>
        </w:rPr>
      </w:pPr>
      <w:hyperlink r:id="rId20" w:history="1">
        <w:r w:rsidRPr="0012687B">
          <w:rPr>
            <w:rStyle w:val="Hyperlink"/>
            <w:rFonts w:ascii="Times New Roman" w:hAnsi="Times New Roman" w:cs="Times New Roman"/>
            <w:kern w:val="0"/>
          </w:rPr>
          <w:t>https://disinherited.com/probate-litigation/the-doctrine-of-ademption-by-conversion/</w:t>
        </w:r>
      </w:hyperlink>
    </w:p>
    <w:p w14:paraId="4B71F503" w14:textId="77777777" w:rsidR="004E4DD2" w:rsidRPr="0012687B" w:rsidRDefault="004E4DD2" w:rsidP="00E8330D">
      <w:pPr>
        <w:autoSpaceDE w:val="0"/>
        <w:autoSpaceDN w:val="0"/>
        <w:adjustRightInd w:val="0"/>
        <w:rPr>
          <w:rFonts w:ascii="Times New Roman" w:hAnsi="Times New Roman" w:cs="Times New Roman"/>
          <w:kern w:val="0"/>
        </w:rPr>
      </w:pPr>
    </w:p>
    <w:p w14:paraId="6ABA8DCB" w14:textId="77777777" w:rsidR="004E4DD2" w:rsidRPr="0012687B" w:rsidRDefault="004E4DD2" w:rsidP="00E8330D">
      <w:pPr>
        <w:autoSpaceDE w:val="0"/>
        <w:autoSpaceDN w:val="0"/>
        <w:adjustRightInd w:val="0"/>
        <w:rPr>
          <w:rFonts w:ascii="Times New Roman" w:hAnsi="Times New Roman" w:cs="Times New Roman"/>
          <w:kern w:val="0"/>
        </w:rPr>
      </w:pPr>
    </w:p>
    <w:p w14:paraId="7CD37B16" w14:textId="77777777" w:rsidR="004E4DD2" w:rsidRPr="0012687B" w:rsidRDefault="004E4DD2" w:rsidP="00E8330D">
      <w:pPr>
        <w:autoSpaceDE w:val="0"/>
        <w:autoSpaceDN w:val="0"/>
        <w:adjustRightInd w:val="0"/>
        <w:rPr>
          <w:rFonts w:ascii="Times New Roman" w:hAnsi="Times New Roman" w:cs="Times New Roman"/>
          <w:kern w:val="0"/>
        </w:rPr>
      </w:pPr>
    </w:p>
    <w:p w14:paraId="44000076" w14:textId="77777777" w:rsidR="004E4DD2" w:rsidRDefault="004E4DD2" w:rsidP="00E8330D">
      <w:pPr>
        <w:autoSpaceDE w:val="0"/>
        <w:autoSpaceDN w:val="0"/>
        <w:adjustRightInd w:val="0"/>
        <w:rPr>
          <w:rFonts w:ascii="AppleSystemUIFont" w:hAnsi="AppleSystemUIFont"/>
          <w:kern w:val="0"/>
        </w:rPr>
      </w:pPr>
    </w:p>
    <w:p w14:paraId="381C389E" w14:textId="77777777" w:rsidR="004E4DD2" w:rsidRDefault="004E4DD2" w:rsidP="00E8330D">
      <w:pPr>
        <w:autoSpaceDE w:val="0"/>
        <w:autoSpaceDN w:val="0"/>
        <w:adjustRightInd w:val="0"/>
        <w:rPr>
          <w:rFonts w:ascii="AppleSystemUIFont" w:hAnsi="AppleSystemUIFont"/>
          <w:kern w:val="0"/>
        </w:rPr>
      </w:pPr>
    </w:p>
    <w:p w14:paraId="0BE57B5E" w14:textId="77777777" w:rsidR="004E4DD2" w:rsidRDefault="004E4DD2" w:rsidP="00E8330D">
      <w:pPr>
        <w:autoSpaceDE w:val="0"/>
        <w:autoSpaceDN w:val="0"/>
        <w:adjustRightInd w:val="0"/>
        <w:rPr>
          <w:rFonts w:ascii="AppleSystemUIFont" w:hAnsi="AppleSystemUIFont"/>
          <w:kern w:val="0"/>
        </w:rPr>
      </w:pPr>
    </w:p>
    <w:p w14:paraId="2D7BDBDF" w14:textId="77777777" w:rsidR="004E4DD2" w:rsidRDefault="004E4DD2" w:rsidP="00E8330D">
      <w:pPr>
        <w:autoSpaceDE w:val="0"/>
        <w:autoSpaceDN w:val="0"/>
        <w:adjustRightInd w:val="0"/>
        <w:rPr>
          <w:rFonts w:ascii="AppleSystemUIFont" w:hAnsi="AppleSystemUIFont"/>
          <w:kern w:val="0"/>
        </w:rPr>
      </w:pPr>
    </w:p>
    <w:p w14:paraId="0CB7873F" w14:textId="77777777" w:rsidR="004E4DD2" w:rsidRDefault="004E4DD2" w:rsidP="00E8330D">
      <w:pPr>
        <w:autoSpaceDE w:val="0"/>
        <w:autoSpaceDN w:val="0"/>
        <w:adjustRightInd w:val="0"/>
        <w:rPr>
          <w:rFonts w:ascii="AppleSystemUIFont" w:hAnsi="AppleSystemUIFont"/>
          <w:kern w:val="0"/>
        </w:rPr>
      </w:pPr>
    </w:p>
    <w:p w14:paraId="15F377C0" w14:textId="77777777" w:rsidR="00E8330D" w:rsidRDefault="00E8330D" w:rsidP="00E8330D">
      <w:pPr>
        <w:autoSpaceDE w:val="0"/>
        <w:autoSpaceDN w:val="0"/>
        <w:adjustRightInd w:val="0"/>
        <w:rPr>
          <w:rFonts w:ascii="AppleSystemUIFont" w:hAnsi="AppleSystemUIFont"/>
          <w:kern w:val="0"/>
        </w:rPr>
      </w:pPr>
    </w:p>
    <w:p w14:paraId="63CCB600" w14:textId="77777777" w:rsidR="00E8330D" w:rsidRDefault="00E8330D" w:rsidP="00E8330D">
      <w:pPr>
        <w:autoSpaceDE w:val="0"/>
        <w:autoSpaceDN w:val="0"/>
        <w:adjustRightInd w:val="0"/>
        <w:rPr>
          <w:rFonts w:ascii="AppleSystemUIFont" w:hAnsi="AppleSystemUIFont"/>
          <w:kern w:val="0"/>
        </w:rPr>
      </w:pPr>
    </w:p>
    <w:p w14:paraId="6D9B6BA7" w14:textId="77777777" w:rsidR="00E8330D" w:rsidRDefault="00E8330D" w:rsidP="00E8330D">
      <w:pPr>
        <w:autoSpaceDE w:val="0"/>
        <w:autoSpaceDN w:val="0"/>
        <w:adjustRightInd w:val="0"/>
        <w:rPr>
          <w:rFonts w:ascii="AppleSystemUIFont" w:hAnsi="AppleSystemUIFont"/>
          <w:kern w:val="0"/>
        </w:rPr>
      </w:pPr>
    </w:p>
    <w:p w14:paraId="6B406201" w14:textId="77777777" w:rsidR="00E8330D" w:rsidRDefault="00E8330D" w:rsidP="00E8330D">
      <w:pPr>
        <w:autoSpaceDE w:val="0"/>
        <w:autoSpaceDN w:val="0"/>
        <w:adjustRightInd w:val="0"/>
        <w:rPr>
          <w:rFonts w:ascii="AppleSystemUIFont" w:hAnsi="AppleSystemUIFont"/>
          <w:kern w:val="0"/>
        </w:rPr>
      </w:pPr>
    </w:p>
    <w:p w14:paraId="6466934D" w14:textId="77777777" w:rsidR="00E8330D" w:rsidRDefault="00E8330D" w:rsidP="00E8330D">
      <w:pPr>
        <w:autoSpaceDE w:val="0"/>
        <w:autoSpaceDN w:val="0"/>
        <w:adjustRightInd w:val="0"/>
        <w:rPr>
          <w:rFonts w:ascii="AppleSystemUIFont" w:hAnsi="AppleSystemUIFont"/>
          <w:kern w:val="0"/>
        </w:rPr>
      </w:pPr>
    </w:p>
    <w:p w14:paraId="50F7DAA2" w14:textId="77777777" w:rsidR="00E8330D" w:rsidRDefault="00E8330D" w:rsidP="00E8330D">
      <w:pPr>
        <w:autoSpaceDE w:val="0"/>
        <w:autoSpaceDN w:val="0"/>
        <w:adjustRightInd w:val="0"/>
        <w:rPr>
          <w:rFonts w:ascii="AppleSystemUIFont" w:hAnsi="AppleSystemUIFont"/>
          <w:kern w:val="0"/>
        </w:rPr>
      </w:pPr>
    </w:p>
    <w:p w14:paraId="1BE82D8E" w14:textId="77777777" w:rsidR="00E8330D" w:rsidRDefault="00E8330D" w:rsidP="00E8330D">
      <w:pPr>
        <w:autoSpaceDE w:val="0"/>
        <w:autoSpaceDN w:val="0"/>
        <w:adjustRightInd w:val="0"/>
        <w:rPr>
          <w:rFonts w:ascii="AppleSystemUIFont" w:hAnsi="AppleSystemUIFont"/>
          <w:kern w:val="0"/>
        </w:rPr>
      </w:pPr>
    </w:p>
    <w:p w14:paraId="47D1A0FF" w14:textId="77777777" w:rsidR="00731B28" w:rsidRDefault="00731B28" w:rsidP="004600A4"/>
    <w:p w14:paraId="64BB23E6" w14:textId="77777777" w:rsidR="00FD7CA2" w:rsidRDefault="00FD7CA2" w:rsidP="004600A4"/>
    <w:p w14:paraId="634220DF" w14:textId="77777777" w:rsidR="00FD7CA2" w:rsidRDefault="00FD7CA2" w:rsidP="004600A4"/>
    <w:p w14:paraId="6FF9DFF6" w14:textId="77777777" w:rsidR="004600A4" w:rsidRDefault="004600A4" w:rsidP="004600A4"/>
    <w:p w14:paraId="279C4154" w14:textId="77777777" w:rsidR="004600A4" w:rsidRDefault="004600A4" w:rsidP="004600A4"/>
    <w:p w14:paraId="55427D2D" w14:textId="77777777" w:rsidR="004600A4" w:rsidRDefault="004600A4" w:rsidP="00107580"/>
    <w:sectPr w:rsidR="004600A4">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0864A" w14:textId="77777777" w:rsidR="001A10DC" w:rsidRDefault="001A10DC" w:rsidP="004600A4">
      <w:r>
        <w:separator/>
      </w:r>
    </w:p>
  </w:endnote>
  <w:endnote w:type="continuationSeparator" w:id="0">
    <w:p w14:paraId="08AEAF97" w14:textId="77777777" w:rsidR="001A10DC" w:rsidRDefault="001A10DC" w:rsidP="00460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52E54" w14:textId="77777777" w:rsidR="001A10DC" w:rsidRDefault="001A10DC" w:rsidP="004600A4">
      <w:r>
        <w:separator/>
      </w:r>
    </w:p>
  </w:footnote>
  <w:footnote w:type="continuationSeparator" w:id="0">
    <w:p w14:paraId="5A64C84E" w14:textId="77777777" w:rsidR="001A10DC" w:rsidRDefault="001A10DC" w:rsidP="004600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0648" w14:textId="57055484" w:rsidR="004600A4" w:rsidRDefault="004600A4">
    <w:pPr>
      <w:pStyle w:val="Header"/>
    </w:pPr>
    <w:r>
      <w:t>Alexandra-Maria Baloi 2315118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2581A"/>
    <w:multiLevelType w:val="hybridMultilevel"/>
    <w:tmpl w:val="C4AED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1188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0A4"/>
    <w:rsid w:val="0006686D"/>
    <w:rsid w:val="00096987"/>
    <w:rsid w:val="00107580"/>
    <w:rsid w:val="0012687B"/>
    <w:rsid w:val="001A10DC"/>
    <w:rsid w:val="00355A76"/>
    <w:rsid w:val="00416F5F"/>
    <w:rsid w:val="00456271"/>
    <w:rsid w:val="004600A4"/>
    <w:rsid w:val="0048794C"/>
    <w:rsid w:val="004E4DD2"/>
    <w:rsid w:val="00504020"/>
    <w:rsid w:val="005A0B01"/>
    <w:rsid w:val="006C1D0C"/>
    <w:rsid w:val="006C7AFF"/>
    <w:rsid w:val="00731B28"/>
    <w:rsid w:val="00C75C88"/>
    <w:rsid w:val="00E8330D"/>
    <w:rsid w:val="00F54A0E"/>
    <w:rsid w:val="00FA6DFC"/>
    <w:rsid w:val="00FD7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D8A8B4"/>
  <w15:chartTrackingRefBased/>
  <w15:docId w15:val="{581363D9-1EE1-7440-AF6B-4CDFD07C2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0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0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0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0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0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0A4"/>
    <w:rPr>
      <w:rFonts w:eastAsiaTheme="majorEastAsia" w:cstheme="majorBidi"/>
      <w:color w:val="272727" w:themeColor="text1" w:themeTint="D8"/>
    </w:rPr>
  </w:style>
  <w:style w:type="paragraph" w:styleId="Title">
    <w:name w:val="Title"/>
    <w:basedOn w:val="Normal"/>
    <w:next w:val="Normal"/>
    <w:link w:val="TitleChar"/>
    <w:uiPriority w:val="10"/>
    <w:qFormat/>
    <w:rsid w:val="004600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0A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0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00A4"/>
    <w:rPr>
      <w:i/>
      <w:iCs/>
      <w:color w:val="404040" w:themeColor="text1" w:themeTint="BF"/>
    </w:rPr>
  </w:style>
  <w:style w:type="paragraph" w:styleId="ListParagraph">
    <w:name w:val="List Paragraph"/>
    <w:basedOn w:val="Normal"/>
    <w:uiPriority w:val="34"/>
    <w:qFormat/>
    <w:rsid w:val="004600A4"/>
    <w:pPr>
      <w:ind w:left="720"/>
      <w:contextualSpacing/>
    </w:pPr>
  </w:style>
  <w:style w:type="character" w:styleId="IntenseEmphasis">
    <w:name w:val="Intense Emphasis"/>
    <w:basedOn w:val="DefaultParagraphFont"/>
    <w:uiPriority w:val="21"/>
    <w:qFormat/>
    <w:rsid w:val="004600A4"/>
    <w:rPr>
      <w:i/>
      <w:iCs/>
      <w:color w:val="0F4761" w:themeColor="accent1" w:themeShade="BF"/>
    </w:rPr>
  </w:style>
  <w:style w:type="paragraph" w:styleId="IntenseQuote">
    <w:name w:val="Intense Quote"/>
    <w:basedOn w:val="Normal"/>
    <w:next w:val="Normal"/>
    <w:link w:val="IntenseQuoteChar"/>
    <w:uiPriority w:val="30"/>
    <w:qFormat/>
    <w:rsid w:val="00460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0A4"/>
    <w:rPr>
      <w:i/>
      <w:iCs/>
      <w:color w:val="0F4761" w:themeColor="accent1" w:themeShade="BF"/>
    </w:rPr>
  </w:style>
  <w:style w:type="character" w:styleId="IntenseReference">
    <w:name w:val="Intense Reference"/>
    <w:basedOn w:val="DefaultParagraphFont"/>
    <w:uiPriority w:val="32"/>
    <w:qFormat/>
    <w:rsid w:val="004600A4"/>
    <w:rPr>
      <w:b/>
      <w:bCs/>
      <w:smallCaps/>
      <w:color w:val="0F4761" w:themeColor="accent1" w:themeShade="BF"/>
      <w:spacing w:val="5"/>
    </w:rPr>
  </w:style>
  <w:style w:type="paragraph" w:styleId="Header">
    <w:name w:val="header"/>
    <w:basedOn w:val="Normal"/>
    <w:link w:val="HeaderChar"/>
    <w:uiPriority w:val="99"/>
    <w:unhideWhenUsed/>
    <w:rsid w:val="004600A4"/>
    <w:pPr>
      <w:tabs>
        <w:tab w:val="center" w:pos="4513"/>
        <w:tab w:val="right" w:pos="9026"/>
      </w:tabs>
    </w:pPr>
  </w:style>
  <w:style w:type="character" w:customStyle="1" w:styleId="HeaderChar">
    <w:name w:val="Header Char"/>
    <w:basedOn w:val="DefaultParagraphFont"/>
    <w:link w:val="Header"/>
    <w:uiPriority w:val="99"/>
    <w:rsid w:val="004600A4"/>
  </w:style>
  <w:style w:type="paragraph" w:styleId="Footer">
    <w:name w:val="footer"/>
    <w:basedOn w:val="Normal"/>
    <w:link w:val="FooterChar"/>
    <w:uiPriority w:val="99"/>
    <w:unhideWhenUsed/>
    <w:rsid w:val="004600A4"/>
    <w:pPr>
      <w:tabs>
        <w:tab w:val="center" w:pos="4513"/>
        <w:tab w:val="right" w:pos="9026"/>
      </w:tabs>
    </w:pPr>
  </w:style>
  <w:style w:type="character" w:customStyle="1" w:styleId="FooterChar">
    <w:name w:val="Footer Char"/>
    <w:basedOn w:val="DefaultParagraphFont"/>
    <w:link w:val="Footer"/>
    <w:uiPriority w:val="99"/>
    <w:rsid w:val="004600A4"/>
  </w:style>
  <w:style w:type="paragraph" w:styleId="NormalWeb">
    <w:name w:val="Normal (Web)"/>
    <w:basedOn w:val="Normal"/>
    <w:uiPriority w:val="99"/>
    <w:unhideWhenUsed/>
    <w:rsid w:val="006C1D0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56271"/>
  </w:style>
  <w:style w:type="character" w:customStyle="1" w:styleId="whitespace-normal">
    <w:name w:val="whitespace-normal"/>
    <w:basedOn w:val="DefaultParagraphFont"/>
    <w:rsid w:val="00456271"/>
  </w:style>
  <w:style w:type="character" w:styleId="Hyperlink">
    <w:name w:val="Hyperlink"/>
    <w:basedOn w:val="DefaultParagraphFont"/>
    <w:uiPriority w:val="99"/>
    <w:unhideWhenUsed/>
    <w:rsid w:val="006C7AFF"/>
    <w:rPr>
      <w:color w:val="467886" w:themeColor="hyperlink"/>
      <w:u w:val="single"/>
    </w:rPr>
  </w:style>
  <w:style w:type="paragraph" w:customStyle="1" w:styleId="p1">
    <w:name w:val="p1"/>
    <w:basedOn w:val="Normal"/>
    <w:rsid w:val="006C7AFF"/>
    <w:rPr>
      <w:rFonts w:ascii="Helvetica" w:eastAsia="Times New Roman" w:hAnsi="Helvetica" w:cs="Times New Roman"/>
      <w:color w:val="000000"/>
      <w:kern w:val="0"/>
      <w:sz w:val="18"/>
      <w:szCs w:val="18"/>
      <w:lang w:eastAsia="en-GB"/>
      <w14:ligatures w14:val="none"/>
    </w:rPr>
  </w:style>
  <w:style w:type="character" w:styleId="UnresolvedMention">
    <w:name w:val="Unresolved Mention"/>
    <w:basedOn w:val="DefaultParagraphFont"/>
    <w:uiPriority w:val="99"/>
    <w:semiHidden/>
    <w:unhideWhenUsed/>
    <w:rsid w:val="00E8330D"/>
    <w:rPr>
      <w:color w:val="605E5C"/>
      <w:shd w:val="clear" w:color="auto" w:fill="E1DFDD"/>
    </w:rPr>
  </w:style>
  <w:style w:type="character" w:styleId="FollowedHyperlink">
    <w:name w:val="FollowedHyperlink"/>
    <w:basedOn w:val="DefaultParagraphFont"/>
    <w:uiPriority w:val="99"/>
    <w:semiHidden/>
    <w:unhideWhenUsed/>
    <w:rsid w:val="00E833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emine.com/judgement/uk/5a8ff8c960d03e7f57ecd6a6" TargetMode="External"/><Relationship Id="rId13" Type="http://schemas.openxmlformats.org/officeDocument/2006/relationships/hyperlink" Target="https://www.legislation.gov.uk/ukpga/Geo5/15-16/19/contents" TargetMode="External"/><Relationship Id="rId18" Type="http://schemas.openxmlformats.org/officeDocument/2006/relationships/hyperlink" Target="https://www.jcpsolicitors.co.uk/insights/blog/banks-v-goodfellow-testamentary-capacity/"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copilot.microsoft.com" TargetMode="External"/><Relationship Id="rId12" Type="http://schemas.openxmlformats.org/officeDocument/2006/relationships/hyperlink" Target="https://www.legislation.gov.uk/ukpga/Will4and1Vict/7/26/contents" TargetMode="External"/><Relationship Id="rId17" Type="http://schemas.openxmlformats.org/officeDocument/2006/relationships/hyperlink" Target="https://www.lawcases.net/cases/banks-v-goodfellow-1870-lr-5-qb-549/" TargetMode="External"/><Relationship Id="rId2" Type="http://schemas.openxmlformats.org/officeDocument/2006/relationships/styles" Target="styles.xml"/><Relationship Id="rId16" Type="http://schemas.openxmlformats.org/officeDocument/2006/relationships/hyperlink" Target="https://www.legislation.gov.uk/uksi/2017/692/contents" TargetMode="External"/><Relationship Id="rId20" Type="http://schemas.openxmlformats.org/officeDocument/2006/relationships/hyperlink" Target="https://disinherited.com/probate-litigation/the-doctrine-of-ademption-by-conver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semine.com/judgement/uk/5b516daf2c94e010ef2baf40" TargetMode="External"/><Relationship Id="rId5" Type="http://schemas.openxmlformats.org/officeDocument/2006/relationships/footnotes" Target="footnotes.xml"/><Relationship Id="rId15" Type="http://schemas.openxmlformats.org/officeDocument/2006/relationships/hyperlink" Target="https://www.legislation.gov.uk/ukpga/1984/51/contents" TargetMode="External"/><Relationship Id="rId23" Type="http://schemas.openxmlformats.org/officeDocument/2006/relationships/theme" Target="theme/theme1.xml"/><Relationship Id="rId10" Type="http://schemas.openxmlformats.org/officeDocument/2006/relationships/hyperlink" Target="https://www.casemine.com/judgement/uk/5a938b4060d03e5f6b82bc68" TargetMode="External"/><Relationship Id="rId19" Type="http://schemas.openxmlformats.org/officeDocument/2006/relationships/hyperlink" Target="https://www.lexisnexis.co.uk/legal/commentary/halsburys-laws-of-england/trusts-powers/89-the-rule-in-saunders-v-vautier" TargetMode="External"/><Relationship Id="rId4" Type="http://schemas.openxmlformats.org/officeDocument/2006/relationships/webSettings" Target="webSettings.xml"/><Relationship Id="rId9" Type="http://schemas.openxmlformats.org/officeDocument/2006/relationships/hyperlink" Target="https://www.casemine.com/judgement/uk/5a938b4060d03e5f6b82bd11" TargetMode="External"/><Relationship Id="rId14" Type="http://schemas.openxmlformats.org/officeDocument/2006/relationships/hyperlink" Target="https://www.legislation.gov.uk/ukpga/2000/29/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9</Pages>
  <Words>3006</Words>
  <Characters>16147</Characters>
  <Application>Microsoft Office Word</Application>
  <DocSecurity>0</DocSecurity>
  <Lines>234</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dcterms:created xsi:type="dcterms:W3CDTF">2026-04-27T12:00:00Z</dcterms:created>
  <dcterms:modified xsi:type="dcterms:W3CDTF">2026-05-08T13:31:00Z</dcterms:modified>
</cp:coreProperties>
</file>