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70B7A"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029023DC"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6EBC6EE8"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4DF7BF22"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346C47B4"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3907A1C1"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74D52906"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3093C90F"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30952449" w14:textId="73BD05FF" w:rsidR="0046755A" w:rsidRDefault="0046755A" w:rsidP="0046755A">
      <w:pPr>
        <w:spacing w:line="276" w:lineRule="auto"/>
        <w:jc w:val="center"/>
        <w:rPr>
          <w:rFonts w:ascii="Times New Roman" w:eastAsia="Calibri" w:hAnsi="Times New Roman" w:cs="Times New Roman"/>
          <w:b/>
          <w:kern w:val="0"/>
          <w:sz w:val="24"/>
          <w14:ligatures w14:val="none"/>
        </w:rPr>
      </w:pPr>
      <w:r>
        <w:rPr>
          <w:rFonts w:ascii="Times New Roman" w:eastAsia="Calibri" w:hAnsi="Times New Roman" w:cs="Times New Roman"/>
          <w:b/>
          <w:kern w:val="0"/>
          <w:sz w:val="24"/>
          <w14:ligatures w14:val="none"/>
        </w:rPr>
        <w:t xml:space="preserve">STUDENT: SANIA ULLAH </w:t>
      </w:r>
    </w:p>
    <w:p w14:paraId="5160F609" w14:textId="77777777" w:rsidR="0046755A" w:rsidRPr="0046755A" w:rsidRDefault="0046755A" w:rsidP="0046755A">
      <w:pPr>
        <w:spacing w:line="276" w:lineRule="auto"/>
        <w:jc w:val="center"/>
        <w:rPr>
          <w:rFonts w:ascii="Times New Roman" w:eastAsia="Calibri" w:hAnsi="Times New Roman" w:cs="Times New Roman"/>
          <w:b/>
          <w:kern w:val="0"/>
          <w:sz w:val="24"/>
          <w14:ligatures w14:val="none"/>
        </w:rPr>
      </w:pPr>
    </w:p>
    <w:p w14:paraId="649DC435" w14:textId="681DBE04" w:rsidR="0046755A" w:rsidRDefault="0046755A" w:rsidP="0046755A">
      <w:pPr>
        <w:spacing w:line="276" w:lineRule="auto"/>
        <w:jc w:val="center"/>
        <w:rPr>
          <w:rFonts w:ascii="Times New Roman" w:eastAsia="Calibri" w:hAnsi="Times New Roman" w:cs="Times New Roman"/>
          <w:b/>
          <w:kern w:val="0"/>
          <w:sz w:val="24"/>
          <w14:ligatures w14:val="none"/>
        </w:rPr>
      </w:pPr>
      <w:r>
        <w:rPr>
          <w:rFonts w:ascii="Times New Roman" w:eastAsia="Calibri" w:hAnsi="Times New Roman" w:cs="Times New Roman"/>
          <w:b/>
          <w:kern w:val="0"/>
          <w:sz w:val="24"/>
          <w14:ligatures w14:val="none"/>
        </w:rPr>
        <w:t>STUDENT ID: 2314490</w:t>
      </w:r>
    </w:p>
    <w:p w14:paraId="1122DE7C" w14:textId="77777777" w:rsidR="0046755A" w:rsidRPr="0046755A" w:rsidRDefault="0046755A" w:rsidP="0046755A">
      <w:pPr>
        <w:spacing w:line="276" w:lineRule="auto"/>
        <w:jc w:val="center"/>
        <w:rPr>
          <w:rFonts w:ascii="Times New Roman" w:eastAsia="Calibri" w:hAnsi="Times New Roman" w:cs="Times New Roman"/>
          <w:b/>
          <w:kern w:val="0"/>
          <w:sz w:val="24"/>
          <w14:ligatures w14:val="none"/>
        </w:rPr>
      </w:pPr>
    </w:p>
    <w:p w14:paraId="137D0E3B" w14:textId="021D14F3" w:rsidR="0046755A" w:rsidRDefault="0046755A" w:rsidP="0046755A">
      <w:pPr>
        <w:spacing w:line="276" w:lineRule="auto"/>
        <w:jc w:val="center"/>
        <w:rPr>
          <w:rFonts w:ascii="Times New Roman" w:eastAsia="Calibri" w:hAnsi="Times New Roman" w:cs="Times New Roman"/>
          <w:b/>
          <w:kern w:val="0"/>
          <w:sz w:val="24"/>
          <w14:ligatures w14:val="none"/>
        </w:rPr>
      </w:pPr>
      <w:r>
        <w:rPr>
          <w:rFonts w:ascii="Times New Roman" w:eastAsia="Calibri" w:hAnsi="Times New Roman" w:cs="Times New Roman"/>
          <w:b/>
          <w:kern w:val="0"/>
          <w:sz w:val="24"/>
          <w14:ligatures w14:val="none"/>
        </w:rPr>
        <w:t xml:space="preserve">MODULE CODE: </w:t>
      </w:r>
      <w:r w:rsidRPr="0046755A">
        <w:rPr>
          <w:rFonts w:ascii="Times New Roman" w:eastAsia="Calibri" w:hAnsi="Times New Roman" w:cs="Times New Roman"/>
          <w:b/>
          <w:kern w:val="0"/>
          <w:sz w:val="24"/>
          <w14:ligatures w14:val="none"/>
        </w:rPr>
        <w:t xml:space="preserve"> BMHP</w:t>
      </w:r>
      <w:r>
        <w:rPr>
          <w:rFonts w:ascii="Times New Roman" w:eastAsia="Calibri" w:hAnsi="Times New Roman" w:cs="Times New Roman"/>
          <w:b/>
          <w:kern w:val="0"/>
          <w:sz w:val="24"/>
          <w14:ligatures w14:val="none"/>
        </w:rPr>
        <w:t xml:space="preserve"> </w:t>
      </w:r>
      <w:r w:rsidRPr="0046755A">
        <w:rPr>
          <w:rFonts w:ascii="Times New Roman" w:eastAsia="Calibri" w:hAnsi="Times New Roman" w:cs="Times New Roman"/>
          <w:b/>
          <w:kern w:val="0"/>
          <w:sz w:val="24"/>
          <w14:ligatures w14:val="none"/>
        </w:rPr>
        <w:t>6026</w:t>
      </w:r>
    </w:p>
    <w:p w14:paraId="6CED6DF0" w14:textId="77777777" w:rsidR="0046755A" w:rsidRPr="0046755A" w:rsidRDefault="0046755A" w:rsidP="0046755A">
      <w:pPr>
        <w:spacing w:line="276" w:lineRule="auto"/>
        <w:jc w:val="center"/>
        <w:rPr>
          <w:rFonts w:ascii="Times New Roman" w:eastAsia="Calibri" w:hAnsi="Times New Roman" w:cs="Times New Roman"/>
          <w:b/>
          <w:kern w:val="0"/>
          <w:sz w:val="24"/>
          <w14:ligatures w14:val="none"/>
        </w:rPr>
      </w:pPr>
    </w:p>
    <w:p w14:paraId="3F97B344" w14:textId="191C024A" w:rsidR="0046755A" w:rsidRDefault="0046755A" w:rsidP="0046755A">
      <w:pPr>
        <w:spacing w:line="276" w:lineRule="auto"/>
        <w:jc w:val="center"/>
        <w:rPr>
          <w:rFonts w:ascii="Times New Roman" w:eastAsia="Calibri" w:hAnsi="Times New Roman" w:cs="Times New Roman"/>
          <w:b/>
          <w:kern w:val="0"/>
          <w:sz w:val="24"/>
          <w14:ligatures w14:val="none"/>
        </w:rPr>
      </w:pPr>
      <w:r>
        <w:rPr>
          <w:rFonts w:ascii="Times New Roman" w:eastAsia="Calibri" w:hAnsi="Times New Roman" w:cs="Times New Roman"/>
          <w:b/>
          <w:kern w:val="0"/>
          <w:sz w:val="24"/>
          <w14:ligatures w14:val="none"/>
        </w:rPr>
        <w:t>MODULE:</w:t>
      </w:r>
      <w:r w:rsidRPr="0046755A">
        <w:rPr>
          <w:rFonts w:ascii="Times New Roman" w:eastAsia="Calibri" w:hAnsi="Times New Roman" w:cs="Times New Roman"/>
          <w:b/>
          <w:kern w:val="0"/>
          <w:sz w:val="24"/>
          <w14:ligatures w14:val="none"/>
        </w:rPr>
        <w:t xml:space="preserve"> </w:t>
      </w:r>
      <w:r>
        <w:rPr>
          <w:rFonts w:ascii="Times New Roman" w:eastAsia="Calibri" w:hAnsi="Times New Roman" w:cs="Times New Roman"/>
          <w:b/>
          <w:kern w:val="0"/>
          <w:sz w:val="24"/>
          <w14:ligatures w14:val="none"/>
        </w:rPr>
        <w:t>DIGITAL TRANSFORMATION IN THE HEALTH &amp; CARE PROFESSIONS</w:t>
      </w:r>
    </w:p>
    <w:p w14:paraId="5C8EB677" w14:textId="77777777" w:rsidR="0046755A" w:rsidRPr="0046755A" w:rsidRDefault="0046755A" w:rsidP="0046755A">
      <w:pPr>
        <w:spacing w:line="276" w:lineRule="auto"/>
        <w:jc w:val="center"/>
        <w:rPr>
          <w:rFonts w:ascii="Times New Roman" w:eastAsia="Calibri" w:hAnsi="Times New Roman" w:cs="Times New Roman"/>
          <w:b/>
          <w:kern w:val="0"/>
          <w:sz w:val="24"/>
          <w14:ligatures w14:val="none"/>
        </w:rPr>
      </w:pPr>
    </w:p>
    <w:p w14:paraId="39C51CA2" w14:textId="30B96B92" w:rsidR="0046755A" w:rsidRDefault="0046755A" w:rsidP="0046755A">
      <w:pPr>
        <w:spacing w:line="276" w:lineRule="auto"/>
        <w:jc w:val="center"/>
        <w:rPr>
          <w:rFonts w:ascii="Times New Roman" w:eastAsia="Calibri" w:hAnsi="Times New Roman" w:cs="Times New Roman"/>
          <w:b/>
          <w:kern w:val="0"/>
          <w:sz w:val="24"/>
          <w14:ligatures w14:val="none"/>
        </w:rPr>
      </w:pPr>
      <w:r>
        <w:rPr>
          <w:rFonts w:ascii="Times New Roman" w:eastAsia="Calibri" w:hAnsi="Times New Roman" w:cs="Times New Roman"/>
          <w:b/>
          <w:kern w:val="0"/>
          <w:sz w:val="24"/>
          <w14:ligatures w14:val="none"/>
        </w:rPr>
        <w:t>ASSIGNMENT: COMPONENT 1: WRITTEN REPORT</w:t>
      </w:r>
    </w:p>
    <w:p w14:paraId="563DD5D7" w14:textId="77777777" w:rsidR="0046755A" w:rsidRDefault="0046755A" w:rsidP="0046755A">
      <w:pPr>
        <w:spacing w:line="276" w:lineRule="auto"/>
        <w:jc w:val="center"/>
        <w:rPr>
          <w:rFonts w:ascii="Times New Roman" w:eastAsia="Calibri" w:hAnsi="Times New Roman" w:cs="Times New Roman"/>
          <w:b/>
          <w:kern w:val="0"/>
          <w:sz w:val="24"/>
          <w14:ligatures w14:val="none"/>
        </w:rPr>
      </w:pPr>
    </w:p>
    <w:p w14:paraId="5093FCE3" w14:textId="509BBFE2" w:rsidR="0046755A" w:rsidRPr="0046755A" w:rsidRDefault="0046755A" w:rsidP="0046755A">
      <w:pPr>
        <w:spacing w:line="276" w:lineRule="auto"/>
        <w:jc w:val="center"/>
        <w:rPr>
          <w:rFonts w:ascii="Times New Roman" w:eastAsia="Calibri" w:hAnsi="Times New Roman" w:cs="Times New Roman"/>
          <w:b/>
          <w:kern w:val="0"/>
          <w:sz w:val="24"/>
          <w14:ligatures w14:val="none"/>
        </w:rPr>
      </w:pPr>
      <w:r>
        <w:rPr>
          <w:rFonts w:ascii="Times New Roman" w:eastAsia="Calibri" w:hAnsi="Times New Roman" w:cs="Times New Roman"/>
          <w:b/>
          <w:kern w:val="0"/>
          <w:sz w:val="24"/>
          <w14:ligatures w14:val="none"/>
        </w:rPr>
        <w:t>LECTURER: JOANNE DAVIES</w:t>
      </w:r>
    </w:p>
    <w:p w14:paraId="59E84007"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3DED29D4" w14:textId="77777777" w:rsidR="0046755A" w:rsidRPr="0046755A" w:rsidRDefault="0046755A" w:rsidP="0046755A">
      <w:pPr>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br w:type="page"/>
      </w:r>
    </w:p>
    <w:sdt>
      <w:sdtPr>
        <w:rPr>
          <w:rFonts w:ascii="Times New Roman" w:eastAsia="Calibri" w:hAnsi="Times New Roman" w:cs="Times New Roman"/>
          <w:kern w:val="0"/>
          <w:sz w:val="24"/>
          <w14:ligatures w14:val="none"/>
        </w:rPr>
        <w:id w:val="783997612"/>
        <w:docPartObj>
          <w:docPartGallery w:val="Table of Contents"/>
          <w:docPartUnique/>
        </w:docPartObj>
      </w:sdtPr>
      <w:sdtEndPr>
        <w:rPr>
          <w:b/>
          <w:bCs/>
          <w:noProof/>
        </w:rPr>
      </w:sdtEndPr>
      <w:sdtContent>
        <w:p w14:paraId="4E6A8953" w14:textId="77777777" w:rsidR="0046755A" w:rsidRPr="0046755A" w:rsidRDefault="0046755A" w:rsidP="0046755A">
          <w:pPr>
            <w:keepNext/>
            <w:keepLines/>
            <w:spacing w:before="240" w:after="0"/>
            <w:rPr>
              <w:rFonts w:ascii="Times New Roman" w:eastAsia="Times New Roman" w:hAnsi="Times New Roman" w:cs="Times New Roman"/>
              <w:kern w:val="0"/>
              <w:sz w:val="24"/>
              <w:szCs w:val="24"/>
              <w:lang w:val="en-US"/>
              <w14:ligatures w14:val="none"/>
            </w:rPr>
          </w:pPr>
          <w:r w:rsidRPr="0046755A">
            <w:rPr>
              <w:rFonts w:ascii="Times New Roman" w:eastAsia="Times New Roman" w:hAnsi="Times New Roman" w:cs="Times New Roman"/>
              <w:kern w:val="0"/>
              <w:sz w:val="24"/>
              <w:szCs w:val="24"/>
              <w:lang w:val="en-US"/>
              <w14:ligatures w14:val="none"/>
            </w:rPr>
            <w:t>Table of Contents</w:t>
          </w:r>
        </w:p>
        <w:p w14:paraId="682310CA" w14:textId="77777777" w:rsidR="0046755A" w:rsidRPr="0046755A" w:rsidRDefault="0046755A" w:rsidP="0046755A">
          <w:pPr>
            <w:tabs>
              <w:tab w:val="right" w:leader="dot" w:pos="9350"/>
            </w:tabs>
            <w:spacing w:after="100" w:line="276" w:lineRule="auto"/>
            <w:rPr>
              <w:rFonts w:ascii="Calibri" w:eastAsia="Times New Roman" w:hAnsi="Calibri" w:cs="Times New Roman"/>
              <w:noProof/>
              <w:kern w:val="0"/>
              <w:lang w:val="en-US"/>
              <w14:ligatures w14:val="none"/>
            </w:rPr>
          </w:pPr>
          <w:r w:rsidRPr="0046755A">
            <w:rPr>
              <w:rFonts w:ascii="Times New Roman" w:eastAsia="Calibri" w:hAnsi="Times New Roman" w:cs="Times New Roman"/>
              <w:kern w:val="0"/>
              <w:sz w:val="24"/>
              <w:szCs w:val="24"/>
              <w14:ligatures w14:val="none"/>
            </w:rPr>
            <w:fldChar w:fldCharType="begin"/>
          </w:r>
          <w:r w:rsidRPr="0046755A">
            <w:rPr>
              <w:rFonts w:ascii="Times New Roman" w:eastAsia="Calibri" w:hAnsi="Times New Roman" w:cs="Times New Roman"/>
              <w:kern w:val="0"/>
              <w:sz w:val="24"/>
              <w:szCs w:val="24"/>
              <w14:ligatures w14:val="none"/>
            </w:rPr>
            <w:instrText xml:space="preserve"> TOC \o "1-3" \h \z \u </w:instrText>
          </w:r>
          <w:r w:rsidRPr="0046755A">
            <w:rPr>
              <w:rFonts w:ascii="Times New Roman" w:eastAsia="Calibri" w:hAnsi="Times New Roman" w:cs="Times New Roman"/>
              <w:kern w:val="0"/>
              <w:sz w:val="24"/>
              <w:szCs w:val="24"/>
              <w14:ligatures w14:val="none"/>
            </w:rPr>
            <w:fldChar w:fldCharType="separate"/>
          </w:r>
          <w:hyperlink w:anchor="_Toc211483515" w:history="1">
            <w:r w:rsidRPr="0046755A">
              <w:rPr>
                <w:rFonts w:ascii="Times New Roman" w:eastAsia="Calibri" w:hAnsi="Times New Roman" w:cs="Times New Roman"/>
                <w:noProof/>
                <w:color w:val="0563C1"/>
                <w:kern w:val="0"/>
                <w:sz w:val="24"/>
                <w:u w:val="single"/>
                <w:lang w:val="en-US"/>
                <w14:ligatures w14:val="none"/>
              </w:rPr>
              <w:t>Introduction</w:t>
            </w:r>
            <w:r w:rsidRPr="0046755A">
              <w:rPr>
                <w:rFonts w:ascii="Times New Roman" w:eastAsia="Calibri" w:hAnsi="Times New Roman" w:cs="Times New Roman"/>
                <w:noProof/>
                <w:webHidden/>
                <w:kern w:val="0"/>
                <w:sz w:val="24"/>
                <w14:ligatures w14:val="none"/>
              </w:rPr>
              <w:tab/>
            </w:r>
            <w:r w:rsidRPr="0046755A">
              <w:rPr>
                <w:rFonts w:ascii="Times New Roman" w:eastAsia="Calibri" w:hAnsi="Times New Roman" w:cs="Times New Roman"/>
                <w:noProof/>
                <w:webHidden/>
                <w:kern w:val="0"/>
                <w:sz w:val="24"/>
                <w14:ligatures w14:val="none"/>
              </w:rPr>
              <w:fldChar w:fldCharType="begin"/>
            </w:r>
            <w:r w:rsidRPr="0046755A">
              <w:rPr>
                <w:rFonts w:ascii="Times New Roman" w:eastAsia="Calibri" w:hAnsi="Times New Roman" w:cs="Times New Roman"/>
                <w:noProof/>
                <w:webHidden/>
                <w:kern w:val="0"/>
                <w:sz w:val="24"/>
                <w14:ligatures w14:val="none"/>
              </w:rPr>
              <w:instrText xml:space="preserve"> PAGEREF _Toc211483515 \h </w:instrText>
            </w:r>
            <w:r w:rsidRPr="0046755A">
              <w:rPr>
                <w:rFonts w:ascii="Times New Roman" w:eastAsia="Calibri" w:hAnsi="Times New Roman" w:cs="Times New Roman"/>
                <w:noProof/>
                <w:webHidden/>
                <w:kern w:val="0"/>
                <w:sz w:val="24"/>
                <w14:ligatures w14:val="none"/>
              </w:rPr>
            </w:r>
            <w:r w:rsidRPr="0046755A">
              <w:rPr>
                <w:rFonts w:ascii="Times New Roman" w:eastAsia="Calibri" w:hAnsi="Times New Roman" w:cs="Times New Roman"/>
                <w:noProof/>
                <w:webHidden/>
                <w:kern w:val="0"/>
                <w:sz w:val="24"/>
                <w14:ligatures w14:val="none"/>
              </w:rPr>
              <w:fldChar w:fldCharType="separate"/>
            </w:r>
            <w:r w:rsidRPr="0046755A">
              <w:rPr>
                <w:rFonts w:ascii="Times New Roman" w:eastAsia="Calibri" w:hAnsi="Times New Roman" w:cs="Times New Roman"/>
                <w:noProof/>
                <w:webHidden/>
                <w:kern w:val="0"/>
                <w:sz w:val="24"/>
                <w14:ligatures w14:val="none"/>
              </w:rPr>
              <w:t>3</w:t>
            </w:r>
            <w:r w:rsidRPr="0046755A">
              <w:rPr>
                <w:rFonts w:ascii="Times New Roman" w:eastAsia="Calibri" w:hAnsi="Times New Roman" w:cs="Times New Roman"/>
                <w:noProof/>
                <w:webHidden/>
                <w:kern w:val="0"/>
                <w:sz w:val="24"/>
                <w14:ligatures w14:val="none"/>
              </w:rPr>
              <w:fldChar w:fldCharType="end"/>
            </w:r>
          </w:hyperlink>
        </w:p>
        <w:p w14:paraId="2447F4D8" w14:textId="77777777" w:rsidR="0046755A" w:rsidRPr="0046755A" w:rsidRDefault="0046755A" w:rsidP="0046755A">
          <w:pPr>
            <w:tabs>
              <w:tab w:val="right" w:leader="dot" w:pos="9350"/>
            </w:tabs>
            <w:spacing w:after="100" w:line="276" w:lineRule="auto"/>
            <w:rPr>
              <w:rFonts w:ascii="Calibri" w:eastAsia="Times New Roman" w:hAnsi="Calibri" w:cs="Times New Roman"/>
              <w:noProof/>
              <w:kern w:val="0"/>
              <w:lang w:val="en-US"/>
              <w14:ligatures w14:val="none"/>
            </w:rPr>
          </w:pPr>
          <w:hyperlink w:anchor="_Toc211483516" w:history="1">
            <w:r w:rsidRPr="0046755A">
              <w:rPr>
                <w:rFonts w:ascii="Times New Roman" w:eastAsia="Calibri" w:hAnsi="Times New Roman" w:cs="Times New Roman"/>
                <w:noProof/>
                <w:color w:val="0563C1"/>
                <w:kern w:val="0"/>
                <w:sz w:val="24"/>
                <w:u w:val="single"/>
                <w:lang w:val="en-US"/>
                <w14:ligatures w14:val="none"/>
              </w:rPr>
              <w:t>Areas Of Impact</w:t>
            </w:r>
            <w:r w:rsidRPr="0046755A">
              <w:rPr>
                <w:rFonts w:ascii="Times New Roman" w:eastAsia="Calibri" w:hAnsi="Times New Roman" w:cs="Times New Roman"/>
                <w:noProof/>
                <w:webHidden/>
                <w:kern w:val="0"/>
                <w:sz w:val="24"/>
                <w14:ligatures w14:val="none"/>
              </w:rPr>
              <w:tab/>
            </w:r>
            <w:r w:rsidRPr="0046755A">
              <w:rPr>
                <w:rFonts w:ascii="Times New Roman" w:eastAsia="Calibri" w:hAnsi="Times New Roman" w:cs="Times New Roman"/>
                <w:noProof/>
                <w:webHidden/>
                <w:kern w:val="0"/>
                <w:sz w:val="24"/>
                <w14:ligatures w14:val="none"/>
              </w:rPr>
              <w:fldChar w:fldCharType="begin"/>
            </w:r>
            <w:r w:rsidRPr="0046755A">
              <w:rPr>
                <w:rFonts w:ascii="Times New Roman" w:eastAsia="Calibri" w:hAnsi="Times New Roman" w:cs="Times New Roman"/>
                <w:noProof/>
                <w:webHidden/>
                <w:kern w:val="0"/>
                <w:sz w:val="24"/>
                <w14:ligatures w14:val="none"/>
              </w:rPr>
              <w:instrText xml:space="preserve"> PAGEREF _Toc211483516 \h </w:instrText>
            </w:r>
            <w:r w:rsidRPr="0046755A">
              <w:rPr>
                <w:rFonts w:ascii="Times New Roman" w:eastAsia="Calibri" w:hAnsi="Times New Roman" w:cs="Times New Roman"/>
                <w:noProof/>
                <w:webHidden/>
                <w:kern w:val="0"/>
                <w:sz w:val="24"/>
                <w14:ligatures w14:val="none"/>
              </w:rPr>
            </w:r>
            <w:r w:rsidRPr="0046755A">
              <w:rPr>
                <w:rFonts w:ascii="Times New Roman" w:eastAsia="Calibri" w:hAnsi="Times New Roman" w:cs="Times New Roman"/>
                <w:noProof/>
                <w:webHidden/>
                <w:kern w:val="0"/>
                <w:sz w:val="24"/>
                <w14:ligatures w14:val="none"/>
              </w:rPr>
              <w:fldChar w:fldCharType="separate"/>
            </w:r>
            <w:r w:rsidRPr="0046755A">
              <w:rPr>
                <w:rFonts w:ascii="Times New Roman" w:eastAsia="Calibri" w:hAnsi="Times New Roman" w:cs="Times New Roman"/>
                <w:noProof/>
                <w:webHidden/>
                <w:kern w:val="0"/>
                <w:sz w:val="24"/>
                <w14:ligatures w14:val="none"/>
              </w:rPr>
              <w:t>3</w:t>
            </w:r>
            <w:r w:rsidRPr="0046755A">
              <w:rPr>
                <w:rFonts w:ascii="Times New Roman" w:eastAsia="Calibri" w:hAnsi="Times New Roman" w:cs="Times New Roman"/>
                <w:noProof/>
                <w:webHidden/>
                <w:kern w:val="0"/>
                <w:sz w:val="24"/>
                <w14:ligatures w14:val="none"/>
              </w:rPr>
              <w:fldChar w:fldCharType="end"/>
            </w:r>
          </w:hyperlink>
        </w:p>
        <w:p w14:paraId="7788C5AD" w14:textId="77777777" w:rsidR="0046755A" w:rsidRPr="0046755A" w:rsidRDefault="0046755A" w:rsidP="0046755A">
          <w:pPr>
            <w:tabs>
              <w:tab w:val="right" w:leader="dot" w:pos="9350"/>
            </w:tabs>
            <w:spacing w:after="100" w:line="276" w:lineRule="auto"/>
            <w:ind w:left="240"/>
            <w:rPr>
              <w:rFonts w:ascii="Calibri" w:eastAsia="Times New Roman" w:hAnsi="Calibri" w:cs="Times New Roman"/>
              <w:noProof/>
              <w:kern w:val="0"/>
              <w:lang w:val="en-US"/>
              <w14:ligatures w14:val="none"/>
            </w:rPr>
          </w:pPr>
          <w:hyperlink w:anchor="_Toc211483517" w:history="1">
            <w:r w:rsidRPr="0046755A">
              <w:rPr>
                <w:rFonts w:ascii="Times New Roman" w:eastAsia="Calibri" w:hAnsi="Times New Roman" w:cs="Times New Roman"/>
                <w:noProof/>
                <w:color w:val="0563C1"/>
                <w:kern w:val="0"/>
                <w:sz w:val="24"/>
                <w:u w:val="single"/>
                <w:lang w:val="en-US"/>
                <w14:ligatures w14:val="none"/>
              </w:rPr>
              <w:t>Service Delivery</w:t>
            </w:r>
            <w:r w:rsidRPr="0046755A">
              <w:rPr>
                <w:rFonts w:ascii="Times New Roman" w:eastAsia="Calibri" w:hAnsi="Times New Roman" w:cs="Times New Roman"/>
                <w:noProof/>
                <w:webHidden/>
                <w:kern w:val="0"/>
                <w:sz w:val="24"/>
                <w14:ligatures w14:val="none"/>
              </w:rPr>
              <w:tab/>
            </w:r>
            <w:r w:rsidRPr="0046755A">
              <w:rPr>
                <w:rFonts w:ascii="Times New Roman" w:eastAsia="Calibri" w:hAnsi="Times New Roman" w:cs="Times New Roman"/>
                <w:noProof/>
                <w:webHidden/>
                <w:kern w:val="0"/>
                <w:sz w:val="24"/>
                <w14:ligatures w14:val="none"/>
              </w:rPr>
              <w:fldChar w:fldCharType="begin"/>
            </w:r>
            <w:r w:rsidRPr="0046755A">
              <w:rPr>
                <w:rFonts w:ascii="Times New Roman" w:eastAsia="Calibri" w:hAnsi="Times New Roman" w:cs="Times New Roman"/>
                <w:noProof/>
                <w:webHidden/>
                <w:kern w:val="0"/>
                <w:sz w:val="24"/>
                <w14:ligatures w14:val="none"/>
              </w:rPr>
              <w:instrText xml:space="preserve"> PAGEREF _Toc211483517 \h </w:instrText>
            </w:r>
            <w:r w:rsidRPr="0046755A">
              <w:rPr>
                <w:rFonts w:ascii="Times New Roman" w:eastAsia="Calibri" w:hAnsi="Times New Roman" w:cs="Times New Roman"/>
                <w:noProof/>
                <w:webHidden/>
                <w:kern w:val="0"/>
                <w:sz w:val="24"/>
                <w14:ligatures w14:val="none"/>
              </w:rPr>
            </w:r>
            <w:r w:rsidRPr="0046755A">
              <w:rPr>
                <w:rFonts w:ascii="Times New Roman" w:eastAsia="Calibri" w:hAnsi="Times New Roman" w:cs="Times New Roman"/>
                <w:noProof/>
                <w:webHidden/>
                <w:kern w:val="0"/>
                <w:sz w:val="24"/>
                <w14:ligatures w14:val="none"/>
              </w:rPr>
              <w:fldChar w:fldCharType="separate"/>
            </w:r>
            <w:r w:rsidRPr="0046755A">
              <w:rPr>
                <w:rFonts w:ascii="Times New Roman" w:eastAsia="Calibri" w:hAnsi="Times New Roman" w:cs="Times New Roman"/>
                <w:noProof/>
                <w:webHidden/>
                <w:kern w:val="0"/>
                <w:sz w:val="24"/>
                <w14:ligatures w14:val="none"/>
              </w:rPr>
              <w:t>3</w:t>
            </w:r>
            <w:r w:rsidRPr="0046755A">
              <w:rPr>
                <w:rFonts w:ascii="Times New Roman" w:eastAsia="Calibri" w:hAnsi="Times New Roman" w:cs="Times New Roman"/>
                <w:noProof/>
                <w:webHidden/>
                <w:kern w:val="0"/>
                <w:sz w:val="24"/>
                <w14:ligatures w14:val="none"/>
              </w:rPr>
              <w:fldChar w:fldCharType="end"/>
            </w:r>
          </w:hyperlink>
        </w:p>
        <w:p w14:paraId="55147B6D" w14:textId="77777777" w:rsidR="0046755A" w:rsidRPr="0046755A" w:rsidRDefault="0046755A" w:rsidP="0046755A">
          <w:pPr>
            <w:tabs>
              <w:tab w:val="right" w:leader="dot" w:pos="9350"/>
            </w:tabs>
            <w:spacing w:after="100" w:line="276" w:lineRule="auto"/>
            <w:ind w:left="240"/>
            <w:rPr>
              <w:rFonts w:ascii="Calibri" w:eastAsia="Times New Roman" w:hAnsi="Calibri" w:cs="Times New Roman"/>
              <w:noProof/>
              <w:kern w:val="0"/>
              <w:lang w:val="en-US"/>
              <w14:ligatures w14:val="none"/>
            </w:rPr>
          </w:pPr>
          <w:hyperlink w:anchor="_Toc211483518" w:history="1">
            <w:r w:rsidRPr="0046755A">
              <w:rPr>
                <w:rFonts w:ascii="Times New Roman" w:eastAsia="Calibri" w:hAnsi="Times New Roman" w:cs="Times New Roman"/>
                <w:noProof/>
                <w:color w:val="0563C1"/>
                <w:kern w:val="0"/>
                <w:sz w:val="24"/>
                <w:u w:val="single"/>
                <w:lang w:val="en-US"/>
                <w14:ligatures w14:val="none"/>
              </w:rPr>
              <w:t>Patient / Service User</w:t>
            </w:r>
            <w:r w:rsidRPr="0046755A">
              <w:rPr>
                <w:rFonts w:ascii="Times New Roman" w:eastAsia="Calibri" w:hAnsi="Times New Roman" w:cs="Times New Roman"/>
                <w:noProof/>
                <w:webHidden/>
                <w:kern w:val="0"/>
                <w:sz w:val="24"/>
                <w14:ligatures w14:val="none"/>
              </w:rPr>
              <w:tab/>
            </w:r>
            <w:r w:rsidRPr="0046755A">
              <w:rPr>
                <w:rFonts w:ascii="Times New Roman" w:eastAsia="Calibri" w:hAnsi="Times New Roman" w:cs="Times New Roman"/>
                <w:noProof/>
                <w:webHidden/>
                <w:kern w:val="0"/>
                <w:sz w:val="24"/>
                <w14:ligatures w14:val="none"/>
              </w:rPr>
              <w:fldChar w:fldCharType="begin"/>
            </w:r>
            <w:r w:rsidRPr="0046755A">
              <w:rPr>
                <w:rFonts w:ascii="Times New Roman" w:eastAsia="Calibri" w:hAnsi="Times New Roman" w:cs="Times New Roman"/>
                <w:noProof/>
                <w:webHidden/>
                <w:kern w:val="0"/>
                <w:sz w:val="24"/>
                <w14:ligatures w14:val="none"/>
              </w:rPr>
              <w:instrText xml:space="preserve"> PAGEREF _Toc211483518 \h </w:instrText>
            </w:r>
            <w:r w:rsidRPr="0046755A">
              <w:rPr>
                <w:rFonts w:ascii="Times New Roman" w:eastAsia="Calibri" w:hAnsi="Times New Roman" w:cs="Times New Roman"/>
                <w:noProof/>
                <w:webHidden/>
                <w:kern w:val="0"/>
                <w:sz w:val="24"/>
                <w14:ligatures w14:val="none"/>
              </w:rPr>
            </w:r>
            <w:r w:rsidRPr="0046755A">
              <w:rPr>
                <w:rFonts w:ascii="Times New Roman" w:eastAsia="Calibri" w:hAnsi="Times New Roman" w:cs="Times New Roman"/>
                <w:noProof/>
                <w:webHidden/>
                <w:kern w:val="0"/>
                <w:sz w:val="24"/>
                <w14:ligatures w14:val="none"/>
              </w:rPr>
              <w:fldChar w:fldCharType="separate"/>
            </w:r>
            <w:r w:rsidRPr="0046755A">
              <w:rPr>
                <w:rFonts w:ascii="Times New Roman" w:eastAsia="Calibri" w:hAnsi="Times New Roman" w:cs="Times New Roman"/>
                <w:noProof/>
                <w:webHidden/>
                <w:kern w:val="0"/>
                <w:sz w:val="24"/>
                <w14:ligatures w14:val="none"/>
              </w:rPr>
              <w:t>5</w:t>
            </w:r>
            <w:r w:rsidRPr="0046755A">
              <w:rPr>
                <w:rFonts w:ascii="Times New Roman" w:eastAsia="Calibri" w:hAnsi="Times New Roman" w:cs="Times New Roman"/>
                <w:noProof/>
                <w:webHidden/>
                <w:kern w:val="0"/>
                <w:sz w:val="24"/>
                <w14:ligatures w14:val="none"/>
              </w:rPr>
              <w:fldChar w:fldCharType="end"/>
            </w:r>
          </w:hyperlink>
        </w:p>
        <w:p w14:paraId="0DCFEEED" w14:textId="77777777" w:rsidR="0046755A" w:rsidRPr="0046755A" w:rsidRDefault="0046755A" w:rsidP="0046755A">
          <w:pPr>
            <w:tabs>
              <w:tab w:val="right" w:leader="dot" w:pos="9350"/>
            </w:tabs>
            <w:spacing w:after="100" w:line="276" w:lineRule="auto"/>
            <w:rPr>
              <w:rFonts w:ascii="Calibri" w:eastAsia="Times New Roman" w:hAnsi="Calibri" w:cs="Times New Roman"/>
              <w:noProof/>
              <w:kern w:val="0"/>
              <w:lang w:val="en-US"/>
              <w14:ligatures w14:val="none"/>
            </w:rPr>
          </w:pPr>
          <w:hyperlink w:anchor="_Toc211483519" w:history="1">
            <w:r w:rsidRPr="0046755A">
              <w:rPr>
                <w:rFonts w:ascii="Times New Roman" w:eastAsia="Calibri" w:hAnsi="Times New Roman" w:cs="Times New Roman"/>
                <w:noProof/>
                <w:color w:val="0563C1"/>
                <w:kern w:val="0"/>
                <w:sz w:val="24"/>
                <w:u w:val="single"/>
                <w:lang w:val="en-US"/>
                <w14:ligatures w14:val="none"/>
              </w:rPr>
              <w:t>Conclusion and Recommendations</w:t>
            </w:r>
            <w:r w:rsidRPr="0046755A">
              <w:rPr>
                <w:rFonts w:ascii="Times New Roman" w:eastAsia="Calibri" w:hAnsi="Times New Roman" w:cs="Times New Roman"/>
                <w:noProof/>
                <w:webHidden/>
                <w:kern w:val="0"/>
                <w:sz w:val="24"/>
                <w14:ligatures w14:val="none"/>
              </w:rPr>
              <w:tab/>
            </w:r>
            <w:r w:rsidRPr="0046755A">
              <w:rPr>
                <w:rFonts w:ascii="Times New Roman" w:eastAsia="Calibri" w:hAnsi="Times New Roman" w:cs="Times New Roman"/>
                <w:noProof/>
                <w:webHidden/>
                <w:kern w:val="0"/>
                <w:sz w:val="24"/>
                <w14:ligatures w14:val="none"/>
              </w:rPr>
              <w:fldChar w:fldCharType="begin"/>
            </w:r>
            <w:r w:rsidRPr="0046755A">
              <w:rPr>
                <w:rFonts w:ascii="Times New Roman" w:eastAsia="Calibri" w:hAnsi="Times New Roman" w:cs="Times New Roman"/>
                <w:noProof/>
                <w:webHidden/>
                <w:kern w:val="0"/>
                <w:sz w:val="24"/>
                <w14:ligatures w14:val="none"/>
              </w:rPr>
              <w:instrText xml:space="preserve"> PAGEREF _Toc211483519 \h </w:instrText>
            </w:r>
            <w:r w:rsidRPr="0046755A">
              <w:rPr>
                <w:rFonts w:ascii="Times New Roman" w:eastAsia="Calibri" w:hAnsi="Times New Roman" w:cs="Times New Roman"/>
                <w:noProof/>
                <w:webHidden/>
                <w:kern w:val="0"/>
                <w:sz w:val="24"/>
                <w14:ligatures w14:val="none"/>
              </w:rPr>
            </w:r>
            <w:r w:rsidRPr="0046755A">
              <w:rPr>
                <w:rFonts w:ascii="Times New Roman" w:eastAsia="Calibri" w:hAnsi="Times New Roman" w:cs="Times New Roman"/>
                <w:noProof/>
                <w:webHidden/>
                <w:kern w:val="0"/>
                <w:sz w:val="24"/>
                <w14:ligatures w14:val="none"/>
              </w:rPr>
              <w:fldChar w:fldCharType="separate"/>
            </w:r>
            <w:r w:rsidRPr="0046755A">
              <w:rPr>
                <w:rFonts w:ascii="Times New Roman" w:eastAsia="Calibri" w:hAnsi="Times New Roman" w:cs="Times New Roman"/>
                <w:noProof/>
                <w:webHidden/>
                <w:kern w:val="0"/>
                <w:sz w:val="24"/>
                <w14:ligatures w14:val="none"/>
              </w:rPr>
              <w:t>6</w:t>
            </w:r>
            <w:r w:rsidRPr="0046755A">
              <w:rPr>
                <w:rFonts w:ascii="Times New Roman" w:eastAsia="Calibri" w:hAnsi="Times New Roman" w:cs="Times New Roman"/>
                <w:noProof/>
                <w:webHidden/>
                <w:kern w:val="0"/>
                <w:sz w:val="24"/>
                <w14:ligatures w14:val="none"/>
              </w:rPr>
              <w:fldChar w:fldCharType="end"/>
            </w:r>
          </w:hyperlink>
        </w:p>
        <w:p w14:paraId="7D0DA3E7" w14:textId="77777777" w:rsidR="0046755A" w:rsidRPr="0046755A" w:rsidRDefault="0046755A" w:rsidP="0046755A">
          <w:pPr>
            <w:tabs>
              <w:tab w:val="right" w:leader="dot" w:pos="9350"/>
            </w:tabs>
            <w:spacing w:after="100" w:line="276" w:lineRule="auto"/>
            <w:rPr>
              <w:rFonts w:ascii="Calibri" w:eastAsia="Times New Roman" w:hAnsi="Calibri" w:cs="Times New Roman"/>
              <w:noProof/>
              <w:kern w:val="0"/>
              <w:lang w:val="en-US"/>
              <w14:ligatures w14:val="none"/>
            </w:rPr>
          </w:pPr>
          <w:hyperlink w:anchor="_Toc211483520" w:history="1">
            <w:r w:rsidRPr="0046755A">
              <w:rPr>
                <w:rFonts w:ascii="Times New Roman" w:eastAsia="Calibri" w:hAnsi="Times New Roman" w:cs="Times New Roman"/>
                <w:noProof/>
                <w:color w:val="0563C1"/>
                <w:kern w:val="0"/>
                <w:sz w:val="24"/>
                <w:u w:val="single"/>
                <w:lang w:val="en-US"/>
                <w14:ligatures w14:val="none"/>
              </w:rPr>
              <w:t>References</w:t>
            </w:r>
            <w:r w:rsidRPr="0046755A">
              <w:rPr>
                <w:rFonts w:ascii="Times New Roman" w:eastAsia="Calibri" w:hAnsi="Times New Roman" w:cs="Times New Roman"/>
                <w:noProof/>
                <w:webHidden/>
                <w:kern w:val="0"/>
                <w:sz w:val="24"/>
                <w14:ligatures w14:val="none"/>
              </w:rPr>
              <w:tab/>
            </w:r>
            <w:r w:rsidRPr="0046755A">
              <w:rPr>
                <w:rFonts w:ascii="Times New Roman" w:eastAsia="Calibri" w:hAnsi="Times New Roman" w:cs="Times New Roman"/>
                <w:noProof/>
                <w:webHidden/>
                <w:kern w:val="0"/>
                <w:sz w:val="24"/>
                <w14:ligatures w14:val="none"/>
              </w:rPr>
              <w:fldChar w:fldCharType="begin"/>
            </w:r>
            <w:r w:rsidRPr="0046755A">
              <w:rPr>
                <w:rFonts w:ascii="Times New Roman" w:eastAsia="Calibri" w:hAnsi="Times New Roman" w:cs="Times New Roman"/>
                <w:noProof/>
                <w:webHidden/>
                <w:kern w:val="0"/>
                <w:sz w:val="24"/>
                <w14:ligatures w14:val="none"/>
              </w:rPr>
              <w:instrText xml:space="preserve"> PAGEREF _Toc211483520 \h </w:instrText>
            </w:r>
            <w:r w:rsidRPr="0046755A">
              <w:rPr>
                <w:rFonts w:ascii="Times New Roman" w:eastAsia="Calibri" w:hAnsi="Times New Roman" w:cs="Times New Roman"/>
                <w:noProof/>
                <w:webHidden/>
                <w:kern w:val="0"/>
                <w:sz w:val="24"/>
                <w14:ligatures w14:val="none"/>
              </w:rPr>
            </w:r>
            <w:r w:rsidRPr="0046755A">
              <w:rPr>
                <w:rFonts w:ascii="Times New Roman" w:eastAsia="Calibri" w:hAnsi="Times New Roman" w:cs="Times New Roman"/>
                <w:noProof/>
                <w:webHidden/>
                <w:kern w:val="0"/>
                <w:sz w:val="24"/>
                <w14:ligatures w14:val="none"/>
              </w:rPr>
              <w:fldChar w:fldCharType="separate"/>
            </w:r>
            <w:r w:rsidRPr="0046755A">
              <w:rPr>
                <w:rFonts w:ascii="Times New Roman" w:eastAsia="Calibri" w:hAnsi="Times New Roman" w:cs="Times New Roman"/>
                <w:noProof/>
                <w:webHidden/>
                <w:kern w:val="0"/>
                <w:sz w:val="24"/>
                <w14:ligatures w14:val="none"/>
              </w:rPr>
              <w:t>8</w:t>
            </w:r>
            <w:r w:rsidRPr="0046755A">
              <w:rPr>
                <w:rFonts w:ascii="Times New Roman" w:eastAsia="Calibri" w:hAnsi="Times New Roman" w:cs="Times New Roman"/>
                <w:noProof/>
                <w:webHidden/>
                <w:kern w:val="0"/>
                <w:sz w:val="24"/>
                <w14:ligatures w14:val="none"/>
              </w:rPr>
              <w:fldChar w:fldCharType="end"/>
            </w:r>
          </w:hyperlink>
        </w:p>
        <w:p w14:paraId="0F55E2C3" w14:textId="77777777" w:rsidR="0046755A" w:rsidRPr="0046755A" w:rsidRDefault="0046755A" w:rsidP="0046755A">
          <w:pPr>
            <w:spacing w:line="276" w:lineRule="auto"/>
            <w:rPr>
              <w:rFonts w:ascii="Times New Roman" w:eastAsia="Calibri" w:hAnsi="Times New Roman" w:cs="Times New Roman"/>
              <w:kern w:val="0"/>
              <w:sz w:val="24"/>
              <w14:ligatures w14:val="none"/>
            </w:rPr>
          </w:pPr>
          <w:r w:rsidRPr="0046755A">
            <w:rPr>
              <w:rFonts w:ascii="Times New Roman" w:eastAsia="Calibri" w:hAnsi="Times New Roman" w:cs="Times New Roman"/>
              <w:b/>
              <w:bCs/>
              <w:noProof/>
              <w:kern w:val="0"/>
              <w:sz w:val="24"/>
              <w:szCs w:val="24"/>
              <w14:ligatures w14:val="none"/>
            </w:rPr>
            <w:fldChar w:fldCharType="end"/>
          </w:r>
        </w:p>
      </w:sdtContent>
    </w:sdt>
    <w:p w14:paraId="6CE90078"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41C3ED2F" w14:textId="77777777" w:rsidR="0046755A" w:rsidRPr="0046755A" w:rsidRDefault="0046755A" w:rsidP="0046755A">
      <w:pPr>
        <w:spacing w:line="276" w:lineRule="auto"/>
        <w:rPr>
          <w:rFonts w:ascii="Times New Roman" w:eastAsia="Calibri" w:hAnsi="Times New Roman" w:cs="Times New Roman"/>
          <w:kern w:val="0"/>
          <w:sz w:val="24"/>
          <w14:ligatures w14:val="none"/>
        </w:rPr>
      </w:pPr>
    </w:p>
    <w:p w14:paraId="146F0C01" w14:textId="77777777" w:rsidR="0046755A" w:rsidRPr="0046755A" w:rsidRDefault="0046755A" w:rsidP="0046755A">
      <w:pPr>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br w:type="page"/>
      </w:r>
    </w:p>
    <w:p w14:paraId="032C335F" w14:textId="77777777" w:rsidR="0046755A" w:rsidRPr="0046755A" w:rsidRDefault="0046755A" w:rsidP="0046755A">
      <w:pPr>
        <w:keepNext/>
        <w:keepLines/>
        <w:spacing w:after="240" w:line="276" w:lineRule="auto"/>
        <w:outlineLvl w:val="0"/>
        <w:rPr>
          <w:rFonts w:ascii="Times New Roman" w:eastAsia="Times New Roman" w:hAnsi="Times New Roman" w:cs="Times New Roman"/>
          <w:b/>
          <w:i/>
          <w:kern w:val="0"/>
          <w:sz w:val="24"/>
          <w:szCs w:val="32"/>
          <w:lang w:val="en-US"/>
          <w14:ligatures w14:val="none"/>
        </w:rPr>
      </w:pPr>
      <w:bookmarkStart w:id="0" w:name="_Toc211483515"/>
      <w:r w:rsidRPr="0046755A">
        <w:rPr>
          <w:rFonts w:ascii="Times New Roman" w:eastAsia="Times New Roman" w:hAnsi="Times New Roman" w:cs="Times New Roman"/>
          <w:b/>
          <w:i/>
          <w:kern w:val="0"/>
          <w:sz w:val="24"/>
          <w:szCs w:val="32"/>
          <w:lang w:val="en-US"/>
          <w14:ligatures w14:val="none"/>
        </w:rPr>
        <w:lastRenderedPageBreak/>
        <w:t>Introduction</w:t>
      </w:r>
      <w:bookmarkEnd w:id="0"/>
    </w:p>
    <w:p w14:paraId="51BB6F0B"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The digital transformation is changing the way individuals in the United Kingdom obtain and receive medical care. The most significant is the GP at Hand, which is an online-only primary-care provider to be introduced to work with the NHS in 2017 (NHS, 2017). The GP at Hand app helps patients to make video or phone appointments with an NHS GP and has 24/7 AI-enabled digital triage and symptom screening. This innovation facilitates the objective of the NHS Long Term Plan on enhancing accessibility and efficiency using digital technology (England, 2023). By disrupting the conventional concept of general </w:t>
      </w:r>
      <w:proofErr w:type="spellStart"/>
      <w:r w:rsidRPr="00771A41">
        <w:rPr>
          <w:rFonts w:ascii="Arial" w:eastAsia="Calibri" w:hAnsi="Arial" w:cs="Arial"/>
          <w:kern w:val="0"/>
          <w:lang w:val="en-US"/>
          <w14:ligatures w14:val="none"/>
        </w:rPr>
        <w:t>practise</w:t>
      </w:r>
      <w:proofErr w:type="spellEnd"/>
      <w:r w:rsidRPr="00771A41">
        <w:rPr>
          <w:rFonts w:ascii="Arial" w:eastAsia="Calibri" w:hAnsi="Arial" w:cs="Arial"/>
          <w:kern w:val="0"/>
          <w:lang w:val="en-US"/>
          <w14:ligatures w14:val="none"/>
        </w:rPr>
        <w:t xml:space="preserve">, GP at Hand does allow digitally-savvy citizens to obtain care fast, but it also poses a question of equity, continuity and quality care (Mahase, 2023). This report critically discusses the uptake and effect of GP at Hand in the UK in terms of its value addition to service delivery and impact on patient experience. It will balance out the positive and negative </w:t>
      </w:r>
      <w:proofErr w:type="gramStart"/>
      <w:r w:rsidRPr="00771A41">
        <w:rPr>
          <w:rFonts w:ascii="Arial" w:eastAsia="Calibri" w:hAnsi="Arial" w:cs="Arial"/>
          <w:kern w:val="0"/>
          <w:lang w:val="en-US"/>
          <w14:ligatures w14:val="none"/>
        </w:rPr>
        <w:t>evidences</w:t>
      </w:r>
      <w:proofErr w:type="gramEnd"/>
      <w:r w:rsidRPr="00771A41">
        <w:rPr>
          <w:rFonts w:ascii="Arial" w:eastAsia="Calibri" w:hAnsi="Arial" w:cs="Arial"/>
          <w:kern w:val="0"/>
          <w:lang w:val="en-US"/>
          <w14:ligatures w14:val="none"/>
        </w:rPr>
        <w:t xml:space="preserve"> based on the empirical data and policy analysis whether the digital transformation offered is a sustainable change in the primary-care.</w:t>
      </w:r>
    </w:p>
    <w:p w14:paraId="1E9FE74C" w14:textId="77777777" w:rsidR="0046755A" w:rsidRPr="0046755A" w:rsidRDefault="0046755A" w:rsidP="0046755A">
      <w:pPr>
        <w:spacing w:line="276" w:lineRule="auto"/>
        <w:rPr>
          <w:rFonts w:ascii="Times New Roman" w:eastAsia="Calibri" w:hAnsi="Times New Roman" w:cs="Times New Roman"/>
          <w:kern w:val="0"/>
          <w:sz w:val="24"/>
          <w:lang w:val="en-US"/>
          <w14:ligatures w14:val="none"/>
        </w:rPr>
      </w:pPr>
    </w:p>
    <w:p w14:paraId="7779011C" w14:textId="77777777" w:rsidR="0046755A" w:rsidRPr="0046755A" w:rsidRDefault="0046755A" w:rsidP="0046755A">
      <w:pPr>
        <w:keepNext/>
        <w:keepLines/>
        <w:spacing w:after="240" w:line="276" w:lineRule="auto"/>
        <w:outlineLvl w:val="0"/>
        <w:rPr>
          <w:rFonts w:ascii="Times New Roman" w:eastAsia="Times New Roman" w:hAnsi="Times New Roman" w:cs="Times New Roman"/>
          <w:b/>
          <w:i/>
          <w:kern w:val="0"/>
          <w:sz w:val="24"/>
          <w:szCs w:val="32"/>
          <w:lang w:val="en-US"/>
          <w14:ligatures w14:val="none"/>
        </w:rPr>
      </w:pPr>
      <w:bookmarkStart w:id="1" w:name="_Toc211483516"/>
      <w:r w:rsidRPr="0046755A">
        <w:rPr>
          <w:rFonts w:ascii="Times New Roman" w:eastAsia="Times New Roman" w:hAnsi="Times New Roman" w:cs="Times New Roman"/>
          <w:b/>
          <w:i/>
          <w:kern w:val="0"/>
          <w:sz w:val="24"/>
          <w:szCs w:val="32"/>
          <w:lang w:val="en-US"/>
          <w14:ligatures w14:val="none"/>
        </w:rPr>
        <w:t>Areas Of Impact</w:t>
      </w:r>
      <w:bookmarkEnd w:id="1"/>
    </w:p>
    <w:p w14:paraId="782C7958" w14:textId="77777777" w:rsidR="0046755A" w:rsidRPr="0046755A" w:rsidRDefault="0046755A" w:rsidP="0046755A">
      <w:pPr>
        <w:keepNext/>
        <w:keepLines/>
        <w:spacing w:after="240" w:line="276" w:lineRule="auto"/>
        <w:outlineLvl w:val="1"/>
        <w:rPr>
          <w:rFonts w:ascii="Times New Roman" w:eastAsia="Times New Roman" w:hAnsi="Times New Roman" w:cs="Times New Roman"/>
          <w:i/>
          <w:kern w:val="0"/>
          <w:sz w:val="24"/>
          <w:szCs w:val="26"/>
          <w:lang w:val="en-US"/>
          <w14:ligatures w14:val="none"/>
        </w:rPr>
      </w:pPr>
      <w:bookmarkStart w:id="2" w:name="_Toc211483517"/>
      <w:r w:rsidRPr="0046755A">
        <w:rPr>
          <w:rFonts w:ascii="Times New Roman" w:eastAsia="Times New Roman" w:hAnsi="Times New Roman" w:cs="Times New Roman"/>
          <w:i/>
          <w:kern w:val="0"/>
          <w:sz w:val="24"/>
          <w:szCs w:val="26"/>
          <w:lang w:val="en-US"/>
          <w14:ligatures w14:val="none"/>
        </w:rPr>
        <w:t>Service Delivery</w:t>
      </w:r>
      <w:bookmarkEnd w:id="2"/>
    </w:p>
    <w:p w14:paraId="5D380DA4"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The GP at Hand has dramatically altered the face of primary-care provision in the UK and has changed the patient </w:t>
      </w:r>
      <w:proofErr w:type="spellStart"/>
      <w:r w:rsidRPr="00771A41">
        <w:rPr>
          <w:rFonts w:ascii="Arial" w:eastAsia="Calibri" w:hAnsi="Arial" w:cs="Arial"/>
          <w:kern w:val="0"/>
          <w:lang w:val="en-US"/>
          <w14:ligatures w14:val="none"/>
        </w:rPr>
        <w:t>behaviour</w:t>
      </w:r>
      <w:proofErr w:type="spellEnd"/>
      <w:r w:rsidRPr="00771A41">
        <w:rPr>
          <w:rFonts w:ascii="Arial" w:eastAsia="Calibri" w:hAnsi="Arial" w:cs="Arial"/>
          <w:kern w:val="0"/>
          <w:lang w:val="en-US"/>
          <w14:ligatures w14:val="none"/>
        </w:rPr>
        <w:t xml:space="preserve"> and clinician workflows. GP at Hand (launched in 2017 in collaboration with the NHS) provides 24/7 virtual consultations, symptom checking AI, and triage (Latif et al., 2021). Its effects on service delivery have been both transformative and controversial in the sense that it puts into the limelight the issue of tension between innovation, equity and sustainability in NHS models of care. Among the most mentioned advantages of GP at Hand, there is better accessibility and speed of service. It is common to experience over a week of wait time in traditional practices before a regular appointment, whereas GP at Hand boasts an average waiting time of less than two hours when consulting digitally (Winward et al., 2021). </w:t>
      </w:r>
    </w:p>
    <w:p w14:paraId="4A704357"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It is responsive to NHS policy targets in offering digital-first primary care by 202324 (NHS, 2019). Remote </w:t>
      </w:r>
      <w:proofErr w:type="spellStart"/>
      <w:r w:rsidRPr="00771A41">
        <w:rPr>
          <w:rFonts w:ascii="Arial" w:eastAsia="Calibri" w:hAnsi="Arial" w:cs="Arial"/>
          <w:kern w:val="0"/>
          <w:lang w:val="en-US"/>
          <w14:ligatures w14:val="none"/>
        </w:rPr>
        <w:t>consultability</w:t>
      </w:r>
      <w:proofErr w:type="spellEnd"/>
      <w:r w:rsidRPr="00771A41">
        <w:rPr>
          <w:rFonts w:ascii="Arial" w:eastAsia="Calibri" w:hAnsi="Arial" w:cs="Arial"/>
          <w:kern w:val="0"/>
          <w:lang w:val="en-US"/>
          <w14:ligatures w14:val="none"/>
        </w:rPr>
        <w:t xml:space="preserve"> has enhanced efficiency, as the percentage of non-attendance decreased, especially since missed appointments cost the NHS approximately 216 million each year (NHS England, 2019). Nonetheless, critics state that the platform is more beneficial to young, urban, and tech-literate demographics, which constantly disadvantage older or digitally illiterate patients (</w:t>
      </w:r>
      <w:proofErr w:type="spellStart"/>
      <w:r w:rsidRPr="00771A41">
        <w:rPr>
          <w:rFonts w:ascii="Arial" w:eastAsia="Calibri" w:hAnsi="Arial" w:cs="Arial"/>
          <w:kern w:val="0"/>
          <w:lang w:val="en-US"/>
          <w14:ligatures w14:val="none"/>
        </w:rPr>
        <w:t>Kunonga</w:t>
      </w:r>
      <w:proofErr w:type="spellEnd"/>
      <w:r w:rsidRPr="00771A41">
        <w:rPr>
          <w:rFonts w:ascii="Arial" w:eastAsia="Calibri" w:hAnsi="Arial" w:cs="Arial"/>
          <w:kern w:val="0"/>
          <w:lang w:val="en-US"/>
          <w14:ligatures w14:val="none"/>
        </w:rPr>
        <w:t xml:space="preserve"> et al., 2021). Therefore, though GP at Hand </w:t>
      </w:r>
      <w:proofErr w:type="spellStart"/>
      <w:r w:rsidRPr="00771A41">
        <w:rPr>
          <w:rFonts w:ascii="Arial" w:eastAsia="Calibri" w:hAnsi="Arial" w:cs="Arial"/>
          <w:kern w:val="0"/>
          <w:lang w:val="en-US"/>
          <w14:ligatures w14:val="none"/>
        </w:rPr>
        <w:t>prioritises</w:t>
      </w:r>
      <w:proofErr w:type="spellEnd"/>
      <w:r w:rsidRPr="00771A41">
        <w:rPr>
          <w:rFonts w:ascii="Arial" w:eastAsia="Calibri" w:hAnsi="Arial" w:cs="Arial"/>
          <w:kern w:val="0"/>
          <w:lang w:val="en-US"/>
          <w14:ligatures w14:val="none"/>
        </w:rPr>
        <w:t xml:space="preserve"> access to certain individuals, it threatens to increase the health disparities between socio-economic groups. Workflows and clinical practice have changed as well due to innovation. The remote consultations facilitate the administration process- appointment booking, prescription handling, and note-taking are </w:t>
      </w:r>
      <w:proofErr w:type="spellStart"/>
      <w:r w:rsidRPr="00771A41">
        <w:rPr>
          <w:rFonts w:ascii="Arial" w:eastAsia="Calibri" w:hAnsi="Arial" w:cs="Arial"/>
          <w:kern w:val="0"/>
          <w:lang w:val="en-US"/>
          <w14:ligatures w14:val="none"/>
        </w:rPr>
        <w:t>computerised</w:t>
      </w:r>
      <w:proofErr w:type="spellEnd"/>
      <w:r w:rsidRPr="00771A41">
        <w:rPr>
          <w:rFonts w:ascii="Arial" w:eastAsia="Calibri" w:hAnsi="Arial" w:cs="Arial"/>
          <w:kern w:val="0"/>
          <w:lang w:val="en-US"/>
          <w14:ligatures w14:val="none"/>
        </w:rPr>
        <w:t xml:space="preserve">. Theoretically, this enables GPs to allocate additional time to patient care. Nevertheless, researchers have found that digital triage tends to amplify workload; in particular, more complex cases will still demand a face-to-face visit (Sexton et al., 2022). </w:t>
      </w:r>
    </w:p>
    <w:p w14:paraId="4FD4369F"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Clinicians note that video consultations have been effective in minor cases only and are inadequate in those cases that may require physical examination or other complex communication, which raises questions of diagnostic quality. Such a transformation of </w:t>
      </w:r>
      <w:r w:rsidRPr="00771A41">
        <w:rPr>
          <w:rFonts w:ascii="Arial" w:eastAsia="Calibri" w:hAnsi="Arial" w:cs="Arial"/>
          <w:kern w:val="0"/>
          <w:lang w:val="en-US"/>
          <w14:ligatures w14:val="none"/>
        </w:rPr>
        <w:lastRenderedPageBreak/>
        <w:t xml:space="preserve">relational to transactional care is problematic to the continuity model of British general practice. According to one CQC analysis, patient satisfaction rates with the speed of GP at Hand were very high (over 90%), but scores on continuity were lower than the national average (CQC, 2025). This creates a paradox, that efficiency has increased, although at a possible cost to holistic, long-term care. In a systemic sense, GP at Hand reveals the vulnerabilities in the NHS </w:t>
      </w:r>
      <w:proofErr w:type="spellStart"/>
      <w:r w:rsidRPr="00771A41">
        <w:rPr>
          <w:rFonts w:ascii="Arial" w:eastAsia="Calibri" w:hAnsi="Arial" w:cs="Arial"/>
          <w:kern w:val="0"/>
          <w:lang w:val="en-US"/>
          <w14:ligatures w14:val="none"/>
        </w:rPr>
        <w:t>organisational</w:t>
      </w:r>
      <w:proofErr w:type="spellEnd"/>
      <w:r w:rsidRPr="00771A41">
        <w:rPr>
          <w:rFonts w:ascii="Arial" w:eastAsia="Calibri" w:hAnsi="Arial" w:cs="Arial"/>
          <w:kern w:val="0"/>
          <w:lang w:val="en-US"/>
          <w14:ligatures w14:val="none"/>
        </w:rPr>
        <w:t xml:space="preserve"> structures. Since NHS funding is determined by the number of patients registered at local practices, the immediate presence of over 100,000 GP at Hand patients, the majority of whom were not a part of the host borough of Hammersmith and Fulham, led to financial instability in Clinical Commissioning Groups (CCGs) (NHS, England, 2019). </w:t>
      </w:r>
    </w:p>
    <w:p w14:paraId="1B405FAF"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According to Hammersmith and Fulham CCG in 2019, there was a 21 million overspend directly related to the digital migration of patients to GP at Hand (NHS England, 2019). This shows how a policy that is expected to open access can </w:t>
      </w:r>
      <w:proofErr w:type="spellStart"/>
      <w:r w:rsidRPr="00771A41">
        <w:rPr>
          <w:rFonts w:ascii="Arial" w:eastAsia="Calibri" w:hAnsi="Arial" w:cs="Arial"/>
          <w:kern w:val="0"/>
          <w:lang w:val="en-US"/>
          <w14:ligatures w14:val="none"/>
        </w:rPr>
        <w:t>destabilise</w:t>
      </w:r>
      <w:proofErr w:type="spellEnd"/>
      <w:r w:rsidRPr="00771A41">
        <w:rPr>
          <w:rFonts w:ascii="Arial" w:eastAsia="Calibri" w:hAnsi="Arial" w:cs="Arial"/>
          <w:kern w:val="0"/>
          <w:lang w:val="en-US"/>
          <w14:ligatures w14:val="none"/>
        </w:rPr>
        <w:t xml:space="preserve"> domestic healthcare economies unexpectedly. The </w:t>
      </w:r>
      <w:proofErr w:type="spellStart"/>
      <w:r w:rsidRPr="00771A41">
        <w:rPr>
          <w:rFonts w:ascii="Arial" w:eastAsia="Calibri" w:hAnsi="Arial" w:cs="Arial"/>
          <w:kern w:val="0"/>
          <w:lang w:val="en-US"/>
          <w14:ligatures w14:val="none"/>
        </w:rPr>
        <w:t>centralised</w:t>
      </w:r>
      <w:proofErr w:type="spellEnd"/>
      <w:r w:rsidRPr="00771A41">
        <w:rPr>
          <w:rFonts w:ascii="Arial" w:eastAsia="Calibri" w:hAnsi="Arial" w:cs="Arial"/>
          <w:kern w:val="0"/>
          <w:lang w:val="en-US"/>
          <w14:ligatures w14:val="none"/>
        </w:rPr>
        <w:t xml:space="preserve">, mobile registration model is effective in accessing funds out of community-based practices that serve more complex, older populations, and it is problematic to the principle of equity underlying NHS resource allocation. Interprofessional communication and coordination are another undeniable issue of service delivery. The digital-first model enables clinicians and patients to communicate quickly but may disrupt multidisciplinary care. The GPs at Hand patients can also avoid local GPs and community teams, which results in broken records and follow-up. The King's Fund </w:t>
      </w:r>
      <w:proofErr w:type="spellStart"/>
      <w:r w:rsidRPr="00771A41">
        <w:rPr>
          <w:rFonts w:ascii="Arial" w:eastAsia="Calibri" w:hAnsi="Arial" w:cs="Arial"/>
          <w:kern w:val="0"/>
          <w:lang w:val="en-US"/>
          <w14:ligatures w14:val="none"/>
        </w:rPr>
        <w:t>emphasised</w:t>
      </w:r>
      <w:proofErr w:type="spellEnd"/>
      <w:r w:rsidRPr="00771A41">
        <w:rPr>
          <w:rFonts w:ascii="Arial" w:eastAsia="Calibri" w:hAnsi="Arial" w:cs="Arial"/>
          <w:kern w:val="0"/>
          <w:lang w:val="en-US"/>
          <w14:ligatures w14:val="none"/>
        </w:rPr>
        <w:t xml:space="preserve"> that its integration with secondary care is not consistent, as the clinicians in hospitals note that they have challenges accessing the complete history of digital-first patients (Wellings et al., 2022). </w:t>
      </w:r>
    </w:p>
    <w:p w14:paraId="0FA381F6"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This implies that the interoperability of </w:t>
      </w:r>
      <w:proofErr w:type="gramStart"/>
      <w:r w:rsidRPr="00771A41">
        <w:rPr>
          <w:rFonts w:ascii="Arial" w:eastAsia="Calibri" w:hAnsi="Arial" w:cs="Arial"/>
          <w:kern w:val="0"/>
          <w:lang w:val="en-US"/>
          <w14:ligatures w14:val="none"/>
        </w:rPr>
        <w:t>NHS</w:t>
      </w:r>
      <w:proofErr w:type="gramEnd"/>
      <w:r w:rsidRPr="00771A41">
        <w:rPr>
          <w:rFonts w:ascii="Arial" w:eastAsia="Calibri" w:hAnsi="Arial" w:cs="Arial"/>
          <w:kern w:val="0"/>
          <w:lang w:val="en-US"/>
          <w14:ligatures w14:val="none"/>
        </w:rPr>
        <w:t xml:space="preserve"> infrastructure has been surpassed by technological innovation. On the one hand, GP at Hand shows the potential of digital transformation, but it also reveals the limitations that its safe and efficient deployment has because of limited system integration. Besides, the commercial partnership model in the case of GP at Hand provokes even more acute discussion. A service run by GP at Hand is an NHS practice contracted out to a privately-run company, occupying a grey area between the responsibility of the state and commercial gain. The potential hazards of the implementation of exclusive algorithms in clinical decision-making processes are seen in GP at Hand through its use of AI-based symptom checkers, the diagnostic efficacy of which has been questioned in peer-reviewed literature (Grant, 2024). The critics caution that commercial pressures may put the interests of users and efficiency rate above clinical profundity and data transparency. </w:t>
      </w:r>
    </w:p>
    <w:p w14:paraId="0EBD757D" w14:textId="77777777" w:rsidR="0046755A" w:rsidRPr="0046755A" w:rsidRDefault="0046755A" w:rsidP="0046755A">
      <w:pPr>
        <w:spacing w:line="276" w:lineRule="auto"/>
        <w:rPr>
          <w:rFonts w:ascii="Times New Roman" w:eastAsia="Calibri" w:hAnsi="Times New Roman" w:cs="Times New Roman"/>
          <w:kern w:val="0"/>
          <w:sz w:val="24"/>
          <w:lang w:val="en-US"/>
          <w14:ligatures w14:val="none"/>
        </w:rPr>
      </w:pPr>
      <w:r w:rsidRPr="00771A41">
        <w:rPr>
          <w:rFonts w:ascii="Arial" w:eastAsia="Calibri" w:hAnsi="Arial" w:cs="Arial"/>
          <w:kern w:val="0"/>
          <w:lang w:val="en-US"/>
          <w14:ligatures w14:val="none"/>
        </w:rPr>
        <w:t>Despite GP at Hand claiming to be a faster way of triage by using their AI tools, an independent review has determined that these tools did not result in a smaller GP workload or a health outcome (</w:t>
      </w:r>
      <w:proofErr w:type="spellStart"/>
      <w:r w:rsidRPr="00771A41">
        <w:rPr>
          <w:rFonts w:ascii="Arial" w:eastAsia="Calibri" w:hAnsi="Arial" w:cs="Arial"/>
          <w:kern w:val="0"/>
          <w:lang w:val="en-US"/>
          <w14:ligatures w14:val="none"/>
        </w:rPr>
        <w:t>Swargiary</w:t>
      </w:r>
      <w:proofErr w:type="spellEnd"/>
      <w:r w:rsidRPr="00771A41">
        <w:rPr>
          <w:rFonts w:ascii="Arial" w:eastAsia="Calibri" w:hAnsi="Arial" w:cs="Arial"/>
          <w:kern w:val="0"/>
          <w:lang w:val="en-US"/>
          <w14:ligatures w14:val="none"/>
        </w:rPr>
        <w:t xml:space="preserve">, 2025). Meanwhile, the achievements of GP at Hand have triggered an increase in online usage. This changed following the COVID-19 pandemic, where two-thirds of GP practices provided remote consultations as of 2021 (Murphy et al., 2021). The service was therefore a proof-of-concept, and it proved that digital primary care on a large scale is feasible. Nevertheless, its difficulties highlight the fact that technology cannot restructure the </w:t>
      </w:r>
      <w:proofErr w:type="gramStart"/>
      <w:r w:rsidRPr="00771A41">
        <w:rPr>
          <w:rFonts w:ascii="Arial" w:eastAsia="Calibri" w:hAnsi="Arial" w:cs="Arial"/>
          <w:kern w:val="0"/>
          <w:lang w:val="en-US"/>
          <w14:ligatures w14:val="none"/>
        </w:rPr>
        <w:t>service delivery</w:t>
      </w:r>
      <w:proofErr w:type="gramEnd"/>
      <w:r w:rsidRPr="00771A41">
        <w:rPr>
          <w:rFonts w:ascii="Arial" w:eastAsia="Calibri" w:hAnsi="Arial" w:cs="Arial"/>
          <w:kern w:val="0"/>
          <w:lang w:val="en-US"/>
          <w14:ligatures w14:val="none"/>
        </w:rPr>
        <w:t xml:space="preserve"> without adaptive policy and workforce planning.</w:t>
      </w:r>
    </w:p>
    <w:p w14:paraId="1550FBF4" w14:textId="77777777" w:rsidR="0046755A" w:rsidRPr="0046755A" w:rsidRDefault="0046755A" w:rsidP="0046755A">
      <w:pPr>
        <w:spacing w:line="276" w:lineRule="auto"/>
        <w:rPr>
          <w:rFonts w:ascii="Times New Roman" w:eastAsia="Calibri" w:hAnsi="Times New Roman" w:cs="Times New Roman"/>
          <w:kern w:val="0"/>
          <w:sz w:val="24"/>
          <w:lang w:val="en-US"/>
          <w14:ligatures w14:val="none"/>
        </w:rPr>
      </w:pPr>
    </w:p>
    <w:p w14:paraId="5EDE7450" w14:textId="77777777" w:rsidR="0046755A" w:rsidRPr="0046755A" w:rsidRDefault="0046755A" w:rsidP="0046755A">
      <w:pPr>
        <w:keepNext/>
        <w:keepLines/>
        <w:spacing w:after="240" w:line="276" w:lineRule="auto"/>
        <w:outlineLvl w:val="1"/>
        <w:rPr>
          <w:rFonts w:ascii="Times New Roman" w:eastAsia="Times New Roman" w:hAnsi="Times New Roman" w:cs="Times New Roman"/>
          <w:i/>
          <w:kern w:val="0"/>
          <w:sz w:val="24"/>
          <w:szCs w:val="26"/>
          <w:lang w:val="en-US"/>
          <w14:ligatures w14:val="none"/>
        </w:rPr>
      </w:pPr>
      <w:bookmarkStart w:id="3" w:name="_Toc211483518"/>
      <w:r w:rsidRPr="0046755A">
        <w:rPr>
          <w:rFonts w:ascii="Times New Roman" w:eastAsia="Times New Roman" w:hAnsi="Times New Roman" w:cs="Times New Roman"/>
          <w:i/>
          <w:kern w:val="0"/>
          <w:sz w:val="24"/>
          <w:szCs w:val="26"/>
          <w:lang w:val="en-US"/>
          <w14:ligatures w14:val="none"/>
        </w:rPr>
        <w:lastRenderedPageBreak/>
        <w:t>Patient / Service User</w:t>
      </w:r>
      <w:bookmarkEnd w:id="3"/>
    </w:p>
    <w:p w14:paraId="17211581"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One of the most noticeable benefits, as far as the patient is concerned, has been </w:t>
      </w:r>
      <w:proofErr w:type="gramStart"/>
      <w:r w:rsidRPr="00771A41">
        <w:rPr>
          <w:rFonts w:ascii="Arial" w:eastAsia="Calibri" w:hAnsi="Arial" w:cs="Arial"/>
          <w:kern w:val="0"/>
          <w:lang w:val="en-US"/>
          <w14:ligatures w14:val="none"/>
        </w:rPr>
        <w:t>the increased</w:t>
      </w:r>
      <w:proofErr w:type="gramEnd"/>
      <w:r w:rsidRPr="00771A41">
        <w:rPr>
          <w:rFonts w:ascii="Arial" w:eastAsia="Calibri" w:hAnsi="Arial" w:cs="Arial"/>
          <w:kern w:val="0"/>
          <w:lang w:val="en-US"/>
          <w14:ligatures w14:val="none"/>
        </w:rPr>
        <w:t xml:space="preserve"> access and convenience. The average time of appointment in GP at Hand (typically less than two hours) can be </w:t>
      </w:r>
      <w:proofErr w:type="spellStart"/>
      <w:r w:rsidRPr="00771A41">
        <w:rPr>
          <w:rFonts w:ascii="Arial" w:eastAsia="Calibri" w:hAnsi="Arial" w:cs="Arial"/>
          <w:kern w:val="0"/>
          <w:lang w:val="en-US"/>
          <w14:ligatures w14:val="none"/>
        </w:rPr>
        <w:t>favourably</w:t>
      </w:r>
      <w:proofErr w:type="spellEnd"/>
      <w:r w:rsidRPr="00771A41">
        <w:rPr>
          <w:rFonts w:ascii="Arial" w:eastAsia="Calibri" w:hAnsi="Arial" w:cs="Arial"/>
          <w:kern w:val="0"/>
          <w:lang w:val="en-US"/>
          <w14:ligatures w14:val="none"/>
        </w:rPr>
        <w:t xml:space="preserve"> compared to the national average, which is approximately 10 days (routine GP visits) (Mahase, 2023). This immediacy has changed the expectations of patients, especially the younger age groups and working age generation, who are more flexible and focused on </w:t>
      </w:r>
      <w:proofErr w:type="spellStart"/>
      <w:r w:rsidRPr="00771A41">
        <w:rPr>
          <w:rFonts w:ascii="Arial" w:eastAsia="Calibri" w:hAnsi="Arial" w:cs="Arial"/>
          <w:kern w:val="0"/>
          <w:lang w:val="en-US"/>
          <w14:ligatures w14:val="none"/>
        </w:rPr>
        <w:t>minimising</w:t>
      </w:r>
      <w:proofErr w:type="spellEnd"/>
      <w:r w:rsidRPr="00771A41">
        <w:rPr>
          <w:rFonts w:ascii="Arial" w:eastAsia="Calibri" w:hAnsi="Arial" w:cs="Arial"/>
          <w:kern w:val="0"/>
          <w:lang w:val="en-US"/>
          <w14:ligatures w14:val="none"/>
        </w:rPr>
        <w:t xml:space="preserve"> the impact on everyday life. Young, (2025) indicated that majority of patients were satisfied with the speed of appointments and the convenience of out-of-hours. Nevertheless, analysts warn that such statistics are limited to a sector. According to the assessment conducted by Palmer (2019), 84% of registered GP at Hand patients were aged up to 45 years, and most of them </w:t>
      </w:r>
      <w:proofErr w:type="gramStart"/>
      <w:r w:rsidRPr="00771A41">
        <w:rPr>
          <w:rFonts w:ascii="Arial" w:eastAsia="Calibri" w:hAnsi="Arial" w:cs="Arial"/>
          <w:kern w:val="0"/>
          <w:lang w:val="en-US"/>
          <w14:ligatures w14:val="none"/>
        </w:rPr>
        <w:t>were located in</w:t>
      </w:r>
      <w:proofErr w:type="gramEnd"/>
      <w:r w:rsidRPr="00771A41">
        <w:rPr>
          <w:rFonts w:ascii="Arial" w:eastAsia="Calibri" w:hAnsi="Arial" w:cs="Arial"/>
          <w:kern w:val="0"/>
          <w:lang w:val="en-US"/>
          <w14:ligatures w14:val="none"/>
        </w:rPr>
        <w:t xml:space="preserve"> London. This raises key challenges on equity of access: why, then, are elderly, disabled or rural populations less likely to gain? </w:t>
      </w:r>
    </w:p>
    <w:p w14:paraId="6B42B3AD"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The solution can be found in part in the digital divide, which is the discrepancies in digital literacy, internet access, and technological comfort that render some population groups with no digital-first care. Although GP at Hand is more convenient, it is also changing how patients relate to their care providers. Video calls are immediate and restrict relational continuity as a primary care principle. The years of local GP </w:t>
      </w:r>
      <w:proofErr w:type="spellStart"/>
      <w:r w:rsidRPr="00771A41">
        <w:rPr>
          <w:rFonts w:ascii="Arial" w:eastAsia="Calibri" w:hAnsi="Arial" w:cs="Arial"/>
          <w:kern w:val="0"/>
          <w:lang w:val="en-US"/>
          <w14:ligatures w14:val="none"/>
        </w:rPr>
        <w:t>personalised</w:t>
      </w:r>
      <w:proofErr w:type="spellEnd"/>
      <w:r w:rsidRPr="00771A41">
        <w:rPr>
          <w:rFonts w:ascii="Arial" w:eastAsia="Calibri" w:hAnsi="Arial" w:cs="Arial"/>
          <w:kern w:val="0"/>
          <w:lang w:val="en-US"/>
          <w14:ligatures w14:val="none"/>
        </w:rPr>
        <w:t xml:space="preserve"> knowledge are appreciated by many patients, and it is hard to reproduce it during virtual communication. Sexton et al. (2022) assert that the impersonal character of online appointments has the potential to undermine the qualities of trust and empathy, especially in people with chronic or psychosocial illnesses. Such disintegration of care may lead to episodic care, in which patients receive care from a variety of clinicians with no follow-up. In fact, CQC (2025) rates that even though GP at Hand scores well on responsiveness, its continuity-of-care scores are lower than the national average. </w:t>
      </w:r>
    </w:p>
    <w:p w14:paraId="78F3EE6D"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The crucial point is whether the possibility of losing therapeutic relationships, which form the basis of efficient primary care, can be offset by accessibility.</w:t>
      </w:r>
      <w:r w:rsidRPr="00771A41">
        <w:rPr>
          <w:rFonts w:ascii="Arial" w:eastAsia="Calibri" w:hAnsi="Arial" w:cs="Arial"/>
          <w:kern w:val="0"/>
          <w14:ligatures w14:val="none"/>
        </w:rPr>
        <w:t xml:space="preserve"> </w:t>
      </w:r>
      <w:r w:rsidRPr="00771A41">
        <w:rPr>
          <w:rFonts w:ascii="Arial" w:eastAsia="Calibri" w:hAnsi="Arial" w:cs="Arial"/>
          <w:kern w:val="0"/>
          <w:lang w:val="en-US"/>
          <w14:ligatures w14:val="none"/>
        </w:rPr>
        <w:t xml:space="preserve">The question of quality of care is disputable. Advocates claim that e-consultations are efficient and do not </w:t>
      </w:r>
      <w:proofErr w:type="spellStart"/>
      <w:r w:rsidRPr="00771A41">
        <w:rPr>
          <w:rFonts w:ascii="Arial" w:eastAsia="Calibri" w:hAnsi="Arial" w:cs="Arial"/>
          <w:kern w:val="0"/>
          <w:lang w:val="en-US"/>
          <w14:ligatures w14:val="none"/>
        </w:rPr>
        <w:t>jeopardise</w:t>
      </w:r>
      <w:proofErr w:type="spellEnd"/>
      <w:r w:rsidRPr="00771A41">
        <w:rPr>
          <w:rFonts w:ascii="Arial" w:eastAsia="Calibri" w:hAnsi="Arial" w:cs="Arial"/>
          <w:kern w:val="0"/>
          <w:lang w:val="en-US"/>
          <w14:ligatures w14:val="none"/>
        </w:rPr>
        <w:t xml:space="preserve"> patient safety, especially with simple demonstrations like infections or minor conditions. Nevertheless, </w:t>
      </w:r>
      <w:proofErr w:type="gramStart"/>
      <w:r w:rsidRPr="00771A41">
        <w:rPr>
          <w:rFonts w:ascii="Arial" w:eastAsia="Calibri" w:hAnsi="Arial" w:cs="Arial"/>
          <w:kern w:val="0"/>
          <w:lang w:val="en-US"/>
          <w14:ligatures w14:val="none"/>
        </w:rPr>
        <w:t>a number of</w:t>
      </w:r>
      <w:proofErr w:type="gramEnd"/>
      <w:r w:rsidRPr="00771A41">
        <w:rPr>
          <w:rFonts w:ascii="Arial" w:eastAsia="Calibri" w:hAnsi="Arial" w:cs="Arial"/>
          <w:kern w:val="0"/>
          <w:lang w:val="en-US"/>
          <w14:ligatures w14:val="none"/>
        </w:rPr>
        <w:t xml:space="preserve"> studies indicate that diagnostic uncertainty can be created by using AI triage and self-reported symptoms. According to Grant (2024), the AI used in GP at Hand reaches the same accuracy as a human doctor in simple cases, whereas in more complicated or multifaceted cases, it is less precise. This may lead to incomplete advice or mistaken </w:t>
      </w:r>
      <w:proofErr w:type="gramStart"/>
      <w:r w:rsidRPr="00771A41">
        <w:rPr>
          <w:rFonts w:ascii="Arial" w:eastAsia="Calibri" w:hAnsi="Arial" w:cs="Arial"/>
          <w:kern w:val="0"/>
          <w:lang w:val="en-US"/>
          <w14:ligatures w14:val="none"/>
        </w:rPr>
        <w:t>referrals, and</w:t>
      </w:r>
      <w:proofErr w:type="gramEnd"/>
      <w:r w:rsidRPr="00771A41">
        <w:rPr>
          <w:rFonts w:ascii="Arial" w:eastAsia="Calibri" w:hAnsi="Arial" w:cs="Arial"/>
          <w:kern w:val="0"/>
          <w:lang w:val="en-US"/>
          <w14:ligatures w14:val="none"/>
        </w:rPr>
        <w:t xml:space="preserve"> put the NHS clinical governance objective of quality assurance at risk. Video consultations do not involve physical examination and therefore, small clinical clues might be overlooked resulting in delayed diagnoses or treatment. Technological efficiency, therefore, is not necessarily equivalent to clinical adequacy (Winward et al., 2021). </w:t>
      </w:r>
    </w:p>
    <w:p w14:paraId="410ED218"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 xml:space="preserve">The issue of privacy and data-protection also complicates the </w:t>
      </w:r>
      <w:proofErr w:type="gramStart"/>
      <w:r w:rsidRPr="00771A41">
        <w:rPr>
          <w:rFonts w:ascii="Arial" w:eastAsia="Calibri" w:hAnsi="Arial" w:cs="Arial"/>
          <w:kern w:val="0"/>
          <w:lang w:val="en-US"/>
          <w14:ligatures w14:val="none"/>
        </w:rPr>
        <w:t>patient</w:t>
      </w:r>
      <w:proofErr w:type="gramEnd"/>
      <w:r w:rsidRPr="00771A41">
        <w:rPr>
          <w:rFonts w:ascii="Arial" w:eastAsia="Calibri" w:hAnsi="Arial" w:cs="Arial"/>
          <w:kern w:val="0"/>
          <w:lang w:val="en-US"/>
          <w14:ligatures w14:val="none"/>
        </w:rPr>
        <w:t xml:space="preserve"> experience even more. GP at Hand implements high volumes of personal health records, biometric data and usage analytics. Even though GP at Hand states it is adhering to GDPR standards and NHS Digital standards, some concerns exist regarding the </w:t>
      </w:r>
      <w:proofErr w:type="spellStart"/>
      <w:r w:rsidRPr="00771A41">
        <w:rPr>
          <w:rFonts w:ascii="Arial" w:eastAsia="Calibri" w:hAnsi="Arial" w:cs="Arial"/>
          <w:kern w:val="0"/>
          <w:lang w:val="en-US"/>
          <w14:ligatures w14:val="none"/>
        </w:rPr>
        <w:t>utilisation</w:t>
      </w:r>
      <w:proofErr w:type="spellEnd"/>
      <w:r w:rsidRPr="00771A41">
        <w:rPr>
          <w:rFonts w:ascii="Arial" w:eastAsia="Calibri" w:hAnsi="Arial" w:cs="Arial"/>
          <w:kern w:val="0"/>
          <w:lang w:val="en-US"/>
          <w14:ligatures w14:val="none"/>
        </w:rPr>
        <w:t xml:space="preserve"> of data in commercial research and training of algorithms. Enhancing </w:t>
      </w:r>
      <w:proofErr w:type="spellStart"/>
      <w:r w:rsidRPr="00771A41">
        <w:rPr>
          <w:rFonts w:ascii="Arial" w:eastAsia="Calibri" w:hAnsi="Arial" w:cs="Arial"/>
          <w:kern w:val="0"/>
          <w:lang w:val="en-US"/>
          <w14:ligatures w14:val="none"/>
        </w:rPr>
        <w:t>practise</w:t>
      </w:r>
      <w:proofErr w:type="spellEnd"/>
      <w:r w:rsidRPr="00771A41">
        <w:rPr>
          <w:rFonts w:ascii="Arial" w:eastAsia="Calibri" w:hAnsi="Arial" w:cs="Arial"/>
          <w:kern w:val="0"/>
          <w:lang w:val="en-US"/>
          <w14:ligatures w14:val="none"/>
        </w:rPr>
        <w:t xml:space="preserve">, digital services are to use the hybrid models of combining online and in-person care, maintaining the doctor-patient interaction. Policies </w:t>
      </w:r>
      <w:proofErr w:type="gramStart"/>
      <w:r w:rsidRPr="00771A41">
        <w:rPr>
          <w:rFonts w:ascii="Arial" w:eastAsia="Calibri" w:hAnsi="Arial" w:cs="Arial"/>
          <w:kern w:val="0"/>
          <w:lang w:val="en-US"/>
          <w14:ligatures w14:val="none"/>
        </w:rPr>
        <w:t>have to</w:t>
      </w:r>
      <w:proofErr w:type="gramEnd"/>
      <w:r w:rsidRPr="00771A41">
        <w:rPr>
          <w:rFonts w:ascii="Arial" w:eastAsia="Calibri" w:hAnsi="Arial" w:cs="Arial"/>
          <w:kern w:val="0"/>
          <w:lang w:val="en-US"/>
          <w14:ligatures w14:val="none"/>
        </w:rPr>
        <w:t xml:space="preserve"> be modified so that NHS investments correspond to the mobility of patients and </w:t>
      </w:r>
      <w:r w:rsidRPr="00771A41">
        <w:rPr>
          <w:rFonts w:ascii="Arial" w:eastAsia="Calibri" w:hAnsi="Arial" w:cs="Arial"/>
          <w:kern w:val="0"/>
          <w:lang w:val="en-US"/>
          <w14:ligatures w14:val="none"/>
        </w:rPr>
        <w:lastRenderedPageBreak/>
        <w:t xml:space="preserve">digital and local services remain equal. The problem of exclusion can be </w:t>
      </w:r>
      <w:proofErr w:type="spellStart"/>
      <w:r w:rsidRPr="00771A41">
        <w:rPr>
          <w:rFonts w:ascii="Arial" w:eastAsia="Calibri" w:hAnsi="Arial" w:cs="Arial"/>
          <w:kern w:val="0"/>
          <w:lang w:val="en-US"/>
          <w14:ligatures w14:val="none"/>
        </w:rPr>
        <w:t>minimised</w:t>
      </w:r>
      <w:proofErr w:type="spellEnd"/>
      <w:r w:rsidRPr="00771A41">
        <w:rPr>
          <w:rFonts w:ascii="Arial" w:eastAsia="Calibri" w:hAnsi="Arial" w:cs="Arial"/>
          <w:kern w:val="0"/>
          <w:lang w:val="en-US"/>
          <w14:ligatures w14:val="none"/>
        </w:rPr>
        <w:t xml:space="preserve"> by investing in inclusive infrastructure and implementing widespread digital literacy </w:t>
      </w:r>
      <w:proofErr w:type="spellStart"/>
      <w:r w:rsidRPr="00771A41">
        <w:rPr>
          <w:rFonts w:ascii="Arial" w:eastAsia="Calibri" w:hAnsi="Arial" w:cs="Arial"/>
          <w:kern w:val="0"/>
          <w:lang w:val="en-US"/>
          <w14:ligatures w14:val="none"/>
        </w:rPr>
        <w:t>programmes</w:t>
      </w:r>
      <w:proofErr w:type="spellEnd"/>
      <w:r w:rsidRPr="00771A41">
        <w:rPr>
          <w:rFonts w:ascii="Arial" w:eastAsia="Calibri" w:hAnsi="Arial" w:cs="Arial"/>
          <w:kern w:val="0"/>
          <w:lang w:val="en-US"/>
          <w14:ligatures w14:val="none"/>
        </w:rPr>
        <w:t xml:space="preserve">. Shah and Gupta (2025) already warn healthcare providers against secrecy in AI-based systems, stating that in most cases, patients do not have informed consent on the use of secondary data. </w:t>
      </w:r>
    </w:p>
    <w:p w14:paraId="709EBE5A" w14:textId="77777777" w:rsidR="0046755A" w:rsidRPr="00771A41" w:rsidRDefault="0046755A" w:rsidP="0046755A">
      <w:pPr>
        <w:spacing w:line="276" w:lineRule="auto"/>
        <w:rPr>
          <w:rFonts w:ascii="Arial" w:eastAsia="Calibri" w:hAnsi="Arial" w:cs="Arial"/>
          <w:kern w:val="0"/>
          <w:lang w:val="en-US"/>
          <w14:ligatures w14:val="none"/>
        </w:rPr>
      </w:pPr>
      <w:r w:rsidRPr="00771A41">
        <w:rPr>
          <w:rFonts w:ascii="Arial" w:eastAsia="Calibri" w:hAnsi="Arial" w:cs="Arial"/>
          <w:kern w:val="0"/>
          <w:lang w:val="en-US"/>
          <w14:ligatures w14:val="none"/>
        </w:rPr>
        <w:t>This vagueness may compromise patient trust, which is a vital factor in healthcare uptake. In an open system such as the NHS, where confidentiality forms the spirit, a feeling of commercial exploitation of health information threatens to undermine trust in digital care models (</w:t>
      </w:r>
      <w:proofErr w:type="spellStart"/>
      <w:r w:rsidRPr="00771A41">
        <w:rPr>
          <w:rFonts w:ascii="Arial" w:eastAsia="Calibri" w:hAnsi="Arial" w:cs="Arial"/>
          <w:kern w:val="0"/>
          <w:lang w:val="en-US"/>
          <w14:ligatures w14:val="none"/>
        </w:rPr>
        <w:t>Kerasidou</w:t>
      </w:r>
      <w:proofErr w:type="spellEnd"/>
      <w:r w:rsidRPr="00771A41">
        <w:rPr>
          <w:rFonts w:ascii="Arial" w:eastAsia="Calibri" w:hAnsi="Arial" w:cs="Arial"/>
          <w:kern w:val="0"/>
          <w:lang w:val="en-US"/>
          <w14:ligatures w14:val="none"/>
        </w:rPr>
        <w:t xml:space="preserve"> and </w:t>
      </w:r>
      <w:proofErr w:type="spellStart"/>
      <w:r w:rsidRPr="00771A41">
        <w:rPr>
          <w:rFonts w:ascii="Arial" w:eastAsia="Calibri" w:hAnsi="Arial" w:cs="Arial"/>
          <w:kern w:val="0"/>
          <w:lang w:val="en-US"/>
          <w14:ligatures w14:val="none"/>
        </w:rPr>
        <w:t>Kerasidou</w:t>
      </w:r>
      <w:proofErr w:type="spellEnd"/>
      <w:r w:rsidRPr="00771A41">
        <w:rPr>
          <w:rFonts w:ascii="Arial" w:eastAsia="Calibri" w:hAnsi="Arial" w:cs="Arial"/>
          <w:kern w:val="0"/>
          <w:lang w:val="en-US"/>
          <w14:ligatures w14:val="none"/>
        </w:rPr>
        <w:t xml:space="preserve">, 2023). Fairness and inclusion are another very important dimension. For example, in digital empowerment, GP at Hand works with some but </w:t>
      </w:r>
      <w:proofErr w:type="spellStart"/>
      <w:r w:rsidRPr="00771A41">
        <w:rPr>
          <w:rFonts w:ascii="Arial" w:eastAsia="Calibri" w:hAnsi="Arial" w:cs="Arial"/>
          <w:kern w:val="0"/>
          <w:lang w:val="en-US"/>
          <w14:ligatures w14:val="none"/>
        </w:rPr>
        <w:t>marginalises</w:t>
      </w:r>
      <w:proofErr w:type="spellEnd"/>
      <w:r w:rsidRPr="00771A41">
        <w:rPr>
          <w:rFonts w:ascii="Arial" w:eastAsia="Calibri" w:hAnsi="Arial" w:cs="Arial"/>
          <w:kern w:val="0"/>
          <w:lang w:val="en-US"/>
          <w14:ligatures w14:val="none"/>
        </w:rPr>
        <w:t xml:space="preserve"> others. The elderly, non-English speakers with low levels of English skills, and people with sensory deficits might find it difficult to </w:t>
      </w:r>
      <w:proofErr w:type="spellStart"/>
      <w:r w:rsidRPr="00771A41">
        <w:rPr>
          <w:rFonts w:ascii="Arial" w:eastAsia="Calibri" w:hAnsi="Arial" w:cs="Arial"/>
          <w:kern w:val="0"/>
          <w:lang w:val="en-US"/>
          <w14:ligatures w14:val="none"/>
        </w:rPr>
        <w:t>utilise</w:t>
      </w:r>
      <w:proofErr w:type="spellEnd"/>
      <w:r w:rsidRPr="00771A41">
        <w:rPr>
          <w:rFonts w:ascii="Arial" w:eastAsia="Calibri" w:hAnsi="Arial" w:cs="Arial"/>
          <w:kern w:val="0"/>
          <w:lang w:val="en-US"/>
          <w14:ligatures w14:val="none"/>
        </w:rPr>
        <w:t xml:space="preserve"> app-based platforms. Wellings et al. (2022) stressed that unless supported by focused attention to vulnerable populations, digital-first care enhances existing health disparities. Indicatively, Greenhalgh et al. (2022) discovered that a substantial number of adults aged over 75 had never used a smartphone, rendering video consultations inaccessible unless aided. This unfairness raises </w:t>
      </w:r>
      <w:proofErr w:type="gramStart"/>
      <w:r w:rsidRPr="00771A41">
        <w:rPr>
          <w:rFonts w:ascii="Arial" w:eastAsia="Calibri" w:hAnsi="Arial" w:cs="Arial"/>
          <w:kern w:val="0"/>
          <w:lang w:val="en-US"/>
          <w14:ligatures w14:val="none"/>
        </w:rPr>
        <w:t>a question</w:t>
      </w:r>
      <w:proofErr w:type="gramEnd"/>
      <w:r w:rsidRPr="00771A41">
        <w:rPr>
          <w:rFonts w:ascii="Arial" w:eastAsia="Calibri" w:hAnsi="Arial" w:cs="Arial"/>
          <w:kern w:val="0"/>
          <w:lang w:val="en-US"/>
          <w14:ligatures w14:val="none"/>
        </w:rPr>
        <w:t xml:space="preserve"> of the very principle of the NHS, namely, universal access, and it raises ethical concerns about whether an innovation benefiting the digitally literate can be considered successful in a publicly funded system. </w:t>
      </w:r>
    </w:p>
    <w:p w14:paraId="14F98885" w14:textId="77777777" w:rsidR="0046755A" w:rsidRPr="00771A41" w:rsidRDefault="0046755A" w:rsidP="0046755A">
      <w:pPr>
        <w:spacing w:line="276" w:lineRule="auto"/>
        <w:rPr>
          <w:rFonts w:ascii="Arial" w:eastAsia="Calibri" w:hAnsi="Arial" w:cs="Arial"/>
          <w:kern w:val="0"/>
          <w:highlight w:val="yellow"/>
          <w:lang w:val="en-US"/>
          <w14:ligatures w14:val="none"/>
        </w:rPr>
      </w:pPr>
      <w:r w:rsidRPr="00771A41">
        <w:rPr>
          <w:rFonts w:ascii="Arial" w:eastAsia="Calibri" w:hAnsi="Arial" w:cs="Arial"/>
          <w:kern w:val="0"/>
          <w:lang w:val="en-US"/>
          <w14:ligatures w14:val="none"/>
        </w:rPr>
        <w:t xml:space="preserve">However, the patient empowerment aspect cannot be disregarded. A significant number of users note that they feel more empowered in their healthcare because they can book, consult, and access their records whenever they want and feel liberated by it. The online platform is in line with the NHS Long Term Plan goal of facilitating self-management and patient autonomy (England, 2023). Further, the medical home can decrease the stigma of sensitive topics (sexual health, mental health) and enable patients to reach out for help anonymously. However, the same convenience may give way to overuse or even </w:t>
      </w:r>
      <w:proofErr w:type="spellStart"/>
      <w:r w:rsidRPr="00771A41">
        <w:rPr>
          <w:rFonts w:ascii="Arial" w:eastAsia="Calibri" w:hAnsi="Arial" w:cs="Arial"/>
          <w:kern w:val="0"/>
          <w:lang w:val="en-US"/>
          <w14:ligatures w14:val="none"/>
        </w:rPr>
        <w:t>medicalisation</w:t>
      </w:r>
      <w:proofErr w:type="spellEnd"/>
      <w:r w:rsidRPr="00771A41">
        <w:rPr>
          <w:rFonts w:ascii="Arial" w:eastAsia="Calibri" w:hAnsi="Arial" w:cs="Arial"/>
          <w:kern w:val="0"/>
          <w:lang w:val="en-US"/>
          <w14:ligatures w14:val="none"/>
        </w:rPr>
        <w:t xml:space="preserve"> of minor symptoms and make the system more burdened instead of decreasing the burden (</w:t>
      </w:r>
      <w:proofErr w:type="spellStart"/>
      <w:r w:rsidRPr="00771A41">
        <w:rPr>
          <w:rFonts w:ascii="Arial" w:eastAsia="Calibri" w:hAnsi="Arial" w:cs="Arial"/>
          <w:kern w:val="0"/>
          <w:lang w:val="en-US"/>
          <w14:ligatures w14:val="none"/>
        </w:rPr>
        <w:t>Quattri</w:t>
      </w:r>
      <w:proofErr w:type="spellEnd"/>
      <w:r w:rsidRPr="00771A41">
        <w:rPr>
          <w:rFonts w:ascii="Arial" w:eastAsia="Calibri" w:hAnsi="Arial" w:cs="Arial"/>
          <w:kern w:val="0"/>
          <w:lang w:val="en-US"/>
          <w14:ligatures w14:val="none"/>
        </w:rPr>
        <w:t>, 2023). This twofold influence highlights how difficult it is to assess the outcomes of patients: both empowerment and overconsumption may coexist in the same innovation. Overall, GP at hand has clearly improved accessibility, responsiveness and patient autonomy, but has also demonstrated faults in the equity, privacy and relationship aspect of care.</w:t>
      </w:r>
    </w:p>
    <w:p w14:paraId="43F719AD" w14:textId="77777777" w:rsidR="0046755A" w:rsidRPr="0046755A" w:rsidRDefault="0046755A" w:rsidP="0046755A">
      <w:pPr>
        <w:spacing w:line="276" w:lineRule="auto"/>
        <w:rPr>
          <w:rFonts w:ascii="Times New Roman" w:eastAsia="Calibri" w:hAnsi="Times New Roman" w:cs="Times New Roman"/>
          <w:kern w:val="0"/>
          <w:sz w:val="24"/>
          <w:lang w:val="en-US"/>
          <w14:ligatures w14:val="none"/>
        </w:rPr>
      </w:pPr>
    </w:p>
    <w:p w14:paraId="79A0E6FF" w14:textId="77777777" w:rsidR="0046755A" w:rsidRPr="0046755A" w:rsidRDefault="0046755A" w:rsidP="0046755A">
      <w:pPr>
        <w:keepNext/>
        <w:keepLines/>
        <w:spacing w:after="240" w:line="276" w:lineRule="auto"/>
        <w:outlineLvl w:val="0"/>
        <w:rPr>
          <w:rFonts w:ascii="Times New Roman" w:eastAsia="Times New Roman" w:hAnsi="Times New Roman" w:cs="Times New Roman"/>
          <w:b/>
          <w:i/>
          <w:kern w:val="0"/>
          <w:sz w:val="24"/>
          <w:szCs w:val="32"/>
          <w:lang w:val="en-US"/>
          <w14:ligatures w14:val="none"/>
        </w:rPr>
      </w:pPr>
      <w:bookmarkStart w:id="4" w:name="_Toc211483519"/>
      <w:r w:rsidRPr="0046755A">
        <w:rPr>
          <w:rFonts w:ascii="Times New Roman" w:eastAsia="Times New Roman" w:hAnsi="Times New Roman" w:cs="Times New Roman"/>
          <w:b/>
          <w:i/>
          <w:kern w:val="0"/>
          <w:sz w:val="24"/>
          <w:szCs w:val="32"/>
          <w:lang w:val="en-US"/>
          <w14:ligatures w14:val="none"/>
        </w:rPr>
        <w:t>Conclusion and Recommendations</w:t>
      </w:r>
      <w:bookmarkEnd w:id="4"/>
    </w:p>
    <w:p w14:paraId="2CCACD15" w14:textId="77777777" w:rsidR="0046755A" w:rsidRPr="00771A41" w:rsidRDefault="0046755A" w:rsidP="0046755A">
      <w:pPr>
        <w:spacing w:line="276" w:lineRule="auto"/>
        <w:rPr>
          <w:rFonts w:ascii="Arial" w:eastAsia="Calibri" w:hAnsi="Arial" w:cs="Arial"/>
          <w:kern w:val="0"/>
          <w14:ligatures w14:val="none"/>
        </w:rPr>
      </w:pPr>
      <w:r w:rsidRPr="00771A41">
        <w:rPr>
          <w:rFonts w:ascii="Arial" w:eastAsia="Calibri" w:hAnsi="Arial" w:cs="Arial"/>
          <w:kern w:val="0"/>
          <w:lang w:val="en-US"/>
          <w14:ligatures w14:val="none"/>
        </w:rPr>
        <w:t xml:space="preserve">The analysis of GP at Hand shows that digital innovation has produced significant positives in terms of accessibility, responsiveness, and patient autonomy in the UK primary care. Nevertheless, it has also served to expose the underlying issues of equity, data governance and continuity of care. This combination of success and failure in the service among younger and more digitally literate users points to how technology might be used to </w:t>
      </w:r>
      <w:proofErr w:type="spellStart"/>
      <w:r w:rsidRPr="00771A41">
        <w:rPr>
          <w:rFonts w:ascii="Arial" w:eastAsia="Calibri" w:hAnsi="Arial" w:cs="Arial"/>
          <w:kern w:val="0"/>
          <w:lang w:val="en-US"/>
          <w14:ligatures w14:val="none"/>
        </w:rPr>
        <w:t>modernise</w:t>
      </w:r>
      <w:proofErr w:type="spellEnd"/>
      <w:r w:rsidRPr="00771A41">
        <w:rPr>
          <w:rFonts w:ascii="Arial" w:eastAsia="Calibri" w:hAnsi="Arial" w:cs="Arial"/>
          <w:kern w:val="0"/>
          <w:lang w:val="en-US"/>
          <w14:ligatures w14:val="none"/>
        </w:rPr>
        <w:t xml:space="preserve"> service provision, although this success is not replicated with vulnerable and older populations, revealing some digital inequalities. These results highlight the importance of implementing digital innovations that have been created over the past ten years to keep the NHS afloat in the face of increased demand and workload; however, the implementation of digital innovations should be inclusive and ethically justified.</w:t>
      </w:r>
      <w:r w:rsidRPr="00771A41">
        <w:rPr>
          <w:rFonts w:ascii="Arial" w:eastAsia="Calibri" w:hAnsi="Arial" w:cs="Arial"/>
          <w:kern w:val="0"/>
          <w14:ligatures w14:val="none"/>
        </w:rPr>
        <w:t xml:space="preserve"> </w:t>
      </w:r>
    </w:p>
    <w:p w14:paraId="7B2A6FA0" w14:textId="77777777" w:rsidR="0046755A" w:rsidRPr="00771A41" w:rsidRDefault="0046755A" w:rsidP="0046755A">
      <w:pPr>
        <w:spacing w:line="276" w:lineRule="auto"/>
        <w:rPr>
          <w:rFonts w:ascii="Arial" w:eastAsia="Calibri" w:hAnsi="Arial" w:cs="Arial"/>
          <w:kern w:val="0"/>
          <w:highlight w:val="yellow"/>
          <w:lang w:val="en-US"/>
          <w14:ligatures w14:val="none"/>
        </w:rPr>
      </w:pPr>
      <w:r w:rsidRPr="00771A41">
        <w:rPr>
          <w:rFonts w:ascii="Arial" w:eastAsia="Calibri" w:hAnsi="Arial" w:cs="Arial"/>
          <w:kern w:val="0"/>
          <w:lang w:val="en-US"/>
          <w14:ligatures w14:val="none"/>
        </w:rPr>
        <w:lastRenderedPageBreak/>
        <w:t xml:space="preserve">Enhancing </w:t>
      </w:r>
      <w:proofErr w:type="spellStart"/>
      <w:r w:rsidRPr="00771A41">
        <w:rPr>
          <w:rFonts w:ascii="Arial" w:eastAsia="Calibri" w:hAnsi="Arial" w:cs="Arial"/>
          <w:kern w:val="0"/>
          <w:lang w:val="en-US"/>
          <w14:ligatures w14:val="none"/>
        </w:rPr>
        <w:t>practise</w:t>
      </w:r>
      <w:proofErr w:type="spellEnd"/>
      <w:r w:rsidRPr="00771A41">
        <w:rPr>
          <w:rFonts w:ascii="Arial" w:eastAsia="Calibri" w:hAnsi="Arial" w:cs="Arial"/>
          <w:kern w:val="0"/>
          <w:lang w:val="en-US"/>
          <w14:ligatures w14:val="none"/>
        </w:rPr>
        <w:t xml:space="preserve">, digital services are to use the hybrid models of combining online and in-person care, maintaining the doctor-patient interaction. Policies </w:t>
      </w:r>
      <w:proofErr w:type="gramStart"/>
      <w:r w:rsidRPr="00771A41">
        <w:rPr>
          <w:rFonts w:ascii="Arial" w:eastAsia="Calibri" w:hAnsi="Arial" w:cs="Arial"/>
          <w:kern w:val="0"/>
          <w:lang w:val="en-US"/>
          <w14:ligatures w14:val="none"/>
        </w:rPr>
        <w:t>have to</w:t>
      </w:r>
      <w:proofErr w:type="gramEnd"/>
      <w:r w:rsidRPr="00771A41">
        <w:rPr>
          <w:rFonts w:ascii="Arial" w:eastAsia="Calibri" w:hAnsi="Arial" w:cs="Arial"/>
          <w:kern w:val="0"/>
          <w:lang w:val="en-US"/>
          <w14:ligatures w14:val="none"/>
        </w:rPr>
        <w:t xml:space="preserve"> be modified so that NHS investments correspond to the mobility of patients and digital and local services remain equal. The problem of exclusion can be </w:t>
      </w:r>
      <w:proofErr w:type="spellStart"/>
      <w:r w:rsidRPr="00771A41">
        <w:rPr>
          <w:rFonts w:ascii="Arial" w:eastAsia="Calibri" w:hAnsi="Arial" w:cs="Arial"/>
          <w:kern w:val="0"/>
          <w:lang w:val="en-US"/>
          <w14:ligatures w14:val="none"/>
        </w:rPr>
        <w:t>minimised</w:t>
      </w:r>
      <w:proofErr w:type="spellEnd"/>
      <w:r w:rsidRPr="00771A41">
        <w:rPr>
          <w:rFonts w:ascii="Arial" w:eastAsia="Calibri" w:hAnsi="Arial" w:cs="Arial"/>
          <w:kern w:val="0"/>
          <w:lang w:val="en-US"/>
          <w14:ligatures w14:val="none"/>
        </w:rPr>
        <w:t xml:space="preserve"> by investing in inclusive infrastructure and implementing widespread digital literacy </w:t>
      </w:r>
      <w:proofErr w:type="spellStart"/>
      <w:r w:rsidRPr="00771A41">
        <w:rPr>
          <w:rFonts w:ascii="Arial" w:eastAsia="Calibri" w:hAnsi="Arial" w:cs="Arial"/>
          <w:kern w:val="0"/>
          <w:lang w:val="en-US"/>
          <w14:ligatures w14:val="none"/>
        </w:rPr>
        <w:t>programmes</w:t>
      </w:r>
      <w:proofErr w:type="spellEnd"/>
      <w:r w:rsidRPr="00771A41">
        <w:rPr>
          <w:rFonts w:ascii="Arial" w:eastAsia="Calibri" w:hAnsi="Arial" w:cs="Arial"/>
          <w:kern w:val="0"/>
          <w:lang w:val="en-US"/>
          <w14:ligatures w14:val="none"/>
        </w:rPr>
        <w:t xml:space="preserve">. Lastly, it is essential to continuously train clinicians on digital communication and AI-assisted decision-making to sustain </w:t>
      </w:r>
      <w:proofErr w:type="gramStart"/>
      <w:r w:rsidRPr="00771A41">
        <w:rPr>
          <w:rFonts w:ascii="Arial" w:eastAsia="Calibri" w:hAnsi="Arial" w:cs="Arial"/>
          <w:kern w:val="0"/>
          <w:lang w:val="en-US"/>
          <w14:ligatures w14:val="none"/>
        </w:rPr>
        <w:t>the safety</w:t>
      </w:r>
      <w:proofErr w:type="gramEnd"/>
      <w:r w:rsidRPr="00771A41">
        <w:rPr>
          <w:rFonts w:ascii="Arial" w:eastAsia="Calibri" w:hAnsi="Arial" w:cs="Arial"/>
          <w:kern w:val="0"/>
          <w:lang w:val="en-US"/>
          <w14:ligatures w14:val="none"/>
        </w:rPr>
        <w:t xml:space="preserve"> and quality. These would not only corrupt the gains of innovations such as GP at Hand but would also deal with their spillover effects, so that digital transformation can serve to reinforce the essential NHS values of universality and trust.</w:t>
      </w:r>
    </w:p>
    <w:p w14:paraId="26093487" w14:textId="77777777" w:rsidR="0046755A" w:rsidRPr="00771A41" w:rsidRDefault="0046755A" w:rsidP="0046755A">
      <w:pPr>
        <w:spacing w:line="276" w:lineRule="auto"/>
        <w:rPr>
          <w:rFonts w:ascii="Arial" w:eastAsia="Calibri" w:hAnsi="Arial" w:cs="Arial"/>
          <w:kern w:val="0"/>
          <w:lang w:val="en-US"/>
          <w14:ligatures w14:val="none"/>
        </w:rPr>
      </w:pPr>
    </w:p>
    <w:p w14:paraId="4A30EBFE" w14:textId="77777777" w:rsidR="0046755A" w:rsidRPr="00771A41" w:rsidRDefault="0046755A" w:rsidP="0046755A">
      <w:pPr>
        <w:rPr>
          <w:rFonts w:ascii="Arial" w:eastAsia="Calibri" w:hAnsi="Arial" w:cs="Arial"/>
          <w:kern w:val="0"/>
          <w:lang w:val="en-US"/>
          <w14:ligatures w14:val="none"/>
        </w:rPr>
      </w:pPr>
      <w:r w:rsidRPr="00771A41">
        <w:rPr>
          <w:rFonts w:ascii="Arial" w:eastAsia="Calibri" w:hAnsi="Arial" w:cs="Arial"/>
          <w:kern w:val="0"/>
          <w:lang w:val="en-US"/>
          <w14:ligatures w14:val="none"/>
        </w:rPr>
        <w:br w:type="page"/>
      </w:r>
    </w:p>
    <w:p w14:paraId="51DA5E04" w14:textId="77777777" w:rsidR="0046755A" w:rsidRPr="0046755A" w:rsidRDefault="0046755A" w:rsidP="0046755A">
      <w:pPr>
        <w:keepNext/>
        <w:keepLines/>
        <w:spacing w:after="240" w:line="276" w:lineRule="auto"/>
        <w:outlineLvl w:val="0"/>
        <w:rPr>
          <w:rFonts w:ascii="Times New Roman" w:eastAsia="Times New Roman" w:hAnsi="Times New Roman" w:cs="Times New Roman"/>
          <w:b/>
          <w:i/>
          <w:kern w:val="0"/>
          <w:sz w:val="24"/>
          <w:szCs w:val="32"/>
          <w:lang w:val="en-US"/>
          <w14:ligatures w14:val="none"/>
        </w:rPr>
      </w:pPr>
      <w:bookmarkStart w:id="5" w:name="_Toc211483520"/>
      <w:r w:rsidRPr="0046755A">
        <w:rPr>
          <w:rFonts w:ascii="Times New Roman" w:eastAsia="Times New Roman" w:hAnsi="Times New Roman" w:cs="Times New Roman"/>
          <w:b/>
          <w:i/>
          <w:kern w:val="0"/>
          <w:sz w:val="24"/>
          <w:szCs w:val="32"/>
          <w:lang w:val="en-US"/>
          <w14:ligatures w14:val="none"/>
        </w:rPr>
        <w:lastRenderedPageBreak/>
        <w:t>References</w:t>
      </w:r>
      <w:bookmarkEnd w:id="5"/>
    </w:p>
    <w:p w14:paraId="4155AB20" w14:textId="77777777" w:rsidR="0046755A" w:rsidRPr="0046755A" w:rsidRDefault="0046755A" w:rsidP="0046755A">
      <w:pPr>
        <w:spacing w:line="276" w:lineRule="auto"/>
        <w:ind w:left="720" w:hanging="720"/>
        <w:rPr>
          <w:rFonts w:ascii="Times New Roman" w:eastAsia="Calibri" w:hAnsi="Times New Roman" w:cs="Times New Roman"/>
          <w:kern w:val="0"/>
          <w:sz w:val="24"/>
          <w:lang w:val="en-US"/>
          <w14:ligatures w14:val="none"/>
        </w:rPr>
      </w:pPr>
      <w:r w:rsidRPr="0046755A">
        <w:rPr>
          <w:rFonts w:ascii="Times New Roman" w:eastAsia="Calibri" w:hAnsi="Times New Roman" w:cs="Times New Roman"/>
          <w:kern w:val="0"/>
          <w:sz w:val="24"/>
          <w:lang w:val="en-US"/>
          <w14:ligatures w14:val="none"/>
        </w:rPr>
        <w:t xml:space="preserve">CQC (2025). </w:t>
      </w:r>
      <w:r w:rsidRPr="0046755A">
        <w:rPr>
          <w:rFonts w:ascii="Times New Roman" w:eastAsia="Calibri" w:hAnsi="Times New Roman" w:cs="Times New Roman"/>
          <w:i/>
          <w:iCs/>
          <w:kern w:val="0"/>
          <w:sz w:val="24"/>
          <w:lang w:val="en-US"/>
          <w14:ligatures w14:val="none"/>
        </w:rPr>
        <w:t xml:space="preserve">More people </w:t>
      </w:r>
      <w:proofErr w:type="gramStart"/>
      <w:r w:rsidRPr="0046755A">
        <w:rPr>
          <w:rFonts w:ascii="Times New Roman" w:eastAsia="Calibri" w:hAnsi="Times New Roman" w:cs="Times New Roman"/>
          <w:i/>
          <w:iCs/>
          <w:kern w:val="0"/>
          <w:sz w:val="24"/>
          <w:lang w:val="en-US"/>
          <w14:ligatures w14:val="none"/>
        </w:rPr>
        <w:t>reporting</w:t>
      </w:r>
      <w:proofErr w:type="gramEnd"/>
      <w:r w:rsidRPr="0046755A">
        <w:rPr>
          <w:rFonts w:ascii="Times New Roman" w:eastAsia="Calibri" w:hAnsi="Times New Roman" w:cs="Times New Roman"/>
          <w:i/>
          <w:iCs/>
          <w:kern w:val="0"/>
          <w:sz w:val="24"/>
          <w:lang w:val="en-US"/>
          <w14:ligatures w14:val="none"/>
        </w:rPr>
        <w:t xml:space="preserve"> a better overall hospital experience than last year, but patient satisfaction </w:t>
      </w:r>
      <w:proofErr w:type="gramStart"/>
      <w:r w:rsidRPr="0046755A">
        <w:rPr>
          <w:rFonts w:ascii="Times New Roman" w:eastAsia="Calibri" w:hAnsi="Times New Roman" w:cs="Times New Roman"/>
          <w:i/>
          <w:iCs/>
          <w:kern w:val="0"/>
          <w:sz w:val="24"/>
          <w:lang w:val="en-US"/>
          <w14:ligatures w14:val="none"/>
        </w:rPr>
        <w:t>still</w:t>
      </w:r>
      <w:proofErr w:type="gramEnd"/>
      <w:r w:rsidRPr="0046755A">
        <w:rPr>
          <w:rFonts w:ascii="Times New Roman" w:eastAsia="Calibri" w:hAnsi="Times New Roman" w:cs="Times New Roman"/>
          <w:i/>
          <w:iCs/>
          <w:kern w:val="0"/>
          <w:sz w:val="24"/>
          <w:lang w:val="en-US"/>
          <w14:ligatures w14:val="none"/>
        </w:rPr>
        <w:t xml:space="preserve"> far lower than five years ago - Care Quality Commission</w:t>
      </w:r>
      <w:r w:rsidRPr="0046755A">
        <w:rPr>
          <w:rFonts w:ascii="Times New Roman" w:eastAsia="Calibri" w:hAnsi="Times New Roman" w:cs="Times New Roman"/>
          <w:kern w:val="0"/>
          <w:sz w:val="24"/>
          <w:lang w:val="en-US"/>
          <w14:ligatures w14:val="none"/>
        </w:rPr>
        <w:t xml:space="preserve">. [online] Cqc.org.uk. Available at: </w:t>
      </w:r>
      <w:hyperlink r:id="rId6" w:history="1">
        <w:r w:rsidRPr="0046755A">
          <w:rPr>
            <w:rFonts w:ascii="Times New Roman" w:eastAsia="Calibri" w:hAnsi="Times New Roman" w:cs="Times New Roman"/>
            <w:color w:val="0563C1"/>
            <w:kern w:val="0"/>
            <w:sz w:val="24"/>
            <w:u w:val="single"/>
            <w:lang w:val="en-US"/>
            <w14:ligatures w14:val="none"/>
          </w:rPr>
          <w:t>https://www.cqc.org.uk/press-release/more-people-reporting-better-overall-hospital-experience-last-year-patient</w:t>
        </w:r>
      </w:hyperlink>
      <w:r w:rsidRPr="0046755A">
        <w:rPr>
          <w:rFonts w:ascii="Times New Roman" w:eastAsia="Calibri" w:hAnsi="Times New Roman" w:cs="Times New Roman"/>
          <w:kern w:val="0"/>
          <w:sz w:val="24"/>
          <w:lang w:val="en-US"/>
          <w14:ligatures w14:val="none"/>
        </w:rPr>
        <w:t xml:space="preserve"> [Accessed 16 Oct. 2025].</w:t>
      </w:r>
    </w:p>
    <w:p w14:paraId="0E92C524"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England, N.H.S., (2023). </w:t>
      </w:r>
      <w:r w:rsidRPr="0046755A">
        <w:rPr>
          <w:rFonts w:ascii="Times New Roman" w:eastAsia="Calibri" w:hAnsi="Times New Roman" w:cs="Times New Roman"/>
          <w:i/>
          <w:iCs/>
          <w:kern w:val="0"/>
          <w:sz w:val="24"/>
          <w14:ligatures w14:val="none"/>
        </w:rPr>
        <w:t>NHS long term workforce plan</w:t>
      </w:r>
      <w:r w:rsidRPr="0046755A">
        <w:rPr>
          <w:rFonts w:ascii="Times New Roman" w:eastAsia="Calibri" w:hAnsi="Times New Roman" w:cs="Times New Roman"/>
          <w:kern w:val="0"/>
          <w:sz w:val="24"/>
          <w14:ligatures w14:val="none"/>
        </w:rPr>
        <w:t> [online]</w:t>
      </w:r>
    </w:p>
    <w:p w14:paraId="2FA1B9BD"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Grant, P., (2024). The Rise of Virtual Primary Care. In </w:t>
      </w:r>
      <w:r w:rsidRPr="0046755A">
        <w:rPr>
          <w:rFonts w:ascii="Times New Roman" w:eastAsia="Calibri" w:hAnsi="Times New Roman" w:cs="Times New Roman"/>
          <w:i/>
          <w:iCs/>
          <w:kern w:val="0"/>
          <w:sz w:val="24"/>
          <w14:ligatures w14:val="none"/>
        </w:rPr>
        <w:t>The Virtual Hospital</w:t>
      </w:r>
      <w:r w:rsidRPr="0046755A">
        <w:rPr>
          <w:rFonts w:ascii="Times New Roman" w:eastAsia="Calibri" w:hAnsi="Times New Roman" w:cs="Times New Roman"/>
          <w:kern w:val="0"/>
          <w:sz w:val="24"/>
          <w14:ligatures w14:val="none"/>
        </w:rPr>
        <w:t> (pp. 55-70). Cham: Springer Nature Switzerland.</w:t>
      </w:r>
    </w:p>
    <w:p w14:paraId="6A5F6252"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 xml:space="preserve">Greenhalgh, T., Ladds, E., Hughes, G., Moore, L., </w:t>
      </w:r>
      <w:proofErr w:type="spellStart"/>
      <w:r w:rsidRPr="0046755A">
        <w:rPr>
          <w:rFonts w:ascii="Times New Roman" w:eastAsia="Calibri" w:hAnsi="Times New Roman" w:cs="Times New Roman"/>
          <w:kern w:val="0"/>
          <w:sz w:val="24"/>
          <w14:ligatures w14:val="none"/>
        </w:rPr>
        <w:t>Wherton</w:t>
      </w:r>
      <w:proofErr w:type="spellEnd"/>
      <w:r w:rsidRPr="0046755A">
        <w:rPr>
          <w:rFonts w:ascii="Times New Roman" w:eastAsia="Calibri" w:hAnsi="Times New Roman" w:cs="Times New Roman"/>
          <w:kern w:val="0"/>
          <w:sz w:val="24"/>
          <w14:ligatures w14:val="none"/>
        </w:rPr>
        <w:t xml:space="preserve">, J., Shaw, S.E., Papoutsi, C., Wieringa, S., Rosen, R., Rushforth, A. and </w:t>
      </w:r>
      <w:proofErr w:type="spellStart"/>
      <w:r w:rsidRPr="0046755A">
        <w:rPr>
          <w:rFonts w:ascii="Times New Roman" w:eastAsia="Calibri" w:hAnsi="Times New Roman" w:cs="Times New Roman"/>
          <w:kern w:val="0"/>
          <w:sz w:val="24"/>
          <w14:ligatures w14:val="none"/>
        </w:rPr>
        <w:t>Rybczynska</w:t>
      </w:r>
      <w:proofErr w:type="spellEnd"/>
      <w:r w:rsidRPr="0046755A">
        <w:rPr>
          <w:rFonts w:ascii="Times New Roman" w:eastAsia="Calibri" w:hAnsi="Times New Roman" w:cs="Times New Roman"/>
          <w:kern w:val="0"/>
          <w:sz w:val="24"/>
          <w14:ligatures w14:val="none"/>
        </w:rPr>
        <w:t>-Bunt, S., (2022). Why do GPs rarely do video consultations? qualitative study in UK general practice. </w:t>
      </w:r>
      <w:r w:rsidRPr="0046755A">
        <w:rPr>
          <w:rFonts w:ascii="Times New Roman" w:eastAsia="Calibri" w:hAnsi="Times New Roman" w:cs="Times New Roman"/>
          <w:i/>
          <w:iCs/>
          <w:kern w:val="0"/>
          <w:sz w:val="24"/>
          <w14:ligatures w14:val="none"/>
        </w:rPr>
        <w:t>British Journal of General Practice</w:t>
      </w:r>
      <w:r w:rsidRPr="0046755A">
        <w:rPr>
          <w:rFonts w:ascii="Times New Roman" w:eastAsia="Calibri" w:hAnsi="Times New Roman" w:cs="Times New Roman"/>
          <w:kern w:val="0"/>
          <w:sz w:val="24"/>
          <w14:ligatures w14:val="none"/>
        </w:rPr>
        <w:t>.</w:t>
      </w:r>
    </w:p>
    <w:p w14:paraId="684BDBBF"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proofErr w:type="spellStart"/>
      <w:r w:rsidRPr="0046755A">
        <w:rPr>
          <w:rFonts w:ascii="Times New Roman" w:eastAsia="Calibri" w:hAnsi="Times New Roman" w:cs="Times New Roman"/>
          <w:kern w:val="0"/>
          <w:sz w:val="24"/>
          <w14:ligatures w14:val="none"/>
        </w:rPr>
        <w:t>Kerasidou</w:t>
      </w:r>
      <w:proofErr w:type="spellEnd"/>
      <w:r w:rsidRPr="0046755A">
        <w:rPr>
          <w:rFonts w:ascii="Times New Roman" w:eastAsia="Calibri" w:hAnsi="Times New Roman" w:cs="Times New Roman"/>
          <w:kern w:val="0"/>
          <w:sz w:val="24"/>
          <w14:ligatures w14:val="none"/>
        </w:rPr>
        <w:t xml:space="preserve">, A. and </w:t>
      </w:r>
      <w:proofErr w:type="spellStart"/>
      <w:r w:rsidRPr="0046755A">
        <w:rPr>
          <w:rFonts w:ascii="Times New Roman" w:eastAsia="Calibri" w:hAnsi="Times New Roman" w:cs="Times New Roman"/>
          <w:kern w:val="0"/>
          <w:sz w:val="24"/>
          <w14:ligatures w14:val="none"/>
        </w:rPr>
        <w:t>Kerasidou</w:t>
      </w:r>
      <w:proofErr w:type="spellEnd"/>
      <w:r w:rsidRPr="0046755A">
        <w:rPr>
          <w:rFonts w:ascii="Times New Roman" w:eastAsia="Calibri" w:hAnsi="Times New Roman" w:cs="Times New Roman"/>
          <w:kern w:val="0"/>
          <w:sz w:val="24"/>
          <w14:ligatures w14:val="none"/>
        </w:rPr>
        <w:t>, C., (2023). Data-driven research and healthcare: public trust, data governance and the NHS. </w:t>
      </w:r>
      <w:r w:rsidRPr="0046755A">
        <w:rPr>
          <w:rFonts w:ascii="Times New Roman" w:eastAsia="Calibri" w:hAnsi="Times New Roman" w:cs="Times New Roman"/>
          <w:i/>
          <w:iCs/>
          <w:kern w:val="0"/>
          <w:sz w:val="24"/>
          <w14:ligatures w14:val="none"/>
        </w:rPr>
        <w:t>BMC medical ethics</w:t>
      </w:r>
      <w:r w:rsidRPr="0046755A">
        <w:rPr>
          <w:rFonts w:ascii="Times New Roman" w:eastAsia="Calibri" w:hAnsi="Times New Roman" w:cs="Times New Roman"/>
          <w:kern w:val="0"/>
          <w:sz w:val="24"/>
          <w14:ligatures w14:val="none"/>
        </w:rPr>
        <w:t>, </w:t>
      </w:r>
      <w:r w:rsidRPr="0046755A">
        <w:rPr>
          <w:rFonts w:ascii="Times New Roman" w:eastAsia="Calibri" w:hAnsi="Times New Roman" w:cs="Times New Roman"/>
          <w:i/>
          <w:iCs/>
          <w:kern w:val="0"/>
          <w:sz w:val="24"/>
          <w14:ligatures w14:val="none"/>
        </w:rPr>
        <w:t>24</w:t>
      </w:r>
      <w:r w:rsidRPr="0046755A">
        <w:rPr>
          <w:rFonts w:ascii="Times New Roman" w:eastAsia="Calibri" w:hAnsi="Times New Roman" w:cs="Times New Roman"/>
          <w:kern w:val="0"/>
          <w:sz w:val="24"/>
          <w14:ligatures w14:val="none"/>
        </w:rPr>
        <w:t>(1), p.51.</w:t>
      </w:r>
    </w:p>
    <w:p w14:paraId="413A272C"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proofErr w:type="spellStart"/>
      <w:r w:rsidRPr="0046755A">
        <w:rPr>
          <w:rFonts w:ascii="Times New Roman" w:eastAsia="Calibri" w:hAnsi="Times New Roman" w:cs="Times New Roman"/>
          <w:kern w:val="0"/>
          <w:sz w:val="24"/>
          <w14:ligatures w14:val="none"/>
        </w:rPr>
        <w:t>Kunonga</w:t>
      </w:r>
      <w:proofErr w:type="spellEnd"/>
      <w:r w:rsidRPr="0046755A">
        <w:rPr>
          <w:rFonts w:ascii="Times New Roman" w:eastAsia="Calibri" w:hAnsi="Times New Roman" w:cs="Times New Roman"/>
          <w:kern w:val="0"/>
          <w:sz w:val="24"/>
          <w14:ligatures w14:val="none"/>
        </w:rPr>
        <w:t>, T.P., Spiers, G.F., Beyer, F.R., Hanratty, B., Boulton, E., Hall, A., Bower, P., Todd, C. and Craig, D., (2021). Effects of digital technologies on older people’s access to health and social care: umbrella review. </w:t>
      </w:r>
      <w:r w:rsidRPr="0046755A">
        <w:rPr>
          <w:rFonts w:ascii="Times New Roman" w:eastAsia="Calibri" w:hAnsi="Times New Roman" w:cs="Times New Roman"/>
          <w:i/>
          <w:iCs/>
          <w:kern w:val="0"/>
          <w:sz w:val="24"/>
          <w14:ligatures w14:val="none"/>
        </w:rPr>
        <w:t>Journal of medical Internet research</w:t>
      </w:r>
      <w:r w:rsidRPr="0046755A">
        <w:rPr>
          <w:rFonts w:ascii="Times New Roman" w:eastAsia="Calibri" w:hAnsi="Times New Roman" w:cs="Times New Roman"/>
          <w:kern w:val="0"/>
          <w:sz w:val="24"/>
          <w14:ligatures w14:val="none"/>
        </w:rPr>
        <w:t>, </w:t>
      </w:r>
      <w:r w:rsidRPr="0046755A">
        <w:rPr>
          <w:rFonts w:ascii="Times New Roman" w:eastAsia="Calibri" w:hAnsi="Times New Roman" w:cs="Times New Roman"/>
          <w:i/>
          <w:iCs/>
          <w:kern w:val="0"/>
          <w:sz w:val="24"/>
          <w14:ligatures w14:val="none"/>
        </w:rPr>
        <w:t>23</w:t>
      </w:r>
      <w:r w:rsidRPr="0046755A">
        <w:rPr>
          <w:rFonts w:ascii="Times New Roman" w:eastAsia="Calibri" w:hAnsi="Times New Roman" w:cs="Times New Roman"/>
          <w:kern w:val="0"/>
          <w:sz w:val="24"/>
          <w14:ligatures w14:val="none"/>
        </w:rPr>
        <w:t>(11), p.e25887.</w:t>
      </w:r>
    </w:p>
    <w:p w14:paraId="6EFD9554"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 xml:space="preserve">Latif, S.Z., Turnbull-Ross, J., Wang, H. and Chowdhury, S., (2021). 42 Measuring disruption of UK general practice by digital first primary care: a case study examining the impact of </w:t>
      </w:r>
      <w:proofErr w:type="spellStart"/>
      <w:r w:rsidRPr="0046755A">
        <w:rPr>
          <w:rFonts w:ascii="Times New Roman" w:eastAsia="Calibri" w:hAnsi="Times New Roman" w:cs="Times New Roman"/>
          <w:kern w:val="0"/>
          <w:sz w:val="24"/>
          <w14:ligatures w14:val="none"/>
        </w:rPr>
        <w:t>babylon</w:t>
      </w:r>
      <w:proofErr w:type="spellEnd"/>
      <w:r w:rsidRPr="0046755A">
        <w:rPr>
          <w:rFonts w:ascii="Times New Roman" w:eastAsia="Calibri" w:hAnsi="Times New Roman" w:cs="Times New Roman"/>
          <w:kern w:val="0"/>
          <w:sz w:val="24"/>
          <w14:ligatures w14:val="none"/>
        </w:rPr>
        <w:t xml:space="preserve"> GP at hand in London.</w:t>
      </w:r>
    </w:p>
    <w:p w14:paraId="1156A943"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Mahase, E., (2023). Babylon looks to sell GP at hand and other UK business amid financial issues. </w:t>
      </w:r>
      <w:r w:rsidRPr="0046755A">
        <w:rPr>
          <w:rFonts w:ascii="Times New Roman" w:eastAsia="Calibri" w:hAnsi="Times New Roman" w:cs="Times New Roman"/>
          <w:i/>
          <w:iCs/>
          <w:kern w:val="0"/>
          <w:sz w:val="24"/>
          <w14:ligatures w14:val="none"/>
        </w:rPr>
        <w:t>BMJ: British Medical Journal (Online)</w:t>
      </w:r>
      <w:r w:rsidRPr="0046755A">
        <w:rPr>
          <w:rFonts w:ascii="Times New Roman" w:eastAsia="Calibri" w:hAnsi="Times New Roman" w:cs="Times New Roman"/>
          <w:kern w:val="0"/>
          <w:sz w:val="24"/>
          <w14:ligatures w14:val="none"/>
        </w:rPr>
        <w:t>, </w:t>
      </w:r>
      <w:r w:rsidRPr="0046755A">
        <w:rPr>
          <w:rFonts w:ascii="Times New Roman" w:eastAsia="Calibri" w:hAnsi="Times New Roman" w:cs="Times New Roman"/>
          <w:i/>
          <w:iCs/>
          <w:kern w:val="0"/>
          <w:sz w:val="24"/>
          <w14:ligatures w14:val="none"/>
        </w:rPr>
        <w:t>382</w:t>
      </w:r>
      <w:r w:rsidRPr="0046755A">
        <w:rPr>
          <w:rFonts w:ascii="Times New Roman" w:eastAsia="Calibri" w:hAnsi="Times New Roman" w:cs="Times New Roman"/>
          <w:kern w:val="0"/>
          <w:sz w:val="24"/>
          <w14:ligatures w14:val="none"/>
        </w:rPr>
        <w:t>, p.p1835.</w:t>
      </w:r>
    </w:p>
    <w:p w14:paraId="44A818A0"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Murphy, M., Scott, L.J., Salisbury, C., Turner, A., Scott, A., Denholm, R., Lewis, R., Iyer, G., Macleod, J. and Horwood, J., (2021). Implementation of remote consulting in UK primary care following the COVID-19 pandemic: a mixed-methods longitudinal study. </w:t>
      </w:r>
      <w:r w:rsidRPr="0046755A">
        <w:rPr>
          <w:rFonts w:ascii="Times New Roman" w:eastAsia="Calibri" w:hAnsi="Times New Roman" w:cs="Times New Roman"/>
          <w:i/>
          <w:iCs/>
          <w:kern w:val="0"/>
          <w:sz w:val="24"/>
          <w14:ligatures w14:val="none"/>
        </w:rPr>
        <w:t>British Journal of General Practice</w:t>
      </w:r>
      <w:r w:rsidRPr="0046755A">
        <w:rPr>
          <w:rFonts w:ascii="Times New Roman" w:eastAsia="Calibri" w:hAnsi="Times New Roman" w:cs="Times New Roman"/>
          <w:kern w:val="0"/>
          <w:sz w:val="24"/>
          <w14:ligatures w14:val="none"/>
        </w:rPr>
        <w:t>.</w:t>
      </w:r>
    </w:p>
    <w:p w14:paraId="7FC58F2F" w14:textId="77777777" w:rsidR="0046755A" w:rsidRPr="0046755A" w:rsidRDefault="0046755A" w:rsidP="0046755A">
      <w:pPr>
        <w:spacing w:line="276" w:lineRule="auto"/>
        <w:ind w:left="720" w:hanging="720"/>
        <w:rPr>
          <w:rFonts w:ascii="Times New Roman" w:eastAsia="Calibri" w:hAnsi="Times New Roman" w:cs="Times New Roman"/>
          <w:kern w:val="0"/>
          <w:sz w:val="24"/>
          <w:lang w:val="en-US"/>
          <w14:ligatures w14:val="none"/>
        </w:rPr>
      </w:pPr>
      <w:r w:rsidRPr="0046755A">
        <w:rPr>
          <w:rFonts w:ascii="Times New Roman" w:eastAsia="Calibri" w:hAnsi="Times New Roman" w:cs="Times New Roman"/>
          <w:kern w:val="0"/>
          <w:sz w:val="24"/>
          <w:lang w:val="en-US"/>
          <w14:ligatures w14:val="none"/>
        </w:rPr>
        <w:t xml:space="preserve">NHS (2017). </w:t>
      </w:r>
      <w:r w:rsidRPr="0046755A">
        <w:rPr>
          <w:rFonts w:ascii="Times New Roman" w:eastAsia="Calibri" w:hAnsi="Times New Roman" w:cs="Times New Roman"/>
          <w:i/>
          <w:iCs/>
          <w:kern w:val="0"/>
          <w:sz w:val="24"/>
          <w:lang w:val="en-US"/>
          <w14:ligatures w14:val="none"/>
        </w:rPr>
        <w:t>Babylon GP at Hand</w:t>
      </w:r>
      <w:r w:rsidRPr="0046755A">
        <w:rPr>
          <w:rFonts w:ascii="Times New Roman" w:eastAsia="Calibri" w:hAnsi="Times New Roman" w:cs="Times New Roman"/>
          <w:kern w:val="0"/>
          <w:sz w:val="24"/>
          <w:lang w:val="en-US"/>
          <w14:ligatures w14:val="none"/>
        </w:rPr>
        <w:t xml:space="preserve">. [online] GP at hand. Available at: </w:t>
      </w:r>
      <w:hyperlink r:id="rId7" w:history="1">
        <w:r w:rsidRPr="0046755A">
          <w:rPr>
            <w:rFonts w:ascii="Times New Roman" w:eastAsia="Calibri" w:hAnsi="Times New Roman" w:cs="Times New Roman"/>
            <w:color w:val="0563C1"/>
            <w:kern w:val="0"/>
            <w:sz w:val="24"/>
            <w:u w:val="single"/>
            <w:lang w:val="en-US"/>
            <w14:ligatures w14:val="none"/>
          </w:rPr>
          <w:t>https://www.gpathand.nhs.uk/</w:t>
        </w:r>
      </w:hyperlink>
      <w:r w:rsidRPr="0046755A">
        <w:rPr>
          <w:rFonts w:ascii="Times New Roman" w:eastAsia="Calibri" w:hAnsi="Times New Roman" w:cs="Times New Roman"/>
          <w:kern w:val="0"/>
          <w:sz w:val="24"/>
          <w:lang w:val="en-US"/>
          <w14:ligatures w14:val="none"/>
        </w:rPr>
        <w:t xml:space="preserve"> [Accessed 16 Oct. 2025].</w:t>
      </w:r>
    </w:p>
    <w:p w14:paraId="5912EED7" w14:textId="77777777" w:rsidR="0046755A" w:rsidRPr="0046755A" w:rsidRDefault="0046755A" w:rsidP="0046755A">
      <w:pPr>
        <w:spacing w:line="276" w:lineRule="auto"/>
        <w:ind w:left="720" w:hanging="720"/>
        <w:rPr>
          <w:rFonts w:ascii="Times New Roman" w:eastAsia="Calibri" w:hAnsi="Times New Roman" w:cs="Times New Roman"/>
          <w:kern w:val="0"/>
          <w:sz w:val="24"/>
          <w:lang w:val="en-US"/>
          <w14:ligatures w14:val="none"/>
        </w:rPr>
      </w:pPr>
      <w:r w:rsidRPr="0046755A">
        <w:rPr>
          <w:rFonts w:ascii="Times New Roman" w:eastAsia="Calibri" w:hAnsi="Times New Roman" w:cs="Times New Roman"/>
          <w:kern w:val="0"/>
          <w:sz w:val="24"/>
          <w:lang w:val="en-US"/>
          <w14:ligatures w14:val="none"/>
        </w:rPr>
        <w:t xml:space="preserve">NHS (2019). </w:t>
      </w:r>
      <w:r w:rsidRPr="0046755A">
        <w:rPr>
          <w:rFonts w:ascii="Times New Roman" w:eastAsia="Calibri" w:hAnsi="Times New Roman" w:cs="Times New Roman"/>
          <w:i/>
          <w:iCs/>
          <w:kern w:val="0"/>
          <w:sz w:val="24"/>
          <w:lang w:val="en-US"/>
          <w14:ligatures w14:val="none"/>
        </w:rPr>
        <w:t>Digital-First Primary Care Policy consultation on patient registration, funding and contracting rules</w:t>
      </w:r>
      <w:r w:rsidRPr="0046755A">
        <w:rPr>
          <w:rFonts w:ascii="Times New Roman" w:eastAsia="Calibri" w:hAnsi="Times New Roman" w:cs="Times New Roman"/>
          <w:kern w:val="0"/>
          <w:sz w:val="24"/>
          <w:lang w:val="en-US"/>
          <w14:ligatures w14:val="none"/>
        </w:rPr>
        <w:t xml:space="preserve">. [online] Available at: </w:t>
      </w:r>
      <w:hyperlink r:id="rId8" w:history="1">
        <w:r w:rsidRPr="0046755A">
          <w:rPr>
            <w:rFonts w:ascii="Times New Roman" w:eastAsia="Calibri" w:hAnsi="Times New Roman" w:cs="Times New Roman"/>
            <w:color w:val="0563C1"/>
            <w:kern w:val="0"/>
            <w:sz w:val="24"/>
            <w:u w:val="single"/>
            <w:lang w:val="en-US"/>
            <w14:ligatures w14:val="none"/>
          </w:rPr>
          <w:t>https://www.engage.england.nhs.uk/consultation/digital-first-primary-care-policy/user_uploads/digital-first-primary-care-consultation.pdf</w:t>
        </w:r>
      </w:hyperlink>
      <w:r w:rsidRPr="0046755A">
        <w:rPr>
          <w:rFonts w:ascii="Times New Roman" w:eastAsia="Calibri" w:hAnsi="Times New Roman" w:cs="Times New Roman"/>
          <w:kern w:val="0"/>
          <w:sz w:val="24"/>
          <w:lang w:val="en-US"/>
          <w14:ligatures w14:val="none"/>
        </w:rPr>
        <w:t xml:space="preserve"> [Accessed 16 Oct. 2025].</w:t>
      </w:r>
    </w:p>
    <w:p w14:paraId="4661962E" w14:textId="77777777" w:rsidR="0046755A" w:rsidRPr="0046755A" w:rsidRDefault="0046755A" w:rsidP="0046755A">
      <w:pPr>
        <w:spacing w:line="276" w:lineRule="auto"/>
        <w:ind w:left="720" w:hanging="720"/>
        <w:rPr>
          <w:rFonts w:ascii="Times New Roman" w:eastAsia="Calibri" w:hAnsi="Times New Roman" w:cs="Times New Roman"/>
          <w:kern w:val="0"/>
          <w:sz w:val="24"/>
          <w:lang w:val="en-US"/>
          <w14:ligatures w14:val="none"/>
        </w:rPr>
      </w:pPr>
      <w:r w:rsidRPr="0046755A">
        <w:rPr>
          <w:rFonts w:ascii="Times New Roman" w:eastAsia="Calibri" w:hAnsi="Times New Roman" w:cs="Times New Roman"/>
          <w:kern w:val="0"/>
          <w:sz w:val="24"/>
          <w:lang w:val="en-US"/>
          <w14:ligatures w14:val="none"/>
        </w:rPr>
        <w:lastRenderedPageBreak/>
        <w:t xml:space="preserve">NHS England (2019). </w:t>
      </w:r>
      <w:r w:rsidRPr="0046755A">
        <w:rPr>
          <w:rFonts w:ascii="Times New Roman" w:eastAsia="Calibri" w:hAnsi="Times New Roman" w:cs="Times New Roman"/>
          <w:i/>
          <w:iCs/>
          <w:kern w:val="0"/>
          <w:sz w:val="24"/>
          <w:lang w:val="en-US"/>
          <w14:ligatures w14:val="none"/>
        </w:rPr>
        <w:t>NHS England» Missed GP appointments costing NHS millions</w:t>
      </w:r>
      <w:r w:rsidRPr="0046755A">
        <w:rPr>
          <w:rFonts w:ascii="Times New Roman" w:eastAsia="Calibri" w:hAnsi="Times New Roman" w:cs="Times New Roman"/>
          <w:kern w:val="0"/>
          <w:sz w:val="24"/>
          <w:lang w:val="en-US"/>
          <w14:ligatures w14:val="none"/>
        </w:rPr>
        <w:t xml:space="preserve">. [online] England.nhs.uk. Available at: </w:t>
      </w:r>
      <w:hyperlink r:id="rId9" w:history="1">
        <w:r w:rsidRPr="0046755A">
          <w:rPr>
            <w:rFonts w:ascii="Times New Roman" w:eastAsia="Calibri" w:hAnsi="Times New Roman" w:cs="Times New Roman"/>
            <w:color w:val="0563C1"/>
            <w:kern w:val="0"/>
            <w:sz w:val="24"/>
            <w:u w:val="single"/>
            <w:lang w:val="en-US"/>
            <w14:ligatures w14:val="none"/>
          </w:rPr>
          <w:t>https://www.england.nhs.uk/2019/01/missed-gp-appointments-costing-nhs-millions/</w:t>
        </w:r>
      </w:hyperlink>
      <w:r w:rsidRPr="0046755A">
        <w:rPr>
          <w:rFonts w:ascii="Times New Roman" w:eastAsia="Calibri" w:hAnsi="Times New Roman" w:cs="Times New Roman"/>
          <w:kern w:val="0"/>
          <w:sz w:val="24"/>
          <w:lang w:val="en-US"/>
          <w14:ligatures w14:val="none"/>
        </w:rPr>
        <w:t xml:space="preserve"> [Accessed 16 Oct. 2025].</w:t>
      </w:r>
    </w:p>
    <w:p w14:paraId="28CB4804" w14:textId="77777777" w:rsidR="0046755A" w:rsidRPr="0046755A" w:rsidRDefault="0046755A" w:rsidP="0046755A">
      <w:pPr>
        <w:spacing w:line="276" w:lineRule="auto"/>
        <w:ind w:left="720" w:hanging="720"/>
        <w:rPr>
          <w:rFonts w:ascii="Times New Roman" w:eastAsia="Calibri" w:hAnsi="Times New Roman" w:cs="Times New Roman"/>
          <w:kern w:val="0"/>
          <w:sz w:val="24"/>
          <w:lang w:val="en-US"/>
          <w14:ligatures w14:val="none"/>
        </w:rPr>
      </w:pPr>
      <w:r w:rsidRPr="0046755A">
        <w:rPr>
          <w:rFonts w:ascii="Times New Roman" w:eastAsia="Calibri" w:hAnsi="Times New Roman" w:cs="Times New Roman"/>
          <w:kern w:val="0"/>
          <w:sz w:val="24"/>
          <w:lang w:val="en-US"/>
          <w14:ligatures w14:val="none"/>
        </w:rPr>
        <w:t xml:space="preserve">Palmer, B. (2019). </w:t>
      </w:r>
      <w:r w:rsidRPr="0046755A">
        <w:rPr>
          <w:rFonts w:ascii="Times New Roman" w:eastAsia="Calibri" w:hAnsi="Times New Roman" w:cs="Times New Roman"/>
          <w:i/>
          <w:iCs/>
          <w:kern w:val="0"/>
          <w:sz w:val="24"/>
          <w:lang w:val="en-US"/>
          <w14:ligatures w14:val="none"/>
        </w:rPr>
        <w:t>Is the number of GPs falling across the UK?</w:t>
      </w:r>
      <w:r w:rsidRPr="0046755A">
        <w:rPr>
          <w:rFonts w:ascii="Times New Roman" w:eastAsia="Calibri" w:hAnsi="Times New Roman" w:cs="Times New Roman"/>
          <w:kern w:val="0"/>
          <w:sz w:val="24"/>
          <w:lang w:val="en-US"/>
          <w14:ligatures w14:val="none"/>
        </w:rPr>
        <w:t xml:space="preserve"> [online] The Nuffield Trust. Available at: </w:t>
      </w:r>
      <w:hyperlink r:id="rId10" w:history="1">
        <w:r w:rsidRPr="0046755A">
          <w:rPr>
            <w:rFonts w:ascii="Times New Roman" w:eastAsia="Calibri" w:hAnsi="Times New Roman" w:cs="Times New Roman"/>
            <w:color w:val="0563C1"/>
            <w:kern w:val="0"/>
            <w:sz w:val="24"/>
            <w:u w:val="single"/>
            <w:lang w:val="en-US"/>
            <w14:ligatures w14:val="none"/>
          </w:rPr>
          <w:t>https://www.nuffieldtrust.org.uk/news-item/is-the-number-of-gps-falling-across-the-uk</w:t>
        </w:r>
      </w:hyperlink>
      <w:r w:rsidRPr="0046755A">
        <w:rPr>
          <w:rFonts w:ascii="Times New Roman" w:eastAsia="Calibri" w:hAnsi="Times New Roman" w:cs="Times New Roman"/>
          <w:kern w:val="0"/>
          <w:sz w:val="24"/>
          <w:lang w:val="en-US"/>
          <w14:ligatures w14:val="none"/>
        </w:rPr>
        <w:t xml:space="preserve"> [Accessed 16 Oct. 2025].</w:t>
      </w:r>
    </w:p>
    <w:p w14:paraId="19968B1C"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proofErr w:type="spellStart"/>
      <w:r w:rsidRPr="0046755A">
        <w:rPr>
          <w:rFonts w:ascii="Times New Roman" w:eastAsia="Calibri" w:hAnsi="Times New Roman" w:cs="Times New Roman"/>
          <w:kern w:val="0"/>
          <w:sz w:val="24"/>
          <w14:ligatures w14:val="none"/>
        </w:rPr>
        <w:t>Quattri</w:t>
      </w:r>
      <w:proofErr w:type="spellEnd"/>
      <w:r w:rsidRPr="0046755A">
        <w:rPr>
          <w:rFonts w:ascii="Times New Roman" w:eastAsia="Calibri" w:hAnsi="Times New Roman" w:cs="Times New Roman"/>
          <w:kern w:val="0"/>
          <w:sz w:val="24"/>
          <w14:ligatures w14:val="none"/>
        </w:rPr>
        <w:t>, F., (2023). Medicalisation in Healthcare. In </w:t>
      </w:r>
      <w:r w:rsidRPr="0046755A">
        <w:rPr>
          <w:rFonts w:ascii="Times New Roman" w:eastAsia="Calibri" w:hAnsi="Times New Roman" w:cs="Times New Roman"/>
          <w:i/>
          <w:iCs/>
          <w:kern w:val="0"/>
          <w:sz w:val="24"/>
          <w14:ligatures w14:val="none"/>
        </w:rPr>
        <w:t>Gaps and Actions in Health Improvement from Hong Kong and Beyond: All for Health</w:t>
      </w:r>
      <w:r w:rsidRPr="0046755A">
        <w:rPr>
          <w:rFonts w:ascii="Times New Roman" w:eastAsia="Calibri" w:hAnsi="Times New Roman" w:cs="Times New Roman"/>
          <w:kern w:val="0"/>
          <w:sz w:val="24"/>
          <w14:ligatures w14:val="none"/>
        </w:rPr>
        <w:t> (pp. 401-419). Singapore: Springer Nature Singapore.</w:t>
      </w:r>
    </w:p>
    <w:p w14:paraId="3F6379DA"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Sexton, V., Dale, J., Bryce, C., Barry, J., Sellers, E. and Atherton, H., (2022). Service use, clinical outcomes and user experience associated with urgent care services that use telephone-based digital triage: a systematic review. </w:t>
      </w:r>
      <w:r w:rsidRPr="0046755A">
        <w:rPr>
          <w:rFonts w:ascii="Times New Roman" w:eastAsia="Calibri" w:hAnsi="Times New Roman" w:cs="Times New Roman"/>
          <w:i/>
          <w:iCs/>
          <w:kern w:val="0"/>
          <w:sz w:val="24"/>
          <w14:ligatures w14:val="none"/>
        </w:rPr>
        <w:t>BMJ open</w:t>
      </w:r>
      <w:r w:rsidRPr="0046755A">
        <w:rPr>
          <w:rFonts w:ascii="Times New Roman" w:eastAsia="Calibri" w:hAnsi="Times New Roman" w:cs="Times New Roman"/>
          <w:kern w:val="0"/>
          <w:sz w:val="24"/>
          <w14:ligatures w14:val="none"/>
        </w:rPr>
        <w:t>, </w:t>
      </w:r>
      <w:r w:rsidRPr="0046755A">
        <w:rPr>
          <w:rFonts w:ascii="Times New Roman" w:eastAsia="Calibri" w:hAnsi="Times New Roman" w:cs="Times New Roman"/>
          <w:i/>
          <w:iCs/>
          <w:kern w:val="0"/>
          <w:sz w:val="24"/>
          <w14:ligatures w14:val="none"/>
        </w:rPr>
        <w:t>12</w:t>
      </w:r>
      <w:r w:rsidRPr="0046755A">
        <w:rPr>
          <w:rFonts w:ascii="Times New Roman" w:eastAsia="Calibri" w:hAnsi="Times New Roman" w:cs="Times New Roman"/>
          <w:kern w:val="0"/>
          <w:sz w:val="24"/>
          <w14:ligatures w14:val="none"/>
        </w:rPr>
        <w:t>(1), p.e051569.</w:t>
      </w:r>
    </w:p>
    <w:p w14:paraId="66468160"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Shah, B. and Gupta, E.V., (2025). Ethics and Privacy in AI-Driven Healthcare Decision Support Systems.</w:t>
      </w:r>
    </w:p>
    <w:p w14:paraId="39DE3045"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SWARGIARY, K., (2025). </w:t>
      </w:r>
      <w:r w:rsidRPr="0046755A">
        <w:rPr>
          <w:rFonts w:ascii="Times New Roman" w:eastAsia="Calibri" w:hAnsi="Times New Roman" w:cs="Times New Roman"/>
          <w:i/>
          <w:iCs/>
          <w:kern w:val="0"/>
          <w:sz w:val="24"/>
          <w14:ligatures w14:val="none"/>
        </w:rPr>
        <w:t>Can AI Be Your Family Doctor? A New Era in Personalised Healthcare</w:t>
      </w:r>
      <w:r w:rsidRPr="0046755A">
        <w:rPr>
          <w:rFonts w:ascii="Times New Roman" w:eastAsia="Calibri" w:hAnsi="Times New Roman" w:cs="Times New Roman"/>
          <w:kern w:val="0"/>
          <w:sz w:val="24"/>
          <w14:ligatures w14:val="none"/>
        </w:rPr>
        <w:t>. GOOGLE.</w:t>
      </w:r>
    </w:p>
    <w:p w14:paraId="1BEE8C3A"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Wellings, D., Jefferies, D., Maguire, D., Appleby, J., Hemmings, N., Morris, J. and Schlepper, L., (2022). Public satisfaction with the NHS and social care in 2021: results from the British Social Attitudes survey. </w:t>
      </w:r>
      <w:r w:rsidRPr="0046755A">
        <w:rPr>
          <w:rFonts w:ascii="Times New Roman" w:eastAsia="Calibri" w:hAnsi="Times New Roman" w:cs="Times New Roman"/>
          <w:i/>
          <w:iCs/>
          <w:kern w:val="0"/>
          <w:sz w:val="24"/>
          <w14:ligatures w14:val="none"/>
        </w:rPr>
        <w:t>Kings Fund and the Nuffield Trust</w:t>
      </w:r>
      <w:r w:rsidRPr="0046755A">
        <w:rPr>
          <w:rFonts w:ascii="Times New Roman" w:eastAsia="Calibri" w:hAnsi="Times New Roman" w:cs="Times New Roman"/>
          <w:kern w:val="0"/>
          <w:sz w:val="24"/>
          <w14:ligatures w14:val="none"/>
        </w:rPr>
        <w:t>.</w:t>
      </w:r>
    </w:p>
    <w:p w14:paraId="298659A6"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Winward, S., Patel, T., Al-Saffar, M. and Noble, M., (2021). The effect of 24/7, digital-first, NHS primary care on acute hospital spending: retrospective observational analysis. </w:t>
      </w:r>
      <w:r w:rsidRPr="0046755A">
        <w:rPr>
          <w:rFonts w:ascii="Times New Roman" w:eastAsia="Calibri" w:hAnsi="Times New Roman" w:cs="Times New Roman"/>
          <w:i/>
          <w:iCs/>
          <w:kern w:val="0"/>
          <w:sz w:val="24"/>
          <w14:ligatures w14:val="none"/>
        </w:rPr>
        <w:t>Journal of Medical Internet Research</w:t>
      </w:r>
      <w:r w:rsidRPr="0046755A">
        <w:rPr>
          <w:rFonts w:ascii="Times New Roman" w:eastAsia="Calibri" w:hAnsi="Times New Roman" w:cs="Times New Roman"/>
          <w:kern w:val="0"/>
          <w:sz w:val="24"/>
          <w14:ligatures w14:val="none"/>
        </w:rPr>
        <w:t>, </w:t>
      </w:r>
      <w:r w:rsidRPr="0046755A">
        <w:rPr>
          <w:rFonts w:ascii="Times New Roman" w:eastAsia="Calibri" w:hAnsi="Times New Roman" w:cs="Times New Roman"/>
          <w:i/>
          <w:iCs/>
          <w:kern w:val="0"/>
          <w:sz w:val="24"/>
          <w14:ligatures w14:val="none"/>
        </w:rPr>
        <w:t>23</w:t>
      </w:r>
      <w:r w:rsidRPr="0046755A">
        <w:rPr>
          <w:rFonts w:ascii="Times New Roman" w:eastAsia="Calibri" w:hAnsi="Times New Roman" w:cs="Times New Roman"/>
          <w:kern w:val="0"/>
          <w:sz w:val="24"/>
          <w14:ligatures w14:val="none"/>
        </w:rPr>
        <w:t>(7), p.e24917.</w:t>
      </w:r>
    </w:p>
    <w:p w14:paraId="222A0136" w14:textId="77777777" w:rsidR="0046755A" w:rsidRPr="0046755A" w:rsidRDefault="0046755A" w:rsidP="0046755A">
      <w:pPr>
        <w:spacing w:line="276" w:lineRule="auto"/>
        <w:ind w:left="720" w:hanging="720"/>
        <w:rPr>
          <w:rFonts w:ascii="Times New Roman" w:eastAsia="Calibri" w:hAnsi="Times New Roman" w:cs="Times New Roman"/>
          <w:kern w:val="0"/>
          <w:sz w:val="24"/>
          <w14:ligatures w14:val="none"/>
        </w:rPr>
      </w:pPr>
      <w:r w:rsidRPr="0046755A">
        <w:rPr>
          <w:rFonts w:ascii="Times New Roman" w:eastAsia="Calibri" w:hAnsi="Times New Roman" w:cs="Times New Roman"/>
          <w:kern w:val="0"/>
          <w:sz w:val="24"/>
          <w14:ligatures w14:val="none"/>
        </w:rPr>
        <w:t>Young, R.A., (2025). Thirty‐Five Years of General Practice Payment and Administration in England. </w:t>
      </w:r>
      <w:r w:rsidRPr="0046755A">
        <w:rPr>
          <w:rFonts w:ascii="Times New Roman" w:eastAsia="Calibri" w:hAnsi="Times New Roman" w:cs="Times New Roman"/>
          <w:i/>
          <w:iCs/>
          <w:kern w:val="0"/>
          <w:sz w:val="24"/>
          <w14:ligatures w14:val="none"/>
        </w:rPr>
        <w:t>Journal of Evaluation in Clinical Practice</w:t>
      </w:r>
      <w:r w:rsidRPr="0046755A">
        <w:rPr>
          <w:rFonts w:ascii="Times New Roman" w:eastAsia="Calibri" w:hAnsi="Times New Roman" w:cs="Times New Roman"/>
          <w:kern w:val="0"/>
          <w:sz w:val="24"/>
          <w14:ligatures w14:val="none"/>
        </w:rPr>
        <w:t>, </w:t>
      </w:r>
      <w:r w:rsidRPr="0046755A">
        <w:rPr>
          <w:rFonts w:ascii="Times New Roman" w:eastAsia="Calibri" w:hAnsi="Times New Roman" w:cs="Times New Roman"/>
          <w:i/>
          <w:iCs/>
          <w:kern w:val="0"/>
          <w:sz w:val="24"/>
          <w14:ligatures w14:val="none"/>
        </w:rPr>
        <w:t>31</w:t>
      </w:r>
      <w:r w:rsidRPr="0046755A">
        <w:rPr>
          <w:rFonts w:ascii="Times New Roman" w:eastAsia="Calibri" w:hAnsi="Times New Roman" w:cs="Times New Roman"/>
          <w:kern w:val="0"/>
          <w:sz w:val="24"/>
          <w14:ligatures w14:val="none"/>
        </w:rPr>
        <w:t>(3), p.e70064.</w:t>
      </w:r>
    </w:p>
    <w:p w14:paraId="315EF926" w14:textId="77777777" w:rsidR="008571E8" w:rsidRDefault="008571E8"/>
    <w:sectPr w:rsidR="008571E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13E2D" w14:textId="77777777" w:rsidR="001242F9" w:rsidRDefault="001242F9" w:rsidP="0046755A">
      <w:pPr>
        <w:spacing w:after="0" w:line="240" w:lineRule="auto"/>
      </w:pPr>
      <w:r>
        <w:separator/>
      </w:r>
    </w:p>
  </w:endnote>
  <w:endnote w:type="continuationSeparator" w:id="0">
    <w:p w14:paraId="4B878197" w14:textId="77777777" w:rsidR="001242F9" w:rsidRDefault="001242F9" w:rsidP="00467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F5683" w14:textId="77777777" w:rsidR="001242F9" w:rsidRDefault="001242F9" w:rsidP="0046755A">
      <w:pPr>
        <w:spacing w:after="0" w:line="240" w:lineRule="auto"/>
      </w:pPr>
      <w:r>
        <w:separator/>
      </w:r>
    </w:p>
  </w:footnote>
  <w:footnote w:type="continuationSeparator" w:id="0">
    <w:p w14:paraId="17880465" w14:textId="77777777" w:rsidR="001242F9" w:rsidRDefault="001242F9" w:rsidP="004675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8710661"/>
      <w:docPartObj>
        <w:docPartGallery w:val="Page Numbers (Top of Page)"/>
        <w:docPartUnique/>
      </w:docPartObj>
    </w:sdtPr>
    <w:sdtContent>
      <w:p w14:paraId="28682B68" w14:textId="61B58FDE" w:rsidR="0046755A" w:rsidRDefault="0046755A">
        <w:pPr>
          <w:pStyle w:val="Header"/>
          <w:jc w:val="right"/>
        </w:pPr>
        <w:r>
          <w:fldChar w:fldCharType="begin"/>
        </w:r>
        <w:r>
          <w:instrText>PAGE   \* MERGEFORMAT</w:instrText>
        </w:r>
        <w:r>
          <w:fldChar w:fldCharType="separate"/>
        </w:r>
        <w:r>
          <w:t>2</w:t>
        </w:r>
        <w:r>
          <w:fldChar w:fldCharType="end"/>
        </w:r>
      </w:p>
    </w:sdtContent>
  </w:sdt>
  <w:p w14:paraId="5A81E4BA" w14:textId="77777777" w:rsidR="0046755A" w:rsidRDefault="004675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DFD"/>
    <w:rsid w:val="00047DFD"/>
    <w:rsid w:val="00110A64"/>
    <w:rsid w:val="001242F9"/>
    <w:rsid w:val="00270D3F"/>
    <w:rsid w:val="00307282"/>
    <w:rsid w:val="0046755A"/>
    <w:rsid w:val="0069331D"/>
    <w:rsid w:val="00771A41"/>
    <w:rsid w:val="008571E8"/>
    <w:rsid w:val="00BD728C"/>
    <w:rsid w:val="00BF6885"/>
    <w:rsid w:val="00CC5800"/>
    <w:rsid w:val="00F60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D4589"/>
  <w15:chartTrackingRefBased/>
  <w15:docId w15:val="{CB54FC3A-4501-4662-AB97-5FC2931BD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DFD"/>
    <w:rPr>
      <w:rFonts w:eastAsiaTheme="majorEastAsia" w:cstheme="majorBidi"/>
      <w:color w:val="272727" w:themeColor="text1" w:themeTint="D8"/>
    </w:rPr>
  </w:style>
  <w:style w:type="paragraph" w:styleId="Title">
    <w:name w:val="Title"/>
    <w:basedOn w:val="Normal"/>
    <w:next w:val="Normal"/>
    <w:link w:val="TitleChar"/>
    <w:uiPriority w:val="10"/>
    <w:qFormat/>
    <w:rsid w:val="00047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DFD"/>
    <w:pPr>
      <w:spacing w:before="160"/>
      <w:jc w:val="center"/>
    </w:pPr>
    <w:rPr>
      <w:i/>
      <w:iCs/>
      <w:color w:val="404040" w:themeColor="text1" w:themeTint="BF"/>
    </w:rPr>
  </w:style>
  <w:style w:type="character" w:customStyle="1" w:styleId="QuoteChar">
    <w:name w:val="Quote Char"/>
    <w:basedOn w:val="DefaultParagraphFont"/>
    <w:link w:val="Quote"/>
    <w:uiPriority w:val="29"/>
    <w:rsid w:val="00047DFD"/>
    <w:rPr>
      <w:i/>
      <w:iCs/>
      <w:color w:val="404040" w:themeColor="text1" w:themeTint="BF"/>
    </w:rPr>
  </w:style>
  <w:style w:type="paragraph" w:styleId="ListParagraph">
    <w:name w:val="List Paragraph"/>
    <w:basedOn w:val="Normal"/>
    <w:uiPriority w:val="34"/>
    <w:qFormat/>
    <w:rsid w:val="00047DFD"/>
    <w:pPr>
      <w:ind w:left="720"/>
      <w:contextualSpacing/>
    </w:pPr>
  </w:style>
  <w:style w:type="character" w:styleId="IntenseEmphasis">
    <w:name w:val="Intense Emphasis"/>
    <w:basedOn w:val="DefaultParagraphFont"/>
    <w:uiPriority w:val="21"/>
    <w:qFormat/>
    <w:rsid w:val="00047DFD"/>
    <w:rPr>
      <w:i/>
      <w:iCs/>
      <w:color w:val="0F4761" w:themeColor="accent1" w:themeShade="BF"/>
    </w:rPr>
  </w:style>
  <w:style w:type="paragraph" w:styleId="IntenseQuote">
    <w:name w:val="Intense Quote"/>
    <w:basedOn w:val="Normal"/>
    <w:next w:val="Normal"/>
    <w:link w:val="IntenseQuoteChar"/>
    <w:uiPriority w:val="30"/>
    <w:qFormat/>
    <w:rsid w:val="00047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DFD"/>
    <w:rPr>
      <w:i/>
      <w:iCs/>
      <w:color w:val="0F4761" w:themeColor="accent1" w:themeShade="BF"/>
    </w:rPr>
  </w:style>
  <w:style w:type="character" w:styleId="IntenseReference">
    <w:name w:val="Intense Reference"/>
    <w:basedOn w:val="DefaultParagraphFont"/>
    <w:uiPriority w:val="32"/>
    <w:qFormat/>
    <w:rsid w:val="00047DFD"/>
    <w:rPr>
      <w:b/>
      <w:bCs/>
      <w:smallCaps/>
      <w:color w:val="0F4761" w:themeColor="accent1" w:themeShade="BF"/>
      <w:spacing w:val="5"/>
    </w:rPr>
  </w:style>
  <w:style w:type="paragraph" w:styleId="Header">
    <w:name w:val="header"/>
    <w:basedOn w:val="Normal"/>
    <w:link w:val="HeaderChar"/>
    <w:uiPriority w:val="99"/>
    <w:unhideWhenUsed/>
    <w:rsid w:val="00467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55A"/>
  </w:style>
  <w:style w:type="paragraph" w:styleId="Footer">
    <w:name w:val="footer"/>
    <w:basedOn w:val="Normal"/>
    <w:link w:val="FooterChar"/>
    <w:uiPriority w:val="99"/>
    <w:unhideWhenUsed/>
    <w:rsid w:val="00467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age.england.nhs.uk/consultation/digital-first-primary-care-policy/user_uploads/digital-first-primary-care-consultation.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pathand.nhs.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press-release/more-people-reporting-better-overall-hospital-experience-last-year-patien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nuffieldtrust.org.uk/news-item/is-the-number-of-gps-falling-across-the-uk" TargetMode="External"/><Relationship Id="rId4" Type="http://schemas.openxmlformats.org/officeDocument/2006/relationships/footnotes" Target="footnotes.xml"/><Relationship Id="rId9" Type="http://schemas.openxmlformats.org/officeDocument/2006/relationships/hyperlink" Target="https://www.england.nhs.uk/2019/01/missed-gp-appointments-costing-nhs-mill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3066</Words>
  <Characters>17477</Characters>
  <Application>Microsoft Office Word</Application>
  <DocSecurity>0</DocSecurity>
  <Lines>145</Lines>
  <Paragraphs>41</Paragraphs>
  <ScaleCrop>false</ScaleCrop>
  <Company/>
  <LinksUpToDate>false</LinksUpToDate>
  <CharactersWithSpaces>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sania ullah</dc:creator>
  <cp:keywords/>
  <dc:description/>
  <cp:lastModifiedBy>sania ullah</cp:lastModifiedBy>
  <cp:revision>3</cp:revision>
  <dcterms:created xsi:type="dcterms:W3CDTF">2025-10-23T19:08:00Z</dcterms:created>
  <dcterms:modified xsi:type="dcterms:W3CDTF">2025-10-23T19:24:00Z</dcterms:modified>
</cp:coreProperties>
</file>