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832244" w14:textId="77777777" w:rsidR="00CB3673" w:rsidRDefault="00CB3673" w:rsidP="00CB3673">
      <w:pPr>
        <w:pStyle w:val="Title"/>
        <w:rPr>
          <w:lang w:val="en-GB"/>
        </w:rPr>
      </w:pPr>
    </w:p>
    <w:p w14:paraId="7BC642F9" w14:textId="77777777" w:rsidR="00CB3673" w:rsidRDefault="00CB3673" w:rsidP="00CB3673">
      <w:pPr>
        <w:pStyle w:val="Title"/>
        <w:rPr>
          <w:lang w:val="en-GB"/>
        </w:rPr>
      </w:pPr>
    </w:p>
    <w:p w14:paraId="0004341D" w14:textId="77777777" w:rsidR="00CB3673" w:rsidRDefault="00CB3673" w:rsidP="00CB3673">
      <w:pPr>
        <w:pStyle w:val="Title"/>
        <w:rPr>
          <w:lang w:val="en-GB"/>
        </w:rPr>
      </w:pPr>
    </w:p>
    <w:p w14:paraId="6013C7A5" w14:textId="2372D0BE" w:rsidR="00CB3673" w:rsidRDefault="00CB3673" w:rsidP="00EC1040">
      <w:pPr>
        <w:pStyle w:val="Title"/>
        <w:jc w:val="both"/>
        <w:rPr>
          <w:lang w:val="en-GB"/>
        </w:rPr>
      </w:pPr>
    </w:p>
    <w:p w14:paraId="71DEE00D" w14:textId="77777777" w:rsidR="00CB3673" w:rsidRDefault="00CB3673" w:rsidP="00CB3673">
      <w:pPr>
        <w:pStyle w:val="Title"/>
        <w:rPr>
          <w:lang w:val="en-GB"/>
        </w:rPr>
      </w:pPr>
    </w:p>
    <w:p w14:paraId="0E464E22" w14:textId="77777777" w:rsidR="00CB3673" w:rsidRDefault="00CB3673" w:rsidP="00CB3673">
      <w:pPr>
        <w:pStyle w:val="Title"/>
        <w:rPr>
          <w:lang w:val="en-GB"/>
        </w:rPr>
      </w:pPr>
      <w:r w:rsidRPr="00CB3673">
        <w:rPr>
          <w:lang w:val="en-GB"/>
        </w:rPr>
        <w:t>INTERNATIONAL FINANCIAL MANAGEMENT</w:t>
      </w:r>
    </w:p>
    <w:p w14:paraId="3A30281F" w14:textId="77777777" w:rsidR="00CB3673" w:rsidRDefault="00CB3673" w:rsidP="00CB3673">
      <w:pPr>
        <w:pStyle w:val="Title"/>
        <w:rPr>
          <w:lang w:val="en-GB"/>
        </w:rPr>
      </w:pPr>
    </w:p>
    <w:p w14:paraId="648008D2" w14:textId="77777777" w:rsidR="00CB3673" w:rsidRDefault="00CB3673" w:rsidP="00CB3673">
      <w:pPr>
        <w:rPr>
          <w:lang w:val="en-GB"/>
        </w:rPr>
      </w:pPr>
    </w:p>
    <w:p w14:paraId="1EDF5F25" w14:textId="77777777" w:rsidR="00CB3673" w:rsidRDefault="00CB3673" w:rsidP="00CB3673">
      <w:pPr>
        <w:rPr>
          <w:lang w:val="en-GB"/>
        </w:rPr>
      </w:pPr>
    </w:p>
    <w:p w14:paraId="7A51D5C5" w14:textId="77777777" w:rsidR="00AD0776" w:rsidRPr="00CB3673" w:rsidRDefault="00AD0776" w:rsidP="00CB3673">
      <w:pPr>
        <w:rPr>
          <w:lang w:val="en-GB"/>
        </w:rPr>
      </w:pPr>
    </w:p>
    <w:p w14:paraId="3082E3C6" w14:textId="77777777" w:rsidR="00CB3673" w:rsidRDefault="00CB3673" w:rsidP="00CB3673">
      <w:pPr>
        <w:pStyle w:val="Title"/>
        <w:rPr>
          <w:lang w:val="en-GB"/>
        </w:rPr>
      </w:pPr>
    </w:p>
    <w:p w14:paraId="2868EA7D" w14:textId="1009286B" w:rsidR="00CB3673" w:rsidRDefault="00EC1040" w:rsidP="00CB3673">
      <w:pPr>
        <w:pStyle w:val="Title"/>
        <w:rPr>
          <w:lang w:val="en-GB"/>
        </w:rPr>
      </w:pPr>
      <w:r>
        <w:rPr>
          <w:lang w:val="en-GB"/>
        </w:rPr>
        <w:t xml:space="preserve">MODULE CODE: </w:t>
      </w:r>
      <w:r w:rsidR="00CB3673" w:rsidRPr="00CB3673">
        <w:rPr>
          <w:lang w:val="en-GB"/>
        </w:rPr>
        <w:t>LCBB6002</w:t>
      </w:r>
    </w:p>
    <w:p w14:paraId="6D60F704" w14:textId="77777777" w:rsidR="00EC1040" w:rsidRDefault="00CB3673" w:rsidP="00CB3673">
      <w:pPr>
        <w:pStyle w:val="Title"/>
        <w:rPr>
          <w:lang w:val="en-GB"/>
        </w:rPr>
      </w:pPr>
      <w:r>
        <w:rPr>
          <w:lang w:val="en-GB"/>
        </w:rPr>
        <w:t xml:space="preserve">COMPONENT 1: </w:t>
      </w:r>
      <w:r w:rsidRPr="00CB3673">
        <w:rPr>
          <w:lang w:val="en-GB"/>
        </w:rPr>
        <w:t>WRITTEN REPORT</w:t>
      </w:r>
    </w:p>
    <w:p w14:paraId="6094E5E7" w14:textId="77777777" w:rsidR="00EC1040" w:rsidRDefault="00EC1040" w:rsidP="00CB3673">
      <w:pPr>
        <w:pStyle w:val="Title"/>
        <w:rPr>
          <w:lang w:val="en-GB"/>
        </w:rPr>
      </w:pPr>
      <w:r>
        <w:rPr>
          <w:lang w:val="en-GB"/>
        </w:rPr>
        <w:t>STUDENT NAME: MIRELA OPREA</w:t>
      </w:r>
    </w:p>
    <w:p w14:paraId="6492E7C8" w14:textId="77777777" w:rsidR="00EC1040" w:rsidRDefault="00EC1040" w:rsidP="00CB3673">
      <w:pPr>
        <w:pStyle w:val="Title"/>
        <w:rPr>
          <w:lang w:val="en-GB"/>
        </w:rPr>
      </w:pPr>
      <w:r>
        <w:rPr>
          <w:lang w:val="en-GB"/>
        </w:rPr>
        <w:t>STUDENT ID: 2107120</w:t>
      </w:r>
    </w:p>
    <w:p w14:paraId="5BF882CB" w14:textId="295A21D3" w:rsidR="00484A82" w:rsidRDefault="00EC1040" w:rsidP="00CB3673">
      <w:pPr>
        <w:pStyle w:val="Title"/>
        <w:rPr>
          <w:lang w:val="en-GB"/>
        </w:rPr>
      </w:pPr>
      <w:r>
        <w:rPr>
          <w:lang w:val="en-GB"/>
        </w:rPr>
        <w:t>LECTURER NAME: MUDASSAR HASAN</w:t>
      </w:r>
      <w:r w:rsidR="00484A82">
        <w:rPr>
          <w:lang w:val="en-GB"/>
        </w:rPr>
        <w:br w:type="page"/>
      </w:r>
    </w:p>
    <w:p w14:paraId="67BE873A" w14:textId="77777777" w:rsidR="00BC123E" w:rsidRPr="00484A82" w:rsidRDefault="00B215D0">
      <w:pPr>
        <w:jc w:val="center"/>
        <w:rPr>
          <w:b/>
          <w:sz w:val="28"/>
          <w:szCs w:val="28"/>
          <w:lang w:val="en-GB"/>
        </w:rPr>
      </w:pPr>
      <w:r w:rsidRPr="00484A82">
        <w:rPr>
          <w:b/>
          <w:sz w:val="28"/>
          <w:szCs w:val="28"/>
          <w:lang w:val="en-GB"/>
        </w:rPr>
        <w:lastRenderedPageBreak/>
        <w:t>Executive Summary</w:t>
      </w:r>
    </w:p>
    <w:p w14:paraId="1356A1FA" w14:textId="77777777" w:rsidR="00BC123E" w:rsidRPr="00484A82" w:rsidRDefault="00B215D0">
      <w:pPr>
        <w:rPr>
          <w:lang w:val="en-GB"/>
        </w:rPr>
      </w:pPr>
      <w:r w:rsidRPr="00484A82">
        <w:rPr>
          <w:lang w:val="en-GB"/>
        </w:rPr>
        <w:t xml:space="preserve">This report has been prepared to advise the board of directors of a UK-based family-owned service company that is intended to be listed on the </w:t>
      </w:r>
      <w:r w:rsidR="00E27D4C">
        <w:rPr>
          <w:lang w:val="en-GB"/>
        </w:rPr>
        <w:t>AIM</w:t>
      </w:r>
      <w:r w:rsidRPr="00484A82">
        <w:rPr>
          <w:lang w:val="en-GB"/>
        </w:rPr>
        <w:t>. It further explores the corporate governance and agency theory within the context of UK public companies and compares institutional frameworks in Shanghai. About remuneration, establishing a remuneration committee allows the company to ensure objectivity and transparency. In Shanghai's context, it has been identified that minority shareholder protection in China remains limited, with legal recourse often ineffective. The UK stands out for its flexible and principle-based governance regime, with its one-tier board system. Henceforth, it is recommended that the board introduce an independent oversight structure, create a robust shareholder agreement and list on AIM in the UK rather than relocating to Shanghai.</w:t>
      </w:r>
    </w:p>
    <w:p w14:paraId="7D90A87E" w14:textId="77777777" w:rsidR="00BC123E" w:rsidRPr="00484A82" w:rsidRDefault="00BC123E">
      <w:pPr>
        <w:rPr>
          <w:lang w:val="en-GB"/>
        </w:rPr>
      </w:pPr>
    </w:p>
    <w:p w14:paraId="319CDE37" w14:textId="77777777" w:rsidR="00484A82" w:rsidRDefault="00484A82">
      <w:pPr>
        <w:rPr>
          <w:b/>
          <w:sz w:val="28"/>
          <w:szCs w:val="28"/>
          <w:lang w:val="en-GB"/>
        </w:rPr>
      </w:pPr>
      <w:bookmarkStart w:id="0" w:name="_7api9mmgfivh" w:colFirst="0" w:colLast="0"/>
      <w:bookmarkEnd w:id="0"/>
      <w:r>
        <w:rPr>
          <w:lang w:val="en-GB"/>
        </w:rPr>
        <w:br w:type="page"/>
      </w:r>
    </w:p>
    <w:sdt>
      <w:sdtPr>
        <w:rPr>
          <w:rFonts w:ascii="Times New Roman" w:eastAsia="Times New Roman" w:hAnsi="Times New Roman" w:cs="Times New Roman"/>
          <w:b w:val="0"/>
          <w:bCs w:val="0"/>
          <w:color w:val="auto"/>
          <w:sz w:val="24"/>
          <w:szCs w:val="24"/>
          <w:lang w:val="en-IN"/>
        </w:rPr>
        <w:id w:val="25105768"/>
        <w:docPartObj>
          <w:docPartGallery w:val="Table of Contents"/>
          <w:docPartUnique/>
        </w:docPartObj>
      </w:sdtPr>
      <w:sdtContent>
        <w:p w14:paraId="6A05A1F2" w14:textId="77777777" w:rsidR="00CB3673" w:rsidRDefault="00CB3673" w:rsidP="00AA7331">
          <w:pPr>
            <w:pStyle w:val="TOCHeading"/>
            <w:spacing w:line="360" w:lineRule="auto"/>
            <w:jc w:val="center"/>
          </w:pPr>
          <w:r w:rsidRPr="00AA7331">
            <w:rPr>
              <w:rFonts w:ascii="Times New Roman" w:hAnsi="Times New Roman" w:cs="Times New Roman"/>
              <w:color w:val="auto"/>
            </w:rPr>
            <w:t>Table of Contents</w:t>
          </w:r>
        </w:p>
        <w:p w14:paraId="7522A311" w14:textId="77777777" w:rsidR="00702D3E" w:rsidRDefault="003525F6">
          <w:pPr>
            <w:pStyle w:val="TOC1"/>
            <w:tabs>
              <w:tab w:val="right" w:leader="dot" w:pos="9019"/>
            </w:tabs>
            <w:rPr>
              <w:rFonts w:asciiTheme="minorHAnsi" w:eastAsiaTheme="minorEastAsia" w:hAnsiTheme="minorHAnsi" w:cstheme="minorBidi"/>
              <w:noProof/>
              <w:sz w:val="22"/>
              <w:szCs w:val="22"/>
              <w:lang w:val="en-US"/>
            </w:rPr>
          </w:pPr>
          <w:r>
            <w:fldChar w:fldCharType="begin"/>
          </w:r>
          <w:r w:rsidR="00CB3673">
            <w:instrText xml:space="preserve"> TOC \o "1-3" \h \z \u </w:instrText>
          </w:r>
          <w:r>
            <w:fldChar w:fldCharType="separate"/>
          </w:r>
          <w:hyperlink w:anchor="_Toc198915755" w:history="1">
            <w:r w:rsidR="00702D3E" w:rsidRPr="00CB7F77">
              <w:rPr>
                <w:rStyle w:val="Hyperlink"/>
                <w:noProof/>
                <w:lang w:val="en-GB"/>
              </w:rPr>
              <w:t>1.0 Introduction</w:t>
            </w:r>
            <w:r w:rsidR="00702D3E">
              <w:rPr>
                <w:noProof/>
                <w:webHidden/>
              </w:rPr>
              <w:tab/>
            </w:r>
            <w:r w:rsidR="00702D3E">
              <w:rPr>
                <w:noProof/>
                <w:webHidden/>
              </w:rPr>
              <w:fldChar w:fldCharType="begin"/>
            </w:r>
            <w:r w:rsidR="00702D3E">
              <w:rPr>
                <w:noProof/>
                <w:webHidden/>
              </w:rPr>
              <w:instrText xml:space="preserve"> PAGEREF _Toc198915755 \h </w:instrText>
            </w:r>
            <w:r w:rsidR="00702D3E">
              <w:rPr>
                <w:noProof/>
                <w:webHidden/>
              </w:rPr>
            </w:r>
            <w:r w:rsidR="00702D3E">
              <w:rPr>
                <w:noProof/>
                <w:webHidden/>
              </w:rPr>
              <w:fldChar w:fldCharType="separate"/>
            </w:r>
            <w:r w:rsidR="00702D3E">
              <w:rPr>
                <w:noProof/>
                <w:webHidden/>
              </w:rPr>
              <w:t>4</w:t>
            </w:r>
            <w:r w:rsidR="00702D3E">
              <w:rPr>
                <w:noProof/>
                <w:webHidden/>
              </w:rPr>
              <w:fldChar w:fldCharType="end"/>
            </w:r>
          </w:hyperlink>
        </w:p>
        <w:p w14:paraId="4CD6C16E" w14:textId="77777777" w:rsidR="00702D3E" w:rsidRDefault="00702D3E">
          <w:pPr>
            <w:pStyle w:val="TOC1"/>
            <w:tabs>
              <w:tab w:val="right" w:leader="dot" w:pos="9019"/>
            </w:tabs>
            <w:rPr>
              <w:rFonts w:asciiTheme="minorHAnsi" w:eastAsiaTheme="minorEastAsia" w:hAnsiTheme="minorHAnsi" w:cstheme="minorBidi"/>
              <w:noProof/>
              <w:sz w:val="22"/>
              <w:szCs w:val="22"/>
              <w:lang w:val="en-US"/>
            </w:rPr>
          </w:pPr>
          <w:hyperlink w:anchor="_Toc198915756" w:history="1">
            <w:r w:rsidRPr="00CB7F77">
              <w:rPr>
                <w:rStyle w:val="Hyperlink"/>
                <w:noProof/>
                <w:lang w:val="en-GB"/>
              </w:rPr>
              <w:t>2.0 Discussion of findings</w:t>
            </w:r>
            <w:r>
              <w:rPr>
                <w:noProof/>
                <w:webHidden/>
              </w:rPr>
              <w:tab/>
            </w:r>
            <w:r>
              <w:rPr>
                <w:noProof/>
                <w:webHidden/>
              </w:rPr>
              <w:fldChar w:fldCharType="begin"/>
            </w:r>
            <w:r>
              <w:rPr>
                <w:noProof/>
                <w:webHidden/>
              </w:rPr>
              <w:instrText xml:space="preserve"> PAGEREF _Toc198915756 \h </w:instrText>
            </w:r>
            <w:r>
              <w:rPr>
                <w:noProof/>
                <w:webHidden/>
              </w:rPr>
            </w:r>
            <w:r>
              <w:rPr>
                <w:noProof/>
                <w:webHidden/>
              </w:rPr>
              <w:fldChar w:fldCharType="separate"/>
            </w:r>
            <w:r>
              <w:rPr>
                <w:noProof/>
                <w:webHidden/>
              </w:rPr>
              <w:t>4</w:t>
            </w:r>
            <w:r>
              <w:rPr>
                <w:noProof/>
                <w:webHidden/>
              </w:rPr>
              <w:fldChar w:fldCharType="end"/>
            </w:r>
          </w:hyperlink>
        </w:p>
        <w:p w14:paraId="65C77558" w14:textId="77777777" w:rsidR="00702D3E" w:rsidRDefault="00702D3E">
          <w:pPr>
            <w:pStyle w:val="TOC2"/>
            <w:tabs>
              <w:tab w:val="right" w:leader="dot" w:pos="9019"/>
            </w:tabs>
            <w:rPr>
              <w:rFonts w:asciiTheme="minorHAnsi" w:eastAsiaTheme="minorEastAsia" w:hAnsiTheme="minorHAnsi" w:cstheme="minorBidi"/>
              <w:noProof/>
              <w:sz w:val="22"/>
              <w:szCs w:val="22"/>
              <w:lang w:val="en-US"/>
            </w:rPr>
          </w:pPr>
          <w:hyperlink w:anchor="_Toc198915757" w:history="1">
            <w:r w:rsidRPr="00CB7F77">
              <w:rPr>
                <w:rStyle w:val="Hyperlink"/>
                <w:noProof/>
                <w:lang w:val="en-GB"/>
              </w:rPr>
              <w:t>2.1 Corporate governance and agency theory, along with their significance to PLCs</w:t>
            </w:r>
            <w:r>
              <w:rPr>
                <w:noProof/>
                <w:webHidden/>
              </w:rPr>
              <w:tab/>
            </w:r>
            <w:r>
              <w:rPr>
                <w:noProof/>
                <w:webHidden/>
              </w:rPr>
              <w:fldChar w:fldCharType="begin"/>
            </w:r>
            <w:r>
              <w:rPr>
                <w:noProof/>
                <w:webHidden/>
              </w:rPr>
              <w:instrText xml:space="preserve"> PAGEREF _Toc198915757 \h </w:instrText>
            </w:r>
            <w:r>
              <w:rPr>
                <w:noProof/>
                <w:webHidden/>
              </w:rPr>
            </w:r>
            <w:r>
              <w:rPr>
                <w:noProof/>
                <w:webHidden/>
              </w:rPr>
              <w:fldChar w:fldCharType="separate"/>
            </w:r>
            <w:r>
              <w:rPr>
                <w:noProof/>
                <w:webHidden/>
              </w:rPr>
              <w:t>4</w:t>
            </w:r>
            <w:r>
              <w:rPr>
                <w:noProof/>
                <w:webHidden/>
              </w:rPr>
              <w:fldChar w:fldCharType="end"/>
            </w:r>
          </w:hyperlink>
        </w:p>
        <w:p w14:paraId="2FEDAFC0" w14:textId="77777777" w:rsidR="00702D3E" w:rsidRDefault="00702D3E">
          <w:pPr>
            <w:pStyle w:val="TOC2"/>
            <w:tabs>
              <w:tab w:val="right" w:leader="dot" w:pos="9019"/>
            </w:tabs>
            <w:rPr>
              <w:rFonts w:asciiTheme="minorHAnsi" w:eastAsiaTheme="minorEastAsia" w:hAnsiTheme="minorHAnsi" w:cstheme="minorBidi"/>
              <w:noProof/>
              <w:sz w:val="22"/>
              <w:szCs w:val="22"/>
              <w:lang w:val="en-US"/>
            </w:rPr>
          </w:pPr>
          <w:hyperlink w:anchor="_Toc198915758" w:history="1">
            <w:r w:rsidRPr="00CB7F77">
              <w:rPr>
                <w:rStyle w:val="Hyperlink"/>
                <w:noProof/>
                <w:lang w:val="en-GB"/>
              </w:rPr>
              <w:t>2.2 The way the main board could retain control with just a 30% shareholding</w:t>
            </w:r>
            <w:r>
              <w:rPr>
                <w:noProof/>
                <w:webHidden/>
              </w:rPr>
              <w:tab/>
            </w:r>
            <w:r>
              <w:rPr>
                <w:noProof/>
                <w:webHidden/>
              </w:rPr>
              <w:fldChar w:fldCharType="begin"/>
            </w:r>
            <w:r>
              <w:rPr>
                <w:noProof/>
                <w:webHidden/>
              </w:rPr>
              <w:instrText xml:space="preserve"> PAGEREF _Toc198915758 \h </w:instrText>
            </w:r>
            <w:r>
              <w:rPr>
                <w:noProof/>
                <w:webHidden/>
              </w:rPr>
            </w:r>
            <w:r>
              <w:rPr>
                <w:noProof/>
                <w:webHidden/>
              </w:rPr>
              <w:fldChar w:fldCharType="separate"/>
            </w:r>
            <w:r>
              <w:rPr>
                <w:noProof/>
                <w:webHidden/>
              </w:rPr>
              <w:t>5</w:t>
            </w:r>
            <w:r>
              <w:rPr>
                <w:noProof/>
                <w:webHidden/>
              </w:rPr>
              <w:fldChar w:fldCharType="end"/>
            </w:r>
          </w:hyperlink>
        </w:p>
        <w:p w14:paraId="4C7C191D" w14:textId="77777777" w:rsidR="00702D3E" w:rsidRDefault="00702D3E">
          <w:pPr>
            <w:pStyle w:val="TOC2"/>
            <w:tabs>
              <w:tab w:val="right" w:leader="dot" w:pos="9019"/>
            </w:tabs>
            <w:rPr>
              <w:rFonts w:asciiTheme="minorHAnsi" w:eastAsiaTheme="minorEastAsia" w:hAnsiTheme="minorHAnsi" w:cstheme="minorBidi"/>
              <w:noProof/>
              <w:sz w:val="22"/>
              <w:szCs w:val="22"/>
              <w:lang w:val="en-US"/>
            </w:rPr>
          </w:pPr>
          <w:hyperlink w:anchor="_Toc198915759" w:history="1">
            <w:r w:rsidRPr="00CB7F77">
              <w:rPr>
                <w:rStyle w:val="Hyperlink"/>
                <w:noProof/>
                <w:lang w:val="en-GB"/>
              </w:rPr>
              <w:t>2.3 Remuneration of directors and the applicable structures needed to be in place to ensure fair compensation</w:t>
            </w:r>
            <w:r>
              <w:rPr>
                <w:noProof/>
                <w:webHidden/>
              </w:rPr>
              <w:tab/>
            </w:r>
            <w:r>
              <w:rPr>
                <w:noProof/>
                <w:webHidden/>
              </w:rPr>
              <w:fldChar w:fldCharType="begin"/>
            </w:r>
            <w:r>
              <w:rPr>
                <w:noProof/>
                <w:webHidden/>
              </w:rPr>
              <w:instrText xml:space="preserve"> PAGEREF _Toc198915759 \h </w:instrText>
            </w:r>
            <w:r>
              <w:rPr>
                <w:noProof/>
                <w:webHidden/>
              </w:rPr>
            </w:r>
            <w:r>
              <w:rPr>
                <w:noProof/>
                <w:webHidden/>
              </w:rPr>
              <w:fldChar w:fldCharType="separate"/>
            </w:r>
            <w:r>
              <w:rPr>
                <w:noProof/>
                <w:webHidden/>
              </w:rPr>
              <w:t>5</w:t>
            </w:r>
            <w:r>
              <w:rPr>
                <w:noProof/>
                <w:webHidden/>
              </w:rPr>
              <w:fldChar w:fldCharType="end"/>
            </w:r>
          </w:hyperlink>
        </w:p>
        <w:p w14:paraId="4FDC487F" w14:textId="77777777" w:rsidR="00702D3E" w:rsidRDefault="00702D3E">
          <w:pPr>
            <w:pStyle w:val="TOC2"/>
            <w:tabs>
              <w:tab w:val="right" w:leader="dot" w:pos="9019"/>
            </w:tabs>
            <w:rPr>
              <w:rFonts w:asciiTheme="minorHAnsi" w:eastAsiaTheme="minorEastAsia" w:hAnsiTheme="minorHAnsi" w:cstheme="minorBidi"/>
              <w:noProof/>
              <w:sz w:val="22"/>
              <w:szCs w:val="22"/>
              <w:lang w:val="en-US"/>
            </w:rPr>
          </w:pPr>
          <w:hyperlink w:anchor="_Toc198915760" w:history="1">
            <w:r w:rsidRPr="00CB7F77">
              <w:rPr>
                <w:rStyle w:val="Hyperlink"/>
                <w:noProof/>
                <w:lang w:val="en-GB"/>
              </w:rPr>
              <w:t>2.4 Institutional differences for the board of directors between the UK, Shanghai and the Netherlands</w:t>
            </w:r>
            <w:r>
              <w:rPr>
                <w:noProof/>
                <w:webHidden/>
              </w:rPr>
              <w:tab/>
            </w:r>
            <w:r>
              <w:rPr>
                <w:noProof/>
                <w:webHidden/>
              </w:rPr>
              <w:fldChar w:fldCharType="begin"/>
            </w:r>
            <w:r>
              <w:rPr>
                <w:noProof/>
                <w:webHidden/>
              </w:rPr>
              <w:instrText xml:space="preserve"> PAGEREF _Toc198915760 \h </w:instrText>
            </w:r>
            <w:r>
              <w:rPr>
                <w:noProof/>
                <w:webHidden/>
              </w:rPr>
            </w:r>
            <w:r>
              <w:rPr>
                <w:noProof/>
                <w:webHidden/>
              </w:rPr>
              <w:fldChar w:fldCharType="separate"/>
            </w:r>
            <w:r>
              <w:rPr>
                <w:noProof/>
                <w:webHidden/>
              </w:rPr>
              <w:t>6</w:t>
            </w:r>
            <w:r>
              <w:rPr>
                <w:noProof/>
                <w:webHidden/>
              </w:rPr>
              <w:fldChar w:fldCharType="end"/>
            </w:r>
          </w:hyperlink>
        </w:p>
        <w:p w14:paraId="50D61D9B" w14:textId="77777777" w:rsidR="00702D3E" w:rsidRDefault="00702D3E">
          <w:pPr>
            <w:pStyle w:val="TOC1"/>
            <w:tabs>
              <w:tab w:val="right" w:leader="dot" w:pos="9019"/>
            </w:tabs>
            <w:rPr>
              <w:rFonts w:asciiTheme="minorHAnsi" w:eastAsiaTheme="minorEastAsia" w:hAnsiTheme="minorHAnsi" w:cstheme="minorBidi"/>
              <w:noProof/>
              <w:sz w:val="22"/>
              <w:szCs w:val="22"/>
              <w:lang w:val="en-US"/>
            </w:rPr>
          </w:pPr>
          <w:hyperlink w:anchor="_Toc198915761" w:history="1">
            <w:r w:rsidRPr="00CB7F77">
              <w:rPr>
                <w:rStyle w:val="Hyperlink"/>
                <w:noProof/>
                <w:lang w:val="en-GB"/>
              </w:rPr>
              <w:t>3.0 Conclusion</w:t>
            </w:r>
            <w:r>
              <w:rPr>
                <w:noProof/>
                <w:webHidden/>
              </w:rPr>
              <w:tab/>
            </w:r>
            <w:r>
              <w:rPr>
                <w:noProof/>
                <w:webHidden/>
              </w:rPr>
              <w:fldChar w:fldCharType="begin"/>
            </w:r>
            <w:r>
              <w:rPr>
                <w:noProof/>
                <w:webHidden/>
              </w:rPr>
              <w:instrText xml:space="preserve"> PAGEREF _Toc198915761 \h </w:instrText>
            </w:r>
            <w:r>
              <w:rPr>
                <w:noProof/>
                <w:webHidden/>
              </w:rPr>
            </w:r>
            <w:r>
              <w:rPr>
                <w:noProof/>
                <w:webHidden/>
              </w:rPr>
              <w:fldChar w:fldCharType="separate"/>
            </w:r>
            <w:r>
              <w:rPr>
                <w:noProof/>
                <w:webHidden/>
              </w:rPr>
              <w:t>7</w:t>
            </w:r>
            <w:r>
              <w:rPr>
                <w:noProof/>
                <w:webHidden/>
              </w:rPr>
              <w:fldChar w:fldCharType="end"/>
            </w:r>
          </w:hyperlink>
        </w:p>
        <w:p w14:paraId="413AAB9C" w14:textId="77777777" w:rsidR="00702D3E" w:rsidRDefault="00702D3E">
          <w:pPr>
            <w:pStyle w:val="TOC1"/>
            <w:tabs>
              <w:tab w:val="right" w:leader="dot" w:pos="9019"/>
            </w:tabs>
            <w:rPr>
              <w:rFonts w:asciiTheme="minorHAnsi" w:eastAsiaTheme="minorEastAsia" w:hAnsiTheme="minorHAnsi" w:cstheme="minorBidi"/>
              <w:noProof/>
              <w:sz w:val="22"/>
              <w:szCs w:val="22"/>
              <w:lang w:val="en-US"/>
            </w:rPr>
          </w:pPr>
          <w:hyperlink w:anchor="_Toc198915762" w:history="1">
            <w:r w:rsidRPr="00CB7F77">
              <w:rPr>
                <w:rStyle w:val="Hyperlink"/>
                <w:noProof/>
                <w:lang w:val="en-GB"/>
              </w:rPr>
              <w:t>4.0 Recommendations</w:t>
            </w:r>
            <w:r>
              <w:rPr>
                <w:noProof/>
                <w:webHidden/>
              </w:rPr>
              <w:tab/>
            </w:r>
            <w:r>
              <w:rPr>
                <w:noProof/>
                <w:webHidden/>
              </w:rPr>
              <w:fldChar w:fldCharType="begin"/>
            </w:r>
            <w:r>
              <w:rPr>
                <w:noProof/>
                <w:webHidden/>
              </w:rPr>
              <w:instrText xml:space="preserve"> PAGEREF _Toc198915762 \h </w:instrText>
            </w:r>
            <w:r>
              <w:rPr>
                <w:noProof/>
                <w:webHidden/>
              </w:rPr>
            </w:r>
            <w:r>
              <w:rPr>
                <w:noProof/>
                <w:webHidden/>
              </w:rPr>
              <w:fldChar w:fldCharType="separate"/>
            </w:r>
            <w:r>
              <w:rPr>
                <w:noProof/>
                <w:webHidden/>
              </w:rPr>
              <w:t>7</w:t>
            </w:r>
            <w:r>
              <w:rPr>
                <w:noProof/>
                <w:webHidden/>
              </w:rPr>
              <w:fldChar w:fldCharType="end"/>
            </w:r>
          </w:hyperlink>
        </w:p>
        <w:p w14:paraId="02D65385" w14:textId="77777777" w:rsidR="00702D3E" w:rsidRDefault="00702D3E">
          <w:pPr>
            <w:pStyle w:val="TOC1"/>
            <w:tabs>
              <w:tab w:val="right" w:leader="dot" w:pos="9019"/>
            </w:tabs>
            <w:rPr>
              <w:rFonts w:asciiTheme="minorHAnsi" w:eastAsiaTheme="minorEastAsia" w:hAnsiTheme="minorHAnsi" w:cstheme="minorBidi"/>
              <w:noProof/>
              <w:sz w:val="22"/>
              <w:szCs w:val="22"/>
              <w:lang w:val="en-US"/>
            </w:rPr>
          </w:pPr>
          <w:hyperlink w:anchor="_Toc198915763" w:history="1">
            <w:r w:rsidRPr="00CB7F77">
              <w:rPr>
                <w:rStyle w:val="Hyperlink"/>
                <w:noProof/>
                <w:lang w:val="en-GB"/>
              </w:rPr>
              <w:t>Reference list</w:t>
            </w:r>
            <w:r>
              <w:rPr>
                <w:noProof/>
                <w:webHidden/>
              </w:rPr>
              <w:tab/>
            </w:r>
            <w:r>
              <w:rPr>
                <w:noProof/>
                <w:webHidden/>
              </w:rPr>
              <w:fldChar w:fldCharType="begin"/>
            </w:r>
            <w:r>
              <w:rPr>
                <w:noProof/>
                <w:webHidden/>
              </w:rPr>
              <w:instrText xml:space="preserve"> PAGEREF _Toc198915763 \h </w:instrText>
            </w:r>
            <w:r>
              <w:rPr>
                <w:noProof/>
                <w:webHidden/>
              </w:rPr>
            </w:r>
            <w:r>
              <w:rPr>
                <w:noProof/>
                <w:webHidden/>
              </w:rPr>
              <w:fldChar w:fldCharType="separate"/>
            </w:r>
            <w:r>
              <w:rPr>
                <w:noProof/>
                <w:webHidden/>
              </w:rPr>
              <w:t>9</w:t>
            </w:r>
            <w:r>
              <w:rPr>
                <w:noProof/>
                <w:webHidden/>
              </w:rPr>
              <w:fldChar w:fldCharType="end"/>
            </w:r>
          </w:hyperlink>
        </w:p>
        <w:p w14:paraId="734ED29B" w14:textId="77777777" w:rsidR="00CB3673" w:rsidRDefault="003525F6">
          <w:r>
            <w:fldChar w:fldCharType="end"/>
          </w:r>
        </w:p>
      </w:sdtContent>
    </w:sdt>
    <w:p w14:paraId="31F2747B" w14:textId="77777777" w:rsidR="00484A82" w:rsidRDefault="00484A82">
      <w:pPr>
        <w:rPr>
          <w:b/>
          <w:sz w:val="28"/>
          <w:szCs w:val="28"/>
          <w:lang w:val="en-GB"/>
        </w:rPr>
      </w:pPr>
      <w:r>
        <w:rPr>
          <w:lang w:val="en-GB"/>
        </w:rPr>
        <w:br w:type="page"/>
      </w:r>
    </w:p>
    <w:p w14:paraId="3D6B59F1" w14:textId="77777777" w:rsidR="00BC123E" w:rsidRPr="00484A82" w:rsidRDefault="00B215D0">
      <w:pPr>
        <w:pStyle w:val="Heading1"/>
        <w:rPr>
          <w:lang w:val="en-GB"/>
        </w:rPr>
      </w:pPr>
      <w:bookmarkStart w:id="1" w:name="_Toc198915755"/>
      <w:r w:rsidRPr="00484A82">
        <w:rPr>
          <w:lang w:val="en-GB"/>
        </w:rPr>
        <w:lastRenderedPageBreak/>
        <w:t>1.0 Introduction</w:t>
      </w:r>
      <w:bookmarkEnd w:id="1"/>
    </w:p>
    <w:p w14:paraId="5A66426C" w14:textId="77777777" w:rsidR="00BC123E" w:rsidRPr="00484A82" w:rsidRDefault="00B215D0">
      <w:pPr>
        <w:rPr>
          <w:lang w:val="en-GB"/>
        </w:rPr>
      </w:pPr>
      <w:r w:rsidRPr="00484A82">
        <w:rPr>
          <w:lang w:val="en-GB"/>
        </w:rPr>
        <w:t xml:space="preserve">Transitioning from a private to a public entity necessitates significant structural and governance adjustments. Public entities are often subject to different regulations and accountability frameworks compared to private companies. The AIM listing requires the family-run board to accommodate external shareholders, align with regulatory expectations and adopt transparent governance practices. These changes demand a strategic approach to preserve control, ensure accountability and foster sustainable growth. This study begins by introducing the concept and the requirements for corporate governance and agency theory, along with their significance to public limited liability companies (PLCs). Then the study goes on to explore how the board could retain costs with 30% shareholding, the remunerations of the directors and the institutional </w:t>
      </w:r>
      <w:r w:rsidR="00C6319B">
        <w:rPr>
          <w:lang w:val="en-GB"/>
        </w:rPr>
        <w:t>distinction between the UK and Shanghai</w:t>
      </w:r>
      <w:r w:rsidRPr="00484A82">
        <w:rPr>
          <w:lang w:val="en-GB"/>
        </w:rPr>
        <w:t xml:space="preserve">. In the end, the study provides comprehensive recommendations to the current board of directors.      </w:t>
      </w:r>
    </w:p>
    <w:p w14:paraId="200F1B34" w14:textId="77777777" w:rsidR="00BC123E" w:rsidRPr="00484A82" w:rsidRDefault="00B215D0">
      <w:pPr>
        <w:pStyle w:val="Heading1"/>
        <w:rPr>
          <w:lang w:val="en-GB"/>
        </w:rPr>
      </w:pPr>
      <w:bookmarkStart w:id="2" w:name="_wik6t4scpk8v" w:colFirst="0" w:colLast="0"/>
      <w:bookmarkStart w:id="3" w:name="_Toc198915756"/>
      <w:bookmarkEnd w:id="2"/>
      <w:r w:rsidRPr="00484A82">
        <w:rPr>
          <w:lang w:val="en-GB"/>
        </w:rPr>
        <w:t>2.0 Discussion of findings</w:t>
      </w:r>
      <w:bookmarkEnd w:id="3"/>
    </w:p>
    <w:p w14:paraId="7E9357EE" w14:textId="77777777" w:rsidR="00BC123E" w:rsidRPr="00484A82" w:rsidRDefault="00B215D0">
      <w:pPr>
        <w:pStyle w:val="Heading2"/>
        <w:rPr>
          <w:lang w:val="en-GB"/>
        </w:rPr>
      </w:pPr>
      <w:bookmarkStart w:id="4" w:name="_uxm3cowd48t9" w:colFirst="0" w:colLast="0"/>
      <w:bookmarkStart w:id="5" w:name="_Toc198915757"/>
      <w:bookmarkEnd w:id="4"/>
      <w:r w:rsidRPr="00484A82">
        <w:rPr>
          <w:lang w:val="en-GB"/>
        </w:rPr>
        <w:t>2.1 Corporate governance and agency theory, along with their significance to PLCs</w:t>
      </w:r>
      <w:bookmarkEnd w:id="5"/>
    </w:p>
    <w:p w14:paraId="75A12E95" w14:textId="77777777" w:rsidR="00BC123E" w:rsidRPr="00484A82" w:rsidRDefault="00B215D0">
      <w:pPr>
        <w:rPr>
          <w:lang w:val="en-GB"/>
        </w:rPr>
      </w:pPr>
      <w:r w:rsidRPr="00484A82">
        <w:rPr>
          <w:b/>
          <w:i/>
          <w:lang w:val="en-GB"/>
        </w:rPr>
        <w:t xml:space="preserve">Corporate governance </w:t>
      </w:r>
      <w:r w:rsidRPr="00484A82">
        <w:rPr>
          <w:lang w:val="en-GB"/>
        </w:rPr>
        <w:t xml:space="preserve">refers to the </w:t>
      </w:r>
      <w:r w:rsidR="00946D55" w:rsidRPr="00484A82">
        <w:rPr>
          <w:lang w:val="en-GB"/>
        </w:rPr>
        <w:t>structure</w:t>
      </w:r>
      <w:r w:rsidRPr="00484A82">
        <w:rPr>
          <w:lang w:val="en-GB"/>
        </w:rPr>
        <w:t xml:space="preserve"> of rules, practices and processes </w:t>
      </w:r>
      <w:r w:rsidR="00946D55">
        <w:rPr>
          <w:lang w:val="en-GB"/>
        </w:rPr>
        <w:t>following which</w:t>
      </w:r>
      <w:r w:rsidRPr="00484A82">
        <w:rPr>
          <w:lang w:val="en-GB"/>
        </w:rPr>
        <w:t xml:space="preserve"> company is directed and controlled. In the UK, public limited companies are expected to comply with the UK Corporate Governance Code (FRC, 2024). It outlines the expectations around the board composition, accountability and stakeholder transparency. This is particularly relevant for companies that are transitioning from private ownership to public listing, where regulatory compliance and investor confidence are deemed paramount. </w:t>
      </w:r>
      <w:r w:rsidRPr="00484A82">
        <w:rPr>
          <w:b/>
          <w:i/>
          <w:lang w:val="en-GB"/>
        </w:rPr>
        <w:t>Agency theory</w:t>
      </w:r>
      <w:r w:rsidRPr="00484A82">
        <w:rPr>
          <w:lang w:val="en-GB"/>
        </w:rPr>
        <w:t xml:space="preserve">, as first articulated by Jensen and Meckling, highlights the divergence of interests between the owners, who are referred to as principals and the managers, referred to as agents (Al-Faryan, 2024). </w:t>
      </w:r>
      <w:r w:rsidR="00170967">
        <w:rPr>
          <w:lang w:val="en-GB"/>
        </w:rPr>
        <w:t xml:space="preserve">Henceforth, at PLCs agency theory </w:t>
      </w:r>
      <w:r w:rsidR="00A91937">
        <w:rPr>
          <w:lang w:val="en-GB"/>
        </w:rPr>
        <w:t>offers</w:t>
      </w:r>
      <w:r w:rsidR="00170967">
        <w:rPr>
          <w:lang w:val="en-GB"/>
        </w:rPr>
        <w:t xml:space="preserve"> a </w:t>
      </w:r>
      <w:r w:rsidR="00A91937">
        <w:rPr>
          <w:lang w:val="en-GB"/>
        </w:rPr>
        <w:t>pattern</w:t>
      </w:r>
      <w:r w:rsidR="00170967">
        <w:rPr>
          <w:lang w:val="en-GB"/>
        </w:rPr>
        <w:t xml:space="preserve"> for analysing the balance of power </w:t>
      </w:r>
      <w:r w:rsidR="00A91937">
        <w:rPr>
          <w:lang w:val="en-GB"/>
        </w:rPr>
        <w:t>amid</w:t>
      </w:r>
      <w:r w:rsidR="00170967">
        <w:rPr>
          <w:lang w:val="en-GB"/>
        </w:rPr>
        <w:t xml:space="preserve"> the managers</w:t>
      </w:r>
      <w:r w:rsidR="00A91937">
        <w:rPr>
          <w:lang w:val="en-GB"/>
        </w:rPr>
        <w:t xml:space="preserve"> and shareholder. </w:t>
      </w:r>
      <w:r w:rsidRPr="00484A82">
        <w:rPr>
          <w:lang w:val="en-GB"/>
        </w:rPr>
        <w:t xml:space="preserve">Within a closely held private company, this conflict might be minimal. However, with the dilution of the family's shareholding to 30%, the introduction of external shareholders significantly increases the agency's risks. The managers might prioritise personal interest over shareholder value, therefore necessitating governance mechanisms that ensure accountability and alignment (Solomon, 2020). The UK corporate law further supports these principles through the </w:t>
      </w:r>
      <w:r w:rsidRPr="00484A82">
        <w:rPr>
          <w:i/>
          <w:lang w:val="en-GB"/>
        </w:rPr>
        <w:t>Companies Act 2006</w:t>
      </w:r>
      <w:r w:rsidRPr="00484A82">
        <w:rPr>
          <w:lang w:val="en-GB"/>
        </w:rPr>
        <w:t xml:space="preserve">, which imposes fiduciary </w:t>
      </w:r>
      <w:r w:rsidR="00D2777D">
        <w:rPr>
          <w:lang w:val="en-GB"/>
        </w:rPr>
        <w:t xml:space="preserve">responsibility </w:t>
      </w:r>
      <w:r w:rsidRPr="00484A82">
        <w:rPr>
          <w:lang w:val="en-GB"/>
        </w:rPr>
        <w:t xml:space="preserve">on the directors to act in good faith and promote the success </w:t>
      </w:r>
      <w:r w:rsidR="005E7717">
        <w:rPr>
          <w:lang w:val="en-GB"/>
        </w:rPr>
        <w:t>of the PLCs</w:t>
      </w:r>
      <w:r w:rsidRPr="00484A82">
        <w:rPr>
          <w:lang w:val="en-GB"/>
        </w:rPr>
        <w:t xml:space="preserve"> (Graves, 2022). While the Alternative Investment Market (AIM) has a more flexible regulatory environment than the Main Market, it encourages compliance with a </w:t>
      </w:r>
      <w:r w:rsidRPr="00484A82">
        <w:rPr>
          <w:lang w:val="en-GB"/>
        </w:rPr>
        <w:lastRenderedPageBreak/>
        <w:t xml:space="preserve">recognised governance code. Henceforth, </w:t>
      </w:r>
      <w:r w:rsidR="00022E08" w:rsidRPr="00484A82">
        <w:rPr>
          <w:lang w:val="en-GB"/>
        </w:rPr>
        <w:t>this</w:t>
      </w:r>
      <w:r w:rsidRPr="00484A82">
        <w:rPr>
          <w:lang w:val="en-GB"/>
        </w:rPr>
        <w:t xml:space="preserve"> ensures that transparency and accountability are essential</w:t>
      </w:r>
      <w:r w:rsidR="005E7717">
        <w:rPr>
          <w:lang w:val="en-GB"/>
        </w:rPr>
        <w:t xml:space="preserve"> within publicly listed companies</w:t>
      </w:r>
      <w:r w:rsidRPr="00484A82">
        <w:rPr>
          <w:lang w:val="en-GB"/>
        </w:rPr>
        <w:t xml:space="preserve">.      </w:t>
      </w:r>
    </w:p>
    <w:p w14:paraId="43850456" w14:textId="77777777" w:rsidR="00BC123E" w:rsidRPr="00484A82" w:rsidRDefault="00B215D0">
      <w:pPr>
        <w:pStyle w:val="Heading2"/>
        <w:rPr>
          <w:lang w:val="en-GB"/>
        </w:rPr>
      </w:pPr>
      <w:bookmarkStart w:id="6" w:name="_t5z9b6e9i3nl" w:colFirst="0" w:colLast="0"/>
      <w:bookmarkStart w:id="7" w:name="_Toc198915758"/>
      <w:bookmarkEnd w:id="6"/>
      <w:r w:rsidRPr="00484A82">
        <w:rPr>
          <w:lang w:val="en-GB"/>
        </w:rPr>
        <w:t>2.2 The way the main board could retain control with just a 30% shareholding</w:t>
      </w:r>
      <w:bookmarkEnd w:id="7"/>
    </w:p>
    <w:p w14:paraId="61043AF8" w14:textId="77777777" w:rsidR="00BC123E" w:rsidRPr="00484A82" w:rsidRDefault="00B215D0">
      <w:pPr>
        <w:rPr>
          <w:lang w:val="en-GB"/>
        </w:rPr>
      </w:pPr>
      <w:r w:rsidRPr="00484A82">
        <w:rPr>
          <w:lang w:val="en-GB"/>
        </w:rPr>
        <w:t>A key concern is retaining strategic control despite a minority shareholding. One mechanism frequently used globally is</w:t>
      </w:r>
      <w:r w:rsidRPr="00484A82">
        <w:rPr>
          <w:b/>
          <w:i/>
          <w:lang w:val="en-GB"/>
        </w:rPr>
        <w:t xml:space="preserve"> </w:t>
      </w:r>
      <w:proofErr w:type="gramStart"/>
      <w:r w:rsidRPr="00484A82">
        <w:rPr>
          <w:b/>
          <w:i/>
          <w:lang w:val="en-GB"/>
        </w:rPr>
        <w:t>dual-class</w:t>
      </w:r>
      <w:proofErr w:type="gramEnd"/>
      <w:r w:rsidRPr="00484A82">
        <w:rPr>
          <w:b/>
          <w:i/>
          <w:lang w:val="en-GB"/>
        </w:rPr>
        <w:t xml:space="preserve"> share structures</w:t>
      </w:r>
      <w:r w:rsidRPr="00484A82">
        <w:rPr>
          <w:lang w:val="en-GB"/>
        </w:rPr>
        <w:t>, where the founding family keeps the shares with prominent voting privileges</w:t>
      </w:r>
      <w:r w:rsidR="00721930">
        <w:rPr>
          <w:lang w:val="en-GB"/>
        </w:rPr>
        <w:t xml:space="preserve"> even </w:t>
      </w:r>
      <w:r w:rsidR="005D61E8">
        <w:rPr>
          <w:lang w:val="en-GB"/>
        </w:rPr>
        <w:t>though</w:t>
      </w:r>
      <w:r w:rsidR="00721930">
        <w:rPr>
          <w:lang w:val="en-GB"/>
        </w:rPr>
        <w:t xml:space="preserve"> they would have 30% of the shares</w:t>
      </w:r>
      <w:r w:rsidRPr="00484A82">
        <w:rPr>
          <w:lang w:val="en-GB"/>
        </w:rPr>
        <w:t>. This structure has been employed by firms such as Alibaba and Alphabet, which allows them to control disproportionate equity (Lee, 2018). However, the ethos of AIM's governance deters this kind of mechanism due to the concerns around shareholder equality and transparency. Instead, a more appropriate mechanism under UK law is the use of</w:t>
      </w:r>
      <w:r w:rsidRPr="00484A82">
        <w:rPr>
          <w:b/>
          <w:i/>
          <w:lang w:val="en-GB"/>
        </w:rPr>
        <w:t xml:space="preserve"> shareholder agreements</w:t>
      </w:r>
      <w:r w:rsidRPr="00484A82">
        <w:rPr>
          <w:lang w:val="en-GB"/>
        </w:rPr>
        <w:t xml:space="preserve">. These agreements could stipulate </w:t>
      </w:r>
      <w:r w:rsidR="00CA4960" w:rsidRPr="00484A82">
        <w:rPr>
          <w:lang w:val="en-GB"/>
        </w:rPr>
        <w:t>those key decisions</w:t>
      </w:r>
      <w:r w:rsidRPr="00484A82">
        <w:rPr>
          <w:lang w:val="en-GB"/>
        </w:rPr>
        <w:t xml:space="preserve"> such as acquisitions, </w:t>
      </w:r>
      <w:r w:rsidR="00965E6C" w:rsidRPr="00484A82">
        <w:rPr>
          <w:lang w:val="en-GB"/>
        </w:rPr>
        <w:t>mergers;</w:t>
      </w:r>
      <w:r w:rsidRPr="00484A82">
        <w:rPr>
          <w:lang w:val="en-GB"/>
        </w:rPr>
        <w:t xml:space="preserve"> dividend distributions and strategic pivots require family approval</w:t>
      </w:r>
      <w:r w:rsidR="00A936C7">
        <w:rPr>
          <w:lang w:val="en-GB"/>
        </w:rPr>
        <w:t xml:space="preserve"> even though they have 30% shareholding</w:t>
      </w:r>
      <w:r w:rsidRPr="00484A82">
        <w:rPr>
          <w:lang w:val="en-GB"/>
        </w:rPr>
        <w:t xml:space="preserve">. According to Glynn (2013), a shareholder agreement provides additional protection among family businesses about </w:t>
      </w:r>
      <w:r w:rsidR="00965E6C">
        <w:rPr>
          <w:lang w:val="en-GB"/>
        </w:rPr>
        <w:t>vital</w:t>
      </w:r>
      <w:r w:rsidRPr="00484A82">
        <w:rPr>
          <w:lang w:val="en-GB"/>
        </w:rPr>
        <w:t xml:space="preserve"> decisions for the company, such as strategic acquisitions</w:t>
      </w:r>
      <w:r w:rsidR="00965E6C">
        <w:rPr>
          <w:lang w:val="en-GB"/>
        </w:rPr>
        <w:t xml:space="preserve">, </w:t>
      </w:r>
      <w:r w:rsidRPr="00484A82">
        <w:rPr>
          <w:lang w:val="en-GB"/>
        </w:rPr>
        <w:t xml:space="preserve">decisions to transfer, sell or dispose of any part of the company, among others. Henceforth, this legal structure provides a check on the external shareholders while remaining within the bounds of UK governance norms. According to Shahzad </w:t>
      </w:r>
      <w:r w:rsidRPr="00484A82">
        <w:rPr>
          <w:i/>
          <w:lang w:val="en-GB"/>
        </w:rPr>
        <w:t>et al</w:t>
      </w:r>
      <w:r w:rsidRPr="00484A82">
        <w:rPr>
          <w:lang w:val="en-GB"/>
        </w:rPr>
        <w:t xml:space="preserve">. (2024), developing an </w:t>
      </w:r>
      <w:r w:rsidRPr="00484A82">
        <w:rPr>
          <w:b/>
          <w:i/>
          <w:lang w:val="en-GB"/>
        </w:rPr>
        <w:t xml:space="preserve">internal family council </w:t>
      </w:r>
      <w:r w:rsidRPr="00484A82">
        <w:rPr>
          <w:lang w:val="en-GB"/>
        </w:rPr>
        <w:t xml:space="preserve">could aid in preserving strategic unity and succession planning and mitigating governance risks that might stem from intra-family disputes. Furthermore, adopting staggered board elections could provide continuity and protect the family's influence over time, provided such arrangements do not compromise the rights of the investors.         </w:t>
      </w:r>
    </w:p>
    <w:p w14:paraId="7A57333A" w14:textId="77777777" w:rsidR="00BC123E" w:rsidRPr="00484A82" w:rsidRDefault="00B215D0">
      <w:pPr>
        <w:pStyle w:val="Heading2"/>
        <w:rPr>
          <w:lang w:val="en-GB"/>
        </w:rPr>
      </w:pPr>
      <w:bookmarkStart w:id="8" w:name="_e7vtn9fs738r" w:colFirst="0" w:colLast="0"/>
      <w:bookmarkStart w:id="9" w:name="_Toc198915759"/>
      <w:bookmarkEnd w:id="8"/>
      <w:r w:rsidRPr="00484A82">
        <w:rPr>
          <w:lang w:val="en-GB"/>
        </w:rPr>
        <w:t xml:space="preserve">2.3 Remuneration of directors and the </w:t>
      </w:r>
      <w:r w:rsidR="004A51C6" w:rsidRPr="00484A82">
        <w:rPr>
          <w:lang w:val="en-GB"/>
        </w:rPr>
        <w:t>applicable</w:t>
      </w:r>
      <w:r w:rsidRPr="00484A82">
        <w:rPr>
          <w:lang w:val="en-GB"/>
        </w:rPr>
        <w:t xml:space="preserve"> structures needed to be in place to ensure fair compensation</w:t>
      </w:r>
      <w:bookmarkEnd w:id="9"/>
    </w:p>
    <w:p w14:paraId="7E5530ED" w14:textId="77777777" w:rsidR="00BC123E" w:rsidRPr="00484A82" w:rsidRDefault="00B215D0">
      <w:pPr>
        <w:rPr>
          <w:lang w:val="en-GB"/>
        </w:rPr>
      </w:pPr>
      <w:r w:rsidRPr="00484A82">
        <w:rPr>
          <w:lang w:val="en-GB"/>
        </w:rPr>
        <w:t xml:space="preserve">Directors' remuneration refers to the </w:t>
      </w:r>
      <w:r w:rsidR="004A51C6" w:rsidRPr="00484A82">
        <w:rPr>
          <w:lang w:val="en-GB"/>
        </w:rPr>
        <w:t>reimbursement</w:t>
      </w:r>
      <w:r w:rsidRPr="00484A82">
        <w:rPr>
          <w:lang w:val="en-GB"/>
        </w:rPr>
        <w:t xml:space="preserve"> that is provided by the </w:t>
      </w:r>
      <w:r w:rsidR="004A51C6" w:rsidRPr="00484A82">
        <w:rPr>
          <w:lang w:val="en-GB"/>
        </w:rPr>
        <w:t>business</w:t>
      </w:r>
      <w:r w:rsidRPr="00484A82">
        <w:rPr>
          <w:lang w:val="en-GB"/>
        </w:rPr>
        <w:t xml:space="preserve"> to the directors for the roles and responsibilities that have been performed. Executive remuneration must balance fairness, performance incentives and the expectations of the investors. In the UK, the Corporate Governance Code advises that directors' pay needs to be proportionate, justified and linked to long-term performance outcomes (Parliament, 2016). Henceforth, to ensure this, establishing a </w:t>
      </w:r>
      <w:r w:rsidRPr="00484A82">
        <w:rPr>
          <w:b/>
          <w:i/>
          <w:lang w:val="en-GB"/>
        </w:rPr>
        <w:t xml:space="preserve">remuneration committee </w:t>
      </w:r>
      <w:r w:rsidR="004A51C6" w:rsidRPr="00484A82">
        <w:rPr>
          <w:lang w:val="en-GB"/>
        </w:rPr>
        <w:t>poised</w:t>
      </w:r>
      <w:r w:rsidRPr="00484A82">
        <w:rPr>
          <w:lang w:val="en-GB"/>
        </w:rPr>
        <w:t xml:space="preserve"> of independent non-executive directors is deemed effective. According to Shortland and Perkins (2024), it results in making sure objectivity and transparency are shared in the compensation-setting process. A recommended structure comprises a mix of base salary, annual performance bonuses and long-term incentives such as equity-based awards. The deferred bonuses could be tied to the </w:t>
      </w:r>
      <w:r w:rsidRPr="00484A82">
        <w:rPr>
          <w:lang w:val="en-GB"/>
        </w:rPr>
        <w:lastRenderedPageBreak/>
        <w:t xml:space="preserve">multi-year performance metrics that help in aligning the interests of executives with the shareholder value. </w:t>
      </w:r>
    </w:p>
    <w:p w14:paraId="2542F3DA" w14:textId="77777777" w:rsidR="00BC123E" w:rsidRPr="00484A82" w:rsidRDefault="00B215D0">
      <w:pPr>
        <w:rPr>
          <w:lang w:val="en-GB"/>
        </w:rPr>
      </w:pPr>
      <w:r w:rsidRPr="00484A82">
        <w:rPr>
          <w:lang w:val="en-GB"/>
        </w:rPr>
        <w:t>For example, the</w:t>
      </w:r>
      <w:r w:rsidRPr="00484A82">
        <w:rPr>
          <w:b/>
          <w:i/>
          <w:lang w:val="en-GB"/>
        </w:rPr>
        <w:t xml:space="preserve"> Long-Term Incentive Plans (LTIPs) </w:t>
      </w:r>
      <w:r w:rsidRPr="00484A82">
        <w:rPr>
          <w:lang w:val="en-GB"/>
        </w:rPr>
        <w:t xml:space="preserve">could be contingent on metrics like return on capital employed (ROCE), as seen to be followed by </w:t>
      </w:r>
      <w:proofErr w:type="spellStart"/>
      <w:r w:rsidRPr="00484A82">
        <w:rPr>
          <w:lang w:val="en-GB"/>
        </w:rPr>
        <w:t>Videndum</w:t>
      </w:r>
      <w:proofErr w:type="spellEnd"/>
      <w:r w:rsidRPr="00484A82">
        <w:rPr>
          <w:lang w:val="en-GB"/>
        </w:rPr>
        <w:t xml:space="preserve"> (</w:t>
      </w:r>
      <w:proofErr w:type="spellStart"/>
      <w:r w:rsidRPr="00484A82">
        <w:rPr>
          <w:lang w:val="en-GB"/>
        </w:rPr>
        <w:t>Videndum</w:t>
      </w:r>
      <w:proofErr w:type="spellEnd"/>
      <w:r w:rsidRPr="00484A82">
        <w:rPr>
          <w:lang w:val="en-GB"/>
        </w:rPr>
        <w:t xml:space="preserve">, 2019). Additionally, a clawback clause is essential, </w:t>
      </w:r>
      <w:r w:rsidR="002556BF">
        <w:rPr>
          <w:lang w:val="en-GB"/>
        </w:rPr>
        <w:t>facilitating</w:t>
      </w:r>
      <w:r w:rsidRPr="00484A82">
        <w:rPr>
          <w:lang w:val="en-GB"/>
        </w:rPr>
        <w:t xml:space="preserve"> the company to reclaim variable pay in the event of financial misstatement or executive misconduct. According to Mitchell (2024), within a family-run business, a clawback clause is a crucial provision that can be a significant factor in managing risks and ensuring long-term stability. Benchmarking it against the industry peers would not only ensure competitiveness but also result in enhancing shareholder trust.        </w:t>
      </w:r>
    </w:p>
    <w:p w14:paraId="1491C080" w14:textId="77777777" w:rsidR="00BC123E" w:rsidRPr="00484A82" w:rsidRDefault="00B215D0">
      <w:pPr>
        <w:pStyle w:val="Heading2"/>
        <w:rPr>
          <w:lang w:val="en-GB"/>
        </w:rPr>
      </w:pPr>
      <w:bookmarkStart w:id="10" w:name="_tviuo7uzk6xt" w:colFirst="0" w:colLast="0"/>
      <w:bookmarkStart w:id="11" w:name="_Toc198915760"/>
      <w:bookmarkEnd w:id="10"/>
      <w:r w:rsidRPr="00484A82">
        <w:rPr>
          <w:lang w:val="en-GB"/>
        </w:rPr>
        <w:t>2.4 Institutional differences for the board of directors between the UK, Shanghai and the Netherlands</w:t>
      </w:r>
      <w:bookmarkEnd w:id="11"/>
    </w:p>
    <w:p w14:paraId="36929ADC" w14:textId="77777777" w:rsidR="00BC123E" w:rsidRPr="00484A82" w:rsidRDefault="00B215D0">
      <w:pPr>
        <w:rPr>
          <w:lang w:val="en-GB"/>
        </w:rPr>
      </w:pPr>
      <w:r w:rsidRPr="00484A82">
        <w:rPr>
          <w:lang w:val="en-GB"/>
        </w:rPr>
        <w:t xml:space="preserve">Exploring alternative listing locations such as Shanghai or the Netherlands requires an understanding of the institutional and regulatory context. According to Acemoglu and Robinson (2021), these differences stem from a variety of factors that include legacy systems, cultural norms, historical traditions and the specific economic and political goals of each of the nations. In </w:t>
      </w:r>
      <w:r w:rsidRPr="00484A82">
        <w:rPr>
          <w:b/>
          <w:i/>
          <w:lang w:val="en-GB"/>
        </w:rPr>
        <w:t xml:space="preserve">Shanghai’s </w:t>
      </w:r>
      <w:r w:rsidRPr="00484A82">
        <w:rPr>
          <w:lang w:val="en-GB"/>
        </w:rPr>
        <w:t xml:space="preserve">context, it operates within a state-centric governance environment. Therefore, </w:t>
      </w:r>
      <w:proofErr w:type="gramStart"/>
      <w:r w:rsidRPr="00484A82">
        <w:rPr>
          <w:lang w:val="en-GB"/>
        </w:rPr>
        <w:t>it is clear that the</w:t>
      </w:r>
      <w:proofErr w:type="gramEnd"/>
      <w:r w:rsidRPr="00484A82">
        <w:rPr>
          <w:lang w:val="en-GB"/>
        </w:rPr>
        <w:t xml:space="preserve"> business environment is heavily influenced by the </w:t>
      </w:r>
      <w:r w:rsidRPr="00484A82">
        <w:rPr>
          <w:b/>
          <w:i/>
          <w:lang w:val="en-GB"/>
        </w:rPr>
        <w:t>Chinese Communist Party (CCP)</w:t>
      </w:r>
      <w:r w:rsidRPr="00484A82">
        <w:rPr>
          <w:lang w:val="en-GB"/>
        </w:rPr>
        <w:t xml:space="preserve">. The compliance aspect of the businesses within the country is overseen by the </w:t>
      </w:r>
      <w:r w:rsidRPr="00484A82">
        <w:rPr>
          <w:b/>
          <w:i/>
          <w:lang w:val="en-GB"/>
        </w:rPr>
        <w:t>China Securities Regulatory Commission (CSRC)</w:t>
      </w:r>
      <w:r w:rsidRPr="00484A82">
        <w:rPr>
          <w:lang w:val="en-GB"/>
        </w:rPr>
        <w:t>, but the enforcement is often inconsistent (</w:t>
      </w:r>
      <w:proofErr w:type="spellStart"/>
      <w:r w:rsidRPr="00484A82">
        <w:rPr>
          <w:lang w:val="en-GB"/>
        </w:rPr>
        <w:t>Mengyan</w:t>
      </w:r>
      <w:proofErr w:type="spellEnd"/>
      <w:r w:rsidRPr="00484A82">
        <w:rPr>
          <w:lang w:val="en-GB"/>
        </w:rPr>
        <w:t xml:space="preserve"> </w:t>
      </w:r>
      <w:r w:rsidRPr="00484A82">
        <w:rPr>
          <w:i/>
          <w:lang w:val="en-GB"/>
        </w:rPr>
        <w:t>et al</w:t>
      </w:r>
      <w:r w:rsidRPr="00484A82">
        <w:rPr>
          <w:lang w:val="en-GB"/>
        </w:rPr>
        <w:t>., 2022). Moreover, within a business board, independence is mandated, while in some cases, it has been found that in Shanghai, this aspect has been compromised by the government appointees. The minority shareholder protection in China remains limited, with the legal recourse often ineffective. For a foreign family-owned company, navigating these complexities could expose the firm to political and regulatory risks, resulting in the undermining of transparency as well as investor trust. The company law in China mandates that firms register with a two-tier board system where the supervisory board exercises oversight over the executive board (</w:t>
      </w:r>
      <w:proofErr w:type="spellStart"/>
      <w:r w:rsidRPr="00484A82">
        <w:rPr>
          <w:lang w:val="en-GB"/>
        </w:rPr>
        <w:t>Woodburnglobal</w:t>
      </w:r>
      <w:proofErr w:type="spellEnd"/>
      <w:r w:rsidRPr="00484A82">
        <w:rPr>
          <w:lang w:val="en-GB"/>
        </w:rPr>
        <w:t xml:space="preserve">, 2025). This structure supports comprehensive governance but might dilute the shareholder influence. While this is effective for retaining the power, this structure might deter the activist investors </w:t>
      </w:r>
      <w:proofErr w:type="gramStart"/>
      <w:r w:rsidRPr="00484A82">
        <w:rPr>
          <w:lang w:val="en-GB"/>
        </w:rPr>
        <w:t>and also</w:t>
      </w:r>
      <w:proofErr w:type="gramEnd"/>
      <w:r w:rsidRPr="00484A82">
        <w:rPr>
          <w:lang w:val="en-GB"/>
        </w:rPr>
        <w:t xml:space="preserve"> raise concerns regarding transparency. </w:t>
      </w:r>
      <w:r w:rsidR="00B15F7B">
        <w:rPr>
          <w:lang w:val="en-GB"/>
        </w:rPr>
        <w:t xml:space="preserve">Henceforth, the BOD needs to be aware of these challenges if they </w:t>
      </w:r>
      <w:r w:rsidR="004058D0">
        <w:rPr>
          <w:lang w:val="en-GB"/>
        </w:rPr>
        <w:t>plan</w:t>
      </w:r>
      <w:r w:rsidR="00B15F7B">
        <w:rPr>
          <w:lang w:val="en-GB"/>
        </w:rPr>
        <w:t xml:space="preserve"> to enter the Shanghai market through their public listing. </w:t>
      </w:r>
    </w:p>
    <w:p w14:paraId="314BB1C8" w14:textId="77777777" w:rsidR="00BC123E" w:rsidRPr="00484A82" w:rsidRDefault="00B215D0">
      <w:pPr>
        <w:rPr>
          <w:lang w:val="en-GB"/>
        </w:rPr>
      </w:pPr>
      <w:r w:rsidRPr="00484A82">
        <w:rPr>
          <w:lang w:val="en-GB"/>
        </w:rPr>
        <w:t xml:space="preserve">While the </w:t>
      </w:r>
      <w:r w:rsidRPr="00484A82">
        <w:rPr>
          <w:b/>
          <w:i/>
          <w:lang w:val="en-GB"/>
        </w:rPr>
        <w:t xml:space="preserve">UK </w:t>
      </w:r>
      <w:r w:rsidRPr="00484A82">
        <w:rPr>
          <w:lang w:val="en-GB"/>
        </w:rPr>
        <w:t xml:space="preserve">stands out for its flexible and principle-based governance regime. According to Grey (2025), across Europe, it is </w:t>
      </w:r>
      <w:proofErr w:type="gramStart"/>
      <w:r w:rsidR="002556BF" w:rsidRPr="00484A82">
        <w:rPr>
          <w:lang w:val="en-GB"/>
        </w:rPr>
        <w:t>fairly</w:t>
      </w:r>
      <w:r w:rsidRPr="00484A82">
        <w:rPr>
          <w:lang w:val="en-GB"/>
        </w:rPr>
        <w:t xml:space="preserve"> normal</w:t>
      </w:r>
      <w:proofErr w:type="gramEnd"/>
      <w:r w:rsidRPr="00484A82">
        <w:rPr>
          <w:lang w:val="en-GB"/>
        </w:rPr>
        <w:t xml:space="preserve"> to </w:t>
      </w:r>
      <w:r w:rsidR="002556BF" w:rsidRPr="00484A82">
        <w:rPr>
          <w:lang w:val="en-GB"/>
        </w:rPr>
        <w:t>comprise</w:t>
      </w:r>
      <w:r w:rsidRPr="00484A82">
        <w:rPr>
          <w:lang w:val="en-GB"/>
        </w:rPr>
        <w:t xml:space="preserve"> a two-tier board structure with the </w:t>
      </w:r>
      <w:r w:rsidRPr="00484A82">
        <w:rPr>
          <w:lang w:val="en-GB"/>
        </w:rPr>
        <w:lastRenderedPageBreak/>
        <w:t xml:space="preserve">management board being overseen by the supervisory board. However, in the UK, this </w:t>
      </w:r>
      <w:r w:rsidR="002556BF" w:rsidRPr="00484A82">
        <w:rPr>
          <w:lang w:val="en-GB"/>
        </w:rPr>
        <w:t>difference</w:t>
      </w:r>
      <w:r w:rsidRPr="00484A82">
        <w:rPr>
          <w:lang w:val="en-GB"/>
        </w:rPr>
        <w:t xml:space="preserve"> does not exist. In the UK, companies predominantly utilise a one-tier board structure as their corporate governance framework. The board operates as a single entity, with the executive directors managing the </w:t>
      </w:r>
      <w:r w:rsidR="002556BF">
        <w:rPr>
          <w:lang w:val="en-GB"/>
        </w:rPr>
        <w:t xml:space="preserve">everyday </w:t>
      </w:r>
      <w:r w:rsidRPr="00484A82">
        <w:rPr>
          <w:lang w:val="en-GB"/>
        </w:rPr>
        <w:t xml:space="preserve">operations while the non-executive directors </w:t>
      </w:r>
      <w:r w:rsidR="002556BF" w:rsidRPr="00484A82">
        <w:rPr>
          <w:lang w:val="en-GB"/>
        </w:rPr>
        <w:t>offer</w:t>
      </w:r>
      <w:r w:rsidRPr="00484A82">
        <w:rPr>
          <w:lang w:val="en-GB"/>
        </w:rPr>
        <w:t xml:space="preserve"> oversight as well as strategic guidance within the company (Gray, 2025). In the UK, shareholder protections are robust and consist of pre-emptive rights, transparent disclosure and effective legal remedies (</w:t>
      </w:r>
      <w:proofErr w:type="spellStart"/>
      <w:r w:rsidRPr="00484A82">
        <w:rPr>
          <w:lang w:val="en-GB"/>
        </w:rPr>
        <w:t>Syitioseh</w:t>
      </w:r>
      <w:proofErr w:type="spellEnd"/>
      <w:r w:rsidRPr="00484A82">
        <w:rPr>
          <w:lang w:val="en-GB"/>
        </w:rPr>
        <w:t xml:space="preserve">, 2024). Moreover, the AIM market's emphasis on voluntary compliance enables companies in the UK to tailor governance while maintaining investor confidence.           </w:t>
      </w:r>
    </w:p>
    <w:p w14:paraId="3FF0008D" w14:textId="77777777" w:rsidR="00BC123E" w:rsidRPr="00484A82" w:rsidRDefault="00B215D0">
      <w:pPr>
        <w:pStyle w:val="Heading1"/>
        <w:rPr>
          <w:lang w:val="en-GB"/>
        </w:rPr>
      </w:pPr>
      <w:bookmarkStart w:id="12" w:name="_ccas1lzhvkv1" w:colFirst="0" w:colLast="0"/>
      <w:bookmarkStart w:id="13" w:name="_Toc198915761"/>
      <w:bookmarkEnd w:id="12"/>
      <w:r w:rsidRPr="00484A82">
        <w:rPr>
          <w:lang w:val="en-GB"/>
        </w:rPr>
        <w:t>3.0 Conclusion</w:t>
      </w:r>
      <w:bookmarkEnd w:id="13"/>
    </w:p>
    <w:p w14:paraId="7551F238" w14:textId="77777777" w:rsidR="00BC123E" w:rsidRPr="00484A82" w:rsidRDefault="00B215D0">
      <w:pPr>
        <w:rPr>
          <w:lang w:val="en-GB"/>
        </w:rPr>
      </w:pPr>
      <w:r w:rsidRPr="00484A82">
        <w:rPr>
          <w:lang w:val="en-GB"/>
        </w:rPr>
        <w:t xml:space="preserve">Overall, it can be concluded that when transitioning to a public company, the company needs to internalise the principle of corporate governance and address the agency risks that are inherent in dispersed ownership. An effective governance structure, including independent oversight, shareholder agreement and performance-based remuneration, could uphold the family influence while aligning with the expectations from the perspective of both investors and regulators. The comparative analysis underscores that the UK still has the most conducive environment for balancing control with transparency, as Shanghai's regulatory body could expose the firm to political and regulatory risks. Henceforth, this might undermine the operational autonomy as well as investor appeal.  </w:t>
      </w:r>
    </w:p>
    <w:p w14:paraId="63C635BE" w14:textId="77777777" w:rsidR="00BC123E" w:rsidRPr="00484A82" w:rsidRDefault="00B215D0">
      <w:pPr>
        <w:pStyle w:val="Heading1"/>
        <w:rPr>
          <w:lang w:val="en-GB"/>
        </w:rPr>
      </w:pPr>
      <w:bookmarkStart w:id="14" w:name="_8tp31b6yk8n9" w:colFirst="0" w:colLast="0"/>
      <w:bookmarkStart w:id="15" w:name="_Toc198915762"/>
      <w:bookmarkEnd w:id="14"/>
      <w:r w:rsidRPr="00484A82">
        <w:rPr>
          <w:lang w:val="en-GB"/>
        </w:rPr>
        <w:t>4.0 Recommendations</w:t>
      </w:r>
      <w:bookmarkEnd w:id="15"/>
    </w:p>
    <w:p w14:paraId="4608AD57" w14:textId="77777777" w:rsidR="00BC123E" w:rsidRPr="00484A82" w:rsidRDefault="00B215D0">
      <w:pPr>
        <w:rPr>
          <w:lang w:val="en-GB"/>
        </w:rPr>
      </w:pPr>
      <w:r w:rsidRPr="00484A82">
        <w:rPr>
          <w:lang w:val="en-GB"/>
        </w:rPr>
        <w:t xml:space="preserve">To ensure a successful listing on AIM while preserving its strategic influence, the following three recommendations could be adopted by the firm. </w:t>
      </w:r>
    </w:p>
    <w:p w14:paraId="55EEAAFC" w14:textId="77777777" w:rsidR="00BC123E" w:rsidRPr="00484A82" w:rsidRDefault="00B215D0">
      <w:pPr>
        <w:numPr>
          <w:ilvl w:val="0"/>
          <w:numId w:val="1"/>
        </w:numPr>
        <w:rPr>
          <w:lang w:val="en-GB"/>
        </w:rPr>
      </w:pPr>
      <w:r w:rsidRPr="00484A82">
        <w:rPr>
          <w:lang w:val="en-GB"/>
        </w:rPr>
        <w:t xml:space="preserve">The board could introduce an independent oversight structure by appointing at least two independent non-executive directors and forming a Remuneration Committee. This aligns with the best practices under the UK’s Corporate Governance Code (FRC, 2025). This would result in increased transparency as well as reduced agency costs. </w:t>
      </w:r>
    </w:p>
    <w:p w14:paraId="40227138" w14:textId="77777777" w:rsidR="00BC123E" w:rsidRPr="00484A82" w:rsidRDefault="00B215D0">
      <w:pPr>
        <w:numPr>
          <w:ilvl w:val="0"/>
          <w:numId w:val="1"/>
        </w:numPr>
        <w:rPr>
          <w:lang w:val="en-GB"/>
        </w:rPr>
      </w:pPr>
      <w:r w:rsidRPr="00484A82">
        <w:rPr>
          <w:lang w:val="en-GB"/>
        </w:rPr>
        <w:t xml:space="preserve">Rather than adopting a </w:t>
      </w:r>
      <w:proofErr w:type="gramStart"/>
      <w:r w:rsidRPr="00484A82">
        <w:rPr>
          <w:lang w:val="en-GB"/>
        </w:rPr>
        <w:t>dual-class</w:t>
      </w:r>
      <w:proofErr w:type="gramEnd"/>
      <w:r w:rsidRPr="00484A82">
        <w:rPr>
          <w:lang w:val="en-GB"/>
        </w:rPr>
        <w:t xml:space="preserve"> share structure, which is discouraged on AIM, the family could create a robust shareholder agreement. These agreements could stipulate the reserved matters, such as the dividend policies and capital </w:t>
      </w:r>
      <w:r w:rsidR="005D7694" w:rsidRPr="00484A82">
        <w:rPr>
          <w:lang w:val="en-GB"/>
        </w:rPr>
        <w:t>expenditures that</w:t>
      </w:r>
      <w:r w:rsidRPr="00484A82">
        <w:rPr>
          <w:lang w:val="en-GB"/>
        </w:rPr>
        <w:t xml:space="preserve"> require unanimous family consent. According to Steinbach (2021), this stakeholder agreement approach has been effective post-IPO for retaining control without breaching AIM norms. </w:t>
      </w:r>
    </w:p>
    <w:p w14:paraId="045E4BDC" w14:textId="77777777" w:rsidR="00BC123E" w:rsidRPr="00484A82" w:rsidRDefault="00B215D0" w:rsidP="00484A82">
      <w:pPr>
        <w:numPr>
          <w:ilvl w:val="0"/>
          <w:numId w:val="1"/>
        </w:numPr>
        <w:rPr>
          <w:lang w:val="en-GB"/>
        </w:rPr>
      </w:pPr>
      <w:r w:rsidRPr="00484A82">
        <w:rPr>
          <w:lang w:val="en-GB"/>
        </w:rPr>
        <w:lastRenderedPageBreak/>
        <w:t>The company could list on AIM in the UK rather than relocating to Shanghai. The UK’s principles-based regime offers investor confidence and flexibility, unlike Shanghai's state-influenced governance model, which also mandates a two-tier board system.</w:t>
      </w:r>
      <w:r w:rsidRPr="00484A82">
        <w:rPr>
          <w:lang w:val="en-GB"/>
        </w:rPr>
        <w:br w:type="page"/>
      </w:r>
    </w:p>
    <w:p w14:paraId="3090FA95" w14:textId="77777777" w:rsidR="00BC123E" w:rsidRPr="00484A82" w:rsidRDefault="00B215D0">
      <w:pPr>
        <w:pStyle w:val="Heading1"/>
        <w:rPr>
          <w:lang w:val="en-GB"/>
        </w:rPr>
      </w:pPr>
      <w:bookmarkStart w:id="16" w:name="_49tr6pqcwq7" w:colFirst="0" w:colLast="0"/>
      <w:bookmarkStart w:id="17" w:name="_Toc198915763"/>
      <w:bookmarkEnd w:id="16"/>
      <w:r w:rsidRPr="00484A82">
        <w:rPr>
          <w:lang w:val="en-GB"/>
        </w:rPr>
        <w:lastRenderedPageBreak/>
        <w:t>Reference list</w:t>
      </w:r>
      <w:bookmarkEnd w:id="17"/>
    </w:p>
    <w:p w14:paraId="44EA00CB" w14:textId="77777777" w:rsidR="00484A82" w:rsidRPr="00484A82" w:rsidRDefault="00484A82" w:rsidP="00484A82">
      <w:pPr>
        <w:spacing w:before="240"/>
        <w:rPr>
          <w:lang w:val="en-GB"/>
        </w:rPr>
      </w:pPr>
      <w:r w:rsidRPr="00484A82">
        <w:rPr>
          <w:lang w:val="en-GB"/>
        </w:rPr>
        <w:t xml:space="preserve">Acemoglu, D. and Robinson, J.A., (2021). </w:t>
      </w:r>
      <w:r w:rsidRPr="00484A82">
        <w:rPr>
          <w:i/>
          <w:lang w:val="en-GB"/>
        </w:rPr>
        <w:t>Culture, institutions and social equilibria: A framework</w:t>
      </w:r>
      <w:r w:rsidRPr="00484A82">
        <w:rPr>
          <w:lang w:val="en-GB"/>
        </w:rPr>
        <w:t xml:space="preserve"> (No. w28832). National Bureau of Economic Research.</w:t>
      </w:r>
    </w:p>
    <w:p w14:paraId="602D3D57" w14:textId="77777777" w:rsidR="00484A82" w:rsidRPr="00484A82" w:rsidRDefault="00484A82" w:rsidP="00484A82">
      <w:pPr>
        <w:spacing w:before="240"/>
        <w:rPr>
          <w:lang w:val="en-GB"/>
        </w:rPr>
      </w:pPr>
      <w:r w:rsidRPr="00484A82">
        <w:rPr>
          <w:lang w:val="en-GB"/>
        </w:rPr>
        <w:t xml:space="preserve">Al-Faryan, M.A.S., (2024). Agency theory, corporate governance and corruption: an integrative literature review approach. </w:t>
      </w:r>
      <w:r w:rsidRPr="00484A82">
        <w:rPr>
          <w:i/>
          <w:lang w:val="en-GB"/>
        </w:rPr>
        <w:t>Cogent social sciences, 10</w:t>
      </w:r>
      <w:r w:rsidRPr="00484A82">
        <w:rPr>
          <w:lang w:val="en-GB"/>
        </w:rPr>
        <w:t>(1), p.2337893.</w:t>
      </w:r>
    </w:p>
    <w:p w14:paraId="42972B64" w14:textId="77777777" w:rsidR="00484A82" w:rsidRPr="00484A82" w:rsidRDefault="00484A82" w:rsidP="00484A82">
      <w:pPr>
        <w:spacing w:before="240"/>
        <w:rPr>
          <w:lang w:val="en-GB"/>
        </w:rPr>
      </w:pPr>
      <w:r w:rsidRPr="00484A82">
        <w:rPr>
          <w:lang w:val="en-GB"/>
        </w:rPr>
        <w:t xml:space="preserve">FRC, (2024) </w:t>
      </w:r>
      <w:r w:rsidRPr="00484A82">
        <w:rPr>
          <w:i/>
          <w:lang w:val="en-GB"/>
        </w:rPr>
        <w:t>Corporate Governance (overview).</w:t>
      </w:r>
      <w:r w:rsidRPr="00484A82">
        <w:rPr>
          <w:lang w:val="en-GB"/>
        </w:rPr>
        <w:t xml:space="preserve"> Available at: </w:t>
      </w:r>
      <w:hyperlink r:id="rId7" w:anchor=":~:text=The%20UK%20Corporate%20Governance%20code%20(the%20Code)%20is%20an%20important,as%20'comply%20or%20explain">
        <w:r w:rsidRPr="00484A82">
          <w:rPr>
            <w:color w:val="1155CC"/>
            <w:u w:val="single"/>
            <w:lang w:val="en-GB"/>
          </w:rPr>
          <w:t>https://www.frc.org.uk/library/standards-codes-policy/corporate-governance/corporate-governance-overview/#:~:text=The%20UK%20Corporate%20Governance%20code%20(the%20Code)%20is%20an%20important,as%20'comply%20or%20explain</w:t>
        </w:r>
      </w:hyperlink>
      <w:r w:rsidRPr="00484A82">
        <w:rPr>
          <w:lang w:val="en-GB"/>
        </w:rPr>
        <w:t>'. (Accessed: 23 May 2025)</w:t>
      </w:r>
    </w:p>
    <w:p w14:paraId="3C686DAD" w14:textId="77777777" w:rsidR="00484A82" w:rsidRPr="00484A82" w:rsidRDefault="00484A82" w:rsidP="00484A82">
      <w:pPr>
        <w:spacing w:before="240"/>
        <w:rPr>
          <w:lang w:val="en-GB"/>
        </w:rPr>
      </w:pPr>
      <w:r w:rsidRPr="00484A82">
        <w:rPr>
          <w:lang w:val="en-GB"/>
        </w:rPr>
        <w:t xml:space="preserve">Glynn, (2013) </w:t>
      </w:r>
      <w:r w:rsidRPr="00484A82">
        <w:rPr>
          <w:i/>
          <w:lang w:val="en-GB"/>
        </w:rPr>
        <w:t>Shareholder agreements in family companies</w:t>
      </w:r>
      <w:r w:rsidRPr="00484A82">
        <w:rPr>
          <w:lang w:val="en-GB"/>
        </w:rPr>
        <w:t xml:space="preserve">. Available at: </w:t>
      </w:r>
      <w:hyperlink r:id="rId8">
        <w:r w:rsidRPr="00484A82">
          <w:rPr>
            <w:color w:val="1155CC"/>
            <w:u w:val="single"/>
            <w:lang w:val="en-GB"/>
          </w:rPr>
          <w:t>https://www.deloitte.com/ie/en/services/deloitte-private/perspectives/shareholder-agreements-family-companies.html</w:t>
        </w:r>
      </w:hyperlink>
      <w:r w:rsidRPr="00484A82">
        <w:rPr>
          <w:lang w:val="en-GB"/>
        </w:rPr>
        <w:t xml:space="preserve"> (Accessed: 23 May 2025)</w:t>
      </w:r>
    </w:p>
    <w:p w14:paraId="0D44513B" w14:textId="77777777" w:rsidR="00484A82" w:rsidRPr="00484A82" w:rsidRDefault="00484A82" w:rsidP="00484A82">
      <w:pPr>
        <w:spacing w:before="240"/>
        <w:rPr>
          <w:lang w:val="en-GB"/>
        </w:rPr>
      </w:pPr>
      <w:r w:rsidRPr="00484A82">
        <w:rPr>
          <w:lang w:val="en-GB"/>
        </w:rPr>
        <w:t xml:space="preserve">Graves, (2022) </w:t>
      </w:r>
      <w:r w:rsidRPr="00484A82">
        <w:rPr>
          <w:i/>
          <w:lang w:val="en-GB"/>
        </w:rPr>
        <w:t>The responsibilities and duties of a company director.</w:t>
      </w:r>
      <w:r w:rsidRPr="00484A82">
        <w:rPr>
          <w:lang w:val="en-GB"/>
        </w:rPr>
        <w:t xml:space="preserve"> Available at: </w:t>
      </w:r>
      <w:hyperlink r:id="rId9">
        <w:r w:rsidRPr="00484A82">
          <w:rPr>
            <w:color w:val="1155CC"/>
            <w:u w:val="single"/>
            <w:lang w:val="en-GB"/>
          </w:rPr>
          <w:t>https://www.burges-salmon.com/our-thinking/the-responsibilities-and-duties-of-a-company-director/</w:t>
        </w:r>
      </w:hyperlink>
      <w:r w:rsidRPr="00484A82">
        <w:rPr>
          <w:lang w:val="en-GB"/>
        </w:rPr>
        <w:t xml:space="preserve"> (Accessed: 23 May 2025)</w:t>
      </w:r>
    </w:p>
    <w:p w14:paraId="10ECED93" w14:textId="77777777" w:rsidR="00484A82" w:rsidRPr="00484A82" w:rsidRDefault="00484A82" w:rsidP="00484A82">
      <w:pPr>
        <w:spacing w:before="240"/>
        <w:rPr>
          <w:lang w:val="en-GB"/>
        </w:rPr>
      </w:pPr>
      <w:r w:rsidRPr="00484A82">
        <w:rPr>
          <w:lang w:val="en-GB"/>
        </w:rPr>
        <w:t xml:space="preserve">Gray, (2025) </w:t>
      </w:r>
      <w:r w:rsidRPr="00484A82">
        <w:rPr>
          <w:i/>
          <w:lang w:val="en-GB"/>
        </w:rPr>
        <w:t xml:space="preserve">The Non-Executive Director. </w:t>
      </w:r>
      <w:r w:rsidRPr="00484A82">
        <w:rPr>
          <w:lang w:val="en-GB"/>
        </w:rPr>
        <w:t xml:space="preserve">Available at:  </w:t>
      </w:r>
      <w:hyperlink r:id="rId10">
        <w:r w:rsidRPr="00484A82">
          <w:rPr>
            <w:color w:val="1155CC"/>
            <w:u w:val="single"/>
            <w:lang w:val="en-GB"/>
          </w:rPr>
          <w:t>https://www.publicappointmentsni.org/files/publicappointmentsni/media-files/The_Non-Executive_Director%20-%20Explanation%20of%20the%20UK%20system.pdfhttps://www.publicappointmentsni.org/files/publicappointmentsni/media-files/The_Non-Executive_Director%20-%20Explanation%20of%20the%20UK%20system.pdf</w:t>
        </w:r>
      </w:hyperlink>
      <w:r w:rsidRPr="00484A82">
        <w:rPr>
          <w:lang w:val="en-GB"/>
        </w:rPr>
        <w:t xml:space="preserve"> (Accessed: 23 May 2025)</w:t>
      </w:r>
    </w:p>
    <w:p w14:paraId="6C62C929" w14:textId="77777777" w:rsidR="00484A82" w:rsidRPr="00484A82" w:rsidRDefault="00484A82" w:rsidP="00484A82">
      <w:pPr>
        <w:spacing w:before="240"/>
        <w:rPr>
          <w:lang w:val="en-GB"/>
        </w:rPr>
      </w:pPr>
      <w:r w:rsidRPr="00484A82">
        <w:rPr>
          <w:lang w:val="en-GB"/>
        </w:rPr>
        <w:t xml:space="preserve">Lee, P.W., (2018). Dual Class Shares in Singapore–Where Ideology Meets Pragmatism. </w:t>
      </w:r>
      <w:r w:rsidRPr="00484A82">
        <w:rPr>
          <w:i/>
          <w:lang w:val="en-GB"/>
        </w:rPr>
        <w:t>Berkeley Business Law Journal, 15</w:t>
      </w:r>
      <w:r w:rsidRPr="00484A82">
        <w:rPr>
          <w:lang w:val="en-GB"/>
        </w:rPr>
        <w:t xml:space="preserve">(2), pp.440-467.  </w:t>
      </w:r>
    </w:p>
    <w:p w14:paraId="24CC22E8" w14:textId="77777777" w:rsidR="00484A82" w:rsidRPr="00484A82" w:rsidRDefault="00484A82" w:rsidP="00484A82">
      <w:pPr>
        <w:spacing w:before="240"/>
        <w:rPr>
          <w:lang w:val="en-GB"/>
        </w:rPr>
      </w:pPr>
      <w:proofErr w:type="spellStart"/>
      <w:r w:rsidRPr="00484A82">
        <w:rPr>
          <w:lang w:val="en-GB"/>
        </w:rPr>
        <w:t>Mengyan</w:t>
      </w:r>
      <w:proofErr w:type="spellEnd"/>
      <w:r w:rsidRPr="00484A82">
        <w:rPr>
          <w:lang w:val="en-GB"/>
        </w:rPr>
        <w:t xml:space="preserve">, L., </w:t>
      </w:r>
      <w:proofErr w:type="spellStart"/>
      <w:r w:rsidRPr="00484A82">
        <w:rPr>
          <w:lang w:val="en-GB"/>
        </w:rPr>
        <w:t>Zhaojie</w:t>
      </w:r>
      <w:proofErr w:type="spellEnd"/>
      <w:r w:rsidRPr="00484A82">
        <w:rPr>
          <w:lang w:val="en-GB"/>
        </w:rPr>
        <w:t>, L. and Jindong, G., (2022). A Chinese perspective: the enlightenment of the UK financial system.</w:t>
      </w:r>
      <w:r w:rsidRPr="00484A82">
        <w:rPr>
          <w:i/>
          <w:lang w:val="en-GB"/>
        </w:rPr>
        <w:t xml:space="preserve"> Coventry Law Journal, 27</w:t>
      </w:r>
      <w:r w:rsidRPr="00484A82">
        <w:rPr>
          <w:lang w:val="en-GB"/>
        </w:rPr>
        <w:t xml:space="preserve">(1), pp.153-164.    </w:t>
      </w:r>
    </w:p>
    <w:p w14:paraId="4663DF3E" w14:textId="77777777" w:rsidR="00484A82" w:rsidRPr="00484A82" w:rsidRDefault="00484A82" w:rsidP="00484A82">
      <w:pPr>
        <w:spacing w:before="240"/>
        <w:rPr>
          <w:lang w:val="en-GB"/>
        </w:rPr>
      </w:pPr>
      <w:r w:rsidRPr="00484A82">
        <w:rPr>
          <w:lang w:val="en-GB"/>
        </w:rPr>
        <w:t xml:space="preserve">Mitchell, (2024) </w:t>
      </w:r>
      <w:r w:rsidRPr="00484A82">
        <w:rPr>
          <w:i/>
          <w:lang w:val="en-GB"/>
        </w:rPr>
        <w:t>What to consider when giving away shares in the family company</w:t>
      </w:r>
      <w:r w:rsidRPr="00484A82">
        <w:rPr>
          <w:lang w:val="en-GB"/>
        </w:rPr>
        <w:t xml:space="preserve">. Available at: </w:t>
      </w:r>
      <w:hyperlink r:id="rId11" w:anchor=":~:text=If%20the%20donor%20survives%20either,can%20no%20longer%20be%20satisfied">
        <w:r w:rsidRPr="00484A82">
          <w:rPr>
            <w:color w:val="1155CC"/>
            <w:u w:val="single"/>
            <w:lang w:val="en-GB"/>
          </w:rPr>
          <w:t>https://ts-p.co.uk/insights/what-to-consider-when-giving-away-shares-in-the-family-</w:t>
        </w:r>
        <w:r w:rsidRPr="00484A82">
          <w:rPr>
            <w:color w:val="1155CC"/>
            <w:u w:val="single"/>
            <w:lang w:val="en-GB"/>
          </w:rPr>
          <w:lastRenderedPageBreak/>
          <w:t>company/#:~:</w:t>
        </w:r>
      </w:hyperlink>
      <w:hyperlink r:id="rId12" w:anchor=":~:text=If%20the%20donor%20survives%20either,can%20no%20longer%20be%20satisfied">
        <w:r w:rsidRPr="00484A82">
          <w:rPr>
            <w:color w:val="1155CC"/>
            <w:u w:val="single"/>
            <w:lang w:val="en-GB"/>
          </w:rPr>
          <w:t>text=If%20the%20donor%20survives%20either</w:t>
        </w:r>
      </w:hyperlink>
      <w:hyperlink r:id="rId13" w:anchor=":~:text=If%20the%20donor%20survives%20either,can%20no%20longer%20be%20satisfied">
        <w:r w:rsidRPr="00484A82">
          <w:rPr>
            <w:color w:val="1155CC"/>
            <w:u w:val="single"/>
            <w:lang w:val="en-GB"/>
          </w:rPr>
          <w:t>,</w:t>
        </w:r>
      </w:hyperlink>
      <w:hyperlink r:id="rId14" w:anchor=":~:text=If%20the%20donor%20survives%20either,can%20no%20longer%20be%20satisfied">
        <w:r w:rsidRPr="00484A82">
          <w:rPr>
            <w:color w:val="1155CC"/>
            <w:u w:val="single"/>
            <w:lang w:val="en-GB"/>
          </w:rPr>
          <w:t>can%20no%20longer%20be%20satisfied</w:t>
        </w:r>
      </w:hyperlink>
      <w:r w:rsidRPr="00484A82">
        <w:rPr>
          <w:lang w:val="en-GB"/>
        </w:rPr>
        <w:t>. (Accessed: 23 May 2025)</w:t>
      </w:r>
    </w:p>
    <w:p w14:paraId="007839E0" w14:textId="77777777" w:rsidR="00484A82" w:rsidRPr="00484A82" w:rsidRDefault="00484A82" w:rsidP="00484A82">
      <w:pPr>
        <w:spacing w:before="240"/>
        <w:rPr>
          <w:lang w:val="en-GB"/>
        </w:rPr>
      </w:pPr>
      <w:proofErr w:type="spellStart"/>
      <w:r w:rsidRPr="00484A82">
        <w:rPr>
          <w:lang w:val="en-GB"/>
        </w:rPr>
        <w:t>Nyitioseh</w:t>
      </w:r>
      <w:proofErr w:type="spellEnd"/>
      <w:r w:rsidRPr="00484A82">
        <w:rPr>
          <w:lang w:val="en-GB"/>
        </w:rPr>
        <w:t xml:space="preserve">, N.A., (2024). A Comparative Analysis of Remedies and Challenges in the Protection of Stakeholders Rights: OHADA vs. English Corporate Law. </w:t>
      </w:r>
      <w:r w:rsidRPr="00484A82">
        <w:rPr>
          <w:i/>
          <w:lang w:val="en-GB"/>
        </w:rPr>
        <w:t>Studies in Law and Justice, 3</w:t>
      </w:r>
      <w:r w:rsidRPr="00484A82">
        <w:rPr>
          <w:lang w:val="en-GB"/>
        </w:rPr>
        <w:t xml:space="preserve">(3), pp.20-37. </w:t>
      </w:r>
    </w:p>
    <w:p w14:paraId="1F50EC84" w14:textId="77777777" w:rsidR="00484A82" w:rsidRPr="00484A82" w:rsidRDefault="00484A82" w:rsidP="00484A82">
      <w:pPr>
        <w:spacing w:before="240"/>
        <w:rPr>
          <w:lang w:val="en-GB"/>
        </w:rPr>
      </w:pPr>
      <w:r w:rsidRPr="00484A82">
        <w:rPr>
          <w:lang w:val="en-GB"/>
        </w:rPr>
        <w:t xml:space="preserve">Parliament, (2016) </w:t>
      </w:r>
      <w:r w:rsidRPr="00484A82">
        <w:rPr>
          <w:i/>
          <w:lang w:val="en-GB"/>
        </w:rPr>
        <w:t>Written evidence from the Investment Association (CGV 109)</w:t>
      </w:r>
      <w:r w:rsidRPr="00484A82">
        <w:rPr>
          <w:lang w:val="en-GB"/>
        </w:rPr>
        <w:t xml:space="preserve">. Available at: </w:t>
      </w:r>
      <w:hyperlink r:id="rId15" w:anchor=":~:text=This%20structure%20means%20that%20there,shares%20over%20the%20long%20term">
        <w:r w:rsidRPr="00484A82">
          <w:rPr>
            <w:color w:val="1155CC"/>
            <w:u w:val="single"/>
            <w:lang w:val="en-GB"/>
          </w:rPr>
          <w:t>https://committees.parliament.uk/writtenevidence/74343/html/#:~:text=</w:t>
        </w:r>
      </w:hyperlink>
      <w:hyperlink r:id="rId16" w:anchor=":~:text=This%20structure%20means%20that%20there,shares%20over%20the%20long%20term">
        <w:r w:rsidRPr="00484A82">
          <w:rPr>
            <w:color w:val="1155CC"/>
            <w:u w:val="single"/>
            <w:lang w:val="en-GB"/>
          </w:rPr>
          <w:t>This%20structure%20means%20that%20there</w:t>
        </w:r>
      </w:hyperlink>
      <w:hyperlink r:id="rId17" w:anchor=":~:text=This%20structure%20means%20that%20there,shares%20over%20the%20long%20term">
        <w:r w:rsidRPr="00484A82">
          <w:rPr>
            <w:color w:val="1155CC"/>
            <w:u w:val="single"/>
            <w:lang w:val="en-GB"/>
          </w:rPr>
          <w:t>,</w:t>
        </w:r>
      </w:hyperlink>
      <w:hyperlink r:id="rId18" w:anchor=":~:text=This%20structure%20means%20that%20there,shares%20over%20the%20long%20term">
        <w:r w:rsidRPr="00484A82">
          <w:rPr>
            <w:color w:val="1155CC"/>
            <w:u w:val="single"/>
            <w:lang w:val="en-GB"/>
          </w:rPr>
          <w:t>shares%20over%20the%20long%20term</w:t>
        </w:r>
      </w:hyperlink>
      <w:r w:rsidRPr="00484A82">
        <w:rPr>
          <w:lang w:val="en-GB"/>
        </w:rPr>
        <w:t>. (Accessed: 23 May 2025)</w:t>
      </w:r>
    </w:p>
    <w:p w14:paraId="7E8E48E3" w14:textId="77777777" w:rsidR="00484A82" w:rsidRPr="00484A82" w:rsidRDefault="00484A82" w:rsidP="00484A82">
      <w:pPr>
        <w:spacing w:before="240"/>
        <w:rPr>
          <w:lang w:val="en-GB"/>
        </w:rPr>
      </w:pPr>
      <w:r w:rsidRPr="00484A82">
        <w:rPr>
          <w:lang w:val="en-GB"/>
        </w:rPr>
        <w:t xml:space="preserve">Shahzad, F., Akhlaq, A. and Ghaffar, C., (2024). Exploring business succession dynamics in family-owned businesses: lessons from Pakistani case studies. </w:t>
      </w:r>
      <w:r w:rsidRPr="00484A82">
        <w:rPr>
          <w:i/>
          <w:lang w:val="en-GB"/>
        </w:rPr>
        <w:t>Journal of Family Business Management</w:t>
      </w:r>
      <w:r w:rsidRPr="00484A82">
        <w:rPr>
          <w:lang w:val="en-GB"/>
        </w:rPr>
        <w:t>.</w:t>
      </w:r>
    </w:p>
    <w:p w14:paraId="338F1601" w14:textId="77777777" w:rsidR="00484A82" w:rsidRPr="00484A82" w:rsidRDefault="00484A82" w:rsidP="00484A82">
      <w:pPr>
        <w:spacing w:before="240"/>
        <w:rPr>
          <w:lang w:val="en-GB"/>
        </w:rPr>
      </w:pPr>
      <w:r w:rsidRPr="00484A82">
        <w:rPr>
          <w:lang w:val="en-GB"/>
        </w:rPr>
        <w:t>Shortland, S. and Perkins, S.J., (2024). Diversity in remuneration committees: A view from the inside.</w:t>
      </w:r>
      <w:r w:rsidRPr="00484A82">
        <w:rPr>
          <w:i/>
          <w:lang w:val="en-GB"/>
        </w:rPr>
        <w:t xml:space="preserve"> Equality, Diversity and Inclusion: An International Journal, 43</w:t>
      </w:r>
      <w:r w:rsidRPr="00484A82">
        <w:rPr>
          <w:lang w:val="en-GB"/>
        </w:rPr>
        <w:t>(7), pp.1208-1229.</w:t>
      </w:r>
    </w:p>
    <w:p w14:paraId="134BE508" w14:textId="77777777" w:rsidR="00484A82" w:rsidRPr="00484A82" w:rsidRDefault="00484A82" w:rsidP="00484A82">
      <w:pPr>
        <w:spacing w:before="240"/>
        <w:rPr>
          <w:lang w:val="en-GB"/>
        </w:rPr>
      </w:pPr>
      <w:r w:rsidRPr="00484A82">
        <w:rPr>
          <w:lang w:val="en-GB"/>
        </w:rPr>
        <w:t xml:space="preserve">Solomon, J., (2020). </w:t>
      </w:r>
      <w:r w:rsidRPr="00484A82">
        <w:rPr>
          <w:i/>
          <w:lang w:val="en-GB"/>
        </w:rPr>
        <w:t xml:space="preserve">Corporate governance and accountability. </w:t>
      </w:r>
      <w:r w:rsidRPr="00484A82">
        <w:rPr>
          <w:lang w:val="en-GB"/>
        </w:rPr>
        <w:t>John Wiley &amp; Sons.</w:t>
      </w:r>
    </w:p>
    <w:p w14:paraId="619E0E04" w14:textId="77777777" w:rsidR="00484A82" w:rsidRPr="00484A82" w:rsidRDefault="00484A82" w:rsidP="00484A82">
      <w:pPr>
        <w:spacing w:before="240"/>
        <w:rPr>
          <w:lang w:val="en-GB"/>
        </w:rPr>
      </w:pPr>
      <w:r w:rsidRPr="00484A82">
        <w:rPr>
          <w:lang w:val="en-GB"/>
        </w:rPr>
        <w:t>Steinbach, (2021)</w:t>
      </w:r>
      <w:r w:rsidRPr="00484A82">
        <w:rPr>
          <w:i/>
          <w:lang w:val="en-GB"/>
        </w:rPr>
        <w:t xml:space="preserve"> How an IPO can strengthen family businesses for generations to come</w:t>
      </w:r>
      <w:r w:rsidRPr="00484A82">
        <w:rPr>
          <w:lang w:val="en-GB"/>
        </w:rPr>
        <w:t xml:space="preserve">. Available at:  </w:t>
      </w:r>
      <w:hyperlink r:id="rId19" w:anchor=":~:text=The%20family%20can%20maintain%20control%20where%20it,functions%20or%20capital%20participation%20and%20voting%20powers">
        <w:r w:rsidRPr="00484A82">
          <w:rPr>
            <w:color w:val="1155CC"/>
            <w:u w:val="single"/>
            <w:lang w:val="en-GB"/>
          </w:rPr>
          <w:t>https://www.ey.com/en_nl/insights/family-enterprise/how-an-ipo-can-strengthen-family-businesses-for-generations-to-come#:~:text=The%20family%20can%20maintain%20control%20where%20it,functions%20or%20capital%20participation%20and%20voting%20powers</w:t>
        </w:r>
      </w:hyperlink>
      <w:r w:rsidRPr="00484A82">
        <w:rPr>
          <w:lang w:val="en-GB"/>
        </w:rPr>
        <w:t>. (Accessed: 23 May 2025)</w:t>
      </w:r>
    </w:p>
    <w:p w14:paraId="078C8C71" w14:textId="77777777" w:rsidR="00484A82" w:rsidRPr="00484A82" w:rsidRDefault="00484A82" w:rsidP="00484A82">
      <w:pPr>
        <w:spacing w:before="240"/>
        <w:rPr>
          <w:lang w:val="en-GB"/>
        </w:rPr>
      </w:pPr>
      <w:proofErr w:type="spellStart"/>
      <w:r w:rsidRPr="00484A82">
        <w:rPr>
          <w:lang w:val="en-GB"/>
        </w:rPr>
        <w:t>Videndum</w:t>
      </w:r>
      <w:proofErr w:type="spellEnd"/>
      <w:r w:rsidRPr="00484A82">
        <w:rPr>
          <w:lang w:val="en-GB"/>
        </w:rPr>
        <w:t xml:space="preserve">, (2019) </w:t>
      </w:r>
      <w:r w:rsidRPr="00484A82">
        <w:rPr>
          <w:i/>
          <w:lang w:val="en-GB"/>
        </w:rPr>
        <w:t>Remuneration Report</w:t>
      </w:r>
      <w:r w:rsidRPr="00484A82">
        <w:rPr>
          <w:lang w:val="en-GB"/>
        </w:rPr>
        <w:t xml:space="preserve">. Available at: </w:t>
      </w:r>
      <w:hyperlink r:id="rId20" w:anchor=":~:text=The%20awards%20were%20also%20subject%20to%20a,the%20end%20of%202019%20it%20was%2018.5%">
        <w:r w:rsidRPr="00484A82">
          <w:rPr>
            <w:color w:val="1155CC"/>
            <w:u w:val="single"/>
            <w:lang w:val="en-GB"/>
          </w:rPr>
          <w:t>https://videndum.com/media/3341/vitec-remuneration-report-march2020.pdf#:~:</w:t>
        </w:r>
      </w:hyperlink>
      <w:hyperlink r:id="rId21" w:anchor=":~:text=The%20awards%20were%20also%20subject%20to%20a,the%20end%20of%202019%20it%20was%2018.5%">
        <w:r w:rsidRPr="00484A82">
          <w:rPr>
            <w:color w:val="1155CC"/>
            <w:u w:val="single"/>
            <w:lang w:val="en-GB"/>
          </w:rPr>
          <w:t>text=The%20awards%20were%20also%20subject%20to%20a</w:t>
        </w:r>
      </w:hyperlink>
      <w:hyperlink r:id="rId22" w:anchor=":~:text=The%20awards%20were%20also%20subject%20to%20a,the%20end%20of%202019%20it%20was%2018.5%">
        <w:r w:rsidRPr="00484A82">
          <w:rPr>
            <w:color w:val="1155CC"/>
            <w:u w:val="single"/>
            <w:lang w:val="en-GB"/>
          </w:rPr>
          <w:t>,the%20end%20of%202019%20it%20was%2018.5%</w:t>
        </w:r>
      </w:hyperlink>
      <w:r w:rsidRPr="00484A82">
        <w:rPr>
          <w:lang w:val="en-GB"/>
        </w:rPr>
        <w:t>. (Accessed: 23 May 2025)</w:t>
      </w:r>
    </w:p>
    <w:p w14:paraId="35F48E7D" w14:textId="77777777" w:rsidR="00484A82" w:rsidRPr="00484A82" w:rsidRDefault="00484A82" w:rsidP="00484A82">
      <w:pPr>
        <w:spacing w:before="240"/>
        <w:rPr>
          <w:lang w:val="en-GB"/>
        </w:rPr>
      </w:pPr>
      <w:proofErr w:type="spellStart"/>
      <w:r w:rsidRPr="00484A82">
        <w:rPr>
          <w:lang w:val="en-GB"/>
        </w:rPr>
        <w:t>Woodburnglobal</w:t>
      </w:r>
      <w:proofErr w:type="spellEnd"/>
      <w:r w:rsidRPr="00484A82">
        <w:rPr>
          <w:lang w:val="en-GB"/>
        </w:rPr>
        <w:t>, (2025)</w:t>
      </w:r>
      <w:r w:rsidRPr="00484A82">
        <w:rPr>
          <w:i/>
          <w:lang w:val="en-GB"/>
        </w:rPr>
        <w:t xml:space="preserve"> Company Law in China mandates a two-tier board system structure.</w:t>
      </w:r>
      <w:r w:rsidRPr="00484A82">
        <w:rPr>
          <w:lang w:val="en-GB"/>
        </w:rPr>
        <w:t xml:space="preserve"> Available at:  </w:t>
      </w:r>
      <w:hyperlink r:id="rId23">
        <w:r w:rsidRPr="00484A82">
          <w:rPr>
            <w:color w:val="1155CC"/>
            <w:u w:val="single"/>
            <w:lang w:val="en-GB"/>
          </w:rPr>
          <w:t>https://www.woodburnglobal.com/post/company-law-in-china-mandates-a-two-tier-board-system-structure</w:t>
        </w:r>
      </w:hyperlink>
      <w:r w:rsidRPr="00484A82">
        <w:rPr>
          <w:lang w:val="en-GB"/>
        </w:rPr>
        <w:t xml:space="preserve"> (Accessed: 23 May 2025)</w:t>
      </w:r>
    </w:p>
    <w:p w14:paraId="020B172C" w14:textId="77777777" w:rsidR="00BC123E" w:rsidRPr="00484A82" w:rsidRDefault="00BC123E">
      <w:pPr>
        <w:rPr>
          <w:lang w:val="en-GB"/>
        </w:rPr>
      </w:pPr>
    </w:p>
    <w:sectPr w:rsidR="00BC123E" w:rsidRPr="00484A82" w:rsidSect="00484A82">
      <w:footerReference w:type="default" r:id="rId2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EB7174" w14:textId="77777777" w:rsidR="004268C1" w:rsidRDefault="004268C1" w:rsidP="00484A82">
      <w:pPr>
        <w:spacing w:line="240" w:lineRule="auto"/>
      </w:pPr>
      <w:r>
        <w:separator/>
      </w:r>
    </w:p>
  </w:endnote>
  <w:endnote w:type="continuationSeparator" w:id="0">
    <w:p w14:paraId="6B6742D3" w14:textId="77777777" w:rsidR="004268C1" w:rsidRDefault="004268C1" w:rsidP="00484A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7723010"/>
      <w:docPartObj>
        <w:docPartGallery w:val="Page Numbers (Bottom of Page)"/>
        <w:docPartUnique/>
      </w:docPartObj>
    </w:sdtPr>
    <w:sdtEndPr>
      <w:rPr>
        <w:color w:val="7F7F7F" w:themeColor="background1" w:themeShade="7F"/>
        <w:spacing w:val="60"/>
      </w:rPr>
    </w:sdtEndPr>
    <w:sdtContent>
      <w:p w14:paraId="65E1D695" w14:textId="121C9C6D" w:rsidR="007F2AE5" w:rsidRDefault="007F2AE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F042422" w14:textId="77777777" w:rsidR="007F2AE5" w:rsidRDefault="007F2A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04736E" w14:textId="77777777" w:rsidR="004268C1" w:rsidRDefault="004268C1" w:rsidP="00484A82">
      <w:pPr>
        <w:spacing w:line="240" w:lineRule="auto"/>
      </w:pPr>
      <w:r>
        <w:separator/>
      </w:r>
    </w:p>
  </w:footnote>
  <w:footnote w:type="continuationSeparator" w:id="0">
    <w:p w14:paraId="6FE9D02D" w14:textId="77777777" w:rsidR="004268C1" w:rsidRDefault="004268C1" w:rsidP="00484A8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415429"/>
    <w:multiLevelType w:val="hybridMultilevel"/>
    <w:tmpl w:val="00000000"/>
    <w:lvl w:ilvl="0" w:tplc="8500BCC0">
      <w:start w:val="1"/>
      <w:numFmt w:val="bullet"/>
      <w:lvlText w:val="●"/>
      <w:lvlJc w:val="left"/>
      <w:pPr>
        <w:ind w:left="720" w:hanging="360"/>
      </w:pPr>
      <w:rPr>
        <w:u w:val="none"/>
      </w:rPr>
    </w:lvl>
    <w:lvl w:ilvl="1" w:tplc="8C4CA896">
      <w:start w:val="1"/>
      <w:numFmt w:val="bullet"/>
      <w:lvlText w:val="○"/>
      <w:lvlJc w:val="left"/>
      <w:pPr>
        <w:ind w:left="1440" w:hanging="360"/>
      </w:pPr>
      <w:rPr>
        <w:u w:val="none"/>
      </w:rPr>
    </w:lvl>
    <w:lvl w:ilvl="2" w:tplc="370C3DA6">
      <w:start w:val="1"/>
      <w:numFmt w:val="bullet"/>
      <w:lvlText w:val="■"/>
      <w:lvlJc w:val="left"/>
      <w:pPr>
        <w:ind w:left="2160" w:hanging="360"/>
      </w:pPr>
      <w:rPr>
        <w:u w:val="none"/>
      </w:rPr>
    </w:lvl>
    <w:lvl w:ilvl="3" w:tplc="6C2EBCB2">
      <w:start w:val="1"/>
      <w:numFmt w:val="bullet"/>
      <w:lvlText w:val="●"/>
      <w:lvlJc w:val="left"/>
      <w:pPr>
        <w:ind w:left="2880" w:hanging="360"/>
      </w:pPr>
      <w:rPr>
        <w:u w:val="none"/>
      </w:rPr>
    </w:lvl>
    <w:lvl w:ilvl="4" w:tplc="699615A0">
      <w:start w:val="1"/>
      <w:numFmt w:val="bullet"/>
      <w:lvlText w:val="○"/>
      <w:lvlJc w:val="left"/>
      <w:pPr>
        <w:ind w:left="3600" w:hanging="360"/>
      </w:pPr>
      <w:rPr>
        <w:u w:val="none"/>
      </w:rPr>
    </w:lvl>
    <w:lvl w:ilvl="5" w:tplc="202467AC">
      <w:start w:val="1"/>
      <w:numFmt w:val="bullet"/>
      <w:lvlText w:val="■"/>
      <w:lvlJc w:val="left"/>
      <w:pPr>
        <w:ind w:left="4320" w:hanging="360"/>
      </w:pPr>
      <w:rPr>
        <w:u w:val="none"/>
      </w:rPr>
    </w:lvl>
    <w:lvl w:ilvl="6" w:tplc="B1187542">
      <w:start w:val="1"/>
      <w:numFmt w:val="bullet"/>
      <w:lvlText w:val="●"/>
      <w:lvlJc w:val="left"/>
      <w:pPr>
        <w:ind w:left="5040" w:hanging="360"/>
      </w:pPr>
      <w:rPr>
        <w:u w:val="none"/>
      </w:rPr>
    </w:lvl>
    <w:lvl w:ilvl="7" w:tplc="EE62ABD2">
      <w:start w:val="1"/>
      <w:numFmt w:val="bullet"/>
      <w:lvlText w:val="○"/>
      <w:lvlJc w:val="left"/>
      <w:pPr>
        <w:ind w:left="5760" w:hanging="360"/>
      </w:pPr>
      <w:rPr>
        <w:u w:val="none"/>
      </w:rPr>
    </w:lvl>
    <w:lvl w:ilvl="8" w:tplc="4BC668FE">
      <w:start w:val="1"/>
      <w:numFmt w:val="bullet"/>
      <w:lvlText w:val="■"/>
      <w:lvlJc w:val="left"/>
      <w:pPr>
        <w:ind w:left="6480" w:hanging="360"/>
      </w:pPr>
      <w:rPr>
        <w:u w:val="none"/>
      </w:rPr>
    </w:lvl>
  </w:abstractNum>
  <w:num w:numId="1" w16cid:durableId="17158130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C123E"/>
    <w:rsid w:val="00022E08"/>
    <w:rsid w:val="00095FB9"/>
    <w:rsid w:val="00117170"/>
    <w:rsid w:val="00170967"/>
    <w:rsid w:val="0019502F"/>
    <w:rsid w:val="001A6DCF"/>
    <w:rsid w:val="001E3064"/>
    <w:rsid w:val="001F73F1"/>
    <w:rsid w:val="002556BF"/>
    <w:rsid w:val="0028448A"/>
    <w:rsid w:val="00345BD3"/>
    <w:rsid w:val="003525F6"/>
    <w:rsid w:val="004058D0"/>
    <w:rsid w:val="004268C1"/>
    <w:rsid w:val="00484A82"/>
    <w:rsid w:val="004A51C6"/>
    <w:rsid w:val="004F0A6B"/>
    <w:rsid w:val="005D61E8"/>
    <w:rsid w:val="005D7694"/>
    <w:rsid w:val="005E7717"/>
    <w:rsid w:val="00637AC3"/>
    <w:rsid w:val="00640AC4"/>
    <w:rsid w:val="006937E3"/>
    <w:rsid w:val="00702D3E"/>
    <w:rsid w:val="00721930"/>
    <w:rsid w:val="007F2AE5"/>
    <w:rsid w:val="00811D20"/>
    <w:rsid w:val="00821359"/>
    <w:rsid w:val="00946D55"/>
    <w:rsid w:val="00965E6C"/>
    <w:rsid w:val="00A91937"/>
    <w:rsid w:val="00A936C7"/>
    <w:rsid w:val="00AA7331"/>
    <w:rsid w:val="00AD0776"/>
    <w:rsid w:val="00AF4341"/>
    <w:rsid w:val="00B15F7B"/>
    <w:rsid w:val="00B215D0"/>
    <w:rsid w:val="00BC123E"/>
    <w:rsid w:val="00C6319B"/>
    <w:rsid w:val="00CA4960"/>
    <w:rsid w:val="00CB3673"/>
    <w:rsid w:val="00CE6E4B"/>
    <w:rsid w:val="00D13BE0"/>
    <w:rsid w:val="00D2777D"/>
    <w:rsid w:val="00DB1C3A"/>
    <w:rsid w:val="00E27D4C"/>
    <w:rsid w:val="00EC1040"/>
    <w:rsid w:val="00EE0BB9"/>
    <w:rsid w:val="00F808B0"/>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1D0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C123E"/>
  </w:style>
  <w:style w:type="paragraph" w:styleId="Heading1">
    <w:name w:val="heading 1"/>
    <w:basedOn w:val="Normal"/>
    <w:next w:val="Normal"/>
    <w:rsid w:val="00BC123E"/>
    <w:pPr>
      <w:keepNext/>
      <w:keepLines/>
      <w:outlineLvl w:val="0"/>
    </w:pPr>
    <w:rPr>
      <w:b/>
      <w:sz w:val="28"/>
      <w:szCs w:val="28"/>
    </w:rPr>
  </w:style>
  <w:style w:type="paragraph" w:styleId="Heading2">
    <w:name w:val="heading 2"/>
    <w:basedOn w:val="Normal"/>
    <w:next w:val="Normal"/>
    <w:rsid w:val="00BC123E"/>
    <w:pPr>
      <w:keepNext/>
      <w:keepLines/>
      <w:outlineLvl w:val="1"/>
    </w:pPr>
    <w:rPr>
      <w:b/>
    </w:rPr>
  </w:style>
  <w:style w:type="paragraph" w:styleId="Heading3">
    <w:name w:val="heading 3"/>
    <w:basedOn w:val="Normal"/>
    <w:next w:val="Normal"/>
    <w:rsid w:val="00BC123E"/>
    <w:pPr>
      <w:keepNext/>
      <w:keepLines/>
      <w:spacing w:before="320" w:after="80"/>
      <w:outlineLvl w:val="2"/>
    </w:pPr>
    <w:rPr>
      <w:color w:val="434343"/>
      <w:sz w:val="28"/>
      <w:szCs w:val="28"/>
    </w:rPr>
  </w:style>
  <w:style w:type="paragraph" w:styleId="Heading4">
    <w:name w:val="heading 4"/>
    <w:basedOn w:val="Normal"/>
    <w:next w:val="Normal"/>
    <w:rsid w:val="00BC123E"/>
    <w:pPr>
      <w:keepNext/>
      <w:keepLines/>
      <w:spacing w:before="280" w:after="80"/>
      <w:outlineLvl w:val="3"/>
    </w:pPr>
    <w:rPr>
      <w:color w:val="666666"/>
    </w:rPr>
  </w:style>
  <w:style w:type="paragraph" w:styleId="Heading5">
    <w:name w:val="heading 5"/>
    <w:basedOn w:val="Normal"/>
    <w:next w:val="Normal"/>
    <w:rsid w:val="00BC123E"/>
    <w:pPr>
      <w:keepNext/>
      <w:keepLines/>
      <w:spacing w:before="240" w:after="80"/>
      <w:outlineLvl w:val="4"/>
    </w:pPr>
    <w:rPr>
      <w:color w:val="666666"/>
      <w:sz w:val="22"/>
      <w:szCs w:val="22"/>
    </w:rPr>
  </w:style>
  <w:style w:type="paragraph" w:styleId="Heading6">
    <w:name w:val="heading 6"/>
    <w:basedOn w:val="Normal"/>
    <w:next w:val="Normal"/>
    <w:rsid w:val="00BC123E"/>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rsid w:val="00BC123E"/>
    <w:tblPr>
      <w:tblCellMar>
        <w:top w:w="0" w:type="dxa"/>
        <w:left w:w="0" w:type="dxa"/>
        <w:bottom w:w="0" w:type="dxa"/>
        <w:right w:w="0" w:type="dxa"/>
      </w:tblCellMar>
    </w:tblPr>
  </w:style>
  <w:style w:type="paragraph" w:styleId="Title">
    <w:name w:val="Title"/>
    <w:basedOn w:val="Normal"/>
    <w:next w:val="Normal"/>
    <w:autoRedefine/>
    <w:rsid w:val="00CB3673"/>
    <w:pPr>
      <w:keepNext/>
      <w:keepLines/>
      <w:spacing w:after="60"/>
      <w:jc w:val="center"/>
    </w:pPr>
    <w:rPr>
      <w:b/>
      <w:sz w:val="36"/>
      <w:szCs w:val="52"/>
    </w:rPr>
  </w:style>
  <w:style w:type="paragraph" w:styleId="Subtitle">
    <w:name w:val="Subtitle"/>
    <w:basedOn w:val="Normal"/>
    <w:next w:val="Normal"/>
    <w:rsid w:val="00BC123E"/>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484A82"/>
    <w:pPr>
      <w:tabs>
        <w:tab w:val="center" w:pos="4680"/>
        <w:tab w:val="right" w:pos="9360"/>
      </w:tabs>
      <w:spacing w:line="240" w:lineRule="auto"/>
    </w:pPr>
  </w:style>
  <w:style w:type="character" w:customStyle="1" w:styleId="HeaderChar">
    <w:name w:val="Header Char"/>
    <w:basedOn w:val="DefaultParagraphFont"/>
    <w:link w:val="Header"/>
    <w:uiPriority w:val="99"/>
    <w:rsid w:val="00484A82"/>
  </w:style>
  <w:style w:type="paragraph" w:styleId="Footer">
    <w:name w:val="footer"/>
    <w:basedOn w:val="Normal"/>
    <w:link w:val="FooterChar"/>
    <w:uiPriority w:val="99"/>
    <w:unhideWhenUsed/>
    <w:rsid w:val="00484A82"/>
    <w:pPr>
      <w:tabs>
        <w:tab w:val="center" w:pos="4680"/>
        <w:tab w:val="right" w:pos="9360"/>
      </w:tabs>
      <w:spacing w:line="240" w:lineRule="auto"/>
    </w:pPr>
  </w:style>
  <w:style w:type="character" w:customStyle="1" w:styleId="FooterChar">
    <w:name w:val="Footer Char"/>
    <w:basedOn w:val="DefaultParagraphFont"/>
    <w:link w:val="Footer"/>
    <w:uiPriority w:val="99"/>
    <w:rsid w:val="00484A82"/>
  </w:style>
  <w:style w:type="paragraph" w:styleId="TOCHeading">
    <w:name w:val="TOC Heading"/>
    <w:basedOn w:val="Heading1"/>
    <w:next w:val="Normal"/>
    <w:uiPriority w:val="39"/>
    <w:semiHidden/>
    <w:unhideWhenUsed/>
    <w:qFormat/>
    <w:rsid w:val="00CB3673"/>
    <w:pPr>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CB3673"/>
    <w:pPr>
      <w:spacing w:after="100"/>
    </w:pPr>
  </w:style>
  <w:style w:type="paragraph" w:styleId="TOC2">
    <w:name w:val="toc 2"/>
    <w:basedOn w:val="Normal"/>
    <w:next w:val="Normal"/>
    <w:autoRedefine/>
    <w:uiPriority w:val="39"/>
    <w:unhideWhenUsed/>
    <w:rsid w:val="00CB3673"/>
    <w:pPr>
      <w:spacing w:after="100"/>
      <w:ind w:left="240"/>
    </w:pPr>
  </w:style>
  <w:style w:type="character" w:styleId="Hyperlink">
    <w:name w:val="Hyperlink"/>
    <w:basedOn w:val="DefaultParagraphFont"/>
    <w:uiPriority w:val="99"/>
    <w:unhideWhenUsed/>
    <w:rsid w:val="00CB3673"/>
    <w:rPr>
      <w:color w:val="0000FF" w:themeColor="hyperlink"/>
      <w:u w:val="single"/>
    </w:rPr>
  </w:style>
  <w:style w:type="paragraph" w:styleId="BalloonText">
    <w:name w:val="Balloon Text"/>
    <w:basedOn w:val="Normal"/>
    <w:link w:val="BalloonTextChar"/>
    <w:uiPriority w:val="99"/>
    <w:semiHidden/>
    <w:unhideWhenUsed/>
    <w:rsid w:val="00CB367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3673"/>
    <w:rPr>
      <w:rFonts w:ascii="Tahoma" w:hAnsi="Tahoma" w:cs="Tahoma"/>
      <w:sz w:val="16"/>
      <w:szCs w:val="16"/>
    </w:rPr>
  </w:style>
  <w:style w:type="paragraph" w:styleId="ListParagraph">
    <w:name w:val="List Paragraph"/>
    <w:basedOn w:val="Normal"/>
    <w:uiPriority w:val="34"/>
    <w:qFormat/>
    <w:rsid w:val="00821359"/>
    <w:pPr>
      <w:ind w:left="720"/>
      <w:contextualSpacing/>
    </w:pPr>
  </w:style>
  <w:style w:type="character" w:styleId="CommentReference">
    <w:name w:val="annotation reference"/>
    <w:basedOn w:val="DefaultParagraphFont"/>
    <w:uiPriority w:val="99"/>
    <w:semiHidden/>
    <w:unhideWhenUsed/>
    <w:rsid w:val="00CA4960"/>
    <w:rPr>
      <w:sz w:val="16"/>
      <w:szCs w:val="16"/>
    </w:rPr>
  </w:style>
  <w:style w:type="paragraph" w:styleId="CommentText">
    <w:name w:val="annotation text"/>
    <w:basedOn w:val="Normal"/>
    <w:link w:val="CommentTextChar"/>
    <w:uiPriority w:val="99"/>
    <w:semiHidden/>
    <w:unhideWhenUsed/>
    <w:rsid w:val="00CA4960"/>
    <w:pPr>
      <w:spacing w:line="240" w:lineRule="auto"/>
    </w:pPr>
    <w:rPr>
      <w:sz w:val="20"/>
      <w:szCs w:val="20"/>
    </w:rPr>
  </w:style>
  <w:style w:type="character" w:customStyle="1" w:styleId="CommentTextChar">
    <w:name w:val="Comment Text Char"/>
    <w:basedOn w:val="DefaultParagraphFont"/>
    <w:link w:val="CommentText"/>
    <w:uiPriority w:val="99"/>
    <w:semiHidden/>
    <w:rsid w:val="00CA4960"/>
    <w:rPr>
      <w:sz w:val="20"/>
      <w:szCs w:val="20"/>
    </w:rPr>
  </w:style>
  <w:style w:type="paragraph" w:styleId="CommentSubject">
    <w:name w:val="annotation subject"/>
    <w:basedOn w:val="CommentText"/>
    <w:next w:val="CommentText"/>
    <w:link w:val="CommentSubjectChar"/>
    <w:uiPriority w:val="99"/>
    <w:semiHidden/>
    <w:unhideWhenUsed/>
    <w:rsid w:val="00CA4960"/>
    <w:rPr>
      <w:b/>
      <w:bCs/>
    </w:rPr>
  </w:style>
  <w:style w:type="character" w:customStyle="1" w:styleId="CommentSubjectChar">
    <w:name w:val="Comment Subject Char"/>
    <w:basedOn w:val="CommentTextChar"/>
    <w:link w:val="CommentSubject"/>
    <w:uiPriority w:val="99"/>
    <w:semiHidden/>
    <w:rsid w:val="00CA496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deloitte.com/ie/en/services/deloitte-private/perspectives/shareholder-agreements-family-companies.html" TargetMode="External"/><Relationship Id="rId13" Type="http://schemas.openxmlformats.org/officeDocument/2006/relationships/hyperlink" Target="https://ts-p.co.uk/insights/what-to-consider-when-giving-away-shares-in-the-family-company/" TargetMode="External"/><Relationship Id="rId18" Type="http://schemas.openxmlformats.org/officeDocument/2006/relationships/hyperlink" Target="https://committees.parliament.uk/writtenevidence/74343/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videndum.com/media/3341/vitec-remuneration-report-march2020.pdf" TargetMode="External"/><Relationship Id="rId7" Type="http://schemas.openxmlformats.org/officeDocument/2006/relationships/hyperlink" Target="https://www.frc.org.uk/library/standards-codes-policy/corporate-governance/corporate-governance-overview/" TargetMode="External"/><Relationship Id="rId12" Type="http://schemas.openxmlformats.org/officeDocument/2006/relationships/hyperlink" Target="https://ts-p.co.uk/insights/what-to-consider-when-giving-away-shares-in-the-family-company/" TargetMode="External"/><Relationship Id="rId17" Type="http://schemas.openxmlformats.org/officeDocument/2006/relationships/hyperlink" Target="https://committees.parliament.uk/writtenevidence/74343/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ommittees.parliament.uk/writtenevidence/74343/html/" TargetMode="External"/><Relationship Id="rId20" Type="http://schemas.openxmlformats.org/officeDocument/2006/relationships/hyperlink" Target="https://videndum.com/media/3341/vitec-remuneration-report-march202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s-p.co.uk/insights/what-to-consider-when-giving-away-shares-in-the-family-company/"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committees.parliament.uk/writtenevidence/74343/html/" TargetMode="External"/><Relationship Id="rId23" Type="http://schemas.openxmlformats.org/officeDocument/2006/relationships/hyperlink" Target="https://www.woodburnglobal.com/post/company-law-in-china-mandates-a-two-tier-board-system-structure" TargetMode="External"/><Relationship Id="rId10" Type="http://schemas.openxmlformats.org/officeDocument/2006/relationships/hyperlink" Target="https://www.publicappointmentsni.org/files/publicappointmentsni/media-files/The_Non-Executive_Director%20-%20Explanation%20of%20the%20UK%20system.pdfhttps://www.publicappointmentsni.org/files/publicappointmentsni/media-files/The_Non-Executive_Director%20-%20Explanation%20of%20the%20UK%20system.pdf" TargetMode="External"/><Relationship Id="rId19" Type="http://schemas.openxmlformats.org/officeDocument/2006/relationships/hyperlink" Target="https://www.ey.com/en_nl/insights/family-enterprise/how-an-ipo-can-strengthen-family-businesses-for-generations-to-come" TargetMode="External"/><Relationship Id="rId4" Type="http://schemas.openxmlformats.org/officeDocument/2006/relationships/webSettings" Target="webSettings.xml"/><Relationship Id="rId9" Type="http://schemas.openxmlformats.org/officeDocument/2006/relationships/hyperlink" Target="https://www.burges-salmon.com/our-thinking/the-responsibilities-and-duties-of-a-company-director/" TargetMode="External"/><Relationship Id="rId14" Type="http://schemas.openxmlformats.org/officeDocument/2006/relationships/hyperlink" Target="https://ts-p.co.uk/insights/what-to-consider-when-giving-away-shares-in-the-family-company/" TargetMode="External"/><Relationship Id="rId22" Type="http://schemas.openxmlformats.org/officeDocument/2006/relationships/hyperlink" Target="https://videndum.com/media/3341/vitec-remuneration-report-march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3030</Words>
  <Characters>17276</Characters>
  <Application>Microsoft Office Word</Application>
  <DocSecurity>0</DocSecurity>
  <Lines>143</Lines>
  <Paragraphs>40</Paragraphs>
  <ScaleCrop>false</ScaleCrop>
  <Company/>
  <LinksUpToDate>false</LinksUpToDate>
  <CharactersWithSpaces>20266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2025-06-22T06:20:00Z</dcterms:created>
  <dcterms:modified xsi:type="dcterms:W3CDTF">2025-06-22T06:20:00Z</dcterms:modified>
</cp:coreProperties>
</file>