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CA747E" w14:textId="6770CA64" w:rsidR="00D06B83" w:rsidRPr="00D06B83" w:rsidRDefault="00D06B83" w:rsidP="00D06B83"/>
    <w:p w14:paraId="14E40C6C" w14:textId="29430B9C" w:rsidR="00D06B83" w:rsidRPr="00D06B83" w:rsidRDefault="00D06B83" w:rsidP="00A76747">
      <w:pPr>
        <w:pStyle w:val="Title"/>
        <w:jc w:val="center"/>
      </w:pPr>
      <w:r w:rsidRPr="00D06B83">
        <w:t>Greenwashing in the Automobile Industry</w:t>
      </w:r>
    </w:p>
    <w:p w14:paraId="71210E56" w14:textId="77777777" w:rsidR="00A76747" w:rsidRDefault="00A76747" w:rsidP="00665E6B">
      <w:pPr>
        <w:rPr>
          <w:rFonts w:ascii="Aptos" w:hAnsi="Aptos"/>
          <w:color w:val="000000"/>
        </w:rPr>
      </w:pPr>
    </w:p>
    <w:p w14:paraId="0BBD4E73" w14:textId="2365205D" w:rsidR="00D06B83" w:rsidRPr="00D06B83" w:rsidRDefault="00665E6B" w:rsidP="00665E6B">
      <w:r w:rsidRPr="00665E6B">
        <w:rPr>
          <w:rFonts w:ascii="Aptos" w:hAnsi="Aptos"/>
          <w:color w:val="000000"/>
        </w:rPr>
        <w:t>The automobile industry now promotes itself as central to sustainable mobility, highlighting terms like “eco-friendly</w:t>
      </w:r>
      <w:r w:rsidR="00A40766" w:rsidRPr="00665E6B">
        <w:rPr>
          <w:rFonts w:ascii="Aptos" w:hAnsi="Aptos"/>
          <w:color w:val="000000"/>
        </w:rPr>
        <w:t>,”</w:t>
      </w:r>
      <w:r w:rsidRPr="00665E6B">
        <w:rPr>
          <w:rFonts w:ascii="Aptos" w:hAnsi="Aptos"/>
          <w:color w:val="000000"/>
        </w:rPr>
        <w:t xml:space="preserve"> this emphasis has also led to increased greenwashing</w:t>
      </w:r>
      <w:r w:rsidR="00BF72E1">
        <w:rPr>
          <w:rFonts w:ascii="Aptos" w:hAnsi="Aptos"/>
          <w:color w:val="000000"/>
        </w:rPr>
        <w:t xml:space="preserve"> </w:t>
      </w:r>
      <w:r w:rsidRPr="00665E6B">
        <w:rPr>
          <w:rFonts w:ascii="Aptos" w:hAnsi="Aptos"/>
          <w:color w:val="000000"/>
        </w:rPr>
        <w:t xml:space="preserve">exaggerating environmental claims for marketing purposes. Greenwashing erodes consumer trust and hinders </w:t>
      </w:r>
      <w:r w:rsidR="006139BE" w:rsidRPr="00665E6B">
        <w:rPr>
          <w:rFonts w:ascii="Aptos" w:hAnsi="Aptos"/>
          <w:color w:val="000000"/>
        </w:rPr>
        <w:t>environmental</w:t>
      </w:r>
      <w:r w:rsidRPr="00665E6B">
        <w:rPr>
          <w:rFonts w:ascii="Aptos" w:hAnsi="Aptos"/>
          <w:color w:val="000000"/>
        </w:rPr>
        <w:t xml:space="preserve"> progress. Research by Kell (2022) and Koch and Denner (2025) shows that many automakers misrepresent emissions and efficiency, revealing a disconnect between image and actual sustainability performance.</w:t>
      </w:r>
    </w:p>
    <w:p w14:paraId="6C6964A3" w14:textId="6BFEF892" w:rsidR="00716CB1" w:rsidRDefault="00716CB1" w:rsidP="00716CB1">
      <w:pPr>
        <w:rPr>
          <w:rFonts w:ascii="Aptos" w:hAnsi="Aptos"/>
          <w:b/>
          <w:color w:val="000000"/>
        </w:rPr>
      </w:pPr>
      <w:r w:rsidRPr="00716CB1">
        <w:rPr>
          <w:rFonts w:ascii="Aptos" w:hAnsi="Aptos"/>
          <w:b/>
          <w:color w:val="000000"/>
        </w:rPr>
        <w:t>The Case of Volkswagen</w:t>
      </w:r>
    </w:p>
    <w:p w14:paraId="787742A1" w14:textId="4801F4BD" w:rsidR="00D06B83" w:rsidRPr="00716CB1" w:rsidRDefault="00716CB1" w:rsidP="00716CB1">
      <w:pPr>
        <w:rPr>
          <w:rFonts w:ascii="Aptos" w:hAnsi="Aptos"/>
          <w:color w:val="000000"/>
        </w:rPr>
      </w:pPr>
      <w:r w:rsidRPr="00716CB1">
        <w:rPr>
          <w:rFonts w:ascii="Aptos" w:hAnsi="Aptos"/>
          <w:color w:val="000000"/>
        </w:rPr>
        <w:t>Volkswagen’s “</w:t>
      </w:r>
      <w:r w:rsidR="006139BE" w:rsidRPr="00716CB1">
        <w:rPr>
          <w:rFonts w:ascii="Aptos" w:hAnsi="Aptos"/>
          <w:color w:val="000000"/>
        </w:rPr>
        <w:t>Diesel gate</w:t>
      </w:r>
      <w:r w:rsidRPr="00716CB1">
        <w:rPr>
          <w:rFonts w:ascii="Aptos" w:hAnsi="Aptos"/>
          <w:color w:val="000000"/>
        </w:rPr>
        <w:t xml:space="preserve">” scandal is a notable example of greenwashing in the auto industry. As detailed by Kell (2022) and Boiral et al. (2022), the company falsely promoted its diesel vehicles as environmentally friendly while using software to cheat emissions tests, resulting in nitrogen oxide emissions up to </w:t>
      </w:r>
      <w:r w:rsidR="006139BE" w:rsidRPr="00716CB1">
        <w:rPr>
          <w:rFonts w:ascii="Aptos" w:hAnsi="Aptos"/>
          <w:color w:val="000000"/>
        </w:rPr>
        <w:t>forty</w:t>
      </w:r>
      <w:r w:rsidRPr="00716CB1">
        <w:rPr>
          <w:rFonts w:ascii="Aptos" w:hAnsi="Aptos"/>
          <w:color w:val="000000"/>
        </w:rPr>
        <w:t xml:space="preserve"> times above legal limits. This led to major fines, recalls, and reputational harm, while also undermining consumer trust and prompting stricter regulatory oversight. Syal (2025) notes that this case highlighted widespread misleading sustainability claims within the industry.</w:t>
      </w:r>
    </w:p>
    <w:p w14:paraId="124404D1" w14:textId="77777777" w:rsidR="00D06B83" w:rsidRPr="00D06B83" w:rsidRDefault="00D06B83" w:rsidP="00D06B83">
      <w:r w:rsidRPr="00D06B83">
        <w:rPr>
          <w:b/>
          <w:bCs/>
        </w:rPr>
        <w:t>Root Cause Analysis (RCA)</w:t>
      </w:r>
      <w:r w:rsidRPr="00D06B83">
        <w:br/>
        <w:t>A root cause analysis reveals multiple interlinked factors behind the persistence of greenwashing in the automobile industry:</w:t>
      </w:r>
    </w:p>
    <w:p w14:paraId="56796FCF" w14:textId="35E734FD" w:rsidR="00D06B83" w:rsidRPr="00D06B83" w:rsidRDefault="00D06B83" w:rsidP="00D06B83">
      <w:pPr>
        <w:numPr>
          <w:ilvl w:val="0"/>
          <w:numId w:val="1"/>
        </w:numPr>
      </w:pPr>
      <w:r w:rsidRPr="00D06B83">
        <w:rPr>
          <w:b/>
          <w:bCs/>
        </w:rPr>
        <w:t>Regulatory Pressure and Compliance Gaps:</w:t>
      </w:r>
      <w:r w:rsidRPr="00D06B83">
        <w:t xml:space="preserve"> </w:t>
      </w:r>
      <w:r w:rsidR="00567DD9" w:rsidRPr="00D06B83">
        <w:t>Severe</w:t>
      </w:r>
      <w:r w:rsidRPr="00D06B83">
        <w:t xml:space="preserve"> environmental regulations, such as the EU’s CO₂ emissions targets, have placed immense pressure on automakers to </w:t>
      </w:r>
      <w:r w:rsidR="005906AB" w:rsidRPr="00D06B83">
        <w:t>prove</w:t>
      </w:r>
      <w:r w:rsidRPr="00D06B83">
        <w:t xml:space="preserve"> compliance. When faced with technological or financial limitations, some companies have resorted to manipulation rather than genuine innovation. Weak enforcement mechanisms and loopholes in testing protocols have also </w:t>
      </w:r>
      <w:r w:rsidR="007F1CED" w:rsidRPr="00D06B83">
        <w:t>helped</w:t>
      </w:r>
      <w:r w:rsidRPr="00D06B83">
        <w:t xml:space="preserve"> deceptive practices (Boiral et al., 2022).</w:t>
      </w:r>
    </w:p>
    <w:p w14:paraId="0BC346A6" w14:textId="6E074DC5" w:rsidR="00D06B83" w:rsidRPr="00D06B83" w:rsidRDefault="00D06B83" w:rsidP="00D06B83">
      <w:pPr>
        <w:numPr>
          <w:ilvl w:val="0"/>
          <w:numId w:val="1"/>
        </w:numPr>
      </w:pPr>
      <w:r w:rsidRPr="00D06B83">
        <w:rPr>
          <w:b/>
          <w:bCs/>
        </w:rPr>
        <w:t>Competitive Market Dynamics:</w:t>
      </w:r>
      <w:r w:rsidRPr="00D06B83">
        <w:t xml:space="preserve"> The automotive market is highly competitive, with sustainability now a key differentiator. Companies eager to </w:t>
      </w:r>
      <w:r w:rsidR="00631449" w:rsidRPr="00D06B83">
        <w:t>keep</w:t>
      </w:r>
      <w:r w:rsidRPr="00D06B83">
        <w:t xml:space="preserve"> market share and investor confidence may exaggerate green credentials to align with consumer expectations and ESG standards (Koch and Denner, 2025).</w:t>
      </w:r>
    </w:p>
    <w:p w14:paraId="5D79F7BD" w14:textId="77777777" w:rsidR="00D06B83" w:rsidRPr="00D06B83" w:rsidRDefault="00D06B83" w:rsidP="00D06B83">
      <w:pPr>
        <w:numPr>
          <w:ilvl w:val="0"/>
          <w:numId w:val="1"/>
        </w:numPr>
      </w:pPr>
      <w:r w:rsidRPr="00D06B83">
        <w:rPr>
          <w:b/>
          <w:bCs/>
        </w:rPr>
        <w:t>Technological Limitations:</w:t>
      </w:r>
      <w:r w:rsidRPr="00D06B83">
        <w:t xml:space="preserve"> Transitioning to low-emission or electric vehicles requires massive investment in research, development, and infrastructure. Firms that lag technologically may use marketing strategies to create an illusion of progress while still relying on traditional, polluting technologies (Syal, 2025).</w:t>
      </w:r>
    </w:p>
    <w:p w14:paraId="2B21F8A9" w14:textId="10E40494" w:rsidR="00D06B83" w:rsidRPr="00D06B83" w:rsidRDefault="00D06B83" w:rsidP="00D06B83">
      <w:pPr>
        <w:numPr>
          <w:ilvl w:val="0"/>
          <w:numId w:val="1"/>
        </w:numPr>
      </w:pPr>
      <w:r w:rsidRPr="00D06B83">
        <w:rPr>
          <w:b/>
          <w:bCs/>
        </w:rPr>
        <w:lastRenderedPageBreak/>
        <w:t>Corporate Culture and Short-Termism:</w:t>
      </w:r>
      <w:r w:rsidRPr="00D06B83">
        <w:t xml:space="preserve"> Boiral et al. (2022) argue that corporate decision-making often prioritizes short-term profits and reputation management over long-term environmental responsibility. This culture encourages symbolic gestures</w:t>
      </w:r>
      <w:r w:rsidR="00CA2395">
        <w:t xml:space="preserve"> </w:t>
      </w:r>
      <w:r w:rsidRPr="00D06B83">
        <w:t>like sustainability reports and green advertising</w:t>
      </w:r>
      <w:r w:rsidR="00CA2395">
        <w:t xml:space="preserve"> </w:t>
      </w:r>
      <w:r w:rsidRPr="00D06B83">
        <w:t>over substantive operational change.</w:t>
      </w:r>
    </w:p>
    <w:p w14:paraId="514D2D8E" w14:textId="24787D25" w:rsidR="00D06B83" w:rsidRDefault="00D06B83" w:rsidP="00D06B83">
      <w:pPr>
        <w:numPr>
          <w:ilvl w:val="0"/>
          <w:numId w:val="1"/>
        </w:numPr>
      </w:pPr>
      <w:r w:rsidRPr="00D06B83">
        <w:rPr>
          <w:b/>
          <w:bCs/>
        </w:rPr>
        <w:t>Information Asymmetry and Consumer Misunderstanding:</w:t>
      </w:r>
      <w:r w:rsidRPr="00D06B83">
        <w:t xml:space="preserve"> Many consumers lack the technical knowledge to critically assess environmental claims. This allows companies to use vague or misleading terminology</w:t>
      </w:r>
      <w:r w:rsidR="006139BE">
        <w:t xml:space="preserve"> </w:t>
      </w:r>
      <w:r w:rsidRPr="00D06B83">
        <w:t>such as “eco,” “sustainable,” or “zero emissions”</w:t>
      </w:r>
      <w:r w:rsidR="00852CC4">
        <w:t xml:space="preserve"> </w:t>
      </w:r>
      <w:r w:rsidRPr="00D06B83">
        <w:t>without providing verifiable data (Koch and Denner, 2025).</w:t>
      </w:r>
    </w:p>
    <w:p w14:paraId="7D775BDA" w14:textId="77777777" w:rsidR="001653AF" w:rsidRPr="0095733C" w:rsidRDefault="001653AF" w:rsidP="001653AF">
      <w:pPr>
        <w:rPr>
          <w:b/>
          <w:bCs/>
        </w:rPr>
      </w:pPr>
      <w:r w:rsidRPr="0095733C">
        <w:rPr>
          <w:b/>
          <w:bCs/>
        </w:rPr>
        <w:t>Lessons Learned and Preventive Measures</w:t>
      </w:r>
    </w:p>
    <w:p w14:paraId="670BB740" w14:textId="77777777" w:rsidR="001653AF" w:rsidRPr="0095733C" w:rsidRDefault="001653AF" w:rsidP="001653AF">
      <w:r w:rsidRPr="0095733C">
        <w:t>To prevent future greenwashing, companies like VW must address the root causes found through RCA. Key recommendations include:</w:t>
      </w:r>
    </w:p>
    <w:p w14:paraId="4781F23C" w14:textId="77777777" w:rsidR="001653AF" w:rsidRPr="0095733C" w:rsidRDefault="001653AF" w:rsidP="001653AF">
      <w:pPr>
        <w:numPr>
          <w:ilvl w:val="0"/>
          <w:numId w:val="4"/>
        </w:numPr>
        <w:spacing w:after="200" w:line="288" w:lineRule="auto"/>
      </w:pPr>
      <w:r w:rsidRPr="0095733C">
        <w:rPr>
          <w:b/>
          <w:bCs/>
        </w:rPr>
        <w:t>Fostering Ethical Leadership:</w:t>
      </w:r>
      <w:r w:rsidRPr="0095733C">
        <w:t> Companies should cultivate a culture of transparency and integrity, ensuring that sustainability goals are pursued authentically.</w:t>
      </w:r>
    </w:p>
    <w:p w14:paraId="5F36B56C" w14:textId="77777777" w:rsidR="001653AF" w:rsidRPr="0095733C" w:rsidRDefault="001653AF" w:rsidP="001653AF">
      <w:pPr>
        <w:numPr>
          <w:ilvl w:val="0"/>
          <w:numId w:val="4"/>
        </w:numPr>
        <w:spacing w:after="200" w:line="288" w:lineRule="auto"/>
      </w:pPr>
      <w:r w:rsidRPr="0095733C">
        <w:rPr>
          <w:b/>
          <w:bCs/>
        </w:rPr>
        <w:t>Investing in Genuine Innovation:</w:t>
      </w:r>
      <w:r w:rsidRPr="0095733C">
        <w:t> Rather than relying on shortcuts, businesses must prioritize research and development to create truly sustainable solutions.</w:t>
      </w:r>
    </w:p>
    <w:p w14:paraId="67A9F05F" w14:textId="77777777" w:rsidR="001653AF" w:rsidRPr="00D06B83" w:rsidRDefault="001653AF" w:rsidP="001653AF">
      <w:pPr>
        <w:ind w:left="720"/>
      </w:pPr>
    </w:p>
    <w:p w14:paraId="33B8998C" w14:textId="77777777" w:rsidR="00E621DA" w:rsidRDefault="00CE0CF1" w:rsidP="00CE0CF1">
      <w:pPr>
        <w:rPr>
          <w:rFonts w:ascii="Aptos" w:hAnsi="Aptos"/>
          <w:b/>
          <w:color w:val="000000"/>
        </w:rPr>
      </w:pPr>
      <w:r w:rsidRPr="00CE0CF1">
        <w:rPr>
          <w:rFonts w:ascii="Aptos" w:hAnsi="Aptos"/>
          <w:b/>
          <w:color w:val="000000"/>
        </w:rPr>
        <w:t>Conclusion</w:t>
      </w:r>
    </w:p>
    <w:p w14:paraId="18D98957" w14:textId="4BE76B6C" w:rsidR="00D06B83" w:rsidRPr="00D06B83" w:rsidRDefault="00CE0CF1" w:rsidP="00CE0CF1">
      <w:r w:rsidRPr="00CE0CF1">
        <w:rPr>
          <w:rFonts w:ascii="Aptos" w:hAnsi="Aptos"/>
          <w:color w:val="000000"/>
        </w:rPr>
        <w:t>Greenwashing in the automobile industry stems from regulatory, economic, and cultural pressures. The Volkswagen case shows that misleading sustainability claims may provide short-term benefits but lead to lasting reputational and financial harm. Root causes include not just corporate actions but also ambitious regulations, technology gaps, and consumer demand for fast change. Addressing these issues requires stricter oversight, transparent reporting, and better consumer education. Achieving true sustainability means prioritizing integrity, innovation, and accountability over marketing.</w:t>
      </w:r>
    </w:p>
    <w:p w14:paraId="6C767F88" w14:textId="77777777" w:rsidR="00D06B83" w:rsidRPr="00D06B83" w:rsidRDefault="00000000" w:rsidP="00D06B83">
      <w:r>
        <w:pict w14:anchorId="397A15B3">
          <v:rect id="_x0000_i1026" style="width:0;height:1.5pt" o:hralign="center" o:hrstd="t" o:hr="t" fillcolor="#a0a0a0" stroked="f"/>
        </w:pict>
      </w:r>
    </w:p>
    <w:p w14:paraId="190775B3" w14:textId="0810E6BA" w:rsidR="00D06B83" w:rsidRPr="00D06B83" w:rsidRDefault="00D06B83" w:rsidP="00D06B83">
      <w:pPr>
        <w:rPr>
          <w:b/>
          <w:bCs/>
        </w:rPr>
      </w:pPr>
      <w:r w:rsidRPr="00D06B83">
        <w:rPr>
          <w:b/>
          <w:bCs/>
        </w:rPr>
        <w:t xml:space="preserve">References </w:t>
      </w:r>
    </w:p>
    <w:p w14:paraId="40CBCC9D" w14:textId="77777777" w:rsidR="00A60DFF" w:rsidRDefault="00A60DFF" w:rsidP="00996220">
      <w:pPr>
        <w:pStyle w:val="ListParagraph"/>
        <w:numPr>
          <w:ilvl w:val="0"/>
          <w:numId w:val="7"/>
        </w:numPr>
        <w:spacing w:after="200" w:line="288" w:lineRule="auto"/>
      </w:pPr>
      <w:r w:rsidRPr="00E75174">
        <w:t>Bill ,C,</w:t>
      </w:r>
      <w:r>
        <w:t>(</w:t>
      </w:r>
      <w:r w:rsidRPr="00E75174">
        <w:t>2015</w:t>
      </w:r>
      <w:r>
        <w:t>)</w:t>
      </w:r>
      <w:r w:rsidRPr="00E75174">
        <w:t xml:space="preserve"> 'It Was Installed For This Purpose,' VW's U.S. CEO Tells Congress</w:t>
      </w:r>
      <w:r>
        <w:t xml:space="preserve"> </w:t>
      </w:r>
      <w:r w:rsidRPr="00E75174">
        <w:t>About Defeat Device ; Two-way press</w:t>
      </w:r>
      <w:r w:rsidRPr="00AD441F">
        <w:t xml:space="preserve">: </w:t>
      </w:r>
      <w:hyperlink r:id="rId5" w:history="1">
        <w:r w:rsidRPr="00AD441F">
          <w:rPr>
            <w:rStyle w:val="Hyperlink"/>
          </w:rPr>
          <w:t>https://www.npr.org/sections/thetwo-way/2015/10/08/446861855</w:t>
        </w:r>
      </w:hyperlink>
    </w:p>
    <w:p w14:paraId="4E3B2014" w14:textId="660EB6C0" w:rsidR="00D06B83" w:rsidRPr="00D06B83" w:rsidRDefault="00D06B83" w:rsidP="00996220">
      <w:pPr>
        <w:pStyle w:val="ListParagraph"/>
        <w:numPr>
          <w:ilvl w:val="0"/>
          <w:numId w:val="7"/>
        </w:numPr>
      </w:pPr>
      <w:r w:rsidRPr="00D06B83">
        <w:t xml:space="preserve">Boiral, O., Talbot, D. and Brotherton, M.C. (2022) </w:t>
      </w:r>
      <w:r w:rsidRPr="009369BB">
        <w:rPr>
          <w:i/>
          <w:iCs/>
        </w:rPr>
        <w:t xml:space="preserve">Through the Smokescreen of the </w:t>
      </w:r>
      <w:r w:rsidR="006139BE" w:rsidRPr="009369BB">
        <w:rPr>
          <w:i/>
          <w:iCs/>
        </w:rPr>
        <w:t>Diesel gate</w:t>
      </w:r>
      <w:r w:rsidRPr="009369BB">
        <w:rPr>
          <w:i/>
          <w:iCs/>
        </w:rPr>
        <w:t xml:space="preserve"> Disclosure: Neutralizing the Impacts of a Major Sustainability Scandal.</w:t>
      </w:r>
      <w:r w:rsidRPr="00D06B83">
        <w:t xml:space="preserve"> Journal of Business Ethics, 178(4), pp. 789–808.</w:t>
      </w:r>
    </w:p>
    <w:p w14:paraId="1846ED72" w14:textId="77777777" w:rsidR="00591882" w:rsidRDefault="00591882" w:rsidP="00591882">
      <w:pPr>
        <w:pStyle w:val="ListParagraph"/>
        <w:numPr>
          <w:ilvl w:val="0"/>
          <w:numId w:val="7"/>
        </w:numPr>
      </w:pPr>
      <w:r w:rsidRPr="00392C45">
        <w:lastRenderedPageBreak/>
        <w:t xml:space="preserve">Boiral, O., Brotherton, M.C., ... </w:t>
      </w:r>
      <w:proofErr w:type="spellStart"/>
      <w:r w:rsidRPr="00392C45">
        <w:t>Guillaumie</w:t>
      </w:r>
      <w:proofErr w:type="spellEnd"/>
      <w:r w:rsidRPr="00392C45">
        <w:t xml:space="preserve">, L., 2025. Avoiding Corporate Greenwashing? Sustainability Silence Narratives in the Agri-Food Industry. Business Ethics, the Environment and Responsibility. </w:t>
      </w:r>
      <w:hyperlink r:id="rId6" w:history="1">
        <w:r w:rsidRPr="00EC1C2E">
          <w:rPr>
            <w:rStyle w:val="Hyperlink"/>
          </w:rPr>
          <w:t>http://doi.org/10.1111/beer.1</w:t>
        </w:r>
        <w:r w:rsidRPr="00EC1C2E">
          <w:rPr>
            <w:rStyle w:val="Hyperlink"/>
          </w:rPr>
          <w:t>2</w:t>
        </w:r>
        <w:r w:rsidRPr="00EC1C2E">
          <w:rPr>
            <w:rStyle w:val="Hyperlink"/>
          </w:rPr>
          <w:t>847</w:t>
        </w:r>
      </w:hyperlink>
    </w:p>
    <w:p w14:paraId="740FF0DF" w14:textId="77777777" w:rsidR="00591882" w:rsidRPr="00907F3B" w:rsidRDefault="00591882" w:rsidP="00591882">
      <w:pPr>
        <w:pStyle w:val="ListParagraph"/>
        <w:numPr>
          <w:ilvl w:val="0"/>
          <w:numId w:val="7"/>
        </w:numPr>
      </w:pPr>
      <w:r w:rsidRPr="00907F3B">
        <w:t>Boiral, O., Heras</w:t>
      </w:r>
      <w:r w:rsidRPr="00907F3B">
        <w:noBreakHyphen/>
      </w:r>
      <w:proofErr w:type="spellStart"/>
      <w:r w:rsidRPr="00907F3B">
        <w:t>Saizarbitoria</w:t>
      </w:r>
      <w:proofErr w:type="spellEnd"/>
      <w:r w:rsidRPr="00907F3B">
        <w:t>, I. &amp;</w:t>
      </w:r>
      <w:r w:rsidRPr="00996220">
        <w:rPr>
          <w:rFonts w:ascii="Arial" w:hAnsi="Arial" w:cs="Arial"/>
        </w:rPr>
        <w:t> </w:t>
      </w:r>
      <w:r w:rsidRPr="00907F3B">
        <w:t>Díaz de</w:t>
      </w:r>
      <w:r w:rsidRPr="00996220">
        <w:rPr>
          <w:rFonts w:ascii="Arial" w:hAnsi="Arial" w:cs="Arial"/>
        </w:rPr>
        <w:t> </w:t>
      </w:r>
      <w:proofErr w:type="spellStart"/>
      <w:r w:rsidRPr="00907F3B">
        <w:t>Junguitu</w:t>
      </w:r>
      <w:proofErr w:type="spellEnd"/>
      <w:r w:rsidRPr="00907F3B">
        <w:t xml:space="preserve">, A. (2020) </w:t>
      </w:r>
      <w:r w:rsidRPr="00996220">
        <w:rPr>
          <w:rFonts w:ascii="Aptos" w:hAnsi="Aptos" w:cs="Aptos"/>
        </w:rPr>
        <w:t>‘</w:t>
      </w:r>
      <w:r w:rsidRPr="00907F3B">
        <w:t>Environmental management certification and environmental performance: Greening or greenwashing?</w:t>
      </w:r>
      <w:r w:rsidRPr="00996220">
        <w:rPr>
          <w:rFonts w:ascii="Aptos" w:hAnsi="Aptos" w:cs="Aptos"/>
        </w:rPr>
        <w:t>’</w:t>
      </w:r>
      <w:r w:rsidRPr="00907F3B">
        <w:t xml:space="preserve">, </w:t>
      </w:r>
      <w:r w:rsidRPr="00996220">
        <w:rPr>
          <w:i/>
          <w:iCs/>
        </w:rPr>
        <w:t>Business Strategy and the Environment</w:t>
      </w:r>
      <w:r w:rsidRPr="00907F3B">
        <w:t>, 29(6), pp.</w:t>
      </w:r>
      <w:r w:rsidRPr="00996220">
        <w:rPr>
          <w:rFonts w:ascii="Arial" w:hAnsi="Arial" w:cs="Arial"/>
        </w:rPr>
        <w:t> </w:t>
      </w:r>
      <w:r w:rsidRPr="00907F3B">
        <w:t>2829</w:t>
      </w:r>
      <w:r w:rsidRPr="00907F3B">
        <w:noBreakHyphen/>
        <w:t>2841</w:t>
      </w:r>
      <w:proofErr w:type="gramStart"/>
      <w:r w:rsidRPr="00907F3B">
        <w:t>.</w:t>
      </w:r>
      <w:r>
        <w:t xml:space="preserve">  </w:t>
      </w:r>
      <w:proofErr w:type="gramEnd"/>
      <w:r>
        <w:fldChar w:fldCharType="begin"/>
      </w:r>
      <w:r>
        <w:instrText>HYPERLINK "</w:instrText>
      </w:r>
      <w:r w:rsidRPr="00D02D4B">
        <w:instrText>https://doi.org/10.1002/bse.2546</w:instrText>
      </w:r>
      <w:r>
        <w:instrText>"</w:instrText>
      </w:r>
      <w:r>
        <w:fldChar w:fldCharType="separate"/>
      </w:r>
      <w:r w:rsidRPr="00EC1C2E">
        <w:rPr>
          <w:rStyle w:val="Hyperlink"/>
        </w:rPr>
        <w:t>https://doi.org/10.1002</w:t>
      </w:r>
      <w:r w:rsidRPr="00EC1C2E">
        <w:rPr>
          <w:rStyle w:val="Hyperlink"/>
        </w:rPr>
        <w:t>/</w:t>
      </w:r>
      <w:r w:rsidRPr="00EC1C2E">
        <w:rPr>
          <w:rStyle w:val="Hyperlink"/>
        </w:rPr>
        <w:t>bse.2546</w:t>
      </w:r>
      <w:r>
        <w:fldChar w:fldCharType="end"/>
      </w:r>
      <w:r>
        <w:t xml:space="preserve"> </w:t>
      </w:r>
    </w:p>
    <w:p w14:paraId="450E20A9" w14:textId="77777777" w:rsidR="00787DD8" w:rsidRPr="000D7661" w:rsidRDefault="00787DD8" w:rsidP="00787DD8">
      <w:pPr>
        <w:ind w:firstLine="50"/>
      </w:pPr>
    </w:p>
    <w:p w14:paraId="4A07C9B6" w14:textId="77777777" w:rsidR="00787DD8" w:rsidRDefault="00787DD8" w:rsidP="00787DD8">
      <w:pPr>
        <w:pStyle w:val="ListParagraph"/>
        <w:numPr>
          <w:ilvl w:val="0"/>
          <w:numId w:val="7"/>
        </w:numPr>
      </w:pPr>
      <w:proofErr w:type="spellStart"/>
      <w:r w:rsidRPr="000D7661">
        <w:t>Holtbrügge</w:t>
      </w:r>
      <w:proofErr w:type="spellEnd"/>
      <w:r w:rsidRPr="000D7661">
        <w:t>, D. &amp;</w:t>
      </w:r>
      <w:r w:rsidRPr="00996220">
        <w:rPr>
          <w:rFonts w:ascii="Arial" w:hAnsi="Arial" w:cs="Arial"/>
        </w:rPr>
        <w:t> </w:t>
      </w:r>
      <w:r w:rsidRPr="000D7661">
        <w:t xml:space="preserve">Conrad, M. (2020) </w:t>
      </w:r>
      <w:r w:rsidRPr="00996220">
        <w:rPr>
          <w:rFonts w:ascii="Aptos" w:hAnsi="Aptos" w:cs="Aptos"/>
        </w:rPr>
        <w:t>‘</w:t>
      </w:r>
      <w:r w:rsidRPr="000D7661">
        <w:t xml:space="preserve">Decoupling in CSR reports: A linguistic content analysis of the Volkswagen </w:t>
      </w:r>
      <w:proofErr w:type="spellStart"/>
      <w:r w:rsidRPr="000D7661">
        <w:t>Dieselgate</w:t>
      </w:r>
      <w:proofErr w:type="spellEnd"/>
      <w:r w:rsidRPr="000D7661">
        <w:t xml:space="preserve"> scandal</w:t>
      </w:r>
      <w:r w:rsidRPr="00996220">
        <w:rPr>
          <w:rFonts w:ascii="Aptos" w:hAnsi="Aptos" w:cs="Aptos"/>
        </w:rPr>
        <w:t>’</w:t>
      </w:r>
      <w:r w:rsidRPr="000D7661">
        <w:t xml:space="preserve">, </w:t>
      </w:r>
      <w:r w:rsidRPr="00996220">
        <w:rPr>
          <w:i/>
          <w:iCs/>
        </w:rPr>
        <w:t>International Studies of Management &amp; Organization</w:t>
      </w:r>
      <w:r w:rsidRPr="000D7661">
        <w:t>, 50(3), pp.253</w:t>
      </w:r>
      <w:r w:rsidRPr="000D7661">
        <w:noBreakHyphen/>
        <w:t xml:space="preserve">270. </w:t>
      </w:r>
      <w:hyperlink r:id="rId7" w:history="1">
        <w:r w:rsidRPr="000D7661">
          <w:rPr>
            <w:rStyle w:val="Hyperlink"/>
          </w:rPr>
          <w:t>https://doi.o</w:t>
        </w:r>
        <w:r w:rsidRPr="000D7661">
          <w:rPr>
            <w:rStyle w:val="Hyperlink"/>
          </w:rPr>
          <w:t>r</w:t>
        </w:r>
        <w:r w:rsidRPr="000D7661">
          <w:rPr>
            <w:rStyle w:val="Hyperlink"/>
          </w:rPr>
          <w:t>g/10.1080/00208825.2020.1811523</w:t>
        </w:r>
      </w:hyperlink>
    </w:p>
    <w:p w14:paraId="032345F4" w14:textId="77777777" w:rsidR="002C0287" w:rsidRPr="00AD441F" w:rsidRDefault="002C0287" w:rsidP="00996220">
      <w:pPr>
        <w:pStyle w:val="ListParagraph"/>
        <w:numPr>
          <w:ilvl w:val="0"/>
          <w:numId w:val="7"/>
        </w:numPr>
        <w:spacing w:after="200" w:line="288" w:lineRule="auto"/>
      </w:pPr>
      <w:r w:rsidRPr="00C83881">
        <w:t>Ioannou, I., Kassinis, G. &amp; Papagiannakis, G. The Impact of Perceived Greenwashing on Customer Satisfaction and the Contingent Role of Capability Reputation. </w:t>
      </w:r>
      <w:r w:rsidRPr="00C83881">
        <w:rPr>
          <w:i/>
          <w:iCs/>
        </w:rPr>
        <w:t>J Bus Ethics</w:t>
      </w:r>
      <w:r w:rsidRPr="00C83881">
        <w:t> </w:t>
      </w:r>
      <w:r w:rsidRPr="00C83881">
        <w:rPr>
          <w:b/>
          <w:bCs/>
        </w:rPr>
        <w:t>185</w:t>
      </w:r>
      <w:r w:rsidRPr="00C83881">
        <w:t xml:space="preserve">, 333–347 (2023). </w:t>
      </w:r>
      <w:hyperlink r:id="rId8" w:history="1">
        <w:r w:rsidRPr="00490675">
          <w:rPr>
            <w:rStyle w:val="Hyperlink"/>
          </w:rPr>
          <w:t>https://doi.org/10.1007/s10551-022-05151-9</w:t>
        </w:r>
      </w:hyperlink>
      <w:r>
        <w:t xml:space="preserve"> </w:t>
      </w:r>
    </w:p>
    <w:p w14:paraId="29E925B5" w14:textId="77777777" w:rsidR="0046382E" w:rsidRDefault="0046382E" w:rsidP="00996220">
      <w:pPr>
        <w:pStyle w:val="ListParagraph"/>
        <w:numPr>
          <w:ilvl w:val="0"/>
          <w:numId w:val="7"/>
        </w:numPr>
        <w:spacing w:after="200" w:line="288" w:lineRule="auto"/>
      </w:pPr>
      <w:r>
        <w:t>Jack, O, &amp; Sophie, T, (2023) The Law Society press :</w:t>
      </w:r>
      <w:r w:rsidRPr="00EB2A58">
        <w:t xml:space="preserve"> </w:t>
      </w:r>
      <w:hyperlink r:id="rId9" w:history="1">
        <w:r w:rsidRPr="00490675">
          <w:rPr>
            <w:rStyle w:val="Hyperlink"/>
          </w:rPr>
          <w:t>https://www.lawsociety.org.uk/topics/climate-change/greenwashing-what-do-you-need-to-know</w:t>
        </w:r>
      </w:hyperlink>
    </w:p>
    <w:p w14:paraId="4D4A871E" w14:textId="70584726" w:rsidR="00D06B83" w:rsidRDefault="0046382E" w:rsidP="00996220">
      <w:pPr>
        <w:pStyle w:val="ListParagraph"/>
        <w:numPr>
          <w:ilvl w:val="0"/>
          <w:numId w:val="7"/>
        </w:numPr>
      </w:pPr>
      <w:r w:rsidRPr="00B120D1">
        <w:t xml:space="preserve">John, A, (2016) Volkswagen’s Emissions Scandal: Lessons for Corporate Governance? Press: </w:t>
      </w:r>
      <w:hyperlink r:id="rId10" w:history="1">
        <w:r w:rsidRPr="00490675">
          <w:rPr>
            <w:rStyle w:val="Hyperlink"/>
          </w:rPr>
          <w:t>https://blogs.law.ox.ac.uk/business-law-blog/blog/2016/05/volkswagen%E2%80%99s-emissions-scandal-lessons-corporate-governance-part-2</w:t>
        </w:r>
      </w:hyperlink>
      <w:r w:rsidR="00D06B83" w:rsidRPr="00D06B83">
        <w:t xml:space="preserve">Kell, G. (2022) </w:t>
      </w:r>
      <w:r w:rsidR="00D06B83" w:rsidRPr="009369BB">
        <w:rPr>
          <w:i/>
          <w:iCs/>
        </w:rPr>
        <w:t>Volkswagen’s “</w:t>
      </w:r>
      <w:r w:rsidR="00727386" w:rsidRPr="009369BB">
        <w:rPr>
          <w:i/>
          <w:iCs/>
        </w:rPr>
        <w:t>Diesel gate</w:t>
      </w:r>
      <w:r w:rsidR="00D06B83" w:rsidRPr="009369BB">
        <w:rPr>
          <w:i/>
          <w:iCs/>
        </w:rPr>
        <w:t>” scandal continues to shape debates on greenwashing in the auto sector.</w:t>
      </w:r>
      <w:r w:rsidR="00D06B83" w:rsidRPr="00D06B83">
        <w:t xml:space="preserve"> Forbes, 5 </w:t>
      </w:r>
      <w:r w:rsidR="00C55C29">
        <w:t>December</w:t>
      </w:r>
      <w:r w:rsidR="00D06B83" w:rsidRPr="00D06B83">
        <w:t xml:space="preserve">. Available at: </w:t>
      </w:r>
      <w:hyperlink r:id="rId11" w:history="1">
        <w:r w:rsidR="00D06B83" w:rsidRPr="00D06B83">
          <w:rPr>
            <w:rStyle w:val="Hyperlink"/>
          </w:rPr>
          <w:t>https://www.forbes.com</w:t>
        </w:r>
      </w:hyperlink>
      <w:r w:rsidR="00D06B83" w:rsidRPr="00D06B83">
        <w:t xml:space="preserve"> (Accessed: 6 November 2025).</w:t>
      </w:r>
    </w:p>
    <w:p w14:paraId="6E7B8AE8" w14:textId="240D53EA" w:rsidR="00787DD8" w:rsidRPr="00D06B83" w:rsidRDefault="00787DD8" w:rsidP="000F1613">
      <w:pPr>
        <w:pStyle w:val="ListParagraph"/>
        <w:numPr>
          <w:ilvl w:val="0"/>
          <w:numId w:val="7"/>
        </w:numPr>
      </w:pPr>
      <w:r w:rsidRPr="002C279B">
        <w:t xml:space="preserve">Koch, T., Denner, </w:t>
      </w:r>
      <w:proofErr w:type="gramStart"/>
      <w:r w:rsidRPr="002C279B">
        <w:t>N.</w:t>
      </w:r>
      <w:r>
        <w:t>(</w:t>
      </w:r>
      <w:proofErr w:type="gramEnd"/>
      <w:r>
        <w:t>2025)</w:t>
      </w:r>
      <w:r w:rsidRPr="002C279B">
        <w:t xml:space="preserve"> What is greenwashing- a scoping review of greenwashing definitions and development of the need-for- balance model. </w:t>
      </w:r>
      <w:r w:rsidRPr="00996220">
        <w:rPr>
          <w:i/>
          <w:iCs/>
        </w:rPr>
        <w:t>J. Sustain. Bus.</w:t>
      </w:r>
      <w:r w:rsidRPr="002C279B">
        <w:t> </w:t>
      </w:r>
      <w:r w:rsidRPr="00996220">
        <w:rPr>
          <w:b/>
          <w:bCs/>
        </w:rPr>
        <w:t>10</w:t>
      </w:r>
      <w:r w:rsidRPr="002C279B">
        <w:t xml:space="preserve">, 17 </w:t>
      </w:r>
      <w:hyperlink r:id="rId12" w:history="1">
        <w:r w:rsidRPr="00EC1C2E">
          <w:rPr>
            <w:rStyle w:val="Hyperlink"/>
          </w:rPr>
          <w:t>https://</w:t>
        </w:r>
        <w:r w:rsidRPr="00EC1C2E">
          <w:rPr>
            <w:rStyle w:val="Hyperlink"/>
          </w:rPr>
          <w:t>d</w:t>
        </w:r>
        <w:r w:rsidRPr="00EC1C2E">
          <w:rPr>
            <w:rStyle w:val="Hyperlink"/>
          </w:rPr>
          <w:t>oi.org/10.1186/s40991-025-00124-3</w:t>
        </w:r>
      </w:hyperlink>
      <w:r w:rsidR="000F1613">
        <w:t xml:space="preserve"> </w:t>
      </w:r>
    </w:p>
    <w:p w14:paraId="2A4EEABD" w14:textId="4DA97C7F" w:rsidR="00BA13F6" w:rsidRPr="00D06B83" w:rsidRDefault="00D06B83" w:rsidP="00996220">
      <w:pPr>
        <w:pStyle w:val="ListParagraph"/>
        <w:numPr>
          <w:ilvl w:val="0"/>
          <w:numId w:val="7"/>
        </w:numPr>
      </w:pPr>
      <w:r w:rsidRPr="00D06B83">
        <w:t xml:space="preserve">Koch, J. and Denner, N. (2025) </w:t>
      </w:r>
      <w:r w:rsidRPr="009369BB">
        <w:rPr>
          <w:i/>
          <w:iCs/>
        </w:rPr>
        <w:t>Different Shades of Green Deception: Greenwashing’s Adverse Effects on Corporate Image and Credibility.</w:t>
      </w:r>
      <w:r w:rsidRPr="00D06B83">
        <w:t xml:space="preserve"> Business Strategy and the Environment, 34(2), pp. 245–261.</w:t>
      </w:r>
    </w:p>
    <w:p w14:paraId="48053D76" w14:textId="7A19EA27" w:rsidR="0046382E" w:rsidRDefault="0046382E" w:rsidP="00996220">
      <w:pPr>
        <w:pStyle w:val="ListParagraph"/>
        <w:numPr>
          <w:ilvl w:val="0"/>
          <w:numId w:val="7"/>
        </w:numPr>
        <w:spacing w:after="200" w:line="288" w:lineRule="auto"/>
      </w:pPr>
      <w:r>
        <w:t xml:space="preserve">Kyle, P, CFI press </w:t>
      </w:r>
      <w:hyperlink r:id="rId13" w:history="1">
        <w:r w:rsidRPr="00490675">
          <w:rPr>
            <w:rStyle w:val="Hyperlink"/>
          </w:rPr>
          <w:t>https://corporatefinanceinstitute.com/resources/esg/greenwashing/</w:t>
        </w:r>
      </w:hyperlink>
    </w:p>
    <w:p w14:paraId="4155B9CA" w14:textId="77777777" w:rsidR="001841A5" w:rsidRDefault="001841A5" w:rsidP="00996220">
      <w:pPr>
        <w:pStyle w:val="ListParagraph"/>
        <w:numPr>
          <w:ilvl w:val="0"/>
          <w:numId w:val="7"/>
        </w:numPr>
        <w:spacing w:after="200" w:line="288" w:lineRule="auto"/>
      </w:pPr>
      <w:r w:rsidRPr="00871D60">
        <w:t xml:space="preserve">Liao, Y. &amp; Wu, L. (2024) ‘The Influence of Brand Greenwashing on EV Purchase Intention: The Moderating Role of Consumer Innovativeness and Peer Brand Attitude’, </w:t>
      </w:r>
      <w:r w:rsidRPr="00D73AE4">
        <w:rPr>
          <w:i/>
          <w:iCs/>
        </w:rPr>
        <w:t>World Electric Vehicle Journal</w:t>
      </w:r>
      <w:r w:rsidRPr="00871D60">
        <w:t>, 15(7), p. 313.</w:t>
      </w:r>
      <w:r>
        <w:t xml:space="preserve"> </w:t>
      </w:r>
      <w:hyperlink r:id="rId14" w:history="1">
        <w:r w:rsidRPr="00490675">
          <w:rPr>
            <w:rStyle w:val="Hyperlink"/>
          </w:rPr>
          <w:t>https://www.mdpi.com/2032-6653/15/7/313</w:t>
        </w:r>
      </w:hyperlink>
    </w:p>
    <w:p w14:paraId="10C541F1" w14:textId="77777777" w:rsidR="001841A5" w:rsidRPr="006B26DE" w:rsidRDefault="001841A5" w:rsidP="00996220">
      <w:pPr>
        <w:pStyle w:val="ListParagraph"/>
        <w:numPr>
          <w:ilvl w:val="0"/>
          <w:numId w:val="7"/>
        </w:numPr>
        <w:spacing w:after="200" w:line="288" w:lineRule="auto"/>
      </w:pPr>
      <w:r w:rsidRPr="006B26DE">
        <w:t xml:space="preserve">Mandy, M, (2016) Placing-Volkswagen-Into-the-Fraud-Triangle, Fraud Conference News, press: </w:t>
      </w:r>
      <w:hyperlink r:id="rId15" w:history="1">
        <w:r w:rsidRPr="00EC1C2E">
          <w:rPr>
            <w:rStyle w:val="Hyperlink"/>
          </w:rPr>
          <w:t>htt</w:t>
        </w:r>
        <w:r w:rsidRPr="00EC1C2E">
          <w:rPr>
            <w:rStyle w:val="Hyperlink"/>
          </w:rPr>
          <w:t>p</w:t>
        </w:r>
        <w:r w:rsidRPr="00EC1C2E">
          <w:rPr>
            <w:rStyle w:val="Hyperlink"/>
          </w:rPr>
          <w:t>s://www.fraudconferencenews.com/home/2016/6/14/placing-volkswagen-into-the-fraud-triangle</w:t>
        </w:r>
      </w:hyperlink>
      <w:r>
        <w:t xml:space="preserve"> </w:t>
      </w:r>
    </w:p>
    <w:p w14:paraId="085BD54F" w14:textId="2697A71A" w:rsidR="001841A5" w:rsidRPr="001841A5" w:rsidRDefault="001841A5" w:rsidP="00996220">
      <w:pPr>
        <w:pStyle w:val="ListParagraph"/>
        <w:numPr>
          <w:ilvl w:val="0"/>
          <w:numId w:val="7"/>
        </w:numPr>
        <w:spacing w:after="200" w:line="360" w:lineRule="auto"/>
        <w:rPr>
          <w:rFonts w:ascii="Arial" w:hAnsi="Arial" w:cs="Arial"/>
          <w:sz w:val="36"/>
          <w:szCs w:val="36"/>
        </w:rPr>
      </w:pPr>
      <w:r>
        <w:lastRenderedPageBreak/>
        <w:t>Neil ,B, 2021</w:t>
      </w:r>
      <w:r w:rsidRPr="00871D60">
        <w:t xml:space="preserve"> ‘Car industry accused of ‘greenwashing’ as we wait for electric revolution’, </w:t>
      </w:r>
      <w:r w:rsidRPr="0010747A">
        <w:rPr>
          <w:i/>
          <w:iCs/>
        </w:rPr>
        <w:t>The Irish Times</w:t>
      </w:r>
      <w:r w:rsidRPr="00871D60">
        <w:t>,</w:t>
      </w:r>
      <w:r>
        <w:t xml:space="preserve"> press  </w:t>
      </w:r>
      <w:hyperlink r:id="rId16" w:history="1">
        <w:r w:rsidRPr="00490675">
          <w:rPr>
            <w:rStyle w:val="Hyperlink"/>
          </w:rPr>
          <w:t>https://www.irishtimes.com/life-and-style/motors/car-industry-accused-of-greenwashing-as-we-wait-for-electric-revolution-1.4614887</w:t>
        </w:r>
      </w:hyperlink>
    </w:p>
    <w:p w14:paraId="30F7E830" w14:textId="77777777" w:rsidR="000F1613" w:rsidRDefault="000F1613" w:rsidP="000F1613">
      <w:pPr>
        <w:pStyle w:val="ListParagraph"/>
        <w:numPr>
          <w:ilvl w:val="0"/>
          <w:numId w:val="7"/>
        </w:numPr>
      </w:pPr>
      <w:r w:rsidRPr="000D7661">
        <w:t>Shan, Y. (2025) ‘Analysis of the Causes and Countermeasures of “Greenwashing” – Taking Volkswagen’s “Diesel gate” as an Example’, in Proceedings of the 2025 International Conference on Financial Risk and Investment Management (ICFRIM</w:t>
      </w:r>
      <w:r w:rsidRPr="00996220">
        <w:rPr>
          <w:rFonts w:ascii="Arial" w:hAnsi="Arial" w:cs="Arial"/>
        </w:rPr>
        <w:t> </w:t>
      </w:r>
      <w:r w:rsidRPr="000D7661">
        <w:t xml:space="preserve">2025), </w:t>
      </w:r>
      <w:r w:rsidRPr="00996220">
        <w:rPr>
          <w:i/>
          <w:iCs/>
        </w:rPr>
        <w:t>Advances in Economics, Business and Management Research</w:t>
      </w:r>
      <w:r w:rsidRPr="000D7661">
        <w:t xml:space="preserve">. Atlantis Press. </w:t>
      </w:r>
      <w:hyperlink r:id="rId17" w:history="1">
        <w:r w:rsidRPr="00EC1C2E">
          <w:rPr>
            <w:rStyle w:val="Hyperlink"/>
          </w:rPr>
          <w:t>https://doi.org/10.2991/978-94-6463-748-9_74</w:t>
        </w:r>
      </w:hyperlink>
    </w:p>
    <w:p w14:paraId="16D8846E" w14:textId="77777777" w:rsidR="00CD2E50" w:rsidRDefault="00CD2E50" w:rsidP="00CD2E50">
      <w:pPr>
        <w:pStyle w:val="ListParagraph"/>
        <w:numPr>
          <w:ilvl w:val="0"/>
          <w:numId w:val="7"/>
        </w:numPr>
      </w:pPr>
      <w:r w:rsidRPr="000D7661">
        <w:t>Siano, A.,</w:t>
      </w:r>
      <w:r w:rsidRPr="00996220">
        <w:rPr>
          <w:rFonts w:ascii="Arial" w:hAnsi="Arial" w:cs="Arial"/>
        </w:rPr>
        <w:t> </w:t>
      </w:r>
      <w:r w:rsidRPr="000D7661">
        <w:t>Vollero, A.,</w:t>
      </w:r>
      <w:r w:rsidRPr="00996220">
        <w:rPr>
          <w:rFonts w:ascii="Arial" w:hAnsi="Arial" w:cs="Arial"/>
        </w:rPr>
        <w:t> </w:t>
      </w:r>
      <w:r w:rsidRPr="000D7661">
        <w:t>Conte, F. &amp;</w:t>
      </w:r>
      <w:r w:rsidRPr="00996220">
        <w:rPr>
          <w:rFonts w:ascii="Arial" w:hAnsi="Arial" w:cs="Arial"/>
        </w:rPr>
        <w:t> </w:t>
      </w:r>
      <w:r w:rsidRPr="000D7661">
        <w:t xml:space="preserve">Amabile, S. (2017) </w:t>
      </w:r>
      <w:r w:rsidRPr="00996220">
        <w:rPr>
          <w:rFonts w:ascii="Aptos" w:hAnsi="Aptos" w:cs="Aptos"/>
        </w:rPr>
        <w:t>‘“</w:t>
      </w:r>
      <w:r w:rsidRPr="000D7661">
        <w:t>More than words</w:t>
      </w:r>
      <w:r w:rsidRPr="00996220">
        <w:rPr>
          <w:rFonts w:ascii="Aptos" w:hAnsi="Aptos" w:cs="Aptos"/>
        </w:rPr>
        <w:t>”</w:t>
      </w:r>
      <w:r w:rsidRPr="000D7661">
        <w:t>: Expanding the taxonomy of greenwashing after the Volkswagen scandal</w:t>
      </w:r>
      <w:r w:rsidRPr="00996220">
        <w:rPr>
          <w:rFonts w:ascii="Aptos" w:hAnsi="Aptos" w:cs="Aptos"/>
        </w:rPr>
        <w:t>’</w:t>
      </w:r>
      <w:r w:rsidRPr="000D7661">
        <w:t xml:space="preserve">, </w:t>
      </w:r>
      <w:r w:rsidRPr="00996220">
        <w:rPr>
          <w:i/>
          <w:iCs/>
        </w:rPr>
        <w:t>Journal of Business Research</w:t>
      </w:r>
      <w:r w:rsidRPr="000D7661">
        <w:t>, 71(C), pp.27</w:t>
      </w:r>
      <w:r w:rsidRPr="000D7661">
        <w:noBreakHyphen/>
        <w:t>37.</w:t>
      </w:r>
      <w:r>
        <w:t xml:space="preserve"> </w:t>
      </w:r>
      <w:hyperlink r:id="rId18" w:history="1">
        <w:r w:rsidRPr="00EC1C2E">
          <w:rPr>
            <w:rStyle w:val="Hyperlink"/>
          </w:rPr>
          <w:t>https://doi.org/10.1016/j.jbusres.2016.11.002</w:t>
        </w:r>
      </w:hyperlink>
    </w:p>
    <w:p w14:paraId="667D24CE" w14:textId="437F37CA" w:rsidR="009369BB" w:rsidRDefault="00D06B83" w:rsidP="00996220">
      <w:pPr>
        <w:pStyle w:val="ListParagraph"/>
        <w:numPr>
          <w:ilvl w:val="0"/>
          <w:numId w:val="7"/>
        </w:numPr>
      </w:pPr>
      <w:r w:rsidRPr="00D06B83">
        <w:t xml:space="preserve">Syal, R. (2025) </w:t>
      </w:r>
      <w:r w:rsidRPr="009369BB">
        <w:rPr>
          <w:i/>
          <w:iCs/>
        </w:rPr>
        <w:t>Green Claims Under Scrutiny: How Carmakers Mislead Consumers on Emissions and Sustainability.</w:t>
      </w:r>
      <w:r w:rsidRPr="00D06B83">
        <w:t xml:space="preserve"> The Guardian, 12 January. Available at: </w:t>
      </w:r>
      <w:hyperlink r:id="rId19" w:history="1">
        <w:r w:rsidRPr="00D06B83">
          <w:rPr>
            <w:rStyle w:val="Hyperlink"/>
          </w:rPr>
          <w:t>https://www.theguardian.com</w:t>
        </w:r>
      </w:hyperlink>
      <w:r w:rsidRPr="00D06B83">
        <w:t xml:space="preserve"> (Accessed: 6 November 2025).</w:t>
      </w:r>
    </w:p>
    <w:p w14:paraId="7B23C629" w14:textId="416F86E2" w:rsidR="00996220" w:rsidRDefault="00996220" w:rsidP="00CD2E50">
      <w:pPr>
        <w:pStyle w:val="ListParagraph"/>
        <w:numPr>
          <w:ilvl w:val="0"/>
          <w:numId w:val="7"/>
        </w:numPr>
      </w:pPr>
      <w:r w:rsidRPr="000D7661">
        <w:t>Zhang, M.,</w:t>
      </w:r>
      <w:r w:rsidRPr="000F1613">
        <w:rPr>
          <w:rFonts w:ascii="Arial" w:hAnsi="Arial" w:cs="Arial"/>
        </w:rPr>
        <w:t> </w:t>
      </w:r>
      <w:r w:rsidRPr="000D7661">
        <w:t>Atwal, G. &amp;</w:t>
      </w:r>
      <w:r w:rsidRPr="000F1613">
        <w:rPr>
          <w:rFonts w:ascii="Arial" w:hAnsi="Arial" w:cs="Arial"/>
        </w:rPr>
        <w:t> </w:t>
      </w:r>
      <w:r w:rsidRPr="000D7661">
        <w:t xml:space="preserve">Kaiser, M. (2021) </w:t>
      </w:r>
      <w:r w:rsidRPr="000F1613">
        <w:rPr>
          <w:rFonts w:ascii="Aptos" w:hAnsi="Aptos" w:cs="Aptos"/>
        </w:rPr>
        <w:t>‘</w:t>
      </w:r>
      <w:r w:rsidRPr="000D7661">
        <w:t xml:space="preserve">Corporate social irresponsibility and stakeholder ecosystems: the case of Volkswagen </w:t>
      </w:r>
      <w:proofErr w:type="spellStart"/>
      <w:r w:rsidRPr="000D7661">
        <w:t>Dieselgate</w:t>
      </w:r>
      <w:proofErr w:type="spellEnd"/>
      <w:r w:rsidRPr="000D7661">
        <w:t xml:space="preserve"> scandal</w:t>
      </w:r>
      <w:r w:rsidRPr="000F1613">
        <w:rPr>
          <w:rFonts w:ascii="Aptos" w:hAnsi="Aptos" w:cs="Aptos"/>
        </w:rPr>
        <w:t>’</w:t>
      </w:r>
      <w:r w:rsidRPr="000D7661">
        <w:t xml:space="preserve">, </w:t>
      </w:r>
      <w:r w:rsidRPr="000F1613">
        <w:rPr>
          <w:i/>
          <w:iCs/>
        </w:rPr>
        <w:t>Strategic Change: Briefings in Entrepreneurial Finance</w:t>
      </w:r>
      <w:r w:rsidRPr="000D7661">
        <w:t>, 30(1), pp.79</w:t>
      </w:r>
      <w:r w:rsidRPr="000D7661">
        <w:noBreakHyphen/>
        <w:t xml:space="preserve">85. </w:t>
      </w:r>
      <w:hyperlink r:id="rId20" w:history="1">
        <w:r w:rsidRPr="000D7661">
          <w:rPr>
            <w:rStyle w:val="Hyperlink"/>
          </w:rPr>
          <w:t>https://doi.org/10.1002/j</w:t>
        </w:r>
        <w:r w:rsidRPr="000D7661">
          <w:rPr>
            <w:rStyle w:val="Hyperlink"/>
          </w:rPr>
          <w:t>s</w:t>
        </w:r>
        <w:r w:rsidRPr="000D7661">
          <w:rPr>
            <w:rStyle w:val="Hyperlink"/>
          </w:rPr>
          <w:t>c.239</w:t>
        </w:r>
        <w:r w:rsidRPr="00EC1C2E">
          <w:rPr>
            <w:rStyle w:val="Hyperlink"/>
          </w:rPr>
          <w:t>1</w:t>
        </w:r>
      </w:hyperlink>
    </w:p>
    <w:p w14:paraId="68A16462" w14:textId="5536759D" w:rsidR="00996220" w:rsidRPr="000D7661" w:rsidRDefault="000F1613" w:rsidP="000F1613">
      <w:pPr>
        <w:pStyle w:val="ListParagraph"/>
        <w:numPr>
          <w:ilvl w:val="0"/>
          <w:numId w:val="7"/>
        </w:numPr>
      </w:pPr>
      <w:r>
        <w:t>Z</w:t>
      </w:r>
      <w:r w:rsidR="00996220" w:rsidRPr="005B024A">
        <w:t>hou, X. (2024) “ESG “Greenwashing” Case Analysis: Reasons for Corporate ‘Greenwashing’ and Possible Measures”, </w:t>
      </w:r>
      <w:r w:rsidR="00996220" w:rsidRPr="000F1613">
        <w:rPr>
          <w:i/>
          <w:iCs/>
        </w:rPr>
        <w:t>Frontiers in Business, Economics and Management</w:t>
      </w:r>
      <w:r w:rsidR="00996220" w:rsidRPr="005B024A">
        <w:t>, 17(2), pp. 442–449. doi:</w:t>
      </w:r>
      <w:hyperlink r:id="rId21" w:history="1">
        <w:r w:rsidR="00996220" w:rsidRPr="005B024A">
          <w:rPr>
            <w:rStyle w:val="Hyperlink"/>
          </w:rPr>
          <w:t>10.</w:t>
        </w:r>
        <w:r w:rsidR="00996220" w:rsidRPr="005B024A">
          <w:rPr>
            <w:rStyle w:val="Hyperlink"/>
          </w:rPr>
          <w:t>5</w:t>
        </w:r>
        <w:r w:rsidR="00996220" w:rsidRPr="005B024A">
          <w:rPr>
            <w:rStyle w:val="Hyperlink"/>
          </w:rPr>
          <w:t>4097/19</w:t>
        </w:r>
        <w:r w:rsidR="00996220" w:rsidRPr="005B024A">
          <w:rPr>
            <w:rStyle w:val="Hyperlink"/>
          </w:rPr>
          <w:t>x</w:t>
        </w:r>
        <w:r w:rsidR="00996220" w:rsidRPr="005B024A">
          <w:rPr>
            <w:rStyle w:val="Hyperlink"/>
          </w:rPr>
          <w:t>6s270</w:t>
        </w:r>
      </w:hyperlink>
      <w:r w:rsidR="00996220" w:rsidRPr="005B024A">
        <w:t>.</w:t>
      </w:r>
    </w:p>
    <w:p w14:paraId="471D2728" w14:textId="77777777" w:rsidR="00996220" w:rsidRPr="00516846" w:rsidRDefault="00996220" w:rsidP="001841A5">
      <w:pPr>
        <w:pStyle w:val="ListParagraph"/>
        <w:spacing w:after="200" w:line="288" w:lineRule="auto"/>
      </w:pPr>
    </w:p>
    <w:p w14:paraId="053E470C" w14:textId="521AC8D3" w:rsidR="00D06B83" w:rsidRPr="00D06B83" w:rsidRDefault="00D06B83" w:rsidP="00D06B83"/>
    <w:p w14:paraId="5C44DC09" w14:textId="776334A8" w:rsidR="00BE5D70" w:rsidRPr="00BE5D70" w:rsidRDefault="00BE5D70" w:rsidP="00BE5D70"/>
    <w:p w14:paraId="09A4410E" w14:textId="77777777" w:rsidR="003E3D9C" w:rsidRDefault="003E3D9C"/>
    <w:sectPr w:rsidR="003E3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83D8A"/>
    <w:multiLevelType w:val="multilevel"/>
    <w:tmpl w:val="2AD81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783470"/>
    <w:multiLevelType w:val="multilevel"/>
    <w:tmpl w:val="E29AA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38197B"/>
    <w:multiLevelType w:val="multilevel"/>
    <w:tmpl w:val="CB2E526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FB639C"/>
    <w:multiLevelType w:val="multilevel"/>
    <w:tmpl w:val="CB2E526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98239F"/>
    <w:multiLevelType w:val="multilevel"/>
    <w:tmpl w:val="CB2E526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9662DD"/>
    <w:multiLevelType w:val="multilevel"/>
    <w:tmpl w:val="29F02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D64178"/>
    <w:multiLevelType w:val="hybridMultilevel"/>
    <w:tmpl w:val="BF50D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7893278">
    <w:abstractNumId w:val="1"/>
  </w:num>
  <w:num w:numId="2" w16cid:durableId="1958483170">
    <w:abstractNumId w:val="0"/>
  </w:num>
  <w:num w:numId="3" w16cid:durableId="727218333">
    <w:abstractNumId w:val="5"/>
  </w:num>
  <w:num w:numId="4" w16cid:durableId="1158422118">
    <w:abstractNumId w:val="2"/>
  </w:num>
  <w:num w:numId="5" w16cid:durableId="2009020862">
    <w:abstractNumId w:val="6"/>
  </w:num>
  <w:num w:numId="6" w16cid:durableId="1162239737">
    <w:abstractNumId w:val="4"/>
  </w:num>
  <w:num w:numId="7" w16cid:durableId="15384240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9D6"/>
    <w:rsid w:val="000075E5"/>
    <w:rsid w:val="000A52EB"/>
    <w:rsid w:val="000D06CE"/>
    <w:rsid w:val="000F1613"/>
    <w:rsid w:val="00112A86"/>
    <w:rsid w:val="001653AF"/>
    <w:rsid w:val="00177F55"/>
    <w:rsid w:val="001841A5"/>
    <w:rsid w:val="001E6740"/>
    <w:rsid w:val="0023792C"/>
    <w:rsid w:val="002C0287"/>
    <w:rsid w:val="00331E55"/>
    <w:rsid w:val="003B0B4D"/>
    <w:rsid w:val="003E3D9C"/>
    <w:rsid w:val="0046382E"/>
    <w:rsid w:val="00516846"/>
    <w:rsid w:val="00567DD9"/>
    <w:rsid w:val="00581C0F"/>
    <w:rsid w:val="005906AB"/>
    <w:rsid w:val="00591882"/>
    <w:rsid w:val="005F79D6"/>
    <w:rsid w:val="006139BE"/>
    <w:rsid w:val="00631449"/>
    <w:rsid w:val="00665E6B"/>
    <w:rsid w:val="006F7F0D"/>
    <w:rsid w:val="00716CB1"/>
    <w:rsid w:val="00727386"/>
    <w:rsid w:val="00787DD8"/>
    <w:rsid w:val="007F1CED"/>
    <w:rsid w:val="00852CC4"/>
    <w:rsid w:val="00883B81"/>
    <w:rsid w:val="00910756"/>
    <w:rsid w:val="009369BB"/>
    <w:rsid w:val="00996220"/>
    <w:rsid w:val="009A1040"/>
    <w:rsid w:val="009F35CE"/>
    <w:rsid w:val="00A07AD0"/>
    <w:rsid w:val="00A40766"/>
    <w:rsid w:val="00A60DFF"/>
    <w:rsid w:val="00A76747"/>
    <w:rsid w:val="00AE06F7"/>
    <w:rsid w:val="00BA07D6"/>
    <w:rsid w:val="00BA13F6"/>
    <w:rsid w:val="00BC26C7"/>
    <w:rsid w:val="00BE5D70"/>
    <w:rsid w:val="00BF72E1"/>
    <w:rsid w:val="00C22869"/>
    <w:rsid w:val="00C55C29"/>
    <w:rsid w:val="00C73F71"/>
    <w:rsid w:val="00CA2395"/>
    <w:rsid w:val="00CA6434"/>
    <w:rsid w:val="00CD2E50"/>
    <w:rsid w:val="00CE0CF1"/>
    <w:rsid w:val="00D06B83"/>
    <w:rsid w:val="00D26D58"/>
    <w:rsid w:val="00DA62ED"/>
    <w:rsid w:val="00E621DA"/>
    <w:rsid w:val="00E83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B52D5"/>
  <w15:chartTrackingRefBased/>
  <w15:docId w15:val="{F9235BA6-4B5B-434D-9C63-04D276F86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9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79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9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9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9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9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9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9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9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9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9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9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9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9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9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9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9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9D6"/>
    <w:rPr>
      <w:rFonts w:eastAsiaTheme="majorEastAsia" w:cstheme="majorBidi"/>
      <w:color w:val="272727" w:themeColor="text1" w:themeTint="D8"/>
    </w:rPr>
  </w:style>
  <w:style w:type="paragraph" w:styleId="Title">
    <w:name w:val="Title"/>
    <w:basedOn w:val="Normal"/>
    <w:next w:val="Normal"/>
    <w:link w:val="TitleChar"/>
    <w:uiPriority w:val="10"/>
    <w:qFormat/>
    <w:rsid w:val="005F79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9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9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9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9D6"/>
    <w:pPr>
      <w:spacing w:before="160"/>
      <w:jc w:val="center"/>
    </w:pPr>
    <w:rPr>
      <w:i/>
      <w:iCs/>
      <w:color w:val="404040" w:themeColor="text1" w:themeTint="BF"/>
    </w:rPr>
  </w:style>
  <w:style w:type="character" w:customStyle="1" w:styleId="QuoteChar">
    <w:name w:val="Quote Char"/>
    <w:basedOn w:val="DefaultParagraphFont"/>
    <w:link w:val="Quote"/>
    <w:uiPriority w:val="29"/>
    <w:rsid w:val="005F79D6"/>
    <w:rPr>
      <w:i/>
      <w:iCs/>
      <w:color w:val="404040" w:themeColor="text1" w:themeTint="BF"/>
    </w:rPr>
  </w:style>
  <w:style w:type="paragraph" w:styleId="ListParagraph">
    <w:name w:val="List Paragraph"/>
    <w:basedOn w:val="Normal"/>
    <w:uiPriority w:val="34"/>
    <w:qFormat/>
    <w:rsid w:val="005F79D6"/>
    <w:pPr>
      <w:ind w:left="720"/>
      <w:contextualSpacing/>
    </w:pPr>
  </w:style>
  <w:style w:type="character" w:styleId="IntenseEmphasis">
    <w:name w:val="Intense Emphasis"/>
    <w:basedOn w:val="DefaultParagraphFont"/>
    <w:uiPriority w:val="21"/>
    <w:qFormat/>
    <w:rsid w:val="005F79D6"/>
    <w:rPr>
      <w:i/>
      <w:iCs/>
      <w:color w:val="0F4761" w:themeColor="accent1" w:themeShade="BF"/>
    </w:rPr>
  </w:style>
  <w:style w:type="paragraph" w:styleId="IntenseQuote">
    <w:name w:val="Intense Quote"/>
    <w:basedOn w:val="Normal"/>
    <w:next w:val="Normal"/>
    <w:link w:val="IntenseQuoteChar"/>
    <w:uiPriority w:val="30"/>
    <w:qFormat/>
    <w:rsid w:val="005F79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9D6"/>
    <w:rPr>
      <w:i/>
      <w:iCs/>
      <w:color w:val="0F4761" w:themeColor="accent1" w:themeShade="BF"/>
    </w:rPr>
  </w:style>
  <w:style w:type="character" w:styleId="IntenseReference">
    <w:name w:val="Intense Reference"/>
    <w:basedOn w:val="DefaultParagraphFont"/>
    <w:uiPriority w:val="32"/>
    <w:qFormat/>
    <w:rsid w:val="005F79D6"/>
    <w:rPr>
      <w:b/>
      <w:bCs/>
      <w:smallCaps/>
      <w:color w:val="0F4761" w:themeColor="accent1" w:themeShade="BF"/>
      <w:spacing w:val="5"/>
    </w:rPr>
  </w:style>
  <w:style w:type="character" w:styleId="Hyperlink">
    <w:name w:val="Hyperlink"/>
    <w:basedOn w:val="DefaultParagraphFont"/>
    <w:uiPriority w:val="99"/>
    <w:unhideWhenUsed/>
    <w:rsid w:val="00D06B83"/>
    <w:rPr>
      <w:color w:val="467886" w:themeColor="hyperlink"/>
      <w:u w:val="single"/>
    </w:rPr>
  </w:style>
  <w:style w:type="character" w:styleId="UnresolvedMention">
    <w:name w:val="Unresolved Mention"/>
    <w:basedOn w:val="DefaultParagraphFont"/>
    <w:uiPriority w:val="99"/>
    <w:semiHidden/>
    <w:unhideWhenUsed/>
    <w:rsid w:val="00D06B83"/>
    <w:rPr>
      <w:color w:val="605E5C"/>
      <w:shd w:val="clear" w:color="auto" w:fill="E1DFDD"/>
    </w:rPr>
  </w:style>
  <w:style w:type="character" w:styleId="FollowedHyperlink">
    <w:name w:val="FollowedHyperlink"/>
    <w:basedOn w:val="DefaultParagraphFont"/>
    <w:uiPriority w:val="99"/>
    <w:semiHidden/>
    <w:unhideWhenUsed/>
    <w:rsid w:val="00D06B83"/>
    <w:rPr>
      <w:color w:val="96607D" w:themeColor="followedHyperlink"/>
      <w:u w:val="single"/>
    </w:rPr>
  </w:style>
  <w:style w:type="paragraph" w:styleId="Revision">
    <w:name w:val="Revision"/>
    <w:hidden/>
    <w:uiPriority w:val="99"/>
    <w:semiHidden/>
    <w:rsid w:val="006F7F0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51-022-05151-9" TargetMode="External"/><Relationship Id="rId13" Type="http://schemas.openxmlformats.org/officeDocument/2006/relationships/hyperlink" Target="https://corporatefinanceinstitute.com/resources/esg/greenwashing/" TargetMode="External"/><Relationship Id="rId18" Type="http://schemas.openxmlformats.org/officeDocument/2006/relationships/hyperlink" Target="https://doi.org/10.1016/j.jbusres.2016.11.002" TargetMode="External"/><Relationship Id="rId3" Type="http://schemas.openxmlformats.org/officeDocument/2006/relationships/settings" Target="settings.xml"/><Relationship Id="rId21" Type="http://schemas.openxmlformats.org/officeDocument/2006/relationships/hyperlink" Target="https://doi.org/10.54097/19x6s270" TargetMode="External"/><Relationship Id="rId7" Type="http://schemas.openxmlformats.org/officeDocument/2006/relationships/hyperlink" Target="https://doi.org/10.1080/00208825.2020.1811523" TargetMode="External"/><Relationship Id="rId12" Type="http://schemas.openxmlformats.org/officeDocument/2006/relationships/hyperlink" Target="https://doi.org/10.1186/s40991-025-00124-3" TargetMode="External"/><Relationship Id="rId17" Type="http://schemas.openxmlformats.org/officeDocument/2006/relationships/hyperlink" Target="https://doi.org/10.2991/978-94-6463-748-9_74" TargetMode="External"/><Relationship Id="rId2" Type="http://schemas.openxmlformats.org/officeDocument/2006/relationships/styles" Target="styles.xml"/><Relationship Id="rId16" Type="http://schemas.openxmlformats.org/officeDocument/2006/relationships/hyperlink" Target="https://www.irishtimes.com/life-and-style/motors/car-industry-accused-of-greenwashing-as-we-wait-for-electric-revolution-1.4614887" TargetMode="External"/><Relationship Id="rId20" Type="http://schemas.openxmlformats.org/officeDocument/2006/relationships/hyperlink" Target="https://doi.org/10.1002/jsc.2391" TargetMode="External"/><Relationship Id="rId1" Type="http://schemas.openxmlformats.org/officeDocument/2006/relationships/numbering" Target="numbering.xml"/><Relationship Id="rId6" Type="http://schemas.openxmlformats.org/officeDocument/2006/relationships/hyperlink" Target="http://doi.org/10.1111/beer.12847" TargetMode="External"/><Relationship Id="rId11" Type="http://schemas.openxmlformats.org/officeDocument/2006/relationships/hyperlink" Target="https://www.forbes.com/" TargetMode="External"/><Relationship Id="rId5" Type="http://schemas.openxmlformats.org/officeDocument/2006/relationships/hyperlink" Target="https://www.npr.org/sections/thetwo-way/2015/10/08/446861855" TargetMode="External"/><Relationship Id="rId15" Type="http://schemas.openxmlformats.org/officeDocument/2006/relationships/hyperlink" Target="https://www.fraudconferencenews.com/home/2016/6/14/placing-volkswagen-into-the-fraud-triangle" TargetMode="External"/><Relationship Id="rId23" Type="http://schemas.openxmlformats.org/officeDocument/2006/relationships/theme" Target="theme/theme1.xml"/><Relationship Id="rId10" Type="http://schemas.openxmlformats.org/officeDocument/2006/relationships/hyperlink" Target="https://blogs.law.ox.ac.uk/business-law-blog/blog/2016/05/volkswagen%E2%80%99s-emissions-scandal-lessons-corporate-governance-part-2" TargetMode="External"/><Relationship Id="rId19" Type="http://schemas.openxmlformats.org/officeDocument/2006/relationships/hyperlink" Target="https://www.theguardian.com/" TargetMode="External"/><Relationship Id="rId4" Type="http://schemas.openxmlformats.org/officeDocument/2006/relationships/webSettings" Target="webSettings.xml"/><Relationship Id="rId9" Type="http://schemas.openxmlformats.org/officeDocument/2006/relationships/hyperlink" Target="https://www.lawsociety.org.uk/topics/climate-change/greenwashing-what-do-you-need-to-know" TargetMode="External"/><Relationship Id="rId14" Type="http://schemas.openxmlformats.org/officeDocument/2006/relationships/hyperlink" Target="https://www.mdpi.com/2032-6653/15/7/31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219</TotalTime>
  <Pages>4</Pages>
  <Words>1295</Words>
  <Characters>8471</Characters>
  <Application>Microsoft Office Word</Application>
  <DocSecurity>0</DocSecurity>
  <Lines>132</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Cozma</dc:creator>
  <cp:keywords/>
  <dc:description/>
  <cp:lastModifiedBy>adelina Cozma</cp:lastModifiedBy>
  <cp:revision>49</cp:revision>
  <dcterms:created xsi:type="dcterms:W3CDTF">2025-11-06T11:22:00Z</dcterms:created>
  <dcterms:modified xsi:type="dcterms:W3CDTF">2025-11-12T17:05:00Z</dcterms:modified>
</cp:coreProperties>
</file>