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4D3F7CF4" w:rsidR="00C558B0" w:rsidRPr="002330EE" w:rsidRDefault="00C558B0" w:rsidP="00C558B0">
      <w:pPr>
        <w:tabs>
          <w:tab w:val="left" w:pos="6540"/>
        </w:tabs>
        <w:spacing w:line="360" w:lineRule="auto"/>
        <w:rPr>
          <w:rFonts w:ascii="Arial" w:hAnsi="Arial" w:cs="Arial"/>
          <w:sz w:val="28"/>
          <w:szCs w:val="28"/>
        </w:rPr>
      </w:pPr>
      <w:r w:rsidRPr="002330EE">
        <w:rPr>
          <w:rFonts w:ascii="Arial" w:hAnsi="Arial" w:cs="Arial"/>
          <w:b/>
          <w:bCs/>
          <w:sz w:val="28"/>
          <w:szCs w:val="28"/>
        </w:rPr>
        <w:t>Student name</w:t>
      </w:r>
      <w:r w:rsidRPr="002330EE">
        <w:rPr>
          <w:rFonts w:ascii="Arial" w:hAnsi="Arial" w:cs="Arial"/>
          <w:sz w:val="28"/>
          <w:szCs w:val="28"/>
        </w:rPr>
        <w:t>:</w:t>
      </w:r>
      <w:r w:rsidR="002330EE" w:rsidRPr="002330EE">
        <w:rPr>
          <w:rFonts w:ascii="Arial" w:hAnsi="Arial" w:cs="Arial"/>
          <w:sz w:val="28"/>
          <w:szCs w:val="28"/>
        </w:rPr>
        <w:t xml:space="preserve"> Seli Itu Henriques Sequeira</w:t>
      </w:r>
    </w:p>
    <w:p w14:paraId="18D88AE2" w14:textId="5FC24125" w:rsidR="00C558B0" w:rsidRPr="002330EE" w:rsidRDefault="00C558B0" w:rsidP="00C558B0">
      <w:pPr>
        <w:tabs>
          <w:tab w:val="left" w:pos="6540"/>
        </w:tabs>
        <w:spacing w:line="360" w:lineRule="auto"/>
        <w:rPr>
          <w:rFonts w:ascii="Arial" w:hAnsi="Arial" w:cs="Arial"/>
          <w:sz w:val="28"/>
          <w:szCs w:val="28"/>
        </w:rPr>
      </w:pPr>
      <w:r w:rsidRPr="002330EE">
        <w:rPr>
          <w:rFonts w:ascii="Arial" w:hAnsi="Arial" w:cs="Arial"/>
          <w:b/>
          <w:bCs/>
          <w:sz w:val="28"/>
          <w:szCs w:val="28"/>
        </w:rPr>
        <w:t>Student ID</w:t>
      </w:r>
      <w:r w:rsidRPr="002330EE">
        <w:rPr>
          <w:rFonts w:ascii="Arial" w:hAnsi="Arial" w:cs="Arial"/>
          <w:sz w:val="28"/>
          <w:szCs w:val="28"/>
        </w:rPr>
        <w:t>:</w:t>
      </w:r>
      <w:r w:rsidR="002330EE" w:rsidRPr="002330EE">
        <w:rPr>
          <w:rFonts w:ascii="Arial" w:hAnsi="Arial" w:cs="Arial"/>
          <w:sz w:val="28"/>
          <w:szCs w:val="28"/>
        </w:rPr>
        <w:t>2412665</w:t>
      </w:r>
    </w:p>
    <w:p w14:paraId="4654C81C" w14:textId="77777777" w:rsidR="00C558B0" w:rsidRPr="002330EE" w:rsidRDefault="00C558B0" w:rsidP="00C558B0">
      <w:pPr>
        <w:tabs>
          <w:tab w:val="left" w:pos="6540"/>
        </w:tabs>
        <w:spacing w:line="360" w:lineRule="auto"/>
        <w:rPr>
          <w:rFonts w:ascii="Arial" w:hAnsi="Arial" w:cs="Arial"/>
          <w:sz w:val="28"/>
          <w:szCs w:val="28"/>
        </w:rPr>
      </w:pPr>
    </w:p>
    <w:p w14:paraId="3D8DA301" w14:textId="053FD392" w:rsidR="00C558B0" w:rsidRPr="002330EE" w:rsidRDefault="00C558B0" w:rsidP="00C558B0">
      <w:pPr>
        <w:tabs>
          <w:tab w:val="left" w:pos="6540"/>
        </w:tabs>
        <w:spacing w:line="360" w:lineRule="auto"/>
        <w:rPr>
          <w:rFonts w:ascii="Arial" w:hAnsi="Arial" w:cs="Arial"/>
          <w:sz w:val="28"/>
          <w:szCs w:val="28"/>
        </w:rPr>
      </w:pPr>
      <w:r w:rsidRPr="002330EE">
        <w:rPr>
          <w:rFonts w:ascii="Arial" w:hAnsi="Arial" w:cs="Arial"/>
          <w:b/>
          <w:bCs/>
          <w:sz w:val="28"/>
          <w:szCs w:val="28"/>
        </w:rPr>
        <w:t>Module name</w:t>
      </w:r>
      <w:r w:rsidRPr="002330EE">
        <w:rPr>
          <w:rFonts w:ascii="Arial" w:hAnsi="Arial" w:cs="Arial"/>
          <w:sz w:val="28"/>
          <w:szCs w:val="28"/>
        </w:rPr>
        <w:t xml:space="preserve">: </w:t>
      </w:r>
      <w:r w:rsidR="002330EE">
        <w:rPr>
          <w:rFonts w:ascii="Arial" w:hAnsi="Arial" w:cs="Arial"/>
          <w:sz w:val="28"/>
          <w:szCs w:val="28"/>
        </w:rPr>
        <w:t>PRINCIPLES OF HEALTH AND SOCIAL CARE</w:t>
      </w:r>
    </w:p>
    <w:p w14:paraId="7DB3261D" w14:textId="57044825"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w:t>
      </w:r>
      <w:r w:rsidR="002330EE">
        <w:rPr>
          <w:rFonts w:ascii="Arial" w:hAnsi="Arial" w:cs="Arial"/>
          <w:sz w:val="28"/>
          <w:szCs w:val="28"/>
        </w:rPr>
        <w:t>BMHP5016</w:t>
      </w:r>
    </w:p>
    <w:p w14:paraId="5CCA350C" w14:textId="3A70F623"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2330EE">
        <w:rPr>
          <w:rFonts w:ascii="Arial" w:hAnsi="Arial" w:cs="Arial"/>
          <w:sz w:val="28"/>
          <w:szCs w:val="28"/>
        </w:rPr>
        <w:t>DR Itse Olaoye</w:t>
      </w:r>
    </w:p>
    <w:p w14:paraId="5461F9C8" w14:textId="77777777" w:rsidR="00C558B0" w:rsidRDefault="00C558B0" w:rsidP="00C558B0">
      <w:pPr>
        <w:tabs>
          <w:tab w:val="left" w:pos="6540"/>
        </w:tabs>
        <w:spacing w:line="360" w:lineRule="auto"/>
        <w:rPr>
          <w:rFonts w:ascii="Arial" w:hAnsi="Arial" w:cs="Arial"/>
          <w:sz w:val="28"/>
          <w:szCs w:val="28"/>
        </w:rPr>
      </w:pPr>
    </w:p>
    <w:p w14:paraId="2E3AE67F" w14:textId="46DA8DE7" w:rsidR="00BD552A" w:rsidRDefault="006D2F2D" w:rsidP="00BD552A">
      <w:pPr>
        <w:pStyle w:val="NormalWeb"/>
      </w:pPr>
      <w:r w:rsidRPr="004A5A64">
        <w:rPr>
          <w:sz w:val="23"/>
          <w:szCs w:val="23"/>
        </w:rPr>
        <w:br w:type="page"/>
      </w:r>
    </w:p>
    <w:sdt>
      <w:sdtPr>
        <w:rPr>
          <w:lang w:val="en-GB"/>
        </w:rPr>
        <w:id w:val="1289709073"/>
        <w:docPartObj>
          <w:docPartGallery w:val="Table of Contents"/>
          <w:docPartUnique/>
        </w:docPartObj>
      </w:sdtPr>
      <w:sdtEndPr>
        <w:rPr>
          <w:rFonts w:ascii="Times New Roman" w:eastAsiaTheme="minorHAnsi" w:hAnsi="Times New Roman" w:cstheme="minorBidi"/>
          <w:b/>
          <w:bCs/>
          <w:color w:val="auto"/>
          <w:sz w:val="24"/>
          <w:szCs w:val="22"/>
        </w:rPr>
      </w:sdtEndPr>
      <w:sdtContent>
        <w:p w14:paraId="63C322BC" w14:textId="2C21C42F" w:rsidR="003A21CC" w:rsidRDefault="003A21CC">
          <w:pPr>
            <w:pStyle w:val="TOCHeading"/>
          </w:pPr>
          <w:r>
            <w:rPr>
              <w:lang w:val="en-GB"/>
            </w:rPr>
            <w:t>Contents</w:t>
          </w:r>
        </w:p>
        <w:p w14:paraId="7EC9BE1E" w14:textId="4EC88B57" w:rsidR="003A21CC" w:rsidRDefault="003A21CC">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8874291" w:history="1">
            <w:r w:rsidRPr="00E50047">
              <w:rPr>
                <w:rStyle w:val="Hyperlink"/>
                <w:noProof/>
              </w:rPr>
              <w:t>Introduction</w:t>
            </w:r>
            <w:r>
              <w:rPr>
                <w:noProof/>
                <w:webHidden/>
              </w:rPr>
              <w:tab/>
            </w:r>
            <w:r>
              <w:rPr>
                <w:noProof/>
                <w:webHidden/>
              </w:rPr>
              <w:fldChar w:fldCharType="begin"/>
            </w:r>
            <w:r>
              <w:rPr>
                <w:noProof/>
                <w:webHidden/>
              </w:rPr>
              <w:instrText xml:space="preserve"> PAGEREF _Toc228874291 \h </w:instrText>
            </w:r>
            <w:r>
              <w:rPr>
                <w:noProof/>
                <w:webHidden/>
              </w:rPr>
            </w:r>
            <w:r>
              <w:rPr>
                <w:noProof/>
                <w:webHidden/>
              </w:rPr>
              <w:fldChar w:fldCharType="separate"/>
            </w:r>
            <w:r>
              <w:rPr>
                <w:noProof/>
                <w:webHidden/>
              </w:rPr>
              <w:t>3</w:t>
            </w:r>
            <w:r>
              <w:rPr>
                <w:noProof/>
                <w:webHidden/>
              </w:rPr>
              <w:fldChar w:fldCharType="end"/>
            </w:r>
          </w:hyperlink>
        </w:p>
        <w:p w14:paraId="1C8F6FC0" w14:textId="6BEF2E34" w:rsidR="003A21CC" w:rsidRDefault="003A21C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8874292" w:history="1">
            <w:r w:rsidRPr="00E50047">
              <w:rPr>
                <w:rStyle w:val="Hyperlink"/>
                <w:noProof/>
              </w:rPr>
              <w:t>The Chosen Concept Development.</w:t>
            </w:r>
            <w:r>
              <w:rPr>
                <w:noProof/>
                <w:webHidden/>
              </w:rPr>
              <w:tab/>
            </w:r>
            <w:r>
              <w:rPr>
                <w:noProof/>
                <w:webHidden/>
              </w:rPr>
              <w:fldChar w:fldCharType="begin"/>
            </w:r>
            <w:r>
              <w:rPr>
                <w:noProof/>
                <w:webHidden/>
              </w:rPr>
              <w:instrText xml:space="preserve"> PAGEREF _Toc228874292 \h </w:instrText>
            </w:r>
            <w:r>
              <w:rPr>
                <w:noProof/>
                <w:webHidden/>
              </w:rPr>
            </w:r>
            <w:r>
              <w:rPr>
                <w:noProof/>
                <w:webHidden/>
              </w:rPr>
              <w:fldChar w:fldCharType="separate"/>
            </w:r>
            <w:r>
              <w:rPr>
                <w:noProof/>
                <w:webHidden/>
              </w:rPr>
              <w:t>4</w:t>
            </w:r>
            <w:r>
              <w:rPr>
                <w:noProof/>
                <w:webHidden/>
              </w:rPr>
              <w:fldChar w:fldCharType="end"/>
            </w:r>
          </w:hyperlink>
        </w:p>
        <w:p w14:paraId="45BECD20" w14:textId="2981F582" w:rsidR="003A21CC" w:rsidRDefault="003A21C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8874293" w:history="1">
            <w:r w:rsidRPr="00E50047">
              <w:rPr>
                <w:rStyle w:val="Hyperlink"/>
                <w:noProof/>
              </w:rPr>
              <w:t>Practice of the Concept.</w:t>
            </w:r>
            <w:r>
              <w:rPr>
                <w:noProof/>
                <w:webHidden/>
              </w:rPr>
              <w:tab/>
            </w:r>
            <w:r>
              <w:rPr>
                <w:noProof/>
                <w:webHidden/>
              </w:rPr>
              <w:fldChar w:fldCharType="begin"/>
            </w:r>
            <w:r>
              <w:rPr>
                <w:noProof/>
                <w:webHidden/>
              </w:rPr>
              <w:instrText xml:space="preserve"> PAGEREF _Toc228874293 \h </w:instrText>
            </w:r>
            <w:r>
              <w:rPr>
                <w:noProof/>
                <w:webHidden/>
              </w:rPr>
            </w:r>
            <w:r>
              <w:rPr>
                <w:noProof/>
                <w:webHidden/>
              </w:rPr>
              <w:fldChar w:fldCharType="separate"/>
            </w:r>
            <w:r>
              <w:rPr>
                <w:noProof/>
                <w:webHidden/>
              </w:rPr>
              <w:t>5</w:t>
            </w:r>
            <w:r>
              <w:rPr>
                <w:noProof/>
                <w:webHidden/>
              </w:rPr>
              <w:fldChar w:fldCharType="end"/>
            </w:r>
          </w:hyperlink>
        </w:p>
        <w:p w14:paraId="43D01D31" w14:textId="12F562C7" w:rsidR="003A21CC" w:rsidRDefault="003A21C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8874294" w:history="1">
            <w:r w:rsidRPr="00E50047">
              <w:rPr>
                <w:rStyle w:val="Hyperlink"/>
                <w:noProof/>
              </w:rPr>
              <w:t>Conclusion</w:t>
            </w:r>
            <w:r>
              <w:rPr>
                <w:noProof/>
                <w:webHidden/>
              </w:rPr>
              <w:tab/>
            </w:r>
            <w:r>
              <w:rPr>
                <w:noProof/>
                <w:webHidden/>
              </w:rPr>
              <w:fldChar w:fldCharType="begin"/>
            </w:r>
            <w:r>
              <w:rPr>
                <w:noProof/>
                <w:webHidden/>
              </w:rPr>
              <w:instrText xml:space="preserve"> PAGEREF _Toc228874294 \h </w:instrText>
            </w:r>
            <w:r>
              <w:rPr>
                <w:noProof/>
                <w:webHidden/>
              </w:rPr>
            </w:r>
            <w:r>
              <w:rPr>
                <w:noProof/>
                <w:webHidden/>
              </w:rPr>
              <w:fldChar w:fldCharType="separate"/>
            </w:r>
            <w:r>
              <w:rPr>
                <w:noProof/>
                <w:webHidden/>
              </w:rPr>
              <w:t>8</w:t>
            </w:r>
            <w:r>
              <w:rPr>
                <w:noProof/>
                <w:webHidden/>
              </w:rPr>
              <w:fldChar w:fldCharType="end"/>
            </w:r>
          </w:hyperlink>
        </w:p>
        <w:p w14:paraId="21FCAF1A" w14:textId="753BC4C4" w:rsidR="003A21CC" w:rsidRDefault="003A21C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8874295" w:history="1">
            <w:r w:rsidRPr="00E50047">
              <w:rPr>
                <w:rStyle w:val="Hyperlink"/>
                <w:b/>
                <w:bCs/>
                <w:noProof/>
              </w:rPr>
              <w:t>References</w:t>
            </w:r>
            <w:r>
              <w:rPr>
                <w:noProof/>
                <w:webHidden/>
              </w:rPr>
              <w:tab/>
            </w:r>
            <w:r>
              <w:rPr>
                <w:noProof/>
                <w:webHidden/>
              </w:rPr>
              <w:fldChar w:fldCharType="begin"/>
            </w:r>
            <w:r>
              <w:rPr>
                <w:noProof/>
                <w:webHidden/>
              </w:rPr>
              <w:instrText xml:space="preserve"> PAGEREF _Toc228874295 \h </w:instrText>
            </w:r>
            <w:r>
              <w:rPr>
                <w:noProof/>
                <w:webHidden/>
              </w:rPr>
            </w:r>
            <w:r>
              <w:rPr>
                <w:noProof/>
                <w:webHidden/>
              </w:rPr>
              <w:fldChar w:fldCharType="separate"/>
            </w:r>
            <w:r>
              <w:rPr>
                <w:noProof/>
                <w:webHidden/>
              </w:rPr>
              <w:t>10</w:t>
            </w:r>
            <w:r>
              <w:rPr>
                <w:noProof/>
                <w:webHidden/>
              </w:rPr>
              <w:fldChar w:fldCharType="end"/>
            </w:r>
          </w:hyperlink>
        </w:p>
        <w:p w14:paraId="501867A1" w14:textId="10F89967" w:rsidR="003A21CC" w:rsidRDefault="003A21CC">
          <w:r>
            <w:rPr>
              <w:b/>
              <w:bCs/>
            </w:rPr>
            <w:fldChar w:fldCharType="end"/>
          </w:r>
        </w:p>
      </w:sdtContent>
    </w:sdt>
    <w:p w14:paraId="79C715ED" w14:textId="24A95FCB" w:rsidR="006D2F2D" w:rsidRPr="004A5A64" w:rsidRDefault="006D2F2D" w:rsidP="004A5A64">
      <w:pPr>
        <w:spacing w:line="360" w:lineRule="auto"/>
        <w:rPr>
          <w:sz w:val="23"/>
          <w:szCs w:val="23"/>
        </w:rPr>
      </w:pPr>
    </w:p>
    <w:p w14:paraId="56F6EC08" w14:textId="77777777" w:rsidR="00BD552A" w:rsidRPr="00BD552A" w:rsidRDefault="00BD552A" w:rsidP="00BD552A">
      <w:pPr>
        <w:spacing w:after="0" w:line="480" w:lineRule="auto"/>
        <w:rPr>
          <w:rFonts w:ascii="Arial" w:eastAsia="Times New Roman" w:hAnsi="Arial" w:cs="Arial"/>
          <w:sz w:val="22"/>
          <w:lang w:val="en-US"/>
        </w:rPr>
      </w:pPr>
    </w:p>
    <w:p w14:paraId="33E209E1" w14:textId="77777777" w:rsidR="00BD552A" w:rsidRDefault="00BD552A" w:rsidP="00BD552A">
      <w:pPr>
        <w:pStyle w:val="NormalWeb"/>
        <w:spacing w:line="360" w:lineRule="auto"/>
        <w:rPr>
          <w:rFonts w:ascii="Arial" w:hAnsi="Arial" w:cs="Arial"/>
          <w:sz w:val="22"/>
          <w:szCs w:val="22"/>
          <w:lang w:val="en-US"/>
        </w:rPr>
      </w:pPr>
    </w:p>
    <w:p w14:paraId="37A38998" w14:textId="77777777" w:rsidR="00BD552A" w:rsidRDefault="00BD552A" w:rsidP="00BD552A">
      <w:pPr>
        <w:pStyle w:val="NormalWeb"/>
        <w:spacing w:line="360" w:lineRule="auto"/>
        <w:rPr>
          <w:rFonts w:ascii="Arial" w:hAnsi="Arial" w:cs="Arial"/>
          <w:sz w:val="22"/>
          <w:szCs w:val="22"/>
          <w:lang w:val="en-US"/>
        </w:rPr>
      </w:pPr>
    </w:p>
    <w:p w14:paraId="63F0A4E5" w14:textId="77777777" w:rsidR="00BD552A" w:rsidRDefault="00BD552A" w:rsidP="00BD552A">
      <w:pPr>
        <w:pStyle w:val="NormalWeb"/>
        <w:spacing w:line="360" w:lineRule="auto"/>
        <w:rPr>
          <w:rFonts w:ascii="Arial" w:hAnsi="Arial" w:cs="Arial"/>
          <w:sz w:val="22"/>
          <w:szCs w:val="22"/>
          <w:lang w:val="en-US"/>
        </w:rPr>
      </w:pPr>
    </w:p>
    <w:p w14:paraId="78E50415" w14:textId="77777777" w:rsidR="00BD552A" w:rsidRDefault="00BD552A" w:rsidP="00BD552A">
      <w:pPr>
        <w:pStyle w:val="NormalWeb"/>
        <w:spacing w:line="360" w:lineRule="auto"/>
        <w:rPr>
          <w:rFonts w:ascii="Arial" w:hAnsi="Arial" w:cs="Arial"/>
          <w:sz w:val="22"/>
          <w:szCs w:val="22"/>
          <w:lang w:val="en-US"/>
        </w:rPr>
      </w:pPr>
    </w:p>
    <w:p w14:paraId="51CDAC3B" w14:textId="77777777" w:rsidR="00BD552A" w:rsidRDefault="00BD552A" w:rsidP="00BD552A">
      <w:pPr>
        <w:pStyle w:val="NormalWeb"/>
        <w:spacing w:line="360" w:lineRule="auto"/>
        <w:rPr>
          <w:rFonts w:ascii="Arial" w:hAnsi="Arial" w:cs="Arial"/>
          <w:sz w:val="22"/>
          <w:szCs w:val="22"/>
          <w:lang w:val="en-US"/>
        </w:rPr>
      </w:pPr>
    </w:p>
    <w:p w14:paraId="1199BDE3" w14:textId="77777777" w:rsidR="00BD552A" w:rsidRDefault="00BD552A" w:rsidP="00BD552A">
      <w:pPr>
        <w:pStyle w:val="NormalWeb"/>
        <w:spacing w:line="360" w:lineRule="auto"/>
        <w:rPr>
          <w:rFonts w:ascii="Arial" w:hAnsi="Arial" w:cs="Arial"/>
          <w:sz w:val="22"/>
          <w:szCs w:val="22"/>
          <w:lang w:val="en-US"/>
        </w:rPr>
      </w:pPr>
    </w:p>
    <w:p w14:paraId="42748DFC" w14:textId="77777777" w:rsidR="00BD552A" w:rsidRDefault="00BD552A" w:rsidP="00BD552A">
      <w:pPr>
        <w:pStyle w:val="NormalWeb"/>
        <w:spacing w:line="360" w:lineRule="auto"/>
        <w:rPr>
          <w:rFonts w:ascii="Arial" w:hAnsi="Arial" w:cs="Arial"/>
          <w:sz w:val="22"/>
          <w:szCs w:val="22"/>
          <w:lang w:val="en-US"/>
        </w:rPr>
      </w:pPr>
    </w:p>
    <w:p w14:paraId="6E98EC6A" w14:textId="77777777" w:rsidR="00BD552A" w:rsidRDefault="00BD552A" w:rsidP="00BD552A">
      <w:pPr>
        <w:pStyle w:val="NormalWeb"/>
        <w:spacing w:line="360" w:lineRule="auto"/>
        <w:rPr>
          <w:rFonts w:ascii="Arial" w:hAnsi="Arial" w:cs="Arial"/>
          <w:sz w:val="22"/>
          <w:szCs w:val="22"/>
          <w:lang w:val="en-US"/>
        </w:rPr>
      </w:pPr>
    </w:p>
    <w:p w14:paraId="0EBBDB14" w14:textId="77777777" w:rsidR="00BD552A" w:rsidRDefault="00BD552A" w:rsidP="00BD552A">
      <w:pPr>
        <w:pStyle w:val="NormalWeb"/>
        <w:spacing w:line="360" w:lineRule="auto"/>
        <w:rPr>
          <w:rFonts w:ascii="Arial" w:hAnsi="Arial" w:cs="Arial"/>
          <w:sz w:val="22"/>
          <w:szCs w:val="22"/>
          <w:lang w:val="en-US"/>
        </w:rPr>
      </w:pPr>
    </w:p>
    <w:p w14:paraId="69EFF948" w14:textId="77777777" w:rsidR="00BD552A" w:rsidRDefault="00BD552A" w:rsidP="00BD552A">
      <w:pPr>
        <w:pStyle w:val="NormalWeb"/>
        <w:spacing w:line="360" w:lineRule="auto"/>
        <w:rPr>
          <w:rFonts w:ascii="Arial" w:hAnsi="Arial" w:cs="Arial"/>
          <w:sz w:val="22"/>
          <w:szCs w:val="22"/>
          <w:lang w:val="en-US"/>
        </w:rPr>
      </w:pPr>
    </w:p>
    <w:p w14:paraId="17AA58BD" w14:textId="19C75199" w:rsidR="00BD552A" w:rsidRDefault="00BD552A" w:rsidP="00BD552A">
      <w:pPr>
        <w:pStyle w:val="NormalWeb"/>
        <w:spacing w:line="360" w:lineRule="auto"/>
        <w:rPr>
          <w:rFonts w:ascii="Arial" w:hAnsi="Arial" w:cs="Arial"/>
          <w:sz w:val="22"/>
          <w:szCs w:val="22"/>
          <w:lang w:val="en-US"/>
        </w:rPr>
      </w:pPr>
    </w:p>
    <w:p w14:paraId="0E9228E3" w14:textId="183738D3" w:rsidR="00FD6864" w:rsidRDefault="00FD6864" w:rsidP="00BD552A">
      <w:pPr>
        <w:pStyle w:val="NormalWeb"/>
        <w:spacing w:line="360" w:lineRule="auto"/>
        <w:rPr>
          <w:rFonts w:ascii="Arial" w:hAnsi="Arial" w:cs="Arial"/>
          <w:sz w:val="22"/>
          <w:szCs w:val="22"/>
          <w:lang w:val="en-US"/>
        </w:rPr>
      </w:pPr>
    </w:p>
    <w:p w14:paraId="198BBE83" w14:textId="77777777" w:rsidR="00FD6864" w:rsidRDefault="00FD6864" w:rsidP="00BD552A">
      <w:pPr>
        <w:pStyle w:val="NormalWeb"/>
        <w:spacing w:line="360" w:lineRule="auto"/>
        <w:rPr>
          <w:rFonts w:ascii="Arial" w:hAnsi="Arial" w:cs="Arial"/>
          <w:sz w:val="22"/>
          <w:szCs w:val="22"/>
          <w:lang w:val="en-US"/>
        </w:rPr>
      </w:pPr>
    </w:p>
    <w:p w14:paraId="1040CEA1" w14:textId="77777777" w:rsidR="00BD552A" w:rsidRDefault="00BD552A" w:rsidP="00BD552A">
      <w:pPr>
        <w:pStyle w:val="NormalWeb"/>
        <w:spacing w:line="360" w:lineRule="auto"/>
        <w:rPr>
          <w:rFonts w:ascii="Arial" w:hAnsi="Arial" w:cs="Arial"/>
          <w:sz w:val="22"/>
          <w:szCs w:val="22"/>
          <w:lang w:val="en-US"/>
        </w:rPr>
      </w:pPr>
    </w:p>
    <w:p w14:paraId="3F011631" w14:textId="77777777" w:rsidR="00BD552A" w:rsidRDefault="00BD552A" w:rsidP="00BD552A">
      <w:pPr>
        <w:pStyle w:val="NormalWeb"/>
        <w:spacing w:line="360" w:lineRule="auto"/>
        <w:rPr>
          <w:rFonts w:ascii="Arial" w:hAnsi="Arial" w:cs="Arial"/>
          <w:sz w:val="22"/>
          <w:szCs w:val="22"/>
          <w:lang w:val="en-US"/>
        </w:rPr>
      </w:pPr>
    </w:p>
    <w:p w14:paraId="60110778" w14:textId="77777777" w:rsidR="00C80041" w:rsidRDefault="00C80041" w:rsidP="00FD6864">
      <w:pPr>
        <w:pStyle w:val="NormalWeb"/>
        <w:spacing w:line="480" w:lineRule="auto"/>
      </w:pPr>
      <w:r>
        <w:lastRenderedPageBreak/>
        <w:t>A Brief History, Use and Recommendations of the Social Model of Disability for Person-Centred Health and Social Care.</w:t>
      </w:r>
    </w:p>
    <w:p w14:paraId="085878A3" w14:textId="77777777" w:rsidR="00C80041" w:rsidRDefault="00C80041" w:rsidP="00FD6864">
      <w:pPr>
        <w:pStyle w:val="Heading1"/>
      </w:pPr>
      <w:bookmarkStart w:id="0" w:name="_Toc228874291"/>
      <w:r>
        <w:t>Introduction</w:t>
      </w:r>
      <w:bookmarkEnd w:id="0"/>
    </w:p>
    <w:p w14:paraId="4518CA39" w14:textId="04451FA0" w:rsidR="00C80041" w:rsidRDefault="003A21CC" w:rsidP="00FD6864">
      <w:pPr>
        <w:pStyle w:val="NormalWeb"/>
        <w:spacing w:line="480" w:lineRule="auto"/>
      </w:pPr>
      <w:r>
        <w:t>The Social Model of Disability is increasingly used to underpin person-centred care (PCC) in health and social services. This perspective shifts the focus from individual medical impairments and disability to disability caused by societal, environmental, attitudinal and organisational barriers that affect participation and inclusion (UPIAS, 1976; Oliver, 1983, 1990). It is strongly aligned with PCC by placing the person using health and social care services at the centre of care as the expert in their life and by engaging in care based on their values, preferences, needs, beliefs and circumstances, rather than task-led, routine or medically centred approaches. PCC includes treating people with respect, dignity and compassion; respecting their autonomy; and involving them in a collaborative and meaningful way in their care (Department of Health and Social Care, 2022; NHS England, 2023).</w:t>
      </w:r>
    </w:p>
    <w:p w14:paraId="6312D1B5" w14:textId="67067D51" w:rsidR="00C80041" w:rsidRDefault="003A21CC" w:rsidP="00FD6864">
      <w:pPr>
        <w:pStyle w:val="NormalWeb"/>
        <w:spacing w:line="480" w:lineRule="auto"/>
      </w:pPr>
      <w:r>
        <w:t>This concept is central to contemporary health and social care practice in the UK. It meets the legal requirements of the Care Act 2014 and the Equality Act 2010 (reasonable adjustments), reduces health inequalities across a diverse population, and supports high-quality care through reflective practice and CPD. It's particularly important for those with chronic diseases of the integumentary, endocrine, cardiovascular and urinary systems. This essay outlines the rise of the social model of disability as a concept underpinning PCC; its application to health and social care; and recommendations for how it can be improved, based on UK laws, policies and evidence-based approaches.</w:t>
      </w:r>
    </w:p>
    <w:p w14:paraId="64040743" w14:textId="77777777" w:rsidR="00C80041" w:rsidRDefault="00C80041" w:rsidP="00FD6864">
      <w:pPr>
        <w:pStyle w:val="Heading1"/>
      </w:pPr>
      <w:bookmarkStart w:id="1" w:name="_Toc228874292"/>
      <w:r>
        <w:lastRenderedPageBreak/>
        <w:t>The Chosen Concept Development.</w:t>
      </w:r>
      <w:bookmarkEnd w:id="1"/>
    </w:p>
    <w:p w14:paraId="09976E82" w14:textId="07FAFFBA" w:rsidR="00C80041" w:rsidRDefault="003A21CC" w:rsidP="00FD6864">
      <w:pPr>
        <w:pStyle w:val="NormalWeb"/>
        <w:spacing w:line="480" w:lineRule="auto"/>
      </w:pPr>
      <w:r>
        <w:t>The Social Model of Disability was developed in the 1970s by the disabled people's movement. This included the Union of the Physically Impaired Against Segregation's (UPIAS, 1976) publication of the Fundamental Principles of Disability, which stated that "we firmly believe that it is society which disables physically impaired people." This drew an important distinction between impairment (the predispositions of bodily difference or loss of function) and disability (the social disadvantages and segregation resulting from barriers in society).</w:t>
      </w:r>
    </w:p>
    <w:p w14:paraId="11772A8D" w14:textId="5A430491" w:rsidR="00C80041" w:rsidRDefault="003A21CC" w:rsidP="00FD6864">
      <w:pPr>
        <w:pStyle w:val="NormalWeb"/>
        <w:spacing w:line="480" w:lineRule="auto"/>
      </w:pPr>
      <w:r>
        <w:t>The social model was developed and popularised by disabled activist sociologist Mike Oliver in the 1980s and 90s, notably in his book The Politics of Disablement (1990). He contrasted it with the (individual) medical model, in which impairment is regarded as an "individual tragedy" and the goal is to "cure" or rehabilitate the person. According to the social model, disability is a form of social oppression and requires the removal of barriers to independent living and social inclusion.</w:t>
      </w:r>
    </w:p>
    <w:p w14:paraId="23A814FA" w14:textId="07684C7A" w:rsidR="00C80041" w:rsidRDefault="002330EE" w:rsidP="00FD6864">
      <w:pPr>
        <w:pStyle w:val="NormalWeb"/>
        <w:spacing w:line="480" w:lineRule="auto"/>
      </w:pPr>
      <w:r>
        <w:t>The idea underpins person-centred care, emphasising the humanity of the experience and moving away from medical paternalism. It has influenced policy development in the UK, including the NHS Plan (2000), Our Health, Our Care, Our Say (Department of Health, 2006), and the Care Act 2014, all of which prioritise personalisation, personal well-being, and co-design. It also overlaps with humanistic psychology, notably Carl Rogers' emphasis on person-centredness (1951), and with modern approaches, such as McCormack and McCance's Person-Centred Nursing Framework (2021) and the Comprehensive Model of Personalised Care of NHS England (2019, updated 2023).</w:t>
      </w:r>
    </w:p>
    <w:p w14:paraId="023985AE" w14:textId="207DDAFE" w:rsidR="00C80041" w:rsidRDefault="002330EE" w:rsidP="00FD6864">
      <w:pPr>
        <w:pStyle w:val="NormalWeb"/>
        <w:spacing w:line="480" w:lineRule="auto"/>
      </w:pPr>
      <w:r>
        <w:t xml:space="preserve">Critiques of the social model include claims that it minimises the effects of impairment, pain and embodiment (Shakespeare, 2006; Terzi, 2004), and that it initially focused on physical </w:t>
      </w:r>
      <w:r>
        <w:lastRenderedPageBreak/>
        <w:t>impairment, potentially overlooking intersectional experiences of race, class, gender and other social injustices (Crenshaw, 1989; Morris). Some have found it difficult to institutionalise given insufficient resources and support. In turn, some see benefits for empowerment, activism or change, while others utilise more complex models (biopsychosocial models) and intersectionality. It is also embedded in the Health and Care Act 2022 through integrated care systems that promote partnerships and co-ordination.</w:t>
      </w:r>
    </w:p>
    <w:p w14:paraId="73CA02EE" w14:textId="77777777" w:rsidR="00C80041" w:rsidRDefault="00C80041" w:rsidP="00FD6864">
      <w:pPr>
        <w:pStyle w:val="Heading1"/>
      </w:pPr>
      <w:bookmarkStart w:id="2" w:name="_Toc228874293"/>
      <w:r>
        <w:t>Practice of the Concept.</w:t>
      </w:r>
      <w:bookmarkEnd w:id="2"/>
      <w:r>
        <w:t xml:space="preserve">  </w:t>
      </w:r>
    </w:p>
    <w:p w14:paraId="27DF5070" w14:textId="45A96F69" w:rsidR="00C80041" w:rsidRDefault="003A21CC" w:rsidP="00FD6864">
      <w:pPr>
        <w:pStyle w:val="NormalWeb"/>
        <w:spacing w:line="480" w:lineRule="auto"/>
      </w:pPr>
      <w:r>
        <w:t>Practical person-centred practice based on the Social Model of Disability involves recognising and removing disabling factors; holistic assessment; co-constructing person-centred care plans; collective decision-making; reasonable adjustments; and reflective practice. This shifts the focus from an individual's impairment or deficit to the removal of physical, attitudinal, organisational and environmental barriers that prevent full participation and independence. This is vital when collaborating with those living with a range of chronic health issues across different body systems, as covered in physiology modules.</w:t>
      </w:r>
    </w:p>
    <w:p w14:paraId="3D1D995A" w14:textId="77777777" w:rsidR="00C80041" w:rsidRDefault="00C80041" w:rsidP="00FD6864">
      <w:pPr>
        <w:pStyle w:val="NormalWeb"/>
        <w:spacing w:line="480" w:lineRule="auto"/>
      </w:pPr>
    </w:p>
    <w:p w14:paraId="3390E22B" w14:textId="5A5E681C" w:rsidR="00C80041" w:rsidRDefault="003A21CC" w:rsidP="00FD6864">
      <w:pPr>
        <w:pStyle w:val="NormalWeb"/>
        <w:spacing w:line="480" w:lineRule="auto"/>
      </w:pPr>
      <w:r>
        <w:t xml:space="preserve">For instance, consider a care home resident with type 2 diabetes (a dysfunction of the endocrine system) and pressure ulcers (a dysfunction of the integumentary system). The Social Model approach prioritises shifting the understanding of the person away from a focus on impairment and pathology characterised by their disease, especially as related to their perceived capacity. The emphasis is instead on identifying and eliminating disabling factors, such as inaccessible facilities, rigid organisational protocols, attitudes that limit perceptions of an individual's capacity and compliance, the lack of culturally safe food choices, appropriate communication strategies, or, in this case, a lack of time for skin monitoring and treatment. Care plans, co-produced (where possible) and reviewed for optimal capacity, </w:t>
      </w:r>
      <w:r>
        <w:lastRenderedPageBreak/>
        <w:t>include safe medication use, emollients and topical therapies, dressings, future risk mitigation, and environmental adjustment (NHS, 2022). Similarly, for people living with heart disease or urinary tract infections (UTIs), the Social Model involves removing barriers to participating in self-care and developing personalised training in monitoring fluid balance, managing lifestyle factors, and social prescribing to reduce social isolation and enable wellbeing.</w:t>
      </w:r>
    </w:p>
    <w:p w14:paraId="5841689B" w14:textId="77777777" w:rsidR="00C80041" w:rsidRDefault="00C80041" w:rsidP="00FD6864">
      <w:pPr>
        <w:pStyle w:val="NormalWeb"/>
        <w:spacing w:line="480" w:lineRule="auto"/>
      </w:pPr>
    </w:p>
    <w:p w14:paraId="6056EC1B" w14:textId="5479EB55" w:rsidR="00C80041" w:rsidRDefault="003A21CC" w:rsidP="00FD6864">
      <w:pPr>
        <w:pStyle w:val="NormalWeb"/>
        <w:spacing w:line="480" w:lineRule="auto"/>
      </w:pPr>
      <w:r>
        <w:t>This holistic approach exemplifies the 'professional duty of care'. It promotes safeguarding, confidentiality and practice within its competence, and helps build cultural competence to eliminate health disparities and access inequalities often faced by Black, Asian and Minority Ethnic (BAME) communities (NHS Race and Health Observatory, 2023). Reflection, as practised according to Gibbs's (1988) reflective cycle, is central to the development of practice. For example, a practitioner could reflect on a complaint about an unexpected hospital discharge (e.g. Munira and Russell's case) to identify barriers to processes and communication and to determine how to prevent them in the future. Continuing professional development (CPD) also helps increase awareness of barriers and supports person-centred care.</w:t>
      </w:r>
    </w:p>
    <w:p w14:paraId="01ACB3EF" w14:textId="77777777" w:rsidR="00C80041" w:rsidRDefault="00C80041" w:rsidP="00FD6864">
      <w:pPr>
        <w:pStyle w:val="NormalWeb"/>
        <w:spacing w:line="480" w:lineRule="auto"/>
      </w:pPr>
    </w:p>
    <w:p w14:paraId="597F8F6B" w14:textId="55A1484A" w:rsidR="00C80041" w:rsidRDefault="003A21CC" w:rsidP="00FD6864">
      <w:pPr>
        <w:pStyle w:val="NormalWeb"/>
        <w:spacing w:line="480" w:lineRule="auto"/>
      </w:pPr>
      <w:r>
        <w:t xml:space="preserve">Barrier-based practice faces several obstacles. Lack of time, staffing, workload, training (or inconsistent training), digital literacy or exclusion, and a lack of organisational commitment to barrier minimisation hinder successful implementation. There remains variable quality of care, as identified in CQC reports (2024/25), especially for people with dementia and in end-of-life care. Intersectionality (Crenshaw, 1989) further complicates the process, as individuals </w:t>
      </w:r>
      <w:r>
        <w:lastRenderedPageBreak/>
        <w:t>may experience several simultaneous forms of disadvantage (race, gender, disability and socio-economic). Yet there are many benefits of the Social Model and person-centred care (PC) in practice, including better compliance, mental health and well-being, fewer complications, and reduced utilisation of acute health services. Recommendations for Policy and Practice</w:t>
      </w:r>
    </w:p>
    <w:p w14:paraId="0DADF38A" w14:textId="3C75AC53" w:rsidR="00C80041" w:rsidRPr="002330EE" w:rsidRDefault="002330EE" w:rsidP="00FD6864">
      <w:pPr>
        <w:pStyle w:val="NormalWeb"/>
        <w:spacing w:line="480" w:lineRule="auto"/>
        <w:rPr>
          <w:color w:val="002060"/>
        </w:rPr>
      </w:pPr>
      <w:r w:rsidRPr="002330EE">
        <w:rPr>
          <w:color w:val="002060"/>
        </w:rPr>
        <w:t xml:space="preserve">The </w:t>
      </w:r>
      <w:r w:rsidRPr="002330EE">
        <w:rPr>
          <w:color w:val="002060"/>
          <w:sz w:val="28"/>
          <w:szCs w:val="28"/>
        </w:rPr>
        <w:t>following</w:t>
      </w:r>
      <w:r w:rsidRPr="002330EE">
        <w:rPr>
          <w:color w:val="002060"/>
        </w:rPr>
        <w:t xml:space="preserve"> evidence-based recommendations aim to enhance person-centred care, based on the Social Model of Disability:</w:t>
      </w:r>
      <w:r w:rsidR="003A21CC" w:rsidRPr="002330EE">
        <w:rPr>
          <w:color w:val="002060"/>
        </w:rPr>
        <w:t>y:</w:t>
      </w:r>
    </w:p>
    <w:p w14:paraId="65649C51" w14:textId="01A842A3" w:rsidR="00C80041" w:rsidRDefault="003A21CC" w:rsidP="00FD6864">
      <w:pPr>
        <w:pStyle w:val="NormalWeb"/>
        <w:numPr>
          <w:ilvl w:val="0"/>
          <w:numId w:val="5"/>
        </w:numPr>
        <w:spacing w:line="480" w:lineRule="auto"/>
        <w:ind w:left="357" w:firstLine="0"/>
        <w:jc w:val="both"/>
      </w:pPr>
      <w:r>
        <w:t>Compellable Social Model and PCC CPD: Annual continuing professional development (CPD) training using the Skills for Health Person-Centred Approaches Framework (PCAF) on the Social Model, barriers, reasonable adjustments, Gibbs' reflective cycle, simulation with people with long-term conditions (such as diabetes, pressure ulcers, cardiovascular and urinary issues), diversity, intersections and other characteristics. Our nation needs funded, protected learning time to enable all health and social care staff to learn and begin practice.</w:t>
      </w:r>
    </w:p>
    <w:p w14:paraId="5FCDCF8D" w14:textId="2ECA2FEC" w:rsidR="00C80041" w:rsidRDefault="003A21CC" w:rsidP="00FD6864">
      <w:pPr>
        <w:pStyle w:val="NormalWeb"/>
        <w:numPr>
          <w:ilvl w:val="0"/>
          <w:numId w:val="5"/>
        </w:numPr>
        <w:spacing w:line="480" w:lineRule="auto"/>
        <w:ind w:left="357" w:firstLine="0"/>
        <w:jc w:val="both"/>
      </w:pPr>
      <w:r>
        <w:t>Improve Integrated Care Services (ICSs): as identified in the Health and Care Act 2022, require co-production, equity audits, cultural competency, interpreter services and anticipatory reasonable adjustments to remove societal and organisational barriers that create disability for people with impairments.</w:t>
      </w:r>
    </w:p>
    <w:p w14:paraId="75A04549" w14:textId="78B7C0CB" w:rsidR="00C80041" w:rsidRDefault="003A21CC" w:rsidP="00FD6864">
      <w:pPr>
        <w:pStyle w:val="NormalWeb"/>
        <w:numPr>
          <w:ilvl w:val="0"/>
          <w:numId w:val="5"/>
        </w:numPr>
        <w:spacing w:line="480" w:lineRule="auto"/>
        <w:ind w:left="357" w:firstLine="0"/>
        <w:jc w:val="both"/>
      </w:pPr>
      <w:r>
        <w:t>Develop a digital ecosystem: Safe, multilingual digital technologies and systems for individual health and social care planning should be designed with training and offline backup to reduce digital disability and to support physical changes to buildings and the built environment to increase accessibility, mobility and independent living.</w:t>
      </w:r>
    </w:p>
    <w:p w14:paraId="208F0565" w14:textId="18115FCE" w:rsidR="00C80041" w:rsidRDefault="00C80041" w:rsidP="00FD6864">
      <w:pPr>
        <w:pStyle w:val="NormalWeb"/>
        <w:spacing w:line="480" w:lineRule="auto"/>
      </w:pPr>
      <w:r>
        <w:rPr>
          <w:lang w:val="en-US"/>
        </w:rPr>
        <w:t xml:space="preserve">4. </w:t>
      </w:r>
      <w:r w:rsidR="002330EE">
        <w:t xml:space="preserve">Better Multidisciplinary and Community Partnerships: Improve team meetings, which need to be multidisciplinary and focus on removing disabling barriers; and improve engagement </w:t>
      </w:r>
      <w:r w:rsidR="002330EE">
        <w:lastRenderedPageBreak/>
        <w:t>with organisations for people with disabilities and the third sector to enhance social prescribing and support.</w:t>
      </w:r>
    </w:p>
    <w:p w14:paraId="29CEC18B" w14:textId="6126A596" w:rsidR="00C80041" w:rsidRDefault="00C80041" w:rsidP="00FD6864">
      <w:pPr>
        <w:pStyle w:val="NormalWeb"/>
        <w:spacing w:line="480" w:lineRule="auto"/>
        <w:ind w:firstLine="720"/>
      </w:pPr>
      <w:r>
        <w:t xml:space="preserve">5. </w:t>
      </w:r>
      <w:r>
        <w:rPr>
          <w:lang w:val="en-US"/>
        </w:rPr>
        <w:t xml:space="preserve"> </w:t>
      </w:r>
      <w:r w:rsidR="003A21CC">
        <w:rPr>
          <w:rStyle w:val="Strong"/>
        </w:rPr>
        <w:t>Appropriate Accountability and Monitoring: We need clearer social models and PCC monitoring and inspection guidelines, with specific reference to marginalised social groups, and a strong focus on the duty of candour and the encouragement of whistleblowing to promote barrier removal.</w:t>
      </w:r>
    </w:p>
    <w:p w14:paraId="7BE3C0C4" w14:textId="7816A13B" w:rsidR="00C80041" w:rsidRDefault="002330EE" w:rsidP="00FD6864">
      <w:pPr>
        <w:pStyle w:val="NormalWeb"/>
        <w:spacing w:line="480" w:lineRule="auto"/>
      </w:pPr>
      <w:r>
        <w:t>These recommendations would empower service users, promote health equity, remove disabling barriers, prevent complications, and deliver longer-term benefits for individuals and across the entire health and social care system. By emphasising barrier removal alongside individualised care, they will help translate good intentions into good practice. There will be a short-term cost in building and developing these cultures, but the payoffs, including increased dignity and autonomy, reduced health inequalities, and greater staff engagement, will be enormous. Overall, more effective integration of the social model will lead to more equal, humane, and person-centred care in the UK.</w:t>
      </w:r>
    </w:p>
    <w:p w14:paraId="6B672626" w14:textId="77777777" w:rsidR="00C80041" w:rsidRDefault="00C80041" w:rsidP="00FD6864">
      <w:pPr>
        <w:pStyle w:val="Heading1"/>
        <w:rPr>
          <w:lang/>
        </w:rPr>
      </w:pPr>
      <w:bookmarkStart w:id="3" w:name="_Toc228874294"/>
      <w:r>
        <w:t>Conclusion</w:t>
      </w:r>
      <w:bookmarkEnd w:id="3"/>
    </w:p>
    <w:p w14:paraId="6F2F5EE3" w14:textId="43233BC4" w:rsidR="00C80041" w:rsidRDefault="002330EE" w:rsidP="00FD6864">
      <w:pPr>
        <w:pStyle w:val="NormalWeb"/>
        <w:spacing w:line="480" w:lineRule="auto"/>
      </w:pPr>
      <w:r>
        <w:t>Person-centred care has emerged from humanistic psychology to play an important role in UK health and social care policy and practice. The Social Model of Disability has emerged from 1970s protest movements to play a significant role in UK health and social care, particularly within person-centred care. This model reframes disability as a social rather than a physical construct. By shifting the focus from the individual to overcoming physical, attitudinal, organisational, and environmental barriers, it meets legal responsibilities for wellbeing and integration under the Care Act 2014 and the Equality Act 2010. It also strongly supports the development of person-centred care policies for people with chronic illnesses affecting the integumentary, endocrine, cardiovascular, and urinary systems.</w:t>
      </w:r>
    </w:p>
    <w:p w14:paraId="075817A4" w14:textId="16E429A1" w:rsidR="00C80041" w:rsidRDefault="002330EE" w:rsidP="00FD6864">
      <w:pPr>
        <w:pStyle w:val="NormalWeb"/>
        <w:spacing w:line="480" w:lineRule="auto"/>
      </w:pPr>
      <w:r>
        <w:lastRenderedPageBreak/>
        <w:t>Despite barriers such as funding constraints, lack of implementation, workforce shortages and health and social care inequalities, the benefits are clear. When implemented well, the social model improves medication and treatment adherence, quality of life, patient independence and use of acute health care services.</w:t>
      </w:r>
    </w:p>
    <w:p w14:paraId="598F94B7" w14:textId="41304989" w:rsidR="00C80041" w:rsidRDefault="002330EE" w:rsidP="00FD6864">
      <w:pPr>
        <w:pStyle w:val="NormalWeb"/>
        <w:spacing w:line="480" w:lineRule="auto"/>
      </w:pPr>
      <w:r>
        <w:t>With the proposed CPD, integration, accessibility, collaboration and accountability enhancements, health and social care systems can provide more equitable, high-quality and compassionate person-centred care. Finally, the social model promotes dignity, independence and the "professional conscience" of those in the profession, leading to a more compassionate, equitable and successful health and social care environment.</w:t>
      </w:r>
    </w:p>
    <w:p w14:paraId="6CF2B865" w14:textId="738E5A8D" w:rsidR="00917145" w:rsidRDefault="00917145">
      <w:pPr>
        <w:spacing w:line="259" w:lineRule="auto"/>
        <w:rPr>
          <w:rFonts w:eastAsia="Times New Roman" w:cs="Times New Roman"/>
          <w:szCs w:val="24"/>
          <w:lang/>
        </w:rPr>
      </w:pPr>
      <w:r>
        <w:br w:type="page"/>
      </w:r>
    </w:p>
    <w:p w14:paraId="3734B9F3" w14:textId="77777777" w:rsidR="00917145" w:rsidRDefault="00917145" w:rsidP="00FD6864">
      <w:pPr>
        <w:pStyle w:val="NormalWeb"/>
        <w:spacing w:line="480" w:lineRule="auto"/>
      </w:pPr>
    </w:p>
    <w:p w14:paraId="74491BC6" w14:textId="77777777" w:rsidR="00C80041" w:rsidRDefault="00C80041" w:rsidP="00FD6864">
      <w:pPr>
        <w:pStyle w:val="Heading1"/>
      </w:pPr>
      <w:bookmarkStart w:id="4" w:name="_Toc228874295"/>
      <w:r>
        <w:rPr>
          <w:rStyle w:val="Strong"/>
        </w:rPr>
        <w:t>References</w:t>
      </w:r>
      <w:bookmarkEnd w:id="4"/>
    </w:p>
    <w:p w14:paraId="33BB7F54" w14:textId="77777777" w:rsidR="00C80041" w:rsidRDefault="00C80041" w:rsidP="00FD6864">
      <w:pPr>
        <w:pStyle w:val="NormalWeb"/>
        <w:spacing w:line="480" w:lineRule="auto"/>
      </w:pPr>
      <w:r>
        <w:t xml:space="preserve">Care Quality Commission (2015) The state of health care and adult social care in England, 2014/15. Available at: </w:t>
      </w:r>
      <w:hyperlink r:id="rId10" w:tgtFrame="_blank" w:history="1">
        <w:r>
          <w:rPr>
            <w:rStyle w:val="Hyperlink"/>
          </w:rPr>
          <w:t>https://www.cqc.org.uk/publications/major-report/state-care</w:t>
        </w:r>
      </w:hyperlink>
      <w:r>
        <w:t>.</w:t>
      </w:r>
    </w:p>
    <w:p w14:paraId="3B1091DB" w14:textId="77777777" w:rsidR="00C80041" w:rsidRDefault="00C80041" w:rsidP="00FD6864">
      <w:pPr>
        <w:pStyle w:val="NormalWeb"/>
        <w:spacing w:line="480" w:lineRule="auto"/>
      </w:pPr>
      <w:r>
        <w:t>Crenshaw, K. (1989) 'Demarginalising the intersection of race and sex', University of Chicago Legal Forum, 1989(1), pp. 139–167.</w:t>
      </w:r>
    </w:p>
    <w:p w14:paraId="05B85E52" w14:textId="77777777" w:rsidR="00C80041" w:rsidRDefault="00C80041" w:rsidP="00FD6864">
      <w:pPr>
        <w:pStyle w:val="NormalWeb"/>
        <w:spacing w:line="480" w:lineRule="auto"/>
      </w:pPr>
      <w:r>
        <w:t>Department of Health (2006). Our health, our care, our say. London: Stationery Office.</w:t>
      </w:r>
    </w:p>
    <w:p w14:paraId="0D072883" w14:textId="77777777" w:rsidR="00C80041" w:rsidRDefault="00C80041" w:rsidP="00FD6864">
      <w:pPr>
        <w:pStyle w:val="NormalWeb"/>
        <w:spacing w:line="480" w:lineRule="auto"/>
      </w:pPr>
      <w:r>
        <w:t xml:space="preserve">Department of Health and Social Care (2022) Statutory guidance: Care and support. Available at: </w:t>
      </w:r>
      <w:hyperlink r:id="rId11" w:tgtFrame="_blank" w:history="1">
        <w:r>
          <w:rPr>
            <w:rStyle w:val="Hyperlink"/>
          </w:rPr>
          <w:t>https://www.gov.uk/government/publications/care-act-statutory-guidance</w:t>
        </w:r>
      </w:hyperlink>
      <w:r>
        <w:t>.</w:t>
      </w:r>
    </w:p>
    <w:p w14:paraId="66A9F052" w14:textId="77777777" w:rsidR="00C80041" w:rsidRDefault="00C80041" w:rsidP="00FD6864">
      <w:pPr>
        <w:pStyle w:val="NormalWeb"/>
        <w:spacing w:line="480" w:lineRule="auto"/>
      </w:pPr>
      <w:r>
        <w:t xml:space="preserve">Department of Health and Social Care (2022) Adult social care reform: white paper People at the heart of care. Available at: </w:t>
      </w:r>
      <w:hyperlink r:id="rId12" w:tgtFrame="_blank" w:history="1">
        <w:r>
          <w:rPr>
            <w:rStyle w:val="Hyperlink"/>
          </w:rPr>
          <w:t>https://www.gov.uk/government/publications/people-at-the-heart-of-care-adult-social-care-reform-white-paper</w:t>
        </w:r>
      </w:hyperlink>
      <w:r>
        <w:t>.</w:t>
      </w:r>
    </w:p>
    <w:p w14:paraId="2075659D" w14:textId="77777777" w:rsidR="00C80041" w:rsidRDefault="00C80041" w:rsidP="00FD6864">
      <w:pPr>
        <w:pStyle w:val="NormalWeb"/>
        <w:spacing w:line="480" w:lineRule="auto"/>
      </w:pPr>
      <w:r>
        <w:t>Gibbs, G. (1988) Learning by doing: a guide to teaching and learning methods. Oxford: Further Education Unit.</w:t>
      </w:r>
    </w:p>
    <w:p w14:paraId="52C7FA1F" w14:textId="77777777" w:rsidR="00C80041" w:rsidRDefault="00C80041" w:rsidP="00FD6864">
      <w:pPr>
        <w:pStyle w:val="NormalWeb"/>
        <w:spacing w:line="480" w:lineRule="auto"/>
      </w:pPr>
      <w:r>
        <w:t>McCormack, B. and McCance, T. (2021) Person-centred practice in nursing and health care: theory and practice. 2nd edn. Oxford: Wiley Blackwell.</w:t>
      </w:r>
    </w:p>
    <w:p w14:paraId="5CD3590B" w14:textId="77777777" w:rsidR="00C80041" w:rsidRDefault="00C80041" w:rsidP="00FD6864">
      <w:pPr>
        <w:pStyle w:val="NormalWeb"/>
        <w:spacing w:line="480" w:lineRule="auto"/>
      </w:pPr>
      <w:r>
        <w:t xml:space="preserve">NHS England (2023). In-depth personalised care model. Available at: </w:t>
      </w:r>
      <w:hyperlink r:id="rId13" w:tgtFrame="_blank" w:history="1">
        <w:r>
          <w:rPr>
            <w:rStyle w:val="Hyperlink"/>
          </w:rPr>
          <w:t>https://www.england.nhs.uk/personalisedcare/</w:t>
        </w:r>
      </w:hyperlink>
    </w:p>
    <w:p w14:paraId="330BD669" w14:textId="77777777" w:rsidR="00C80041" w:rsidRDefault="00C80041" w:rsidP="00FD6864">
      <w:pPr>
        <w:pStyle w:val="NormalWeb"/>
        <w:spacing w:line="480" w:lineRule="auto"/>
      </w:pPr>
      <w:r>
        <w:t>Oliver, M. (1990) Disablement: the politics of disablement. Basingstoke: Macmillan.</w:t>
      </w:r>
    </w:p>
    <w:p w14:paraId="682D44B2" w14:textId="77777777" w:rsidR="00C80041" w:rsidRDefault="00C80041" w:rsidP="00FD6864">
      <w:pPr>
        <w:pStyle w:val="NormalWeb"/>
        <w:spacing w:line="480" w:lineRule="auto"/>
      </w:pPr>
      <w:r>
        <w:t>Rogers, C. (1951). Client-centred therapy. Boston: Houghton Mifflin.</w:t>
      </w:r>
    </w:p>
    <w:p w14:paraId="2BB1569A" w14:textId="77777777" w:rsidR="00C80041" w:rsidRDefault="00C80041" w:rsidP="00FD6864">
      <w:pPr>
        <w:pStyle w:val="NormalWeb"/>
        <w:spacing w:line="480" w:lineRule="auto"/>
      </w:pPr>
      <w:r>
        <w:lastRenderedPageBreak/>
        <w:t xml:space="preserve">Skills for Health (2024). Person-centred approaches framework. Website: </w:t>
      </w:r>
      <w:hyperlink r:id="rId14" w:tgtFrame="_blank" w:history="1">
        <w:r>
          <w:rPr>
            <w:rStyle w:val="Hyperlink"/>
          </w:rPr>
          <w:t>https://www.skillsforhealth.org.uk</w:t>
        </w:r>
      </w:hyperlink>
    </w:p>
    <w:p w14:paraId="4D54280A" w14:textId="77777777" w:rsidR="00C80041" w:rsidRDefault="00C80041" w:rsidP="00FD6864">
      <w:pPr>
        <w:pStyle w:val="NormalWeb"/>
        <w:spacing w:line="480" w:lineRule="auto"/>
      </w:pPr>
      <w:r>
        <w:t>UPIAS (1976) Principles of disability. London: Union of the Physically Impaired Against Segregation.</w:t>
      </w:r>
    </w:p>
    <w:p w14:paraId="3F1FD9A8" w14:textId="21703C11" w:rsidR="004A5A64" w:rsidRPr="004A5A64" w:rsidRDefault="004A5A64" w:rsidP="00FD6864">
      <w:pPr>
        <w:spacing w:line="480" w:lineRule="auto"/>
        <w:rPr>
          <w:rFonts w:ascii="Arial" w:hAnsi="Arial" w:cs="Arial"/>
          <w:color w:val="00B0F0"/>
          <w:sz w:val="23"/>
          <w:szCs w:val="23"/>
        </w:rPr>
      </w:pPr>
    </w:p>
    <w:sectPr w:rsidR="004A5A64" w:rsidRPr="004A5A64">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A96BE" w14:textId="77777777" w:rsidR="006171A2" w:rsidRDefault="006171A2" w:rsidP="00032A5B">
      <w:pPr>
        <w:spacing w:after="0" w:line="240" w:lineRule="auto"/>
      </w:pPr>
      <w:r>
        <w:separator/>
      </w:r>
    </w:p>
  </w:endnote>
  <w:endnote w:type="continuationSeparator" w:id="0">
    <w:p w14:paraId="6C4B9E25" w14:textId="77777777" w:rsidR="006171A2" w:rsidRDefault="006171A2"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B8F91" w14:textId="77777777" w:rsidR="006171A2" w:rsidRDefault="006171A2" w:rsidP="00032A5B">
      <w:pPr>
        <w:spacing w:after="0" w:line="240" w:lineRule="auto"/>
      </w:pPr>
      <w:r>
        <w:separator/>
      </w:r>
    </w:p>
  </w:footnote>
  <w:footnote w:type="continuationSeparator" w:id="0">
    <w:p w14:paraId="1948BF87" w14:textId="77777777" w:rsidR="006171A2" w:rsidRDefault="006171A2" w:rsidP="00032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5308968"/>
      <w:docPartObj>
        <w:docPartGallery w:val="Page Numbers (Top of Page)"/>
        <w:docPartUnique/>
      </w:docPartObj>
    </w:sdtPr>
    <w:sdtEndPr>
      <w:rPr>
        <w:noProof/>
      </w:rPr>
    </w:sdtEndPr>
    <w:sdtContent>
      <w:p w14:paraId="3C258DF8" w14:textId="1008FB7D" w:rsidR="00BD552A" w:rsidRDefault="00BD552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880E33B" w14:textId="77777777" w:rsidR="00BD552A" w:rsidRDefault="00BD55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FD2C3F"/>
    <w:multiLevelType w:val="hybridMultilevel"/>
    <w:tmpl w:val="38DCDCF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302582607">
    <w:abstractNumId w:val="3"/>
  </w:num>
  <w:num w:numId="2" w16cid:durableId="1557279345">
    <w:abstractNumId w:val="1"/>
  </w:num>
  <w:num w:numId="3" w16cid:durableId="1239050483">
    <w:abstractNumId w:val="0"/>
  </w:num>
  <w:num w:numId="4" w16cid:durableId="469786310">
    <w:abstractNumId w:val="2"/>
  </w:num>
  <w:num w:numId="5" w16cid:durableId="10337696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32A5B"/>
    <w:rsid w:val="001333C2"/>
    <w:rsid w:val="002330EE"/>
    <w:rsid w:val="00317E3D"/>
    <w:rsid w:val="00321CFE"/>
    <w:rsid w:val="0032791E"/>
    <w:rsid w:val="003A21CC"/>
    <w:rsid w:val="003E4ED4"/>
    <w:rsid w:val="004A5A64"/>
    <w:rsid w:val="00510487"/>
    <w:rsid w:val="0058218C"/>
    <w:rsid w:val="006171A2"/>
    <w:rsid w:val="006524ED"/>
    <w:rsid w:val="006A3E63"/>
    <w:rsid w:val="006D2F2D"/>
    <w:rsid w:val="006E1FF9"/>
    <w:rsid w:val="00785886"/>
    <w:rsid w:val="007F3A6A"/>
    <w:rsid w:val="00886D06"/>
    <w:rsid w:val="009130F8"/>
    <w:rsid w:val="00917145"/>
    <w:rsid w:val="009E71F3"/>
    <w:rsid w:val="00A14675"/>
    <w:rsid w:val="00AC0E17"/>
    <w:rsid w:val="00BC79FE"/>
    <w:rsid w:val="00BD552A"/>
    <w:rsid w:val="00C558B0"/>
    <w:rsid w:val="00C80041"/>
    <w:rsid w:val="00D545BA"/>
    <w:rsid w:val="00E81204"/>
    <w:rsid w:val="00E9668F"/>
    <w:rsid w:val="00F81510"/>
    <w:rsid w:val="00FA1054"/>
    <w:rsid w:val="00FA2DAE"/>
    <w:rsid w:val="00FA6248"/>
    <w:rsid w:val="00FD68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FD68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paragraph" w:styleId="NormalWeb">
    <w:name w:val="Normal (Web)"/>
    <w:basedOn w:val="Normal"/>
    <w:uiPriority w:val="99"/>
    <w:unhideWhenUsed/>
    <w:rsid w:val="00BD552A"/>
    <w:pPr>
      <w:spacing w:before="100" w:beforeAutospacing="1" w:after="100" w:afterAutospacing="1" w:line="240" w:lineRule="auto"/>
    </w:pPr>
    <w:rPr>
      <w:rFonts w:eastAsia="Times New Roman" w:cs="Times New Roman"/>
      <w:szCs w:val="24"/>
      <w:lang/>
    </w:rPr>
  </w:style>
  <w:style w:type="character" w:styleId="Hyperlink">
    <w:name w:val="Hyperlink"/>
    <w:basedOn w:val="DefaultParagraphFont"/>
    <w:uiPriority w:val="99"/>
    <w:unhideWhenUsed/>
    <w:rsid w:val="00BD552A"/>
    <w:rPr>
      <w:color w:val="0000FF"/>
      <w:u w:val="single"/>
    </w:rPr>
  </w:style>
  <w:style w:type="character" w:customStyle="1" w:styleId="flex-1">
    <w:name w:val="flex-1"/>
    <w:basedOn w:val="DefaultParagraphFont"/>
    <w:rsid w:val="00BD552A"/>
  </w:style>
  <w:style w:type="character" w:customStyle="1" w:styleId="font-sans">
    <w:name w:val="font-sans"/>
    <w:basedOn w:val="DefaultParagraphFont"/>
    <w:rsid w:val="00BD552A"/>
  </w:style>
  <w:style w:type="character" w:styleId="Strong">
    <w:name w:val="Strong"/>
    <w:basedOn w:val="DefaultParagraphFont"/>
    <w:uiPriority w:val="22"/>
    <w:qFormat/>
    <w:rsid w:val="00C80041"/>
    <w:rPr>
      <w:b/>
      <w:bCs/>
    </w:rPr>
  </w:style>
  <w:style w:type="character" w:customStyle="1" w:styleId="Heading1Char">
    <w:name w:val="Heading 1 Char"/>
    <w:basedOn w:val="DefaultParagraphFont"/>
    <w:link w:val="Heading1"/>
    <w:uiPriority w:val="9"/>
    <w:rsid w:val="00FD686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D6864"/>
    <w:pPr>
      <w:spacing w:line="259" w:lineRule="auto"/>
      <w:outlineLvl w:val="9"/>
    </w:pPr>
    <w:rPr>
      <w:lang w:val="en-US"/>
    </w:rPr>
  </w:style>
  <w:style w:type="paragraph" w:styleId="TOC1">
    <w:name w:val="toc 1"/>
    <w:basedOn w:val="Normal"/>
    <w:next w:val="Normal"/>
    <w:autoRedefine/>
    <w:uiPriority w:val="39"/>
    <w:unhideWhenUsed/>
    <w:rsid w:val="00FD6864"/>
    <w:pPr>
      <w:spacing w:after="100"/>
    </w:pPr>
  </w:style>
  <w:style w:type="paragraph" w:styleId="TOC2">
    <w:name w:val="toc 2"/>
    <w:basedOn w:val="Normal"/>
    <w:next w:val="Normal"/>
    <w:autoRedefine/>
    <w:uiPriority w:val="39"/>
    <w:unhideWhenUsed/>
    <w:rsid w:val="009130F8"/>
    <w:pPr>
      <w:spacing w:after="100" w:line="259" w:lineRule="auto"/>
      <w:ind w:left="220"/>
    </w:pPr>
    <w:rPr>
      <w:rFonts w:asciiTheme="minorHAnsi" w:eastAsiaTheme="minorEastAsia" w:hAnsiTheme="minorHAnsi" w:cs="Times New Roman"/>
      <w:sz w:val="22"/>
      <w:lang w:eastAsia="en-GB"/>
    </w:rPr>
  </w:style>
  <w:style w:type="paragraph" w:styleId="TOC3">
    <w:name w:val="toc 3"/>
    <w:basedOn w:val="Normal"/>
    <w:next w:val="Normal"/>
    <w:autoRedefine/>
    <w:uiPriority w:val="39"/>
    <w:unhideWhenUsed/>
    <w:rsid w:val="009130F8"/>
    <w:pPr>
      <w:spacing w:after="100" w:line="259" w:lineRule="auto"/>
      <w:ind w:left="440"/>
    </w:pPr>
    <w:rPr>
      <w:rFonts w:asciiTheme="minorHAnsi" w:eastAsiaTheme="minorEastAsia" w:hAnsiTheme="minorHAnsi" w:cs="Times New Roman"/>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1356991">
      <w:bodyDiv w:val="1"/>
      <w:marLeft w:val="0"/>
      <w:marRight w:val="0"/>
      <w:marTop w:val="0"/>
      <w:marBottom w:val="0"/>
      <w:divBdr>
        <w:top w:val="none" w:sz="0" w:space="0" w:color="auto"/>
        <w:left w:val="none" w:sz="0" w:space="0" w:color="auto"/>
        <w:bottom w:val="none" w:sz="0" w:space="0" w:color="auto"/>
        <w:right w:val="none" w:sz="0" w:space="0" w:color="auto"/>
      </w:divBdr>
    </w:div>
    <w:div w:id="1675691629">
      <w:bodyDiv w:val="1"/>
      <w:marLeft w:val="0"/>
      <w:marRight w:val="0"/>
      <w:marTop w:val="0"/>
      <w:marBottom w:val="0"/>
      <w:divBdr>
        <w:top w:val="none" w:sz="0" w:space="0" w:color="auto"/>
        <w:left w:val="none" w:sz="0" w:space="0" w:color="auto"/>
        <w:bottom w:val="none" w:sz="0" w:space="0" w:color="auto"/>
        <w:right w:val="none" w:sz="0" w:space="0" w:color="auto"/>
      </w:divBdr>
    </w:div>
    <w:div w:id="1684866886">
      <w:bodyDiv w:val="1"/>
      <w:marLeft w:val="0"/>
      <w:marRight w:val="0"/>
      <w:marTop w:val="0"/>
      <w:marBottom w:val="0"/>
      <w:divBdr>
        <w:top w:val="none" w:sz="0" w:space="0" w:color="auto"/>
        <w:left w:val="none" w:sz="0" w:space="0" w:color="auto"/>
        <w:bottom w:val="none" w:sz="0" w:space="0" w:color="auto"/>
        <w:right w:val="none" w:sz="0" w:space="0" w:color="auto"/>
      </w:divBdr>
      <w:divsChild>
        <w:div w:id="473640161">
          <w:marLeft w:val="0"/>
          <w:marRight w:val="0"/>
          <w:marTop w:val="0"/>
          <w:marBottom w:val="0"/>
          <w:divBdr>
            <w:top w:val="none" w:sz="0" w:space="0" w:color="auto"/>
            <w:left w:val="none" w:sz="0" w:space="0" w:color="auto"/>
            <w:bottom w:val="none" w:sz="0" w:space="0" w:color="auto"/>
            <w:right w:val="none" w:sz="0" w:space="0" w:color="auto"/>
          </w:divBdr>
          <w:divsChild>
            <w:div w:id="671185195">
              <w:marLeft w:val="0"/>
              <w:marRight w:val="0"/>
              <w:marTop w:val="0"/>
              <w:marBottom w:val="0"/>
              <w:divBdr>
                <w:top w:val="none" w:sz="0" w:space="0" w:color="auto"/>
                <w:left w:val="none" w:sz="0" w:space="0" w:color="auto"/>
                <w:bottom w:val="none" w:sz="0" w:space="0" w:color="auto"/>
                <w:right w:val="none" w:sz="0" w:space="0" w:color="auto"/>
              </w:divBdr>
            </w:div>
          </w:divsChild>
        </w:div>
        <w:div w:id="779451795">
          <w:marLeft w:val="0"/>
          <w:marRight w:val="0"/>
          <w:marTop w:val="0"/>
          <w:marBottom w:val="0"/>
          <w:divBdr>
            <w:top w:val="none" w:sz="0" w:space="0" w:color="auto"/>
            <w:left w:val="none" w:sz="0" w:space="0" w:color="auto"/>
            <w:bottom w:val="none" w:sz="0" w:space="0" w:color="auto"/>
            <w:right w:val="none" w:sz="0" w:space="0" w:color="auto"/>
          </w:divBdr>
          <w:divsChild>
            <w:div w:id="1191912882">
              <w:marLeft w:val="0"/>
              <w:marRight w:val="0"/>
              <w:marTop w:val="0"/>
              <w:marBottom w:val="0"/>
              <w:divBdr>
                <w:top w:val="none" w:sz="0" w:space="0" w:color="auto"/>
                <w:left w:val="none" w:sz="0" w:space="0" w:color="auto"/>
                <w:bottom w:val="none" w:sz="0" w:space="0" w:color="auto"/>
                <w:right w:val="none" w:sz="0" w:space="0" w:color="auto"/>
              </w:divBdr>
            </w:div>
          </w:divsChild>
        </w:div>
        <w:div w:id="127556970">
          <w:marLeft w:val="0"/>
          <w:marRight w:val="0"/>
          <w:marTop w:val="0"/>
          <w:marBottom w:val="0"/>
          <w:divBdr>
            <w:top w:val="none" w:sz="0" w:space="0" w:color="auto"/>
            <w:left w:val="none" w:sz="0" w:space="0" w:color="auto"/>
            <w:bottom w:val="none" w:sz="0" w:space="0" w:color="auto"/>
            <w:right w:val="none" w:sz="0" w:space="0" w:color="auto"/>
          </w:divBdr>
          <w:divsChild>
            <w:div w:id="726883111">
              <w:marLeft w:val="0"/>
              <w:marRight w:val="0"/>
              <w:marTop w:val="0"/>
              <w:marBottom w:val="0"/>
              <w:divBdr>
                <w:top w:val="none" w:sz="0" w:space="0" w:color="auto"/>
                <w:left w:val="none" w:sz="0" w:space="0" w:color="auto"/>
                <w:bottom w:val="none" w:sz="0" w:space="0" w:color="auto"/>
                <w:right w:val="none" w:sz="0" w:space="0" w:color="auto"/>
              </w:divBdr>
            </w:div>
          </w:divsChild>
        </w:div>
        <w:div w:id="1507675635">
          <w:marLeft w:val="0"/>
          <w:marRight w:val="0"/>
          <w:marTop w:val="0"/>
          <w:marBottom w:val="0"/>
          <w:divBdr>
            <w:top w:val="none" w:sz="0" w:space="0" w:color="auto"/>
            <w:left w:val="none" w:sz="0" w:space="0" w:color="auto"/>
            <w:bottom w:val="none" w:sz="0" w:space="0" w:color="auto"/>
            <w:right w:val="none" w:sz="0" w:space="0" w:color="auto"/>
          </w:divBdr>
          <w:divsChild>
            <w:div w:id="1327130724">
              <w:marLeft w:val="0"/>
              <w:marRight w:val="0"/>
              <w:marTop w:val="0"/>
              <w:marBottom w:val="0"/>
              <w:divBdr>
                <w:top w:val="none" w:sz="0" w:space="0" w:color="auto"/>
                <w:left w:val="none" w:sz="0" w:space="0" w:color="auto"/>
                <w:bottom w:val="none" w:sz="0" w:space="0" w:color="auto"/>
                <w:right w:val="none" w:sz="0" w:space="0" w:color="auto"/>
              </w:divBdr>
            </w:div>
          </w:divsChild>
        </w:div>
        <w:div w:id="710156430">
          <w:marLeft w:val="0"/>
          <w:marRight w:val="0"/>
          <w:marTop w:val="0"/>
          <w:marBottom w:val="0"/>
          <w:divBdr>
            <w:top w:val="none" w:sz="0" w:space="0" w:color="auto"/>
            <w:left w:val="none" w:sz="0" w:space="0" w:color="auto"/>
            <w:bottom w:val="none" w:sz="0" w:space="0" w:color="auto"/>
            <w:right w:val="none" w:sz="0" w:space="0" w:color="auto"/>
          </w:divBdr>
          <w:divsChild>
            <w:div w:id="2107336469">
              <w:marLeft w:val="0"/>
              <w:marRight w:val="0"/>
              <w:marTop w:val="0"/>
              <w:marBottom w:val="0"/>
              <w:divBdr>
                <w:top w:val="none" w:sz="0" w:space="0" w:color="auto"/>
                <w:left w:val="none" w:sz="0" w:space="0" w:color="auto"/>
                <w:bottom w:val="none" w:sz="0" w:space="0" w:color="auto"/>
                <w:right w:val="none" w:sz="0" w:space="0" w:color="auto"/>
              </w:divBdr>
            </w:div>
          </w:divsChild>
        </w:div>
        <w:div w:id="851915522">
          <w:marLeft w:val="0"/>
          <w:marRight w:val="0"/>
          <w:marTop w:val="0"/>
          <w:marBottom w:val="0"/>
          <w:divBdr>
            <w:top w:val="none" w:sz="0" w:space="0" w:color="auto"/>
            <w:left w:val="none" w:sz="0" w:space="0" w:color="auto"/>
            <w:bottom w:val="none" w:sz="0" w:space="0" w:color="auto"/>
            <w:right w:val="none" w:sz="0" w:space="0" w:color="auto"/>
          </w:divBdr>
          <w:divsChild>
            <w:div w:id="1730348410">
              <w:marLeft w:val="0"/>
              <w:marRight w:val="0"/>
              <w:marTop w:val="0"/>
              <w:marBottom w:val="0"/>
              <w:divBdr>
                <w:top w:val="none" w:sz="0" w:space="0" w:color="auto"/>
                <w:left w:val="none" w:sz="0" w:space="0" w:color="auto"/>
                <w:bottom w:val="none" w:sz="0" w:space="0" w:color="auto"/>
                <w:right w:val="none" w:sz="0" w:space="0" w:color="auto"/>
              </w:divBdr>
            </w:div>
          </w:divsChild>
        </w:div>
        <w:div w:id="1872062881">
          <w:marLeft w:val="0"/>
          <w:marRight w:val="0"/>
          <w:marTop w:val="0"/>
          <w:marBottom w:val="0"/>
          <w:divBdr>
            <w:top w:val="none" w:sz="0" w:space="0" w:color="auto"/>
            <w:left w:val="none" w:sz="0" w:space="0" w:color="auto"/>
            <w:bottom w:val="none" w:sz="0" w:space="0" w:color="auto"/>
            <w:right w:val="none" w:sz="0" w:space="0" w:color="auto"/>
          </w:divBdr>
          <w:divsChild>
            <w:div w:id="158453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943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personalisedca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people-at-the-heart-of-care-adult-social-care-reform-white-pap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are-act-statutory-guidanc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qc.org.uk/publications/major-report/state-car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skillsforhealth.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BF35A8D-0F98-406F-A7AD-93B4CC059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2162</Words>
  <Characters>12324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Sely Sequeira</cp:lastModifiedBy>
  <cp:revision>3</cp:revision>
  <dcterms:created xsi:type="dcterms:W3CDTF">2026-04-28T14:50:00Z</dcterms:created>
  <dcterms:modified xsi:type="dcterms:W3CDTF">2026-05-05T11:05:00Z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c497287b-c28f-4de4-88f4-73e728f01614</vt:lpwstr>
  </property>
</Properties>
</file>