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103AF" w:rsidRDefault="00F635F6">
      <w:r>
        <w:t xml:space="preserve">Review of </w:t>
      </w:r>
    </w:p>
    <w:p w14:paraId="00000002" w14:textId="77777777" w:rsidR="000103AF" w:rsidRDefault="000103AF"/>
    <w:p w14:paraId="00000003" w14:textId="77777777" w:rsidR="000103AF" w:rsidRDefault="00F635F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Picture Books of Allen Say: Instructing ELLs in Language Learning and Cultural Exchange</w:t>
      </w:r>
    </w:p>
    <w:p w14:paraId="00000004" w14:textId="77777777" w:rsidR="000103AF" w:rsidRDefault="00F635F6">
      <w:pPr>
        <w:spacing w:line="240" w:lineRule="auto"/>
        <w:jc w:val="both"/>
        <w:rPr>
          <w:rFonts w:ascii="Times New Roman" w:eastAsia="Times New Roman" w:hAnsi="Times New Roman" w:cs="Times New Roman"/>
          <w:sz w:val="16"/>
          <w:szCs w:val="16"/>
        </w:rPr>
      </w:pPr>
      <w:r>
        <w:rPr>
          <w:rFonts w:ascii="Times New Roman" w:eastAsia="Times New Roman" w:hAnsi="Times New Roman" w:cs="Times New Roman"/>
          <w:color w:val="0E101A"/>
          <w:sz w:val="28"/>
          <w:szCs w:val="28"/>
          <w:highlight w:val="white"/>
        </w:rPr>
        <w:t>Reviewer’s Thoughts</w:t>
      </w:r>
    </w:p>
    <w:p w14:paraId="00000005" w14:textId="77777777" w:rsidR="000103AF" w:rsidRDefault="00F635F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Journal of </w:t>
      </w:r>
      <w:proofErr w:type="spellStart"/>
      <w:r>
        <w:rPr>
          <w:rFonts w:ascii="Times New Roman" w:eastAsia="Times New Roman" w:hAnsi="Times New Roman" w:cs="Times New Roman"/>
          <w:sz w:val="24"/>
          <w:szCs w:val="24"/>
        </w:rPr>
        <w:t>LiLT</w:t>
      </w:r>
      <w:proofErr w:type="spellEnd"/>
      <w:r>
        <w:rPr>
          <w:rFonts w:ascii="Times New Roman" w:eastAsia="Times New Roman" w:hAnsi="Times New Roman" w:cs="Times New Roman"/>
          <w:sz w:val="24"/>
          <w:szCs w:val="24"/>
        </w:rPr>
        <w:t xml:space="preserve"> </w:t>
      </w:r>
    </w:p>
    <w:p w14:paraId="00000006" w14:textId="77777777" w:rsidR="000103AF" w:rsidRDefault="00F635F6">
      <w:pPr>
        <w:widowControl w:val="0"/>
        <w:spacing w:line="240" w:lineRule="auto"/>
        <w:rPr>
          <w:rFonts w:ascii="Times New Roman" w:eastAsia="Times New Roman" w:hAnsi="Times New Roman" w:cs="Times New Roman"/>
          <w:sz w:val="24"/>
          <w:szCs w:val="24"/>
        </w:rPr>
      </w:pPr>
      <w:proofErr w:type="gramStart"/>
      <w:r w:rsidRPr="00332521">
        <w:rPr>
          <w:rFonts w:ascii="Times New Roman" w:eastAsia="Times New Roman" w:hAnsi="Times New Roman" w:cs="Times New Roman"/>
          <w:sz w:val="24"/>
          <w:szCs w:val="24"/>
        </w:rPr>
        <w:t>Overall</w:t>
      </w:r>
      <w:proofErr w:type="gramEnd"/>
      <w:r w:rsidRPr="00332521">
        <w:rPr>
          <w:rFonts w:ascii="Times New Roman" w:eastAsia="Times New Roman" w:hAnsi="Times New Roman" w:cs="Times New Roman"/>
          <w:sz w:val="24"/>
          <w:szCs w:val="24"/>
        </w:rPr>
        <w:t xml:space="preserve"> this is an interesting read and the topic is relevant for discussing how to engage learners with second language learning in the 21st century.</w:t>
      </w:r>
      <w:r>
        <w:rPr>
          <w:rFonts w:ascii="Times New Roman" w:eastAsia="Times New Roman" w:hAnsi="Times New Roman" w:cs="Times New Roman"/>
          <w:sz w:val="24"/>
          <w:szCs w:val="24"/>
        </w:rPr>
        <w:t xml:space="preserve"> </w:t>
      </w:r>
      <w:r w:rsidRPr="00FF1E7F">
        <w:rPr>
          <w:rFonts w:ascii="Times New Roman" w:eastAsia="Times New Roman" w:hAnsi="Times New Roman" w:cs="Times New Roman"/>
          <w:sz w:val="24"/>
          <w:szCs w:val="24"/>
        </w:rPr>
        <w:t>The paper is quite short (just over 2000 words) so it would work more fully with an enhanced set of background readings, and a little more about the specific context of writing and implications.</w:t>
      </w:r>
      <w:r>
        <w:rPr>
          <w:rFonts w:ascii="Times New Roman" w:eastAsia="Times New Roman" w:hAnsi="Times New Roman" w:cs="Times New Roman"/>
          <w:sz w:val="24"/>
          <w:szCs w:val="24"/>
        </w:rPr>
        <w:t xml:space="preserve"> </w:t>
      </w:r>
    </w:p>
    <w:p w14:paraId="00000007" w14:textId="77777777" w:rsidR="000103AF" w:rsidRDefault="00F635F6">
      <w:pPr>
        <w:widowControl w:val="0"/>
        <w:spacing w:line="240" w:lineRule="auto"/>
        <w:rPr>
          <w:rFonts w:ascii="Times New Roman" w:eastAsia="Times New Roman" w:hAnsi="Times New Roman" w:cs="Times New Roman"/>
          <w:sz w:val="24"/>
          <w:szCs w:val="24"/>
        </w:rPr>
      </w:pPr>
      <w:r w:rsidRPr="00BF7B21">
        <w:rPr>
          <w:rFonts w:ascii="Times New Roman" w:eastAsia="Times New Roman" w:hAnsi="Times New Roman" w:cs="Times New Roman"/>
          <w:sz w:val="24"/>
          <w:szCs w:val="24"/>
        </w:rPr>
        <w:t xml:space="preserve">The first section about the policy of using English at lower levels could be referenced with MEXT </w:t>
      </w:r>
      <w:proofErr w:type="gramStart"/>
      <w:r w:rsidRPr="00BF7B21">
        <w:rPr>
          <w:rFonts w:ascii="Times New Roman" w:eastAsia="Times New Roman" w:hAnsi="Times New Roman" w:cs="Times New Roman"/>
          <w:sz w:val="24"/>
          <w:szCs w:val="24"/>
        </w:rPr>
        <w:t>guidelines  (</w:t>
      </w:r>
      <w:proofErr w:type="gramEnd"/>
      <w:r w:rsidRPr="00BF7B21">
        <w:rPr>
          <w:rFonts w:ascii="Times New Roman" w:eastAsia="Times New Roman" w:hAnsi="Times New Roman" w:cs="Times New Roman"/>
          <w:sz w:val="24"/>
          <w:szCs w:val="24"/>
        </w:rPr>
        <w:t xml:space="preserve">e.g. </w:t>
      </w:r>
      <w:hyperlink r:id="rId4">
        <w:r w:rsidRPr="00BF7B21">
          <w:rPr>
            <w:rFonts w:ascii="Times New Roman" w:eastAsia="Times New Roman" w:hAnsi="Times New Roman" w:cs="Times New Roman"/>
            <w:color w:val="1155CC"/>
            <w:sz w:val="24"/>
            <w:szCs w:val="24"/>
            <w:u w:val="single"/>
          </w:rPr>
          <w:t>https://www.mext.go.jp/en/policy/education/lawandplan/index.htm</w:t>
        </w:r>
      </w:hyperlink>
      <w:r w:rsidRPr="00BF7B21">
        <w:rPr>
          <w:rFonts w:ascii="Times New Roman" w:eastAsia="Times New Roman" w:hAnsi="Times New Roman" w:cs="Times New Roman"/>
          <w:sz w:val="24"/>
          <w:szCs w:val="24"/>
        </w:rPr>
        <w:t>) , which would support its relevance and accuracy.</w:t>
      </w:r>
      <w:r>
        <w:rPr>
          <w:rFonts w:ascii="Times New Roman" w:eastAsia="Times New Roman" w:hAnsi="Times New Roman" w:cs="Times New Roman"/>
          <w:sz w:val="24"/>
          <w:szCs w:val="24"/>
        </w:rPr>
        <w:t xml:space="preserve"> </w:t>
      </w:r>
      <w:r w:rsidRPr="00332521">
        <w:rPr>
          <w:rFonts w:ascii="Times New Roman" w:eastAsia="Times New Roman" w:hAnsi="Times New Roman" w:cs="Times New Roman"/>
          <w:sz w:val="24"/>
          <w:szCs w:val="24"/>
        </w:rPr>
        <w:t>Also in the introduction, the author discusses other countries where Allen Say`s work is in use, but there are no references given or names of countries, so this point could be clarified.</w:t>
      </w:r>
      <w:r>
        <w:rPr>
          <w:rFonts w:ascii="Times New Roman" w:eastAsia="Times New Roman" w:hAnsi="Times New Roman" w:cs="Times New Roman"/>
          <w:sz w:val="24"/>
          <w:szCs w:val="24"/>
        </w:rPr>
        <w:t xml:space="preserve"> </w:t>
      </w:r>
    </w:p>
    <w:p w14:paraId="00000008" w14:textId="77777777" w:rsidR="000103AF" w:rsidRDefault="00F635F6">
      <w:pPr>
        <w:widowControl w:val="0"/>
        <w:spacing w:line="240" w:lineRule="auto"/>
        <w:rPr>
          <w:rFonts w:ascii="Times New Roman" w:eastAsia="Times New Roman" w:hAnsi="Times New Roman" w:cs="Times New Roman"/>
          <w:sz w:val="24"/>
          <w:szCs w:val="24"/>
        </w:rPr>
      </w:pPr>
      <w:r w:rsidRPr="00F635F6">
        <w:rPr>
          <w:rFonts w:ascii="Times New Roman" w:eastAsia="Times New Roman" w:hAnsi="Times New Roman" w:cs="Times New Roman"/>
          <w:sz w:val="24"/>
          <w:szCs w:val="24"/>
          <w:highlight w:val="darkCyan"/>
        </w:rPr>
        <w:t xml:space="preserve">On the use of the phrase “young learners”, the age of such children would be helpful to clarify. Are they only pre-school, elementary or does it include teens? One reason this is important is that for the Ann Lado reference, she is discussing beginner ELL, which may not be the same age. Beginner ELL can be refugees or others who have for whatever reason picked up English later than early childhood (there is plenty of background reading on the use of </w:t>
      </w:r>
      <w:proofErr w:type="spellStart"/>
      <w:r w:rsidRPr="00F635F6">
        <w:rPr>
          <w:rFonts w:ascii="Times New Roman" w:eastAsia="Times New Roman" w:hAnsi="Times New Roman" w:cs="Times New Roman"/>
          <w:sz w:val="24"/>
          <w:szCs w:val="24"/>
          <w:highlight w:val="darkCyan"/>
        </w:rPr>
        <w:t>picturebooks</w:t>
      </w:r>
      <w:proofErr w:type="spellEnd"/>
      <w:r w:rsidRPr="00F635F6">
        <w:rPr>
          <w:rFonts w:ascii="Times New Roman" w:eastAsia="Times New Roman" w:hAnsi="Times New Roman" w:cs="Times New Roman"/>
          <w:sz w:val="24"/>
          <w:szCs w:val="24"/>
          <w:highlight w:val="darkCyan"/>
        </w:rPr>
        <w:t xml:space="preserve"> LLs picking up new languages in those situations).</w:t>
      </w:r>
      <w:r>
        <w:rPr>
          <w:rFonts w:ascii="Times New Roman" w:eastAsia="Times New Roman" w:hAnsi="Times New Roman" w:cs="Times New Roman"/>
          <w:sz w:val="24"/>
          <w:szCs w:val="24"/>
        </w:rPr>
        <w:t xml:space="preserve"> </w:t>
      </w:r>
    </w:p>
    <w:p w14:paraId="00000009" w14:textId="77777777" w:rsidR="000103AF" w:rsidRDefault="00F635F6">
      <w:pPr>
        <w:widowControl w:val="0"/>
        <w:spacing w:line="240" w:lineRule="auto"/>
        <w:rPr>
          <w:rFonts w:ascii="Times New Roman" w:eastAsia="Times New Roman" w:hAnsi="Times New Roman" w:cs="Times New Roman"/>
          <w:sz w:val="24"/>
          <w:szCs w:val="24"/>
        </w:rPr>
      </w:pPr>
      <w:r w:rsidRPr="00F635F6">
        <w:rPr>
          <w:rFonts w:ascii="Times New Roman" w:eastAsia="Times New Roman" w:hAnsi="Times New Roman" w:cs="Times New Roman"/>
          <w:sz w:val="24"/>
          <w:szCs w:val="24"/>
          <w:highlight w:val="cyan"/>
        </w:rPr>
        <w:t xml:space="preserve">In the next section, discussing using the books with a group of learners in a class, the age and level of those learners (CEFR A1/A2 or higher?) is unclear. This is important information since some teachers are using </w:t>
      </w:r>
      <w:proofErr w:type="spellStart"/>
      <w:r w:rsidRPr="00F635F6">
        <w:rPr>
          <w:rFonts w:ascii="Times New Roman" w:eastAsia="Times New Roman" w:hAnsi="Times New Roman" w:cs="Times New Roman"/>
          <w:sz w:val="24"/>
          <w:szCs w:val="24"/>
          <w:highlight w:val="cyan"/>
        </w:rPr>
        <w:t>picturebooks</w:t>
      </w:r>
      <w:proofErr w:type="spellEnd"/>
      <w:r w:rsidRPr="00F635F6">
        <w:rPr>
          <w:rFonts w:ascii="Times New Roman" w:eastAsia="Times New Roman" w:hAnsi="Times New Roman" w:cs="Times New Roman"/>
          <w:sz w:val="24"/>
          <w:szCs w:val="24"/>
          <w:highlight w:val="cyan"/>
        </w:rPr>
        <w:t xml:space="preserve"> with young adult learners/tertiary-level learners, so this move to discuss a specific group of learners would also be helpful and would strengthen the overall paper.</w:t>
      </w:r>
      <w:r>
        <w:rPr>
          <w:rFonts w:ascii="Times New Roman" w:eastAsia="Times New Roman" w:hAnsi="Times New Roman" w:cs="Times New Roman"/>
          <w:sz w:val="24"/>
          <w:szCs w:val="24"/>
        </w:rPr>
        <w:t xml:space="preserve"> </w:t>
      </w:r>
    </w:p>
    <w:p w14:paraId="0000000A" w14:textId="77777777" w:rsidR="000103AF" w:rsidRPr="00F635F6" w:rsidRDefault="00F635F6">
      <w:pPr>
        <w:widowControl w:val="0"/>
        <w:spacing w:line="240" w:lineRule="auto"/>
        <w:rPr>
          <w:rFonts w:ascii="Times New Roman" w:eastAsia="Times New Roman" w:hAnsi="Times New Roman" w:cs="Times New Roman"/>
          <w:sz w:val="24"/>
          <w:szCs w:val="24"/>
          <w:highlight w:val="darkCyan"/>
        </w:rPr>
      </w:pPr>
      <w:r w:rsidRPr="00F635F6">
        <w:rPr>
          <w:rFonts w:ascii="Times New Roman" w:eastAsia="Times New Roman" w:hAnsi="Times New Roman" w:cs="Times New Roman"/>
          <w:sz w:val="24"/>
          <w:szCs w:val="24"/>
          <w:highlight w:val="darkCyan"/>
        </w:rPr>
        <w:t>On to this quote:</w:t>
      </w:r>
    </w:p>
    <w:p w14:paraId="0000000B" w14:textId="77777777" w:rsidR="000103AF" w:rsidRPr="00F635F6" w:rsidRDefault="00F635F6">
      <w:pPr>
        <w:widowControl w:val="0"/>
        <w:spacing w:line="240" w:lineRule="auto"/>
        <w:ind w:left="720"/>
        <w:rPr>
          <w:rFonts w:ascii="Times New Roman" w:eastAsia="Times New Roman" w:hAnsi="Times New Roman" w:cs="Times New Roman"/>
          <w:i/>
          <w:sz w:val="24"/>
          <w:szCs w:val="24"/>
          <w:highlight w:val="darkCyan"/>
        </w:rPr>
      </w:pPr>
      <w:r w:rsidRPr="00F635F6">
        <w:rPr>
          <w:rFonts w:ascii="Times New Roman" w:eastAsia="Times New Roman" w:hAnsi="Times New Roman" w:cs="Times New Roman"/>
          <w:i/>
          <w:sz w:val="24"/>
          <w:szCs w:val="24"/>
          <w:highlight w:val="darkCyan"/>
        </w:rPr>
        <w:t>Related to image association and language learning, Hoyt (2009, p. 42) suggests that “students find it especially appealing if you have photocopies or digital pictures of the reader and the character and make them available to paste onto the page.”</w:t>
      </w:r>
    </w:p>
    <w:p w14:paraId="0000000C" w14:textId="77777777" w:rsidR="000103AF" w:rsidRDefault="00F635F6">
      <w:pPr>
        <w:widowControl w:val="0"/>
        <w:spacing w:line="240" w:lineRule="auto"/>
        <w:rPr>
          <w:rFonts w:ascii="Times New Roman" w:eastAsia="Times New Roman" w:hAnsi="Times New Roman" w:cs="Times New Roman"/>
          <w:sz w:val="24"/>
          <w:szCs w:val="24"/>
        </w:rPr>
      </w:pPr>
      <w:proofErr w:type="gramStart"/>
      <w:r w:rsidRPr="00F635F6">
        <w:rPr>
          <w:rFonts w:ascii="Times New Roman" w:eastAsia="Times New Roman" w:hAnsi="Times New Roman" w:cs="Times New Roman"/>
          <w:sz w:val="24"/>
          <w:szCs w:val="24"/>
          <w:highlight w:val="darkCyan"/>
        </w:rPr>
        <w:t>Usually</w:t>
      </w:r>
      <w:proofErr w:type="gramEnd"/>
      <w:r w:rsidRPr="00F635F6">
        <w:rPr>
          <w:rFonts w:ascii="Times New Roman" w:eastAsia="Times New Roman" w:hAnsi="Times New Roman" w:cs="Times New Roman"/>
          <w:sz w:val="24"/>
          <w:szCs w:val="24"/>
          <w:highlight w:val="darkCyan"/>
        </w:rPr>
        <w:t xml:space="preserve"> Kress or other research on multimodality is used to justify the use of such texts. The article goes on to quote Hoyt several times where there should probably be more of a range of references to justify the approach.</w:t>
      </w:r>
      <w:r>
        <w:rPr>
          <w:rFonts w:ascii="Times New Roman" w:eastAsia="Times New Roman" w:hAnsi="Times New Roman" w:cs="Times New Roman"/>
          <w:sz w:val="24"/>
          <w:szCs w:val="24"/>
        </w:rPr>
        <w:t xml:space="preserve"> </w:t>
      </w:r>
    </w:p>
    <w:p w14:paraId="0000000D" w14:textId="77777777" w:rsidR="000103AF" w:rsidRDefault="00F635F6">
      <w:pPr>
        <w:widowControl w:val="0"/>
        <w:spacing w:line="240" w:lineRule="auto"/>
        <w:rPr>
          <w:rFonts w:ascii="Times New Roman" w:eastAsia="Times New Roman" w:hAnsi="Times New Roman" w:cs="Times New Roman"/>
          <w:sz w:val="24"/>
          <w:szCs w:val="24"/>
        </w:rPr>
      </w:pPr>
      <w:r w:rsidRPr="00026F87">
        <w:rPr>
          <w:rFonts w:ascii="Times New Roman" w:eastAsia="Times New Roman" w:hAnsi="Times New Roman" w:cs="Times New Roman"/>
          <w:sz w:val="24"/>
          <w:szCs w:val="24"/>
        </w:rPr>
        <w:t>For the student-created dictionaries, please consider adding an appendix with an example of the worksheet or instructions or the information given to students.</w:t>
      </w:r>
      <w:r>
        <w:rPr>
          <w:rFonts w:ascii="Times New Roman" w:eastAsia="Times New Roman" w:hAnsi="Times New Roman" w:cs="Times New Roman"/>
          <w:sz w:val="24"/>
          <w:szCs w:val="24"/>
        </w:rPr>
        <w:t xml:space="preserve"> </w:t>
      </w:r>
    </w:p>
    <w:p w14:paraId="0000000E" w14:textId="77777777" w:rsidR="000103AF" w:rsidRDefault="00F635F6">
      <w:pPr>
        <w:widowControl w:val="0"/>
        <w:spacing w:line="240" w:lineRule="auto"/>
        <w:rPr>
          <w:rFonts w:ascii="Times New Roman" w:eastAsia="Times New Roman" w:hAnsi="Times New Roman" w:cs="Times New Roman"/>
          <w:sz w:val="24"/>
          <w:szCs w:val="24"/>
        </w:rPr>
      </w:pPr>
      <w:r w:rsidRPr="00F635F6">
        <w:rPr>
          <w:rFonts w:ascii="Times New Roman" w:eastAsia="Times New Roman" w:hAnsi="Times New Roman" w:cs="Times New Roman"/>
          <w:sz w:val="24"/>
          <w:szCs w:val="24"/>
          <w:highlight w:val="darkCyan"/>
        </w:rPr>
        <w:t xml:space="preserve">On to the reference list and justification for the approach. Although the Krashen references provide a good base for understanding language learning from one perspective, there has been more work on second language reading (from this journal, </w:t>
      </w:r>
      <w:hyperlink r:id="rId5">
        <w:r w:rsidRPr="00F635F6">
          <w:rPr>
            <w:rFonts w:ascii="Times New Roman" w:eastAsia="Times New Roman" w:hAnsi="Times New Roman" w:cs="Times New Roman"/>
            <w:color w:val="1155CC"/>
            <w:sz w:val="24"/>
            <w:szCs w:val="24"/>
            <w:highlight w:val="darkCyan"/>
            <w:u w:val="single"/>
          </w:rPr>
          <w:t>https://nflrc.hawaii.edu/rfl/</w:t>
        </w:r>
      </w:hyperlink>
      <w:r w:rsidRPr="00F635F6">
        <w:rPr>
          <w:rFonts w:ascii="Times New Roman" w:eastAsia="Times New Roman" w:hAnsi="Times New Roman" w:cs="Times New Roman"/>
          <w:sz w:val="24"/>
          <w:szCs w:val="24"/>
          <w:highlight w:val="darkCyan"/>
        </w:rPr>
        <w:t>, or from more of the commonly referenced researchers in the field of children`s literature).</w:t>
      </w:r>
      <w:r>
        <w:rPr>
          <w:rFonts w:ascii="Times New Roman" w:eastAsia="Times New Roman" w:hAnsi="Times New Roman" w:cs="Times New Roman"/>
          <w:sz w:val="24"/>
          <w:szCs w:val="24"/>
        </w:rPr>
        <w:t xml:space="preserve"> </w:t>
      </w:r>
    </w:p>
    <w:p w14:paraId="0000000F" w14:textId="77777777" w:rsidR="000103AF" w:rsidRPr="00332521" w:rsidRDefault="00F635F6">
      <w:pPr>
        <w:spacing w:line="240" w:lineRule="auto"/>
        <w:jc w:val="both"/>
        <w:rPr>
          <w:rFonts w:ascii="Times New Roman" w:eastAsia="Times New Roman" w:hAnsi="Times New Roman" w:cs="Times New Roman"/>
          <w:sz w:val="24"/>
          <w:szCs w:val="24"/>
        </w:rPr>
      </w:pPr>
      <w:r w:rsidRPr="00332521">
        <w:rPr>
          <w:rFonts w:ascii="Times New Roman" w:eastAsia="Times New Roman" w:hAnsi="Times New Roman" w:cs="Times New Roman"/>
          <w:color w:val="0E101A"/>
          <w:sz w:val="24"/>
          <w:szCs w:val="24"/>
        </w:rPr>
        <w:t>The citations follow proper APA 7</w:t>
      </w:r>
      <w:r w:rsidRPr="00332521">
        <w:rPr>
          <w:rFonts w:ascii="Times New Roman" w:eastAsia="Times New Roman" w:hAnsi="Times New Roman" w:cs="Times New Roman"/>
          <w:color w:val="0E101A"/>
          <w:sz w:val="24"/>
          <w:szCs w:val="24"/>
          <w:vertAlign w:val="superscript"/>
        </w:rPr>
        <w:t>th</w:t>
      </w:r>
      <w:r w:rsidRPr="00332521">
        <w:rPr>
          <w:rFonts w:ascii="Times New Roman" w:eastAsia="Times New Roman" w:hAnsi="Times New Roman" w:cs="Times New Roman"/>
          <w:color w:val="0E101A"/>
          <w:sz w:val="24"/>
          <w:szCs w:val="24"/>
        </w:rPr>
        <w:t xml:space="preserve"> formatting. The author also provides some foundational sources on this topic and some older references, but to make the article more relevant to contemporary readers some more recent readings would be beneficial. </w:t>
      </w:r>
    </w:p>
    <w:p w14:paraId="00000010" w14:textId="77777777" w:rsidR="000103AF" w:rsidRDefault="00F635F6">
      <w:pPr>
        <w:widowControl w:val="0"/>
        <w:spacing w:line="480" w:lineRule="auto"/>
        <w:rPr>
          <w:rFonts w:ascii="Times New Roman" w:eastAsia="Times New Roman" w:hAnsi="Times New Roman" w:cs="Times New Roman"/>
          <w:sz w:val="24"/>
          <w:szCs w:val="24"/>
        </w:rPr>
      </w:pPr>
      <w:r w:rsidRPr="00332521">
        <w:rPr>
          <w:rFonts w:ascii="Times New Roman" w:eastAsia="Times New Roman" w:hAnsi="Times New Roman" w:cs="Times New Roman"/>
          <w:sz w:val="24"/>
          <w:szCs w:val="24"/>
        </w:rPr>
        <w:t>March 2024</w:t>
      </w:r>
    </w:p>
    <w:sectPr w:rsidR="000103A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ＭＳ 明朝">
    <w:altName w:val="MS Mincho"/>
    <w:panose1 w:val="02020609040205080304"/>
    <w:charset w:val="80"/>
    <w:family w:val="roma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ＭＳ ゴシック">
    <w:altName w:val="MS Gothic"/>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03AF"/>
    <w:rsid w:val="000103AF"/>
    <w:rsid w:val="00026F87"/>
    <w:rsid w:val="00332521"/>
    <w:rsid w:val="00BF7B21"/>
    <w:rsid w:val="00F635F6"/>
    <w:rsid w:val="00FF1E7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5:docId w15:val="{1FD80DA0-33F2-43F6-9AC3-94164E709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sz w:val="22"/>
        <w:szCs w:val="22"/>
        <w:lang w:val="en"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nflrc.hawaii.edu/rfl/" TargetMode="External"/><Relationship Id="rId4" Type="http://schemas.openxmlformats.org/officeDocument/2006/relationships/hyperlink" Target="https://www.mext.go.jp/en/policy/education/lawandplan/index.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668</TotalTime>
  <Pages>1</Pages>
  <Words>483</Words>
  <Characters>2755</Characters>
  <Application>Microsoft Office Word</Application>
  <DocSecurity>0</DocSecurity>
  <Lines>22</Lines>
  <Paragraphs>6</Paragraphs>
  <ScaleCrop>false</ScaleCrop>
  <Company/>
  <LinksUpToDate>false</LinksUpToDate>
  <CharactersWithSpaces>3232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Andrew　Nesseler</cp:lastModifiedBy>
  <cp:revision>6</cp:revision>
  <dcterms:created xsi:type="dcterms:W3CDTF">2024-04-02T02:03:00Z</dcterms:created>
  <dcterms:modified xsi:type="dcterms:W3CDTF">2024-04-03T07:16:00Z</dcterms:modified>
</cp:coreProperties>
</file>