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ABAD97" w14:textId="291866CC" w:rsidR="00CA6C9B" w:rsidRDefault="00CF15B3" w:rsidP="00CF15B3">
      <w:pPr>
        <w:jc w:val="center"/>
        <w:rPr>
          <w:lang w:val="en-IN"/>
        </w:rPr>
      </w:pPr>
      <w:r w:rsidRPr="00CF15B3">
        <w:rPr>
          <w:noProof/>
          <w:lang w:val="en-US" w:bidi="ar-SA"/>
        </w:rPr>
        <w:drawing>
          <wp:inline distT="0" distB="0" distL="0" distR="0" wp14:anchorId="282C77C7" wp14:editId="4CFBD4B3">
            <wp:extent cx="2467319" cy="1019317"/>
            <wp:effectExtent l="0" t="0" r="9525" b="9525"/>
            <wp:docPr id="15259968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996869" name=""/>
                    <pic:cNvPicPr/>
                  </pic:nvPicPr>
                  <pic:blipFill>
                    <a:blip r:embed="rId7"/>
                    <a:stretch>
                      <a:fillRect/>
                    </a:stretch>
                  </pic:blipFill>
                  <pic:spPr>
                    <a:xfrm>
                      <a:off x="0" y="0"/>
                      <a:ext cx="2467319" cy="1019317"/>
                    </a:xfrm>
                    <a:prstGeom prst="rect">
                      <a:avLst/>
                    </a:prstGeom>
                  </pic:spPr>
                </pic:pic>
              </a:graphicData>
            </a:graphic>
          </wp:inline>
        </w:drawing>
      </w:r>
    </w:p>
    <w:p w14:paraId="6BB02B7B" w14:textId="77777777" w:rsidR="00CF15B3" w:rsidRDefault="00CF15B3" w:rsidP="00A7683C">
      <w:pPr>
        <w:rPr>
          <w:lang w:val="en-IN"/>
        </w:rPr>
      </w:pPr>
    </w:p>
    <w:p w14:paraId="503583B3" w14:textId="77777777" w:rsidR="00CF15B3" w:rsidRDefault="00CF15B3" w:rsidP="00A7683C">
      <w:pPr>
        <w:rPr>
          <w:lang w:val="en-IN"/>
        </w:rPr>
      </w:pPr>
    </w:p>
    <w:p w14:paraId="0615D4F7" w14:textId="77777777" w:rsidR="00CF15B3" w:rsidRDefault="00CF15B3" w:rsidP="00CF15B3">
      <w:pPr>
        <w:rPr>
          <w:b/>
          <w:bCs/>
          <w:sz w:val="52"/>
          <w:szCs w:val="48"/>
        </w:rPr>
      </w:pPr>
    </w:p>
    <w:p w14:paraId="2563CCB9" w14:textId="4939BEDA" w:rsidR="00CF15B3" w:rsidRDefault="00CF15B3" w:rsidP="00CF15B3">
      <w:pPr>
        <w:jc w:val="center"/>
        <w:rPr>
          <w:b/>
          <w:bCs/>
          <w:sz w:val="52"/>
          <w:szCs w:val="48"/>
        </w:rPr>
      </w:pPr>
      <w:r w:rsidRPr="00CF15B3">
        <w:rPr>
          <w:b/>
          <w:bCs/>
          <w:sz w:val="52"/>
          <w:szCs w:val="48"/>
        </w:rPr>
        <w:t>LCBB4014</w:t>
      </w:r>
    </w:p>
    <w:p w14:paraId="153F08CC" w14:textId="5698222C" w:rsidR="00CF15B3" w:rsidRPr="00CF15B3" w:rsidRDefault="00CF15B3" w:rsidP="00CF15B3">
      <w:pPr>
        <w:jc w:val="center"/>
        <w:rPr>
          <w:b/>
          <w:bCs/>
          <w:sz w:val="52"/>
          <w:szCs w:val="48"/>
        </w:rPr>
      </w:pPr>
      <w:r w:rsidRPr="00CF15B3">
        <w:rPr>
          <w:b/>
          <w:bCs/>
          <w:sz w:val="52"/>
          <w:szCs w:val="48"/>
        </w:rPr>
        <w:t>BA (Hons) Business Management</w:t>
      </w:r>
    </w:p>
    <w:p w14:paraId="6AA9806B" w14:textId="234CBCEA" w:rsidR="00CF15B3" w:rsidRPr="00CF15B3" w:rsidRDefault="00CF15B3" w:rsidP="00CF15B3">
      <w:pPr>
        <w:jc w:val="center"/>
        <w:rPr>
          <w:b/>
          <w:bCs/>
          <w:sz w:val="52"/>
          <w:szCs w:val="48"/>
        </w:rPr>
      </w:pPr>
      <w:r w:rsidRPr="00CF15B3">
        <w:rPr>
          <w:b/>
          <w:bCs/>
          <w:sz w:val="52"/>
          <w:szCs w:val="48"/>
        </w:rPr>
        <w:t>Introduction to Business</w:t>
      </w:r>
    </w:p>
    <w:p w14:paraId="6E19EB2C" w14:textId="7DB6912C" w:rsidR="00CF15B3" w:rsidRDefault="00CF15B3" w:rsidP="00CF15B3">
      <w:pPr>
        <w:jc w:val="center"/>
        <w:rPr>
          <w:b/>
          <w:bCs/>
          <w:sz w:val="52"/>
          <w:szCs w:val="48"/>
        </w:rPr>
      </w:pPr>
      <w:r w:rsidRPr="00CF15B3">
        <w:rPr>
          <w:b/>
          <w:bCs/>
          <w:sz w:val="52"/>
          <w:szCs w:val="48"/>
        </w:rPr>
        <w:t>Component 2: Essay</w:t>
      </w:r>
    </w:p>
    <w:p w14:paraId="66A4DFBA" w14:textId="77777777" w:rsidR="00CF15B3" w:rsidRDefault="00CF15B3" w:rsidP="00CF15B3">
      <w:pPr>
        <w:rPr>
          <w:b/>
          <w:bCs/>
          <w:sz w:val="52"/>
          <w:szCs w:val="48"/>
        </w:rPr>
      </w:pPr>
    </w:p>
    <w:p w14:paraId="36768E2E" w14:textId="4F8B66BA" w:rsidR="00CF15B3" w:rsidRPr="00CF15B3" w:rsidRDefault="00CF15B3" w:rsidP="00CF15B3">
      <w:pPr>
        <w:jc w:val="center"/>
        <w:rPr>
          <w:b/>
          <w:bCs/>
          <w:sz w:val="40"/>
          <w:szCs w:val="36"/>
        </w:rPr>
      </w:pPr>
      <w:r w:rsidRPr="00CF15B3">
        <w:rPr>
          <w:b/>
          <w:bCs/>
          <w:sz w:val="40"/>
          <w:szCs w:val="36"/>
        </w:rPr>
        <w:t>Student Name:</w:t>
      </w:r>
      <w:r w:rsidR="000331BC">
        <w:rPr>
          <w:b/>
          <w:bCs/>
          <w:sz w:val="40"/>
          <w:szCs w:val="36"/>
        </w:rPr>
        <w:t xml:space="preserve"> Nicoleta Samson</w:t>
      </w:r>
    </w:p>
    <w:p w14:paraId="0CFAF147" w14:textId="48F62DE0" w:rsidR="00CF15B3" w:rsidRDefault="00CF15B3" w:rsidP="00CF15B3">
      <w:pPr>
        <w:jc w:val="center"/>
        <w:rPr>
          <w:b/>
          <w:bCs/>
          <w:sz w:val="40"/>
          <w:szCs w:val="36"/>
        </w:rPr>
      </w:pPr>
      <w:r w:rsidRPr="00CF15B3">
        <w:rPr>
          <w:b/>
          <w:bCs/>
          <w:sz w:val="40"/>
          <w:szCs w:val="36"/>
        </w:rPr>
        <w:t>Student ID:</w:t>
      </w:r>
      <w:r w:rsidR="00A56F96">
        <w:rPr>
          <w:b/>
          <w:bCs/>
          <w:sz w:val="40"/>
          <w:szCs w:val="36"/>
        </w:rPr>
        <w:t>2437295</w:t>
      </w:r>
    </w:p>
    <w:p w14:paraId="1DDAAAFA" w14:textId="68DE0CD0" w:rsidR="00CF15B3" w:rsidRDefault="00CF15B3">
      <w:pPr>
        <w:spacing w:line="276" w:lineRule="auto"/>
        <w:jc w:val="left"/>
        <w:rPr>
          <w:lang w:val="en-IN"/>
        </w:rPr>
      </w:pPr>
      <w:r>
        <w:rPr>
          <w:lang w:val="en-IN"/>
        </w:rPr>
        <w:br w:type="page"/>
      </w:r>
    </w:p>
    <w:sdt>
      <w:sdtPr>
        <w:id w:val="-1239401299"/>
        <w:docPartObj>
          <w:docPartGallery w:val="Table of Contents"/>
          <w:docPartUnique/>
        </w:docPartObj>
      </w:sdtPr>
      <w:sdtEndPr>
        <w:rPr>
          <w:b/>
          <w:bCs/>
          <w:noProof/>
        </w:rPr>
      </w:sdtEndPr>
      <w:sdtContent>
        <w:p w14:paraId="37F8E2E0" w14:textId="13F28CCD" w:rsidR="00327A40" w:rsidRDefault="00327A40" w:rsidP="00327A40">
          <w:r w:rsidRPr="00327A40">
            <w:rPr>
              <w:b/>
              <w:bCs/>
              <w:sz w:val="32"/>
              <w:szCs w:val="28"/>
            </w:rPr>
            <w:t>Table of Contents</w:t>
          </w:r>
        </w:p>
        <w:p w14:paraId="7A7E89AA" w14:textId="60D8B21A" w:rsidR="00327A40" w:rsidRDefault="00327A40">
          <w:pPr>
            <w:pStyle w:val="TOC1"/>
            <w:tabs>
              <w:tab w:val="right" w:leader="dot" w:pos="9016"/>
            </w:tabs>
            <w:rPr>
              <w:noProof/>
            </w:rPr>
          </w:pPr>
          <w:r>
            <w:fldChar w:fldCharType="begin"/>
          </w:r>
          <w:r>
            <w:instrText xml:space="preserve"> TOC \o "1-3" \h \z \u </w:instrText>
          </w:r>
          <w:r>
            <w:fldChar w:fldCharType="separate"/>
          </w:r>
          <w:hyperlink w:anchor="_Toc203216873" w:history="1">
            <w:r w:rsidRPr="008713B4">
              <w:rPr>
                <w:rStyle w:val="Hyperlink"/>
                <w:noProof/>
                <w:lang w:val="en-IN"/>
              </w:rPr>
              <w:t>Introduction</w:t>
            </w:r>
            <w:r>
              <w:rPr>
                <w:noProof/>
                <w:webHidden/>
              </w:rPr>
              <w:tab/>
            </w:r>
            <w:r>
              <w:rPr>
                <w:noProof/>
                <w:webHidden/>
              </w:rPr>
              <w:fldChar w:fldCharType="begin"/>
            </w:r>
            <w:r>
              <w:rPr>
                <w:noProof/>
                <w:webHidden/>
              </w:rPr>
              <w:instrText xml:space="preserve"> PAGEREF _Toc203216873 \h </w:instrText>
            </w:r>
            <w:r>
              <w:rPr>
                <w:noProof/>
                <w:webHidden/>
              </w:rPr>
            </w:r>
            <w:r>
              <w:rPr>
                <w:noProof/>
                <w:webHidden/>
              </w:rPr>
              <w:fldChar w:fldCharType="separate"/>
            </w:r>
            <w:r>
              <w:rPr>
                <w:noProof/>
                <w:webHidden/>
              </w:rPr>
              <w:t>3</w:t>
            </w:r>
            <w:r>
              <w:rPr>
                <w:noProof/>
                <w:webHidden/>
              </w:rPr>
              <w:fldChar w:fldCharType="end"/>
            </w:r>
          </w:hyperlink>
        </w:p>
        <w:p w14:paraId="63743BE3" w14:textId="40D29EA8" w:rsidR="00327A40" w:rsidRDefault="00327A40">
          <w:pPr>
            <w:pStyle w:val="TOC1"/>
            <w:tabs>
              <w:tab w:val="right" w:leader="dot" w:pos="9016"/>
            </w:tabs>
            <w:rPr>
              <w:noProof/>
            </w:rPr>
          </w:pPr>
          <w:hyperlink w:anchor="_Toc203216874" w:history="1">
            <w:r w:rsidRPr="008713B4">
              <w:rPr>
                <w:rStyle w:val="Hyperlink"/>
                <w:noProof/>
                <w:lang w:val="en-IN"/>
              </w:rPr>
              <w:t>Main Body</w:t>
            </w:r>
            <w:r>
              <w:rPr>
                <w:noProof/>
                <w:webHidden/>
              </w:rPr>
              <w:tab/>
            </w:r>
            <w:r>
              <w:rPr>
                <w:noProof/>
                <w:webHidden/>
              </w:rPr>
              <w:fldChar w:fldCharType="begin"/>
            </w:r>
            <w:r>
              <w:rPr>
                <w:noProof/>
                <w:webHidden/>
              </w:rPr>
              <w:instrText xml:space="preserve"> PAGEREF _Toc203216874 \h </w:instrText>
            </w:r>
            <w:r>
              <w:rPr>
                <w:noProof/>
                <w:webHidden/>
              </w:rPr>
            </w:r>
            <w:r>
              <w:rPr>
                <w:noProof/>
                <w:webHidden/>
              </w:rPr>
              <w:fldChar w:fldCharType="separate"/>
            </w:r>
            <w:r>
              <w:rPr>
                <w:noProof/>
                <w:webHidden/>
              </w:rPr>
              <w:t>4</w:t>
            </w:r>
            <w:r>
              <w:rPr>
                <w:noProof/>
                <w:webHidden/>
              </w:rPr>
              <w:fldChar w:fldCharType="end"/>
            </w:r>
          </w:hyperlink>
        </w:p>
        <w:p w14:paraId="7D2A5A7D" w14:textId="6250FF68" w:rsidR="00327A40" w:rsidRDefault="00327A40">
          <w:pPr>
            <w:pStyle w:val="TOC1"/>
            <w:tabs>
              <w:tab w:val="right" w:leader="dot" w:pos="9016"/>
            </w:tabs>
            <w:rPr>
              <w:noProof/>
            </w:rPr>
          </w:pPr>
          <w:hyperlink w:anchor="_Toc203216875" w:history="1">
            <w:r w:rsidRPr="008713B4">
              <w:rPr>
                <w:rStyle w:val="Hyperlink"/>
                <w:noProof/>
                <w:lang w:val="en-IN"/>
              </w:rPr>
              <w:t>Conclusion</w:t>
            </w:r>
            <w:r>
              <w:rPr>
                <w:noProof/>
                <w:webHidden/>
              </w:rPr>
              <w:tab/>
            </w:r>
            <w:r>
              <w:rPr>
                <w:noProof/>
                <w:webHidden/>
              </w:rPr>
              <w:fldChar w:fldCharType="begin"/>
            </w:r>
            <w:r>
              <w:rPr>
                <w:noProof/>
                <w:webHidden/>
              </w:rPr>
              <w:instrText xml:space="preserve"> PAGEREF _Toc203216875 \h </w:instrText>
            </w:r>
            <w:r>
              <w:rPr>
                <w:noProof/>
                <w:webHidden/>
              </w:rPr>
            </w:r>
            <w:r>
              <w:rPr>
                <w:noProof/>
                <w:webHidden/>
              </w:rPr>
              <w:fldChar w:fldCharType="separate"/>
            </w:r>
            <w:r>
              <w:rPr>
                <w:noProof/>
                <w:webHidden/>
              </w:rPr>
              <w:t>6</w:t>
            </w:r>
            <w:r>
              <w:rPr>
                <w:noProof/>
                <w:webHidden/>
              </w:rPr>
              <w:fldChar w:fldCharType="end"/>
            </w:r>
          </w:hyperlink>
        </w:p>
        <w:p w14:paraId="5CDE643F" w14:textId="6F210927" w:rsidR="00327A40" w:rsidRDefault="00327A40">
          <w:pPr>
            <w:pStyle w:val="TOC1"/>
            <w:tabs>
              <w:tab w:val="right" w:leader="dot" w:pos="9016"/>
            </w:tabs>
            <w:rPr>
              <w:noProof/>
            </w:rPr>
          </w:pPr>
          <w:hyperlink w:anchor="_Toc203216876" w:history="1">
            <w:r w:rsidRPr="008713B4">
              <w:rPr>
                <w:rStyle w:val="Hyperlink"/>
                <w:noProof/>
                <w:lang w:val="en-IN"/>
              </w:rPr>
              <w:t>References</w:t>
            </w:r>
            <w:r>
              <w:rPr>
                <w:noProof/>
                <w:webHidden/>
              </w:rPr>
              <w:tab/>
            </w:r>
            <w:r>
              <w:rPr>
                <w:noProof/>
                <w:webHidden/>
              </w:rPr>
              <w:fldChar w:fldCharType="begin"/>
            </w:r>
            <w:r>
              <w:rPr>
                <w:noProof/>
                <w:webHidden/>
              </w:rPr>
              <w:instrText xml:space="preserve"> PAGEREF _Toc203216876 \h </w:instrText>
            </w:r>
            <w:r>
              <w:rPr>
                <w:noProof/>
                <w:webHidden/>
              </w:rPr>
            </w:r>
            <w:r>
              <w:rPr>
                <w:noProof/>
                <w:webHidden/>
              </w:rPr>
              <w:fldChar w:fldCharType="separate"/>
            </w:r>
            <w:r>
              <w:rPr>
                <w:noProof/>
                <w:webHidden/>
              </w:rPr>
              <w:t>7</w:t>
            </w:r>
            <w:r>
              <w:rPr>
                <w:noProof/>
                <w:webHidden/>
              </w:rPr>
              <w:fldChar w:fldCharType="end"/>
            </w:r>
          </w:hyperlink>
        </w:p>
        <w:p w14:paraId="6224740E" w14:textId="6168FE59" w:rsidR="00327A40" w:rsidRDefault="00327A40">
          <w:r>
            <w:rPr>
              <w:b/>
              <w:bCs/>
              <w:noProof/>
            </w:rPr>
            <w:fldChar w:fldCharType="end"/>
          </w:r>
        </w:p>
      </w:sdtContent>
    </w:sdt>
    <w:p w14:paraId="4BD121AC" w14:textId="77777777" w:rsidR="00327A40" w:rsidRDefault="00327A40">
      <w:pPr>
        <w:spacing w:line="276" w:lineRule="auto"/>
        <w:jc w:val="left"/>
        <w:rPr>
          <w:lang w:val="en-IN"/>
        </w:rPr>
      </w:pPr>
      <w:r>
        <w:rPr>
          <w:lang w:val="en-IN"/>
        </w:rPr>
        <w:br w:type="page"/>
      </w:r>
    </w:p>
    <w:p w14:paraId="3E60371C" w14:textId="1DC34E79" w:rsidR="00327A40" w:rsidRDefault="00327A40" w:rsidP="00327A40">
      <w:pPr>
        <w:pStyle w:val="Heading1"/>
        <w:rPr>
          <w:lang w:val="en-IN"/>
        </w:rPr>
      </w:pPr>
      <w:bookmarkStart w:id="0" w:name="_Toc203216873"/>
      <w:r>
        <w:rPr>
          <w:lang w:val="en-IN"/>
        </w:rPr>
        <w:lastRenderedPageBreak/>
        <w:t>Introduction</w:t>
      </w:r>
      <w:bookmarkEnd w:id="0"/>
    </w:p>
    <w:p w14:paraId="038C7BB3" w14:textId="7A76DB6F" w:rsidR="00327A40" w:rsidRPr="00327A40" w:rsidRDefault="00327A40" w:rsidP="00327A40">
      <w:pPr>
        <w:rPr>
          <w:lang w:val="en-IN"/>
        </w:rPr>
      </w:pPr>
      <w:r w:rsidRPr="00327A40">
        <w:rPr>
          <w:lang w:val="en-IN"/>
        </w:rPr>
        <w:t>Business ethics and corporate social responsibility (CSR) drive organisational reputation and strategy in the modern globalised economy. Business ethics are moral norms that shape decisions and actions within organisations so that behaviour aligns with stand</w:t>
      </w:r>
      <w:r w:rsidR="003A6ED7">
        <w:rPr>
          <w:lang w:val="en-IN"/>
        </w:rPr>
        <w:t>ards of right and wrong</w:t>
      </w:r>
      <w:r w:rsidRPr="00327A40">
        <w:rPr>
          <w:lang w:val="en-IN"/>
        </w:rPr>
        <w:t>. CSR takes these values to an extended environmental and social sphere, anticipating businesses to carry out their activities in a responsible manner, environmentally, and to serve society. This essay explores CSR-business ethics-business performance relationships by (1) introducing relevant definitions, (2) presenting applicable theoretical frameworks, (3) investigating the impact of ethical and CSR practices on performance, and (4) illustrating these dynamics using three actual organisations. Representing that ethical behaviour and sensible practice not only satisfy moral standards but also propel competitive success, this debate synthesises arguments between groundbreaking scholarly books to demonstrate how ethics and CSR are catalysts of long‑term organisational success.</w:t>
      </w:r>
    </w:p>
    <w:p w14:paraId="48F7BF63" w14:textId="77777777" w:rsidR="00327A40" w:rsidRDefault="00327A40">
      <w:pPr>
        <w:spacing w:line="276" w:lineRule="auto"/>
        <w:jc w:val="left"/>
        <w:rPr>
          <w:lang w:val="en-IN"/>
        </w:rPr>
      </w:pPr>
      <w:r>
        <w:rPr>
          <w:lang w:val="en-IN"/>
        </w:rPr>
        <w:br w:type="page"/>
      </w:r>
    </w:p>
    <w:p w14:paraId="704EED33" w14:textId="63762695" w:rsidR="00327A40" w:rsidRPr="00327A40" w:rsidRDefault="00327A40" w:rsidP="00327A40">
      <w:pPr>
        <w:pStyle w:val="Heading1"/>
        <w:rPr>
          <w:lang w:val="en-IN"/>
        </w:rPr>
      </w:pPr>
      <w:bookmarkStart w:id="1" w:name="_Toc203216874"/>
      <w:r w:rsidRPr="00327A40">
        <w:rPr>
          <w:lang w:val="en-IN"/>
        </w:rPr>
        <w:lastRenderedPageBreak/>
        <w:t>Main Body</w:t>
      </w:r>
      <w:bookmarkEnd w:id="1"/>
    </w:p>
    <w:p w14:paraId="1EEEC2D4" w14:textId="726E6F66" w:rsidR="00327A40" w:rsidRPr="00327A40" w:rsidRDefault="00327A40" w:rsidP="00327A40">
      <w:pPr>
        <w:rPr>
          <w:lang w:val="en-IN"/>
        </w:rPr>
      </w:pPr>
      <w:r w:rsidRPr="00327A40">
        <w:rPr>
          <w:lang w:val="en-IN"/>
        </w:rPr>
        <w:t>Business ethics are norms and expectations that regulate corporate practice, with emphasis on integrity, justice, and accountability in stakeholder interactions. Transparency, respect for rights, and not causing harm are the ethical decision-making requirements, thus building customer, employee, and investor trust. Corporate social responsibility, or CSR, is voluntary action by corporations to incorporate social and environmental considerations into business practices and stakeholder interactions. CSR activities go beyond regulatory requirements, often to the point of addressing broader societal interests, ranging from building community to safeguarding the environment. One of the most common theoretical frameworks for explaining CSR is Elkington's Triple Bottom Line (TBL), which measures performance in three dimensions</w:t>
      </w:r>
      <w:r w:rsidR="000743F2">
        <w:rPr>
          <w:lang w:val="en-IN"/>
        </w:rPr>
        <w:t xml:space="preserve">: </w:t>
      </w:r>
      <w:r w:rsidRPr="00327A40">
        <w:rPr>
          <w:lang w:val="en-IN"/>
        </w:rPr>
        <w:t>economic, social, and environmental</w:t>
      </w:r>
      <w:r w:rsidR="000743F2">
        <w:rPr>
          <w:lang w:val="en-IN"/>
        </w:rPr>
        <w:t xml:space="preserve">, </w:t>
      </w:r>
      <w:r w:rsidRPr="00327A40">
        <w:rPr>
          <w:lang w:val="en-IN"/>
        </w:rPr>
        <w:t>and challenges businesses to adopt "people, planet, profit" objectives harmoniously</w:t>
      </w:r>
      <w:r w:rsidR="000743F2">
        <w:rPr>
          <w:lang w:val="en-IN"/>
        </w:rPr>
        <w:t xml:space="preserve"> (</w:t>
      </w:r>
      <w:r w:rsidR="000743F2" w:rsidRPr="000743F2">
        <w:t>Omazić, 2023</w:t>
      </w:r>
      <w:r w:rsidR="000743F2">
        <w:t>)</w:t>
      </w:r>
      <w:r w:rsidR="000743F2" w:rsidRPr="00E3029D">
        <w:t>.</w:t>
      </w:r>
      <w:r w:rsidRPr="00327A40">
        <w:rPr>
          <w:lang w:val="en-IN"/>
        </w:rPr>
        <w:t xml:space="preserve"> Carroll's CSR Pyramid then refines the above view </w:t>
      </w:r>
      <w:r w:rsidR="000743F2">
        <w:rPr>
          <w:lang w:val="en-IN"/>
        </w:rPr>
        <w:t>by</w:t>
      </w:r>
      <w:r w:rsidRPr="00327A40">
        <w:rPr>
          <w:lang w:val="en-IN"/>
        </w:rPr>
        <w:t xml:space="preserve"> suggesting a pyramid structure of obligations: profit-making economic, legal (rule compliance), ethical (doing what is right), and philanthropic (voluntary donations), wherein the layers of ethics and philanthropy are erected on the economic and legal foundation. Together, these theories demonstrate how CSR and ethics are not peripheral but core to sustainable business models; the integration of ethical considerations into business strategy allows companies to gain greater control over stakeholder expectations and improve long‑term sustainability.</w:t>
      </w:r>
    </w:p>
    <w:p w14:paraId="48B4F7E3" w14:textId="2A76EAEF" w:rsidR="00327A40" w:rsidRPr="00327A40" w:rsidRDefault="00327A40" w:rsidP="00327A40">
      <w:pPr>
        <w:rPr>
          <w:lang w:val="en-IN"/>
        </w:rPr>
      </w:pPr>
      <w:r w:rsidRPr="00327A40">
        <w:rPr>
          <w:lang w:val="en-IN"/>
        </w:rPr>
        <w:t>High CSR and ethics build company reputation, which builds customer loyalty and defends a premium price. For instance, Unilever's Sustainable Living Plan brings TBL thinking alive with initiatives on water stewardship and fair labour, enhancing its brand reputation and achieving 69 per cent growth in "Sustainable Living" brands–almost twice the company average</w:t>
      </w:r>
      <w:r w:rsidR="00EC1D7F">
        <w:rPr>
          <w:lang w:val="en-IN"/>
        </w:rPr>
        <w:t xml:space="preserve"> (</w:t>
      </w:r>
      <w:r w:rsidR="00EC1D7F" w:rsidRPr="00806E6D">
        <w:t>Breyer</w:t>
      </w:r>
      <w:r w:rsidR="00EC1D7F">
        <w:t xml:space="preserve"> et al., 2019).</w:t>
      </w:r>
      <w:r w:rsidRPr="00327A40">
        <w:rPr>
          <w:lang w:val="en-IN"/>
        </w:rPr>
        <w:t xml:space="preserve"> Such reputation building brings differentiation to the market and enhances financial performance. In addition, ethical frameworks assist companies to anticipate and minimise law and regulation threats: Tesla, once experiencing issues of compliance in battery purchases, implemented tighter supplier inspections and relations with the surrounding community, cutting down on supply‑chain failures and adverse publicity in the press. CSR activities also produce employee pride and motivation; Google's "Green Campus" initiative, striking a balance between environmental accountability and philanthropic volunteer days, has been associated with greater employee satisfaction a</w:t>
      </w:r>
      <w:r w:rsidR="003A6ED7">
        <w:rPr>
          <w:lang w:val="en-IN"/>
        </w:rPr>
        <w:t>nd reduced turnover</w:t>
      </w:r>
      <w:r w:rsidRPr="00327A40">
        <w:rPr>
          <w:lang w:val="en-IN"/>
        </w:rPr>
        <w:t xml:space="preserve">, to create more innovation and productivity. In finance, investors are increasingly incorporating environmental, social, and governance (ESG) factors into their investment choices. </w:t>
      </w:r>
      <w:r w:rsidR="00EC1D7F">
        <w:rPr>
          <w:lang w:val="en-IN"/>
        </w:rPr>
        <w:t xml:space="preserve">It has been </w:t>
      </w:r>
      <w:r w:rsidR="00EC1D7F">
        <w:rPr>
          <w:lang w:val="en-IN"/>
        </w:rPr>
        <w:lastRenderedPageBreak/>
        <w:t>discovered that companies with high CSR profiles have a lower cost of capital and more differentiated investor pools, as ESG-centric funds continue to expand (</w:t>
      </w:r>
      <w:r w:rsidR="00EC1D7F" w:rsidRPr="00806E6D">
        <w:t>Abdollahi,</w:t>
      </w:r>
      <w:r w:rsidR="00EC1D7F">
        <w:t xml:space="preserve"> </w:t>
      </w:r>
      <w:r w:rsidR="00EC1D7F" w:rsidRPr="00806E6D">
        <w:t>2024</w:t>
      </w:r>
      <w:r w:rsidR="00EC1D7F">
        <w:t>)</w:t>
      </w:r>
      <w:r w:rsidR="00EC1D7F" w:rsidRPr="00806E6D">
        <w:t>.</w:t>
      </w:r>
      <w:r w:rsidR="00EC1D7F">
        <w:t xml:space="preserve"> </w:t>
      </w:r>
      <w:r w:rsidRPr="00327A40">
        <w:rPr>
          <w:lang w:val="en-IN"/>
        </w:rPr>
        <w:t>Ethical duties even lead to product and business model innovations: Patagonia's adoption of environmental ethics spurred innovation in recycled content and repair-and-reuse products, creating new market niches and encouraging loyalty. Lastly, CSR creates successful stakeholder relationships; Starbucks' store-community model collaborates with neighbourhood groups on youth training initiatives, strengthening market coverage in the developing world and propelling sales growth through a contribution to society enhancement. The above analyses demonstrate that by linking moral values with strategic goals, organisations develop robust, flexible, and competitive market positions.</w:t>
      </w:r>
    </w:p>
    <w:p w14:paraId="58943BE9" w14:textId="58B86A5E" w:rsidR="00327A40" w:rsidRDefault="00327A40" w:rsidP="00EC1D7F">
      <w:pPr>
        <w:rPr>
          <w:lang w:val="en-IN"/>
        </w:rPr>
      </w:pPr>
      <w:r w:rsidRPr="00327A40">
        <w:rPr>
          <w:lang w:val="en-IN"/>
        </w:rPr>
        <w:t>Unilever's Sustainable Living Plan has embedded Triple Bottom Line ambitions into all aspects of its business, propelling its sustainable brands to perform at more than the company average, while drawing a large ESG‑based investment. Google's "Green Campus" program—centred on renewable energy, reduced waste, and employee-led community activities—has dramatically improved morale, teamwork, and idea generation among employees. Patagonia's circular economy business model, rooted in long-duration design, repairability, and reuse of recycled materials, has opened up new markets and entrenched brand commitment. Combined, they demonstrate that when ethics and CSR are embedded at the strategic centre, they pay tangible dividends: increased brand capital, more motivated and creative workforces, wider market opportunity, and increased investor confidence. Rather than being narrow moral imperatives, business ethics and CSR then become powerful forces for innovation, stakeholder trust, and long-term financial success, demonstrating that "doing well" and "doing good" are two sides of the same coin to long-term business achievement.</w:t>
      </w:r>
      <w:r>
        <w:rPr>
          <w:lang w:val="en-IN"/>
        </w:rPr>
        <w:br w:type="page"/>
      </w:r>
    </w:p>
    <w:p w14:paraId="5278F6A9" w14:textId="34E537A3" w:rsidR="00327A40" w:rsidRPr="00327A40" w:rsidRDefault="00327A40" w:rsidP="00327A40">
      <w:pPr>
        <w:pStyle w:val="Heading1"/>
        <w:rPr>
          <w:lang w:val="en-IN"/>
        </w:rPr>
      </w:pPr>
      <w:bookmarkStart w:id="2" w:name="_Toc203216875"/>
      <w:r w:rsidRPr="00327A40">
        <w:rPr>
          <w:lang w:val="en-IN"/>
        </w:rPr>
        <w:lastRenderedPageBreak/>
        <w:t>Conclusion</w:t>
      </w:r>
      <w:bookmarkEnd w:id="2"/>
    </w:p>
    <w:p w14:paraId="299E7928" w14:textId="0ABFC2DD" w:rsidR="00CF15B3" w:rsidRDefault="00327A40" w:rsidP="00327A40">
      <w:pPr>
        <w:rPr>
          <w:lang w:val="en-IN"/>
        </w:rPr>
      </w:pPr>
      <w:r w:rsidRPr="00327A40">
        <w:rPr>
          <w:lang w:val="en-IN"/>
        </w:rPr>
        <w:t>The essay has illustrated that business ethics and CSR are mutually supporting elements of a new corporate strategy and drive superi</w:t>
      </w:r>
      <w:r w:rsidR="003A6ED7">
        <w:rPr>
          <w:lang w:val="en-IN"/>
        </w:rPr>
        <w:t xml:space="preserve">or business performance. </w:t>
      </w:r>
      <w:r w:rsidR="000743F2" w:rsidRPr="00EC1D7F">
        <w:t>Golob</w:t>
      </w:r>
      <w:r w:rsidR="000743F2">
        <w:t xml:space="preserve"> et al. (</w:t>
      </w:r>
      <w:r w:rsidR="000743F2" w:rsidRPr="00EC1D7F">
        <w:t>2019)</w:t>
      </w:r>
      <w:r w:rsidR="000743F2">
        <w:t xml:space="preserve"> </w:t>
      </w:r>
      <w:r w:rsidR="00A53DF8">
        <w:rPr>
          <w:lang w:val="en-IN"/>
        </w:rPr>
        <w:t>define ethics as a requirement for</w:t>
      </w:r>
      <w:r w:rsidRPr="00327A40">
        <w:rPr>
          <w:lang w:val="en-IN"/>
        </w:rPr>
        <w:t xml:space="preserve"> moral behaviour, with CSR applying responsibility to social and environmental areas</w:t>
      </w:r>
      <w:r w:rsidR="00EC1D7F" w:rsidRPr="00EC1D7F">
        <w:t>.</w:t>
      </w:r>
      <w:r w:rsidRPr="00327A40">
        <w:rPr>
          <w:lang w:val="en-IN"/>
        </w:rPr>
        <w:t xml:space="preserve"> Conceptual frameworks like the Triple Bottom Line and Carroll's CSR Pyramid provide insight into how economic, legal, ethical, and philanthropic responsibilities are interconnected to generate sustainable value </w:t>
      </w:r>
      <w:r w:rsidR="00EC1D7F">
        <w:rPr>
          <w:lang w:val="en-IN"/>
        </w:rPr>
        <w:t>(</w:t>
      </w:r>
      <w:r w:rsidR="00EC1D7F" w:rsidRPr="00806E6D">
        <w:t>Štreimikienė and Ahmed, 2021</w:t>
      </w:r>
      <w:r w:rsidR="00EC1D7F">
        <w:t>)</w:t>
      </w:r>
      <w:r w:rsidR="00EC1D7F" w:rsidRPr="00806E6D">
        <w:t>.</w:t>
      </w:r>
      <w:r w:rsidRPr="00327A40">
        <w:rPr>
          <w:lang w:val="en-IN"/>
        </w:rPr>
        <w:t xml:space="preserve"> Reputation management, risk control, employee engagement, access to capital, innovation, and stakeholder management analysis are evidence that ethical and CSR activities bear tangible and intangible performance advantages. Case studies of Unilever, Google, and Patagonia demonstrate that companies with ethics and social responsibility orientation attain business growth and sustainability and a competitive edge. Finally, the combination of ethics and CSR in strategic choice is not just an ethical necessity but a practical path to sustainable business success.</w:t>
      </w:r>
      <w:r w:rsidR="00CF15B3">
        <w:rPr>
          <w:lang w:val="en-IN"/>
        </w:rPr>
        <w:br w:type="page"/>
      </w:r>
    </w:p>
    <w:p w14:paraId="2D223116" w14:textId="1EDA696B" w:rsidR="00CF15B3" w:rsidRDefault="00327A40" w:rsidP="00327A40">
      <w:pPr>
        <w:pStyle w:val="Heading1"/>
        <w:rPr>
          <w:lang w:val="en-IN"/>
        </w:rPr>
      </w:pPr>
      <w:bookmarkStart w:id="3" w:name="_Toc203216876"/>
      <w:r>
        <w:rPr>
          <w:lang w:val="en-IN"/>
        </w:rPr>
        <w:lastRenderedPageBreak/>
        <w:t>References</w:t>
      </w:r>
      <w:bookmarkEnd w:id="3"/>
    </w:p>
    <w:p w14:paraId="6132CC16" w14:textId="77777777" w:rsidR="00A53DF8" w:rsidRDefault="00A53DF8" w:rsidP="00A53DF8">
      <w:r w:rsidRPr="00806E6D">
        <w:t xml:space="preserve">Abdollahi, H., </w:t>
      </w:r>
      <w:r>
        <w:t>(</w:t>
      </w:r>
      <w:r w:rsidRPr="00806E6D">
        <w:t>2024</w:t>
      </w:r>
      <w:r>
        <w:t>)</w:t>
      </w:r>
      <w:r w:rsidRPr="00806E6D">
        <w:t>. ESG Investing Narratives and Sectoral Returns.</w:t>
      </w:r>
      <w:r>
        <w:t xml:space="preserve"> Available at: </w:t>
      </w:r>
      <w:r w:rsidRPr="00806E6D">
        <w:t>Abdollahi, Hooman, ESG Investing Narratives and Sectoral Returns (December 10, 2024). Available at SSRN: </w:t>
      </w:r>
      <w:hyperlink r:id="rId8" w:tgtFrame="_blank" w:history="1">
        <w:r w:rsidRPr="00806E6D">
          <w:rPr>
            <w:rStyle w:val="Hyperlink"/>
          </w:rPr>
          <w:t>http://dx.doi.org/10.2139/ssrn.5156129</w:t>
        </w:r>
      </w:hyperlink>
      <w:r>
        <w:t xml:space="preserve"> </w:t>
      </w:r>
      <w:r w:rsidRPr="00806E6D">
        <w:t>(Accessed: 13 July 2025)</w:t>
      </w:r>
    </w:p>
    <w:p w14:paraId="74CC4CFE" w14:textId="77777777" w:rsidR="00A53DF8" w:rsidRDefault="00A53DF8" w:rsidP="00A53DF8">
      <w:r w:rsidRPr="00806E6D">
        <w:t xml:space="preserve">Breyer, Y., Tan, L., Zaheer, H., Denby, L. and Rickards, S., </w:t>
      </w:r>
      <w:r>
        <w:t>(</w:t>
      </w:r>
      <w:r w:rsidRPr="00806E6D">
        <w:t>2019</w:t>
      </w:r>
      <w:r>
        <w:t>)</w:t>
      </w:r>
      <w:r w:rsidRPr="00806E6D">
        <w:t>. </w:t>
      </w:r>
      <w:r w:rsidRPr="00806E6D">
        <w:rPr>
          <w:i/>
          <w:iCs/>
        </w:rPr>
        <w:t>Aligning business education with industry expectations on employability and sustainability</w:t>
      </w:r>
      <w:r w:rsidRPr="00806E6D">
        <w:t>. Australian Government Department of Education and Training.</w:t>
      </w:r>
      <w:r>
        <w:t xml:space="preserve"> Available at: </w:t>
      </w:r>
      <w:hyperlink r:id="rId9" w:history="1">
        <w:r w:rsidRPr="00FE2592">
          <w:rPr>
            <w:rStyle w:val="Hyperlink"/>
          </w:rPr>
          <w:t>https://research-management.mq.edu.au/ws/portalfiles/portal/104497796/100481654.pdf</w:t>
        </w:r>
      </w:hyperlink>
      <w:r>
        <w:t xml:space="preserve"> </w:t>
      </w:r>
      <w:r w:rsidRPr="00806E6D">
        <w:t>(Accessed: 13 July 2025)</w:t>
      </w:r>
    </w:p>
    <w:p w14:paraId="5CB2A6C8" w14:textId="77777777" w:rsidR="00A53DF8" w:rsidRDefault="00A53DF8" w:rsidP="00A53DF8">
      <w:r w:rsidRPr="00806E6D">
        <w:t xml:space="preserve">Golob, U., Podnar, K., Koklič, M.K. and Zabkar, V., </w:t>
      </w:r>
      <w:r>
        <w:t>(</w:t>
      </w:r>
      <w:r w:rsidRPr="00806E6D">
        <w:t>2019</w:t>
      </w:r>
      <w:r>
        <w:t>)</w:t>
      </w:r>
      <w:r w:rsidRPr="00806E6D">
        <w:t>. The importance of corporate social responsibility for responsible consumption: Exploring moral motivations of consumers. </w:t>
      </w:r>
      <w:r w:rsidRPr="00806E6D">
        <w:rPr>
          <w:i/>
          <w:iCs/>
        </w:rPr>
        <w:t>Corporate Social Responsibility and Environmental Management</w:t>
      </w:r>
      <w:r w:rsidRPr="00806E6D">
        <w:t>, </w:t>
      </w:r>
      <w:r w:rsidRPr="00806E6D">
        <w:rPr>
          <w:i/>
          <w:iCs/>
        </w:rPr>
        <w:t>26</w:t>
      </w:r>
      <w:r w:rsidRPr="00806E6D">
        <w:t>(2), pp.416-423.</w:t>
      </w:r>
      <w:r>
        <w:t xml:space="preserve"> Available at: </w:t>
      </w:r>
      <w:r w:rsidRPr="00806E6D">
        <w:t xml:space="preserve"> </w:t>
      </w:r>
      <w:hyperlink r:id="rId10" w:history="1">
        <w:r w:rsidRPr="00FE2592">
          <w:rPr>
            <w:rStyle w:val="Hyperlink"/>
          </w:rPr>
          <w:t>https://doi.org/10.1002/csr.1693</w:t>
        </w:r>
      </w:hyperlink>
      <w:r>
        <w:t xml:space="preserve"> </w:t>
      </w:r>
      <w:r w:rsidRPr="00806E6D">
        <w:t>(Accessed: 13 July 2025)</w:t>
      </w:r>
    </w:p>
    <w:p w14:paraId="4CB51FE5" w14:textId="77777777" w:rsidR="00A53DF8" w:rsidRDefault="00A53DF8" w:rsidP="00A53DF8">
      <w:r w:rsidRPr="00E3029D">
        <w:t xml:space="preserve">Omazić, M.A., </w:t>
      </w:r>
      <w:r>
        <w:t>(</w:t>
      </w:r>
      <w:r w:rsidRPr="00E3029D">
        <w:t>2023</w:t>
      </w:r>
      <w:r>
        <w:t>)</w:t>
      </w:r>
      <w:r w:rsidRPr="00E3029D">
        <w:t>. Navigating Corporate Responsibility: Unveiling the'Purpose'as the Fourth P in Elkington's 3Ps Model. </w:t>
      </w:r>
      <w:r w:rsidRPr="00E3029D">
        <w:rPr>
          <w:i/>
          <w:iCs/>
        </w:rPr>
        <w:t>Croatian regional development journal</w:t>
      </w:r>
      <w:r w:rsidRPr="00E3029D">
        <w:t>, </w:t>
      </w:r>
      <w:r w:rsidRPr="00E3029D">
        <w:rPr>
          <w:i/>
          <w:iCs/>
        </w:rPr>
        <w:t>4</w:t>
      </w:r>
      <w:r w:rsidRPr="00E3029D">
        <w:t>(2), pp.1-23.</w:t>
      </w:r>
      <w:r>
        <w:t xml:space="preserve"> Availble at: </w:t>
      </w:r>
      <w:hyperlink r:id="rId11" w:history="1">
        <w:r w:rsidRPr="00E3029D">
          <w:rPr>
            <w:rStyle w:val="Hyperlink"/>
          </w:rPr>
          <w:t>https://hrcak.srce.hr/312478</w:t>
        </w:r>
      </w:hyperlink>
      <w:r>
        <w:t xml:space="preserve"> </w:t>
      </w:r>
      <w:r w:rsidRPr="00E3029D">
        <w:t>(Accessed: 13 July 2025)</w:t>
      </w:r>
    </w:p>
    <w:p w14:paraId="0C3FEDC9" w14:textId="42BA21EC" w:rsidR="00327A40" w:rsidRPr="00F321C9" w:rsidRDefault="00A53DF8" w:rsidP="00EC1D7F">
      <w:r w:rsidRPr="00806E6D">
        <w:t xml:space="preserve">Štreimikienė, D. and Ahmed, R.R., </w:t>
      </w:r>
      <w:r>
        <w:t>(</w:t>
      </w:r>
      <w:r w:rsidRPr="00806E6D">
        <w:t>2021</w:t>
      </w:r>
      <w:r>
        <w:t>)</w:t>
      </w:r>
      <w:r w:rsidRPr="00806E6D">
        <w:t>. Corporate social responsibility and brand management: Evidence from Carroll’s pyramid and triple bottom line approaches. </w:t>
      </w:r>
      <w:r w:rsidRPr="00806E6D">
        <w:rPr>
          <w:i/>
          <w:iCs/>
        </w:rPr>
        <w:t>Technological and Economic Development of Economy</w:t>
      </w:r>
      <w:r w:rsidRPr="00806E6D">
        <w:t>, </w:t>
      </w:r>
      <w:r w:rsidRPr="00806E6D">
        <w:rPr>
          <w:i/>
          <w:iCs/>
        </w:rPr>
        <w:t>27</w:t>
      </w:r>
      <w:r w:rsidRPr="00806E6D">
        <w:t>(4), pp.852-875.</w:t>
      </w:r>
      <w:r>
        <w:t xml:space="preserve"> Available at: </w:t>
      </w:r>
      <w:hyperlink r:id="rId12" w:history="1">
        <w:r w:rsidRPr="00FE2592">
          <w:rPr>
            <w:rStyle w:val="Hyperlink"/>
          </w:rPr>
          <w:t>https://ijspm.vgtu.lt/index.php/TEDE/article/download/14520/10467</w:t>
        </w:r>
      </w:hyperlink>
      <w:r>
        <w:t xml:space="preserve"> (Accessed: 13 July 2025)</w:t>
      </w:r>
    </w:p>
    <w:sectPr w:rsidR="00327A40" w:rsidRPr="00F321C9">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5F660C" w14:textId="77777777" w:rsidR="00CB6C10" w:rsidRDefault="00CB6C10" w:rsidP="00CF15B3">
      <w:pPr>
        <w:spacing w:after="0" w:line="240" w:lineRule="auto"/>
      </w:pPr>
      <w:r>
        <w:separator/>
      </w:r>
    </w:p>
  </w:endnote>
  <w:endnote w:type="continuationSeparator" w:id="0">
    <w:p w14:paraId="3EB2A984" w14:textId="77777777" w:rsidR="00CB6C10" w:rsidRDefault="00CB6C10" w:rsidP="00CF15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0134448"/>
      <w:docPartObj>
        <w:docPartGallery w:val="Page Numbers (Bottom of Page)"/>
        <w:docPartUnique/>
      </w:docPartObj>
    </w:sdtPr>
    <w:sdtEndPr>
      <w:rPr>
        <w:noProof/>
      </w:rPr>
    </w:sdtEndPr>
    <w:sdtContent>
      <w:p w14:paraId="14C3418C" w14:textId="757F32D6" w:rsidR="00CF15B3" w:rsidRDefault="00CF15B3">
        <w:pPr>
          <w:pStyle w:val="Footer"/>
          <w:jc w:val="right"/>
        </w:pPr>
        <w:r>
          <w:fldChar w:fldCharType="begin"/>
        </w:r>
        <w:r>
          <w:instrText xml:space="preserve"> PAGE   \* MERGEFORMAT </w:instrText>
        </w:r>
        <w:r>
          <w:fldChar w:fldCharType="separate"/>
        </w:r>
        <w:r w:rsidR="003A6ED7">
          <w:rPr>
            <w:noProof/>
          </w:rPr>
          <w:t>1</w:t>
        </w:r>
        <w:r>
          <w:rPr>
            <w:noProof/>
          </w:rPr>
          <w:fldChar w:fldCharType="end"/>
        </w:r>
      </w:p>
    </w:sdtContent>
  </w:sdt>
  <w:p w14:paraId="3E0E05BF" w14:textId="77777777" w:rsidR="00CF15B3" w:rsidRDefault="00CF15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02B8E4" w14:textId="77777777" w:rsidR="00CB6C10" w:rsidRDefault="00CB6C10" w:rsidP="00CF15B3">
      <w:pPr>
        <w:spacing w:after="0" w:line="240" w:lineRule="auto"/>
      </w:pPr>
      <w:r>
        <w:separator/>
      </w:r>
    </w:p>
  </w:footnote>
  <w:footnote w:type="continuationSeparator" w:id="0">
    <w:p w14:paraId="5ABE24F7" w14:textId="77777777" w:rsidR="00CB6C10" w:rsidRDefault="00CB6C10" w:rsidP="00CF15B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683C"/>
    <w:rsid w:val="000331BC"/>
    <w:rsid w:val="000743F2"/>
    <w:rsid w:val="000B3D07"/>
    <w:rsid w:val="000B76AF"/>
    <w:rsid w:val="000D7763"/>
    <w:rsid w:val="00165DA0"/>
    <w:rsid w:val="002457FB"/>
    <w:rsid w:val="002E6459"/>
    <w:rsid w:val="00327A40"/>
    <w:rsid w:val="003A6ED7"/>
    <w:rsid w:val="004640CC"/>
    <w:rsid w:val="00495C5C"/>
    <w:rsid w:val="004E0DEF"/>
    <w:rsid w:val="0051558B"/>
    <w:rsid w:val="005F0F2F"/>
    <w:rsid w:val="00641FC6"/>
    <w:rsid w:val="00664B5B"/>
    <w:rsid w:val="006D5BE5"/>
    <w:rsid w:val="007A58D9"/>
    <w:rsid w:val="009C363D"/>
    <w:rsid w:val="00A24F1F"/>
    <w:rsid w:val="00A53DF8"/>
    <w:rsid w:val="00A56F96"/>
    <w:rsid w:val="00A7683C"/>
    <w:rsid w:val="00AF05AC"/>
    <w:rsid w:val="00C4179D"/>
    <w:rsid w:val="00C93A45"/>
    <w:rsid w:val="00CA6C9B"/>
    <w:rsid w:val="00CB6C10"/>
    <w:rsid w:val="00CF15B3"/>
    <w:rsid w:val="00DF4CC5"/>
    <w:rsid w:val="00EC1D7F"/>
    <w:rsid w:val="00F321C9"/>
    <w:rsid w:val="00F667D0"/>
    <w:rsid w:val="00F82A07"/>
    <w:rsid w:val="00F82FF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B3C0418"/>
  <w15:chartTrackingRefBased/>
  <w15:docId w15:val="{DDABF3F1-FE8D-4794-8FB8-309FFE5AFF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hi-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0DE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E0DEF"/>
    <w:pPr>
      <w:keepNext/>
      <w:keepLines/>
      <w:spacing w:before="240" w:after="0"/>
      <w:outlineLvl w:val="0"/>
    </w:pPr>
    <w:rPr>
      <w:rFonts w:eastAsiaTheme="majorEastAsia" w:cstheme="majorBidi"/>
      <w:b/>
      <w:sz w:val="36"/>
      <w:szCs w:val="32"/>
    </w:rPr>
  </w:style>
  <w:style w:type="paragraph" w:styleId="Heading2">
    <w:name w:val="heading 2"/>
    <w:basedOn w:val="Normal"/>
    <w:next w:val="Normal"/>
    <w:link w:val="Heading2Char"/>
    <w:uiPriority w:val="9"/>
    <w:unhideWhenUsed/>
    <w:qFormat/>
    <w:rsid w:val="004E0DEF"/>
    <w:pPr>
      <w:keepNext/>
      <w:keepLines/>
      <w:spacing w:before="40" w:after="0"/>
      <w:outlineLvl w:val="1"/>
    </w:pPr>
    <w:rPr>
      <w:rFonts w:asciiTheme="majorBidi" w:eastAsiaTheme="majorEastAsia" w:hAnsiTheme="majorBidi" w:cstheme="majorBidi"/>
      <w:b/>
      <w:sz w:val="32"/>
      <w:szCs w:val="26"/>
    </w:rPr>
  </w:style>
  <w:style w:type="paragraph" w:styleId="Heading3">
    <w:name w:val="heading 3"/>
    <w:basedOn w:val="Normal"/>
    <w:next w:val="Normal"/>
    <w:link w:val="Heading3Char"/>
    <w:uiPriority w:val="9"/>
    <w:unhideWhenUsed/>
    <w:qFormat/>
    <w:rsid w:val="002457FB"/>
    <w:pPr>
      <w:keepNext/>
      <w:keepLines/>
      <w:spacing w:before="40" w:after="0"/>
      <w:outlineLvl w:val="2"/>
    </w:pPr>
    <w:rPr>
      <w:rFonts w:asciiTheme="majorBidi" w:eastAsiaTheme="majorEastAsia" w:hAnsiTheme="majorBidi" w:cs="Mangal"/>
      <w:b/>
      <w:sz w:val="28"/>
      <w:szCs w:val="21"/>
    </w:rPr>
  </w:style>
  <w:style w:type="paragraph" w:styleId="Heading4">
    <w:name w:val="heading 4"/>
    <w:basedOn w:val="Normal"/>
    <w:next w:val="Normal"/>
    <w:link w:val="Heading4Char"/>
    <w:uiPriority w:val="9"/>
    <w:semiHidden/>
    <w:unhideWhenUsed/>
    <w:qFormat/>
    <w:rsid w:val="00A7683C"/>
    <w:pPr>
      <w:keepNext/>
      <w:keepLines/>
      <w:spacing w:before="80" w:after="40"/>
      <w:outlineLvl w:val="3"/>
    </w:pPr>
    <w:rPr>
      <w:rFonts w:asciiTheme="minorHAnsi" w:eastAsiaTheme="majorEastAsia" w:hAnsiTheme="minorHAnsi" w:cs="Mangal"/>
      <w:i/>
      <w:iCs/>
      <w:color w:val="365F91" w:themeColor="accent1" w:themeShade="BF"/>
    </w:rPr>
  </w:style>
  <w:style w:type="paragraph" w:styleId="Heading5">
    <w:name w:val="heading 5"/>
    <w:basedOn w:val="Normal"/>
    <w:next w:val="Normal"/>
    <w:link w:val="Heading5Char"/>
    <w:uiPriority w:val="9"/>
    <w:semiHidden/>
    <w:unhideWhenUsed/>
    <w:qFormat/>
    <w:rsid w:val="00A7683C"/>
    <w:pPr>
      <w:keepNext/>
      <w:keepLines/>
      <w:spacing w:before="80" w:after="40"/>
      <w:outlineLvl w:val="4"/>
    </w:pPr>
    <w:rPr>
      <w:rFonts w:asciiTheme="minorHAnsi" w:eastAsiaTheme="majorEastAsia" w:hAnsiTheme="minorHAnsi" w:cs="Mangal"/>
      <w:color w:val="365F91" w:themeColor="accent1" w:themeShade="BF"/>
    </w:rPr>
  </w:style>
  <w:style w:type="paragraph" w:styleId="Heading6">
    <w:name w:val="heading 6"/>
    <w:basedOn w:val="Normal"/>
    <w:next w:val="Normal"/>
    <w:link w:val="Heading6Char"/>
    <w:uiPriority w:val="9"/>
    <w:semiHidden/>
    <w:unhideWhenUsed/>
    <w:qFormat/>
    <w:rsid w:val="00A7683C"/>
    <w:pPr>
      <w:keepNext/>
      <w:keepLines/>
      <w:spacing w:before="40" w:after="0"/>
      <w:outlineLvl w:val="5"/>
    </w:pPr>
    <w:rPr>
      <w:rFonts w:asciiTheme="minorHAnsi" w:eastAsiaTheme="majorEastAsia" w:hAnsiTheme="minorHAnsi" w:cs="Mangal"/>
      <w:i/>
      <w:iCs/>
      <w:color w:val="595959" w:themeColor="text1" w:themeTint="A6"/>
    </w:rPr>
  </w:style>
  <w:style w:type="paragraph" w:styleId="Heading7">
    <w:name w:val="heading 7"/>
    <w:basedOn w:val="Normal"/>
    <w:next w:val="Normal"/>
    <w:link w:val="Heading7Char"/>
    <w:uiPriority w:val="9"/>
    <w:semiHidden/>
    <w:unhideWhenUsed/>
    <w:qFormat/>
    <w:rsid w:val="00A7683C"/>
    <w:pPr>
      <w:keepNext/>
      <w:keepLines/>
      <w:spacing w:before="40" w:after="0"/>
      <w:outlineLvl w:val="6"/>
    </w:pPr>
    <w:rPr>
      <w:rFonts w:asciiTheme="minorHAnsi" w:eastAsiaTheme="majorEastAsia" w:hAnsiTheme="minorHAnsi" w:cs="Mangal"/>
      <w:color w:val="595959" w:themeColor="text1" w:themeTint="A6"/>
    </w:rPr>
  </w:style>
  <w:style w:type="paragraph" w:styleId="Heading8">
    <w:name w:val="heading 8"/>
    <w:basedOn w:val="Normal"/>
    <w:next w:val="Normal"/>
    <w:link w:val="Heading8Char"/>
    <w:uiPriority w:val="9"/>
    <w:semiHidden/>
    <w:unhideWhenUsed/>
    <w:qFormat/>
    <w:rsid w:val="00A7683C"/>
    <w:pPr>
      <w:keepNext/>
      <w:keepLines/>
      <w:spacing w:after="0"/>
      <w:outlineLvl w:val="7"/>
    </w:pPr>
    <w:rPr>
      <w:rFonts w:asciiTheme="minorHAnsi" w:eastAsiaTheme="majorEastAsia" w:hAnsiTheme="minorHAnsi" w:cs="Mangal"/>
      <w:i/>
      <w:iCs/>
      <w:color w:val="272727" w:themeColor="text1" w:themeTint="D8"/>
    </w:rPr>
  </w:style>
  <w:style w:type="paragraph" w:styleId="Heading9">
    <w:name w:val="heading 9"/>
    <w:basedOn w:val="Normal"/>
    <w:next w:val="Normal"/>
    <w:link w:val="Heading9Char"/>
    <w:uiPriority w:val="9"/>
    <w:semiHidden/>
    <w:unhideWhenUsed/>
    <w:qFormat/>
    <w:rsid w:val="00A7683C"/>
    <w:pPr>
      <w:keepNext/>
      <w:keepLines/>
      <w:spacing w:after="0"/>
      <w:outlineLvl w:val="8"/>
    </w:pPr>
    <w:rPr>
      <w:rFonts w:asciiTheme="minorHAnsi" w:eastAsiaTheme="majorEastAsia" w:hAnsiTheme="minorHAnsi" w:cs="Mangal"/>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0DEF"/>
    <w:rPr>
      <w:rFonts w:ascii="Times New Roman" w:eastAsiaTheme="majorEastAsia" w:hAnsi="Times New Roman" w:cstheme="majorBidi"/>
      <w:b/>
      <w:sz w:val="36"/>
      <w:szCs w:val="32"/>
    </w:rPr>
  </w:style>
  <w:style w:type="paragraph" w:styleId="Title">
    <w:name w:val="Title"/>
    <w:basedOn w:val="Heading3"/>
    <w:next w:val="Normal"/>
    <w:link w:val="TitleChar"/>
    <w:uiPriority w:val="10"/>
    <w:qFormat/>
    <w:rsid w:val="00AF05AC"/>
    <w:pPr>
      <w:keepNext w:val="0"/>
      <w:keepLines w:val="0"/>
      <w:spacing w:before="0" w:line="240" w:lineRule="auto"/>
      <w:contextualSpacing/>
      <w:outlineLvl w:val="9"/>
    </w:pPr>
    <w:rPr>
      <w:spacing w:val="-10"/>
      <w:kern w:val="28"/>
      <w:sz w:val="56"/>
      <w:szCs w:val="50"/>
    </w:rPr>
  </w:style>
  <w:style w:type="character" w:customStyle="1" w:styleId="TitleChar">
    <w:name w:val="Title Char"/>
    <w:basedOn w:val="DefaultParagraphFont"/>
    <w:link w:val="Title"/>
    <w:uiPriority w:val="10"/>
    <w:rsid w:val="00AF05AC"/>
    <w:rPr>
      <w:rFonts w:asciiTheme="majorHAnsi" w:eastAsiaTheme="majorEastAsia" w:hAnsiTheme="majorHAnsi" w:cs="Mangal"/>
      <w:spacing w:val="-10"/>
      <w:kern w:val="28"/>
      <w:sz w:val="56"/>
      <w:szCs w:val="50"/>
    </w:rPr>
  </w:style>
  <w:style w:type="character" w:customStyle="1" w:styleId="Heading3Char">
    <w:name w:val="Heading 3 Char"/>
    <w:basedOn w:val="DefaultParagraphFont"/>
    <w:link w:val="Heading3"/>
    <w:uiPriority w:val="9"/>
    <w:rsid w:val="002457FB"/>
    <w:rPr>
      <w:rFonts w:asciiTheme="majorBidi" w:eastAsiaTheme="majorEastAsia" w:hAnsiTheme="majorBidi" w:cs="Mangal"/>
      <w:b/>
      <w:sz w:val="28"/>
      <w:szCs w:val="21"/>
      <w:lang w:val="en-GB"/>
    </w:rPr>
  </w:style>
  <w:style w:type="character" w:customStyle="1" w:styleId="Heading2Char">
    <w:name w:val="Heading 2 Char"/>
    <w:basedOn w:val="DefaultParagraphFont"/>
    <w:link w:val="Heading2"/>
    <w:uiPriority w:val="9"/>
    <w:rsid w:val="004E0DEF"/>
    <w:rPr>
      <w:rFonts w:asciiTheme="majorBidi" w:eastAsiaTheme="majorEastAsia" w:hAnsiTheme="majorBidi" w:cstheme="majorBidi"/>
      <w:b/>
      <w:sz w:val="32"/>
      <w:szCs w:val="26"/>
    </w:rPr>
  </w:style>
  <w:style w:type="character" w:customStyle="1" w:styleId="Heading4Char">
    <w:name w:val="Heading 4 Char"/>
    <w:basedOn w:val="DefaultParagraphFont"/>
    <w:link w:val="Heading4"/>
    <w:uiPriority w:val="9"/>
    <w:semiHidden/>
    <w:rsid w:val="00A7683C"/>
    <w:rPr>
      <w:rFonts w:eastAsiaTheme="majorEastAsia" w:cs="Mangal"/>
      <w:i/>
      <w:iCs/>
      <w:color w:val="365F91" w:themeColor="accent1" w:themeShade="BF"/>
      <w:sz w:val="24"/>
      <w:lang w:val="en-GB"/>
    </w:rPr>
  </w:style>
  <w:style w:type="character" w:customStyle="1" w:styleId="Heading5Char">
    <w:name w:val="Heading 5 Char"/>
    <w:basedOn w:val="DefaultParagraphFont"/>
    <w:link w:val="Heading5"/>
    <w:uiPriority w:val="9"/>
    <w:semiHidden/>
    <w:rsid w:val="00A7683C"/>
    <w:rPr>
      <w:rFonts w:eastAsiaTheme="majorEastAsia" w:cs="Mangal"/>
      <w:color w:val="365F91" w:themeColor="accent1" w:themeShade="BF"/>
      <w:sz w:val="24"/>
      <w:lang w:val="en-GB"/>
    </w:rPr>
  </w:style>
  <w:style w:type="character" w:customStyle="1" w:styleId="Heading6Char">
    <w:name w:val="Heading 6 Char"/>
    <w:basedOn w:val="DefaultParagraphFont"/>
    <w:link w:val="Heading6"/>
    <w:uiPriority w:val="9"/>
    <w:semiHidden/>
    <w:rsid w:val="00A7683C"/>
    <w:rPr>
      <w:rFonts w:eastAsiaTheme="majorEastAsia" w:cs="Mangal"/>
      <w:i/>
      <w:iCs/>
      <w:color w:val="595959" w:themeColor="text1" w:themeTint="A6"/>
      <w:sz w:val="24"/>
      <w:lang w:val="en-GB"/>
    </w:rPr>
  </w:style>
  <w:style w:type="character" w:customStyle="1" w:styleId="Heading7Char">
    <w:name w:val="Heading 7 Char"/>
    <w:basedOn w:val="DefaultParagraphFont"/>
    <w:link w:val="Heading7"/>
    <w:uiPriority w:val="9"/>
    <w:semiHidden/>
    <w:rsid w:val="00A7683C"/>
    <w:rPr>
      <w:rFonts w:eastAsiaTheme="majorEastAsia" w:cs="Mangal"/>
      <w:color w:val="595959" w:themeColor="text1" w:themeTint="A6"/>
      <w:sz w:val="24"/>
      <w:lang w:val="en-GB"/>
    </w:rPr>
  </w:style>
  <w:style w:type="character" w:customStyle="1" w:styleId="Heading8Char">
    <w:name w:val="Heading 8 Char"/>
    <w:basedOn w:val="DefaultParagraphFont"/>
    <w:link w:val="Heading8"/>
    <w:uiPriority w:val="9"/>
    <w:semiHidden/>
    <w:rsid w:val="00A7683C"/>
    <w:rPr>
      <w:rFonts w:eastAsiaTheme="majorEastAsia" w:cs="Mangal"/>
      <w:i/>
      <w:iCs/>
      <w:color w:val="272727" w:themeColor="text1" w:themeTint="D8"/>
      <w:sz w:val="24"/>
      <w:lang w:val="en-GB"/>
    </w:rPr>
  </w:style>
  <w:style w:type="character" w:customStyle="1" w:styleId="Heading9Char">
    <w:name w:val="Heading 9 Char"/>
    <w:basedOn w:val="DefaultParagraphFont"/>
    <w:link w:val="Heading9"/>
    <w:uiPriority w:val="9"/>
    <w:semiHidden/>
    <w:rsid w:val="00A7683C"/>
    <w:rPr>
      <w:rFonts w:eastAsiaTheme="majorEastAsia" w:cs="Mangal"/>
      <w:color w:val="272727" w:themeColor="text1" w:themeTint="D8"/>
      <w:sz w:val="24"/>
      <w:lang w:val="en-GB"/>
    </w:rPr>
  </w:style>
  <w:style w:type="paragraph" w:styleId="Subtitle">
    <w:name w:val="Subtitle"/>
    <w:basedOn w:val="Normal"/>
    <w:next w:val="Normal"/>
    <w:link w:val="SubtitleChar"/>
    <w:uiPriority w:val="11"/>
    <w:qFormat/>
    <w:rsid w:val="00A7683C"/>
    <w:pPr>
      <w:numPr>
        <w:ilvl w:val="1"/>
      </w:numPr>
      <w:spacing w:after="160"/>
    </w:pPr>
    <w:rPr>
      <w:rFonts w:asciiTheme="minorHAnsi" w:eastAsiaTheme="majorEastAsia" w:hAnsiTheme="minorHAnsi" w:cs="Mangal"/>
      <w:color w:val="595959" w:themeColor="text1" w:themeTint="A6"/>
      <w:spacing w:val="15"/>
      <w:sz w:val="28"/>
      <w:szCs w:val="25"/>
    </w:rPr>
  </w:style>
  <w:style w:type="character" w:customStyle="1" w:styleId="SubtitleChar">
    <w:name w:val="Subtitle Char"/>
    <w:basedOn w:val="DefaultParagraphFont"/>
    <w:link w:val="Subtitle"/>
    <w:uiPriority w:val="11"/>
    <w:rsid w:val="00A7683C"/>
    <w:rPr>
      <w:rFonts w:eastAsiaTheme="majorEastAsia" w:cs="Mangal"/>
      <w:color w:val="595959" w:themeColor="text1" w:themeTint="A6"/>
      <w:spacing w:val="15"/>
      <w:sz w:val="28"/>
      <w:szCs w:val="25"/>
      <w:lang w:val="en-GB"/>
    </w:rPr>
  </w:style>
  <w:style w:type="paragraph" w:styleId="Quote">
    <w:name w:val="Quote"/>
    <w:basedOn w:val="Normal"/>
    <w:next w:val="Normal"/>
    <w:link w:val="QuoteChar"/>
    <w:uiPriority w:val="29"/>
    <w:qFormat/>
    <w:rsid w:val="00A7683C"/>
    <w:pPr>
      <w:spacing w:before="160" w:after="160"/>
      <w:jc w:val="center"/>
    </w:pPr>
    <w:rPr>
      <w:rFonts w:cs="Mangal"/>
      <w:i/>
      <w:iCs/>
      <w:color w:val="404040" w:themeColor="text1" w:themeTint="BF"/>
    </w:rPr>
  </w:style>
  <w:style w:type="character" w:customStyle="1" w:styleId="QuoteChar">
    <w:name w:val="Quote Char"/>
    <w:basedOn w:val="DefaultParagraphFont"/>
    <w:link w:val="Quote"/>
    <w:uiPriority w:val="29"/>
    <w:rsid w:val="00A7683C"/>
    <w:rPr>
      <w:rFonts w:ascii="Times New Roman" w:hAnsi="Times New Roman" w:cs="Mangal"/>
      <w:i/>
      <w:iCs/>
      <w:color w:val="404040" w:themeColor="text1" w:themeTint="BF"/>
      <w:sz w:val="24"/>
      <w:lang w:val="en-GB"/>
    </w:rPr>
  </w:style>
  <w:style w:type="paragraph" w:styleId="ListParagraph">
    <w:name w:val="List Paragraph"/>
    <w:basedOn w:val="Normal"/>
    <w:uiPriority w:val="34"/>
    <w:qFormat/>
    <w:rsid w:val="00A7683C"/>
    <w:pPr>
      <w:ind w:left="720"/>
      <w:contextualSpacing/>
    </w:pPr>
    <w:rPr>
      <w:rFonts w:cs="Mangal"/>
    </w:rPr>
  </w:style>
  <w:style w:type="character" w:styleId="IntenseEmphasis">
    <w:name w:val="Intense Emphasis"/>
    <w:basedOn w:val="DefaultParagraphFont"/>
    <w:uiPriority w:val="21"/>
    <w:qFormat/>
    <w:rsid w:val="00A7683C"/>
    <w:rPr>
      <w:i/>
      <w:iCs/>
      <w:color w:val="365F91" w:themeColor="accent1" w:themeShade="BF"/>
    </w:rPr>
  </w:style>
  <w:style w:type="paragraph" w:styleId="IntenseQuote">
    <w:name w:val="Intense Quote"/>
    <w:basedOn w:val="Normal"/>
    <w:next w:val="Normal"/>
    <w:link w:val="IntenseQuoteChar"/>
    <w:uiPriority w:val="30"/>
    <w:qFormat/>
    <w:rsid w:val="00A7683C"/>
    <w:pPr>
      <w:pBdr>
        <w:top w:val="single" w:sz="4" w:space="10" w:color="365F91" w:themeColor="accent1" w:themeShade="BF"/>
        <w:bottom w:val="single" w:sz="4" w:space="10" w:color="365F91" w:themeColor="accent1" w:themeShade="BF"/>
      </w:pBdr>
      <w:spacing w:before="360" w:after="360"/>
      <w:ind w:left="864" w:right="864"/>
      <w:jc w:val="center"/>
    </w:pPr>
    <w:rPr>
      <w:rFonts w:cs="Mangal"/>
      <w:i/>
      <w:iCs/>
      <w:color w:val="365F91" w:themeColor="accent1" w:themeShade="BF"/>
    </w:rPr>
  </w:style>
  <w:style w:type="character" w:customStyle="1" w:styleId="IntenseQuoteChar">
    <w:name w:val="Intense Quote Char"/>
    <w:basedOn w:val="DefaultParagraphFont"/>
    <w:link w:val="IntenseQuote"/>
    <w:uiPriority w:val="30"/>
    <w:rsid w:val="00A7683C"/>
    <w:rPr>
      <w:rFonts w:ascii="Times New Roman" w:hAnsi="Times New Roman" w:cs="Mangal"/>
      <w:i/>
      <w:iCs/>
      <w:color w:val="365F91" w:themeColor="accent1" w:themeShade="BF"/>
      <w:sz w:val="24"/>
      <w:lang w:val="en-GB"/>
    </w:rPr>
  </w:style>
  <w:style w:type="character" w:styleId="IntenseReference">
    <w:name w:val="Intense Reference"/>
    <w:basedOn w:val="DefaultParagraphFont"/>
    <w:uiPriority w:val="32"/>
    <w:qFormat/>
    <w:rsid w:val="00A7683C"/>
    <w:rPr>
      <w:b/>
      <w:bCs/>
      <w:smallCaps/>
      <w:color w:val="365F91" w:themeColor="accent1" w:themeShade="BF"/>
      <w:spacing w:val="5"/>
    </w:rPr>
  </w:style>
  <w:style w:type="paragraph" w:styleId="Header">
    <w:name w:val="header"/>
    <w:basedOn w:val="Normal"/>
    <w:link w:val="HeaderChar"/>
    <w:uiPriority w:val="99"/>
    <w:unhideWhenUsed/>
    <w:rsid w:val="00CF15B3"/>
    <w:pPr>
      <w:tabs>
        <w:tab w:val="center" w:pos="4513"/>
        <w:tab w:val="right" w:pos="9026"/>
      </w:tabs>
      <w:spacing w:after="0" w:line="240" w:lineRule="auto"/>
    </w:pPr>
    <w:rPr>
      <w:rFonts w:cs="Mangal"/>
    </w:rPr>
  </w:style>
  <w:style w:type="character" w:customStyle="1" w:styleId="HeaderChar">
    <w:name w:val="Header Char"/>
    <w:basedOn w:val="DefaultParagraphFont"/>
    <w:link w:val="Header"/>
    <w:uiPriority w:val="99"/>
    <w:rsid w:val="00CF15B3"/>
    <w:rPr>
      <w:rFonts w:ascii="Times New Roman" w:hAnsi="Times New Roman" w:cs="Mangal"/>
      <w:sz w:val="24"/>
      <w:lang w:val="en-GB"/>
    </w:rPr>
  </w:style>
  <w:style w:type="paragraph" w:styleId="Footer">
    <w:name w:val="footer"/>
    <w:basedOn w:val="Normal"/>
    <w:link w:val="FooterChar"/>
    <w:uiPriority w:val="99"/>
    <w:unhideWhenUsed/>
    <w:rsid w:val="00CF15B3"/>
    <w:pPr>
      <w:tabs>
        <w:tab w:val="center" w:pos="4513"/>
        <w:tab w:val="right" w:pos="9026"/>
      </w:tabs>
      <w:spacing w:after="0" w:line="240" w:lineRule="auto"/>
    </w:pPr>
    <w:rPr>
      <w:rFonts w:cs="Mangal"/>
    </w:rPr>
  </w:style>
  <w:style w:type="character" w:customStyle="1" w:styleId="FooterChar">
    <w:name w:val="Footer Char"/>
    <w:basedOn w:val="DefaultParagraphFont"/>
    <w:link w:val="Footer"/>
    <w:uiPriority w:val="99"/>
    <w:rsid w:val="00CF15B3"/>
    <w:rPr>
      <w:rFonts w:ascii="Times New Roman" w:hAnsi="Times New Roman" w:cs="Mangal"/>
      <w:sz w:val="24"/>
      <w:lang w:val="en-GB"/>
    </w:rPr>
  </w:style>
  <w:style w:type="paragraph" w:styleId="TOCHeading">
    <w:name w:val="TOC Heading"/>
    <w:basedOn w:val="Heading1"/>
    <w:next w:val="Normal"/>
    <w:uiPriority w:val="39"/>
    <w:unhideWhenUsed/>
    <w:qFormat/>
    <w:rsid w:val="005F0F2F"/>
    <w:pPr>
      <w:spacing w:line="259" w:lineRule="auto"/>
      <w:jc w:val="left"/>
      <w:outlineLvl w:val="9"/>
    </w:pPr>
    <w:rPr>
      <w:rFonts w:asciiTheme="majorHAnsi" w:hAnsiTheme="majorHAnsi"/>
      <w:b w:val="0"/>
      <w:color w:val="365F91" w:themeColor="accent1" w:themeShade="BF"/>
      <w:sz w:val="32"/>
      <w:lang w:val="en-US" w:bidi="ar-SA"/>
    </w:rPr>
  </w:style>
  <w:style w:type="character" w:styleId="Hyperlink">
    <w:name w:val="Hyperlink"/>
    <w:basedOn w:val="DefaultParagraphFont"/>
    <w:uiPriority w:val="99"/>
    <w:unhideWhenUsed/>
    <w:rsid w:val="00327A40"/>
    <w:rPr>
      <w:color w:val="0000FF" w:themeColor="hyperlink"/>
      <w:u w:val="single"/>
    </w:rPr>
  </w:style>
  <w:style w:type="character" w:customStyle="1" w:styleId="UnresolvedMention1">
    <w:name w:val="Unresolved Mention1"/>
    <w:basedOn w:val="DefaultParagraphFont"/>
    <w:uiPriority w:val="99"/>
    <w:semiHidden/>
    <w:unhideWhenUsed/>
    <w:rsid w:val="00327A40"/>
    <w:rPr>
      <w:color w:val="605E5C"/>
      <w:shd w:val="clear" w:color="auto" w:fill="E1DFDD"/>
    </w:rPr>
  </w:style>
  <w:style w:type="paragraph" w:styleId="TOC1">
    <w:name w:val="toc 1"/>
    <w:basedOn w:val="Normal"/>
    <w:next w:val="Normal"/>
    <w:autoRedefine/>
    <w:uiPriority w:val="39"/>
    <w:unhideWhenUsed/>
    <w:rsid w:val="00327A40"/>
    <w:pPr>
      <w:spacing w:after="100"/>
    </w:pPr>
    <w:rPr>
      <w:rFonts w:cs="Mangal"/>
    </w:rPr>
  </w:style>
  <w:style w:type="character" w:styleId="UnresolvedMention">
    <w:name w:val="Unresolved Mention"/>
    <w:basedOn w:val="DefaultParagraphFont"/>
    <w:uiPriority w:val="99"/>
    <w:semiHidden/>
    <w:unhideWhenUsed/>
    <w:rsid w:val="00EC1D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04031019">
      <w:bodyDiv w:val="1"/>
      <w:marLeft w:val="0"/>
      <w:marRight w:val="0"/>
      <w:marTop w:val="0"/>
      <w:marBottom w:val="0"/>
      <w:divBdr>
        <w:top w:val="none" w:sz="0" w:space="0" w:color="auto"/>
        <w:left w:val="none" w:sz="0" w:space="0" w:color="auto"/>
        <w:bottom w:val="none" w:sz="0" w:space="0" w:color="auto"/>
        <w:right w:val="none" w:sz="0" w:space="0" w:color="auto"/>
      </w:divBdr>
      <w:divsChild>
        <w:div w:id="1221013742">
          <w:marLeft w:val="0"/>
          <w:marRight w:val="0"/>
          <w:marTop w:val="0"/>
          <w:marBottom w:val="0"/>
          <w:divBdr>
            <w:top w:val="none" w:sz="0" w:space="0" w:color="auto"/>
            <w:left w:val="none" w:sz="0" w:space="0" w:color="auto"/>
            <w:bottom w:val="none" w:sz="0" w:space="0" w:color="auto"/>
            <w:right w:val="none" w:sz="0" w:space="0" w:color="auto"/>
          </w:divBdr>
        </w:div>
      </w:divsChild>
    </w:div>
    <w:div w:id="1114517481">
      <w:bodyDiv w:val="1"/>
      <w:marLeft w:val="0"/>
      <w:marRight w:val="0"/>
      <w:marTop w:val="0"/>
      <w:marBottom w:val="0"/>
      <w:divBdr>
        <w:top w:val="none" w:sz="0" w:space="0" w:color="auto"/>
        <w:left w:val="none" w:sz="0" w:space="0" w:color="auto"/>
        <w:bottom w:val="none" w:sz="0" w:space="0" w:color="auto"/>
        <w:right w:val="none" w:sz="0" w:space="0" w:color="auto"/>
      </w:divBdr>
      <w:divsChild>
        <w:div w:id="6421960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x.doi.org/10.2139/ssrn.5156129"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ijspm.vgtu.lt/index.php/TEDE/article/download/14520/10467"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hrcak.srce.hr/312478"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1002/csr.1693" TargetMode="External"/><Relationship Id="rId4" Type="http://schemas.openxmlformats.org/officeDocument/2006/relationships/webSettings" Target="webSettings.xml"/><Relationship Id="rId9" Type="http://schemas.openxmlformats.org/officeDocument/2006/relationships/hyperlink" Target="https://research-management.mq.edu.au/ws/portalfiles/portal/104497796/100481654.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5167C5-CC48-4292-95B4-6891C69ED5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1404</Words>
  <Characters>8003</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Stefanita-Cosmin Calarasu (2328896)</cp:lastModifiedBy>
  <cp:revision>5</cp:revision>
  <dcterms:created xsi:type="dcterms:W3CDTF">2025-07-12T09:04:00Z</dcterms:created>
  <dcterms:modified xsi:type="dcterms:W3CDTF">2025-07-14T20:25:00Z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1619e715-b816-4c1f-9ef7-002d8c80adbf</vt:lpwstr>
  </property>
</Properties>
</file>