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9E6F4CB" w14:textId="77777777" w:rsidR="00896A5F" w:rsidRDefault="00896A5F"/>
    <w:p w14:paraId="3AABBF8D" w14:textId="4C7CB86C" w:rsidR="00896A5F" w:rsidRDefault="00620BE1">
      <w:r>
        <w:rPr>
          <w:noProof/>
        </w:rPr>
        <w:drawing>
          <wp:inline distT="0" distB="0" distL="0" distR="0" wp14:anchorId="7BF72DFB" wp14:editId="4A42CE64">
            <wp:extent cx="3347085" cy="1341120"/>
            <wp:effectExtent l="0" t="0" r="5715" b="0"/>
            <wp:docPr id="136332637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47085" cy="1341120"/>
                    </a:xfrm>
                    <a:prstGeom prst="rect">
                      <a:avLst/>
                    </a:prstGeom>
                    <a:noFill/>
                  </pic:spPr>
                </pic:pic>
              </a:graphicData>
            </a:graphic>
          </wp:inline>
        </w:drawing>
      </w:r>
    </w:p>
    <w:p w14:paraId="71C99C5D" w14:textId="77777777" w:rsidR="00620BE1" w:rsidRPr="00620BE1" w:rsidRDefault="00620BE1" w:rsidP="00620BE1">
      <w:pPr>
        <w:jc w:val="center"/>
        <w:rPr>
          <w:rFonts w:ascii="Arial" w:hAnsi="Arial" w:cs="Arial"/>
          <w:sz w:val="40"/>
          <w:szCs w:val="40"/>
        </w:rPr>
      </w:pPr>
      <w:r w:rsidRPr="00620BE1">
        <w:rPr>
          <w:rFonts w:ascii="Arial" w:hAnsi="Arial" w:cs="Arial"/>
          <w:sz w:val="40"/>
          <w:szCs w:val="40"/>
        </w:rPr>
        <w:t>Changemakers: Creativity and Value Creation</w:t>
      </w:r>
    </w:p>
    <w:p w14:paraId="15F835BE" w14:textId="5E80A1E8" w:rsidR="00620BE1" w:rsidRPr="00620BE1" w:rsidRDefault="00620BE1" w:rsidP="00620BE1">
      <w:pPr>
        <w:jc w:val="center"/>
        <w:rPr>
          <w:rFonts w:ascii="Arial" w:hAnsi="Arial" w:cs="Arial"/>
          <w:sz w:val="40"/>
          <w:szCs w:val="40"/>
        </w:rPr>
      </w:pPr>
      <w:r w:rsidRPr="00620BE1">
        <w:rPr>
          <w:rFonts w:ascii="Arial" w:hAnsi="Arial" w:cs="Arial"/>
          <w:sz w:val="40"/>
          <w:szCs w:val="40"/>
        </w:rPr>
        <w:t>Professions (BMHP5014)</w:t>
      </w:r>
    </w:p>
    <w:p w14:paraId="502AE771" w14:textId="77777777" w:rsidR="00620BE1" w:rsidRPr="00620BE1" w:rsidRDefault="00620BE1" w:rsidP="00620BE1">
      <w:pPr>
        <w:jc w:val="center"/>
        <w:rPr>
          <w:rFonts w:ascii="Arial" w:hAnsi="Arial" w:cs="Arial"/>
          <w:sz w:val="40"/>
          <w:szCs w:val="40"/>
        </w:rPr>
      </w:pPr>
    </w:p>
    <w:p w14:paraId="22E4138A" w14:textId="77777777" w:rsidR="00620BE1" w:rsidRPr="00620BE1" w:rsidRDefault="00620BE1">
      <w:pPr>
        <w:rPr>
          <w:rFonts w:ascii="Arial" w:hAnsi="Arial" w:cs="Arial"/>
          <w:sz w:val="40"/>
          <w:szCs w:val="40"/>
        </w:rPr>
      </w:pPr>
    </w:p>
    <w:p w14:paraId="75429DCD" w14:textId="218D89BC" w:rsidR="00620BE1" w:rsidRPr="00620BE1" w:rsidRDefault="00620BE1" w:rsidP="00620BE1">
      <w:pPr>
        <w:rPr>
          <w:rFonts w:ascii="Arial" w:hAnsi="Arial" w:cs="Arial"/>
          <w:sz w:val="40"/>
          <w:szCs w:val="40"/>
        </w:rPr>
      </w:pPr>
      <w:r w:rsidRPr="00620BE1">
        <w:rPr>
          <w:rFonts w:ascii="Arial" w:hAnsi="Arial" w:cs="Arial"/>
          <w:sz w:val="40"/>
          <w:szCs w:val="40"/>
        </w:rPr>
        <w:t>Component 1: Online portfolio of set exercises</w:t>
      </w:r>
    </w:p>
    <w:p w14:paraId="17ACBAA2" w14:textId="505A583B" w:rsidR="00620BE1" w:rsidRPr="00620BE1" w:rsidRDefault="00620BE1" w:rsidP="00620BE1">
      <w:pPr>
        <w:rPr>
          <w:rFonts w:ascii="Arial" w:hAnsi="Arial" w:cs="Arial"/>
          <w:sz w:val="40"/>
          <w:szCs w:val="40"/>
        </w:rPr>
      </w:pPr>
      <w:r w:rsidRPr="00620BE1">
        <w:rPr>
          <w:rFonts w:ascii="Arial" w:hAnsi="Arial" w:cs="Arial"/>
          <w:sz w:val="40"/>
          <w:szCs w:val="40"/>
        </w:rPr>
        <w:t>Student name: Juliet Asiedu Boateng</w:t>
      </w:r>
    </w:p>
    <w:p w14:paraId="5880A7C0" w14:textId="784A6368" w:rsidR="00620BE1" w:rsidRPr="00620BE1" w:rsidRDefault="00620BE1" w:rsidP="00620BE1">
      <w:pPr>
        <w:rPr>
          <w:rFonts w:ascii="Arial" w:hAnsi="Arial" w:cs="Arial"/>
          <w:sz w:val="40"/>
          <w:szCs w:val="40"/>
        </w:rPr>
      </w:pPr>
      <w:r w:rsidRPr="00620BE1">
        <w:rPr>
          <w:rFonts w:ascii="Arial" w:hAnsi="Arial" w:cs="Arial"/>
          <w:sz w:val="40"/>
          <w:szCs w:val="40"/>
        </w:rPr>
        <w:t>Student number:2335599</w:t>
      </w:r>
    </w:p>
    <w:p w14:paraId="62F769F9" w14:textId="74E4A5C8" w:rsidR="00620BE1" w:rsidRPr="00620BE1" w:rsidRDefault="00620BE1" w:rsidP="00620BE1">
      <w:pPr>
        <w:rPr>
          <w:rFonts w:ascii="Arial" w:hAnsi="Arial" w:cs="Arial"/>
          <w:sz w:val="40"/>
          <w:szCs w:val="40"/>
        </w:rPr>
      </w:pPr>
      <w:r w:rsidRPr="00620BE1">
        <w:rPr>
          <w:rFonts w:ascii="Arial" w:hAnsi="Arial" w:cs="Arial"/>
          <w:sz w:val="40"/>
          <w:szCs w:val="40"/>
        </w:rPr>
        <w:t>Lecturer’s name: Caroline</w:t>
      </w:r>
    </w:p>
    <w:p w14:paraId="26FFB27C" w14:textId="77777777" w:rsidR="00620BE1" w:rsidRDefault="00620BE1">
      <w:pPr>
        <w:rPr>
          <w:rFonts w:ascii="Arial" w:hAnsi="Arial" w:cs="Arial"/>
          <w:b/>
          <w:bCs/>
          <w:sz w:val="40"/>
          <w:szCs w:val="40"/>
        </w:rPr>
      </w:pPr>
    </w:p>
    <w:p w14:paraId="4F157C6F" w14:textId="77777777" w:rsidR="00620BE1" w:rsidRDefault="00620BE1">
      <w:pPr>
        <w:rPr>
          <w:rFonts w:ascii="Arial" w:hAnsi="Arial" w:cs="Arial"/>
          <w:b/>
          <w:bCs/>
          <w:sz w:val="40"/>
          <w:szCs w:val="40"/>
        </w:rPr>
      </w:pPr>
    </w:p>
    <w:p w14:paraId="34849D04" w14:textId="3A6EFE10" w:rsidR="00620BE1" w:rsidRPr="00620BE1" w:rsidRDefault="00620BE1">
      <w:pPr>
        <w:rPr>
          <w:rFonts w:ascii="Arial" w:hAnsi="Arial" w:cs="Arial"/>
          <w:b/>
          <w:bCs/>
          <w:sz w:val="40"/>
          <w:szCs w:val="40"/>
        </w:rPr>
      </w:pPr>
      <w:r w:rsidRPr="00620BE1">
        <w:rPr>
          <w:rFonts w:ascii="Arial" w:hAnsi="Arial" w:cs="Arial"/>
          <w:b/>
          <w:bCs/>
          <w:sz w:val="40"/>
          <w:szCs w:val="40"/>
        </w:rPr>
        <w:t>TASK1.</w:t>
      </w:r>
      <w:r w:rsidR="005D403C" w:rsidRPr="00620BE1">
        <w:rPr>
          <w:rFonts w:ascii="Arial" w:hAnsi="Arial" w:cs="Arial"/>
          <w:b/>
          <w:bCs/>
          <w:sz w:val="40"/>
          <w:szCs w:val="40"/>
        </w:rPr>
        <w:t>I</w:t>
      </w:r>
      <w:r w:rsidR="00896A5F" w:rsidRPr="00620BE1">
        <w:rPr>
          <w:rFonts w:ascii="Arial" w:hAnsi="Arial" w:cs="Arial"/>
          <w:b/>
          <w:bCs/>
          <w:sz w:val="40"/>
          <w:szCs w:val="40"/>
        </w:rPr>
        <w:t xml:space="preserve">nnovation: </w:t>
      </w:r>
    </w:p>
    <w:p w14:paraId="56A77544" w14:textId="02771290" w:rsidR="00896A5F" w:rsidRDefault="00CB393A" w:rsidP="00D40A85">
      <w:pPr>
        <w:jc w:val="both"/>
        <w:rPr>
          <w:rFonts w:ascii="Arial" w:hAnsi="Arial" w:cs="Arial"/>
          <w:sz w:val="28"/>
          <w:szCs w:val="28"/>
        </w:rPr>
      </w:pPr>
      <w:r w:rsidRPr="00B459AB">
        <w:rPr>
          <w:rFonts w:ascii="Arial" w:hAnsi="Arial" w:cs="Arial"/>
          <w:sz w:val="28"/>
          <w:szCs w:val="28"/>
        </w:rPr>
        <w:t xml:space="preserve">Innovation is a broad term that refers to the creation and implementation of new ideas, products, or methods that add value. It is more than just developing new inventions; it involves successfully applying the idea in practice. Rogers' Diffusion of Innovation Theory describes the process through which new concepts are initially introduced in organisations, and over time, staff gradually accept the changes (Rogers, 2003). In health and social care, innovation is a key factor for driving improvements in quality, safety, and efficiency. For example, the NHS's remote consultations significantly eased patients' access to healthcare during the COVID-19 pandemic. This exemplifies how innovative approaches to service delivery can increase access to care while simultaneously reducing the reliance on physical </w:t>
      </w:r>
      <w:r w:rsidR="004C77D3" w:rsidRPr="00B459AB">
        <w:rPr>
          <w:rFonts w:ascii="Arial" w:hAnsi="Arial" w:cs="Arial"/>
          <w:sz w:val="28"/>
          <w:szCs w:val="28"/>
        </w:rPr>
        <w:t>interaction with</w:t>
      </w:r>
      <w:r w:rsidRPr="00B459AB">
        <w:rPr>
          <w:rFonts w:ascii="Arial" w:hAnsi="Arial" w:cs="Arial"/>
          <w:sz w:val="28"/>
          <w:szCs w:val="28"/>
        </w:rPr>
        <w:t xml:space="preserve"> facilities</w:t>
      </w:r>
      <w:r w:rsidR="005D403C" w:rsidRPr="00B459AB">
        <w:rPr>
          <w:rFonts w:ascii="Arial" w:hAnsi="Arial" w:cs="Arial"/>
          <w:sz w:val="28"/>
          <w:szCs w:val="28"/>
        </w:rPr>
        <w:t>.</w:t>
      </w:r>
    </w:p>
    <w:p w14:paraId="166D078D" w14:textId="57926CF5" w:rsidR="00B66C8B" w:rsidRPr="00B66C8B" w:rsidRDefault="00B66C8B" w:rsidP="00B66C8B">
      <w:pPr>
        <w:ind w:firstLine="720"/>
        <w:jc w:val="both"/>
        <w:rPr>
          <w:rFonts w:ascii="Arial" w:hAnsi="Arial" w:cs="Arial"/>
          <w:sz w:val="28"/>
          <w:szCs w:val="28"/>
        </w:rPr>
      </w:pPr>
      <w:r w:rsidRPr="00B66C8B">
        <w:rPr>
          <w:rFonts w:ascii="Arial" w:hAnsi="Arial" w:cs="Arial"/>
          <w:noProof/>
          <w:sz w:val="28"/>
          <w:szCs w:val="28"/>
        </w:rPr>
        <w:drawing>
          <wp:inline distT="0" distB="0" distL="0" distR="0" wp14:anchorId="0E9F758B" wp14:editId="0C5DA3B7">
            <wp:extent cx="4082143" cy="2721429"/>
            <wp:effectExtent l="0" t="0" r="0" b="3175"/>
            <wp:docPr id="50327253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272539" name="Picture 1" descr="A screenshot of a computer&#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129665" cy="2753110"/>
                    </a:xfrm>
                    <a:prstGeom prst="rect">
                      <a:avLst/>
                    </a:prstGeom>
                    <a:noFill/>
                    <a:ln>
                      <a:noFill/>
                    </a:ln>
                  </pic:spPr>
                </pic:pic>
              </a:graphicData>
            </a:graphic>
          </wp:inline>
        </w:drawing>
      </w:r>
    </w:p>
    <w:p w14:paraId="3F088217" w14:textId="77777777" w:rsidR="00B66C8B" w:rsidRPr="00B459AB" w:rsidRDefault="00B66C8B" w:rsidP="00B66C8B">
      <w:pPr>
        <w:ind w:firstLine="720"/>
        <w:jc w:val="both"/>
        <w:rPr>
          <w:rFonts w:ascii="Arial" w:hAnsi="Arial" w:cs="Arial"/>
          <w:sz w:val="28"/>
          <w:szCs w:val="28"/>
        </w:rPr>
      </w:pPr>
    </w:p>
    <w:p w14:paraId="08D4E293" w14:textId="52348506" w:rsidR="005D403C" w:rsidRPr="00B459AB" w:rsidRDefault="005D403C" w:rsidP="00D40A85">
      <w:pPr>
        <w:jc w:val="both"/>
        <w:rPr>
          <w:rFonts w:ascii="Arial" w:hAnsi="Arial" w:cs="Arial"/>
          <w:sz w:val="28"/>
          <w:szCs w:val="28"/>
        </w:rPr>
      </w:pPr>
      <w:r w:rsidRPr="00B459AB">
        <w:rPr>
          <w:rFonts w:ascii="Arial" w:hAnsi="Arial" w:cs="Arial"/>
          <w:sz w:val="28"/>
          <w:szCs w:val="28"/>
        </w:rPr>
        <w:t>Creativity</w:t>
      </w:r>
    </w:p>
    <w:p w14:paraId="2483E5E5" w14:textId="60E69039" w:rsidR="005D403C" w:rsidRPr="00B459AB" w:rsidRDefault="00CB393A" w:rsidP="00D40A85">
      <w:pPr>
        <w:jc w:val="both"/>
        <w:rPr>
          <w:rFonts w:ascii="Arial" w:hAnsi="Arial" w:cs="Arial"/>
          <w:sz w:val="28"/>
          <w:szCs w:val="28"/>
        </w:rPr>
      </w:pPr>
      <w:r w:rsidRPr="00B459AB">
        <w:rPr>
          <w:rFonts w:ascii="Arial" w:hAnsi="Arial" w:cs="Arial"/>
          <w:sz w:val="28"/>
          <w:szCs w:val="28"/>
        </w:rPr>
        <w:t xml:space="preserve">Creativity is a quality through which a person can generate new and useful ideas. According to Amabile's Componential Theory of Creativity, creative work results from an individual's ability to combine their knowledge, skills, and internal motivation to develop new solutions (Amabile, 1996). In the field of health and social care, creativity is vital for solving problems in complex and unpredictable situations. For example, healthcare professionals from different disciplines working together in teams can develop unique solutions when designing personalised care plans for people with dementia. By using creative thinking, they can adapt communication methods and better support the patient. Therefore, creativity promotes innovation by initiating ideas focused on the </w:t>
      </w:r>
      <w:r w:rsidR="006539EF" w:rsidRPr="00B459AB">
        <w:rPr>
          <w:rFonts w:ascii="Arial" w:hAnsi="Arial" w:cs="Arial"/>
          <w:sz w:val="28"/>
          <w:szCs w:val="28"/>
        </w:rPr>
        <w:t>patient's</w:t>
      </w:r>
      <w:r w:rsidRPr="00B459AB">
        <w:rPr>
          <w:rFonts w:ascii="Arial" w:hAnsi="Arial" w:cs="Arial"/>
          <w:sz w:val="28"/>
          <w:szCs w:val="28"/>
        </w:rPr>
        <w:t xml:space="preserve"> needs</w:t>
      </w:r>
      <w:r w:rsidR="005D403C" w:rsidRPr="00B459AB">
        <w:rPr>
          <w:rFonts w:ascii="Arial" w:hAnsi="Arial" w:cs="Arial"/>
          <w:sz w:val="28"/>
          <w:szCs w:val="28"/>
        </w:rPr>
        <w:t>.</w:t>
      </w:r>
    </w:p>
    <w:p w14:paraId="011C9118" w14:textId="76160151" w:rsidR="005D403C" w:rsidRPr="00B459AB" w:rsidRDefault="005D403C" w:rsidP="00D40A85">
      <w:pPr>
        <w:jc w:val="both"/>
        <w:rPr>
          <w:rFonts w:ascii="Arial" w:hAnsi="Arial" w:cs="Arial"/>
          <w:sz w:val="28"/>
          <w:szCs w:val="28"/>
        </w:rPr>
      </w:pPr>
      <w:r w:rsidRPr="00B459AB">
        <w:rPr>
          <w:rFonts w:ascii="Arial" w:hAnsi="Arial" w:cs="Arial"/>
          <w:sz w:val="28"/>
          <w:szCs w:val="28"/>
        </w:rPr>
        <w:t>Value Creation</w:t>
      </w:r>
    </w:p>
    <w:p w14:paraId="476DE7E4" w14:textId="77777777" w:rsidR="00CB393A" w:rsidRPr="00B459AB" w:rsidRDefault="00CB393A" w:rsidP="00D40A85">
      <w:pPr>
        <w:jc w:val="both"/>
        <w:rPr>
          <w:rFonts w:ascii="Arial" w:hAnsi="Arial" w:cs="Arial"/>
          <w:sz w:val="28"/>
          <w:szCs w:val="28"/>
        </w:rPr>
      </w:pPr>
      <w:r w:rsidRPr="00B459AB">
        <w:rPr>
          <w:rFonts w:ascii="Arial" w:hAnsi="Arial" w:cs="Arial"/>
          <w:sz w:val="28"/>
          <w:szCs w:val="28"/>
        </w:rPr>
        <w:t>One way to assess value creation in healthcare is by improving patient outcomes relative to the costs of care. Porter (2010) argues that value is generated when health outcomes are achieved efficiently. This concept is particularly important in the health and social care sector due to limited resources and increasing demand.</w:t>
      </w:r>
    </w:p>
    <w:p w14:paraId="13E43EA6" w14:textId="20EA47A8" w:rsidR="005D403C" w:rsidRPr="00B459AB" w:rsidRDefault="00CB393A" w:rsidP="00D40A85">
      <w:pPr>
        <w:jc w:val="both"/>
        <w:rPr>
          <w:rFonts w:ascii="Arial" w:hAnsi="Arial" w:cs="Arial"/>
          <w:sz w:val="28"/>
          <w:szCs w:val="28"/>
        </w:rPr>
      </w:pPr>
      <w:r w:rsidRPr="00B459AB">
        <w:rPr>
          <w:rFonts w:ascii="Arial" w:hAnsi="Arial" w:cs="Arial"/>
          <w:sz w:val="28"/>
          <w:szCs w:val="28"/>
        </w:rPr>
        <w:t xml:space="preserve">For example, community-based preventive measures for people with diabetes can reduce hospital admissions, leading to better long-term outcomes and lower costs. Organisations can be confident that their innovations </w:t>
      </w:r>
      <w:r w:rsidR="006539EF" w:rsidRPr="00B459AB">
        <w:rPr>
          <w:rFonts w:ascii="Arial" w:hAnsi="Arial" w:cs="Arial"/>
          <w:sz w:val="28"/>
          <w:szCs w:val="28"/>
        </w:rPr>
        <w:t>deliver genuine improvements if they focus on measurable outcomes, thereby</w:t>
      </w:r>
      <w:r w:rsidRPr="00B459AB">
        <w:rPr>
          <w:rFonts w:ascii="Arial" w:hAnsi="Arial" w:cs="Arial"/>
          <w:sz w:val="28"/>
          <w:szCs w:val="28"/>
        </w:rPr>
        <w:t xml:space="preserve"> avoiding changes made merely for the sake of change</w:t>
      </w:r>
      <w:r w:rsidR="005D403C" w:rsidRPr="00B459AB">
        <w:rPr>
          <w:rFonts w:ascii="Arial" w:hAnsi="Arial" w:cs="Arial"/>
          <w:sz w:val="28"/>
          <w:szCs w:val="28"/>
        </w:rPr>
        <w:t>.</w:t>
      </w:r>
    </w:p>
    <w:p w14:paraId="39138DCE" w14:textId="77777777" w:rsidR="00E552FA" w:rsidRPr="00B459AB" w:rsidRDefault="00E552FA" w:rsidP="00D40A85">
      <w:pPr>
        <w:jc w:val="both"/>
        <w:rPr>
          <w:rFonts w:ascii="Arial" w:hAnsi="Arial" w:cs="Arial"/>
          <w:sz w:val="28"/>
          <w:szCs w:val="28"/>
        </w:rPr>
      </w:pPr>
    </w:p>
    <w:p w14:paraId="67B4A392" w14:textId="7DE3BFE6" w:rsidR="00E552FA" w:rsidRPr="00E55F03" w:rsidRDefault="00E552FA" w:rsidP="00D40A85">
      <w:pPr>
        <w:jc w:val="both"/>
        <w:rPr>
          <w:rFonts w:ascii="Arial" w:hAnsi="Arial" w:cs="Arial"/>
          <w:sz w:val="36"/>
          <w:szCs w:val="36"/>
        </w:rPr>
      </w:pPr>
      <w:r w:rsidRPr="00E55F03">
        <w:rPr>
          <w:rFonts w:ascii="Arial" w:hAnsi="Arial" w:cs="Arial"/>
          <w:sz w:val="36"/>
          <w:szCs w:val="36"/>
        </w:rPr>
        <w:t>Change</w:t>
      </w:r>
    </w:p>
    <w:p w14:paraId="6FD59F1C" w14:textId="3DC61606" w:rsidR="00E552FA" w:rsidRPr="00B459AB" w:rsidRDefault="00E552FA" w:rsidP="00D40A85">
      <w:pPr>
        <w:jc w:val="both"/>
        <w:rPr>
          <w:rFonts w:ascii="Arial" w:hAnsi="Arial" w:cs="Arial"/>
          <w:sz w:val="28"/>
          <w:szCs w:val="28"/>
        </w:rPr>
      </w:pPr>
      <w:r w:rsidRPr="00B459AB">
        <w:rPr>
          <w:rFonts w:ascii="Arial" w:hAnsi="Arial" w:cs="Arial"/>
          <w:sz w:val="28"/>
          <w:szCs w:val="28"/>
        </w:rPr>
        <w:t xml:space="preserve">Change is the process of introducing and maintaining new methods of working. </w:t>
      </w:r>
      <w:r w:rsidR="006539EF" w:rsidRPr="00B459AB">
        <w:rPr>
          <w:rFonts w:ascii="Arial" w:hAnsi="Arial" w:cs="Arial"/>
          <w:sz w:val="28"/>
          <w:szCs w:val="28"/>
        </w:rPr>
        <w:t>Lewin's</w:t>
      </w:r>
      <w:r w:rsidRPr="00B459AB">
        <w:rPr>
          <w:rFonts w:ascii="Arial" w:hAnsi="Arial" w:cs="Arial"/>
          <w:sz w:val="28"/>
          <w:szCs w:val="28"/>
        </w:rPr>
        <w:t xml:space="preserve"> Change Management Model explains change as a </w:t>
      </w:r>
      <w:r w:rsidR="006539EF" w:rsidRPr="00B459AB">
        <w:rPr>
          <w:rFonts w:ascii="Arial" w:hAnsi="Arial" w:cs="Arial"/>
          <w:sz w:val="28"/>
          <w:szCs w:val="28"/>
        </w:rPr>
        <w:t>three-phase</w:t>
      </w:r>
      <w:r w:rsidRPr="00B459AB">
        <w:rPr>
          <w:rFonts w:ascii="Arial" w:hAnsi="Arial" w:cs="Arial"/>
          <w:sz w:val="28"/>
          <w:szCs w:val="28"/>
        </w:rPr>
        <w:t xml:space="preserve"> process: unfreezing present behaviour, changing through new behaviours, and refreezing to normalise the change (Burnes, 2017). Great change management is required in healthcare, as resistance can put a patient's safety at risk. As an example, switching to electronic health records necessitates staff training, leadership facilitation, and continual evaluation to achieve successful implementation.</w:t>
      </w:r>
    </w:p>
    <w:p w14:paraId="7145F479" w14:textId="77777777" w:rsidR="00E552FA" w:rsidRPr="00E552FA" w:rsidRDefault="00E552FA" w:rsidP="00E552FA">
      <w:pPr>
        <w:rPr>
          <w:rFonts w:ascii="Arial" w:hAnsi="Arial" w:cs="Arial"/>
          <w:sz w:val="28"/>
          <w:szCs w:val="28"/>
        </w:rPr>
      </w:pPr>
    </w:p>
    <w:p w14:paraId="042C3317" w14:textId="23C0B72D" w:rsidR="005D403C" w:rsidRDefault="00E552FA" w:rsidP="00E552FA">
      <w:pPr>
        <w:rPr>
          <w:rFonts w:ascii="Arial" w:hAnsi="Arial" w:cs="Arial"/>
          <w:sz w:val="28"/>
          <w:szCs w:val="28"/>
        </w:rPr>
      </w:pPr>
      <w:r w:rsidRPr="00E552FA">
        <w:rPr>
          <w:rFonts w:ascii="Arial" w:hAnsi="Arial" w:cs="Arial"/>
          <w:sz w:val="28"/>
          <w:szCs w:val="28"/>
        </w:rPr>
        <w:t>To sum up, innovation, creativity, value creation, and change are four interrelated concepts that help to keep progressing in health and social care practice.</w:t>
      </w:r>
    </w:p>
    <w:p w14:paraId="5380E1E6" w14:textId="77777777" w:rsidR="00924194" w:rsidRDefault="00924194" w:rsidP="00E552FA">
      <w:pPr>
        <w:rPr>
          <w:rFonts w:ascii="Arial" w:hAnsi="Arial" w:cs="Arial"/>
          <w:sz w:val="28"/>
          <w:szCs w:val="28"/>
        </w:rPr>
      </w:pPr>
    </w:p>
    <w:p w14:paraId="6FECCD54" w14:textId="09C830D7" w:rsidR="00924194" w:rsidRPr="00620BE1" w:rsidRDefault="00924194" w:rsidP="00E552FA">
      <w:pPr>
        <w:rPr>
          <w:rFonts w:ascii="Arial" w:hAnsi="Arial" w:cs="Arial"/>
          <w:b/>
          <w:bCs/>
          <w:sz w:val="40"/>
          <w:szCs w:val="40"/>
        </w:rPr>
      </w:pPr>
      <w:r w:rsidRPr="00620BE1">
        <w:rPr>
          <w:rFonts w:ascii="Arial" w:hAnsi="Arial" w:cs="Arial"/>
          <w:b/>
          <w:bCs/>
          <w:sz w:val="40"/>
          <w:szCs w:val="40"/>
        </w:rPr>
        <w:t>TASK 2-</w:t>
      </w:r>
      <w:r w:rsidR="005A2422" w:rsidRPr="00620BE1">
        <w:rPr>
          <w:rFonts w:ascii="Arial" w:hAnsi="Arial" w:cs="Arial"/>
          <w:b/>
          <w:bCs/>
          <w:sz w:val="40"/>
          <w:szCs w:val="40"/>
        </w:rPr>
        <w:t xml:space="preserve"> MIND MAP EX</w:t>
      </w:r>
      <w:r w:rsidR="006C0ACB" w:rsidRPr="00620BE1">
        <w:rPr>
          <w:rFonts w:ascii="Arial" w:hAnsi="Arial" w:cs="Arial"/>
          <w:b/>
          <w:bCs/>
          <w:sz w:val="40"/>
          <w:szCs w:val="40"/>
        </w:rPr>
        <w:t>PLANATION</w:t>
      </w:r>
    </w:p>
    <w:p w14:paraId="6D75E600" w14:textId="74740104" w:rsidR="006C0ACB" w:rsidRDefault="006C0ACB" w:rsidP="00932C09">
      <w:pPr>
        <w:jc w:val="center"/>
        <w:rPr>
          <w:rFonts w:ascii="Arial" w:hAnsi="Arial" w:cs="Arial"/>
          <w:sz w:val="28"/>
          <w:szCs w:val="28"/>
        </w:rPr>
      </w:pPr>
    </w:p>
    <w:p w14:paraId="79773D7F" w14:textId="1891EADF" w:rsidR="005A2422" w:rsidRDefault="00932C09" w:rsidP="00932C09">
      <w:pPr>
        <w:pStyle w:val="ListParagraph"/>
        <w:numPr>
          <w:ilvl w:val="0"/>
          <w:numId w:val="2"/>
        </w:numPr>
        <w:rPr>
          <w:rFonts w:ascii="Arial" w:hAnsi="Arial" w:cs="Arial"/>
          <w:sz w:val="28"/>
          <w:szCs w:val="28"/>
        </w:rPr>
      </w:pPr>
      <w:r w:rsidRPr="00932C09">
        <w:rPr>
          <w:rFonts w:ascii="Arial" w:hAnsi="Arial" w:cs="Arial"/>
          <w:sz w:val="28"/>
          <w:szCs w:val="28"/>
        </w:rPr>
        <w:t>Long Waiting Time in Health and Social Care</w:t>
      </w:r>
    </w:p>
    <w:p w14:paraId="046CA55B" w14:textId="77777777" w:rsidR="00932C09" w:rsidRDefault="00932C09" w:rsidP="00932C09">
      <w:pPr>
        <w:pStyle w:val="ListParagraph"/>
        <w:rPr>
          <w:rFonts w:ascii="Arial" w:hAnsi="Arial" w:cs="Arial"/>
          <w:sz w:val="28"/>
          <w:szCs w:val="28"/>
        </w:rPr>
      </w:pPr>
    </w:p>
    <w:p w14:paraId="156FF5B5" w14:textId="77777777" w:rsidR="00CB393A" w:rsidRDefault="00CB393A" w:rsidP="00932C09">
      <w:pPr>
        <w:pStyle w:val="ListParagraph"/>
        <w:rPr>
          <w:rFonts w:ascii="Arial" w:hAnsi="Arial" w:cs="Arial"/>
          <w:sz w:val="28"/>
          <w:szCs w:val="28"/>
        </w:rPr>
      </w:pPr>
    </w:p>
    <w:p w14:paraId="1F112F21" w14:textId="77777777" w:rsidR="00D83FD0" w:rsidRDefault="00CB393A" w:rsidP="00932C09">
      <w:pPr>
        <w:pStyle w:val="ListParagraph"/>
        <w:rPr>
          <w:rFonts w:ascii="Arial" w:hAnsi="Arial" w:cs="Arial"/>
          <w:sz w:val="28"/>
          <w:szCs w:val="28"/>
        </w:rPr>
      </w:pPr>
      <w:r>
        <w:rPr>
          <w:rFonts w:ascii="Arial" w:hAnsi="Arial" w:cs="Arial"/>
          <w:noProof/>
          <w:sz w:val="28"/>
          <w:szCs w:val="28"/>
        </w:rPr>
        <w:drawing>
          <wp:anchor distT="0" distB="0" distL="114300" distR="114300" simplePos="0" relativeHeight="251658240" behindDoc="0" locked="0" layoutInCell="1" allowOverlap="1" wp14:anchorId="2F82B0BA" wp14:editId="2F5279D1">
            <wp:simplePos x="0" y="0"/>
            <wp:positionH relativeFrom="column">
              <wp:align>left</wp:align>
            </wp:positionH>
            <wp:positionV relativeFrom="paragraph">
              <wp:align>top</wp:align>
            </wp:positionV>
            <wp:extent cx="8349343" cy="6128385"/>
            <wp:effectExtent l="0" t="0" r="0" b="5715"/>
            <wp:wrapSquare wrapText="bothSides"/>
            <wp:docPr id="202491403" name="Picture 1" descr="A diagram of health care issu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491403" name="Picture 1" descr="A diagram of health care issues&#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8371112" cy="6144363"/>
                    </a:xfrm>
                    <a:prstGeom prst="rect">
                      <a:avLst/>
                    </a:prstGeom>
                  </pic:spPr>
                </pic:pic>
              </a:graphicData>
            </a:graphic>
            <wp14:sizeRelH relativeFrom="margin">
              <wp14:pctWidth>0</wp14:pctWidth>
            </wp14:sizeRelH>
            <wp14:sizeRelV relativeFrom="margin">
              <wp14:pctHeight>0</wp14:pctHeight>
            </wp14:sizeRelV>
          </wp:anchor>
        </w:drawing>
      </w:r>
    </w:p>
    <w:p w14:paraId="38B44B2C" w14:textId="77777777" w:rsidR="00D83FD0" w:rsidRPr="00D83FD0" w:rsidRDefault="00D83FD0" w:rsidP="00D83FD0"/>
    <w:p w14:paraId="6A12DEC5" w14:textId="77777777" w:rsidR="00D83FD0" w:rsidRPr="00D83FD0" w:rsidRDefault="00D83FD0" w:rsidP="00D83FD0"/>
    <w:p w14:paraId="205C09E6" w14:textId="77777777" w:rsidR="00D83FD0" w:rsidRPr="00D83FD0" w:rsidRDefault="00D83FD0" w:rsidP="00D83FD0"/>
    <w:p w14:paraId="0F521F5F" w14:textId="77777777" w:rsidR="00D83FD0" w:rsidRPr="00D83FD0" w:rsidRDefault="00D83FD0" w:rsidP="00D83FD0"/>
    <w:p w14:paraId="3EF50D03" w14:textId="77777777" w:rsidR="00D83FD0" w:rsidRPr="00D83FD0" w:rsidRDefault="00D83FD0" w:rsidP="00D83FD0"/>
    <w:p w14:paraId="71E06910" w14:textId="77777777" w:rsidR="00D83FD0" w:rsidRPr="00D83FD0" w:rsidRDefault="00D83FD0" w:rsidP="00D83FD0"/>
    <w:p w14:paraId="279A9D87" w14:textId="77777777" w:rsidR="00D83FD0" w:rsidRPr="00D83FD0" w:rsidRDefault="00D83FD0" w:rsidP="00D83FD0"/>
    <w:p w14:paraId="3E6B3071" w14:textId="77777777" w:rsidR="00D83FD0" w:rsidRPr="00D83FD0" w:rsidRDefault="00D83FD0" w:rsidP="00D83FD0"/>
    <w:p w14:paraId="5343EBC7" w14:textId="77777777" w:rsidR="00D83FD0" w:rsidRPr="00D83FD0" w:rsidRDefault="00D83FD0" w:rsidP="00D83FD0"/>
    <w:p w14:paraId="2ACA138F" w14:textId="77777777" w:rsidR="00D83FD0" w:rsidRPr="00D83FD0" w:rsidRDefault="00D83FD0" w:rsidP="00D83FD0"/>
    <w:p w14:paraId="7DFF04EC" w14:textId="77777777" w:rsidR="00D83FD0" w:rsidRPr="00D83FD0" w:rsidRDefault="00D83FD0" w:rsidP="00D83FD0"/>
    <w:p w14:paraId="55439E06" w14:textId="77777777" w:rsidR="00D83FD0" w:rsidRPr="00D83FD0" w:rsidRDefault="00D83FD0" w:rsidP="00D83FD0"/>
    <w:p w14:paraId="3BFE2052" w14:textId="77777777" w:rsidR="00D83FD0" w:rsidRPr="00D83FD0" w:rsidRDefault="00D83FD0" w:rsidP="00D83FD0"/>
    <w:p w14:paraId="47326290" w14:textId="77777777" w:rsidR="00D83FD0" w:rsidRPr="00D83FD0" w:rsidRDefault="00D83FD0" w:rsidP="00D83FD0"/>
    <w:p w14:paraId="4CBFD016" w14:textId="77777777" w:rsidR="00D83FD0" w:rsidRPr="00D83FD0" w:rsidRDefault="00D83FD0" w:rsidP="00D83FD0"/>
    <w:p w14:paraId="646D8127" w14:textId="77777777" w:rsidR="00D83FD0" w:rsidRPr="00D83FD0" w:rsidRDefault="00D83FD0" w:rsidP="00D83FD0"/>
    <w:p w14:paraId="2BC26BA3" w14:textId="77777777" w:rsidR="00D83FD0" w:rsidRPr="00D83FD0" w:rsidRDefault="00D83FD0" w:rsidP="00D83FD0"/>
    <w:p w14:paraId="2C598E12" w14:textId="0A180D83" w:rsidR="00CB393A" w:rsidRPr="00B542BB" w:rsidRDefault="00CB393A" w:rsidP="00B542BB">
      <w:pPr>
        <w:rPr>
          <w:rFonts w:ascii="Arial" w:hAnsi="Arial" w:cs="Arial"/>
          <w:sz w:val="28"/>
          <w:szCs w:val="28"/>
        </w:rPr>
      </w:pPr>
    </w:p>
    <w:p w14:paraId="76B80EE6" w14:textId="77777777" w:rsidR="00AA76E6" w:rsidRDefault="00AA76E6" w:rsidP="00AA76E6">
      <w:pPr>
        <w:rPr>
          <w:rFonts w:ascii="Arial" w:hAnsi="Arial" w:cs="Arial"/>
          <w:sz w:val="28"/>
          <w:szCs w:val="28"/>
        </w:rPr>
      </w:pPr>
    </w:p>
    <w:p w14:paraId="0DC9616D" w14:textId="3324A94D" w:rsidR="00AA76E6" w:rsidRDefault="00435F75" w:rsidP="00AA76E6">
      <w:pPr>
        <w:rPr>
          <w:rFonts w:ascii="Arial" w:hAnsi="Arial" w:cs="Arial"/>
          <w:sz w:val="28"/>
          <w:szCs w:val="28"/>
        </w:rPr>
      </w:pPr>
      <w:r>
        <w:rPr>
          <w:rFonts w:ascii="Arial" w:hAnsi="Arial" w:cs="Arial"/>
          <w:sz w:val="28"/>
          <w:szCs w:val="28"/>
        </w:rPr>
        <w:t xml:space="preserve">One of the main problems facing health and social care is the lengthy waiting times for treatment. This issue is significant because delays in treatment can lead to a deterioration of patients' health, increased worry and stress for patients, and greater strain on healthcare workers. The mind map shows that, among other factors, staff shortages and ineffective appointment scheduling are some of the root causes. From a systems thinking perspective, these issues do not exist in isolation; they are interconnected, and one influences the other within the healthcare system. Long waiting times not only deprive patients of timely diagnosis but also cause dissatisfaction. Furthermore, when healthcare workers become exhausted due to work pressure, the service capacity decreases even further. </w:t>
      </w:r>
      <w:proofErr w:type="gramStart"/>
      <w:r>
        <w:rPr>
          <w:rFonts w:ascii="Arial" w:hAnsi="Arial" w:cs="Arial"/>
          <w:sz w:val="28"/>
          <w:szCs w:val="28"/>
        </w:rPr>
        <w:t>In particular, older</w:t>
      </w:r>
      <w:proofErr w:type="gramEnd"/>
      <w:r>
        <w:rPr>
          <w:rFonts w:ascii="Arial" w:hAnsi="Arial" w:cs="Arial"/>
          <w:sz w:val="28"/>
          <w:szCs w:val="28"/>
        </w:rPr>
        <w:t xml:space="preserve"> adults and individuals with long-term conditions, who are the most vulnerable groups, are heavily impacted. Possible ways to reduce waiting times include increasing the number of healthcare staff, implementing well-organised digital appointment systems, strengthening community health services, and fostering close collaboration between healthcare organisations to reduce hospital </w:t>
      </w:r>
      <w:r w:rsidR="00EB0D15">
        <w:rPr>
          <w:rFonts w:ascii="Arial" w:hAnsi="Arial" w:cs="Arial"/>
          <w:sz w:val="28"/>
          <w:szCs w:val="28"/>
        </w:rPr>
        <w:t>load</w:t>
      </w:r>
      <w:r>
        <w:rPr>
          <w:rFonts w:ascii="Arial" w:hAnsi="Arial" w:cs="Arial"/>
          <w:sz w:val="28"/>
          <w:szCs w:val="28"/>
        </w:rPr>
        <w:t xml:space="preserve"> times</w:t>
      </w:r>
      <w:r w:rsidR="00620BE1" w:rsidRPr="00620BE1">
        <w:rPr>
          <w:rFonts w:ascii="Arial" w:hAnsi="Arial" w:cs="Arial"/>
          <w:sz w:val="28"/>
          <w:szCs w:val="28"/>
        </w:rPr>
        <w:t>.</w:t>
      </w:r>
    </w:p>
    <w:p w14:paraId="33627B03" w14:textId="77777777" w:rsidR="007D381C" w:rsidRDefault="007D381C" w:rsidP="00AA76E6">
      <w:pPr>
        <w:rPr>
          <w:rFonts w:ascii="Arial" w:hAnsi="Arial" w:cs="Arial"/>
          <w:sz w:val="28"/>
          <w:szCs w:val="28"/>
        </w:rPr>
      </w:pPr>
    </w:p>
    <w:p w14:paraId="39F5F091" w14:textId="34F5B35E" w:rsidR="007D381C" w:rsidRPr="00C75A8F" w:rsidRDefault="007D381C" w:rsidP="00AA76E6">
      <w:pPr>
        <w:rPr>
          <w:rFonts w:ascii="Arial" w:hAnsi="Arial" w:cs="Arial"/>
          <w:b/>
          <w:bCs/>
          <w:sz w:val="28"/>
          <w:szCs w:val="28"/>
        </w:rPr>
      </w:pPr>
      <w:r w:rsidRPr="00C75A8F">
        <w:rPr>
          <w:rFonts w:ascii="Arial" w:hAnsi="Arial" w:cs="Arial"/>
          <w:b/>
          <w:bCs/>
          <w:sz w:val="28"/>
          <w:szCs w:val="28"/>
        </w:rPr>
        <w:t>TASK 3. SELF -REFLECTION OF GROUP ACTIVITY</w:t>
      </w:r>
    </w:p>
    <w:p w14:paraId="590AC7FB" w14:textId="77777777" w:rsidR="00435F75" w:rsidRPr="00C75A8F" w:rsidRDefault="00435F75" w:rsidP="00A76D4B">
      <w:pPr>
        <w:rPr>
          <w:rFonts w:ascii="Arial" w:hAnsi="Arial" w:cs="Arial"/>
          <w:sz w:val="28"/>
          <w:szCs w:val="28"/>
        </w:rPr>
      </w:pPr>
      <w:r w:rsidRPr="00C75A8F">
        <w:rPr>
          <w:rFonts w:ascii="Arial" w:hAnsi="Arial" w:cs="Arial"/>
          <w:sz w:val="28"/>
          <w:szCs w:val="28"/>
        </w:rPr>
        <w:t>Convergent and divergent thinking are two essential strategies used in problem-solving and group activities. Divergent thinking focuses on generating a variety of ideas, while convergent thinking involves analysing those ideas to determine the most effective solution (Cropley, 2006). During our group work, our team first employed divergent thinking to generate causes and solutions related to health and social care. This approach allowed every member to share ideas and consider different perspectives. After gathering numerous ideas, we then shifted to convergent thinking to evaluate the options and select the most feasible solution. Using Gibbs' Reflective Cycle, I took the opportunity to reflect on my participation during the exercise. I concluded that I was comfortable proposing ideas during the planning phase, although I recognised an opportunity to boost my self-esteem in discussions and in evaluating the final decisions.</w:t>
      </w:r>
    </w:p>
    <w:p w14:paraId="52E1012B" w14:textId="77777777" w:rsidR="00435F75" w:rsidRPr="00C75A8F" w:rsidRDefault="00435F75" w:rsidP="00A76D4B">
      <w:pPr>
        <w:rPr>
          <w:rFonts w:ascii="Arial" w:hAnsi="Arial" w:cs="Arial"/>
          <w:sz w:val="28"/>
          <w:szCs w:val="28"/>
        </w:rPr>
      </w:pPr>
    </w:p>
    <w:p w14:paraId="197C1355" w14:textId="492D5771" w:rsidR="00A76D4B" w:rsidRPr="00C75A8F" w:rsidRDefault="00435F75" w:rsidP="00A76D4B">
      <w:pPr>
        <w:rPr>
          <w:rFonts w:ascii="Arial" w:hAnsi="Arial" w:cs="Arial"/>
          <w:sz w:val="28"/>
          <w:szCs w:val="28"/>
        </w:rPr>
      </w:pPr>
      <w:r w:rsidRPr="00C75A8F">
        <w:rPr>
          <w:rFonts w:ascii="Arial" w:hAnsi="Arial" w:cs="Arial"/>
          <w:sz w:val="28"/>
          <w:szCs w:val="28"/>
        </w:rPr>
        <w:t xml:space="preserve">Apart from that, the exercise was a valuable opportunity for me to develop skills related to teamwork and communication. It is widely accepted that listening to others' viewpoints helps in gaining a better understanding of the topic. Reflection is considered an excellent way to learn from one’s own experiences and to improve performance and competencies (Gibbs, 1988). Going forward, in other group projects, I plan to be more actively involved in decision-making and to improve my organisational skills </w:t>
      </w:r>
      <w:r w:rsidR="00D2639A" w:rsidRPr="00C75A8F">
        <w:rPr>
          <w:rFonts w:ascii="Arial" w:hAnsi="Arial" w:cs="Arial"/>
          <w:sz w:val="28"/>
          <w:szCs w:val="28"/>
        </w:rPr>
        <w:t xml:space="preserve">and </w:t>
      </w:r>
      <w:r w:rsidRPr="00C75A8F">
        <w:rPr>
          <w:rFonts w:ascii="Arial" w:hAnsi="Arial" w:cs="Arial"/>
          <w:sz w:val="28"/>
          <w:szCs w:val="28"/>
        </w:rPr>
        <w:t>ideas</w:t>
      </w:r>
      <w:r w:rsidR="00A76D4B" w:rsidRPr="00C75A8F">
        <w:rPr>
          <w:rFonts w:ascii="Arial" w:hAnsi="Arial" w:cs="Arial"/>
          <w:sz w:val="28"/>
          <w:szCs w:val="28"/>
        </w:rPr>
        <w:t>.</w:t>
      </w:r>
    </w:p>
    <w:p w14:paraId="79978450" w14:textId="77777777" w:rsidR="007D381C" w:rsidRDefault="007D381C" w:rsidP="00AA76E6">
      <w:pPr>
        <w:rPr>
          <w:rFonts w:ascii="Arial" w:hAnsi="Arial" w:cs="Arial"/>
          <w:sz w:val="28"/>
          <w:szCs w:val="28"/>
        </w:rPr>
      </w:pPr>
    </w:p>
    <w:p w14:paraId="326DDCDE" w14:textId="62B1C0BE" w:rsidR="00620BE1" w:rsidRPr="008C5ECD" w:rsidRDefault="008E5EC0" w:rsidP="00AA76E6">
      <w:pPr>
        <w:rPr>
          <w:rFonts w:ascii="Arial" w:hAnsi="Arial" w:cs="Arial"/>
          <w:b/>
          <w:bCs/>
          <w:sz w:val="36"/>
          <w:szCs w:val="36"/>
        </w:rPr>
      </w:pPr>
      <w:r w:rsidRPr="008C5ECD">
        <w:rPr>
          <w:rFonts w:ascii="Arial" w:hAnsi="Arial" w:cs="Arial"/>
          <w:b/>
          <w:bCs/>
          <w:sz w:val="36"/>
          <w:szCs w:val="36"/>
        </w:rPr>
        <w:t>TASK</w:t>
      </w:r>
      <w:r w:rsidR="003834DC" w:rsidRPr="008C5ECD">
        <w:rPr>
          <w:rFonts w:ascii="Arial" w:hAnsi="Arial" w:cs="Arial"/>
          <w:b/>
          <w:bCs/>
          <w:sz w:val="36"/>
          <w:szCs w:val="36"/>
        </w:rPr>
        <w:t xml:space="preserve"> 4. CASE STUDY </w:t>
      </w:r>
      <w:r w:rsidR="00DC272A" w:rsidRPr="008C5ECD">
        <w:rPr>
          <w:rFonts w:ascii="Arial" w:hAnsi="Arial" w:cs="Arial"/>
          <w:b/>
          <w:bCs/>
          <w:sz w:val="36"/>
          <w:szCs w:val="36"/>
        </w:rPr>
        <w:t>ANALYSIS OF A UK INNOVATION</w:t>
      </w:r>
    </w:p>
    <w:p w14:paraId="5E63BE69" w14:textId="048F5A10" w:rsidR="00A87A23" w:rsidRPr="008C5ECD" w:rsidRDefault="00284A7E" w:rsidP="00AA76E6">
      <w:pPr>
        <w:rPr>
          <w:rFonts w:ascii="Arial" w:hAnsi="Arial" w:cs="Arial"/>
          <w:b/>
          <w:bCs/>
          <w:sz w:val="36"/>
          <w:szCs w:val="36"/>
        </w:rPr>
      </w:pPr>
      <w:r w:rsidRPr="008C5ECD">
        <w:rPr>
          <w:rFonts w:ascii="Arial" w:hAnsi="Arial" w:cs="Arial"/>
          <w:b/>
          <w:bCs/>
          <w:sz w:val="36"/>
          <w:szCs w:val="36"/>
        </w:rPr>
        <w:t xml:space="preserve">Examples Innovation: </w:t>
      </w:r>
      <w:r w:rsidR="00A20FDE" w:rsidRPr="008C5ECD">
        <w:rPr>
          <w:rFonts w:ascii="Arial" w:hAnsi="Arial" w:cs="Arial"/>
          <w:b/>
          <w:bCs/>
          <w:sz w:val="36"/>
          <w:szCs w:val="36"/>
        </w:rPr>
        <w:t>NHS Digital Triage (NHS</w:t>
      </w:r>
      <w:r w:rsidR="00651AB0" w:rsidRPr="008C5ECD">
        <w:rPr>
          <w:rFonts w:ascii="Arial" w:hAnsi="Arial" w:cs="Arial"/>
          <w:b/>
          <w:bCs/>
          <w:sz w:val="36"/>
          <w:szCs w:val="36"/>
        </w:rPr>
        <w:t xml:space="preserve"> 111 Online)</w:t>
      </w:r>
    </w:p>
    <w:p w14:paraId="2F5B2057" w14:textId="1D8993C3" w:rsidR="00B02806" w:rsidRPr="00B02806" w:rsidRDefault="005F216E" w:rsidP="00B02806">
      <w:pPr>
        <w:rPr>
          <w:rFonts w:ascii="Arial" w:hAnsi="Arial" w:cs="Arial"/>
          <w:sz w:val="28"/>
          <w:szCs w:val="28"/>
        </w:rPr>
      </w:pPr>
      <w:r>
        <w:rPr>
          <w:rFonts w:ascii="Arial" w:hAnsi="Arial" w:cs="Arial"/>
          <w:sz w:val="28"/>
          <w:szCs w:val="28"/>
        </w:rPr>
        <w:t>The digital triage service NHS 111 Online is one of the main innovations in the UK healthcare system. The primary issue it addresses is the increasing demand for urgent care services, which places pressure on emergency departments. A significant part of the problem is patients visiting A&amp;E with non-urgent issues, which not only raises waiting times but also causes overcrowding. Digital triage involves the use of online symptom checker tools, allowing patients to assess their condition and receive guidance on the most appropriate service — whether home remedies, visiting a doctor, or seeking urgent treatment. Through technology, patients are guided step-by-step through answering a series of questions, ultimately leading to highly personalised advice. This approach also greatly improves access to healthcare information while reducing unnecessary hospital visits</w:t>
      </w:r>
      <w:r w:rsidR="00B02806" w:rsidRPr="00B02806">
        <w:rPr>
          <w:rFonts w:ascii="Arial" w:hAnsi="Arial" w:cs="Arial"/>
          <w:sz w:val="28"/>
          <w:szCs w:val="28"/>
        </w:rPr>
        <w:t>.</w:t>
      </w:r>
    </w:p>
    <w:p w14:paraId="55F47D86" w14:textId="77777777" w:rsidR="00B02806" w:rsidRPr="00B02806" w:rsidRDefault="00B02806" w:rsidP="00B02806">
      <w:pPr>
        <w:rPr>
          <w:rFonts w:ascii="Arial" w:hAnsi="Arial" w:cs="Arial"/>
          <w:sz w:val="28"/>
          <w:szCs w:val="28"/>
        </w:rPr>
      </w:pPr>
    </w:p>
    <w:p w14:paraId="3CDC6C78" w14:textId="5A1FBA3F" w:rsidR="00651AB0" w:rsidRDefault="005F216E" w:rsidP="00B02806">
      <w:pPr>
        <w:rPr>
          <w:rFonts w:ascii="Arial" w:hAnsi="Arial" w:cs="Arial"/>
          <w:sz w:val="28"/>
          <w:szCs w:val="28"/>
        </w:rPr>
      </w:pPr>
      <w:r>
        <w:rPr>
          <w:rFonts w:ascii="Arial" w:hAnsi="Arial" w:cs="Arial"/>
          <w:sz w:val="28"/>
          <w:szCs w:val="28"/>
        </w:rPr>
        <w:t>The innovative solution benefits all stakeholders, namely patients, staff, and the health system. Patients no longer need to physically visit hospitals as they receive faster advice, while healthcare workers gain more time to focus on patients who need their attention most. On a systemic level, digital triage helps to better control and coordinate resources. According to reports, digital triage can reduce unnecessary A&amp;E visits and improve patient-side decision-making. Rogers' Diffusion of Innovation Theory supports this, stating that innovations like digital triage are adopted when they are easy to use and when the benefits are clear to the users 2003</w:t>
      </w:r>
      <w:r w:rsidR="00B02806" w:rsidRPr="00B02806">
        <w:rPr>
          <w:rFonts w:ascii="Arial" w:hAnsi="Arial" w:cs="Arial"/>
          <w:sz w:val="28"/>
          <w:szCs w:val="28"/>
        </w:rPr>
        <w:t>).</w:t>
      </w:r>
    </w:p>
    <w:p w14:paraId="00A2B5A9" w14:textId="77777777" w:rsidR="007D5F9F" w:rsidRDefault="007D5F9F" w:rsidP="00AA76E6">
      <w:pPr>
        <w:rPr>
          <w:rFonts w:ascii="Arial" w:hAnsi="Arial" w:cs="Arial"/>
          <w:sz w:val="28"/>
          <w:szCs w:val="28"/>
        </w:rPr>
      </w:pPr>
    </w:p>
    <w:p w14:paraId="7C586DAE" w14:textId="3009BCF4" w:rsidR="002D598B" w:rsidRPr="008C5ECD" w:rsidRDefault="008D0D54" w:rsidP="00AA76E6">
      <w:pPr>
        <w:rPr>
          <w:rFonts w:ascii="Arial" w:hAnsi="Arial" w:cs="Arial"/>
          <w:b/>
          <w:bCs/>
          <w:sz w:val="36"/>
          <w:szCs w:val="36"/>
        </w:rPr>
      </w:pPr>
      <w:r>
        <w:rPr>
          <w:rFonts w:ascii="Arial" w:hAnsi="Arial" w:cs="Arial"/>
          <w:sz w:val="28"/>
          <w:szCs w:val="28"/>
        </w:rPr>
        <w:t xml:space="preserve"> </w:t>
      </w:r>
      <w:r w:rsidRPr="008C5ECD">
        <w:rPr>
          <w:rFonts w:ascii="Arial" w:hAnsi="Arial" w:cs="Arial"/>
          <w:b/>
          <w:bCs/>
          <w:sz w:val="36"/>
          <w:szCs w:val="36"/>
        </w:rPr>
        <w:t>TASK 5</w:t>
      </w:r>
      <w:r w:rsidR="008E6DF8" w:rsidRPr="008C5ECD">
        <w:rPr>
          <w:rFonts w:ascii="Arial" w:hAnsi="Arial" w:cs="Arial"/>
          <w:b/>
          <w:bCs/>
          <w:sz w:val="36"/>
          <w:szCs w:val="36"/>
        </w:rPr>
        <w:t>-Research Task</w:t>
      </w:r>
    </w:p>
    <w:p w14:paraId="7D4B067C" w14:textId="132F50AE" w:rsidR="000F3804" w:rsidRPr="000F3804" w:rsidRDefault="00E217B4" w:rsidP="000F3804">
      <w:pPr>
        <w:rPr>
          <w:rFonts w:ascii="Arial" w:hAnsi="Arial" w:cs="Arial"/>
          <w:sz w:val="28"/>
          <w:szCs w:val="28"/>
        </w:rPr>
      </w:pPr>
      <w:r>
        <w:rPr>
          <w:rFonts w:ascii="Arial" w:hAnsi="Arial" w:cs="Arial"/>
          <w:sz w:val="28"/>
          <w:szCs w:val="28"/>
        </w:rPr>
        <w:t xml:space="preserve">Staff stress and burnout pose a significant problem in health and social care. Healthcare workers are regularly exposed to high patient loads, emotional pressure, and limited time, which can lead to depression and negatively impact work performance. In West et </w:t>
      </w:r>
      <w:r w:rsidR="00FA181B">
        <w:rPr>
          <w:rFonts w:ascii="Arial" w:hAnsi="Arial" w:cs="Arial"/>
          <w:sz w:val="28"/>
          <w:szCs w:val="28"/>
        </w:rPr>
        <w:t>al.'s</w:t>
      </w:r>
      <w:r>
        <w:rPr>
          <w:rFonts w:ascii="Arial" w:hAnsi="Arial" w:cs="Arial"/>
          <w:sz w:val="28"/>
          <w:szCs w:val="28"/>
        </w:rPr>
        <w:t xml:space="preserve"> (2018) study, it was found that heavy workloads, long working hours, and staff shortages are the main causes of stress among NHS healthcare professionals. Such pressures may cause fatigue and demotivation, indirectly affecting the quality of care provided to patients. Additionally, a significant explanation comes from Maslach and Leiter (2016), who developed the Maslach Burnout Theory. This concept states that burnout occurs when there is a disparity between work demands and the resources available to workers.</w:t>
      </w:r>
    </w:p>
    <w:p w14:paraId="4244AD72" w14:textId="77777777" w:rsidR="000F3804" w:rsidRPr="000F3804" w:rsidRDefault="000F3804" w:rsidP="000F3804">
      <w:pPr>
        <w:rPr>
          <w:rFonts w:ascii="Arial" w:hAnsi="Arial" w:cs="Arial"/>
          <w:sz w:val="28"/>
          <w:szCs w:val="28"/>
        </w:rPr>
      </w:pPr>
    </w:p>
    <w:p w14:paraId="489F44DC" w14:textId="5573A218" w:rsidR="000F3804" w:rsidRDefault="00E217B4" w:rsidP="000F3804">
      <w:pPr>
        <w:rPr>
          <w:rFonts w:ascii="Arial" w:hAnsi="Arial" w:cs="Arial"/>
          <w:sz w:val="28"/>
          <w:szCs w:val="28"/>
        </w:rPr>
      </w:pPr>
      <w:r>
        <w:rPr>
          <w:rFonts w:ascii="Arial" w:hAnsi="Arial" w:cs="Arial"/>
          <w:sz w:val="28"/>
          <w:szCs w:val="28"/>
        </w:rPr>
        <w:t>The theory highlights three main elements of burnout: emotional exhaustion, depersonalisation, and a lack of personal achievement. Healthcare workers become detached from their work and experience less job satisfaction when exposed to these conditions. Understanding these factors helps explain why burnout is a significant issue in healthcare. Extreme stress can lead to absenteeism, high staff turnover, and lower quality patient care. Addressing these problems through increased staffing, organisational support, and workplace wellness programmes should be avenues to improve both staff health and wellbeing, as well as patient outcomes.</w:t>
      </w:r>
    </w:p>
    <w:p w14:paraId="51A7EA0B" w14:textId="77777777" w:rsidR="00B97842" w:rsidRDefault="00B97842" w:rsidP="000F3804">
      <w:pPr>
        <w:rPr>
          <w:rFonts w:ascii="Arial" w:hAnsi="Arial" w:cs="Arial"/>
          <w:sz w:val="28"/>
          <w:szCs w:val="28"/>
        </w:rPr>
      </w:pPr>
    </w:p>
    <w:p w14:paraId="418F9821" w14:textId="5CD6C0DE" w:rsidR="00390B6F" w:rsidRPr="00390B6F" w:rsidRDefault="00390B6F" w:rsidP="00390B6F">
      <w:pPr>
        <w:rPr>
          <w:rFonts w:ascii="Arial" w:hAnsi="Arial" w:cs="Arial"/>
          <w:sz w:val="28"/>
          <w:szCs w:val="28"/>
        </w:rPr>
      </w:pPr>
      <w:r w:rsidRPr="00390B6F">
        <w:rPr>
          <w:rFonts w:ascii="Arial" w:hAnsi="Arial" w:cs="Arial"/>
          <w:noProof/>
          <w:sz w:val="28"/>
          <w:szCs w:val="28"/>
        </w:rPr>
        <w:drawing>
          <wp:inline distT="0" distB="0" distL="0" distR="0" wp14:anchorId="32E97739" wp14:editId="06706E92">
            <wp:extent cx="4112760" cy="2741840"/>
            <wp:effectExtent l="0" t="0" r="2540" b="1905"/>
            <wp:docPr id="1439748744"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748744" name="Picture 2" descr="A screenshot of a computer&#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150402" cy="2766935"/>
                    </a:xfrm>
                    <a:prstGeom prst="rect">
                      <a:avLst/>
                    </a:prstGeom>
                    <a:noFill/>
                    <a:ln>
                      <a:noFill/>
                    </a:ln>
                  </pic:spPr>
                </pic:pic>
              </a:graphicData>
            </a:graphic>
          </wp:inline>
        </w:drawing>
      </w:r>
    </w:p>
    <w:p w14:paraId="43E33DE2" w14:textId="77777777" w:rsidR="00B97842" w:rsidRDefault="00B97842" w:rsidP="000F3804">
      <w:pPr>
        <w:rPr>
          <w:rFonts w:ascii="Arial" w:hAnsi="Arial" w:cs="Arial"/>
          <w:sz w:val="28"/>
          <w:szCs w:val="28"/>
        </w:rPr>
      </w:pPr>
    </w:p>
    <w:p w14:paraId="6631DE46" w14:textId="77777777" w:rsidR="008D029D" w:rsidRDefault="008D029D" w:rsidP="000F3804">
      <w:pPr>
        <w:rPr>
          <w:rFonts w:ascii="Arial" w:hAnsi="Arial" w:cs="Arial"/>
          <w:sz w:val="28"/>
          <w:szCs w:val="28"/>
        </w:rPr>
      </w:pPr>
    </w:p>
    <w:p w14:paraId="1BBC7865" w14:textId="148958F5" w:rsidR="008D029D" w:rsidRPr="00141CD0" w:rsidRDefault="008D029D" w:rsidP="000F3804">
      <w:pPr>
        <w:rPr>
          <w:rFonts w:ascii="Arial" w:hAnsi="Arial" w:cs="Arial"/>
          <w:b/>
          <w:bCs/>
          <w:sz w:val="40"/>
          <w:szCs w:val="40"/>
        </w:rPr>
      </w:pPr>
      <w:r w:rsidRPr="00141CD0">
        <w:rPr>
          <w:rFonts w:ascii="Arial" w:hAnsi="Arial" w:cs="Arial"/>
          <w:b/>
          <w:bCs/>
          <w:sz w:val="40"/>
          <w:szCs w:val="40"/>
        </w:rPr>
        <w:t>TASK 6</w:t>
      </w:r>
      <w:r w:rsidR="00733A7D" w:rsidRPr="00141CD0">
        <w:rPr>
          <w:rFonts w:ascii="Arial" w:hAnsi="Arial" w:cs="Arial"/>
          <w:b/>
          <w:bCs/>
          <w:sz w:val="40"/>
          <w:szCs w:val="40"/>
        </w:rPr>
        <w:t xml:space="preserve"> - Exploring Digital Innovation in Health and Social Care</w:t>
      </w:r>
    </w:p>
    <w:p w14:paraId="00FB8A95" w14:textId="77777777" w:rsidR="00733A7D" w:rsidRDefault="00733A7D" w:rsidP="000F3804">
      <w:pPr>
        <w:rPr>
          <w:rFonts w:ascii="Arial" w:hAnsi="Arial" w:cs="Arial"/>
          <w:sz w:val="28"/>
          <w:szCs w:val="28"/>
        </w:rPr>
      </w:pPr>
    </w:p>
    <w:p w14:paraId="362478C7" w14:textId="77777777" w:rsidR="00977AF8" w:rsidRPr="00141CD0" w:rsidRDefault="00977AF8" w:rsidP="00141CD0">
      <w:pPr>
        <w:pStyle w:val="ListParagraph"/>
        <w:numPr>
          <w:ilvl w:val="0"/>
          <w:numId w:val="14"/>
        </w:numPr>
        <w:rPr>
          <w:rFonts w:ascii="Arial" w:hAnsi="Arial" w:cs="Arial"/>
          <w:sz w:val="28"/>
          <w:szCs w:val="28"/>
        </w:rPr>
      </w:pPr>
      <w:r w:rsidRPr="00141CD0">
        <w:rPr>
          <w:rFonts w:ascii="Arial" w:hAnsi="Arial" w:cs="Arial"/>
          <w:b/>
          <w:bCs/>
          <w:sz w:val="36"/>
          <w:szCs w:val="36"/>
        </w:rPr>
        <w:t>Wearable Health Technologie</w:t>
      </w:r>
      <w:r w:rsidRPr="00141CD0">
        <w:rPr>
          <w:rFonts w:ascii="Arial" w:hAnsi="Arial" w:cs="Arial"/>
          <w:sz w:val="28"/>
          <w:szCs w:val="28"/>
        </w:rPr>
        <w:t>s</w:t>
      </w:r>
    </w:p>
    <w:p w14:paraId="6BD212C3" w14:textId="11DFEE13" w:rsidR="00977AF8" w:rsidRDefault="00E217B4" w:rsidP="000F3804">
      <w:pPr>
        <w:rPr>
          <w:rFonts w:ascii="Arial" w:hAnsi="Arial" w:cs="Arial"/>
          <w:sz w:val="28"/>
          <w:szCs w:val="28"/>
        </w:rPr>
      </w:pPr>
      <w:r>
        <w:rPr>
          <w:rFonts w:ascii="Arial" w:hAnsi="Arial" w:cs="Arial"/>
          <w:sz w:val="28"/>
          <w:szCs w:val="28"/>
        </w:rPr>
        <w:t xml:space="preserve">One advantage of wearable health technologies is their ability to support the tracking of chronic illnesses through continuous, real-time monitoring. This promotes proactive rather than reactive care. When these devices are used to monitor vital metrics outside the clinical setting, they can help reduce the negative effects of chronic diseases </w:t>
      </w:r>
      <w:proofErr w:type="gramStart"/>
      <w:r>
        <w:rPr>
          <w:rFonts w:ascii="Arial" w:hAnsi="Arial" w:cs="Arial"/>
          <w:sz w:val="28"/>
          <w:szCs w:val="28"/>
        </w:rPr>
        <w:t>and also</w:t>
      </w:r>
      <w:proofErr w:type="gramEnd"/>
      <w:r>
        <w:rPr>
          <w:rFonts w:ascii="Arial" w:hAnsi="Arial" w:cs="Arial"/>
          <w:sz w:val="28"/>
          <w:szCs w:val="28"/>
        </w:rPr>
        <w:t xml:space="preserve"> aid in preventing emergency hospitalisations. Continuous Glucose Monitors (CGMs), for example, have completely transformed diabetes management, especially in children, by removing the need for multiple, painful finger-prick tests and enabling levels to be monitored throughout the day. Additionally, these devices send data directly to the phone, allowing health professionals to intervene if levels become dangerously high or low. Such a system will not only improve health outcomes over time but also give the patient more freedom</w:t>
      </w:r>
      <w:r w:rsidR="00977AF8" w:rsidRPr="00977AF8">
        <w:rPr>
          <w:rFonts w:ascii="Arial" w:hAnsi="Arial" w:cs="Arial"/>
          <w:sz w:val="28"/>
          <w:szCs w:val="28"/>
        </w:rPr>
        <w:t>.</w:t>
      </w:r>
    </w:p>
    <w:p w14:paraId="24830685" w14:textId="77777777" w:rsidR="00141CD0" w:rsidRPr="00141CD0" w:rsidRDefault="00141CD0" w:rsidP="00141CD0">
      <w:pPr>
        <w:pStyle w:val="ListParagraph"/>
        <w:numPr>
          <w:ilvl w:val="0"/>
          <w:numId w:val="14"/>
        </w:numPr>
        <w:rPr>
          <w:rFonts w:ascii="Arial" w:hAnsi="Arial" w:cs="Arial"/>
          <w:b/>
          <w:bCs/>
          <w:sz w:val="36"/>
          <w:szCs w:val="36"/>
        </w:rPr>
      </w:pPr>
      <w:r w:rsidRPr="00141CD0">
        <w:rPr>
          <w:rFonts w:ascii="Arial" w:hAnsi="Arial" w:cs="Arial"/>
          <w:b/>
          <w:bCs/>
          <w:sz w:val="36"/>
          <w:szCs w:val="36"/>
        </w:rPr>
        <w:t xml:space="preserve">Electronic Health Records (EHRs) </w:t>
      </w:r>
    </w:p>
    <w:p w14:paraId="5FDC04AF" w14:textId="5B0A8E40" w:rsidR="007A7363" w:rsidRDefault="00B96FA5" w:rsidP="000F3804">
      <w:pPr>
        <w:rPr>
          <w:rFonts w:ascii="Arial" w:hAnsi="Arial" w:cs="Arial"/>
          <w:sz w:val="28"/>
          <w:szCs w:val="28"/>
        </w:rPr>
      </w:pPr>
      <w:r>
        <w:rPr>
          <w:rFonts w:ascii="Arial" w:hAnsi="Arial" w:cs="Arial"/>
          <w:sz w:val="28"/>
          <w:szCs w:val="28"/>
        </w:rPr>
        <w:t>Electronic Health Records (EHRs) facilitate communication and collaboration because they store patient information in a single location accessible by doctors in different places at the same time. Unlike separate paper files, EHRs ensure that all members of the healthcare team, such as specialists, family doctors, and nurses, have access to the most recent information, helping to avoid unnecessary tests and minimise medication errors. For example, if a patient is referred by their family doctor to a specialist, the EHR allows the specialist to quickly review the patient's previous test results, X-rays, and list of medicines</w:t>
      </w:r>
      <w:r w:rsidR="00141CD0" w:rsidRPr="00141CD0">
        <w:rPr>
          <w:rFonts w:ascii="Arial" w:hAnsi="Arial" w:cs="Arial"/>
          <w:sz w:val="28"/>
          <w:szCs w:val="28"/>
        </w:rPr>
        <w:t>, making it easier to provide care together as a team. This ability for systems to work together guarantees a smooth exchange of information, thus improving the patient's ongoing care.</w:t>
      </w:r>
      <w:r w:rsidR="000404D4" w:rsidRPr="000404D4">
        <w:t xml:space="preserve"> </w:t>
      </w:r>
      <w:r w:rsidR="000404D4" w:rsidRPr="000404D4">
        <w:rPr>
          <w:rFonts w:ascii="Arial" w:hAnsi="Arial" w:cs="Arial"/>
          <w:sz w:val="28"/>
          <w:szCs w:val="28"/>
        </w:rPr>
        <w:t>(Park University, 2024)</w:t>
      </w:r>
      <w:r w:rsidR="005D1A7B">
        <w:rPr>
          <w:rFonts w:ascii="Arial" w:hAnsi="Arial" w:cs="Arial"/>
          <w:sz w:val="28"/>
          <w:szCs w:val="28"/>
        </w:rPr>
        <w:t>.</w:t>
      </w:r>
    </w:p>
    <w:p w14:paraId="73E203C2" w14:textId="1FAB420E" w:rsidR="005C36AF" w:rsidRPr="00B067BB" w:rsidRDefault="00A23B66" w:rsidP="00B067BB">
      <w:pPr>
        <w:pStyle w:val="ListParagraph"/>
        <w:numPr>
          <w:ilvl w:val="0"/>
          <w:numId w:val="14"/>
        </w:numPr>
        <w:rPr>
          <w:rFonts w:ascii="Arial" w:hAnsi="Arial" w:cs="Arial"/>
          <w:b/>
          <w:bCs/>
          <w:sz w:val="36"/>
          <w:szCs w:val="36"/>
        </w:rPr>
      </w:pPr>
      <w:r>
        <w:rPr>
          <w:rFonts w:ascii="Arial" w:hAnsi="Arial" w:cs="Arial"/>
          <w:b/>
          <w:bCs/>
          <w:sz w:val="36"/>
          <w:szCs w:val="36"/>
        </w:rPr>
        <w:t>Preventive</w:t>
      </w:r>
      <w:r w:rsidR="00B067BB" w:rsidRPr="00B067BB">
        <w:rPr>
          <w:rFonts w:ascii="Arial" w:hAnsi="Arial" w:cs="Arial"/>
          <w:b/>
          <w:bCs/>
          <w:sz w:val="36"/>
          <w:szCs w:val="36"/>
        </w:rPr>
        <w:t xml:space="preserve"> Care and Health Promotion</w:t>
      </w:r>
    </w:p>
    <w:p w14:paraId="1574BDA0" w14:textId="5824ECF8" w:rsidR="00BD4FD0" w:rsidRPr="00B75DA0" w:rsidRDefault="00237BB9" w:rsidP="00BD4FD0">
      <w:pPr>
        <w:rPr>
          <w:rFonts w:ascii="Arial" w:hAnsi="Arial" w:cs="Arial"/>
          <w:sz w:val="28"/>
          <w:szCs w:val="28"/>
        </w:rPr>
      </w:pPr>
      <w:r>
        <w:rPr>
          <w:rFonts w:ascii="Arial" w:hAnsi="Arial" w:cs="Arial"/>
          <w:sz w:val="28"/>
          <w:szCs w:val="28"/>
        </w:rPr>
        <w:t xml:space="preserve">Digital technology has the potential to enhance preventative care by providing personalised, immediate health information that supports individuals in changing their lifestyles and preventing the onset or worsening of diseases. These digital tools can offer risk-based screening and enable people to monitor their health from home, thereby promoting independence, which is a crucial factor for long-term well-being. Take a digital asthma management system, for example; it is equipped with smart inhaler sensors that record medication dosage </w:t>
      </w:r>
      <w:proofErr w:type="gramStart"/>
      <w:r>
        <w:rPr>
          <w:rFonts w:ascii="Arial" w:hAnsi="Arial" w:cs="Arial"/>
          <w:sz w:val="28"/>
          <w:szCs w:val="28"/>
        </w:rPr>
        <w:t>and also</w:t>
      </w:r>
      <w:proofErr w:type="gramEnd"/>
      <w:r>
        <w:rPr>
          <w:rFonts w:ascii="Arial" w:hAnsi="Arial" w:cs="Arial"/>
          <w:sz w:val="28"/>
          <w:szCs w:val="28"/>
        </w:rPr>
        <w:t xml:space="preserve"> offer personalised real-time feedback and education. By tracking the usage of the rescue inhaler (time and place), the system can identify environmental factors that trigger the user’s asthma, allowing them to take action to prevent asthma attacks and reduce the need for emergency care visits</w:t>
      </w:r>
      <w:r w:rsidR="00C6443B" w:rsidRPr="00C6443B">
        <w:rPr>
          <w:rFonts w:ascii="Arial" w:hAnsi="Arial" w:cs="Arial"/>
          <w:sz w:val="28"/>
          <w:szCs w:val="28"/>
        </w:rPr>
        <w:t>.</w:t>
      </w:r>
    </w:p>
    <w:p w14:paraId="161F8F4E" w14:textId="77777777" w:rsidR="00BD4FD0" w:rsidRDefault="00BD4FD0" w:rsidP="00BD4FD0"/>
    <w:p w14:paraId="233F54A2" w14:textId="77777777" w:rsidR="00914C8A" w:rsidRPr="00E0709C" w:rsidRDefault="00914C8A" w:rsidP="00914C8A">
      <w:pPr>
        <w:rPr>
          <w:rFonts w:ascii="Arial" w:hAnsi="Arial" w:cs="Arial"/>
          <w:sz w:val="36"/>
          <w:szCs w:val="36"/>
        </w:rPr>
      </w:pPr>
      <w:r w:rsidRPr="00E0709C">
        <w:rPr>
          <w:rFonts w:ascii="Arial" w:hAnsi="Arial" w:cs="Arial"/>
          <w:sz w:val="36"/>
          <w:szCs w:val="36"/>
        </w:rPr>
        <w:t>Task 7</w:t>
      </w:r>
    </w:p>
    <w:p w14:paraId="4F9E9B8C" w14:textId="77777777" w:rsidR="00914C8A" w:rsidRPr="00E0709C" w:rsidRDefault="00914C8A" w:rsidP="00914C8A">
      <w:pPr>
        <w:rPr>
          <w:rFonts w:ascii="Arial" w:hAnsi="Arial" w:cs="Arial"/>
          <w:sz w:val="36"/>
          <w:szCs w:val="36"/>
        </w:rPr>
      </w:pPr>
      <w:r w:rsidRPr="00E0709C">
        <w:rPr>
          <w:rFonts w:ascii="Arial" w:hAnsi="Arial" w:cs="Arial"/>
          <w:sz w:val="36"/>
          <w:szCs w:val="36"/>
        </w:rPr>
        <w:t>Part 1: The NHS Leadership Academy Healthcare Leadership Model</w:t>
      </w:r>
    </w:p>
    <w:p w14:paraId="12C23BC1" w14:textId="77777777" w:rsidR="00914C8A" w:rsidRPr="00E0709C" w:rsidRDefault="00914C8A" w:rsidP="00914C8A">
      <w:pPr>
        <w:rPr>
          <w:rFonts w:ascii="Arial" w:hAnsi="Arial" w:cs="Arial"/>
          <w:sz w:val="36"/>
          <w:szCs w:val="36"/>
        </w:rPr>
      </w:pPr>
    </w:p>
    <w:p w14:paraId="407B1230" w14:textId="77777777" w:rsidR="00914C8A" w:rsidRPr="00C711BA" w:rsidRDefault="00914C8A" w:rsidP="00914C8A">
      <w:pPr>
        <w:rPr>
          <w:rFonts w:ascii="Arial" w:hAnsi="Arial" w:cs="Arial"/>
          <w:sz w:val="28"/>
          <w:szCs w:val="28"/>
        </w:rPr>
      </w:pPr>
      <w:r w:rsidRPr="00C711BA">
        <w:rPr>
          <w:rFonts w:ascii="Arial" w:hAnsi="Arial" w:cs="Arial"/>
          <w:sz w:val="28"/>
          <w:szCs w:val="28"/>
        </w:rPr>
        <w:t>The NHS Leadership Academy Healthcare Leadership Model (2013) is a framework designed to help health and social care professionals understand and strengthen their leadership behaviours (NHS Leadership Academy, 2013). It moves beyond traditional hierarchical ideas, recognising that leadership can be demonstrated by anyone, from frontline staff to senior executives (NHS Leadership Academy, 2013).</w:t>
      </w:r>
    </w:p>
    <w:p w14:paraId="4C758252" w14:textId="77777777" w:rsidR="00914C8A" w:rsidRPr="00C711BA" w:rsidRDefault="00914C8A" w:rsidP="00914C8A">
      <w:pPr>
        <w:rPr>
          <w:rFonts w:ascii="Arial" w:hAnsi="Arial" w:cs="Arial"/>
          <w:sz w:val="28"/>
          <w:szCs w:val="28"/>
        </w:rPr>
      </w:pPr>
      <w:r w:rsidRPr="00C711BA">
        <w:rPr>
          <w:rFonts w:ascii="Arial" w:hAnsi="Arial" w:cs="Arial"/>
          <w:sz w:val="28"/>
          <w:szCs w:val="28"/>
        </w:rPr>
        <w:t>At its core are nine dimensions: inspiring shared purpose, leading with care, connecting our service, sharing the vision, engaging the team, holding to account, developing capability, influencing for results, and evaluating information. Each dimension includes a scale that supports self-assessment, helping individuals reflect on their current practice and identify areas for improvement (NHS Leadership Academy, 2013).</w:t>
      </w:r>
    </w:p>
    <w:p w14:paraId="5315572F" w14:textId="77777777" w:rsidR="00914C8A" w:rsidRPr="00C711BA" w:rsidRDefault="00914C8A" w:rsidP="00914C8A">
      <w:pPr>
        <w:rPr>
          <w:rFonts w:ascii="Arial" w:hAnsi="Arial" w:cs="Arial"/>
          <w:sz w:val="28"/>
          <w:szCs w:val="28"/>
        </w:rPr>
      </w:pPr>
      <w:r w:rsidRPr="00C711BA">
        <w:rPr>
          <w:rFonts w:ascii="Arial" w:hAnsi="Arial" w:cs="Arial"/>
          <w:sz w:val="28"/>
          <w:szCs w:val="28"/>
        </w:rPr>
        <w:t>Effective leadership in health and social care is essential because it influences the quality, safety, and overall experience of care. The model promotes compassionate, values-driven leadership, supports staff wellbeing, and encourages continuous learning, accountability, and ongoing service improvement in a constantly changing healthcare environment (West et al., 2017).</w:t>
      </w:r>
    </w:p>
    <w:p w14:paraId="74BE8647" w14:textId="77777777" w:rsidR="00914C8A" w:rsidRPr="00C711BA" w:rsidRDefault="00914C8A" w:rsidP="00914C8A">
      <w:pPr>
        <w:rPr>
          <w:rFonts w:ascii="Arial" w:hAnsi="Arial" w:cs="Arial"/>
          <w:sz w:val="28"/>
          <w:szCs w:val="28"/>
        </w:rPr>
      </w:pPr>
    </w:p>
    <w:p w14:paraId="4C325AB0" w14:textId="77777777" w:rsidR="00914C8A" w:rsidRPr="00E639FC" w:rsidRDefault="00914C8A" w:rsidP="00914C8A">
      <w:pPr>
        <w:rPr>
          <w:rFonts w:ascii="Arial" w:hAnsi="Arial" w:cs="Arial"/>
          <w:sz w:val="36"/>
          <w:szCs w:val="36"/>
        </w:rPr>
      </w:pPr>
      <w:r w:rsidRPr="00E639FC">
        <w:rPr>
          <w:rFonts w:ascii="Arial" w:hAnsi="Arial" w:cs="Arial"/>
          <w:sz w:val="36"/>
          <w:szCs w:val="36"/>
        </w:rPr>
        <w:t>Part 2: Leadership Behaviour — Inspiring Shared Purpose</w:t>
      </w:r>
    </w:p>
    <w:p w14:paraId="42CDE662" w14:textId="77777777" w:rsidR="00914C8A" w:rsidRPr="00C711BA" w:rsidRDefault="00914C8A" w:rsidP="00914C8A">
      <w:pPr>
        <w:rPr>
          <w:rFonts w:ascii="Arial" w:hAnsi="Arial" w:cs="Arial"/>
          <w:sz w:val="28"/>
          <w:szCs w:val="28"/>
        </w:rPr>
      </w:pPr>
      <w:r w:rsidRPr="00C711BA">
        <w:rPr>
          <w:rFonts w:ascii="Arial" w:hAnsi="Arial" w:cs="Arial"/>
          <w:sz w:val="28"/>
          <w:szCs w:val="28"/>
        </w:rPr>
        <w:t>One key behaviour in the NHS Leadership Academy Healthcare Leadership Model is inspiring a shared purpose. Leaders who demonstrate this create a clear, engaging vision that links daily tasks to improving patient and service user outcomes (NHS Leadership Academy, 2013). They encourage staff to share ideas and take creative risks, reinforcing that innovation is essential to care. This aligns with transformational leadership, where leaders inspire and support followers to adopt new approaches and improve practice (Bernard Bass and Bruce Avolio, 1994). As a result, teams collaborate effectively and deliver care that better meets patient needs and preferences.</w:t>
      </w:r>
    </w:p>
    <w:p w14:paraId="700C0C46" w14:textId="77777777" w:rsidR="00914C8A" w:rsidRPr="00C711BA" w:rsidRDefault="00914C8A" w:rsidP="00914C8A">
      <w:pPr>
        <w:rPr>
          <w:rFonts w:ascii="Arial" w:hAnsi="Arial" w:cs="Arial"/>
          <w:sz w:val="28"/>
          <w:szCs w:val="28"/>
        </w:rPr>
      </w:pPr>
    </w:p>
    <w:p w14:paraId="193FCEFF" w14:textId="77777777" w:rsidR="00914C8A" w:rsidRPr="00E0709C" w:rsidRDefault="00914C8A" w:rsidP="00914C8A">
      <w:pPr>
        <w:rPr>
          <w:rFonts w:ascii="Arial" w:hAnsi="Arial" w:cs="Arial"/>
          <w:sz w:val="36"/>
          <w:szCs w:val="36"/>
        </w:rPr>
      </w:pPr>
      <w:r w:rsidRPr="00E0709C">
        <w:rPr>
          <w:rFonts w:ascii="Arial" w:hAnsi="Arial" w:cs="Arial"/>
          <w:sz w:val="36"/>
          <w:szCs w:val="36"/>
        </w:rPr>
        <w:t>Part 3: Reflective Journal Entry</w:t>
      </w:r>
    </w:p>
    <w:p w14:paraId="3FF4BFF7" w14:textId="77777777" w:rsidR="00914C8A" w:rsidRPr="00E0709C" w:rsidRDefault="00914C8A" w:rsidP="00914C8A">
      <w:pPr>
        <w:rPr>
          <w:rFonts w:ascii="Arial" w:hAnsi="Arial" w:cs="Arial"/>
          <w:sz w:val="36"/>
          <w:szCs w:val="36"/>
        </w:rPr>
      </w:pPr>
    </w:p>
    <w:p w14:paraId="2B752A78" w14:textId="77777777" w:rsidR="00914C8A" w:rsidRPr="00E0709C" w:rsidRDefault="00914C8A" w:rsidP="00914C8A">
      <w:pPr>
        <w:rPr>
          <w:rFonts w:ascii="Arial" w:hAnsi="Arial" w:cs="Arial"/>
          <w:sz w:val="36"/>
          <w:szCs w:val="36"/>
        </w:rPr>
      </w:pPr>
      <w:r w:rsidRPr="00E0709C">
        <w:rPr>
          <w:rFonts w:ascii="Arial" w:hAnsi="Arial" w:cs="Arial"/>
          <w:sz w:val="36"/>
          <w:szCs w:val="36"/>
        </w:rPr>
        <w:t>Module Reflection — Creativity and Value Creation in Health and Social Care</w:t>
      </w:r>
    </w:p>
    <w:p w14:paraId="48EAF8DD" w14:textId="77777777" w:rsidR="00914C8A" w:rsidRPr="00E0709C" w:rsidRDefault="00914C8A" w:rsidP="00914C8A">
      <w:pPr>
        <w:rPr>
          <w:rFonts w:ascii="Arial" w:hAnsi="Arial" w:cs="Arial"/>
          <w:sz w:val="36"/>
          <w:szCs w:val="36"/>
        </w:rPr>
      </w:pPr>
    </w:p>
    <w:p w14:paraId="795A03C2" w14:textId="5F9017DC" w:rsidR="00914C8A" w:rsidRPr="00C711BA" w:rsidRDefault="00914C8A" w:rsidP="00914C8A">
      <w:pPr>
        <w:rPr>
          <w:rFonts w:ascii="Arial" w:hAnsi="Arial" w:cs="Arial"/>
          <w:sz w:val="28"/>
          <w:szCs w:val="28"/>
        </w:rPr>
      </w:pPr>
      <w:r w:rsidRPr="00C711BA">
        <w:rPr>
          <w:rFonts w:ascii="Arial" w:hAnsi="Arial" w:cs="Arial"/>
          <w:sz w:val="28"/>
          <w:szCs w:val="28"/>
        </w:rPr>
        <w:t xml:space="preserve">When I began this module, I held a </w:t>
      </w:r>
      <w:r w:rsidR="00BD6BCE" w:rsidRPr="00C711BA">
        <w:rPr>
          <w:rFonts w:ascii="Arial" w:hAnsi="Arial" w:cs="Arial"/>
          <w:sz w:val="28"/>
          <w:szCs w:val="28"/>
        </w:rPr>
        <w:t>narrow</w:t>
      </w:r>
      <w:r w:rsidRPr="00C711BA">
        <w:rPr>
          <w:rFonts w:ascii="Arial" w:hAnsi="Arial" w:cs="Arial"/>
          <w:sz w:val="28"/>
          <w:szCs w:val="28"/>
        </w:rPr>
        <w:t xml:space="preserve"> view of creativity — I associated it primarily with the arts or with dramatic technological breakthroughs, and I was uncertain how it applied to the day-to-day realities of health and social care. Over the course of the module, that understanding has shifted considerably.</w:t>
      </w:r>
    </w:p>
    <w:p w14:paraId="0D4F22A4" w14:textId="77777777" w:rsidR="00914C8A" w:rsidRPr="00C711BA" w:rsidRDefault="00914C8A" w:rsidP="00914C8A">
      <w:pPr>
        <w:rPr>
          <w:rFonts w:ascii="Arial" w:hAnsi="Arial" w:cs="Arial"/>
          <w:sz w:val="28"/>
          <w:szCs w:val="28"/>
        </w:rPr>
      </w:pPr>
    </w:p>
    <w:p w14:paraId="2FF0961E" w14:textId="77777777" w:rsidR="00914C8A" w:rsidRPr="00C711BA" w:rsidRDefault="00914C8A" w:rsidP="00914C8A">
      <w:pPr>
        <w:rPr>
          <w:rFonts w:ascii="Arial" w:hAnsi="Arial" w:cs="Arial"/>
          <w:sz w:val="28"/>
          <w:szCs w:val="28"/>
        </w:rPr>
      </w:pPr>
      <w:r w:rsidRPr="00C711BA">
        <w:rPr>
          <w:rFonts w:ascii="Arial" w:hAnsi="Arial" w:cs="Arial"/>
          <w:sz w:val="28"/>
          <w:szCs w:val="28"/>
        </w:rPr>
        <w:t>One of the most significant changes in my thinking has been recognising that creativity in health and social care is not about grand gestures. It is often found in small, meaningful changes: a nurse who redesigns a handover process to reduce errors, a social worker who develops a new way to engage a reluctant service user, or a team that co-produces a care pathway with patients themselves. These are acts of creative problem-solving that generate real value — for individuals and for the organisation.</w:t>
      </w:r>
    </w:p>
    <w:p w14:paraId="3BBBBAA4" w14:textId="77777777" w:rsidR="00914C8A" w:rsidRPr="00C711BA" w:rsidRDefault="00914C8A" w:rsidP="00914C8A">
      <w:pPr>
        <w:rPr>
          <w:rFonts w:ascii="Arial" w:hAnsi="Arial" w:cs="Arial"/>
          <w:sz w:val="28"/>
          <w:szCs w:val="28"/>
        </w:rPr>
      </w:pPr>
    </w:p>
    <w:p w14:paraId="2BF3F2D5" w14:textId="77777777" w:rsidR="00914C8A" w:rsidRPr="00C711BA" w:rsidRDefault="00914C8A" w:rsidP="00914C8A">
      <w:pPr>
        <w:rPr>
          <w:rFonts w:ascii="Arial" w:hAnsi="Arial" w:cs="Arial"/>
          <w:sz w:val="28"/>
          <w:szCs w:val="28"/>
        </w:rPr>
      </w:pPr>
      <w:r w:rsidRPr="00C711BA">
        <w:rPr>
          <w:rFonts w:ascii="Arial" w:hAnsi="Arial" w:cs="Arial"/>
          <w:sz w:val="28"/>
          <w:szCs w:val="28"/>
        </w:rPr>
        <w:t>The concept of value creation was particularly influential. I had not previously considered how innovation in practice could simultaneously improve patient experience, reduce waste, and empower staff. Exploring this connection helped me understand that creativity and effectiveness are not in tension — they reinforce each other when supported by strong, values-led leadership (West et al., 2017).</w:t>
      </w:r>
    </w:p>
    <w:p w14:paraId="48B79345" w14:textId="77777777" w:rsidR="00914C8A" w:rsidRPr="00C711BA" w:rsidRDefault="00914C8A" w:rsidP="00914C8A">
      <w:pPr>
        <w:rPr>
          <w:rFonts w:ascii="Arial" w:hAnsi="Arial" w:cs="Arial"/>
          <w:sz w:val="28"/>
          <w:szCs w:val="28"/>
        </w:rPr>
      </w:pPr>
    </w:p>
    <w:p w14:paraId="45999941" w14:textId="77777777" w:rsidR="00914C8A" w:rsidRPr="00C711BA" w:rsidRDefault="00914C8A" w:rsidP="00914C8A">
      <w:pPr>
        <w:rPr>
          <w:rFonts w:ascii="Arial" w:hAnsi="Arial" w:cs="Arial"/>
          <w:sz w:val="28"/>
          <w:szCs w:val="28"/>
        </w:rPr>
      </w:pPr>
      <w:r w:rsidRPr="00C711BA">
        <w:rPr>
          <w:rFonts w:ascii="Arial" w:hAnsi="Arial" w:cs="Arial"/>
          <w:sz w:val="28"/>
          <w:szCs w:val="28"/>
        </w:rPr>
        <w:t>The task of mapping a leadership behaviour to a real care scenario pushed me to think practically rather than theoretically. It was one thing to read about inspiring shared purpose; it was quite another to consider what that looks like on a ward or in a community mental health team. This bridging of theory and practice has been the most valuable part of the module for me personally.</w:t>
      </w:r>
    </w:p>
    <w:p w14:paraId="30992EA0" w14:textId="77777777" w:rsidR="00914C8A" w:rsidRPr="00C711BA" w:rsidRDefault="00914C8A" w:rsidP="00914C8A">
      <w:pPr>
        <w:rPr>
          <w:rFonts w:ascii="Arial" w:hAnsi="Arial" w:cs="Arial"/>
          <w:sz w:val="28"/>
          <w:szCs w:val="28"/>
        </w:rPr>
      </w:pPr>
    </w:p>
    <w:p w14:paraId="7F9E8C0F" w14:textId="77777777" w:rsidR="00914C8A" w:rsidRPr="00C711BA" w:rsidRDefault="00914C8A" w:rsidP="00914C8A">
      <w:pPr>
        <w:rPr>
          <w:rFonts w:ascii="Arial" w:hAnsi="Arial" w:cs="Arial"/>
          <w:sz w:val="28"/>
          <w:szCs w:val="28"/>
        </w:rPr>
      </w:pPr>
      <w:r w:rsidRPr="00C711BA">
        <w:rPr>
          <w:rFonts w:ascii="Arial" w:hAnsi="Arial" w:cs="Arial"/>
          <w:sz w:val="28"/>
          <w:szCs w:val="28"/>
        </w:rPr>
        <w:t>Looking ahead, this learning will shape my professional practice in several important ways. I intend to be more intentional about creating space for creativity within my future role — not just tolerating new ideas but actively inviting them. I also want to lead in a way that connects colleagues to purpose, drawing on transformational leadership principles (Bass &amp; Avolio, 1994) to help teams see the bigger picture of why their work matters. I believe that if staff feel inspired and psychologically safe, the quality and creativity of care they provide will be significantly enhanced.</w:t>
      </w:r>
    </w:p>
    <w:p w14:paraId="007016C9" w14:textId="77777777" w:rsidR="00914C8A" w:rsidRPr="00C711BA" w:rsidRDefault="00914C8A" w:rsidP="00914C8A">
      <w:pPr>
        <w:rPr>
          <w:rFonts w:ascii="Arial" w:hAnsi="Arial" w:cs="Arial"/>
          <w:sz w:val="28"/>
          <w:szCs w:val="28"/>
        </w:rPr>
      </w:pPr>
    </w:p>
    <w:p w14:paraId="2536B841" w14:textId="3E64EA5D" w:rsidR="0016109B" w:rsidRPr="00C711BA" w:rsidRDefault="00914C8A" w:rsidP="00BD4FD0">
      <w:pPr>
        <w:rPr>
          <w:rFonts w:ascii="Arial" w:hAnsi="Arial" w:cs="Arial"/>
          <w:sz w:val="28"/>
          <w:szCs w:val="28"/>
        </w:rPr>
      </w:pPr>
      <w:r w:rsidRPr="00C711BA">
        <w:rPr>
          <w:rFonts w:ascii="Arial" w:hAnsi="Arial" w:cs="Arial"/>
          <w:sz w:val="28"/>
          <w:szCs w:val="28"/>
        </w:rPr>
        <w:t>This module has given me both a theoretical framework and a practical lens through which to view leadership, and I feel more confident in my ability to contribute to a culture of improvement in health and social c</w:t>
      </w:r>
      <w:r w:rsidR="004B7AEC" w:rsidRPr="00C711BA">
        <w:rPr>
          <w:rFonts w:ascii="Arial" w:hAnsi="Arial" w:cs="Arial"/>
          <w:sz w:val="28"/>
          <w:szCs w:val="28"/>
        </w:rPr>
        <w:t>are.</w:t>
      </w:r>
    </w:p>
    <w:p w14:paraId="2E91F498" w14:textId="77777777" w:rsidR="0016109B" w:rsidRPr="00E0709C" w:rsidRDefault="0016109B" w:rsidP="00BD4FD0">
      <w:pPr>
        <w:rPr>
          <w:rFonts w:ascii="Arial" w:hAnsi="Arial" w:cs="Arial"/>
          <w:sz w:val="36"/>
          <w:szCs w:val="36"/>
        </w:rPr>
      </w:pPr>
    </w:p>
    <w:p w14:paraId="71FE8852" w14:textId="77777777" w:rsidR="00601FB6" w:rsidRPr="00B542BB" w:rsidRDefault="00601FB6" w:rsidP="00601FB6">
      <w:pPr>
        <w:rPr>
          <w:rFonts w:ascii="Arial" w:hAnsi="Arial" w:cs="Arial"/>
          <w:sz w:val="28"/>
          <w:szCs w:val="28"/>
        </w:rPr>
      </w:pPr>
      <w:r w:rsidRPr="00B542BB">
        <w:rPr>
          <w:rFonts w:ascii="Arial" w:hAnsi="Arial" w:cs="Arial"/>
          <w:sz w:val="28"/>
          <w:szCs w:val="28"/>
        </w:rPr>
        <w:t xml:space="preserve">Task 8 </w:t>
      </w:r>
    </w:p>
    <w:p w14:paraId="4CC0AC26" w14:textId="77777777" w:rsidR="00601FB6" w:rsidRPr="00B542BB" w:rsidRDefault="00601FB6" w:rsidP="00601FB6">
      <w:pPr>
        <w:rPr>
          <w:rFonts w:ascii="Arial" w:hAnsi="Arial" w:cs="Arial"/>
          <w:sz w:val="28"/>
          <w:szCs w:val="28"/>
        </w:rPr>
      </w:pPr>
      <w:r w:rsidRPr="00B542BB">
        <w:rPr>
          <w:rFonts w:ascii="Arial" w:hAnsi="Arial" w:cs="Arial"/>
          <w:sz w:val="28"/>
          <w:szCs w:val="28"/>
        </w:rPr>
        <w:t>Self-Reflection Journal Entry</w:t>
      </w:r>
    </w:p>
    <w:p w14:paraId="1698F91C" w14:textId="77777777" w:rsidR="00601FB6" w:rsidRPr="00B542BB" w:rsidRDefault="00601FB6" w:rsidP="00601FB6">
      <w:pPr>
        <w:rPr>
          <w:rFonts w:ascii="Arial" w:hAnsi="Arial" w:cs="Arial"/>
          <w:sz w:val="28"/>
          <w:szCs w:val="28"/>
        </w:rPr>
      </w:pPr>
      <w:r w:rsidRPr="00B542BB">
        <w:rPr>
          <w:rFonts w:ascii="Arial" w:hAnsi="Arial" w:cs="Arial"/>
          <w:sz w:val="28"/>
          <w:szCs w:val="28"/>
        </w:rPr>
        <w:t>Before this module, I viewed innovation in health and social care as primarily technology-driven, overlooking the creative problem-solving embedded in everyday practice. The task of linking the inspiring shared purpose dimension of the NHS Healthcare Leadership Model (NHS Leadership Academy, 2013) to a real care scenario was a turning point. It demonstrated that when practitioners feel connected to a meaningful vision, they are more likely to propose and implement small but impactful changes, such as redesigning a patient handover or co-producing a care plan with service users.</w:t>
      </w:r>
    </w:p>
    <w:p w14:paraId="05996FB5" w14:textId="77777777" w:rsidR="00601FB6" w:rsidRPr="00B542BB" w:rsidRDefault="00601FB6" w:rsidP="00601FB6">
      <w:pPr>
        <w:rPr>
          <w:rFonts w:ascii="Arial" w:hAnsi="Arial" w:cs="Arial"/>
          <w:sz w:val="28"/>
          <w:szCs w:val="28"/>
        </w:rPr>
      </w:pPr>
      <w:r w:rsidRPr="00B542BB">
        <w:rPr>
          <w:rFonts w:ascii="Arial" w:hAnsi="Arial" w:cs="Arial"/>
          <w:sz w:val="28"/>
          <w:szCs w:val="28"/>
        </w:rPr>
        <w:t>This shift in perspective aligns with Kolb’s (1984) experiential learning cycle: the concrete experience of applying theory to practice prompted reflection that reshaped my understanding of value creation. I now recognise that creativity generates value not only for patients but also for staff morale and organisational efficiency (West et al., 2017).</w:t>
      </w:r>
    </w:p>
    <w:p w14:paraId="6A5F1FA2" w14:textId="77777777" w:rsidR="00601FB6" w:rsidRPr="00B542BB" w:rsidRDefault="00601FB6" w:rsidP="00601FB6">
      <w:pPr>
        <w:rPr>
          <w:rFonts w:ascii="Arial" w:hAnsi="Arial" w:cs="Arial"/>
          <w:sz w:val="28"/>
          <w:szCs w:val="28"/>
        </w:rPr>
      </w:pPr>
      <w:r w:rsidRPr="00B542BB">
        <w:rPr>
          <w:rFonts w:ascii="Arial" w:hAnsi="Arial" w:cs="Arial"/>
          <w:sz w:val="28"/>
          <w:szCs w:val="28"/>
        </w:rPr>
        <w:t>In future placements, I will actively foster psychological safety within teams, drawing on transformational leadership principles (Bass and Avolio, 1994) to encourage colleagues to share ideas without fear of criticism. The key concept I will carry into my career is that innovation in care begins with purposeful, values-led leadership that empowers every team member to contribute creatively.</w:t>
      </w:r>
    </w:p>
    <w:p w14:paraId="1EBA2117" w14:textId="77777777" w:rsidR="0016109B" w:rsidRDefault="0016109B" w:rsidP="00BD4FD0"/>
    <w:p w14:paraId="7FC6CE83" w14:textId="77777777" w:rsidR="0016109B" w:rsidRDefault="0016109B" w:rsidP="00BD4FD0"/>
    <w:sdt>
      <w:sdtPr>
        <w:rPr>
          <w:rFonts w:ascii="Aptos" w:eastAsia="Aptos" w:hAnsi="Aptos" w:cs="Times New Roman"/>
          <w:color w:val="auto"/>
          <w:sz w:val="24"/>
          <w:szCs w:val="24"/>
          <w14:ligatures w14:val="none"/>
        </w:rPr>
        <w:id w:val="-1970353969"/>
        <w:docPartObj>
          <w:docPartGallery w:val="Bibliographies"/>
          <w:docPartUnique/>
        </w:docPartObj>
      </w:sdtPr>
      <w:sdtContent>
        <w:p w14:paraId="1CCB2F87" w14:textId="478E9DC6" w:rsidR="00BD4FD0" w:rsidRDefault="00BD4FD0">
          <w:pPr>
            <w:pStyle w:val="Heading1"/>
          </w:pPr>
          <w:r>
            <w:t>References</w:t>
          </w:r>
        </w:p>
        <w:p w14:paraId="12746EC5" w14:textId="63DF6068" w:rsidR="0033184B" w:rsidRPr="0033184B" w:rsidRDefault="0033184B" w:rsidP="0033184B">
          <w:r w:rsidRPr="0033184B">
            <w:t>Bass, B.M. and Avolio, B.J. (1994) Improving organizational effectiveness through transformational leadership. Thousand Oaks, CA: Sage Publications.</w:t>
          </w:r>
        </w:p>
        <w:sdt>
          <w:sdtPr>
            <w:id w:val="849377275"/>
            <w:bibliography/>
          </w:sdtPr>
          <w:sdtContent>
            <w:p w14:paraId="136CB1BA" w14:textId="77777777" w:rsidR="00BD4FD0" w:rsidRDefault="00BD4FD0" w:rsidP="00BD4FD0">
              <w:pPr>
                <w:pStyle w:val="Bibliography"/>
                <w:rPr>
                  <w:noProof/>
                  <w:kern w:val="0"/>
                </w:rPr>
              </w:pPr>
              <w:r>
                <w:fldChar w:fldCharType="begin"/>
              </w:r>
              <w:r>
                <w:instrText xml:space="preserve"> BIBLIOGRAPHY </w:instrText>
              </w:r>
              <w:r>
                <w:fldChar w:fldCharType="separate"/>
              </w:r>
              <w:r>
                <w:rPr>
                  <w:noProof/>
                </w:rPr>
                <w:t>C. Maslach, M. L., 2016. Burnout. Stress: Concepts, Cognition, Emotion, and Behavior. pp. 351-357.</w:t>
              </w:r>
            </w:p>
            <w:p w14:paraId="4BEAF89F" w14:textId="77777777" w:rsidR="00BD4FD0" w:rsidRDefault="00BD4FD0" w:rsidP="00BD4FD0">
              <w:pPr>
                <w:pStyle w:val="Bibliography"/>
                <w:rPr>
                  <w:noProof/>
                </w:rPr>
              </w:pPr>
              <w:r>
                <w:rPr>
                  <w:noProof/>
                </w:rPr>
                <w:t>Cropley, A., 2006. In Praise of Convergent Thinking, Creativity Research Journal. Volume 18(3), pp. 391-404.</w:t>
              </w:r>
            </w:p>
            <w:p w14:paraId="1050D39E" w14:textId="77777777" w:rsidR="00BD4FD0" w:rsidRDefault="00BD4FD0" w:rsidP="00BD4FD0">
              <w:pPr>
                <w:pStyle w:val="Bibliography"/>
                <w:rPr>
                  <w:noProof/>
                </w:rPr>
              </w:pPr>
              <w:r>
                <w:rPr>
                  <w:noProof/>
                </w:rPr>
                <w:t xml:space="preserve">Gibbs, G., 1988. Learning by Doing: A Guide to Teaching and Learning Methods.. </w:t>
              </w:r>
              <w:r>
                <w:rPr>
                  <w:i/>
                  <w:iCs/>
                  <w:noProof/>
                </w:rPr>
                <w:t>Oxford: Oxford Polytechnic.</w:t>
              </w:r>
            </w:p>
            <w:p w14:paraId="07D2FE70" w14:textId="77777777" w:rsidR="00BD4FD0" w:rsidRDefault="00BD4FD0" w:rsidP="00BD4FD0">
              <w:pPr>
                <w:pStyle w:val="Bibliography"/>
                <w:rPr>
                  <w:noProof/>
                </w:rPr>
              </w:pPr>
              <w:r>
                <w:rPr>
                  <w:noProof/>
                </w:rPr>
                <w:t xml:space="preserve">M. West, D. C. a. e., 2018. Caring for Doctors, Caring for Patients.. </w:t>
              </w:r>
              <w:r>
                <w:rPr>
                  <w:i/>
                  <w:iCs/>
                  <w:noProof/>
                </w:rPr>
                <w:t>London: General Medical Council..</w:t>
              </w:r>
            </w:p>
            <w:p w14:paraId="4477BE58" w14:textId="77777777" w:rsidR="00BD4FD0" w:rsidRDefault="00BD4FD0" w:rsidP="00BD4FD0">
              <w:pPr>
                <w:pStyle w:val="Bibliography"/>
                <w:rPr>
                  <w:noProof/>
                </w:rPr>
              </w:pPr>
              <w:r>
                <w:rPr>
                  <w:noProof/>
                </w:rPr>
                <w:t xml:space="preserve">Meadows, D., 2008. Thinking in Systems: A Primer. White River Junction:. </w:t>
              </w:r>
            </w:p>
            <w:p w14:paraId="40CDFD87" w14:textId="77777777" w:rsidR="00BD4FD0" w:rsidRDefault="00BD4FD0" w:rsidP="00BD4FD0">
              <w:pPr>
                <w:pStyle w:val="Bibliography"/>
                <w:rPr>
                  <w:noProof/>
                </w:rPr>
              </w:pPr>
              <w:r>
                <w:rPr>
                  <w:noProof/>
                </w:rPr>
                <w:t xml:space="preserve">NHS, 2022. Tranforming urgent and emergency care services in England.. </w:t>
              </w:r>
              <w:r>
                <w:rPr>
                  <w:i/>
                  <w:iCs/>
                  <w:noProof/>
                </w:rPr>
                <w:t>London: NHS England..</w:t>
              </w:r>
            </w:p>
            <w:p w14:paraId="3983E96D" w14:textId="77777777" w:rsidR="00BD4FD0" w:rsidRDefault="00BD4FD0" w:rsidP="00BD4FD0">
              <w:pPr>
                <w:pStyle w:val="Bibliography"/>
                <w:rPr>
                  <w:noProof/>
                </w:rPr>
              </w:pPr>
              <w:r>
                <w:rPr>
                  <w:noProof/>
                </w:rPr>
                <w:t xml:space="preserve">NHS, 2023. </w:t>
              </w:r>
              <w:r>
                <w:rPr>
                  <w:i/>
                  <w:iCs/>
                  <w:noProof/>
                </w:rPr>
                <w:t xml:space="preserve">NHS 111 online.. </w:t>
              </w:r>
              <w:r>
                <w:rPr>
                  <w:noProof/>
                </w:rPr>
                <w:t xml:space="preserve">[Online] </w:t>
              </w:r>
              <w:r>
                <w:rPr>
                  <w:noProof/>
                </w:rPr>
                <w:br/>
                <w:t xml:space="preserve">Available at: </w:t>
              </w:r>
              <w:r>
                <w:rPr>
                  <w:noProof/>
                  <w:u w:val="single"/>
                </w:rPr>
                <w:t>https://www.nhs.uk</w:t>
              </w:r>
              <w:r>
                <w:rPr>
                  <w:noProof/>
                </w:rPr>
                <w:br/>
                <w:t>[Accessed 10 March 2026].</w:t>
              </w:r>
            </w:p>
            <w:p w14:paraId="1B69EE4A" w14:textId="6F4456DC" w:rsidR="00AD51AC" w:rsidRPr="00AD51AC" w:rsidRDefault="00AD51AC" w:rsidP="00AD51AC">
              <w:r w:rsidRPr="00AD51AC">
                <w:t>NHS Leadership Academy (2013) Healthcare Leadership Model: The nine dimensions of leadership behaviour. Leeds: NHS Leadership Academy. Available at: https://www.leadershipacademy.nhs.uk/resources/healthcare-leadership-model/ (Accessed: 29 March 2026).</w:t>
              </w:r>
            </w:p>
            <w:p w14:paraId="149EDC15" w14:textId="77777777" w:rsidR="00BD4FD0" w:rsidRDefault="00BD4FD0" w:rsidP="00BD4FD0">
              <w:pPr>
                <w:pStyle w:val="Bibliography"/>
                <w:rPr>
                  <w:noProof/>
                </w:rPr>
              </w:pPr>
              <w:r>
                <w:rPr>
                  <w:noProof/>
                </w:rPr>
                <w:t xml:space="preserve">Rogers, E., 2003. </w:t>
              </w:r>
              <w:r>
                <w:rPr>
                  <w:i/>
                  <w:iCs/>
                  <w:noProof/>
                </w:rPr>
                <w:t xml:space="preserve">Diffusion of Innovations.. </w:t>
              </w:r>
              <w:r>
                <w:rPr>
                  <w:noProof/>
                </w:rPr>
                <w:t>5th ed. s.l.:New York: Free Press..</w:t>
              </w:r>
            </w:p>
            <w:p w14:paraId="5C7C0101" w14:textId="02585BE5" w:rsidR="001218FE" w:rsidRPr="001218FE" w:rsidRDefault="001218FE" w:rsidP="001218FE">
              <w:r w:rsidRPr="001218FE">
                <w:t>West, M., Eckert, R., Collins, B. and Chowla, R. (2017) Caring to change: How compassionate leadership can stimulate innovation in health care. London: The King's Fund.</w:t>
              </w:r>
            </w:p>
            <w:p w14:paraId="39EB16A6" w14:textId="04AD0ECF" w:rsidR="00BD4FD0" w:rsidRDefault="00BD4FD0" w:rsidP="00BD4FD0">
              <w:r>
                <w:rPr>
                  <w:b/>
                  <w:bCs/>
                  <w:noProof/>
                </w:rPr>
                <w:fldChar w:fldCharType="end"/>
              </w:r>
              <w:r w:rsidR="00AD51AC" w:rsidRPr="00AD51AC">
                <w:t xml:space="preserve"> </w:t>
              </w:r>
              <w:r w:rsidR="00AD51AC" w:rsidRPr="00AD51AC">
                <w:rPr>
                  <w:b/>
                  <w:bCs/>
                  <w:noProof/>
                </w:rPr>
                <w:t>Available at: https://www.kingsfund.org.uk/publications/caring-to-change (Accessed: 29 March 2026).</w:t>
              </w:r>
            </w:p>
          </w:sdtContent>
        </w:sdt>
      </w:sdtContent>
    </w:sdt>
    <w:p w14:paraId="6D5963A3" w14:textId="77777777" w:rsidR="00BD4FD0" w:rsidRDefault="00BD4FD0" w:rsidP="00BD4FD0"/>
    <w:p w14:paraId="73986C26" w14:textId="77777777" w:rsidR="00BD4FD0" w:rsidRDefault="00BD4FD0" w:rsidP="00BD4FD0"/>
    <w:p w14:paraId="7E8BC6E5" w14:textId="7C6F06AF" w:rsidR="00A470B4" w:rsidRPr="00BD4FD0" w:rsidRDefault="004E752E" w:rsidP="00BD4FD0">
      <w:r>
        <w:t xml:space="preserve"> </w:t>
      </w:r>
    </w:p>
    <w:sectPr w:rsidR="00A470B4" w:rsidRPr="00BD4F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E511F9"/>
    <w:multiLevelType w:val="hybridMultilevel"/>
    <w:tmpl w:val="43B251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BD04BFD"/>
    <w:multiLevelType w:val="hybridMultilevel"/>
    <w:tmpl w:val="DF845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C8768E"/>
    <w:multiLevelType w:val="hybridMultilevel"/>
    <w:tmpl w:val="B032F9A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944FAF"/>
    <w:multiLevelType w:val="hybridMultilevel"/>
    <w:tmpl w:val="52760A2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264305D9"/>
    <w:multiLevelType w:val="hybridMultilevel"/>
    <w:tmpl w:val="209203A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C742162"/>
    <w:multiLevelType w:val="hybridMultilevel"/>
    <w:tmpl w:val="ECB68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D1627E"/>
    <w:multiLevelType w:val="hybridMultilevel"/>
    <w:tmpl w:val="4CFCE8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182672"/>
    <w:multiLevelType w:val="hybridMultilevel"/>
    <w:tmpl w:val="45728C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4530EB0"/>
    <w:multiLevelType w:val="hybridMultilevel"/>
    <w:tmpl w:val="295035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FF94556"/>
    <w:multiLevelType w:val="hybridMultilevel"/>
    <w:tmpl w:val="771CE4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70B04D3"/>
    <w:multiLevelType w:val="hybridMultilevel"/>
    <w:tmpl w:val="6614A00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608344EC"/>
    <w:multiLevelType w:val="hybridMultilevel"/>
    <w:tmpl w:val="8304B0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AFD3680"/>
    <w:multiLevelType w:val="hybridMultilevel"/>
    <w:tmpl w:val="012A0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EE62AAF"/>
    <w:multiLevelType w:val="hybridMultilevel"/>
    <w:tmpl w:val="8BC47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54081250">
    <w:abstractNumId w:val="7"/>
  </w:num>
  <w:num w:numId="2" w16cid:durableId="1629319970">
    <w:abstractNumId w:val="6"/>
  </w:num>
  <w:num w:numId="3" w16cid:durableId="769548860">
    <w:abstractNumId w:val="11"/>
  </w:num>
  <w:num w:numId="4" w16cid:durableId="2014794602">
    <w:abstractNumId w:val="9"/>
  </w:num>
  <w:num w:numId="5" w16cid:durableId="1602104376">
    <w:abstractNumId w:val="3"/>
  </w:num>
  <w:num w:numId="6" w16cid:durableId="858811336">
    <w:abstractNumId w:val="8"/>
  </w:num>
  <w:num w:numId="7" w16cid:durableId="1850556314">
    <w:abstractNumId w:val="4"/>
  </w:num>
  <w:num w:numId="8" w16cid:durableId="1010062848">
    <w:abstractNumId w:val="1"/>
  </w:num>
  <w:num w:numId="9" w16cid:durableId="274405432">
    <w:abstractNumId w:val="10"/>
  </w:num>
  <w:num w:numId="10" w16cid:durableId="1344475990">
    <w:abstractNumId w:val="13"/>
  </w:num>
  <w:num w:numId="11" w16cid:durableId="1138887090">
    <w:abstractNumId w:val="5"/>
  </w:num>
  <w:num w:numId="12" w16cid:durableId="984310990">
    <w:abstractNumId w:val="0"/>
  </w:num>
  <w:num w:numId="13" w16cid:durableId="949554002">
    <w:abstractNumId w:val="12"/>
  </w:num>
  <w:num w:numId="14" w16cid:durableId="10105724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6A5F"/>
    <w:rsid w:val="000404D4"/>
    <w:rsid w:val="00046FC5"/>
    <w:rsid w:val="00070107"/>
    <w:rsid w:val="00094407"/>
    <w:rsid w:val="000A67C7"/>
    <w:rsid w:val="000F3804"/>
    <w:rsid w:val="001218FE"/>
    <w:rsid w:val="00141CD0"/>
    <w:rsid w:val="0014477C"/>
    <w:rsid w:val="0016109B"/>
    <w:rsid w:val="0016454B"/>
    <w:rsid w:val="001A630C"/>
    <w:rsid w:val="00237BB9"/>
    <w:rsid w:val="00284A7E"/>
    <w:rsid w:val="0029570C"/>
    <w:rsid w:val="002D598B"/>
    <w:rsid w:val="002E31BA"/>
    <w:rsid w:val="002E66C5"/>
    <w:rsid w:val="0033184B"/>
    <w:rsid w:val="00340B3A"/>
    <w:rsid w:val="00366ADB"/>
    <w:rsid w:val="00371927"/>
    <w:rsid w:val="003834DC"/>
    <w:rsid w:val="00390B6F"/>
    <w:rsid w:val="003B682E"/>
    <w:rsid w:val="003C0017"/>
    <w:rsid w:val="003C24C6"/>
    <w:rsid w:val="00435F75"/>
    <w:rsid w:val="004838AC"/>
    <w:rsid w:val="004B7AEC"/>
    <w:rsid w:val="004C77D3"/>
    <w:rsid w:val="004D6CE0"/>
    <w:rsid w:val="004E752E"/>
    <w:rsid w:val="004F2661"/>
    <w:rsid w:val="00524B08"/>
    <w:rsid w:val="005A2422"/>
    <w:rsid w:val="005C36AF"/>
    <w:rsid w:val="005D1A7B"/>
    <w:rsid w:val="005D403C"/>
    <w:rsid w:val="005F216E"/>
    <w:rsid w:val="005F3AB8"/>
    <w:rsid w:val="005F7286"/>
    <w:rsid w:val="00601FB6"/>
    <w:rsid w:val="00603B28"/>
    <w:rsid w:val="006202DD"/>
    <w:rsid w:val="00620BE1"/>
    <w:rsid w:val="00651AB0"/>
    <w:rsid w:val="006539EF"/>
    <w:rsid w:val="006A105D"/>
    <w:rsid w:val="006A2972"/>
    <w:rsid w:val="006C0ACB"/>
    <w:rsid w:val="006E31F0"/>
    <w:rsid w:val="00725094"/>
    <w:rsid w:val="0072646F"/>
    <w:rsid w:val="00733A7D"/>
    <w:rsid w:val="007A2D5E"/>
    <w:rsid w:val="007A657C"/>
    <w:rsid w:val="007A7363"/>
    <w:rsid w:val="007D381C"/>
    <w:rsid w:val="007D5F9F"/>
    <w:rsid w:val="00804D2D"/>
    <w:rsid w:val="00841518"/>
    <w:rsid w:val="00857D8B"/>
    <w:rsid w:val="00862D27"/>
    <w:rsid w:val="0088593E"/>
    <w:rsid w:val="00896A5F"/>
    <w:rsid w:val="008B5E35"/>
    <w:rsid w:val="008C5ECD"/>
    <w:rsid w:val="008D029D"/>
    <w:rsid w:val="008D0D54"/>
    <w:rsid w:val="008D5FF8"/>
    <w:rsid w:val="008E5EC0"/>
    <w:rsid w:val="008E6DF8"/>
    <w:rsid w:val="00914C8A"/>
    <w:rsid w:val="00924194"/>
    <w:rsid w:val="00932C09"/>
    <w:rsid w:val="00944D75"/>
    <w:rsid w:val="00946D1A"/>
    <w:rsid w:val="00951522"/>
    <w:rsid w:val="00977AF8"/>
    <w:rsid w:val="009D58A0"/>
    <w:rsid w:val="00A1516A"/>
    <w:rsid w:val="00A20FDE"/>
    <w:rsid w:val="00A23B66"/>
    <w:rsid w:val="00A43FB4"/>
    <w:rsid w:val="00A44F9F"/>
    <w:rsid w:val="00A470B4"/>
    <w:rsid w:val="00A73D35"/>
    <w:rsid w:val="00A76D4B"/>
    <w:rsid w:val="00A87A23"/>
    <w:rsid w:val="00AA76E6"/>
    <w:rsid w:val="00AD51AC"/>
    <w:rsid w:val="00B02806"/>
    <w:rsid w:val="00B067BB"/>
    <w:rsid w:val="00B459AB"/>
    <w:rsid w:val="00B542BB"/>
    <w:rsid w:val="00B66C8B"/>
    <w:rsid w:val="00B75DA0"/>
    <w:rsid w:val="00B96FA5"/>
    <w:rsid w:val="00B97842"/>
    <w:rsid w:val="00BC3A60"/>
    <w:rsid w:val="00BD4FD0"/>
    <w:rsid w:val="00BD6BCE"/>
    <w:rsid w:val="00C35467"/>
    <w:rsid w:val="00C46D2E"/>
    <w:rsid w:val="00C6443B"/>
    <w:rsid w:val="00C711BA"/>
    <w:rsid w:val="00C75A8F"/>
    <w:rsid w:val="00CB393A"/>
    <w:rsid w:val="00CC1180"/>
    <w:rsid w:val="00D117BA"/>
    <w:rsid w:val="00D2639A"/>
    <w:rsid w:val="00D31F12"/>
    <w:rsid w:val="00D40A85"/>
    <w:rsid w:val="00D7063B"/>
    <w:rsid w:val="00D75364"/>
    <w:rsid w:val="00D83FD0"/>
    <w:rsid w:val="00D87CBA"/>
    <w:rsid w:val="00DC272A"/>
    <w:rsid w:val="00E0274A"/>
    <w:rsid w:val="00E0709C"/>
    <w:rsid w:val="00E217B4"/>
    <w:rsid w:val="00E552FA"/>
    <w:rsid w:val="00E55F03"/>
    <w:rsid w:val="00E639FC"/>
    <w:rsid w:val="00E810B3"/>
    <w:rsid w:val="00E96411"/>
    <w:rsid w:val="00EB0D15"/>
    <w:rsid w:val="00F110AC"/>
    <w:rsid w:val="00F61ABF"/>
    <w:rsid w:val="00F675C6"/>
    <w:rsid w:val="00F85934"/>
    <w:rsid w:val="00FA181B"/>
    <w:rsid w:val="00FA29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1F3AC9"/>
  <w15:chartTrackingRefBased/>
  <w15:docId w15:val="{ABA26BE6-21DF-4BC3-A35A-43719A6395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6A5F"/>
    <w:pPr>
      <w:spacing w:line="278" w:lineRule="auto"/>
    </w:pPr>
    <w:rPr>
      <w:rFonts w:ascii="Aptos" w:eastAsia="Aptos" w:hAnsi="Aptos" w:cs="Times New Roman"/>
      <w:sz w:val="24"/>
      <w:szCs w:val="24"/>
      <w14:ligatures w14:val="none"/>
    </w:rPr>
  </w:style>
  <w:style w:type="paragraph" w:styleId="Heading1">
    <w:name w:val="heading 1"/>
    <w:basedOn w:val="Normal"/>
    <w:next w:val="Normal"/>
    <w:link w:val="Heading1Char"/>
    <w:uiPriority w:val="9"/>
    <w:qFormat/>
    <w:rsid w:val="00896A5F"/>
    <w:pPr>
      <w:keepNext/>
      <w:keepLines/>
      <w:spacing w:before="360" w:after="80" w:line="259" w:lineRule="auto"/>
      <w:outlineLvl w:val="0"/>
    </w:pPr>
    <w:rPr>
      <w:rFonts w:asciiTheme="majorHAnsi" w:eastAsiaTheme="majorEastAsia" w:hAnsiTheme="majorHAnsi" w:cstheme="majorBidi"/>
      <w:color w:val="0F4761" w:themeColor="accent1" w:themeShade="BF"/>
      <w:sz w:val="40"/>
      <w:szCs w:val="40"/>
      <w14:ligatures w14:val="standardContextual"/>
    </w:rPr>
  </w:style>
  <w:style w:type="paragraph" w:styleId="Heading2">
    <w:name w:val="heading 2"/>
    <w:basedOn w:val="Normal"/>
    <w:next w:val="Normal"/>
    <w:link w:val="Heading2Char"/>
    <w:uiPriority w:val="9"/>
    <w:semiHidden/>
    <w:unhideWhenUsed/>
    <w:qFormat/>
    <w:rsid w:val="00896A5F"/>
    <w:pPr>
      <w:keepNext/>
      <w:keepLines/>
      <w:spacing w:before="160" w:after="80" w:line="259" w:lineRule="auto"/>
      <w:outlineLvl w:val="1"/>
    </w:pPr>
    <w:rPr>
      <w:rFonts w:asciiTheme="majorHAnsi" w:eastAsiaTheme="majorEastAsia" w:hAnsiTheme="majorHAnsi" w:cstheme="majorBidi"/>
      <w:color w:val="0F4761" w:themeColor="accent1" w:themeShade="BF"/>
      <w:sz w:val="32"/>
      <w:szCs w:val="32"/>
      <w14:ligatures w14:val="standardContextual"/>
    </w:rPr>
  </w:style>
  <w:style w:type="paragraph" w:styleId="Heading3">
    <w:name w:val="heading 3"/>
    <w:basedOn w:val="Normal"/>
    <w:next w:val="Normal"/>
    <w:link w:val="Heading3Char"/>
    <w:uiPriority w:val="9"/>
    <w:semiHidden/>
    <w:unhideWhenUsed/>
    <w:qFormat/>
    <w:rsid w:val="00896A5F"/>
    <w:pPr>
      <w:keepNext/>
      <w:keepLines/>
      <w:spacing w:before="160" w:after="80" w:line="259" w:lineRule="auto"/>
      <w:outlineLvl w:val="2"/>
    </w:pPr>
    <w:rPr>
      <w:rFonts w:asciiTheme="minorHAnsi" w:eastAsiaTheme="majorEastAsia" w:hAnsiTheme="minorHAnsi" w:cstheme="majorBidi"/>
      <w:color w:val="0F4761" w:themeColor="accent1" w:themeShade="BF"/>
      <w:sz w:val="28"/>
      <w:szCs w:val="28"/>
      <w14:ligatures w14:val="standardContextual"/>
    </w:rPr>
  </w:style>
  <w:style w:type="paragraph" w:styleId="Heading4">
    <w:name w:val="heading 4"/>
    <w:basedOn w:val="Normal"/>
    <w:next w:val="Normal"/>
    <w:link w:val="Heading4Char"/>
    <w:uiPriority w:val="9"/>
    <w:semiHidden/>
    <w:unhideWhenUsed/>
    <w:qFormat/>
    <w:rsid w:val="00896A5F"/>
    <w:pPr>
      <w:keepNext/>
      <w:keepLines/>
      <w:spacing w:before="80" w:after="40" w:line="259" w:lineRule="auto"/>
      <w:outlineLvl w:val="3"/>
    </w:pPr>
    <w:rPr>
      <w:rFonts w:asciiTheme="minorHAnsi" w:eastAsiaTheme="majorEastAsia" w:hAnsiTheme="minorHAnsi" w:cstheme="majorBidi"/>
      <w:i/>
      <w:iCs/>
      <w:color w:val="0F4761" w:themeColor="accent1" w:themeShade="BF"/>
      <w:sz w:val="22"/>
      <w:szCs w:val="22"/>
      <w14:ligatures w14:val="standardContextual"/>
    </w:rPr>
  </w:style>
  <w:style w:type="paragraph" w:styleId="Heading5">
    <w:name w:val="heading 5"/>
    <w:basedOn w:val="Normal"/>
    <w:next w:val="Normal"/>
    <w:link w:val="Heading5Char"/>
    <w:uiPriority w:val="9"/>
    <w:semiHidden/>
    <w:unhideWhenUsed/>
    <w:qFormat/>
    <w:rsid w:val="00896A5F"/>
    <w:pPr>
      <w:keepNext/>
      <w:keepLines/>
      <w:spacing w:before="80" w:after="40" w:line="259" w:lineRule="auto"/>
      <w:outlineLvl w:val="4"/>
    </w:pPr>
    <w:rPr>
      <w:rFonts w:asciiTheme="minorHAnsi" w:eastAsiaTheme="majorEastAsia" w:hAnsiTheme="minorHAnsi" w:cstheme="majorBidi"/>
      <w:color w:val="0F4761" w:themeColor="accent1" w:themeShade="BF"/>
      <w:sz w:val="22"/>
      <w:szCs w:val="22"/>
      <w14:ligatures w14:val="standardContextual"/>
    </w:rPr>
  </w:style>
  <w:style w:type="paragraph" w:styleId="Heading6">
    <w:name w:val="heading 6"/>
    <w:basedOn w:val="Normal"/>
    <w:next w:val="Normal"/>
    <w:link w:val="Heading6Char"/>
    <w:uiPriority w:val="9"/>
    <w:semiHidden/>
    <w:unhideWhenUsed/>
    <w:qFormat/>
    <w:rsid w:val="00896A5F"/>
    <w:pPr>
      <w:keepNext/>
      <w:keepLines/>
      <w:spacing w:before="40" w:after="0" w:line="259" w:lineRule="auto"/>
      <w:outlineLvl w:val="5"/>
    </w:pPr>
    <w:rPr>
      <w:rFonts w:asciiTheme="minorHAnsi" w:eastAsiaTheme="majorEastAsia" w:hAnsiTheme="minorHAnsi" w:cstheme="majorBidi"/>
      <w:i/>
      <w:iCs/>
      <w:color w:val="595959" w:themeColor="text1" w:themeTint="A6"/>
      <w:sz w:val="22"/>
      <w:szCs w:val="22"/>
      <w14:ligatures w14:val="standardContextual"/>
    </w:rPr>
  </w:style>
  <w:style w:type="paragraph" w:styleId="Heading7">
    <w:name w:val="heading 7"/>
    <w:basedOn w:val="Normal"/>
    <w:next w:val="Normal"/>
    <w:link w:val="Heading7Char"/>
    <w:uiPriority w:val="9"/>
    <w:semiHidden/>
    <w:unhideWhenUsed/>
    <w:qFormat/>
    <w:rsid w:val="00896A5F"/>
    <w:pPr>
      <w:keepNext/>
      <w:keepLines/>
      <w:spacing w:before="40" w:after="0" w:line="259" w:lineRule="auto"/>
      <w:outlineLvl w:val="6"/>
    </w:pPr>
    <w:rPr>
      <w:rFonts w:asciiTheme="minorHAnsi" w:eastAsiaTheme="majorEastAsia" w:hAnsiTheme="minorHAnsi" w:cstheme="majorBidi"/>
      <w:color w:val="595959" w:themeColor="text1" w:themeTint="A6"/>
      <w:sz w:val="22"/>
      <w:szCs w:val="22"/>
      <w14:ligatures w14:val="standardContextual"/>
    </w:rPr>
  </w:style>
  <w:style w:type="paragraph" w:styleId="Heading8">
    <w:name w:val="heading 8"/>
    <w:basedOn w:val="Normal"/>
    <w:next w:val="Normal"/>
    <w:link w:val="Heading8Char"/>
    <w:uiPriority w:val="9"/>
    <w:semiHidden/>
    <w:unhideWhenUsed/>
    <w:qFormat/>
    <w:rsid w:val="00896A5F"/>
    <w:pPr>
      <w:keepNext/>
      <w:keepLines/>
      <w:spacing w:after="0" w:line="259" w:lineRule="auto"/>
      <w:outlineLvl w:val="7"/>
    </w:pPr>
    <w:rPr>
      <w:rFonts w:asciiTheme="minorHAnsi" w:eastAsiaTheme="majorEastAsia" w:hAnsiTheme="minorHAnsi" w:cstheme="majorBidi"/>
      <w:i/>
      <w:iCs/>
      <w:color w:val="272727" w:themeColor="text1" w:themeTint="D8"/>
      <w:sz w:val="22"/>
      <w:szCs w:val="22"/>
      <w14:ligatures w14:val="standardContextual"/>
    </w:rPr>
  </w:style>
  <w:style w:type="paragraph" w:styleId="Heading9">
    <w:name w:val="heading 9"/>
    <w:basedOn w:val="Normal"/>
    <w:next w:val="Normal"/>
    <w:link w:val="Heading9Char"/>
    <w:uiPriority w:val="9"/>
    <w:semiHidden/>
    <w:unhideWhenUsed/>
    <w:qFormat/>
    <w:rsid w:val="00896A5F"/>
    <w:pPr>
      <w:keepNext/>
      <w:keepLines/>
      <w:spacing w:after="0" w:line="259" w:lineRule="auto"/>
      <w:outlineLvl w:val="8"/>
    </w:pPr>
    <w:rPr>
      <w:rFonts w:asciiTheme="minorHAnsi" w:eastAsiaTheme="majorEastAsia" w:hAnsiTheme="minorHAnsi" w:cstheme="majorBidi"/>
      <w:color w:val="272727" w:themeColor="text1" w:themeTint="D8"/>
      <w:sz w:val="22"/>
      <w:szCs w:val="2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6A5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96A5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96A5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96A5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96A5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96A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6A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6A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6A5F"/>
    <w:rPr>
      <w:rFonts w:eastAsiaTheme="majorEastAsia" w:cstheme="majorBidi"/>
      <w:color w:val="272727" w:themeColor="text1" w:themeTint="D8"/>
    </w:rPr>
  </w:style>
  <w:style w:type="paragraph" w:styleId="Title">
    <w:name w:val="Title"/>
    <w:basedOn w:val="Normal"/>
    <w:next w:val="Normal"/>
    <w:link w:val="TitleChar"/>
    <w:uiPriority w:val="10"/>
    <w:qFormat/>
    <w:rsid w:val="00896A5F"/>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896A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6A5F"/>
    <w:pPr>
      <w:numPr>
        <w:ilvl w:val="1"/>
      </w:numPr>
      <w:spacing w:line="259" w:lineRule="auto"/>
    </w:pPr>
    <w:rPr>
      <w:rFonts w:asciiTheme="minorHAnsi" w:eastAsiaTheme="majorEastAsia" w:hAnsiTheme="minorHAnsi" w:cstheme="majorBidi"/>
      <w:color w:val="595959" w:themeColor="text1" w:themeTint="A6"/>
      <w:spacing w:val="15"/>
      <w:sz w:val="28"/>
      <w:szCs w:val="28"/>
      <w14:ligatures w14:val="standardContextual"/>
    </w:rPr>
  </w:style>
  <w:style w:type="character" w:customStyle="1" w:styleId="SubtitleChar">
    <w:name w:val="Subtitle Char"/>
    <w:basedOn w:val="DefaultParagraphFont"/>
    <w:link w:val="Subtitle"/>
    <w:uiPriority w:val="11"/>
    <w:rsid w:val="00896A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6A5F"/>
    <w:pPr>
      <w:spacing w:before="160" w:line="259" w:lineRule="auto"/>
      <w:jc w:val="center"/>
    </w:pPr>
    <w:rPr>
      <w:rFonts w:asciiTheme="minorHAnsi" w:eastAsiaTheme="minorHAnsi" w:hAnsiTheme="minorHAnsi" w:cstheme="minorBidi"/>
      <w:i/>
      <w:iCs/>
      <w:color w:val="404040" w:themeColor="text1" w:themeTint="BF"/>
      <w:sz w:val="22"/>
      <w:szCs w:val="22"/>
      <w14:ligatures w14:val="standardContextual"/>
    </w:rPr>
  </w:style>
  <w:style w:type="character" w:customStyle="1" w:styleId="QuoteChar">
    <w:name w:val="Quote Char"/>
    <w:basedOn w:val="DefaultParagraphFont"/>
    <w:link w:val="Quote"/>
    <w:uiPriority w:val="29"/>
    <w:rsid w:val="00896A5F"/>
    <w:rPr>
      <w:i/>
      <w:iCs/>
      <w:color w:val="404040" w:themeColor="text1" w:themeTint="BF"/>
    </w:rPr>
  </w:style>
  <w:style w:type="paragraph" w:styleId="ListParagraph">
    <w:name w:val="List Paragraph"/>
    <w:basedOn w:val="Normal"/>
    <w:uiPriority w:val="34"/>
    <w:qFormat/>
    <w:rsid w:val="00896A5F"/>
    <w:pPr>
      <w:spacing w:line="259" w:lineRule="auto"/>
      <w:ind w:left="720"/>
      <w:contextualSpacing/>
    </w:pPr>
    <w:rPr>
      <w:rFonts w:asciiTheme="minorHAnsi" w:eastAsiaTheme="minorHAnsi" w:hAnsiTheme="minorHAnsi" w:cstheme="minorBidi"/>
      <w:sz w:val="22"/>
      <w:szCs w:val="22"/>
      <w14:ligatures w14:val="standardContextual"/>
    </w:rPr>
  </w:style>
  <w:style w:type="character" w:styleId="IntenseEmphasis">
    <w:name w:val="Intense Emphasis"/>
    <w:basedOn w:val="DefaultParagraphFont"/>
    <w:uiPriority w:val="21"/>
    <w:qFormat/>
    <w:rsid w:val="00896A5F"/>
    <w:rPr>
      <w:i/>
      <w:iCs/>
      <w:color w:val="0F4761" w:themeColor="accent1" w:themeShade="BF"/>
    </w:rPr>
  </w:style>
  <w:style w:type="paragraph" w:styleId="IntenseQuote">
    <w:name w:val="Intense Quote"/>
    <w:basedOn w:val="Normal"/>
    <w:next w:val="Normal"/>
    <w:link w:val="IntenseQuoteChar"/>
    <w:uiPriority w:val="30"/>
    <w:qFormat/>
    <w:rsid w:val="00896A5F"/>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sz w:val="22"/>
      <w:szCs w:val="22"/>
      <w14:ligatures w14:val="standardContextual"/>
    </w:rPr>
  </w:style>
  <w:style w:type="character" w:customStyle="1" w:styleId="IntenseQuoteChar">
    <w:name w:val="Intense Quote Char"/>
    <w:basedOn w:val="DefaultParagraphFont"/>
    <w:link w:val="IntenseQuote"/>
    <w:uiPriority w:val="30"/>
    <w:rsid w:val="00896A5F"/>
    <w:rPr>
      <w:i/>
      <w:iCs/>
      <w:color w:val="0F4761" w:themeColor="accent1" w:themeShade="BF"/>
    </w:rPr>
  </w:style>
  <w:style w:type="character" w:styleId="IntenseReference">
    <w:name w:val="Intense Reference"/>
    <w:basedOn w:val="DefaultParagraphFont"/>
    <w:uiPriority w:val="32"/>
    <w:qFormat/>
    <w:rsid w:val="00896A5F"/>
    <w:rPr>
      <w:b/>
      <w:bCs/>
      <w:smallCaps/>
      <w:color w:val="0F4761" w:themeColor="accent1" w:themeShade="BF"/>
      <w:spacing w:val="5"/>
    </w:rPr>
  </w:style>
  <w:style w:type="table" w:styleId="TableGrid">
    <w:name w:val="Table Grid"/>
    <w:basedOn w:val="TableNormal"/>
    <w:uiPriority w:val="39"/>
    <w:rsid w:val="00896A5F"/>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896A5F"/>
    <w:pPr>
      <w:spacing w:after="0" w:line="240" w:lineRule="auto"/>
    </w:pPr>
    <w:rPr>
      <w:rFonts w:ascii="Aptos" w:eastAsia="Aptos" w:hAnsi="Aptos" w:cs="Times New Roman"/>
      <w:sz w:val="24"/>
      <w:szCs w:val="24"/>
      <w14:ligatures w14:val="none"/>
    </w:rPr>
  </w:style>
  <w:style w:type="paragraph" w:styleId="Bibliography">
    <w:name w:val="Bibliography"/>
    <w:basedOn w:val="Normal"/>
    <w:next w:val="Normal"/>
    <w:uiPriority w:val="37"/>
    <w:unhideWhenUsed/>
    <w:rsid w:val="004F26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401679">
      <w:bodyDiv w:val="1"/>
      <w:marLeft w:val="0"/>
      <w:marRight w:val="0"/>
      <w:marTop w:val="0"/>
      <w:marBottom w:val="0"/>
      <w:divBdr>
        <w:top w:val="none" w:sz="0" w:space="0" w:color="auto"/>
        <w:left w:val="none" w:sz="0" w:space="0" w:color="auto"/>
        <w:bottom w:val="none" w:sz="0" w:space="0" w:color="auto"/>
        <w:right w:val="none" w:sz="0" w:space="0" w:color="auto"/>
      </w:divBdr>
    </w:div>
    <w:div w:id="46338296">
      <w:bodyDiv w:val="1"/>
      <w:marLeft w:val="0"/>
      <w:marRight w:val="0"/>
      <w:marTop w:val="0"/>
      <w:marBottom w:val="0"/>
      <w:divBdr>
        <w:top w:val="none" w:sz="0" w:space="0" w:color="auto"/>
        <w:left w:val="none" w:sz="0" w:space="0" w:color="auto"/>
        <w:bottom w:val="none" w:sz="0" w:space="0" w:color="auto"/>
        <w:right w:val="none" w:sz="0" w:space="0" w:color="auto"/>
      </w:divBdr>
    </w:div>
    <w:div w:id="101582146">
      <w:bodyDiv w:val="1"/>
      <w:marLeft w:val="0"/>
      <w:marRight w:val="0"/>
      <w:marTop w:val="0"/>
      <w:marBottom w:val="0"/>
      <w:divBdr>
        <w:top w:val="none" w:sz="0" w:space="0" w:color="auto"/>
        <w:left w:val="none" w:sz="0" w:space="0" w:color="auto"/>
        <w:bottom w:val="none" w:sz="0" w:space="0" w:color="auto"/>
        <w:right w:val="none" w:sz="0" w:space="0" w:color="auto"/>
      </w:divBdr>
    </w:div>
    <w:div w:id="129248339">
      <w:bodyDiv w:val="1"/>
      <w:marLeft w:val="0"/>
      <w:marRight w:val="0"/>
      <w:marTop w:val="0"/>
      <w:marBottom w:val="0"/>
      <w:divBdr>
        <w:top w:val="none" w:sz="0" w:space="0" w:color="auto"/>
        <w:left w:val="none" w:sz="0" w:space="0" w:color="auto"/>
        <w:bottom w:val="none" w:sz="0" w:space="0" w:color="auto"/>
        <w:right w:val="none" w:sz="0" w:space="0" w:color="auto"/>
      </w:divBdr>
    </w:div>
    <w:div w:id="211232660">
      <w:bodyDiv w:val="1"/>
      <w:marLeft w:val="0"/>
      <w:marRight w:val="0"/>
      <w:marTop w:val="0"/>
      <w:marBottom w:val="0"/>
      <w:divBdr>
        <w:top w:val="none" w:sz="0" w:space="0" w:color="auto"/>
        <w:left w:val="none" w:sz="0" w:space="0" w:color="auto"/>
        <w:bottom w:val="none" w:sz="0" w:space="0" w:color="auto"/>
        <w:right w:val="none" w:sz="0" w:space="0" w:color="auto"/>
      </w:divBdr>
    </w:div>
    <w:div w:id="503974883">
      <w:bodyDiv w:val="1"/>
      <w:marLeft w:val="0"/>
      <w:marRight w:val="0"/>
      <w:marTop w:val="0"/>
      <w:marBottom w:val="0"/>
      <w:divBdr>
        <w:top w:val="none" w:sz="0" w:space="0" w:color="auto"/>
        <w:left w:val="none" w:sz="0" w:space="0" w:color="auto"/>
        <w:bottom w:val="none" w:sz="0" w:space="0" w:color="auto"/>
        <w:right w:val="none" w:sz="0" w:space="0" w:color="auto"/>
      </w:divBdr>
    </w:div>
    <w:div w:id="528689851">
      <w:bodyDiv w:val="1"/>
      <w:marLeft w:val="0"/>
      <w:marRight w:val="0"/>
      <w:marTop w:val="0"/>
      <w:marBottom w:val="0"/>
      <w:divBdr>
        <w:top w:val="none" w:sz="0" w:space="0" w:color="auto"/>
        <w:left w:val="none" w:sz="0" w:space="0" w:color="auto"/>
        <w:bottom w:val="none" w:sz="0" w:space="0" w:color="auto"/>
        <w:right w:val="none" w:sz="0" w:space="0" w:color="auto"/>
      </w:divBdr>
    </w:div>
    <w:div w:id="654384591">
      <w:bodyDiv w:val="1"/>
      <w:marLeft w:val="0"/>
      <w:marRight w:val="0"/>
      <w:marTop w:val="0"/>
      <w:marBottom w:val="0"/>
      <w:divBdr>
        <w:top w:val="none" w:sz="0" w:space="0" w:color="auto"/>
        <w:left w:val="none" w:sz="0" w:space="0" w:color="auto"/>
        <w:bottom w:val="none" w:sz="0" w:space="0" w:color="auto"/>
        <w:right w:val="none" w:sz="0" w:space="0" w:color="auto"/>
      </w:divBdr>
    </w:div>
    <w:div w:id="665866492">
      <w:bodyDiv w:val="1"/>
      <w:marLeft w:val="0"/>
      <w:marRight w:val="0"/>
      <w:marTop w:val="0"/>
      <w:marBottom w:val="0"/>
      <w:divBdr>
        <w:top w:val="none" w:sz="0" w:space="0" w:color="auto"/>
        <w:left w:val="none" w:sz="0" w:space="0" w:color="auto"/>
        <w:bottom w:val="none" w:sz="0" w:space="0" w:color="auto"/>
        <w:right w:val="none" w:sz="0" w:space="0" w:color="auto"/>
      </w:divBdr>
    </w:div>
    <w:div w:id="746077944">
      <w:bodyDiv w:val="1"/>
      <w:marLeft w:val="0"/>
      <w:marRight w:val="0"/>
      <w:marTop w:val="0"/>
      <w:marBottom w:val="0"/>
      <w:divBdr>
        <w:top w:val="none" w:sz="0" w:space="0" w:color="auto"/>
        <w:left w:val="none" w:sz="0" w:space="0" w:color="auto"/>
        <w:bottom w:val="none" w:sz="0" w:space="0" w:color="auto"/>
        <w:right w:val="none" w:sz="0" w:space="0" w:color="auto"/>
      </w:divBdr>
    </w:div>
    <w:div w:id="759259420">
      <w:bodyDiv w:val="1"/>
      <w:marLeft w:val="0"/>
      <w:marRight w:val="0"/>
      <w:marTop w:val="0"/>
      <w:marBottom w:val="0"/>
      <w:divBdr>
        <w:top w:val="none" w:sz="0" w:space="0" w:color="auto"/>
        <w:left w:val="none" w:sz="0" w:space="0" w:color="auto"/>
        <w:bottom w:val="none" w:sz="0" w:space="0" w:color="auto"/>
        <w:right w:val="none" w:sz="0" w:space="0" w:color="auto"/>
      </w:divBdr>
    </w:div>
    <w:div w:id="892229414">
      <w:bodyDiv w:val="1"/>
      <w:marLeft w:val="0"/>
      <w:marRight w:val="0"/>
      <w:marTop w:val="0"/>
      <w:marBottom w:val="0"/>
      <w:divBdr>
        <w:top w:val="none" w:sz="0" w:space="0" w:color="auto"/>
        <w:left w:val="none" w:sz="0" w:space="0" w:color="auto"/>
        <w:bottom w:val="none" w:sz="0" w:space="0" w:color="auto"/>
        <w:right w:val="none" w:sz="0" w:space="0" w:color="auto"/>
      </w:divBdr>
    </w:div>
    <w:div w:id="1024596236">
      <w:bodyDiv w:val="1"/>
      <w:marLeft w:val="0"/>
      <w:marRight w:val="0"/>
      <w:marTop w:val="0"/>
      <w:marBottom w:val="0"/>
      <w:divBdr>
        <w:top w:val="none" w:sz="0" w:space="0" w:color="auto"/>
        <w:left w:val="none" w:sz="0" w:space="0" w:color="auto"/>
        <w:bottom w:val="none" w:sz="0" w:space="0" w:color="auto"/>
        <w:right w:val="none" w:sz="0" w:space="0" w:color="auto"/>
      </w:divBdr>
    </w:div>
    <w:div w:id="1135299329">
      <w:bodyDiv w:val="1"/>
      <w:marLeft w:val="0"/>
      <w:marRight w:val="0"/>
      <w:marTop w:val="0"/>
      <w:marBottom w:val="0"/>
      <w:divBdr>
        <w:top w:val="none" w:sz="0" w:space="0" w:color="auto"/>
        <w:left w:val="none" w:sz="0" w:space="0" w:color="auto"/>
        <w:bottom w:val="none" w:sz="0" w:space="0" w:color="auto"/>
        <w:right w:val="none" w:sz="0" w:space="0" w:color="auto"/>
      </w:divBdr>
    </w:div>
    <w:div w:id="1244607856">
      <w:bodyDiv w:val="1"/>
      <w:marLeft w:val="0"/>
      <w:marRight w:val="0"/>
      <w:marTop w:val="0"/>
      <w:marBottom w:val="0"/>
      <w:divBdr>
        <w:top w:val="none" w:sz="0" w:space="0" w:color="auto"/>
        <w:left w:val="none" w:sz="0" w:space="0" w:color="auto"/>
        <w:bottom w:val="none" w:sz="0" w:space="0" w:color="auto"/>
        <w:right w:val="none" w:sz="0" w:space="0" w:color="auto"/>
      </w:divBdr>
    </w:div>
    <w:div w:id="1337883474">
      <w:bodyDiv w:val="1"/>
      <w:marLeft w:val="0"/>
      <w:marRight w:val="0"/>
      <w:marTop w:val="0"/>
      <w:marBottom w:val="0"/>
      <w:divBdr>
        <w:top w:val="none" w:sz="0" w:space="0" w:color="auto"/>
        <w:left w:val="none" w:sz="0" w:space="0" w:color="auto"/>
        <w:bottom w:val="none" w:sz="0" w:space="0" w:color="auto"/>
        <w:right w:val="none" w:sz="0" w:space="0" w:color="auto"/>
      </w:divBdr>
    </w:div>
    <w:div w:id="1362390382">
      <w:bodyDiv w:val="1"/>
      <w:marLeft w:val="0"/>
      <w:marRight w:val="0"/>
      <w:marTop w:val="0"/>
      <w:marBottom w:val="0"/>
      <w:divBdr>
        <w:top w:val="none" w:sz="0" w:space="0" w:color="auto"/>
        <w:left w:val="none" w:sz="0" w:space="0" w:color="auto"/>
        <w:bottom w:val="none" w:sz="0" w:space="0" w:color="auto"/>
        <w:right w:val="none" w:sz="0" w:space="0" w:color="auto"/>
      </w:divBdr>
    </w:div>
    <w:div w:id="1477184317">
      <w:bodyDiv w:val="1"/>
      <w:marLeft w:val="0"/>
      <w:marRight w:val="0"/>
      <w:marTop w:val="0"/>
      <w:marBottom w:val="0"/>
      <w:divBdr>
        <w:top w:val="none" w:sz="0" w:space="0" w:color="auto"/>
        <w:left w:val="none" w:sz="0" w:space="0" w:color="auto"/>
        <w:bottom w:val="none" w:sz="0" w:space="0" w:color="auto"/>
        <w:right w:val="none" w:sz="0" w:space="0" w:color="auto"/>
      </w:divBdr>
    </w:div>
    <w:div w:id="1480536953">
      <w:bodyDiv w:val="1"/>
      <w:marLeft w:val="0"/>
      <w:marRight w:val="0"/>
      <w:marTop w:val="0"/>
      <w:marBottom w:val="0"/>
      <w:divBdr>
        <w:top w:val="none" w:sz="0" w:space="0" w:color="auto"/>
        <w:left w:val="none" w:sz="0" w:space="0" w:color="auto"/>
        <w:bottom w:val="none" w:sz="0" w:space="0" w:color="auto"/>
        <w:right w:val="none" w:sz="0" w:space="0" w:color="auto"/>
      </w:divBdr>
    </w:div>
    <w:div w:id="1620071012">
      <w:bodyDiv w:val="1"/>
      <w:marLeft w:val="0"/>
      <w:marRight w:val="0"/>
      <w:marTop w:val="0"/>
      <w:marBottom w:val="0"/>
      <w:divBdr>
        <w:top w:val="none" w:sz="0" w:space="0" w:color="auto"/>
        <w:left w:val="none" w:sz="0" w:space="0" w:color="auto"/>
        <w:bottom w:val="none" w:sz="0" w:space="0" w:color="auto"/>
        <w:right w:val="none" w:sz="0" w:space="0" w:color="auto"/>
      </w:divBdr>
    </w:div>
    <w:div w:id="1644388724">
      <w:bodyDiv w:val="1"/>
      <w:marLeft w:val="0"/>
      <w:marRight w:val="0"/>
      <w:marTop w:val="0"/>
      <w:marBottom w:val="0"/>
      <w:divBdr>
        <w:top w:val="none" w:sz="0" w:space="0" w:color="auto"/>
        <w:left w:val="none" w:sz="0" w:space="0" w:color="auto"/>
        <w:bottom w:val="none" w:sz="0" w:space="0" w:color="auto"/>
        <w:right w:val="none" w:sz="0" w:space="0" w:color="auto"/>
      </w:divBdr>
    </w:div>
    <w:div w:id="1762414339">
      <w:bodyDiv w:val="1"/>
      <w:marLeft w:val="0"/>
      <w:marRight w:val="0"/>
      <w:marTop w:val="0"/>
      <w:marBottom w:val="0"/>
      <w:divBdr>
        <w:top w:val="none" w:sz="0" w:space="0" w:color="auto"/>
        <w:left w:val="none" w:sz="0" w:space="0" w:color="auto"/>
        <w:bottom w:val="none" w:sz="0" w:space="0" w:color="auto"/>
        <w:right w:val="none" w:sz="0" w:space="0" w:color="auto"/>
      </w:divBdr>
    </w:div>
    <w:div w:id="1765106600">
      <w:bodyDiv w:val="1"/>
      <w:marLeft w:val="0"/>
      <w:marRight w:val="0"/>
      <w:marTop w:val="0"/>
      <w:marBottom w:val="0"/>
      <w:divBdr>
        <w:top w:val="none" w:sz="0" w:space="0" w:color="auto"/>
        <w:left w:val="none" w:sz="0" w:space="0" w:color="auto"/>
        <w:bottom w:val="none" w:sz="0" w:space="0" w:color="auto"/>
        <w:right w:val="none" w:sz="0" w:space="0" w:color="auto"/>
      </w:divBdr>
    </w:div>
    <w:div w:id="1843546866">
      <w:bodyDiv w:val="1"/>
      <w:marLeft w:val="0"/>
      <w:marRight w:val="0"/>
      <w:marTop w:val="0"/>
      <w:marBottom w:val="0"/>
      <w:divBdr>
        <w:top w:val="none" w:sz="0" w:space="0" w:color="auto"/>
        <w:left w:val="none" w:sz="0" w:space="0" w:color="auto"/>
        <w:bottom w:val="none" w:sz="0" w:space="0" w:color="auto"/>
        <w:right w:val="none" w:sz="0" w:space="0" w:color="auto"/>
      </w:divBdr>
    </w:div>
    <w:div w:id="19090003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Cro06</b:Tag>
    <b:SourceType>JournalArticle</b:SourceType>
    <b:Guid>{8672BDEE-6755-4712-86CB-790EB2CD4B94}</b:Guid>
    <b:Author>
      <b:Author>
        <b:NameList>
          <b:Person>
            <b:Last>Cropley</b:Last>
            <b:First>A</b:First>
          </b:Person>
        </b:NameList>
      </b:Author>
    </b:Author>
    <b:Title>In Praise of Convergent Thinking, Creativity Research Journal</b:Title>
    <b:Year>2006</b:Year>
    <b:Pages>391-404</b:Pages>
    <b:Volume>18(3)</b:Volume>
    <b:RefOrder>1</b:RefOrder>
  </b:Source>
  <b:Source>
    <b:Tag>GGi88</b:Tag>
    <b:SourceType>JournalArticle</b:SourceType>
    <b:Guid>{1C857C85-4CD1-43D4-BE5A-991C8B2038A3}</b:Guid>
    <b:Author>
      <b:Author>
        <b:NameList>
          <b:Person>
            <b:Last>Gibbs</b:Last>
            <b:First>G</b:First>
          </b:Person>
        </b:NameList>
      </b:Author>
    </b:Author>
    <b:Title>Learning by Doing: A Guide to Teaching and Learning Methods.</b:Title>
    <b:JournalName>Oxford: Oxford Polytechnic</b:JournalName>
    <b:Year>1988</b:Year>
    <b:RefOrder>2</b:RefOrder>
  </b:Source>
  <b:Source>
    <b:Tag>CMa16</b:Tag>
    <b:SourceType>JournalArticle</b:SourceType>
    <b:Guid>{50A1F19E-004C-40FC-B308-DA1A894FF1B7}</b:Guid>
    <b:Author>
      <b:Author>
        <b:NameList>
          <b:Person>
            <b:Last>C. Maslach</b:Last>
            <b:First>M.</b:First>
            <b:Middle>Leiter</b:Middle>
          </b:Person>
        </b:NameList>
      </b:Author>
    </b:Author>
    <b:Title>Burnout. Stress: Concepts, Cognition, Emotion, and Behavior</b:Title>
    <b:Year>2016</b:Year>
    <b:Pages>351-357</b:Pages>
    <b:RefOrder>3</b:RefOrder>
  </b:Source>
  <b:Source>
    <b:Tag>Mea08</b:Tag>
    <b:SourceType>JournalArticle</b:SourceType>
    <b:Guid>{E878E819-806D-4A6F-8FFC-E6ECA202C649}</b:Guid>
    <b:Author>
      <b:Author>
        <b:NameList>
          <b:Person>
            <b:Last>Meadows</b:Last>
            <b:First>D.</b:First>
          </b:Person>
        </b:NameList>
      </b:Author>
    </b:Author>
    <b:Title>Thinking in Systems: A Primer. White River Junction:</b:Title>
    <b:Year>2008</b:Year>
    <b:RefOrder>4</b:RefOrder>
  </b:Source>
  <b:Source>
    <b:Tag>NHS23</b:Tag>
    <b:SourceType>InternetSite</b:SourceType>
    <b:Guid>{80AA27FB-05C5-437D-BE5C-FE5829A53DC6}</b:Guid>
    <b:Title>NHS 111 online.</b:Title>
    <b:Year>2023</b:Year>
    <b:Author>
      <b:Author>
        <b:NameList>
          <b:Person>
            <b:Last>NHS</b:Last>
          </b:Person>
        </b:NameList>
      </b:Author>
    </b:Author>
    <b:YearAccessed>10 March 2026</b:YearAccessed>
    <b:URL>https://www.nhs.uk</b:URL>
    <b:RefOrder>5</b:RefOrder>
  </b:Source>
  <b:Source>
    <b:Tag>Eng22</b:Tag>
    <b:SourceType>JournalArticle</b:SourceType>
    <b:Guid>{10B77CC2-2D1C-4FA0-B144-5F55539E279C}</b:Guid>
    <b:Author>
      <b:Author>
        <b:NameList>
          <b:Person>
            <b:Last>NHS</b:Last>
          </b:Person>
        </b:NameList>
      </b:Author>
    </b:Author>
    <b:Title>Tranforming urgent and emergency care services in England.</b:Title>
    <b:Year>2022</b:Year>
    <b:JournalName>London: NHS England.</b:JournalName>
    <b:RefOrder>6</b:RefOrder>
  </b:Source>
  <b:Source>
    <b:Tag>Rog03</b:Tag>
    <b:SourceType>Book</b:SourceType>
    <b:Guid>{FDAFB8F3-7CB5-4502-9C1A-2F276C2CFC52}</b:Guid>
    <b:Author>
      <b:Author>
        <b:NameList>
          <b:Person>
            <b:Last>Rogers</b:Last>
            <b:First>E.</b:First>
          </b:Person>
        </b:NameList>
      </b:Author>
    </b:Author>
    <b:Title>Diffusion of Innovations. </b:Title>
    <b:JournalName>New York: Free Press.</b:JournalName>
    <b:Year>2003</b:Year>
    <b:Publisher>New York: Free Press.</b:Publisher>
    <b:Edition>5th</b:Edition>
    <b:RefOrder>7</b:RefOrder>
  </b:Source>
  <b:Source>
    <b:Tag>MWe18</b:Tag>
    <b:SourceType>JournalArticle</b:SourceType>
    <b:Guid>{EB0782D5-FE96-4C23-B9A0-A7762E98F20C}</b:Guid>
    <b:Title>Caring for Doctors, Caring for Patients.</b:Title>
    <b:Year>2018</b:Year>
    <b:Author>
      <b:Author>
        <b:NameList>
          <b:Person>
            <b:Last>M. West</b:Last>
            <b:First>D.</b:First>
            <b:Middle>Coia, al et.</b:Middle>
          </b:Person>
        </b:NameList>
      </b:Author>
    </b:Author>
    <b:JournalName>London: General Medical Council.</b:JournalName>
    <b:RefOrder>8</b:RefOrder>
  </b:Source>
</b:Sources>
</file>

<file path=customXml/item2.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10" ma:contentTypeDescription="Create a new document." ma:contentTypeScope="" ma:versionID="1109a0ecf463e3208e93eb1f9cab83b5">
  <xsd:schema xmlns:xsd="http://www.w3.org/2001/XMLSchema" xmlns:xs="http://www.w3.org/2001/XMLSchema" xmlns:p="http://schemas.microsoft.com/office/2006/metadata/properties" xmlns:ns3="bf244c3e-e0b4-4871-bb4e-fd032a14544d" targetNamespace="http://schemas.microsoft.com/office/2006/metadata/properties" ma:root="true" ma:fieldsID="6218fa9ce1a84dc243ff8c1ac4f4793f"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2F39F9E-3D50-4853-BA8F-1F087FA96A65}">
  <ds:schemaRefs>
    <ds:schemaRef ds:uri="http://schemas.openxmlformats.org/officeDocument/2006/bibliography"/>
  </ds:schemaRefs>
</ds:datastoreItem>
</file>

<file path=customXml/itemProps2.xml><?xml version="1.0" encoding="utf-8"?>
<ds:datastoreItem xmlns:ds="http://schemas.openxmlformats.org/officeDocument/2006/customXml" ds:itemID="{0286D78B-C193-45C4-9BFA-6F3F861FD5B7}">
  <ds:schemaRefs>
    <ds:schemaRef ds:uri="http://schemas.microsoft.com/office/2006/metadata/properties"/>
    <ds:schemaRef ds:uri="http://schemas.microsoft.com/office/infopath/2007/PartnerControls"/>
    <ds:schemaRef ds:uri="bf244c3e-e0b4-4871-bb4e-fd032a14544d"/>
  </ds:schemaRefs>
</ds:datastoreItem>
</file>

<file path=customXml/itemProps3.xml><?xml version="1.0" encoding="utf-8"?>
<ds:datastoreItem xmlns:ds="http://schemas.openxmlformats.org/officeDocument/2006/customXml" ds:itemID="{BB278381-0712-4D1C-9A62-E77BFC8A22F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6685D6E-D426-444F-AB38-869ED65055D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320</TotalTime>
  <Pages>1</Pages>
  <Words>2875</Words>
  <Characters>16389</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Juliet Asiedu-Boateng (2335599)</dc:creator>
  <cp:keywords/>
  <dc:description/>
  <cp:lastModifiedBy>Juliet Asiedu-Boateng (2335599)</cp:lastModifiedBy>
  <cp:revision>124</cp:revision>
  <dcterms:created xsi:type="dcterms:W3CDTF">2026-03-11T20:07:00Z</dcterms:created>
  <dcterms:modified xsi:type="dcterms:W3CDTF">2026-04-12T17:50:00Z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y fmtid="{D5CDD505-2E9C-101B-9397-08002B2CF9AE}" pid="3" name="GrammarlyDocumentId">
    <vt:lpwstr>0fd66825-5326-438d-bc07-af01cb275d97</vt:lpwstr>
  </property>
</Properties>
</file>