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2115742676"/>
        <w:docPartObj>
          <w:docPartGallery w:val="Cover Pages"/>
          <w:docPartUnique/>
        </w:docPartObj>
      </w:sdtPr>
      <w:sdtEndPr>
        <w:rPr>
          <w:color w:val="auto"/>
        </w:rPr>
      </w:sdtEndPr>
      <w:sdtContent>
        <w:p w14:paraId="0D1F0102" w14:textId="4DC2B04D" w:rsidR="00344D2F" w:rsidRDefault="00344D2F">
          <w:pPr>
            <w:pStyle w:val="NoSpacing"/>
            <w:spacing w:before="1540" w:after="240"/>
            <w:jc w:val="center"/>
            <w:rPr>
              <w:color w:val="4472C4" w:themeColor="accent1"/>
            </w:rPr>
          </w:pPr>
          <w:r>
            <w:rPr>
              <w:noProof/>
              <w:color w:val="4472C4" w:themeColor="accent1"/>
            </w:rPr>
            <w:drawing>
              <wp:inline distT="0" distB="0" distL="0" distR="0" wp14:anchorId="2775503C" wp14:editId="5A93D966">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62936C57A1A3486E8E6030D7BA3301D1"/>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9766A16" w14:textId="6388B55F" w:rsidR="00344D2F" w:rsidRDefault="00660A65">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Diversity in the judiciary</w:t>
              </w:r>
            </w:p>
          </w:sdtContent>
        </w:sdt>
        <w:sdt>
          <w:sdtPr>
            <w:rPr>
              <w:color w:val="4472C4" w:themeColor="accent1"/>
              <w:sz w:val="28"/>
              <w:szCs w:val="28"/>
            </w:rPr>
            <w:alias w:val="Subtitle"/>
            <w:tag w:val=""/>
            <w:id w:val="328029620"/>
            <w:placeholder>
              <w:docPart w:val="AECBD583DF5A4A13ADABFECAB4B28F7B"/>
            </w:placeholder>
            <w:dataBinding w:prefixMappings="xmlns:ns0='http://purl.org/dc/elements/1.1/' xmlns:ns1='http://schemas.openxmlformats.org/package/2006/metadata/core-properties' " w:xpath="/ns1:coreProperties[1]/ns0:subject[1]" w:storeItemID="{6C3C8BC8-F283-45AE-878A-BAB7291924A1}"/>
            <w:text/>
          </w:sdtPr>
          <w:sdtContent>
            <w:p w14:paraId="4ED0CF51" w14:textId="249961E5" w:rsidR="00344D2F" w:rsidRDefault="009A679F">
              <w:pPr>
                <w:pStyle w:val="NoSpacing"/>
                <w:jc w:val="center"/>
                <w:rPr>
                  <w:color w:val="4472C4" w:themeColor="accent1"/>
                  <w:sz w:val="28"/>
                  <w:szCs w:val="28"/>
                </w:rPr>
              </w:pPr>
              <w:r>
                <w:rPr>
                  <w:color w:val="4472C4" w:themeColor="accent1"/>
                  <w:sz w:val="28"/>
                  <w:szCs w:val="28"/>
                </w:rPr>
                <w:t>Supreme Court</w:t>
              </w:r>
            </w:p>
          </w:sdtContent>
        </w:sdt>
        <w:p w14:paraId="3BAE440C" w14:textId="77777777" w:rsidR="00344D2F" w:rsidRDefault="00344D2F">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75080275" wp14:editId="4F532BA1">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54C32DDB" w14:textId="2F8FB113" w:rsidR="00344D2F" w:rsidRDefault="009A679F">
                                    <w:pPr>
                                      <w:pStyle w:val="NoSpacing"/>
                                      <w:spacing w:after="40"/>
                                      <w:jc w:val="center"/>
                                      <w:rPr>
                                        <w:caps/>
                                        <w:color w:val="4472C4" w:themeColor="accent1"/>
                                        <w:sz w:val="28"/>
                                        <w:szCs w:val="28"/>
                                      </w:rPr>
                                    </w:pPr>
                                    <w:r>
                                      <w:rPr>
                                        <w:caps/>
                                        <w:color w:val="4472C4" w:themeColor="accent1"/>
                                        <w:sz w:val="28"/>
                                        <w:szCs w:val="28"/>
                                      </w:rPr>
                                      <w:t xml:space="preserve">Legal process </w:t>
                                    </w:r>
                                    <w:r w:rsidR="005925BA">
                                      <w:rPr>
                                        <w:caps/>
                                        <w:color w:val="4472C4" w:themeColor="accent1"/>
                                        <w:sz w:val="28"/>
                                        <w:szCs w:val="28"/>
                                      </w:rPr>
                                      <w:t>bmpl4005</w:t>
                                    </w:r>
                                  </w:p>
                                </w:sdtContent>
                              </w:sdt>
                              <w:p w14:paraId="5EC301A0" w14:textId="176A4195" w:rsidR="00344D2F" w:rsidRDefault="00344D2F">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831C0F">
                                      <w:rPr>
                                        <w:caps/>
                                        <w:color w:val="4472C4" w:themeColor="accent1"/>
                                      </w:rPr>
                                      <w:t xml:space="preserve">     </w:t>
                                    </w:r>
                                  </w:sdtContent>
                                </w:sdt>
                              </w:p>
                              <w:p w14:paraId="7A223382" w14:textId="284C39F1" w:rsidR="00344D2F" w:rsidRDefault="00344D2F">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831C0F">
                                      <w:rPr>
                                        <w:color w:val="4472C4" w:themeColor="accent1"/>
                                      </w:rPr>
                                      <w:t xml:space="preserve">DIANA SA </w:t>
                                    </w:r>
                                    <w:r w:rsidR="005925BA">
                                      <w:rPr>
                                        <w:color w:val="4472C4" w:themeColor="accent1"/>
                                      </w:rPr>
                                      <w:t>21</w:t>
                                    </w:r>
                                    <w:r w:rsidR="0075271E">
                                      <w:rPr>
                                        <w:color w:val="4472C4" w:themeColor="accent1"/>
                                      </w:rPr>
                                      <w:t>32625</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5080275"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54C32DDB" w14:textId="2F8FB113" w:rsidR="00344D2F" w:rsidRDefault="009A679F">
                              <w:pPr>
                                <w:pStyle w:val="NoSpacing"/>
                                <w:spacing w:after="40"/>
                                <w:jc w:val="center"/>
                                <w:rPr>
                                  <w:caps/>
                                  <w:color w:val="4472C4" w:themeColor="accent1"/>
                                  <w:sz w:val="28"/>
                                  <w:szCs w:val="28"/>
                                </w:rPr>
                              </w:pPr>
                              <w:r>
                                <w:rPr>
                                  <w:caps/>
                                  <w:color w:val="4472C4" w:themeColor="accent1"/>
                                  <w:sz w:val="28"/>
                                  <w:szCs w:val="28"/>
                                </w:rPr>
                                <w:t xml:space="preserve">Legal process </w:t>
                              </w:r>
                              <w:r w:rsidR="005925BA">
                                <w:rPr>
                                  <w:caps/>
                                  <w:color w:val="4472C4" w:themeColor="accent1"/>
                                  <w:sz w:val="28"/>
                                  <w:szCs w:val="28"/>
                                </w:rPr>
                                <w:t>bmpl4005</w:t>
                              </w:r>
                            </w:p>
                          </w:sdtContent>
                        </w:sdt>
                        <w:p w14:paraId="5EC301A0" w14:textId="176A4195" w:rsidR="00344D2F" w:rsidRDefault="00344D2F">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831C0F">
                                <w:rPr>
                                  <w:caps/>
                                  <w:color w:val="4472C4" w:themeColor="accent1"/>
                                </w:rPr>
                                <w:t xml:space="preserve">     </w:t>
                              </w:r>
                            </w:sdtContent>
                          </w:sdt>
                        </w:p>
                        <w:p w14:paraId="7A223382" w14:textId="284C39F1" w:rsidR="00344D2F" w:rsidRDefault="00344D2F">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831C0F">
                                <w:rPr>
                                  <w:color w:val="4472C4" w:themeColor="accent1"/>
                                </w:rPr>
                                <w:t xml:space="preserve">DIANA SA </w:t>
                              </w:r>
                              <w:r w:rsidR="005925BA">
                                <w:rPr>
                                  <w:color w:val="4472C4" w:themeColor="accent1"/>
                                </w:rPr>
                                <w:t>21</w:t>
                              </w:r>
                              <w:r w:rsidR="0075271E">
                                <w:rPr>
                                  <w:color w:val="4472C4" w:themeColor="accent1"/>
                                </w:rPr>
                                <w:t>32625</w:t>
                              </w:r>
                            </w:sdtContent>
                          </w:sdt>
                        </w:p>
                      </w:txbxContent>
                    </v:textbox>
                    <w10:wrap anchorx="margin" anchory="page"/>
                  </v:shape>
                </w:pict>
              </mc:Fallback>
            </mc:AlternateContent>
          </w:r>
          <w:r>
            <w:rPr>
              <w:noProof/>
              <w:color w:val="4472C4" w:themeColor="accent1"/>
            </w:rPr>
            <w:drawing>
              <wp:inline distT="0" distB="0" distL="0" distR="0" wp14:anchorId="44BD9355" wp14:editId="37CA0789">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E194FE4" w14:textId="25C33B32" w:rsidR="00344D2F" w:rsidRDefault="00344D2F">
          <w:r>
            <w:br w:type="page"/>
          </w:r>
        </w:p>
      </w:sdtContent>
    </w:sdt>
    <w:p w14:paraId="4399B078" w14:textId="2559C25A" w:rsidR="0068000B" w:rsidRPr="006203CC" w:rsidRDefault="00C97116" w:rsidP="006203CC">
      <w:r w:rsidRPr="00651C29">
        <w:rPr>
          <w:sz w:val="24"/>
        </w:rPr>
        <w:lastRenderedPageBreak/>
        <w:t>The Supreme Court of Justice i</w:t>
      </w:r>
      <w:r w:rsidR="00BA4470" w:rsidRPr="00651C29">
        <w:rPr>
          <w:sz w:val="24"/>
        </w:rPr>
        <w:t xml:space="preserve">n United Kingdom is the higher court for civil and criminal cases in England, </w:t>
      </w:r>
      <w:r w:rsidR="006203CC" w:rsidRPr="00651C29">
        <w:rPr>
          <w:sz w:val="24"/>
        </w:rPr>
        <w:t>Wales,</w:t>
      </w:r>
      <w:r w:rsidR="00BA4470" w:rsidRPr="00651C29">
        <w:rPr>
          <w:sz w:val="24"/>
        </w:rPr>
        <w:t xml:space="preserve"> and Northern Ireland, additionally it hears cases of devolution matters under the Scottland Act 1998, </w:t>
      </w:r>
      <w:r w:rsidR="005D2663" w:rsidRPr="00651C29">
        <w:rPr>
          <w:sz w:val="24"/>
        </w:rPr>
        <w:t xml:space="preserve">the Northern Ireland Act </w:t>
      </w:r>
      <w:proofErr w:type="gramStart"/>
      <w:r w:rsidR="005D2663" w:rsidRPr="00651C29">
        <w:rPr>
          <w:sz w:val="24"/>
        </w:rPr>
        <w:t>1998</w:t>
      </w:r>
      <w:proofErr w:type="gramEnd"/>
      <w:r w:rsidR="005D2663" w:rsidRPr="00651C29">
        <w:rPr>
          <w:sz w:val="24"/>
        </w:rPr>
        <w:t xml:space="preserve"> and the Government of Wales Act 2006</w:t>
      </w:r>
      <w:r w:rsidR="009D4127" w:rsidRPr="00651C29">
        <w:rPr>
          <w:sz w:val="24"/>
        </w:rPr>
        <w:t xml:space="preserve">. </w:t>
      </w:r>
      <w:r w:rsidR="005D2663" w:rsidRPr="00651C29">
        <w:rPr>
          <w:sz w:val="24"/>
        </w:rPr>
        <w:t xml:space="preserve">This </w:t>
      </w:r>
      <w:r w:rsidR="006203CC" w:rsidRPr="00651C29">
        <w:rPr>
          <w:sz w:val="24"/>
        </w:rPr>
        <w:t>authority</w:t>
      </w:r>
      <w:r w:rsidR="005D2663" w:rsidRPr="00651C29">
        <w:rPr>
          <w:sz w:val="24"/>
        </w:rPr>
        <w:t xml:space="preserve"> </w:t>
      </w:r>
      <w:proofErr w:type="gramStart"/>
      <w:r w:rsidR="005D2663" w:rsidRPr="00651C29">
        <w:rPr>
          <w:sz w:val="24"/>
        </w:rPr>
        <w:t>was transferred</w:t>
      </w:r>
      <w:proofErr w:type="gramEnd"/>
      <w:r w:rsidR="005D2663" w:rsidRPr="00651C29">
        <w:rPr>
          <w:sz w:val="24"/>
        </w:rPr>
        <w:t xml:space="preserve"> to the Supreme Court from the Judicial Committee of the Privy Council.</w:t>
      </w:r>
    </w:p>
    <w:p w14:paraId="64A41880" w14:textId="1E85EE41" w:rsidR="001875FA" w:rsidRPr="00651C29" w:rsidRDefault="005D2663" w:rsidP="00DC38AB">
      <w:pPr>
        <w:pStyle w:val="NoSpacing"/>
        <w:rPr>
          <w:sz w:val="24"/>
        </w:rPr>
      </w:pPr>
      <w:r w:rsidRPr="00651C29">
        <w:rPr>
          <w:sz w:val="24"/>
        </w:rPr>
        <w:t xml:space="preserve">Before the Constitutional Reform Act 2005 </w:t>
      </w:r>
      <w:proofErr w:type="gramStart"/>
      <w:r w:rsidRPr="00651C29">
        <w:rPr>
          <w:sz w:val="24"/>
        </w:rPr>
        <w:t>this role was held by the House of Lords</w:t>
      </w:r>
      <w:proofErr w:type="gramEnd"/>
      <w:r w:rsidR="001C7CBC" w:rsidRPr="00651C29">
        <w:rPr>
          <w:sz w:val="24"/>
        </w:rPr>
        <w:t xml:space="preserve"> (The House of Lords is the second chamber of the United Kingdom parliament</w:t>
      </w:r>
      <w:r w:rsidR="00C82C02" w:rsidRPr="00651C29">
        <w:rPr>
          <w:sz w:val="24"/>
        </w:rPr>
        <w:t xml:space="preserve"> and</w:t>
      </w:r>
      <w:r w:rsidR="001C7CBC" w:rsidRPr="00651C29">
        <w:rPr>
          <w:sz w:val="24"/>
        </w:rPr>
        <w:t xml:space="preserve"> is independent and complement the work of the House of Commons, together they make laws and check and challenge the </w:t>
      </w:r>
      <w:r w:rsidR="0068000B" w:rsidRPr="00651C29">
        <w:rPr>
          <w:sz w:val="24"/>
        </w:rPr>
        <w:t>government</w:t>
      </w:r>
      <w:r w:rsidR="001875FA" w:rsidRPr="00651C29">
        <w:rPr>
          <w:sz w:val="24"/>
        </w:rPr>
        <w:t>.</w:t>
      </w:r>
      <w:r w:rsidR="0068000B" w:rsidRPr="00651C29">
        <w:rPr>
          <w:sz w:val="24"/>
        </w:rPr>
        <w:t>)</w:t>
      </w:r>
    </w:p>
    <w:p w14:paraId="08A77D1A" w14:textId="138ECDA6" w:rsidR="00732FC7" w:rsidRPr="00651C29" w:rsidRDefault="00732FC7" w:rsidP="00DC38AB">
      <w:pPr>
        <w:pStyle w:val="NoSpacing"/>
        <w:rPr>
          <w:sz w:val="24"/>
        </w:rPr>
      </w:pPr>
      <w:r w:rsidRPr="00651C29">
        <w:rPr>
          <w:sz w:val="24"/>
        </w:rPr>
        <w:t xml:space="preserve">The Supreme Court play </w:t>
      </w:r>
      <w:r w:rsidR="006203CC" w:rsidRPr="00651C29">
        <w:rPr>
          <w:sz w:val="24"/>
        </w:rPr>
        <w:t>a key role</w:t>
      </w:r>
      <w:r w:rsidRPr="00651C29">
        <w:rPr>
          <w:sz w:val="24"/>
        </w:rPr>
        <w:t xml:space="preserve"> on the law making</w:t>
      </w:r>
      <w:r w:rsidR="0042242E" w:rsidRPr="00651C29">
        <w:rPr>
          <w:sz w:val="24"/>
        </w:rPr>
        <w:t xml:space="preserve">, </w:t>
      </w:r>
      <w:r w:rsidR="0068000B" w:rsidRPr="00651C29">
        <w:rPr>
          <w:sz w:val="24"/>
        </w:rPr>
        <w:t>hearing</w:t>
      </w:r>
      <w:r w:rsidR="0042242E" w:rsidRPr="00651C29">
        <w:rPr>
          <w:sz w:val="24"/>
        </w:rPr>
        <w:t xml:space="preserve"> appeals on arguable points of law of </w:t>
      </w:r>
      <w:r w:rsidR="006203CC" w:rsidRPr="00651C29">
        <w:rPr>
          <w:sz w:val="24"/>
        </w:rPr>
        <w:t>public</w:t>
      </w:r>
      <w:r w:rsidR="0042242E" w:rsidRPr="00651C29">
        <w:rPr>
          <w:sz w:val="24"/>
        </w:rPr>
        <w:t xml:space="preserve"> importance</w:t>
      </w:r>
      <w:r w:rsidR="00D72C12" w:rsidRPr="00651C29">
        <w:rPr>
          <w:sz w:val="24"/>
        </w:rPr>
        <w:t xml:space="preserve"> and </w:t>
      </w:r>
      <w:r w:rsidR="0068000B" w:rsidRPr="00651C29">
        <w:rPr>
          <w:sz w:val="24"/>
        </w:rPr>
        <w:t xml:space="preserve">listen to </w:t>
      </w:r>
      <w:r w:rsidR="008614DE" w:rsidRPr="00651C29">
        <w:rPr>
          <w:sz w:val="24"/>
        </w:rPr>
        <w:t xml:space="preserve">public </w:t>
      </w:r>
      <w:r w:rsidR="0068000B" w:rsidRPr="00651C29">
        <w:rPr>
          <w:sz w:val="24"/>
        </w:rPr>
        <w:t>cases</w:t>
      </w:r>
      <w:r w:rsidR="00D34CFF" w:rsidRPr="00651C29">
        <w:rPr>
          <w:sz w:val="24"/>
        </w:rPr>
        <w:t xml:space="preserve"> and </w:t>
      </w:r>
      <w:r w:rsidR="003358F5" w:rsidRPr="00651C29">
        <w:rPr>
          <w:sz w:val="24"/>
        </w:rPr>
        <w:t>constitutional importance.</w:t>
      </w:r>
    </w:p>
    <w:p w14:paraId="7A8A1D9E" w14:textId="540E7E55" w:rsidR="005D2663" w:rsidRPr="00651C29" w:rsidRDefault="000535BD" w:rsidP="00DC38AB">
      <w:pPr>
        <w:pStyle w:val="NoSpacing"/>
        <w:rPr>
          <w:sz w:val="24"/>
        </w:rPr>
      </w:pPr>
      <w:r w:rsidRPr="00651C29">
        <w:rPr>
          <w:sz w:val="24"/>
        </w:rPr>
        <w:t xml:space="preserve">The Supreme Court interpreter </w:t>
      </w:r>
      <w:r w:rsidR="004A79E9" w:rsidRPr="00651C29">
        <w:rPr>
          <w:sz w:val="24"/>
        </w:rPr>
        <w:t xml:space="preserve">the laws and decide when the law is relevant to a particular case or to rule how should </w:t>
      </w:r>
      <w:proofErr w:type="gramStart"/>
      <w:r w:rsidR="004A79E9" w:rsidRPr="00651C29">
        <w:rPr>
          <w:sz w:val="24"/>
        </w:rPr>
        <w:t>be applied</w:t>
      </w:r>
      <w:proofErr w:type="gramEnd"/>
      <w:r w:rsidR="004A79E9" w:rsidRPr="00651C29">
        <w:rPr>
          <w:sz w:val="24"/>
        </w:rPr>
        <w:t>.</w:t>
      </w:r>
    </w:p>
    <w:p w14:paraId="6D749A6A" w14:textId="51A49C16" w:rsidR="00AE3496" w:rsidRPr="00651C29" w:rsidRDefault="009D4362" w:rsidP="00DC38AB">
      <w:pPr>
        <w:pStyle w:val="NoSpacing"/>
        <w:rPr>
          <w:sz w:val="24"/>
        </w:rPr>
      </w:pPr>
      <w:r w:rsidRPr="00651C29">
        <w:rPr>
          <w:sz w:val="24"/>
        </w:rPr>
        <w:t>Ethnicity</w:t>
      </w:r>
      <w:r w:rsidR="00BA0AA7" w:rsidRPr="00651C29">
        <w:rPr>
          <w:sz w:val="24"/>
        </w:rPr>
        <w:t xml:space="preserve"> and gender have </w:t>
      </w:r>
      <w:r w:rsidR="006203CC" w:rsidRPr="00651C29">
        <w:rPr>
          <w:sz w:val="24"/>
        </w:rPr>
        <w:t>a significant impact</w:t>
      </w:r>
      <w:r w:rsidR="00BA0AA7" w:rsidRPr="00651C29">
        <w:rPr>
          <w:sz w:val="24"/>
        </w:rPr>
        <w:t xml:space="preserve"> on how decisions </w:t>
      </w:r>
      <w:proofErr w:type="gramStart"/>
      <w:r w:rsidR="00BA0AA7" w:rsidRPr="00651C29">
        <w:rPr>
          <w:sz w:val="24"/>
        </w:rPr>
        <w:t>are made</w:t>
      </w:r>
      <w:proofErr w:type="gramEnd"/>
      <w:r w:rsidR="00BA0AA7" w:rsidRPr="00651C29">
        <w:rPr>
          <w:sz w:val="24"/>
        </w:rPr>
        <w:t xml:space="preserve"> because most of the jury are m</w:t>
      </w:r>
      <w:r w:rsidR="002B589A" w:rsidRPr="00651C29">
        <w:rPr>
          <w:sz w:val="24"/>
        </w:rPr>
        <w:t>ale</w:t>
      </w:r>
      <w:r w:rsidR="00261DA8" w:rsidRPr="00651C29">
        <w:rPr>
          <w:sz w:val="24"/>
        </w:rPr>
        <w:t>s</w:t>
      </w:r>
      <w:r w:rsidR="00BA0AA7" w:rsidRPr="00651C29">
        <w:rPr>
          <w:sz w:val="24"/>
        </w:rPr>
        <w:t xml:space="preserve"> with a rich background, they went to private schools</w:t>
      </w:r>
      <w:r w:rsidR="00CF2E59" w:rsidRPr="00651C29">
        <w:rPr>
          <w:sz w:val="24"/>
        </w:rPr>
        <w:t xml:space="preserve">, they are white </w:t>
      </w:r>
      <w:r w:rsidR="00BA0AA7" w:rsidRPr="00651C29">
        <w:rPr>
          <w:sz w:val="24"/>
        </w:rPr>
        <w:t>and most of the</w:t>
      </w:r>
      <w:r w:rsidR="00B46C80" w:rsidRPr="00651C29">
        <w:rPr>
          <w:sz w:val="24"/>
        </w:rPr>
        <w:t>m</w:t>
      </w:r>
      <w:r w:rsidR="00BA0AA7" w:rsidRPr="00651C29">
        <w:rPr>
          <w:sz w:val="24"/>
        </w:rPr>
        <w:t xml:space="preserve"> are old men</w:t>
      </w:r>
      <w:r w:rsidR="00B46C80" w:rsidRPr="00651C29">
        <w:rPr>
          <w:sz w:val="24"/>
        </w:rPr>
        <w:t xml:space="preserve"> now (pass the middle age until 70years or more)</w:t>
      </w:r>
      <w:r w:rsidR="00BA0AA7" w:rsidRPr="00651C29">
        <w:rPr>
          <w:sz w:val="24"/>
        </w:rPr>
        <w:t xml:space="preserve">. Does take </w:t>
      </w:r>
      <w:proofErr w:type="gramStart"/>
      <w:r w:rsidR="00BA0AA7" w:rsidRPr="00651C29">
        <w:rPr>
          <w:sz w:val="24"/>
        </w:rPr>
        <w:t>a few</w:t>
      </w:r>
      <w:proofErr w:type="gramEnd"/>
      <w:r w:rsidR="00BA0AA7" w:rsidRPr="00651C29">
        <w:rPr>
          <w:sz w:val="24"/>
        </w:rPr>
        <w:t xml:space="preserve"> years until a young person can became a ju</w:t>
      </w:r>
      <w:r w:rsidR="00BE164F" w:rsidRPr="00651C29">
        <w:rPr>
          <w:sz w:val="24"/>
        </w:rPr>
        <w:t>dge</w:t>
      </w:r>
      <w:r w:rsidR="00BA0AA7" w:rsidRPr="00651C29">
        <w:rPr>
          <w:sz w:val="24"/>
        </w:rPr>
        <w:t xml:space="preserve">, when that time comes the </w:t>
      </w:r>
      <w:r w:rsidRPr="00651C29">
        <w:rPr>
          <w:sz w:val="24"/>
        </w:rPr>
        <w:t>person,</w:t>
      </w:r>
      <w:r w:rsidR="00BA0AA7" w:rsidRPr="00651C29">
        <w:rPr>
          <w:sz w:val="24"/>
        </w:rPr>
        <w:t xml:space="preserve"> will be from middle age till </w:t>
      </w:r>
      <w:r w:rsidR="00860287" w:rsidRPr="00651C29">
        <w:rPr>
          <w:sz w:val="24"/>
        </w:rPr>
        <w:t>elderly</w:t>
      </w:r>
      <w:r w:rsidR="00BA0AA7" w:rsidRPr="00651C29">
        <w:rPr>
          <w:sz w:val="24"/>
        </w:rPr>
        <w:t>.</w:t>
      </w:r>
      <w:r w:rsidR="00235BF1" w:rsidRPr="00651C29">
        <w:rPr>
          <w:sz w:val="24"/>
        </w:rPr>
        <w:t xml:space="preserve"> </w:t>
      </w:r>
      <w:r w:rsidRPr="00651C29">
        <w:rPr>
          <w:sz w:val="24"/>
        </w:rPr>
        <w:t>Females</w:t>
      </w:r>
      <w:r w:rsidR="00235BF1" w:rsidRPr="00651C29">
        <w:rPr>
          <w:sz w:val="24"/>
        </w:rPr>
        <w:t xml:space="preserve"> </w:t>
      </w:r>
      <w:proofErr w:type="gramStart"/>
      <w:r w:rsidR="00235BF1" w:rsidRPr="00651C29">
        <w:rPr>
          <w:sz w:val="24"/>
        </w:rPr>
        <w:t xml:space="preserve">were </w:t>
      </w:r>
      <w:r w:rsidR="00B23471" w:rsidRPr="00651C29">
        <w:rPr>
          <w:sz w:val="24"/>
        </w:rPr>
        <w:t>expected</w:t>
      </w:r>
      <w:proofErr w:type="gramEnd"/>
      <w:r w:rsidR="00235BF1" w:rsidRPr="00651C29">
        <w:rPr>
          <w:sz w:val="24"/>
        </w:rPr>
        <w:t xml:space="preserve"> to stay at home </w:t>
      </w:r>
      <w:r w:rsidR="00B23471" w:rsidRPr="00651C29">
        <w:rPr>
          <w:sz w:val="24"/>
        </w:rPr>
        <w:t>while</w:t>
      </w:r>
      <w:r w:rsidR="00235BF1" w:rsidRPr="00651C29">
        <w:rPr>
          <w:sz w:val="24"/>
        </w:rPr>
        <w:t xml:space="preserve"> the m</w:t>
      </w:r>
      <w:r w:rsidR="00B23471" w:rsidRPr="00651C29">
        <w:rPr>
          <w:sz w:val="24"/>
        </w:rPr>
        <w:t>ales</w:t>
      </w:r>
      <w:r w:rsidR="001A33D3" w:rsidRPr="00651C29">
        <w:rPr>
          <w:sz w:val="24"/>
        </w:rPr>
        <w:t xml:space="preserve"> will</w:t>
      </w:r>
      <w:r w:rsidR="00235BF1" w:rsidRPr="00651C29">
        <w:rPr>
          <w:sz w:val="24"/>
        </w:rPr>
        <w:t xml:space="preserve"> study</w:t>
      </w:r>
      <w:r w:rsidR="00B23471" w:rsidRPr="00651C29">
        <w:rPr>
          <w:sz w:val="24"/>
        </w:rPr>
        <w:t xml:space="preserve"> and work</w:t>
      </w:r>
      <w:r w:rsidR="00235BF1" w:rsidRPr="00651C29">
        <w:rPr>
          <w:sz w:val="24"/>
        </w:rPr>
        <w:t xml:space="preserve">, </w:t>
      </w:r>
      <w:r w:rsidR="00B23471" w:rsidRPr="00651C29">
        <w:rPr>
          <w:sz w:val="24"/>
        </w:rPr>
        <w:t>thankfully</w:t>
      </w:r>
      <w:r w:rsidR="00235BF1" w:rsidRPr="00651C29">
        <w:rPr>
          <w:sz w:val="24"/>
        </w:rPr>
        <w:t xml:space="preserve"> that is changing but the changes that are made until now are not enough, so we will be having for a good few years more old ju</w:t>
      </w:r>
      <w:r w:rsidR="008D1648" w:rsidRPr="00651C29">
        <w:rPr>
          <w:sz w:val="24"/>
        </w:rPr>
        <w:t>dges</w:t>
      </w:r>
      <w:r w:rsidR="00235BF1" w:rsidRPr="00651C29">
        <w:rPr>
          <w:sz w:val="24"/>
        </w:rPr>
        <w:t xml:space="preserve"> that are not actualized with </w:t>
      </w:r>
      <w:r w:rsidR="001A33D3" w:rsidRPr="00651C29">
        <w:rPr>
          <w:sz w:val="24"/>
        </w:rPr>
        <w:t>the</w:t>
      </w:r>
      <w:r w:rsidR="00235BF1" w:rsidRPr="00651C29">
        <w:rPr>
          <w:sz w:val="24"/>
        </w:rPr>
        <w:t xml:space="preserve"> reality that we </w:t>
      </w:r>
      <w:r w:rsidR="00B23471" w:rsidRPr="00651C29">
        <w:rPr>
          <w:sz w:val="24"/>
        </w:rPr>
        <w:t>are living</w:t>
      </w:r>
      <w:r w:rsidR="00235BF1" w:rsidRPr="00651C29">
        <w:rPr>
          <w:sz w:val="24"/>
        </w:rPr>
        <w:t xml:space="preserve"> right now.</w:t>
      </w:r>
      <w:r w:rsidR="008D1648" w:rsidRPr="00651C29">
        <w:rPr>
          <w:sz w:val="24"/>
        </w:rPr>
        <w:t xml:space="preserve"> </w:t>
      </w:r>
      <w:r w:rsidR="00235BF1" w:rsidRPr="00651C29">
        <w:rPr>
          <w:sz w:val="24"/>
        </w:rPr>
        <w:t>Old ju</w:t>
      </w:r>
      <w:r w:rsidR="008D1648" w:rsidRPr="00651C29">
        <w:rPr>
          <w:sz w:val="24"/>
        </w:rPr>
        <w:t>dges</w:t>
      </w:r>
      <w:r w:rsidR="00235BF1" w:rsidRPr="00651C29">
        <w:rPr>
          <w:sz w:val="24"/>
        </w:rPr>
        <w:t xml:space="preserve"> will rule with their own convictions and </w:t>
      </w:r>
      <w:r w:rsidR="00B23471" w:rsidRPr="00651C29">
        <w:rPr>
          <w:sz w:val="24"/>
        </w:rPr>
        <w:t>ideas,</w:t>
      </w:r>
      <w:r w:rsidR="00235BF1" w:rsidRPr="00651C29">
        <w:rPr>
          <w:sz w:val="24"/>
        </w:rPr>
        <w:t xml:space="preserve"> they </w:t>
      </w:r>
      <w:r w:rsidR="006203CC" w:rsidRPr="00651C29">
        <w:rPr>
          <w:sz w:val="24"/>
        </w:rPr>
        <w:t>do not</w:t>
      </w:r>
      <w:r w:rsidR="00235BF1" w:rsidRPr="00651C29">
        <w:rPr>
          <w:sz w:val="24"/>
        </w:rPr>
        <w:t xml:space="preserve"> care about the present they still li</w:t>
      </w:r>
      <w:r w:rsidR="006C23E5" w:rsidRPr="00651C29">
        <w:rPr>
          <w:sz w:val="24"/>
        </w:rPr>
        <w:t xml:space="preserve">ve in the past and nothing will make them change, unless we change the way the system works. </w:t>
      </w:r>
      <w:r w:rsidR="00351674" w:rsidRPr="00651C29">
        <w:rPr>
          <w:sz w:val="24"/>
        </w:rPr>
        <w:t xml:space="preserve">A </w:t>
      </w:r>
      <w:r w:rsidR="005B04D4" w:rsidRPr="00651C29">
        <w:rPr>
          <w:sz w:val="24"/>
        </w:rPr>
        <w:t>female</w:t>
      </w:r>
      <w:r w:rsidR="00351674" w:rsidRPr="00651C29">
        <w:rPr>
          <w:sz w:val="24"/>
        </w:rPr>
        <w:t xml:space="preserve"> </w:t>
      </w:r>
      <w:proofErr w:type="gramStart"/>
      <w:r w:rsidR="00351674" w:rsidRPr="00651C29">
        <w:rPr>
          <w:sz w:val="24"/>
        </w:rPr>
        <w:t>was prohibited</w:t>
      </w:r>
      <w:proofErr w:type="gramEnd"/>
      <w:r w:rsidR="00351674" w:rsidRPr="00651C29">
        <w:rPr>
          <w:sz w:val="24"/>
        </w:rPr>
        <w:t xml:space="preserve"> to study imagine going to a school law to become a ju</w:t>
      </w:r>
      <w:r w:rsidR="008D1648" w:rsidRPr="00651C29">
        <w:rPr>
          <w:sz w:val="24"/>
        </w:rPr>
        <w:t>dge</w:t>
      </w:r>
      <w:r w:rsidR="00D479B2" w:rsidRPr="00651C29">
        <w:rPr>
          <w:sz w:val="24"/>
        </w:rPr>
        <w:t xml:space="preserve">. It </w:t>
      </w:r>
      <w:proofErr w:type="gramStart"/>
      <w:r w:rsidR="00D479B2" w:rsidRPr="00651C29">
        <w:rPr>
          <w:sz w:val="24"/>
        </w:rPr>
        <w:t>was forbidden</w:t>
      </w:r>
      <w:proofErr w:type="gramEnd"/>
      <w:r w:rsidR="00D479B2" w:rsidRPr="00651C29">
        <w:rPr>
          <w:sz w:val="24"/>
        </w:rPr>
        <w:t xml:space="preserve"> </w:t>
      </w:r>
      <w:r w:rsidR="007E5BC9" w:rsidRPr="00651C29">
        <w:rPr>
          <w:sz w:val="24"/>
        </w:rPr>
        <w:t xml:space="preserve">a few years </w:t>
      </w:r>
      <w:r w:rsidR="005B04D4" w:rsidRPr="00651C29">
        <w:rPr>
          <w:sz w:val="24"/>
        </w:rPr>
        <w:t>because</w:t>
      </w:r>
      <w:r w:rsidR="00014020" w:rsidRPr="00651C29">
        <w:rPr>
          <w:sz w:val="24"/>
        </w:rPr>
        <w:t xml:space="preserve"> it was</w:t>
      </w:r>
      <w:r w:rsidR="00AA2E67" w:rsidRPr="00651C29">
        <w:rPr>
          <w:sz w:val="24"/>
        </w:rPr>
        <w:t xml:space="preserve"> </w:t>
      </w:r>
      <w:r w:rsidR="00E30AC2" w:rsidRPr="00651C29">
        <w:rPr>
          <w:sz w:val="24"/>
        </w:rPr>
        <w:t xml:space="preserve">believed </w:t>
      </w:r>
      <w:r w:rsidR="005B04D4" w:rsidRPr="00651C29">
        <w:rPr>
          <w:sz w:val="24"/>
        </w:rPr>
        <w:t>females</w:t>
      </w:r>
      <w:r w:rsidR="00AA2E67" w:rsidRPr="00651C29">
        <w:rPr>
          <w:sz w:val="24"/>
        </w:rPr>
        <w:t xml:space="preserve"> in general should stay at home taking care of their </w:t>
      </w:r>
      <w:r w:rsidR="005B04D4" w:rsidRPr="00651C29">
        <w:rPr>
          <w:sz w:val="24"/>
        </w:rPr>
        <w:t>family’s</w:t>
      </w:r>
      <w:r w:rsidR="00E30AC2" w:rsidRPr="00651C29">
        <w:rPr>
          <w:sz w:val="24"/>
        </w:rPr>
        <w:t xml:space="preserve"> and the </w:t>
      </w:r>
      <w:r w:rsidR="00934EA1" w:rsidRPr="00651C29">
        <w:rPr>
          <w:sz w:val="24"/>
        </w:rPr>
        <w:t>housework</w:t>
      </w:r>
      <w:r w:rsidR="004A0D28" w:rsidRPr="00651C29">
        <w:rPr>
          <w:sz w:val="24"/>
        </w:rPr>
        <w:t xml:space="preserve">. </w:t>
      </w:r>
    </w:p>
    <w:p w14:paraId="7E7A745C" w14:textId="44D4158B" w:rsidR="00AD4B3B" w:rsidRPr="00651C29" w:rsidRDefault="00AD4B3B" w:rsidP="00DC38AB">
      <w:pPr>
        <w:pStyle w:val="NoSpacing"/>
        <w:rPr>
          <w:sz w:val="24"/>
        </w:rPr>
      </w:pPr>
      <w:r w:rsidRPr="00651C29">
        <w:rPr>
          <w:sz w:val="24"/>
        </w:rPr>
        <w:t xml:space="preserve">In 1945 the first </w:t>
      </w:r>
      <w:r w:rsidR="00E30AC2" w:rsidRPr="00651C29">
        <w:rPr>
          <w:sz w:val="24"/>
        </w:rPr>
        <w:t>female</w:t>
      </w:r>
      <w:r w:rsidRPr="00651C29">
        <w:rPr>
          <w:sz w:val="24"/>
        </w:rPr>
        <w:t xml:space="preserve"> </w:t>
      </w:r>
      <w:r w:rsidR="00BA1A02" w:rsidRPr="00651C29">
        <w:rPr>
          <w:sz w:val="24"/>
        </w:rPr>
        <w:t xml:space="preserve">who </w:t>
      </w:r>
      <w:r w:rsidRPr="00651C29">
        <w:rPr>
          <w:sz w:val="24"/>
        </w:rPr>
        <w:t>became judge</w:t>
      </w:r>
      <w:r w:rsidR="001F6D4D" w:rsidRPr="00651C29">
        <w:rPr>
          <w:sz w:val="24"/>
        </w:rPr>
        <w:t xml:space="preserve"> </w:t>
      </w:r>
      <w:r w:rsidR="000B49E0" w:rsidRPr="00651C29">
        <w:rPr>
          <w:sz w:val="24"/>
        </w:rPr>
        <w:t>in Britain</w:t>
      </w:r>
      <w:r w:rsidR="009B760B" w:rsidRPr="00651C29">
        <w:rPr>
          <w:sz w:val="24"/>
        </w:rPr>
        <w:t xml:space="preserve"> was </w:t>
      </w:r>
      <w:r w:rsidR="002473A8" w:rsidRPr="00651C29">
        <w:rPr>
          <w:sz w:val="24"/>
        </w:rPr>
        <w:t>Sybil Campbell</w:t>
      </w:r>
      <w:r w:rsidR="000B49E0" w:rsidRPr="00651C29">
        <w:rPr>
          <w:sz w:val="24"/>
        </w:rPr>
        <w:t>.</w:t>
      </w:r>
      <w:r w:rsidR="00AD733F" w:rsidRPr="00651C29">
        <w:rPr>
          <w:sz w:val="24"/>
        </w:rPr>
        <w:t xml:space="preserve"> She was </w:t>
      </w:r>
      <w:r w:rsidR="00DE67ED" w:rsidRPr="00651C29">
        <w:rPr>
          <w:sz w:val="24"/>
        </w:rPr>
        <w:t>born in Ceylon, Sri Lanka</w:t>
      </w:r>
      <w:r w:rsidR="00A80F11" w:rsidRPr="00651C29">
        <w:rPr>
          <w:sz w:val="24"/>
        </w:rPr>
        <w:t xml:space="preserve"> in 1889</w:t>
      </w:r>
      <w:r w:rsidR="00746960" w:rsidRPr="00651C29">
        <w:rPr>
          <w:sz w:val="24"/>
        </w:rPr>
        <w:t>.</w:t>
      </w:r>
      <w:r w:rsidR="008B57DB" w:rsidRPr="00651C29">
        <w:rPr>
          <w:sz w:val="24"/>
        </w:rPr>
        <w:t xml:space="preserve"> </w:t>
      </w:r>
      <w:r w:rsidR="00D22736" w:rsidRPr="00651C29">
        <w:rPr>
          <w:sz w:val="24"/>
        </w:rPr>
        <w:t>Formal objections that Sybil had not worked as a barrister long enough masked underlying beliefs that women were not suited for the judiciary</w:t>
      </w:r>
      <w:r w:rsidR="00E16A93" w:rsidRPr="00651C29">
        <w:rPr>
          <w:sz w:val="24"/>
        </w:rPr>
        <w:t>,</w:t>
      </w:r>
      <w:r w:rsidR="00C45C8B" w:rsidRPr="00651C29">
        <w:rPr>
          <w:sz w:val="24"/>
        </w:rPr>
        <w:t xml:space="preserve"> in a few months she was criticized </w:t>
      </w:r>
      <w:r w:rsidR="00A57F5E" w:rsidRPr="00651C29">
        <w:rPr>
          <w:sz w:val="24"/>
        </w:rPr>
        <w:t>for her severe sentences</w:t>
      </w:r>
      <w:r w:rsidR="00F95AF1" w:rsidRPr="00651C29">
        <w:rPr>
          <w:sz w:val="24"/>
        </w:rPr>
        <w:t xml:space="preserve"> and as doubled the national level of first </w:t>
      </w:r>
      <w:r w:rsidR="007C30CA" w:rsidRPr="00651C29">
        <w:rPr>
          <w:sz w:val="24"/>
        </w:rPr>
        <w:t>offenders, a</w:t>
      </w:r>
      <w:r w:rsidR="007C30CA" w:rsidRPr="00651C29">
        <w:rPr>
          <w:sz w:val="24"/>
        </w:rPr>
        <w:t xml:space="preserve"> police report supported Sybil’s higher sentences due to the nature of crime in the Tower Bridge area, and the Home Office concluded that “Miss Campbell’s sentences are severe but we have no evidence that her findings are unfair.”</w:t>
      </w:r>
      <w:r w:rsidR="00E16A93" w:rsidRPr="00651C29">
        <w:rPr>
          <w:sz w:val="24"/>
        </w:rPr>
        <w:t xml:space="preserve"> </w:t>
      </w:r>
      <w:r w:rsidR="00231FEB" w:rsidRPr="00651C29">
        <w:rPr>
          <w:sz w:val="24"/>
        </w:rPr>
        <w:t>S</w:t>
      </w:r>
      <w:r w:rsidR="00E16A93" w:rsidRPr="00651C29">
        <w:rPr>
          <w:sz w:val="24"/>
        </w:rPr>
        <w:t xml:space="preserve">he </w:t>
      </w:r>
      <w:r w:rsidR="008B57DB" w:rsidRPr="00651C29">
        <w:rPr>
          <w:sz w:val="24"/>
        </w:rPr>
        <w:t xml:space="preserve">was a supporter of the </w:t>
      </w:r>
      <w:r w:rsidR="0004405F" w:rsidRPr="00651C29">
        <w:rPr>
          <w:sz w:val="24"/>
        </w:rPr>
        <w:t>women’s</w:t>
      </w:r>
      <w:r w:rsidR="008B57DB" w:rsidRPr="00651C29">
        <w:rPr>
          <w:sz w:val="24"/>
        </w:rPr>
        <w:t xml:space="preserve"> education</w:t>
      </w:r>
      <w:r w:rsidR="007C5404" w:rsidRPr="00651C29">
        <w:rPr>
          <w:sz w:val="24"/>
        </w:rPr>
        <w:t xml:space="preserve"> an</w:t>
      </w:r>
      <w:r w:rsidR="0004405F" w:rsidRPr="00651C29">
        <w:rPr>
          <w:sz w:val="24"/>
        </w:rPr>
        <w:t>d</w:t>
      </w:r>
      <w:r w:rsidR="007C5404" w:rsidRPr="00651C29">
        <w:rPr>
          <w:sz w:val="24"/>
        </w:rPr>
        <w:t xml:space="preserve"> she served as Honorary Secretary</w:t>
      </w:r>
      <w:r w:rsidR="00E16A93" w:rsidRPr="00651C29">
        <w:rPr>
          <w:sz w:val="24"/>
        </w:rPr>
        <w:t xml:space="preserve"> </w:t>
      </w:r>
      <w:r w:rsidR="007C5404" w:rsidRPr="00651C29">
        <w:rPr>
          <w:sz w:val="24"/>
        </w:rPr>
        <w:t xml:space="preserve">of the British Federation </w:t>
      </w:r>
      <w:r w:rsidR="00F37F76" w:rsidRPr="00651C29">
        <w:rPr>
          <w:sz w:val="24"/>
        </w:rPr>
        <w:t>of University Woman from 1921 to 1933</w:t>
      </w:r>
      <w:r w:rsidR="00DE70A4" w:rsidRPr="00651C29">
        <w:rPr>
          <w:sz w:val="24"/>
        </w:rPr>
        <w:t>, and Honorary Vice-President from 1947 to 1977</w:t>
      </w:r>
      <w:r w:rsidR="006203CC" w:rsidRPr="00651C29">
        <w:rPr>
          <w:sz w:val="24"/>
        </w:rPr>
        <w:t xml:space="preserve">. </w:t>
      </w:r>
      <w:r w:rsidR="000B49E0" w:rsidRPr="00651C29">
        <w:rPr>
          <w:sz w:val="24"/>
        </w:rPr>
        <w:t>She was</w:t>
      </w:r>
      <w:r w:rsidR="001F6F5A" w:rsidRPr="00651C29">
        <w:rPr>
          <w:sz w:val="24"/>
        </w:rPr>
        <w:t xml:space="preserve"> the stipendiary magistrate at Tower Bridge </w:t>
      </w:r>
      <w:r w:rsidR="00B4104D" w:rsidRPr="00651C29">
        <w:rPr>
          <w:sz w:val="24"/>
        </w:rPr>
        <w:t xml:space="preserve">Magistrates </w:t>
      </w:r>
      <w:r w:rsidR="00934EA1" w:rsidRPr="00651C29">
        <w:rPr>
          <w:sz w:val="24"/>
        </w:rPr>
        <w:t>Court, later</w:t>
      </w:r>
      <w:r w:rsidR="0085132C" w:rsidRPr="00651C29">
        <w:rPr>
          <w:sz w:val="24"/>
        </w:rPr>
        <w:t xml:space="preserve"> in her career </w:t>
      </w:r>
      <w:r w:rsidR="002E5D08" w:rsidRPr="00651C29">
        <w:rPr>
          <w:sz w:val="24"/>
        </w:rPr>
        <w:t xml:space="preserve">her reputation </w:t>
      </w:r>
      <w:r w:rsidR="00934EA1" w:rsidRPr="00651C29">
        <w:rPr>
          <w:sz w:val="24"/>
        </w:rPr>
        <w:t>changed,</w:t>
      </w:r>
      <w:r w:rsidR="002E5D08" w:rsidRPr="00651C29">
        <w:rPr>
          <w:sz w:val="24"/>
        </w:rPr>
        <w:t xml:space="preserve"> and the </w:t>
      </w:r>
      <w:r w:rsidR="00E57579" w:rsidRPr="00651C29">
        <w:rPr>
          <w:sz w:val="24"/>
        </w:rPr>
        <w:t>people thought she was fair</w:t>
      </w:r>
      <w:r w:rsidR="0023457D" w:rsidRPr="00651C29">
        <w:rPr>
          <w:sz w:val="24"/>
        </w:rPr>
        <w:t xml:space="preserve">. Sybil retired </w:t>
      </w:r>
      <w:r w:rsidR="00B26C6F" w:rsidRPr="00651C29">
        <w:rPr>
          <w:sz w:val="24"/>
        </w:rPr>
        <w:t xml:space="preserve">in 1961 aged </w:t>
      </w:r>
      <w:proofErr w:type="gramStart"/>
      <w:r w:rsidR="005F6E0A">
        <w:rPr>
          <w:sz w:val="24"/>
        </w:rPr>
        <w:t>72</w:t>
      </w:r>
      <w:proofErr w:type="gramEnd"/>
      <w:r w:rsidR="00B26C6F" w:rsidRPr="00651C29">
        <w:rPr>
          <w:sz w:val="24"/>
        </w:rPr>
        <w:t xml:space="preserve"> remaining the only woman </w:t>
      </w:r>
      <w:r w:rsidR="00B10251" w:rsidRPr="00651C29">
        <w:rPr>
          <w:sz w:val="24"/>
        </w:rPr>
        <w:t xml:space="preserve">judge in Britain. One year later her </w:t>
      </w:r>
      <w:r w:rsidR="00813536" w:rsidRPr="00651C29">
        <w:rPr>
          <w:sz w:val="24"/>
        </w:rPr>
        <w:t>retirement</w:t>
      </w:r>
      <w:r w:rsidR="00B10251" w:rsidRPr="00651C29">
        <w:rPr>
          <w:sz w:val="24"/>
        </w:rPr>
        <w:t xml:space="preserve"> </w:t>
      </w:r>
      <w:r w:rsidR="00D03216" w:rsidRPr="00651C29">
        <w:rPr>
          <w:sz w:val="24"/>
        </w:rPr>
        <w:t xml:space="preserve">Elizabeth Lane became the first female county </w:t>
      </w:r>
      <w:r w:rsidR="000E647E" w:rsidRPr="00651C29">
        <w:rPr>
          <w:sz w:val="24"/>
        </w:rPr>
        <w:t>court judge.</w:t>
      </w:r>
    </w:p>
    <w:p w14:paraId="76936DE0" w14:textId="28565A0F" w:rsidR="00CF6178" w:rsidRPr="00651C29" w:rsidRDefault="00A34B1D" w:rsidP="00DC38AB">
      <w:pPr>
        <w:pStyle w:val="NoSpacing"/>
        <w:rPr>
          <w:sz w:val="24"/>
        </w:rPr>
      </w:pPr>
      <w:r w:rsidRPr="00651C29">
        <w:rPr>
          <w:sz w:val="24"/>
        </w:rPr>
        <w:t>The Supreme Cou</w:t>
      </w:r>
      <w:r w:rsidR="00182DFC" w:rsidRPr="00651C29">
        <w:rPr>
          <w:sz w:val="24"/>
        </w:rPr>
        <w:t xml:space="preserve">rt begin </w:t>
      </w:r>
      <w:r w:rsidR="00C265F9" w:rsidRPr="00651C29">
        <w:rPr>
          <w:sz w:val="24"/>
        </w:rPr>
        <w:t xml:space="preserve">the process </w:t>
      </w:r>
      <w:r w:rsidR="00CC5BC1" w:rsidRPr="00651C29">
        <w:rPr>
          <w:sz w:val="24"/>
        </w:rPr>
        <w:t xml:space="preserve">for new </w:t>
      </w:r>
      <w:proofErr w:type="gramStart"/>
      <w:r w:rsidR="00813536" w:rsidRPr="00651C29">
        <w:rPr>
          <w:sz w:val="24"/>
        </w:rPr>
        <w:t>justices</w:t>
      </w:r>
      <w:proofErr w:type="gramEnd"/>
      <w:r w:rsidR="00813536" w:rsidRPr="00651C29">
        <w:rPr>
          <w:sz w:val="24"/>
        </w:rPr>
        <w:t xml:space="preserve"> applications</w:t>
      </w:r>
      <w:r w:rsidR="00F221DF" w:rsidRPr="00651C29">
        <w:rPr>
          <w:sz w:val="24"/>
        </w:rPr>
        <w:t xml:space="preserve"> </w:t>
      </w:r>
      <w:r w:rsidR="00635260" w:rsidRPr="00651C29">
        <w:rPr>
          <w:sz w:val="24"/>
        </w:rPr>
        <w:t>to fill the vacancies left from two retirements (</w:t>
      </w:r>
      <w:r w:rsidR="00813536" w:rsidRPr="00651C29">
        <w:rPr>
          <w:sz w:val="24"/>
        </w:rPr>
        <w:t>Lord</w:t>
      </w:r>
      <w:r w:rsidR="0021320F" w:rsidRPr="00651C29">
        <w:rPr>
          <w:sz w:val="24"/>
        </w:rPr>
        <w:t xml:space="preserve"> </w:t>
      </w:r>
      <w:r w:rsidR="00813536" w:rsidRPr="00651C29">
        <w:rPr>
          <w:sz w:val="24"/>
        </w:rPr>
        <w:t>Lloyd</w:t>
      </w:r>
      <w:r w:rsidR="0021320F" w:rsidRPr="00651C29">
        <w:rPr>
          <w:sz w:val="24"/>
        </w:rPr>
        <w:t>-Jones and Lady Arden of Heswall)</w:t>
      </w:r>
      <w:r w:rsidR="00921B5B" w:rsidRPr="00651C29">
        <w:rPr>
          <w:sz w:val="24"/>
        </w:rPr>
        <w:t>.</w:t>
      </w:r>
      <w:r w:rsidR="002F17FC" w:rsidRPr="00651C29">
        <w:rPr>
          <w:sz w:val="24"/>
        </w:rPr>
        <w:t xml:space="preserve"> The Supreme Court and </w:t>
      </w:r>
      <w:r w:rsidR="00225D52" w:rsidRPr="00651C29">
        <w:rPr>
          <w:sz w:val="24"/>
        </w:rPr>
        <w:t xml:space="preserve">Judicial Committee of the Privy Council </w:t>
      </w:r>
      <w:r w:rsidR="00F02BCF" w:rsidRPr="00651C29">
        <w:rPr>
          <w:sz w:val="24"/>
        </w:rPr>
        <w:t xml:space="preserve">will hear </w:t>
      </w:r>
      <w:r w:rsidR="00813536" w:rsidRPr="00651C29">
        <w:rPr>
          <w:sz w:val="24"/>
        </w:rPr>
        <w:t>an</w:t>
      </w:r>
      <w:r w:rsidR="00A32235" w:rsidRPr="00651C29">
        <w:rPr>
          <w:sz w:val="24"/>
        </w:rPr>
        <w:t xml:space="preserve"> extensive range </w:t>
      </w:r>
      <w:r w:rsidR="00F61765" w:rsidRPr="00651C29">
        <w:rPr>
          <w:sz w:val="24"/>
        </w:rPr>
        <w:t xml:space="preserve">of </w:t>
      </w:r>
      <w:r w:rsidR="006203CC" w:rsidRPr="00651C29">
        <w:rPr>
          <w:sz w:val="24"/>
        </w:rPr>
        <w:t>an overly complex</w:t>
      </w:r>
      <w:r w:rsidR="00001D95" w:rsidRPr="00651C29">
        <w:rPr>
          <w:sz w:val="24"/>
        </w:rPr>
        <w:t xml:space="preserve"> and high-profile legal appeals, </w:t>
      </w:r>
      <w:r w:rsidR="00813536" w:rsidRPr="00651C29">
        <w:rPr>
          <w:sz w:val="24"/>
        </w:rPr>
        <w:t>which</w:t>
      </w:r>
      <w:r w:rsidR="00001D95" w:rsidRPr="00651C29">
        <w:rPr>
          <w:sz w:val="24"/>
        </w:rPr>
        <w:t xml:space="preserve"> can have </w:t>
      </w:r>
      <w:r w:rsidR="005F6E0A" w:rsidRPr="00651C29">
        <w:rPr>
          <w:sz w:val="24"/>
        </w:rPr>
        <w:t>a significant impact</w:t>
      </w:r>
      <w:r w:rsidR="00001D95" w:rsidRPr="00651C29">
        <w:rPr>
          <w:sz w:val="24"/>
        </w:rPr>
        <w:t xml:space="preserve"> in United Kingdom a</w:t>
      </w:r>
      <w:r w:rsidR="00130CD1" w:rsidRPr="00651C29">
        <w:rPr>
          <w:sz w:val="24"/>
        </w:rPr>
        <w:t>nd beyond.</w:t>
      </w:r>
      <w:r w:rsidR="0048765C" w:rsidRPr="00651C29">
        <w:rPr>
          <w:sz w:val="24"/>
        </w:rPr>
        <w:t xml:space="preserve"> The Supreme Court </w:t>
      </w:r>
      <w:r w:rsidR="00813536" w:rsidRPr="00651C29">
        <w:rPr>
          <w:sz w:val="24"/>
        </w:rPr>
        <w:t>recognizes</w:t>
      </w:r>
      <w:r w:rsidR="0048765C" w:rsidRPr="00651C29">
        <w:rPr>
          <w:sz w:val="24"/>
        </w:rPr>
        <w:t xml:space="preserve"> that having diversity and </w:t>
      </w:r>
      <w:r w:rsidR="003F30A0" w:rsidRPr="00651C29">
        <w:rPr>
          <w:sz w:val="24"/>
        </w:rPr>
        <w:t xml:space="preserve">inclusion </w:t>
      </w:r>
      <w:r w:rsidR="00E44963" w:rsidRPr="00651C29">
        <w:rPr>
          <w:sz w:val="24"/>
        </w:rPr>
        <w:t>enriches the court and everyone is welcome to apply</w:t>
      </w:r>
      <w:r w:rsidR="0047044C" w:rsidRPr="00651C29">
        <w:rPr>
          <w:sz w:val="24"/>
        </w:rPr>
        <w:t xml:space="preserve">, </w:t>
      </w:r>
      <w:r w:rsidR="005F6E0A" w:rsidRPr="00651C29">
        <w:rPr>
          <w:sz w:val="24"/>
        </w:rPr>
        <w:t>does not</w:t>
      </w:r>
      <w:r w:rsidR="0047044C" w:rsidRPr="00651C29">
        <w:rPr>
          <w:sz w:val="24"/>
        </w:rPr>
        <w:t xml:space="preserve"> matter their background or col</w:t>
      </w:r>
      <w:r w:rsidR="009174DD" w:rsidRPr="00651C29">
        <w:rPr>
          <w:sz w:val="24"/>
        </w:rPr>
        <w:t>or.</w:t>
      </w:r>
      <w:r w:rsidR="00B80E27" w:rsidRPr="00651C29">
        <w:rPr>
          <w:sz w:val="24"/>
        </w:rPr>
        <w:t xml:space="preserve"> </w:t>
      </w:r>
      <w:r w:rsidR="00EC3CEF" w:rsidRPr="00651C29">
        <w:rPr>
          <w:sz w:val="24"/>
        </w:rPr>
        <w:t xml:space="preserve">The selection commission is looking for candidates </w:t>
      </w:r>
      <w:r w:rsidR="00B80E27" w:rsidRPr="00651C29">
        <w:rPr>
          <w:sz w:val="24"/>
        </w:rPr>
        <w:t xml:space="preserve">that have </w:t>
      </w:r>
      <w:r w:rsidR="00625A17" w:rsidRPr="00651C29">
        <w:rPr>
          <w:sz w:val="24"/>
        </w:rPr>
        <w:t>skills</w:t>
      </w:r>
      <w:r w:rsidR="002030D1" w:rsidRPr="00651C29">
        <w:rPr>
          <w:sz w:val="24"/>
        </w:rPr>
        <w:t xml:space="preserve"> to</w:t>
      </w:r>
      <w:r w:rsidR="00EC3CEF" w:rsidRPr="00651C29">
        <w:rPr>
          <w:sz w:val="24"/>
        </w:rPr>
        <w:t xml:space="preserve"> </w:t>
      </w:r>
      <w:r w:rsidR="002030D1" w:rsidRPr="00651C29">
        <w:rPr>
          <w:sz w:val="24"/>
        </w:rPr>
        <w:t>mak</w:t>
      </w:r>
      <w:r w:rsidR="00413605" w:rsidRPr="00651C29">
        <w:rPr>
          <w:sz w:val="24"/>
        </w:rPr>
        <w:t>e</w:t>
      </w:r>
      <w:r w:rsidR="002030D1" w:rsidRPr="00651C29">
        <w:rPr>
          <w:sz w:val="24"/>
        </w:rPr>
        <w:t xml:space="preserve"> decisions </w:t>
      </w:r>
      <w:r w:rsidR="00003236" w:rsidRPr="00651C29">
        <w:rPr>
          <w:sz w:val="24"/>
        </w:rPr>
        <w:t>i</w:t>
      </w:r>
      <w:r w:rsidR="002030D1" w:rsidRPr="00651C29">
        <w:rPr>
          <w:sz w:val="24"/>
        </w:rPr>
        <w:t>n</w:t>
      </w:r>
      <w:r w:rsidR="00EC3CEF" w:rsidRPr="00651C29">
        <w:rPr>
          <w:sz w:val="24"/>
        </w:rPr>
        <w:t xml:space="preserve"> the Court</w:t>
      </w:r>
      <w:r w:rsidR="003C3CD3" w:rsidRPr="00651C29">
        <w:rPr>
          <w:sz w:val="24"/>
        </w:rPr>
        <w:t xml:space="preserve"> to be </w:t>
      </w:r>
      <w:r w:rsidR="00934EA1" w:rsidRPr="00651C29">
        <w:rPr>
          <w:sz w:val="24"/>
        </w:rPr>
        <w:t>practical, functional</w:t>
      </w:r>
      <w:r w:rsidR="003C3CD3" w:rsidRPr="00651C29">
        <w:rPr>
          <w:sz w:val="24"/>
        </w:rPr>
        <w:t xml:space="preserve"> to </w:t>
      </w:r>
      <w:r w:rsidR="00EC3CEF" w:rsidRPr="00651C29">
        <w:rPr>
          <w:sz w:val="24"/>
        </w:rPr>
        <w:t>the needs of different communities</w:t>
      </w:r>
      <w:r w:rsidR="0098211C" w:rsidRPr="00651C29">
        <w:rPr>
          <w:sz w:val="24"/>
        </w:rPr>
        <w:t>,</w:t>
      </w:r>
      <w:r w:rsidR="00EC3CEF" w:rsidRPr="00651C29">
        <w:rPr>
          <w:sz w:val="24"/>
        </w:rPr>
        <w:t xml:space="preserve"> groups </w:t>
      </w:r>
      <w:r w:rsidR="00A36A41" w:rsidRPr="00651C29">
        <w:rPr>
          <w:sz w:val="24"/>
        </w:rPr>
        <w:t>and</w:t>
      </w:r>
      <w:r w:rsidR="00EC3CEF" w:rsidRPr="00651C29">
        <w:rPr>
          <w:sz w:val="24"/>
        </w:rPr>
        <w:t xml:space="preserve"> </w:t>
      </w:r>
      <w:r w:rsidR="00934EA1" w:rsidRPr="00651C29">
        <w:rPr>
          <w:sz w:val="24"/>
        </w:rPr>
        <w:t>can</w:t>
      </w:r>
      <w:r w:rsidR="00C815A6" w:rsidRPr="00651C29">
        <w:rPr>
          <w:sz w:val="24"/>
        </w:rPr>
        <w:t xml:space="preserve"> do something </w:t>
      </w:r>
      <w:r w:rsidR="00C815A6" w:rsidRPr="00651C29">
        <w:rPr>
          <w:sz w:val="24"/>
        </w:rPr>
        <w:lastRenderedPageBreak/>
        <w:t xml:space="preserve">and </w:t>
      </w:r>
      <w:r w:rsidR="00C0717D" w:rsidRPr="00651C29">
        <w:rPr>
          <w:sz w:val="24"/>
        </w:rPr>
        <w:t>taking the necessary action</w:t>
      </w:r>
      <w:r w:rsidR="00D7331B" w:rsidRPr="00651C29">
        <w:rPr>
          <w:sz w:val="24"/>
        </w:rPr>
        <w:t xml:space="preserve"> when needed.</w:t>
      </w:r>
      <w:r w:rsidR="00EC3CEF" w:rsidRPr="00651C29">
        <w:rPr>
          <w:sz w:val="24"/>
        </w:rPr>
        <w:t xml:space="preserve"> </w:t>
      </w:r>
      <w:r w:rsidR="005F6E0A" w:rsidRPr="00651C29">
        <w:rPr>
          <w:sz w:val="24"/>
        </w:rPr>
        <w:t>It is</w:t>
      </w:r>
      <w:r w:rsidR="00D7331B" w:rsidRPr="00651C29">
        <w:rPr>
          <w:sz w:val="24"/>
        </w:rPr>
        <w:t xml:space="preserve"> necessary to have </w:t>
      </w:r>
      <w:r w:rsidR="00EC0D84" w:rsidRPr="00651C29">
        <w:rPr>
          <w:sz w:val="24"/>
        </w:rPr>
        <w:t xml:space="preserve">an extensive </w:t>
      </w:r>
      <w:r w:rsidR="00EC3CEF" w:rsidRPr="00651C29">
        <w:rPr>
          <w:sz w:val="24"/>
        </w:rPr>
        <w:t xml:space="preserve">representational and leadership role of a Justice, together with an appreciation </w:t>
      </w:r>
      <w:r w:rsidR="002541CC" w:rsidRPr="00651C29">
        <w:rPr>
          <w:sz w:val="24"/>
        </w:rPr>
        <w:t>and</w:t>
      </w:r>
      <w:r w:rsidR="00EC3CEF" w:rsidRPr="00651C29">
        <w:rPr>
          <w:sz w:val="24"/>
        </w:rPr>
        <w:t xml:space="preserve"> the developing nature of the constitution and law in England, Scotland, Northern </w:t>
      </w:r>
      <w:proofErr w:type="gramStart"/>
      <w:r w:rsidR="00EC3CEF" w:rsidRPr="00651C29">
        <w:rPr>
          <w:sz w:val="24"/>
        </w:rPr>
        <w:t>Ireland</w:t>
      </w:r>
      <w:proofErr w:type="gramEnd"/>
      <w:r w:rsidR="00EC3CEF" w:rsidRPr="00651C29">
        <w:rPr>
          <w:sz w:val="24"/>
        </w:rPr>
        <w:t xml:space="preserve"> and Wales. The Supreme Court </w:t>
      </w:r>
      <w:proofErr w:type="gramStart"/>
      <w:r w:rsidR="00EC3CEF" w:rsidRPr="00651C29">
        <w:rPr>
          <w:sz w:val="24"/>
        </w:rPr>
        <w:t>is required</w:t>
      </w:r>
      <w:proofErr w:type="gramEnd"/>
      <w:r w:rsidR="00EC3CEF" w:rsidRPr="00651C29">
        <w:rPr>
          <w:sz w:val="24"/>
        </w:rPr>
        <w:t xml:space="preserve"> by statute to have judges with a knowledge of, and experience of practice in, the law of each part of the United Kingdom.</w:t>
      </w:r>
      <w:r w:rsidR="006639E9" w:rsidRPr="00651C29">
        <w:rPr>
          <w:sz w:val="24"/>
        </w:rPr>
        <w:t xml:space="preserve"> All those who </w:t>
      </w:r>
      <w:proofErr w:type="gramStart"/>
      <w:r w:rsidR="006639E9" w:rsidRPr="00651C29">
        <w:rPr>
          <w:sz w:val="24"/>
        </w:rPr>
        <w:t>are appointed</w:t>
      </w:r>
      <w:proofErr w:type="gramEnd"/>
      <w:r w:rsidR="006639E9" w:rsidRPr="00651C29">
        <w:rPr>
          <w:sz w:val="24"/>
        </w:rPr>
        <w:t xml:space="preserve"> to the court </w:t>
      </w:r>
      <w:r w:rsidR="00D91927" w:rsidRPr="00651C29">
        <w:rPr>
          <w:sz w:val="24"/>
        </w:rPr>
        <w:t xml:space="preserve">need to have </w:t>
      </w:r>
      <w:r w:rsidR="009A7D6C" w:rsidRPr="00651C29">
        <w:rPr>
          <w:sz w:val="24"/>
        </w:rPr>
        <w:t xml:space="preserve">an extraordinary </w:t>
      </w:r>
      <w:r w:rsidR="00D91927" w:rsidRPr="00651C29">
        <w:rPr>
          <w:sz w:val="24"/>
        </w:rPr>
        <w:t xml:space="preserve">intellectual and </w:t>
      </w:r>
      <w:r w:rsidR="009A7D6C" w:rsidRPr="00651C29">
        <w:rPr>
          <w:sz w:val="24"/>
        </w:rPr>
        <w:t xml:space="preserve">legal ability with good judgment and </w:t>
      </w:r>
      <w:r w:rsidR="00992A9C" w:rsidRPr="00651C29">
        <w:rPr>
          <w:sz w:val="24"/>
        </w:rPr>
        <w:t xml:space="preserve">decisiveness. </w:t>
      </w:r>
      <w:proofErr w:type="gramStart"/>
      <w:r w:rsidR="004320AA" w:rsidRPr="00651C29">
        <w:rPr>
          <w:sz w:val="24"/>
        </w:rPr>
        <w:t xml:space="preserve">An independent selection commission will </w:t>
      </w:r>
      <w:r w:rsidR="00F8615F" w:rsidRPr="00651C29">
        <w:rPr>
          <w:sz w:val="24"/>
        </w:rPr>
        <w:t xml:space="preserve">be convoked by </w:t>
      </w:r>
      <w:r w:rsidR="00D80103" w:rsidRPr="00651C29">
        <w:rPr>
          <w:sz w:val="24"/>
        </w:rPr>
        <w:t>the Lord Chancellor</w:t>
      </w:r>
      <w:proofErr w:type="gramEnd"/>
      <w:r w:rsidR="00D80103" w:rsidRPr="00651C29">
        <w:rPr>
          <w:sz w:val="24"/>
        </w:rPr>
        <w:t xml:space="preserve"> under rules set by the </w:t>
      </w:r>
      <w:r w:rsidR="00CC4B30" w:rsidRPr="00651C29">
        <w:rPr>
          <w:sz w:val="24"/>
        </w:rPr>
        <w:t>Parliament.</w:t>
      </w:r>
      <w:r w:rsidR="00F11E37" w:rsidRPr="00651C29">
        <w:rPr>
          <w:sz w:val="24"/>
        </w:rPr>
        <w:t xml:space="preserve"> The Justices will </w:t>
      </w:r>
      <w:proofErr w:type="gramStart"/>
      <w:r w:rsidR="00F11E37" w:rsidRPr="00651C29">
        <w:rPr>
          <w:sz w:val="24"/>
        </w:rPr>
        <w:t>be selected</w:t>
      </w:r>
      <w:proofErr w:type="gramEnd"/>
      <w:r w:rsidR="00F11E37" w:rsidRPr="00651C29">
        <w:rPr>
          <w:sz w:val="24"/>
        </w:rPr>
        <w:t xml:space="preserve"> under provisions set out in the Constitutional Reform Act 2005, as amende</w:t>
      </w:r>
      <w:r w:rsidR="00C94E91" w:rsidRPr="00651C29">
        <w:rPr>
          <w:sz w:val="24"/>
        </w:rPr>
        <w:t>d</w:t>
      </w:r>
      <w:r w:rsidR="00CF6178" w:rsidRPr="00651C29">
        <w:rPr>
          <w:sz w:val="24"/>
        </w:rPr>
        <w:t>.</w:t>
      </w:r>
    </w:p>
    <w:p w14:paraId="386C19B7" w14:textId="2FC38F7A" w:rsidR="00CF6178" w:rsidRPr="00651C29" w:rsidRDefault="00CF6178" w:rsidP="00DC38AB">
      <w:pPr>
        <w:pStyle w:val="NoSpacing"/>
        <w:rPr>
          <w:sz w:val="24"/>
        </w:rPr>
      </w:pPr>
      <w:r w:rsidRPr="00651C29">
        <w:rPr>
          <w:sz w:val="24"/>
        </w:rPr>
        <w:t xml:space="preserve">The current </w:t>
      </w:r>
      <w:r w:rsidR="00C94E91" w:rsidRPr="00651C29">
        <w:rPr>
          <w:sz w:val="24"/>
        </w:rPr>
        <w:t xml:space="preserve">composition of the Supreme </w:t>
      </w:r>
      <w:r w:rsidR="0043197D" w:rsidRPr="00651C29">
        <w:rPr>
          <w:sz w:val="24"/>
        </w:rPr>
        <w:t>C</w:t>
      </w:r>
      <w:r w:rsidR="00C94E91" w:rsidRPr="00651C29">
        <w:rPr>
          <w:sz w:val="24"/>
        </w:rPr>
        <w:t xml:space="preserve">ourt of Justice </w:t>
      </w:r>
      <w:r w:rsidR="006F2CBB" w:rsidRPr="00651C29">
        <w:rPr>
          <w:sz w:val="24"/>
        </w:rPr>
        <w:t>still not</w:t>
      </w:r>
      <w:r w:rsidR="0043197D" w:rsidRPr="00651C29">
        <w:rPr>
          <w:sz w:val="24"/>
        </w:rPr>
        <w:t xml:space="preserve"> </w:t>
      </w:r>
      <w:r w:rsidR="00F223DE" w:rsidRPr="00651C29">
        <w:rPr>
          <w:sz w:val="24"/>
        </w:rPr>
        <w:t xml:space="preserve">in the right place but slowly and </w:t>
      </w:r>
      <w:r w:rsidR="006D0C06" w:rsidRPr="00651C29">
        <w:rPr>
          <w:sz w:val="24"/>
        </w:rPr>
        <w:t>steadily</w:t>
      </w:r>
      <w:r w:rsidR="00F223DE" w:rsidRPr="00651C29">
        <w:rPr>
          <w:sz w:val="24"/>
        </w:rPr>
        <w:t xml:space="preserve"> going there, most judges are </w:t>
      </w:r>
      <w:r w:rsidR="006D0C06" w:rsidRPr="00651C29">
        <w:rPr>
          <w:sz w:val="24"/>
        </w:rPr>
        <w:t>elderly</w:t>
      </w:r>
      <w:r w:rsidR="00F223DE" w:rsidRPr="00651C29">
        <w:rPr>
          <w:sz w:val="24"/>
        </w:rPr>
        <w:t xml:space="preserve"> and </w:t>
      </w:r>
      <w:r w:rsidR="004F497C" w:rsidRPr="00651C29">
        <w:rPr>
          <w:sz w:val="24"/>
        </w:rPr>
        <w:t>males,</w:t>
      </w:r>
      <w:r w:rsidR="00F9528F" w:rsidRPr="00651C29">
        <w:rPr>
          <w:sz w:val="24"/>
        </w:rPr>
        <w:t xml:space="preserve"> more females are </w:t>
      </w:r>
      <w:r w:rsidR="004567AF" w:rsidRPr="00651C29">
        <w:rPr>
          <w:sz w:val="24"/>
        </w:rPr>
        <w:t>increasing</w:t>
      </w:r>
      <w:r w:rsidR="00F9528F" w:rsidRPr="00651C29">
        <w:rPr>
          <w:sz w:val="24"/>
        </w:rPr>
        <w:t xml:space="preserve"> in the law schools to </w:t>
      </w:r>
      <w:r w:rsidR="00EF0EB8" w:rsidRPr="00651C29">
        <w:rPr>
          <w:sz w:val="24"/>
        </w:rPr>
        <w:t xml:space="preserve">become more active in the society. The Court needs more young judges and jury with a fresh mind and </w:t>
      </w:r>
      <w:r w:rsidR="00004D66" w:rsidRPr="00651C29">
        <w:rPr>
          <w:sz w:val="24"/>
        </w:rPr>
        <w:t xml:space="preserve">are actualized with our </w:t>
      </w:r>
      <w:r w:rsidR="00687DB4" w:rsidRPr="00651C29">
        <w:rPr>
          <w:sz w:val="24"/>
        </w:rPr>
        <w:t xml:space="preserve">everyday </w:t>
      </w:r>
      <w:r w:rsidR="004F497C" w:rsidRPr="00651C29">
        <w:rPr>
          <w:sz w:val="24"/>
        </w:rPr>
        <w:t>lives</w:t>
      </w:r>
      <w:r w:rsidR="00687DB4" w:rsidRPr="00651C29">
        <w:rPr>
          <w:sz w:val="24"/>
        </w:rPr>
        <w:t xml:space="preserve">, </w:t>
      </w:r>
      <w:r w:rsidR="005F6E0A" w:rsidRPr="00651C29">
        <w:rPr>
          <w:sz w:val="24"/>
        </w:rPr>
        <w:t>which</w:t>
      </w:r>
      <w:r w:rsidR="00687DB4" w:rsidRPr="00651C29">
        <w:rPr>
          <w:sz w:val="24"/>
        </w:rPr>
        <w:t xml:space="preserve"> is completely different from a few years ago and the judges that we have right </w:t>
      </w:r>
      <w:r w:rsidR="00CF341D" w:rsidRPr="00651C29">
        <w:rPr>
          <w:sz w:val="24"/>
        </w:rPr>
        <w:t>n</w:t>
      </w:r>
      <w:r w:rsidR="00687DB4" w:rsidRPr="00651C29">
        <w:rPr>
          <w:sz w:val="24"/>
        </w:rPr>
        <w:t xml:space="preserve">ow </w:t>
      </w:r>
      <w:r w:rsidR="003D0156" w:rsidRPr="00651C29">
        <w:rPr>
          <w:sz w:val="24"/>
        </w:rPr>
        <w:t xml:space="preserve">have beliefs from the past and probably most of them </w:t>
      </w:r>
      <w:proofErr w:type="gramStart"/>
      <w:r w:rsidR="003D0156" w:rsidRPr="00651C29">
        <w:rPr>
          <w:sz w:val="24"/>
        </w:rPr>
        <w:t>don’t</w:t>
      </w:r>
      <w:proofErr w:type="gramEnd"/>
      <w:r w:rsidR="003D0156" w:rsidRPr="00651C29">
        <w:rPr>
          <w:sz w:val="24"/>
        </w:rPr>
        <w:t xml:space="preserve"> want to change.</w:t>
      </w:r>
      <w:r w:rsidR="00CF341D" w:rsidRPr="00651C29">
        <w:rPr>
          <w:sz w:val="24"/>
        </w:rPr>
        <w:t xml:space="preserve"> </w:t>
      </w:r>
    </w:p>
    <w:p w14:paraId="780FA5EA" w14:textId="77777777" w:rsidR="00AE0594" w:rsidRPr="00651C29" w:rsidRDefault="00FE67CA" w:rsidP="00DC38AB">
      <w:pPr>
        <w:pStyle w:val="NoSpacing"/>
        <w:rPr>
          <w:rFonts w:ascii="Arial" w:hAnsi="Arial" w:cs="Arial"/>
          <w:color w:val="0B0C0C"/>
          <w:sz w:val="24"/>
          <w:shd w:val="clear" w:color="auto" w:fill="FFFFFF"/>
        </w:rPr>
      </w:pPr>
      <w:r w:rsidRPr="00651C29">
        <w:rPr>
          <w:sz w:val="24"/>
        </w:rPr>
        <w:t xml:space="preserve">As </w:t>
      </w:r>
      <w:r w:rsidR="004F497C" w:rsidRPr="00651C29">
        <w:rPr>
          <w:sz w:val="24"/>
        </w:rPr>
        <w:t>of</w:t>
      </w:r>
      <w:r w:rsidRPr="00651C29">
        <w:rPr>
          <w:sz w:val="24"/>
        </w:rPr>
        <w:t xml:space="preserve"> 1 April 2021, White men constituted the highest proportion of barristers (53%), followed by White women (32%), Black, Asian and minority ethnic men (8%) and Black, Asian and minority ethnic women (7%). White men and White women constituted the joint highest proportion of solicitors (41%), followed by Black, Asian and minority ethnic women (10%), then men (8%). White women constituted two thirds (67%) of Chartered Legal Executives.</w:t>
      </w:r>
      <w:r w:rsidR="009A2317" w:rsidRPr="00651C29">
        <w:rPr>
          <w:rFonts w:ascii="Arial" w:hAnsi="Arial" w:cs="Arial"/>
          <w:color w:val="0B0C0C"/>
          <w:sz w:val="24"/>
          <w:shd w:val="clear" w:color="auto" w:fill="FFFFFF"/>
        </w:rPr>
        <w:t xml:space="preserve"> </w:t>
      </w:r>
    </w:p>
    <w:p w14:paraId="1FB93D04" w14:textId="22BAEC80" w:rsidR="00FE67CA" w:rsidRPr="00651C29" w:rsidRDefault="009A2317" w:rsidP="00DC38AB">
      <w:pPr>
        <w:pStyle w:val="NoSpacing"/>
        <w:rPr>
          <w:sz w:val="24"/>
        </w:rPr>
      </w:pPr>
      <w:r w:rsidRPr="00651C29">
        <w:rPr>
          <w:sz w:val="24"/>
        </w:rPr>
        <w:t>Across all legal exercises in 2020-2021, there was a higher representation of barristers than solicitors among applications. Solicitors also constituted a smaller percentage of recommendations. Chartered Legal Executives constituted 0.4% of all applications. Candidates who were ever solicitors accounted for 39% of applications and 27% of those recommended for appointment. Candidates who were working as solicitors when they applied accounted for 28% of applications and 15% of those recommended for appointment.</w:t>
      </w:r>
    </w:p>
    <w:p w14:paraId="2790DBBC" w14:textId="4DEE4811" w:rsidR="0022331A" w:rsidRPr="00651C29" w:rsidRDefault="00357D9A" w:rsidP="00DC38AB">
      <w:pPr>
        <w:pStyle w:val="NoSpacing"/>
        <w:rPr>
          <w:sz w:val="24"/>
        </w:rPr>
      </w:pPr>
      <w:r w:rsidRPr="00651C29">
        <w:rPr>
          <w:sz w:val="24"/>
        </w:rPr>
        <w:t>Overall, 32% of court judges and 64% of tribunal judges were from non-barrister backgrounds (mostly solicitors). However, in the more senior court posts (High Court and above) only 5% of current judges were non-barristers. In both courts and tribunals, the proportion with a non-barrister background has fallen compared to 2014.</w:t>
      </w:r>
    </w:p>
    <w:p w14:paraId="494F859F" w14:textId="4DA36B53" w:rsidR="00DF7037" w:rsidRPr="00651C29" w:rsidRDefault="00DF7037" w:rsidP="00DC38AB">
      <w:pPr>
        <w:pStyle w:val="NoSpacing"/>
        <w:rPr>
          <w:sz w:val="24"/>
        </w:rPr>
      </w:pPr>
      <w:r w:rsidRPr="00651C29">
        <w:rPr>
          <w:sz w:val="24"/>
        </w:rPr>
        <w:t>Female solicitors were the largest gender-profession group among applications to judicial appointments, but the smallest group among recommendations</w:t>
      </w:r>
      <w:r w:rsidRPr="00651C29">
        <w:rPr>
          <w:sz w:val="24"/>
        </w:rPr>
        <w:t xml:space="preserve"> and </w:t>
      </w:r>
      <w:r w:rsidR="00A77D65" w:rsidRPr="00651C29">
        <w:rPr>
          <w:sz w:val="24"/>
        </w:rPr>
        <w:t>Male barristers are the largest gender-profession group in the judiciary and are more represented in senior posts</w:t>
      </w:r>
      <w:r w:rsidR="00A77D65" w:rsidRPr="00651C29">
        <w:rPr>
          <w:sz w:val="24"/>
        </w:rPr>
        <w:t>.</w:t>
      </w:r>
    </w:p>
    <w:p w14:paraId="42D5AC54" w14:textId="6607391A" w:rsidR="00F11E37" w:rsidRPr="00651C29" w:rsidRDefault="004A3D84" w:rsidP="00DC38AB">
      <w:pPr>
        <w:pStyle w:val="NoSpacing"/>
        <w:rPr>
          <w:sz w:val="24"/>
        </w:rPr>
      </w:pPr>
      <w:r w:rsidRPr="00651C29">
        <w:rPr>
          <w:sz w:val="24"/>
        </w:rPr>
        <w:t>Compared with judges, a higher proportion of non-legal members and magistrates are women, or Black, Asian and minority ethnic</w:t>
      </w:r>
      <w:r w:rsidRPr="00651C29">
        <w:rPr>
          <w:sz w:val="24"/>
        </w:rPr>
        <w:t>.</w:t>
      </w:r>
    </w:p>
    <w:p w14:paraId="3E2674CF" w14:textId="155B61E4" w:rsidR="00285952" w:rsidRPr="00651C29" w:rsidRDefault="00A67FE0" w:rsidP="00DC38AB">
      <w:pPr>
        <w:pStyle w:val="NoSpacing"/>
        <w:rPr>
          <w:sz w:val="24"/>
        </w:rPr>
      </w:pPr>
      <w:r w:rsidRPr="00651C29">
        <w:rPr>
          <w:sz w:val="24"/>
        </w:rPr>
        <w:t>In today’s Grand Chamber judgment1 in the case of Savickis and Others v. Latvia (application no. 49270/11) the European Court of Human Rights held, by 10 votes to 7, that there had been: no violation of Article 14 (prohibition of discrimination) of the European Convention on Human Rights taken in conjunction with Article 1 of Protocol No. 1 (protection of property) to the European Convention. The case concerned the payment of employment pensions in Latvia to “permanently resident noncitizens</w:t>
      </w:r>
      <w:proofErr w:type="gramStart"/>
      <w:r w:rsidRPr="00651C29">
        <w:rPr>
          <w:sz w:val="24"/>
        </w:rPr>
        <w:t>”,</w:t>
      </w:r>
      <w:proofErr w:type="gramEnd"/>
      <w:r w:rsidRPr="00651C29">
        <w:rPr>
          <w:sz w:val="24"/>
        </w:rPr>
        <w:t xml:space="preserve"> which did not </w:t>
      </w:r>
      <w:r w:rsidR="009D4362" w:rsidRPr="00651C29">
        <w:rPr>
          <w:sz w:val="24"/>
        </w:rPr>
        <w:t>consider</w:t>
      </w:r>
      <w:r w:rsidRPr="00651C29">
        <w:rPr>
          <w:sz w:val="24"/>
        </w:rPr>
        <w:t xml:space="preserve"> periods worked in other Soviet Republics at the time of the occupation of Latvia by the USSR, as compared with those to Latvian citizens, which did. The Court found that the domestic authorities had acted within their discretion concerning the assessment of the applicants’ pension entitlements. </w:t>
      </w:r>
      <w:r w:rsidR="009D4362" w:rsidRPr="00651C29">
        <w:rPr>
          <w:sz w:val="24"/>
        </w:rPr>
        <w:t>Although</w:t>
      </w:r>
      <w:r w:rsidRPr="00651C29">
        <w:rPr>
          <w:sz w:val="24"/>
        </w:rPr>
        <w:t xml:space="preserve"> the difference between payments had been solely down to nationality, the Court noted that taking Latvian nationality had been open to the applicants, especially given the long </w:t>
      </w:r>
      <w:r w:rsidR="00B51118" w:rsidRPr="00651C29">
        <w:rPr>
          <w:sz w:val="24"/>
        </w:rPr>
        <w:t>timeframe</w:t>
      </w:r>
      <w:r w:rsidRPr="00651C29">
        <w:rPr>
          <w:sz w:val="24"/>
        </w:rPr>
        <w:t xml:space="preserve">. It noted the broad discretion that Governments have in </w:t>
      </w:r>
      <w:r w:rsidRPr="00651C29">
        <w:rPr>
          <w:sz w:val="24"/>
        </w:rPr>
        <w:lastRenderedPageBreak/>
        <w:t xml:space="preserve">setting </w:t>
      </w:r>
      <w:r w:rsidR="00B51118" w:rsidRPr="00651C29">
        <w:rPr>
          <w:sz w:val="24"/>
        </w:rPr>
        <w:t>social security</w:t>
      </w:r>
      <w:r w:rsidRPr="00651C29">
        <w:rPr>
          <w:sz w:val="24"/>
        </w:rPr>
        <w:t xml:space="preserve"> </w:t>
      </w:r>
      <w:r w:rsidR="00B51118" w:rsidRPr="00651C29">
        <w:rPr>
          <w:sz w:val="24"/>
        </w:rPr>
        <w:t>payments and</w:t>
      </w:r>
      <w:r w:rsidRPr="00651C29">
        <w:rPr>
          <w:sz w:val="24"/>
        </w:rPr>
        <w:t xml:space="preserve"> held that rebuilding the Latvian nation’s life following the restoration of independence was sufficient to justify the difference in treatment</w:t>
      </w:r>
      <w:r w:rsidR="00FF2100" w:rsidRPr="00651C29">
        <w:rPr>
          <w:sz w:val="24"/>
        </w:rPr>
        <w:t>.</w:t>
      </w:r>
    </w:p>
    <w:p w14:paraId="6DBBF73C" w14:textId="6BAB14DD" w:rsidR="00DA3DCB" w:rsidRPr="00651C29" w:rsidRDefault="001F3AF7" w:rsidP="00DC38AB">
      <w:pPr>
        <w:pStyle w:val="NoSpacing"/>
        <w:rPr>
          <w:sz w:val="24"/>
        </w:rPr>
      </w:pPr>
      <w:r w:rsidRPr="00651C29">
        <w:rPr>
          <w:sz w:val="24"/>
        </w:rPr>
        <w:t>Something</w:t>
      </w:r>
      <w:r w:rsidR="00333F30" w:rsidRPr="00651C29">
        <w:rPr>
          <w:sz w:val="24"/>
        </w:rPr>
        <w:t xml:space="preserve"> needs to </w:t>
      </w:r>
      <w:proofErr w:type="gramStart"/>
      <w:r w:rsidR="00333F30" w:rsidRPr="00651C29">
        <w:rPr>
          <w:sz w:val="24"/>
        </w:rPr>
        <w:t>be done</w:t>
      </w:r>
      <w:proofErr w:type="gramEnd"/>
      <w:r w:rsidR="00333F30" w:rsidRPr="00651C29">
        <w:rPr>
          <w:sz w:val="24"/>
        </w:rPr>
        <w:t xml:space="preserve"> </w:t>
      </w:r>
      <w:r w:rsidRPr="00651C29">
        <w:rPr>
          <w:sz w:val="24"/>
        </w:rPr>
        <w:t xml:space="preserve">to let each person follow their own path in justice or other </w:t>
      </w:r>
      <w:r w:rsidR="005F6E0A" w:rsidRPr="00651C29">
        <w:rPr>
          <w:sz w:val="24"/>
        </w:rPr>
        <w:t>critical areas</w:t>
      </w:r>
      <w:r w:rsidR="00B51118" w:rsidRPr="00651C29">
        <w:rPr>
          <w:sz w:val="24"/>
        </w:rPr>
        <w:t xml:space="preserve"> without</w:t>
      </w:r>
      <w:r w:rsidRPr="00651C29">
        <w:rPr>
          <w:sz w:val="24"/>
        </w:rPr>
        <w:t xml:space="preserve"> look at their skin color, their background</w:t>
      </w:r>
      <w:r w:rsidR="000227A7" w:rsidRPr="00651C29">
        <w:rPr>
          <w:sz w:val="24"/>
        </w:rPr>
        <w:t xml:space="preserve">, how they look, if they have </w:t>
      </w:r>
      <w:r w:rsidR="009D4362" w:rsidRPr="00651C29">
        <w:rPr>
          <w:sz w:val="24"/>
        </w:rPr>
        <w:t>tattoos</w:t>
      </w:r>
      <w:r w:rsidR="000227A7" w:rsidRPr="00651C29">
        <w:rPr>
          <w:sz w:val="24"/>
        </w:rPr>
        <w:t xml:space="preserve"> or bright color </w:t>
      </w:r>
      <w:r w:rsidR="009D4362" w:rsidRPr="00651C29">
        <w:rPr>
          <w:sz w:val="24"/>
        </w:rPr>
        <w:t>hair, if</w:t>
      </w:r>
      <w:r w:rsidR="008334D2" w:rsidRPr="00651C29">
        <w:rPr>
          <w:sz w:val="24"/>
        </w:rPr>
        <w:t xml:space="preserve"> they have piercings or to the clothes they </w:t>
      </w:r>
      <w:r w:rsidR="00D721AE" w:rsidRPr="00651C29">
        <w:rPr>
          <w:sz w:val="24"/>
        </w:rPr>
        <w:t>wear</w:t>
      </w:r>
      <w:r w:rsidR="00FE4770" w:rsidRPr="00651C29">
        <w:rPr>
          <w:sz w:val="24"/>
        </w:rPr>
        <w:t xml:space="preserve">. </w:t>
      </w:r>
      <w:r w:rsidR="009D4362" w:rsidRPr="00651C29">
        <w:rPr>
          <w:sz w:val="24"/>
        </w:rPr>
        <w:t>Obviously,</w:t>
      </w:r>
      <w:r w:rsidR="00FE4770" w:rsidRPr="00651C29">
        <w:rPr>
          <w:sz w:val="24"/>
        </w:rPr>
        <w:t xml:space="preserve"> a judge </w:t>
      </w:r>
      <w:r w:rsidR="009D4362" w:rsidRPr="00651C29">
        <w:rPr>
          <w:sz w:val="24"/>
        </w:rPr>
        <w:t>needs</w:t>
      </w:r>
      <w:r w:rsidR="00FE4770" w:rsidRPr="00651C29">
        <w:rPr>
          <w:sz w:val="24"/>
        </w:rPr>
        <w:t xml:space="preserve"> to be a role mode for the society, need to </w:t>
      </w:r>
      <w:proofErr w:type="gramStart"/>
      <w:r w:rsidR="00FE4770" w:rsidRPr="00651C29">
        <w:rPr>
          <w:sz w:val="24"/>
        </w:rPr>
        <w:t>be proper</w:t>
      </w:r>
      <w:r w:rsidR="00096675" w:rsidRPr="00651C29">
        <w:rPr>
          <w:sz w:val="24"/>
        </w:rPr>
        <w:t>ly</w:t>
      </w:r>
      <w:r w:rsidR="00FE4770" w:rsidRPr="00651C29">
        <w:rPr>
          <w:sz w:val="24"/>
        </w:rPr>
        <w:t xml:space="preserve"> dressed</w:t>
      </w:r>
      <w:proofErr w:type="gramEnd"/>
      <w:r w:rsidR="00FE4770" w:rsidRPr="00651C29">
        <w:rPr>
          <w:sz w:val="24"/>
        </w:rPr>
        <w:t xml:space="preserve"> and </w:t>
      </w:r>
      <w:r w:rsidR="00B51118" w:rsidRPr="00651C29">
        <w:rPr>
          <w:sz w:val="24"/>
        </w:rPr>
        <w:t>well-presented</w:t>
      </w:r>
      <w:r w:rsidR="00FE4770" w:rsidRPr="00651C29">
        <w:rPr>
          <w:sz w:val="24"/>
        </w:rPr>
        <w:t xml:space="preserve"> but that</w:t>
      </w:r>
      <w:r w:rsidR="00763ECF" w:rsidRPr="00651C29">
        <w:rPr>
          <w:sz w:val="24"/>
        </w:rPr>
        <w:t xml:space="preserve"> </w:t>
      </w:r>
      <w:r w:rsidR="005F6E0A" w:rsidRPr="00651C29">
        <w:rPr>
          <w:sz w:val="24"/>
        </w:rPr>
        <w:t>does not</w:t>
      </w:r>
      <w:r w:rsidR="00763ECF" w:rsidRPr="00651C29">
        <w:rPr>
          <w:sz w:val="24"/>
        </w:rPr>
        <w:t xml:space="preserve"> mean </w:t>
      </w:r>
      <w:r w:rsidR="007C465A" w:rsidRPr="00651C29">
        <w:rPr>
          <w:sz w:val="24"/>
        </w:rPr>
        <w:t>we need have a good background (good family, rich, private school)</w:t>
      </w:r>
      <w:r w:rsidR="00E14A53" w:rsidRPr="00651C29">
        <w:rPr>
          <w:sz w:val="24"/>
        </w:rPr>
        <w:t xml:space="preserve">. </w:t>
      </w:r>
      <w:r w:rsidR="00811B13" w:rsidRPr="00651C29">
        <w:rPr>
          <w:sz w:val="24"/>
        </w:rPr>
        <w:t xml:space="preserve">A judge can have </w:t>
      </w:r>
      <w:r w:rsidR="00B51118" w:rsidRPr="00651C29">
        <w:rPr>
          <w:sz w:val="24"/>
        </w:rPr>
        <w:t>tattoos</w:t>
      </w:r>
      <w:r w:rsidR="00811B13" w:rsidRPr="00651C29">
        <w:rPr>
          <w:sz w:val="24"/>
        </w:rPr>
        <w:t xml:space="preserve"> if they are not showing when the</w:t>
      </w:r>
      <w:r w:rsidR="003A3F1F" w:rsidRPr="00651C29">
        <w:rPr>
          <w:sz w:val="24"/>
        </w:rPr>
        <w:t>y</w:t>
      </w:r>
      <w:r w:rsidR="00811B13" w:rsidRPr="00651C29">
        <w:rPr>
          <w:sz w:val="24"/>
        </w:rPr>
        <w:t xml:space="preserve"> </w:t>
      </w:r>
      <w:r w:rsidR="00B51118" w:rsidRPr="00651C29">
        <w:rPr>
          <w:sz w:val="24"/>
        </w:rPr>
        <w:t>are having</w:t>
      </w:r>
      <w:r w:rsidR="00811B13" w:rsidRPr="00651C29">
        <w:rPr>
          <w:sz w:val="24"/>
        </w:rPr>
        <w:t xml:space="preserve"> their vests on or can have piercings, if </w:t>
      </w:r>
      <w:r w:rsidR="005F6E0A" w:rsidRPr="00651C29">
        <w:rPr>
          <w:sz w:val="24"/>
        </w:rPr>
        <w:t>does not</w:t>
      </w:r>
      <w:r w:rsidR="00811B13" w:rsidRPr="00651C29">
        <w:rPr>
          <w:sz w:val="24"/>
        </w:rPr>
        <w:t xml:space="preserve"> </w:t>
      </w:r>
      <w:r w:rsidR="00B73944" w:rsidRPr="00651C29">
        <w:rPr>
          <w:sz w:val="24"/>
        </w:rPr>
        <w:t>show</w:t>
      </w:r>
      <w:r w:rsidR="002564EE" w:rsidRPr="00651C29">
        <w:rPr>
          <w:sz w:val="24"/>
        </w:rPr>
        <w:t xml:space="preserve"> during the court hearings,</w:t>
      </w:r>
      <w:r w:rsidR="00B73944" w:rsidRPr="00651C29">
        <w:rPr>
          <w:sz w:val="24"/>
        </w:rPr>
        <w:t xml:space="preserve"> </w:t>
      </w:r>
      <w:proofErr w:type="gramStart"/>
      <w:r w:rsidR="00A36A41" w:rsidRPr="00651C29">
        <w:rPr>
          <w:sz w:val="24"/>
        </w:rPr>
        <w:t>it’s</w:t>
      </w:r>
      <w:proofErr w:type="gramEnd"/>
      <w:r w:rsidR="00B73944" w:rsidRPr="00651C29">
        <w:rPr>
          <w:sz w:val="24"/>
        </w:rPr>
        <w:t xml:space="preserve"> their private </w:t>
      </w:r>
      <w:r w:rsidR="00B51118" w:rsidRPr="00651C29">
        <w:rPr>
          <w:sz w:val="24"/>
        </w:rPr>
        <w:t>life’s</w:t>
      </w:r>
      <w:r w:rsidR="00B73944" w:rsidRPr="00651C29">
        <w:rPr>
          <w:sz w:val="24"/>
        </w:rPr>
        <w:t>,</w:t>
      </w:r>
      <w:r w:rsidR="00064E8B" w:rsidRPr="00651C29">
        <w:rPr>
          <w:sz w:val="24"/>
        </w:rPr>
        <w:t xml:space="preserve"> they still have a life too. A good judge can be a young person </w:t>
      </w:r>
      <w:r w:rsidR="005C06E1" w:rsidRPr="00651C29">
        <w:rPr>
          <w:sz w:val="24"/>
        </w:rPr>
        <w:t xml:space="preserve">but with all the years that a person </w:t>
      </w:r>
      <w:r w:rsidR="00B51118" w:rsidRPr="00651C29">
        <w:rPr>
          <w:sz w:val="24"/>
        </w:rPr>
        <w:t>needs</w:t>
      </w:r>
      <w:r w:rsidR="005C06E1" w:rsidRPr="00651C29">
        <w:rPr>
          <w:sz w:val="24"/>
        </w:rPr>
        <w:t xml:space="preserve"> to study to become judge when the time get </w:t>
      </w:r>
      <w:r w:rsidR="00B51118" w:rsidRPr="00651C29">
        <w:rPr>
          <w:sz w:val="24"/>
        </w:rPr>
        <w:t>there,</w:t>
      </w:r>
      <w:r w:rsidR="005C06E1" w:rsidRPr="00651C29">
        <w:rPr>
          <w:sz w:val="24"/>
        </w:rPr>
        <w:t xml:space="preserve"> </w:t>
      </w:r>
      <w:r w:rsidR="00271A7E" w:rsidRPr="00651C29">
        <w:rPr>
          <w:sz w:val="24"/>
        </w:rPr>
        <w:t xml:space="preserve">they will be </w:t>
      </w:r>
      <w:r w:rsidR="00DA3DCB" w:rsidRPr="00651C29">
        <w:rPr>
          <w:sz w:val="24"/>
        </w:rPr>
        <w:t>elderly</w:t>
      </w:r>
      <w:r w:rsidR="00271A7E" w:rsidRPr="00651C29">
        <w:rPr>
          <w:sz w:val="24"/>
        </w:rPr>
        <w:t>.</w:t>
      </w:r>
    </w:p>
    <w:p w14:paraId="4D6ED027" w14:textId="5F08A182" w:rsidR="00FF2100" w:rsidRPr="00651C29" w:rsidRDefault="00271A7E" w:rsidP="00DC38AB">
      <w:pPr>
        <w:pStyle w:val="NoSpacing"/>
        <w:rPr>
          <w:sz w:val="24"/>
        </w:rPr>
      </w:pPr>
      <w:r w:rsidRPr="00651C29">
        <w:rPr>
          <w:sz w:val="24"/>
        </w:rPr>
        <w:t xml:space="preserve">Something needs to </w:t>
      </w:r>
      <w:proofErr w:type="gramStart"/>
      <w:r w:rsidRPr="00651C29">
        <w:rPr>
          <w:sz w:val="24"/>
        </w:rPr>
        <w:t xml:space="preserve">be </w:t>
      </w:r>
      <w:r w:rsidR="00B51118" w:rsidRPr="00651C29">
        <w:rPr>
          <w:sz w:val="24"/>
        </w:rPr>
        <w:t>done</w:t>
      </w:r>
      <w:proofErr w:type="gramEnd"/>
      <w:r w:rsidRPr="00651C29">
        <w:rPr>
          <w:sz w:val="24"/>
        </w:rPr>
        <w:t xml:space="preserve"> </w:t>
      </w:r>
      <w:r w:rsidR="00B51118" w:rsidRPr="00651C29">
        <w:rPr>
          <w:sz w:val="24"/>
        </w:rPr>
        <w:t>urgent</w:t>
      </w:r>
      <w:r w:rsidRPr="00651C29">
        <w:rPr>
          <w:sz w:val="24"/>
        </w:rPr>
        <w:t xml:space="preserve"> because the society need fresh air</w:t>
      </w:r>
      <w:r w:rsidR="00B51118" w:rsidRPr="00651C29">
        <w:rPr>
          <w:sz w:val="24"/>
        </w:rPr>
        <w:t>.</w:t>
      </w:r>
    </w:p>
    <w:p w14:paraId="6A019727" w14:textId="5A108FC7" w:rsidR="003D15A3" w:rsidRPr="00651C29" w:rsidRDefault="003D15A3" w:rsidP="00DC38AB">
      <w:pPr>
        <w:pStyle w:val="NoSpacing"/>
        <w:rPr>
          <w:b/>
          <w:bCs/>
          <w:sz w:val="24"/>
        </w:rPr>
      </w:pPr>
    </w:p>
    <w:p w14:paraId="4868B29D" w14:textId="77777777" w:rsidR="003D15A3" w:rsidRPr="00651C29" w:rsidRDefault="003D15A3" w:rsidP="00DC38AB">
      <w:pPr>
        <w:pStyle w:val="NoSpacing"/>
        <w:rPr>
          <w:sz w:val="24"/>
        </w:rPr>
      </w:pPr>
    </w:p>
    <w:p w14:paraId="35EEA942" w14:textId="77777777" w:rsidR="000E647E" w:rsidRPr="00651C29" w:rsidRDefault="000E647E" w:rsidP="00DC38AB">
      <w:pPr>
        <w:pStyle w:val="NoSpacing"/>
        <w:rPr>
          <w:sz w:val="24"/>
        </w:rPr>
      </w:pPr>
    </w:p>
    <w:p w14:paraId="25F06FCD" w14:textId="77777777" w:rsidR="00AE3496" w:rsidRPr="00651C29" w:rsidRDefault="00AE3496" w:rsidP="00DC38AB">
      <w:pPr>
        <w:pStyle w:val="NoSpacing"/>
        <w:rPr>
          <w:sz w:val="24"/>
        </w:rPr>
      </w:pPr>
    </w:p>
    <w:p w14:paraId="4B115899" w14:textId="2D54B6AA" w:rsidR="0004670D" w:rsidRPr="00651C29" w:rsidRDefault="0004670D" w:rsidP="00DC38AB">
      <w:pPr>
        <w:pStyle w:val="NoSpacing"/>
        <w:rPr>
          <w:sz w:val="24"/>
        </w:rPr>
      </w:pPr>
      <w:r w:rsidRPr="00651C29">
        <w:rPr>
          <w:sz w:val="24"/>
        </w:rPr>
        <w:t xml:space="preserve"> </w:t>
      </w:r>
    </w:p>
    <w:p w14:paraId="3A14579A" w14:textId="7A13D1B8" w:rsidR="001875FA" w:rsidRPr="00651C29" w:rsidRDefault="001875FA" w:rsidP="00DC38AB">
      <w:pPr>
        <w:pStyle w:val="NoSpacing"/>
        <w:rPr>
          <w:sz w:val="24"/>
        </w:rPr>
      </w:pPr>
    </w:p>
    <w:p w14:paraId="65616FC9" w14:textId="660A5A3E" w:rsidR="0068000B" w:rsidRPr="00651C29" w:rsidRDefault="0068000B" w:rsidP="00DC38AB">
      <w:pPr>
        <w:pStyle w:val="NoSpacing"/>
        <w:rPr>
          <w:sz w:val="24"/>
        </w:rPr>
      </w:pPr>
    </w:p>
    <w:p w14:paraId="3634EFC4" w14:textId="27DEF39E" w:rsidR="0068000B" w:rsidRPr="00651C29" w:rsidRDefault="0068000B" w:rsidP="00DC38AB">
      <w:pPr>
        <w:pStyle w:val="NoSpacing"/>
        <w:rPr>
          <w:sz w:val="24"/>
        </w:rPr>
      </w:pPr>
    </w:p>
    <w:p w14:paraId="2F34BDD4" w14:textId="15634828" w:rsidR="0068000B" w:rsidRPr="00651C29" w:rsidRDefault="0068000B" w:rsidP="00DC38AB">
      <w:pPr>
        <w:pStyle w:val="NoSpacing"/>
        <w:rPr>
          <w:sz w:val="24"/>
        </w:rPr>
      </w:pPr>
    </w:p>
    <w:p w14:paraId="1CD3EDB7" w14:textId="09534E64" w:rsidR="0068000B" w:rsidRPr="00651C29" w:rsidRDefault="0068000B" w:rsidP="00DC38AB">
      <w:pPr>
        <w:pStyle w:val="NoSpacing"/>
        <w:rPr>
          <w:sz w:val="24"/>
        </w:rPr>
      </w:pPr>
    </w:p>
    <w:p w14:paraId="5BF2FBB0" w14:textId="13AE72F8" w:rsidR="0068000B" w:rsidRPr="00651C29" w:rsidRDefault="0068000B" w:rsidP="00DC38AB">
      <w:pPr>
        <w:pStyle w:val="NoSpacing"/>
        <w:rPr>
          <w:sz w:val="24"/>
        </w:rPr>
      </w:pPr>
    </w:p>
    <w:p w14:paraId="267D5A61" w14:textId="3200FD40" w:rsidR="0068000B" w:rsidRPr="00651C29" w:rsidRDefault="0068000B" w:rsidP="00DC38AB">
      <w:pPr>
        <w:pStyle w:val="NoSpacing"/>
        <w:rPr>
          <w:sz w:val="24"/>
        </w:rPr>
      </w:pPr>
    </w:p>
    <w:p w14:paraId="6B005B10" w14:textId="7570361D" w:rsidR="0068000B" w:rsidRPr="00651C29" w:rsidRDefault="0068000B" w:rsidP="00DC38AB">
      <w:pPr>
        <w:pStyle w:val="NoSpacing"/>
        <w:rPr>
          <w:sz w:val="24"/>
        </w:rPr>
      </w:pPr>
    </w:p>
    <w:p w14:paraId="6CD8FB3B" w14:textId="77777777" w:rsidR="006516CD" w:rsidRPr="00651C29" w:rsidRDefault="006516CD" w:rsidP="00DC38AB">
      <w:pPr>
        <w:pStyle w:val="NoSpacing"/>
        <w:rPr>
          <w:sz w:val="24"/>
        </w:rPr>
      </w:pPr>
    </w:p>
    <w:p w14:paraId="5F5AA496" w14:textId="575E9AFA" w:rsidR="0068000B" w:rsidRPr="00651C29" w:rsidRDefault="0068000B" w:rsidP="00DC38AB">
      <w:pPr>
        <w:pStyle w:val="NoSpacing"/>
        <w:rPr>
          <w:sz w:val="24"/>
        </w:rPr>
      </w:pPr>
      <w:r w:rsidRPr="00651C29">
        <w:rPr>
          <w:sz w:val="24"/>
        </w:rPr>
        <w:t xml:space="preserve">URL </w:t>
      </w:r>
      <w:hyperlink r:id="rId14" w:history="1">
        <w:r w:rsidRPr="00651C29">
          <w:rPr>
            <w:rStyle w:val="Hyperlink"/>
            <w:sz w:val="24"/>
          </w:rPr>
          <w:t>https://www.supremecourt.uk/about/role-of-the-supreme-court.html</w:t>
        </w:r>
      </w:hyperlink>
      <w:r w:rsidRPr="00651C29">
        <w:rPr>
          <w:sz w:val="24"/>
        </w:rPr>
        <w:t xml:space="preserve"> </w:t>
      </w:r>
    </w:p>
    <w:p w14:paraId="636C3DB6" w14:textId="7E83A8C9" w:rsidR="004A79E9" w:rsidRPr="00651C29" w:rsidRDefault="004A79E9" w:rsidP="00DC38AB">
      <w:pPr>
        <w:pStyle w:val="NoSpacing"/>
        <w:rPr>
          <w:sz w:val="24"/>
        </w:rPr>
      </w:pPr>
      <w:r w:rsidRPr="00651C29">
        <w:rPr>
          <w:sz w:val="24"/>
        </w:rPr>
        <w:t>URL</w:t>
      </w:r>
      <w:r w:rsidR="0004670D" w:rsidRPr="00651C29">
        <w:rPr>
          <w:sz w:val="24"/>
        </w:rPr>
        <w:t xml:space="preserve"> </w:t>
      </w:r>
      <w:r w:rsidRPr="00651C29">
        <w:rPr>
          <w:sz w:val="24"/>
        </w:rPr>
        <w:t xml:space="preserve"> </w:t>
      </w:r>
      <w:hyperlink r:id="rId15" w:anchor=":~:text=Although%20the%20Supreme%20Court%20may,a%20law%20should%20be%20applied" w:history="1">
        <w:r w:rsidR="0004670D" w:rsidRPr="00651C29">
          <w:rPr>
            <w:rStyle w:val="Hyperlink"/>
            <w:sz w:val="24"/>
          </w:rPr>
          <w:t>https://www.whitehouse.gov/about-the-white-house/our-government/the-judicial-branch/#:~:text=Although%20the%20Supreme%20Court%20may,a%20law%20should%20be%20applied</w:t>
        </w:r>
      </w:hyperlink>
      <w:r w:rsidR="0004670D" w:rsidRPr="00651C29">
        <w:rPr>
          <w:sz w:val="24"/>
        </w:rPr>
        <w:t xml:space="preserve"> </w:t>
      </w:r>
    </w:p>
    <w:p w14:paraId="43868D81" w14:textId="6879FB0B" w:rsidR="0004670D" w:rsidRPr="00651C29" w:rsidRDefault="00231FEB" w:rsidP="00DC38AB">
      <w:pPr>
        <w:pStyle w:val="NoSpacing"/>
        <w:rPr>
          <w:sz w:val="24"/>
        </w:rPr>
      </w:pPr>
      <w:r w:rsidRPr="00651C29">
        <w:rPr>
          <w:sz w:val="24"/>
        </w:rPr>
        <w:t xml:space="preserve">URL </w:t>
      </w:r>
      <w:hyperlink r:id="rId16" w:history="1">
        <w:r w:rsidR="005078F4" w:rsidRPr="00651C29">
          <w:rPr>
            <w:rStyle w:val="Hyperlink"/>
            <w:sz w:val="24"/>
          </w:rPr>
          <w:t>https://first100years.org.uk/sybil-campbell/</w:t>
        </w:r>
      </w:hyperlink>
      <w:r w:rsidR="005078F4" w:rsidRPr="00651C29">
        <w:rPr>
          <w:sz w:val="24"/>
        </w:rPr>
        <w:t xml:space="preserve"> </w:t>
      </w:r>
    </w:p>
    <w:p w14:paraId="2AA0CD8F" w14:textId="5B2AFAA5" w:rsidR="00D523D5" w:rsidRPr="00651C29" w:rsidRDefault="00D523D5" w:rsidP="00DC38AB">
      <w:pPr>
        <w:pStyle w:val="NoSpacing"/>
        <w:rPr>
          <w:sz w:val="24"/>
        </w:rPr>
      </w:pPr>
      <w:r w:rsidRPr="00651C29">
        <w:rPr>
          <w:sz w:val="24"/>
        </w:rPr>
        <w:t>U</w:t>
      </w:r>
      <w:r w:rsidR="00FC247C" w:rsidRPr="00651C29">
        <w:rPr>
          <w:sz w:val="24"/>
        </w:rPr>
        <w:t xml:space="preserve">RL </w:t>
      </w:r>
      <w:hyperlink r:id="rId17" w:history="1">
        <w:r w:rsidR="00FC247C" w:rsidRPr="00651C29">
          <w:rPr>
            <w:rStyle w:val="Hyperlink"/>
            <w:sz w:val="24"/>
          </w:rPr>
          <w:t>https://www.supremecourt.uk/news/supreme-court-launches-selection-process-for-new-justices.html</w:t>
        </w:r>
      </w:hyperlink>
      <w:r w:rsidR="00FC247C" w:rsidRPr="00651C29">
        <w:rPr>
          <w:sz w:val="24"/>
        </w:rPr>
        <w:t xml:space="preserve"> </w:t>
      </w:r>
    </w:p>
    <w:p w14:paraId="663A12E4" w14:textId="77777777" w:rsidR="00E954E0" w:rsidRPr="00651C29" w:rsidRDefault="006516CD" w:rsidP="00DC38AB">
      <w:pPr>
        <w:pStyle w:val="NoSpacing"/>
        <w:rPr>
          <w:rStyle w:val="Hyperlink"/>
          <w:sz w:val="24"/>
        </w:rPr>
      </w:pPr>
      <w:r w:rsidRPr="00651C29">
        <w:rPr>
          <w:sz w:val="24"/>
        </w:rPr>
        <w:t xml:space="preserve">URL </w:t>
      </w:r>
      <w:hyperlink r:id="rId18" w:history="1">
        <w:r w:rsidRPr="00651C29">
          <w:rPr>
            <w:rStyle w:val="Hyperlink"/>
            <w:sz w:val="24"/>
          </w:rPr>
          <w:t>https://www.gov.uk/government/statistics/diversity-of-the-judiciary-2021-statistics/diversity-of-the-judiciary-2021-statistics-report</w:t>
        </w:r>
      </w:hyperlink>
    </w:p>
    <w:p w14:paraId="1ADE81A8" w14:textId="408F1D6D" w:rsidR="006516CD" w:rsidRPr="00651C29" w:rsidRDefault="00E954E0" w:rsidP="00DC38AB">
      <w:pPr>
        <w:pStyle w:val="NoSpacing"/>
        <w:rPr>
          <w:sz w:val="24"/>
        </w:rPr>
      </w:pPr>
      <w:r w:rsidRPr="00651C29">
        <w:rPr>
          <w:rStyle w:val="Hyperlink"/>
          <w:color w:val="auto"/>
          <w:sz w:val="24"/>
          <w:u w:val="none"/>
        </w:rPr>
        <w:t xml:space="preserve">URL </w:t>
      </w:r>
      <w:r w:rsidR="006516CD" w:rsidRPr="00651C29">
        <w:rPr>
          <w:sz w:val="24"/>
        </w:rPr>
        <w:t xml:space="preserve"> </w:t>
      </w:r>
      <w:hyperlink r:id="rId19" w:history="1">
        <w:r w:rsidR="00934EA1" w:rsidRPr="00651C29">
          <w:rPr>
            <w:rStyle w:val="Hyperlink"/>
            <w:sz w:val="24"/>
          </w:rPr>
          <w:t>https://hudoc.echr.coe.int/eng-press#%20</w:t>
        </w:r>
      </w:hyperlink>
      <w:r w:rsidR="00934EA1" w:rsidRPr="00651C29">
        <w:rPr>
          <w:sz w:val="24"/>
        </w:rPr>
        <w:t xml:space="preserve"> </w:t>
      </w:r>
    </w:p>
    <w:sectPr w:rsidR="006516CD" w:rsidRPr="00651C29" w:rsidSect="0009343D">
      <w:footerReference w:type="default" r:id="rId20"/>
      <w:footerReference w:type="first" r:id="rId21"/>
      <w:pgSz w:w="12240" w:h="15840"/>
      <w:pgMar w:top="720" w:right="720" w:bottom="720" w:left="720" w:header="432" w:footer="432"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7DAC7E" w14:textId="77777777" w:rsidR="00C2269C" w:rsidRDefault="00C2269C" w:rsidP="0096533B">
      <w:r>
        <w:separator/>
      </w:r>
    </w:p>
  </w:endnote>
  <w:endnote w:type="continuationSeparator" w:id="0">
    <w:p w14:paraId="0B4C1CC3" w14:textId="77777777" w:rsidR="00C2269C" w:rsidRDefault="00C2269C" w:rsidP="0096533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06213092"/>
      <w:docPartObj>
        <w:docPartGallery w:val="Page Numbers (Bottom of Page)"/>
        <w:docPartUnique/>
      </w:docPartObj>
    </w:sdtPr>
    <w:sdtContent>
      <w:p w14:paraId="4B75DCDF" w14:textId="4CE9FA38" w:rsidR="007C6D8F" w:rsidRDefault="007C6D8F">
        <w:pPr>
          <w:pStyle w:val="Footer"/>
          <w:jc w:val="center"/>
        </w:pPr>
        <w:r>
          <w:t>[</w:t>
        </w:r>
        <w:r>
          <w:fldChar w:fldCharType="begin"/>
        </w:r>
        <w:r>
          <w:instrText xml:space="preserve"> PAGE   \* MERGEFORMAT </w:instrText>
        </w:r>
        <w:r>
          <w:fldChar w:fldCharType="separate"/>
        </w:r>
        <w:r>
          <w:rPr>
            <w:noProof/>
          </w:rPr>
          <w:t>2</w:t>
        </w:r>
        <w:r>
          <w:rPr>
            <w:noProof/>
          </w:rPr>
          <w:fldChar w:fldCharType="end"/>
        </w:r>
        <w:r>
          <w:t>]</w:t>
        </w:r>
      </w:p>
    </w:sdtContent>
  </w:sdt>
  <w:p w14:paraId="3D5EE777" w14:textId="47A2CBEB" w:rsidR="00080FB2" w:rsidRDefault="00080FB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21657910"/>
      <w:docPartObj>
        <w:docPartGallery w:val="Page Numbers (Bottom of Page)"/>
        <w:docPartUnique/>
      </w:docPartObj>
    </w:sdtPr>
    <w:sdtEndPr>
      <w:rPr>
        <w:noProof/>
      </w:rPr>
    </w:sdtEndPr>
    <w:sdtContent>
      <w:p w14:paraId="540C87B3" w14:textId="1CEF8A7F" w:rsidR="00632897" w:rsidRDefault="00632897" w:rsidP="00080FB2">
        <w:pPr>
          <w:pStyle w:val="Footer"/>
          <w:jc w:val="center"/>
        </w:pPr>
      </w:p>
    </w:sdtContent>
  </w:sdt>
  <w:p w14:paraId="01D0C051" w14:textId="77777777" w:rsidR="008F01BC" w:rsidRDefault="008F01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32EBEE" w14:textId="77777777" w:rsidR="00C2269C" w:rsidRDefault="00C2269C" w:rsidP="0096533B">
      <w:r>
        <w:separator/>
      </w:r>
    </w:p>
  </w:footnote>
  <w:footnote w:type="continuationSeparator" w:id="0">
    <w:p w14:paraId="5DCC0479" w14:textId="77777777" w:rsidR="00C2269C" w:rsidRDefault="00C2269C" w:rsidP="0096533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235CB4"/>
    <w:multiLevelType w:val="hybridMultilevel"/>
    <w:tmpl w:val="596A8C4A"/>
    <w:lvl w:ilvl="0" w:tplc="0409000F">
      <w:start w:val="1"/>
      <w:numFmt w:val="decimal"/>
      <w:lvlText w:val="%1."/>
      <w:lvlJc w:val="left"/>
      <w:pPr>
        <w:ind w:left="720" w:hanging="360"/>
      </w:pPr>
      <w:rPr>
        <w:rFonts w:hint="default"/>
      </w:rPr>
    </w:lvl>
    <w:lvl w:ilvl="1" w:tplc="7D442B50">
      <w:start w:val="1"/>
      <w:numFmt w:val="bullet"/>
      <w:lvlText w:val=""/>
      <w:lvlJc w:val="left"/>
      <w:pPr>
        <w:ind w:left="1440" w:hanging="360"/>
      </w:pPr>
      <w:rPr>
        <w:rFonts w:ascii="Symbol" w:hAnsi="Symbol"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14277AD"/>
    <w:multiLevelType w:val="hybridMultilevel"/>
    <w:tmpl w:val="0898F42E"/>
    <w:lvl w:ilvl="0" w:tplc="0409000F">
      <w:start w:val="1"/>
      <w:numFmt w:val="decimal"/>
      <w:lvlText w:val="%1."/>
      <w:lvlJc w:val="left"/>
      <w:pPr>
        <w:ind w:left="720" w:hanging="360"/>
      </w:pPr>
      <w:rPr>
        <w:rFonts w:hint="default"/>
      </w:rPr>
    </w:lvl>
    <w:lvl w:ilvl="1" w:tplc="7AF80198">
      <w:start w:val="1"/>
      <w:numFmt w:val="bullet"/>
      <w:lvlText w:val=""/>
      <w:lvlJc w:val="left"/>
      <w:pPr>
        <w:ind w:left="1440" w:hanging="360"/>
      </w:pPr>
      <w:rPr>
        <w:rFonts w:ascii="Webdings" w:hAnsi="Webdings"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E18383A"/>
    <w:multiLevelType w:val="hybridMultilevel"/>
    <w:tmpl w:val="AA680346"/>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76054436">
    <w:abstractNumId w:val="2"/>
  </w:num>
  <w:num w:numId="2" w16cid:durableId="26181485">
    <w:abstractNumId w:val="0"/>
  </w:num>
  <w:num w:numId="3" w16cid:durableId="76129714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343D"/>
    <w:rsid w:val="00001D95"/>
    <w:rsid w:val="00003236"/>
    <w:rsid w:val="00004D66"/>
    <w:rsid w:val="00014020"/>
    <w:rsid w:val="000227A7"/>
    <w:rsid w:val="00034FD9"/>
    <w:rsid w:val="0004405F"/>
    <w:rsid w:val="0004670D"/>
    <w:rsid w:val="000535BD"/>
    <w:rsid w:val="00064E8B"/>
    <w:rsid w:val="00080FB2"/>
    <w:rsid w:val="0009343D"/>
    <w:rsid w:val="00096675"/>
    <w:rsid w:val="000A75CE"/>
    <w:rsid w:val="000B49E0"/>
    <w:rsid w:val="000E647E"/>
    <w:rsid w:val="00126915"/>
    <w:rsid w:val="00130CD1"/>
    <w:rsid w:val="001329D0"/>
    <w:rsid w:val="001432F0"/>
    <w:rsid w:val="001676C6"/>
    <w:rsid w:val="00182DFC"/>
    <w:rsid w:val="001875FA"/>
    <w:rsid w:val="001A33D3"/>
    <w:rsid w:val="001C7CBC"/>
    <w:rsid w:val="001F15DE"/>
    <w:rsid w:val="001F3AF7"/>
    <w:rsid w:val="001F6D4D"/>
    <w:rsid w:val="001F6F5A"/>
    <w:rsid w:val="002030D1"/>
    <w:rsid w:val="0021320F"/>
    <w:rsid w:val="0022331A"/>
    <w:rsid w:val="00225D52"/>
    <w:rsid w:val="00231FEB"/>
    <w:rsid w:val="0023457D"/>
    <w:rsid w:val="00235BF1"/>
    <w:rsid w:val="002473A8"/>
    <w:rsid w:val="002541CC"/>
    <w:rsid w:val="002564EE"/>
    <w:rsid w:val="00261DA8"/>
    <w:rsid w:val="00271A7E"/>
    <w:rsid w:val="00285952"/>
    <w:rsid w:val="002B589A"/>
    <w:rsid w:val="002C1484"/>
    <w:rsid w:val="002E5D08"/>
    <w:rsid w:val="002F17FC"/>
    <w:rsid w:val="002F77A1"/>
    <w:rsid w:val="00322657"/>
    <w:rsid w:val="00330C61"/>
    <w:rsid w:val="00333F30"/>
    <w:rsid w:val="003358F5"/>
    <w:rsid w:val="00344D2F"/>
    <w:rsid w:val="00351674"/>
    <w:rsid w:val="00357D9A"/>
    <w:rsid w:val="003A3F1F"/>
    <w:rsid w:val="003C0247"/>
    <w:rsid w:val="003C3CD3"/>
    <w:rsid w:val="003D0156"/>
    <w:rsid w:val="003D15A3"/>
    <w:rsid w:val="003F30A0"/>
    <w:rsid w:val="00413605"/>
    <w:rsid w:val="0042242E"/>
    <w:rsid w:val="0043197D"/>
    <w:rsid w:val="004320AA"/>
    <w:rsid w:val="004531A7"/>
    <w:rsid w:val="004567AF"/>
    <w:rsid w:val="0046006A"/>
    <w:rsid w:val="0047044C"/>
    <w:rsid w:val="0048765C"/>
    <w:rsid w:val="004A0D28"/>
    <w:rsid w:val="004A3D84"/>
    <w:rsid w:val="004A79E9"/>
    <w:rsid w:val="004C53C8"/>
    <w:rsid w:val="004D7D51"/>
    <w:rsid w:val="004F497C"/>
    <w:rsid w:val="005022C2"/>
    <w:rsid w:val="005078F4"/>
    <w:rsid w:val="0054663B"/>
    <w:rsid w:val="00571098"/>
    <w:rsid w:val="005925BA"/>
    <w:rsid w:val="005B04D4"/>
    <w:rsid w:val="005B1C8C"/>
    <w:rsid w:val="005C06E1"/>
    <w:rsid w:val="005D2663"/>
    <w:rsid w:val="005D369F"/>
    <w:rsid w:val="005F6E0A"/>
    <w:rsid w:val="006203CC"/>
    <w:rsid w:val="00625A17"/>
    <w:rsid w:val="00632897"/>
    <w:rsid w:val="0063297A"/>
    <w:rsid w:val="00634386"/>
    <w:rsid w:val="00635260"/>
    <w:rsid w:val="00644748"/>
    <w:rsid w:val="006516CD"/>
    <w:rsid w:val="00651A07"/>
    <w:rsid w:val="00651C29"/>
    <w:rsid w:val="00660A65"/>
    <w:rsid w:val="006639E9"/>
    <w:rsid w:val="00667656"/>
    <w:rsid w:val="00667AD5"/>
    <w:rsid w:val="0068000B"/>
    <w:rsid w:val="00680B26"/>
    <w:rsid w:val="00687DB4"/>
    <w:rsid w:val="00697BFB"/>
    <w:rsid w:val="006C23E5"/>
    <w:rsid w:val="006D0C06"/>
    <w:rsid w:val="006F2CBB"/>
    <w:rsid w:val="00706A2E"/>
    <w:rsid w:val="00732FC7"/>
    <w:rsid w:val="00746960"/>
    <w:rsid w:val="0075271E"/>
    <w:rsid w:val="00763ECF"/>
    <w:rsid w:val="007B46F9"/>
    <w:rsid w:val="007C30CA"/>
    <w:rsid w:val="007C465A"/>
    <w:rsid w:val="007C5404"/>
    <w:rsid w:val="007C6D8F"/>
    <w:rsid w:val="007E5BC9"/>
    <w:rsid w:val="007F604F"/>
    <w:rsid w:val="00811B13"/>
    <w:rsid w:val="00813536"/>
    <w:rsid w:val="00831C0F"/>
    <w:rsid w:val="008334D2"/>
    <w:rsid w:val="0085132C"/>
    <w:rsid w:val="00860287"/>
    <w:rsid w:val="008605B0"/>
    <w:rsid w:val="008614DE"/>
    <w:rsid w:val="00872580"/>
    <w:rsid w:val="008B57DB"/>
    <w:rsid w:val="008C1BBE"/>
    <w:rsid w:val="008D1648"/>
    <w:rsid w:val="008F01BC"/>
    <w:rsid w:val="009174DD"/>
    <w:rsid w:val="00921B5B"/>
    <w:rsid w:val="0092244F"/>
    <w:rsid w:val="00934EA1"/>
    <w:rsid w:val="009646A6"/>
    <w:rsid w:val="0096533B"/>
    <w:rsid w:val="0098211C"/>
    <w:rsid w:val="00992A9C"/>
    <w:rsid w:val="009A2317"/>
    <w:rsid w:val="009A45D9"/>
    <w:rsid w:val="009A679F"/>
    <w:rsid w:val="009A7D6C"/>
    <w:rsid w:val="009B760B"/>
    <w:rsid w:val="009D4127"/>
    <w:rsid w:val="009D4362"/>
    <w:rsid w:val="00A21AF6"/>
    <w:rsid w:val="00A22D84"/>
    <w:rsid w:val="00A32235"/>
    <w:rsid w:val="00A34B1D"/>
    <w:rsid w:val="00A36A41"/>
    <w:rsid w:val="00A57F5E"/>
    <w:rsid w:val="00A67FE0"/>
    <w:rsid w:val="00A77D65"/>
    <w:rsid w:val="00A80F11"/>
    <w:rsid w:val="00A9435E"/>
    <w:rsid w:val="00AA2E67"/>
    <w:rsid w:val="00AA3A5D"/>
    <w:rsid w:val="00AA5CE7"/>
    <w:rsid w:val="00AD4B3B"/>
    <w:rsid w:val="00AD65E1"/>
    <w:rsid w:val="00AD733F"/>
    <w:rsid w:val="00AE0594"/>
    <w:rsid w:val="00AE3496"/>
    <w:rsid w:val="00B10251"/>
    <w:rsid w:val="00B23471"/>
    <w:rsid w:val="00B26C6F"/>
    <w:rsid w:val="00B4104D"/>
    <w:rsid w:val="00B46C80"/>
    <w:rsid w:val="00B51118"/>
    <w:rsid w:val="00B700F8"/>
    <w:rsid w:val="00B73944"/>
    <w:rsid w:val="00B77123"/>
    <w:rsid w:val="00B80E27"/>
    <w:rsid w:val="00BA0AA7"/>
    <w:rsid w:val="00BA1A02"/>
    <w:rsid w:val="00BA4470"/>
    <w:rsid w:val="00BA696E"/>
    <w:rsid w:val="00BE164F"/>
    <w:rsid w:val="00C0717D"/>
    <w:rsid w:val="00C2269C"/>
    <w:rsid w:val="00C265F9"/>
    <w:rsid w:val="00C45C8B"/>
    <w:rsid w:val="00C56A3D"/>
    <w:rsid w:val="00C70DB6"/>
    <w:rsid w:val="00C815A6"/>
    <w:rsid w:val="00C82C02"/>
    <w:rsid w:val="00C91ADC"/>
    <w:rsid w:val="00C94E91"/>
    <w:rsid w:val="00C97116"/>
    <w:rsid w:val="00CC4B30"/>
    <w:rsid w:val="00CC5BC1"/>
    <w:rsid w:val="00CD3AEA"/>
    <w:rsid w:val="00CF2E59"/>
    <w:rsid w:val="00CF3142"/>
    <w:rsid w:val="00CF341D"/>
    <w:rsid w:val="00CF6178"/>
    <w:rsid w:val="00D03216"/>
    <w:rsid w:val="00D22736"/>
    <w:rsid w:val="00D34CFF"/>
    <w:rsid w:val="00D479B2"/>
    <w:rsid w:val="00D523D5"/>
    <w:rsid w:val="00D52E66"/>
    <w:rsid w:val="00D721AE"/>
    <w:rsid w:val="00D72C12"/>
    <w:rsid w:val="00D7331B"/>
    <w:rsid w:val="00D80103"/>
    <w:rsid w:val="00D91927"/>
    <w:rsid w:val="00DA3DCB"/>
    <w:rsid w:val="00DB295F"/>
    <w:rsid w:val="00DC38AB"/>
    <w:rsid w:val="00DE67ED"/>
    <w:rsid w:val="00DE70A4"/>
    <w:rsid w:val="00DF1CFE"/>
    <w:rsid w:val="00DF7037"/>
    <w:rsid w:val="00E027E8"/>
    <w:rsid w:val="00E14A53"/>
    <w:rsid w:val="00E16A93"/>
    <w:rsid w:val="00E30AC2"/>
    <w:rsid w:val="00E42983"/>
    <w:rsid w:val="00E44963"/>
    <w:rsid w:val="00E45708"/>
    <w:rsid w:val="00E5004F"/>
    <w:rsid w:val="00E57579"/>
    <w:rsid w:val="00E954E0"/>
    <w:rsid w:val="00EC0D84"/>
    <w:rsid w:val="00EC3CEF"/>
    <w:rsid w:val="00EF0EB8"/>
    <w:rsid w:val="00F02BCF"/>
    <w:rsid w:val="00F11E37"/>
    <w:rsid w:val="00F221DF"/>
    <w:rsid w:val="00F223DE"/>
    <w:rsid w:val="00F37F76"/>
    <w:rsid w:val="00F61765"/>
    <w:rsid w:val="00F8615F"/>
    <w:rsid w:val="00F94D48"/>
    <w:rsid w:val="00F9528F"/>
    <w:rsid w:val="00F95AF1"/>
    <w:rsid w:val="00FA0D19"/>
    <w:rsid w:val="00FC247C"/>
    <w:rsid w:val="00FE4770"/>
    <w:rsid w:val="00FE67CA"/>
    <w:rsid w:val="00FF2100"/>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FDF99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entury Gothic" w:eastAsia="Century Gothic" w:hAnsi="Century Gothic" w:cs="Times New Roman"/>
        <w:lang w:val="en-US" w:eastAsia="en-US" w:bidi="ar-SA"/>
      </w:rPr>
    </w:rPrDefault>
    <w:pPrDefault>
      <w:pPr>
        <w:spacing w:before="240" w:after="24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0" w:unhideWhenUsed="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31A7"/>
    <w:rPr>
      <w:rFonts w:asciiTheme="minorHAnsi" w:hAnsiTheme="minorHAnsi"/>
      <w:szCs w:val="24"/>
    </w:rPr>
  </w:style>
  <w:style w:type="paragraph" w:styleId="Heading1">
    <w:name w:val="heading 1"/>
    <w:basedOn w:val="Normal"/>
    <w:next w:val="Normal"/>
    <w:link w:val="Heading1Char"/>
    <w:uiPriority w:val="9"/>
    <w:qFormat/>
    <w:rsid w:val="009646A6"/>
    <w:pPr>
      <w:spacing w:before="0" w:after="0"/>
      <w:jc w:val="center"/>
      <w:outlineLvl w:val="0"/>
    </w:pPr>
    <w:rPr>
      <w:b/>
      <w:color w:val="FFFFFF"/>
      <w:sz w:val="56"/>
      <w:szCs w:val="68"/>
    </w:rPr>
  </w:style>
  <w:style w:type="paragraph" w:styleId="Heading2">
    <w:name w:val="heading 2"/>
    <w:basedOn w:val="Normal"/>
    <w:next w:val="Normal"/>
    <w:link w:val="Heading2Char"/>
    <w:uiPriority w:val="9"/>
    <w:qFormat/>
    <w:rsid w:val="009646A6"/>
    <w:pPr>
      <w:spacing w:before="0" w:after="0"/>
      <w:jc w:val="center"/>
      <w:outlineLvl w:val="1"/>
    </w:pPr>
    <w:rPr>
      <w:color w:val="FFFFFF"/>
      <w:sz w:val="44"/>
      <w:szCs w:val="8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E4570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6Colorful-Accent3">
    <w:name w:val="Grid Table 6 Colorful Accent 3"/>
    <w:basedOn w:val="TableNormal"/>
    <w:uiPriority w:val="51"/>
    <w:rsid w:val="00E45708"/>
    <w:rPr>
      <w:color w:val="80865A"/>
    </w:rPr>
    <w:tblPr>
      <w:tblStyleRowBandSize w:val="1"/>
      <w:tblStyleColBandSize w:val="1"/>
      <w:tblBorders>
        <w:top w:val="single" w:sz="4" w:space="0" w:color="C8CCB3"/>
        <w:left w:val="single" w:sz="4" w:space="0" w:color="C8CCB3"/>
        <w:bottom w:val="single" w:sz="4" w:space="0" w:color="C8CCB3"/>
        <w:right w:val="single" w:sz="4" w:space="0" w:color="C8CCB3"/>
        <w:insideH w:val="single" w:sz="4" w:space="0" w:color="C8CCB3"/>
        <w:insideV w:val="single" w:sz="4" w:space="0" w:color="C8CCB3"/>
      </w:tblBorders>
    </w:tblPr>
    <w:tblStylePr w:type="firstRow">
      <w:rPr>
        <w:b/>
        <w:bCs/>
      </w:rPr>
      <w:tblPr/>
      <w:tcPr>
        <w:tcBorders>
          <w:bottom w:val="single" w:sz="12" w:space="0" w:color="C8CCB3"/>
        </w:tcBorders>
      </w:tcPr>
    </w:tblStylePr>
    <w:tblStylePr w:type="lastRow">
      <w:rPr>
        <w:b/>
        <w:bCs/>
      </w:rPr>
      <w:tblPr/>
      <w:tcPr>
        <w:tcBorders>
          <w:top w:val="double" w:sz="4" w:space="0" w:color="C8CCB3"/>
        </w:tcBorders>
      </w:tcPr>
    </w:tblStylePr>
    <w:tblStylePr w:type="firstCol">
      <w:rPr>
        <w:b/>
        <w:bCs/>
      </w:rPr>
    </w:tblStylePr>
    <w:tblStylePr w:type="lastCol">
      <w:rPr>
        <w:b/>
        <w:bCs/>
      </w:rPr>
    </w:tblStylePr>
    <w:tblStylePr w:type="band1Vert">
      <w:tblPr/>
      <w:tcPr>
        <w:shd w:val="clear" w:color="auto" w:fill="EDEEE5"/>
      </w:tcPr>
    </w:tblStylePr>
    <w:tblStylePr w:type="band1Horz">
      <w:tblPr/>
      <w:tcPr>
        <w:shd w:val="clear" w:color="auto" w:fill="EDEEE5"/>
      </w:tcPr>
    </w:tblStylePr>
  </w:style>
  <w:style w:type="table" w:styleId="PlainTable4">
    <w:name w:val="Plain Table 4"/>
    <w:basedOn w:val="TableNormal"/>
    <w:uiPriority w:val="44"/>
    <w:rsid w:val="00E45708"/>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 w:type="table" w:styleId="PlainTable1">
    <w:name w:val="Plain Table 1"/>
    <w:basedOn w:val="TableNormal"/>
    <w:uiPriority w:val="41"/>
    <w:rsid w:val="00E45708"/>
    <w:tblPr>
      <w:tblStyleRowBandSize w:val="1"/>
      <w:tblStyleColBandSize w:val="1"/>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tblStylePr w:type="firstRow">
      <w:rPr>
        <w:b/>
        <w:bCs/>
      </w:rPr>
    </w:tblStylePr>
    <w:tblStylePr w:type="lastRow">
      <w:rPr>
        <w:b/>
        <w:bCs/>
      </w:rPr>
      <w:tblPr/>
      <w:tcPr>
        <w:tcBorders>
          <w:top w:val="double" w:sz="4" w:space="0" w:color="BFBFBF"/>
        </w:tcBorders>
      </w:tc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 w:type="table" w:styleId="TableGridLight">
    <w:name w:val="Grid Table Light"/>
    <w:basedOn w:val="TableNormal"/>
    <w:uiPriority w:val="40"/>
    <w:rsid w:val="00E45708"/>
    <w:tblPr>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style>
  <w:style w:type="table" w:styleId="GridTable6Colorful-Accent5">
    <w:name w:val="Grid Table 6 Colorful Accent 5"/>
    <w:basedOn w:val="TableNormal"/>
    <w:uiPriority w:val="51"/>
    <w:rsid w:val="00E45708"/>
    <w:rPr>
      <w:color w:val="568278"/>
    </w:rPr>
    <w:tblPr>
      <w:tblStyleRowBandSize w:val="1"/>
      <w:tblStyleColBandSize w:val="1"/>
      <w:tblBorders>
        <w:top w:val="single" w:sz="4" w:space="0" w:color="AFCAC4"/>
        <w:left w:val="single" w:sz="4" w:space="0" w:color="AFCAC4"/>
        <w:bottom w:val="single" w:sz="4" w:space="0" w:color="AFCAC4"/>
        <w:right w:val="single" w:sz="4" w:space="0" w:color="AFCAC4"/>
        <w:insideH w:val="single" w:sz="4" w:space="0" w:color="AFCAC4"/>
        <w:insideV w:val="single" w:sz="4" w:space="0" w:color="AFCAC4"/>
      </w:tblBorders>
    </w:tblPr>
    <w:tblStylePr w:type="firstRow">
      <w:rPr>
        <w:b/>
        <w:bCs/>
      </w:rPr>
      <w:tblPr/>
      <w:tcPr>
        <w:tcBorders>
          <w:bottom w:val="single" w:sz="12" w:space="0" w:color="AFCAC4"/>
        </w:tcBorders>
      </w:tcPr>
    </w:tblStylePr>
    <w:tblStylePr w:type="lastRow">
      <w:rPr>
        <w:b/>
        <w:bCs/>
      </w:rPr>
      <w:tblPr/>
      <w:tcPr>
        <w:tcBorders>
          <w:top w:val="double" w:sz="4" w:space="0" w:color="AFCAC4"/>
        </w:tcBorders>
      </w:tcPr>
    </w:tblStylePr>
    <w:tblStylePr w:type="firstCol">
      <w:rPr>
        <w:b/>
        <w:bCs/>
      </w:rPr>
    </w:tblStylePr>
    <w:tblStylePr w:type="lastCol">
      <w:rPr>
        <w:b/>
        <w:bCs/>
      </w:rPr>
    </w:tblStylePr>
    <w:tblStylePr w:type="band1Vert">
      <w:tblPr/>
      <w:tcPr>
        <w:shd w:val="clear" w:color="auto" w:fill="E4EDEB"/>
      </w:tcPr>
    </w:tblStylePr>
    <w:tblStylePr w:type="band1Horz">
      <w:tblPr/>
      <w:tcPr>
        <w:shd w:val="clear" w:color="auto" w:fill="E4EDEB"/>
      </w:tcPr>
    </w:tblStylePr>
  </w:style>
  <w:style w:type="table" w:styleId="GridTable2-Accent5">
    <w:name w:val="Grid Table 2 Accent 5"/>
    <w:basedOn w:val="TableNormal"/>
    <w:uiPriority w:val="47"/>
    <w:rsid w:val="0046006A"/>
    <w:tblPr>
      <w:tblStyleRowBandSize w:val="1"/>
      <w:tblStyleColBandSize w:val="1"/>
      <w:tblBorders>
        <w:top w:val="single" w:sz="2" w:space="0" w:color="AFCAC4"/>
        <w:bottom w:val="single" w:sz="2" w:space="0" w:color="AFCAC4"/>
        <w:insideH w:val="single" w:sz="2" w:space="0" w:color="AFCAC4"/>
        <w:insideV w:val="single" w:sz="2" w:space="0" w:color="AFCAC4"/>
      </w:tblBorders>
    </w:tblPr>
    <w:tblStylePr w:type="firstRow">
      <w:rPr>
        <w:b/>
        <w:bCs/>
      </w:rPr>
      <w:tblPr/>
      <w:tcPr>
        <w:tcBorders>
          <w:top w:val="nil"/>
          <w:bottom w:val="single" w:sz="12" w:space="0" w:color="AFCAC4"/>
          <w:insideH w:val="nil"/>
          <w:insideV w:val="nil"/>
        </w:tcBorders>
        <w:shd w:val="clear" w:color="auto" w:fill="FFFFFF"/>
      </w:tcPr>
    </w:tblStylePr>
    <w:tblStylePr w:type="lastRow">
      <w:rPr>
        <w:b/>
        <w:bCs/>
      </w:rPr>
      <w:tblPr/>
      <w:tcPr>
        <w:tcBorders>
          <w:top w:val="double" w:sz="2" w:space="0" w:color="AFCAC4"/>
          <w:bottom w:val="nil"/>
          <w:insideH w:val="nil"/>
          <w:insideV w:val="nil"/>
        </w:tcBorders>
        <w:shd w:val="clear" w:color="auto" w:fill="FFFFFF"/>
      </w:tcPr>
    </w:tblStylePr>
    <w:tblStylePr w:type="firstCol">
      <w:rPr>
        <w:b/>
        <w:bCs/>
      </w:rPr>
    </w:tblStylePr>
    <w:tblStylePr w:type="lastCol">
      <w:rPr>
        <w:b/>
        <w:bCs/>
      </w:rPr>
    </w:tblStylePr>
    <w:tblStylePr w:type="band1Vert">
      <w:tblPr/>
      <w:tcPr>
        <w:shd w:val="clear" w:color="auto" w:fill="E4EDEB"/>
      </w:tcPr>
    </w:tblStylePr>
    <w:tblStylePr w:type="band1Horz">
      <w:tblPr/>
      <w:tcPr>
        <w:shd w:val="clear" w:color="auto" w:fill="E4EDEB"/>
      </w:tcPr>
    </w:tblStylePr>
  </w:style>
  <w:style w:type="table" w:styleId="GridTable1Light-Accent5">
    <w:name w:val="Grid Table 1 Light Accent 5"/>
    <w:basedOn w:val="TableNormal"/>
    <w:uiPriority w:val="46"/>
    <w:rsid w:val="0046006A"/>
    <w:tblPr>
      <w:tblStyleRowBandSize w:val="1"/>
      <w:tblStyleColBandSize w:val="1"/>
      <w:tblBorders>
        <w:top w:val="single" w:sz="4" w:space="0" w:color="CADBD7"/>
        <w:left w:val="single" w:sz="4" w:space="0" w:color="CADBD7"/>
        <w:bottom w:val="single" w:sz="4" w:space="0" w:color="CADBD7"/>
        <w:right w:val="single" w:sz="4" w:space="0" w:color="CADBD7"/>
        <w:insideH w:val="single" w:sz="4" w:space="0" w:color="CADBD7"/>
        <w:insideV w:val="single" w:sz="4" w:space="0" w:color="CADBD7"/>
      </w:tblBorders>
    </w:tblPr>
    <w:tblStylePr w:type="firstRow">
      <w:rPr>
        <w:b/>
        <w:bCs/>
      </w:rPr>
      <w:tblPr/>
      <w:tcPr>
        <w:tcBorders>
          <w:bottom w:val="single" w:sz="12" w:space="0" w:color="AFCAC4"/>
        </w:tcBorders>
      </w:tcPr>
    </w:tblStylePr>
    <w:tblStylePr w:type="lastRow">
      <w:rPr>
        <w:b/>
        <w:bCs/>
      </w:rPr>
      <w:tblPr/>
      <w:tcPr>
        <w:tcBorders>
          <w:top w:val="double" w:sz="2" w:space="0" w:color="AFCAC4"/>
        </w:tcBorders>
      </w:tcPr>
    </w:tblStylePr>
    <w:tblStylePr w:type="firstCol">
      <w:rPr>
        <w:b/>
        <w:bCs/>
      </w:rPr>
    </w:tblStylePr>
    <w:tblStylePr w:type="lastCol">
      <w:rPr>
        <w:b/>
        <w:bCs/>
      </w:rPr>
    </w:tblStylePr>
  </w:style>
  <w:style w:type="character" w:styleId="PlaceholderText">
    <w:name w:val="Placeholder Text"/>
    <w:basedOn w:val="DefaultParagraphFont"/>
    <w:uiPriority w:val="99"/>
    <w:semiHidden/>
    <w:rsid w:val="00AD65E1"/>
    <w:rPr>
      <w:color w:val="808080"/>
    </w:rPr>
  </w:style>
  <w:style w:type="character" w:customStyle="1" w:styleId="Heading1Char">
    <w:name w:val="Heading 1 Char"/>
    <w:basedOn w:val="DefaultParagraphFont"/>
    <w:link w:val="Heading1"/>
    <w:uiPriority w:val="9"/>
    <w:rsid w:val="009646A6"/>
    <w:rPr>
      <w:rFonts w:asciiTheme="minorHAnsi" w:hAnsiTheme="minorHAnsi"/>
      <w:b/>
      <w:color w:val="FFFFFF"/>
      <w:sz w:val="56"/>
      <w:szCs w:val="68"/>
    </w:rPr>
  </w:style>
  <w:style w:type="character" w:customStyle="1" w:styleId="Heading2Char">
    <w:name w:val="Heading 2 Char"/>
    <w:basedOn w:val="DefaultParagraphFont"/>
    <w:link w:val="Heading2"/>
    <w:uiPriority w:val="9"/>
    <w:rsid w:val="009646A6"/>
    <w:rPr>
      <w:rFonts w:asciiTheme="minorHAnsi" w:hAnsiTheme="minorHAnsi"/>
      <w:color w:val="FFFFFF"/>
      <w:sz w:val="44"/>
      <w:szCs w:val="88"/>
    </w:rPr>
  </w:style>
  <w:style w:type="paragraph" w:styleId="Header">
    <w:name w:val="header"/>
    <w:basedOn w:val="Normal"/>
    <w:link w:val="HeaderChar"/>
    <w:uiPriority w:val="99"/>
    <w:unhideWhenUsed/>
    <w:rsid w:val="004531A7"/>
    <w:pPr>
      <w:tabs>
        <w:tab w:val="center" w:pos="4680"/>
        <w:tab w:val="right" w:pos="9360"/>
      </w:tabs>
      <w:spacing w:before="0" w:after="0"/>
    </w:pPr>
  </w:style>
  <w:style w:type="character" w:customStyle="1" w:styleId="HeaderChar">
    <w:name w:val="Header Char"/>
    <w:basedOn w:val="DefaultParagraphFont"/>
    <w:link w:val="Header"/>
    <w:uiPriority w:val="99"/>
    <w:rsid w:val="004531A7"/>
    <w:rPr>
      <w:rFonts w:asciiTheme="minorHAnsi" w:hAnsiTheme="minorHAnsi"/>
      <w:szCs w:val="24"/>
    </w:rPr>
  </w:style>
  <w:style w:type="paragraph" w:styleId="Footer">
    <w:name w:val="footer"/>
    <w:basedOn w:val="Normal"/>
    <w:link w:val="FooterChar"/>
    <w:uiPriority w:val="99"/>
    <w:unhideWhenUsed/>
    <w:rsid w:val="004531A7"/>
    <w:pPr>
      <w:tabs>
        <w:tab w:val="center" w:pos="4680"/>
        <w:tab w:val="right" w:pos="9360"/>
      </w:tabs>
      <w:spacing w:before="0" w:after="0"/>
    </w:pPr>
  </w:style>
  <w:style w:type="character" w:customStyle="1" w:styleId="FooterChar">
    <w:name w:val="Footer Char"/>
    <w:basedOn w:val="DefaultParagraphFont"/>
    <w:link w:val="Footer"/>
    <w:uiPriority w:val="99"/>
    <w:rsid w:val="004531A7"/>
    <w:rPr>
      <w:rFonts w:asciiTheme="minorHAnsi" w:hAnsiTheme="minorHAnsi"/>
      <w:szCs w:val="24"/>
    </w:rPr>
  </w:style>
  <w:style w:type="table" w:customStyle="1" w:styleId="AcademicSelfAddessment">
    <w:name w:val="Academic Self Addessment"/>
    <w:basedOn w:val="TableNormal"/>
    <w:uiPriority w:val="99"/>
    <w:rsid w:val="00CF3142"/>
    <w:pPr>
      <w:spacing w:before="0" w:after="0"/>
    </w:pPr>
    <w:tblPr>
      <w:tblStyleRowBandSize w:val="1"/>
      <w:tblBorders>
        <w:top w:val="single" w:sz="4" w:space="0" w:color="7BA79D" w:themeColor="accent6"/>
        <w:left w:val="single" w:sz="4" w:space="0" w:color="7BA79D" w:themeColor="accent6"/>
        <w:bottom w:val="single" w:sz="4" w:space="0" w:color="7BA79D" w:themeColor="accent6"/>
        <w:right w:val="single" w:sz="4" w:space="0" w:color="7BA79D" w:themeColor="accent6"/>
        <w:insideH w:val="single" w:sz="4" w:space="0" w:color="7BA79D" w:themeColor="accent6"/>
        <w:insideV w:val="single" w:sz="4" w:space="0" w:color="7BA79D" w:themeColor="accent6"/>
      </w:tblBorders>
    </w:tblPr>
    <w:tcPr>
      <w:vAlign w:val="center"/>
    </w:tcPr>
    <w:tblStylePr w:type="firstRow">
      <w:pPr>
        <w:wordWrap/>
        <w:jc w:val="center"/>
      </w:pPr>
      <w:rPr>
        <w:rFonts w:asciiTheme="majorHAnsi" w:hAnsiTheme="majorHAnsi"/>
        <w:b/>
        <w:i w:val="0"/>
      </w:rPr>
      <w:tblPr/>
      <w:tcPr>
        <w:tcBorders>
          <w:top w:val="single" w:sz="4" w:space="0" w:color="7BA79D" w:themeColor="accent6"/>
          <w:left w:val="single" w:sz="4" w:space="0" w:color="7BA79D" w:themeColor="accent6"/>
          <w:bottom w:val="single" w:sz="4" w:space="0" w:color="7BA79D" w:themeColor="accent6"/>
          <w:right w:val="single" w:sz="4" w:space="0" w:color="7BA79D" w:themeColor="accent6"/>
          <w:insideH w:val="single" w:sz="4" w:space="0" w:color="7BA79D" w:themeColor="accent6"/>
          <w:insideV w:val="single" w:sz="4" w:space="0" w:color="7BA79D" w:themeColor="accent6"/>
          <w:tl2br w:val="nil"/>
          <w:tr2bl w:val="nil"/>
        </w:tcBorders>
        <w:vAlign w:val="bottom"/>
      </w:tcPr>
    </w:tblStylePr>
    <w:tblStylePr w:type="firstCol">
      <w:rPr>
        <w:b/>
        <w:i w:val="0"/>
      </w:rPr>
    </w:tblStylePr>
    <w:tblStylePr w:type="band1Horz">
      <w:tblPr/>
      <w:tcPr>
        <w:tcBorders>
          <w:top w:val="single" w:sz="4" w:space="0" w:color="7BA79D" w:themeColor="accent6"/>
          <w:left w:val="single" w:sz="4" w:space="0" w:color="7BA79D" w:themeColor="accent6"/>
          <w:bottom w:val="single" w:sz="4" w:space="0" w:color="7BA79D" w:themeColor="accent6"/>
          <w:right w:val="single" w:sz="4" w:space="0" w:color="7BA79D" w:themeColor="accent6"/>
          <w:insideH w:val="single" w:sz="4" w:space="0" w:color="7BA79D" w:themeColor="accent6"/>
          <w:insideV w:val="single" w:sz="4" w:space="0" w:color="7BA79D" w:themeColor="accent6"/>
          <w:tl2br w:val="nil"/>
          <w:tr2bl w:val="nil"/>
        </w:tcBorders>
        <w:shd w:val="clear" w:color="auto" w:fill="E4EDEB" w:themeFill="accent6" w:themeFillTint="33"/>
      </w:tcPr>
    </w:tblStylePr>
    <w:tblStylePr w:type="band2Horz">
      <w:tblPr/>
      <w:tcPr>
        <w:tcBorders>
          <w:top w:val="single" w:sz="4" w:space="0" w:color="7BA79D" w:themeColor="accent6"/>
          <w:left w:val="single" w:sz="4" w:space="0" w:color="7BA79D" w:themeColor="accent6"/>
          <w:bottom w:val="single" w:sz="4" w:space="0" w:color="7BA79D" w:themeColor="accent6"/>
          <w:right w:val="single" w:sz="4" w:space="0" w:color="7BA79D" w:themeColor="accent6"/>
          <w:insideH w:val="single" w:sz="4" w:space="0" w:color="7BA79D" w:themeColor="accent6"/>
          <w:insideV w:val="single" w:sz="4" w:space="0" w:color="7BA79D" w:themeColor="accent6"/>
          <w:tl2br w:val="nil"/>
          <w:tr2bl w:val="nil"/>
        </w:tcBorders>
      </w:tcPr>
    </w:tblStylePr>
    <w:tblStylePr w:type="nwCell">
      <w:pPr>
        <w:wordWrap/>
        <w:jc w:val="center"/>
      </w:pPr>
    </w:tblStylePr>
  </w:style>
  <w:style w:type="paragraph" w:styleId="NoSpacing">
    <w:name w:val="No Spacing"/>
    <w:link w:val="NoSpacingChar"/>
    <w:uiPriority w:val="1"/>
    <w:qFormat/>
    <w:rsid w:val="009646A6"/>
    <w:pPr>
      <w:spacing w:before="0" w:after="0"/>
    </w:pPr>
    <w:rPr>
      <w:rFonts w:asciiTheme="minorHAnsi" w:hAnsiTheme="minorHAnsi"/>
      <w:szCs w:val="24"/>
    </w:rPr>
  </w:style>
  <w:style w:type="character" w:styleId="Strong">
    <w:name w:val="Strong"/>
    <w:basedOn w:val="DefaultParagraphFont"/>
    <w:uiPriority w:val="22"/>
    <w:qFormat/>
    <w:rsid w:val="00CF3142"/>
    <w:rPr>
      <w:b/>
      <w:bCs/>
    </w:rPr>
  </w:style>
  <w:style w:type="character" w:customStyle="1" w:styleId="NoSpacingChar">
    <w:name w:val="No Spacing Char"/>
    <w:basedOn w:val="DefaultParagraphFont"/>
    <w:link w:val="NoSpacing"/>
    <w:uiPriority w:val="1"/>
    <w:rsid w:val="0009343D"/>
    <w:rPr>
      <w:rFonts w:asciiTheme="minorHAnsi" w:hAnsiTheme="minorHAnsi"/>
      <w:szCs w:val="24"/>
    </w:rPr>
  </w:style>
  <w:style w:type="character" w:styleId="Hyperlink">
    <w:name w:val="Hyperlink"/>
    <w:basedOn w:val="DefaultParagraphFont"/>
    <w:uiPriority w:val="99"/>
    <w:unhideWhenUsed/>
    <w:rsid w:val="005D2663"/>
    <w:rPr>
      <w:color w:val="0563C1" w:themeColor="hyperlink"/>
      <w:u w:val="single"/>
    </w:rPr>
  </w:style>
  <w:style w:type="character" w:styleId="UnresolvedMention">
    <w:name w:val="Unresolved Mention"/>
    <w:basedOn w:val="DefaultParagraphFont"/>
    <w:uiPriority w:val="99"/>
    <w:semiHidden/>
    <w:unhideWhenUsed/>
    <w:rsid w:val="005D266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851616">
      <w:bodyDiv w:val="1"/>
      <w:marLeft w:val="0"/>
      <w:marRight w:val="0"/>
      <w:marTop w:val="0"/>
      <w:marBottom w:val="0"/>
      <w:divBdr>
        <w:top w:val="none" w:sz="0" w:space="0" w:color="auto"/>
        <w:left w:val="none" w:sz="0" w:space="0" w:color="auto"/>
        <w:bottom w:val="none" w:sz="0" w:space="0" w:color="auto"/>
        <w:right w:val="none" w:sz="0" w:space="0" w:color="auto"/>
      </w:divBdr>
    </w:div>
    <w:div w:id="457769241">
      <w:bodyDiv w:val="1"/>
      <w:marLeft w:val="0"/>
      <w:marRight w:val="0"/>
      <w:marTop w:val="0"/>
      <w:marBottom w:val="0"/>
      <w:divBdr>
        <w:top w:val="none" w:sz="0" w:space="0" w:color="auto"/>
        <w:left w:val="none" w:sz="0" w:space="0" w:color="auto"/>
        <w:bottom w:val="none" w:sz="0" w:space="0" w:color="auto"/>
        <w:right w:val="none" w:sz="0" w:space="0" w:color="auto"/>
      </w:divBdr>
    </w:div>
    <w:div w:id="500244006">
      <w:bodyDiv w:val="1"/>
      <w:marLeft w:val="0"/>
      <w:marRight w:val="0"/>
      <w:marTop w:val="0"/>
      <w:marBottom w:val="0"/>
      <w:divBdr>
        <w:top w:val="none" w:sz="0" w:space="0" w:color="auto"/>
        <w:left w:val="none" w:sz="0" w:space="0" w:color="auto"/>
        <w:bottom w:val="none" w:sz="0" w:space="0" w:color="auto"/>
        <w:right w:val="none" w:sz="0" w:space="0" w:color="auto"/>
      </w:divBdr>
    </w:div>
    <w:div w:id="511533157">
      <w:bodyDiv w:val="1"/>
      <w:marLeft w:val="0"/>
      <w:marRight w:val="0"/>
      <w:marTop w:val="0"/>
      <w:marBottom w:val="0"/>
      <w:divBdr>
        <w:top w:val="none" w:sz="0" w:space="0" w:color="auto"/>
        <w:left w:val="none" w:sz="0" w:space="0" w:color="auto"/>
        <w:bottom w:val="none" w:sz="0" w:space="0" w:color="auto"/>
        <w:right w:val="none" w:sz="0" w:space="0" w:color="auto"/>
      </w:divBdr>
    </w:div>
    <w:div w:id="648821742">
      <w:bodyDiv w:val="1"/>
      <w:marLeft w:val="0"/>
      <w:marRight w:val="0"/>
      <w:marTop w:val="0"/>
      <w:marBottom w:val="0"/>
      <w:divBdr>
        <w:top w:val="none" w:sz="0" w:space="0" w:color="auto"/>
        <w:left w:val="none" w:sz="0" w:space="0" w:color="auto"/>
        <w:bottom w:val="none" w:sz="0" w:space="0" w:color="auto"/>
        <w:right w:val="none" w:sz="0" w:space="0" w:color="auto"/>
      </w:divBdr>
    </w:div>
    <w:div w:id="661010132">
      <w:bodyDiv w:val="1"/>
      <w:marLeft w:val="0"/>
      <w:marRight w:val="0"/>
      <w:marTop w:val="0"/>
      <w:marBottom w:val="0"/>
      <w:divBdr>
        <w:top w:val="none" w:sz="0" w:space="0" w:color="auto"/>
        <w:left w:val="none" w:sz="0" w:space="0" w:color="auto"/>
        <w:bottom w:val="none" w:sz="0" w:space="0" w:color="auto"/>
        <w:right w:val="none" w:sz="0" w:space="0" w:color="auto"/>
      </w:divBdr>
    </w:div>
    <w:div w:id="875770795">
      <w:bodyDiv w:val="1"/>
      <w:marLeft w:val="0"/>
      <w:marRight w:val="0"/>
      <w:marTop w:val="0"/>
      <w:marBottom w:val="0"/>
      <w:divBdr>
        <w:top w:val="none" w:sz="0" w:space="0" w:color="auto"/>
        <w:left w:val="none" w:sz="0" w:space="0" w:color="auto"/>
        <w:bottom w:val="none" w:sz="0" w:space="0" w:color="auto"/>
        <w:right w:val="none" w:sz="0" w:space="0" w:color="auto"/>
      </w:divBdr>
    </w:div>
    <w:div w:id="14167858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hyperlink" Target="https://www.gov.uk/government/statistics/diversity-of-the-judiciary-2021-statistics/diversity-of-the-judiciary-2021-statistics-report" TargetMode="External"/><Relationship Id="rId3" Type="http://schemas.openxmlformats.org/officeDocument/2006/relationships/customXml" Target="../customXml/item3.xml"/><Relationship Id="rId21" Type="http://schemas.openxmlformats.org/officeDocument/2006/relationships/footer" Target="footer2.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s://www.supremecourt.uk/news/supreme-court-launches-selection-process-for-new-justices.html" TargetMode="External"/><Relationship Id="rId2" Type="http://schemas.openxmlformats.org/officeDocument/2006/relationships/customXml" Target="../customXml/item2.xml"/><Relationship Id="rId16" Type="http://schemas.openxmlformats.org/officeDocument/2006/relationships/hyperlink" Target="https://first100years.org.uk/sybil-campbell/"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theme" Target="theme/theme1.xml"/><Relationship Id="rId5" Type="http://schemas.openxmlformats.org/officeDocument/2006/relationships/customXml" Target="../customXml/item5.xml"/><Relationship Id="rId15" Type="http://schemas.openxmlformats.org/officeDocument/2006/relationships/hyperlink" Target="https://www.whitehouse.gov/about-the-white-house/our-government/the-judicial-branch/" TargetMode="External"/><Relationship Id="rId23" Type="http://schemas.openxmlformats.org/officeDocument/2006/relationships/glossaryDocument" Target="glossary/document.xml"/><Relationship Id="rId10" Type="http://schemas.openxmlformats.org/officeDocument/2006/relationships/footnotes" Target="footnotes.xml"/><Relationship Id="rId19" Type="http://schemas.openxmlformats.org/officeDocument/2006/relationships/hyperlink" Target="https://hudoc.echr.coe.int/eng-press#%20"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ww.supremecourt.uk/about/role-of-the-supreme-court.html" TargetMode="External"/><Relationship Id="rId22"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jabba\AppData\Roaming\Microsoft\Templates\Student%20academic%20self-assessment.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2936C57A1A3486E8E6030D7BA3301D1"/>
        <w:category>
          <w:name w:val="General"/>
          <w:gallery w:val="placeholder"/>
        </w:category>
        <w:types>
          <w:type w:val="bbPlcHdr"/>
        </w:types>
        <w:behaviors>
          <w:behavior w:val="content"/>
        </w:behaviors>
        <w:guid w:val="{F23F7144-3634-4239-A1C8-AFF38B2141EE}"/>
      </w:docPartPr>
      <w:docPartBody>
        <w:p w:rsidR="00000000" w:rsidRDefault="00E87FD2" w:rsidP="00E87FD2">
          <w:pPr>
            <w:pStyle w:val="62936C57A1A3486E8E6030D7BA3301D1"/>
          </w:pPr>
          <w:r>
            <w:rPr>
              <w:rFonts w:asciiTheme="majorHAnsi" w:eastAsiaTheme="majorEastAsia" w:hAnsiTheme="majorHAnsi" w:cstheme="majorBidi"/>
              <w:caps/>
              <w:color w:val="4472C4" w:themeColor="accent1"/>
              <w:sz w:val="80"/>
              <w:szCs w:val="80"/>
            </w:rPr>
            <w:t>[Document title]</w:t>
          </w:r>
        </w:p>
      </w:docPartBody>
    </w:docPart>
    <w:docPart>
      <w:docPartPr>
        <w:name w:val="AECBD583DF5A4A13ADABFECAB4B28F7B"/>
        <w:category>
          <w:name w:val="General"/>
          <w:gallery w:val="placeholder"/>
        </w:category>
        <w:types>
          <w:type w:val="bbPlcHdr"/>
        </w:types>
        <w:behaviors>
          <w:behavior w:val="content"/>
        </w:behaviors>
        <w:guid w:val="{D219F6BC-8139-41A4-87CA-C47336BC078B}"/>
      </w:docPartPr>
      <w:docPartBody>
        <w:p w:rsidR="00000000" w:rsidRDefault="00E87FD2" w:rsidP="00E87FD2">
          <w:pPr>
            <w:pStyle w:val="AECBD583DF5A4A13ADABFECAB4B28F7B"/>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7FD2"/>
    <w:rsid w:val="00E87F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2936C57A1A3486E8E6030D7BA3301D1">
    <w:name w:val="62936C57A1A3486E8E6030D7BA3301D1"/>
    <w:rsid w:val="00E87FD2"/>
  </w:style>
  <w:style w:type="paragraph" w:customStyle="1" w:styleId="AECBD583DF5A4A13ADABFECAB4B28F7B">
    <w:name w:val="AECBD583DF5A4A13ADABFECAB4B28F7B"/>
    <w:rsid w:val="00E87FD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Custom 1">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BA79D"/>
      </a:accent6>
      <a:hlink>
        <a:srgbClr val="0563C1"/>
      </a:hlink>
      <a:folHlink>
        <a:srgbClr val="954F72"/>
      </a:folHlink>
    </a:clrScheme>
    <a:fontScheme name="Custom 6">
      <a:majorFont>
        <a:latin typeface="Century Gothic"/>
        <a:ea typeface=""/>
        <a:cs typeface=""/>
      </a:majorFont>
      <a:minorFont>
        <a:latin typeface="Century Gothic"/>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Legal process bmpl4005</PublishDate>
  <Abstract/>
  <CompanyAddress>DIANA SA 2132625</CompanyAddress>
  <CompanyPhone/>
  <CompanyFax/>
  <CompanyEmail>2132625</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46B040A4C94EAC46BE1B9499E5F0E36C" ma:contentTypeVersion="4" ma:contentTypeDescription="Create a new document." ma:contentTypeScope="" ma:versionID="3780fbb1cea8400a8d1ad76c15b625b3">
  <xsd:schema xmlns:xsd="http://www.w3.org/2001/XMLSchema" xmlns:xs="http://www.w3.org/2001/XMLSchema" xmlns:p="http://schemas.microsoft.com/office/2006/metadata/properties" xmlns:ns3="8ecffad1-7cd6-4418-bee0-2d8591d139cb" targetNamespace="http://schemas.microsoft.com/office/2006/metadata/properties" ma:root="true" ma:fieldsID="64292fd9f3ff7c10f0c1103fb318c5c4" ns3:_="">
    <xsd:import namespace="8ecffad1-7cd6-4418-bee0-2d8591d139c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ecffad1-7cd6-4418-bee0-2d8591d139c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B642731-6FB9-4D10-8F5A-73ED10B65AC6}">
  <ds:schemaRefs>
    <ds:schemaRef ds:uri="http://schemas.openxmlformats.org/officeDocument/2006/bibliography"/>
  </ds:schemaRefs>
</ds:datastoreItem>
</file>

<file path=customXml/itemProps3.xml><?xml version="1.0" encoding="utf-8"?>
<ds:datastoreItem xmlns:ds="http://schemas.openxmlformats.org/officeDocument/2006/customXml" ds:itemID="{A84DAE4F-83A2-4CD6-A803-D0B424FD4F1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ecffad1-7cd6-4418-bee0-2d8591d139c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C72EFCA-41F7-430A-B678-9061C521BD5B}">
  <ds:schemaRefs>
    <ds:schemaRef ds:uri="http://schemas.microsoft.com/sharepoint/v3/contenttype/forms"/>
  </ds:schemaRefs>
</ds:datastoreItem>
</file>

<file path=customXml/itemProps5.xml><?xml version="1.0" encoding="utf-8"?>
<ds:datastoreItem xmlns:ds="http://schemas.openxmlformats.org/officeDocument/2006/customXml" ds:itemID="{8E9FFB7A-AC04-4844-8C82-1E49021298D0}">
  <ds:schemaRefs>
    <ds:schemaRef ds:uri="http://purl.org/dc/elements/1.1/"/>
    <ds:schemaRef ds:uri="http://schemas.microsoft.com/office/infopath/2007/PartnerControls"/>
    <ds:schemaRef ds:uri="http://purl.org/dc/terms/"/>
    <ds:schemaRef ds:uri="http://purl.org/dc/dcmitype/"/>
    <ds:schemaRef ds:uri="http://schemas.microsoft.com/office/2006/documentManagement/types"/>
    <ds:schemaRef ds:uri="http://schemas.microsoft.com/office/2006/metadata/properties"/>
    <ds:schemaRef ds:uri="http://www.w3.org/XML/1998/namespace"/>
    <ds:schemaRef ds:uri="8ecffad1-7cd6-4418-bee0-2d8591d139cb"/>
    <ds:schemaRef ds:uri="http://schemas.openxmlformats.org/package/2006/metadata/core-properties"/>
  </ds:schemaRefs>
</ds:datastoreItem>
</file>

<file path=docProps/app.xml><?xml version="1.0" encoding="utf-8"?>
<Properties xmlns="http://schemas.openxmlformats.org/officeDocument/2006/extended-properties" xmlns:vt="http://schemas.openxmlformats.org/officeDocument/2006/docPropsVTypes">
  <Template>Student academic self-assessment</Template>
  <TotalTime>0</TotalTime>
  <Pages>4</Pages>
  <Words>1539</Words>
  <Characters>8775</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10294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Diversity in the judiciary</dc:title>
  <dc:subject>Supreme Court</dc:subject>
  <dc:creator/>
  <cp:keywords/>
  <dc:description/>
  <cp:lastModifiedBy/>
  <cp:revision>1</cp:revision>
  <dcterms:created xsi:type="dcterms:W3CDTF">2022-06-16T10:07:00Z</dcterms:created>
  <dcterms:modified xsi:type="dcterms:W3CDTF">2022-06-17T11:16:00Z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0x01010046B040A4C94EAC46BE1B9499E5F0E36C</vt:lpwstr>
  </property>
</Properties>
</file>