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spacing w:before="0"/>
        <w:jc w:val="center"/>
      </w:pPr>
      <w:r>
        <w:drawing>
          <wp:inline distT="0" distB="0" distL="0" distR="0">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798320" cy="741045"/>
                    </a:xfrm>
                    <a:prstGeom prst="rect">
                      <a:avLst/>
                    </a:prstGeom>
                    <a:noFill/>
                    <a:ln>
                      <a:noFill/>
                    </a:ln>
                  </pic:spPr>
                </pic:pic>
              </a:graphicData>
            </a:graphic>
          </wp:inline>
        </w:drawing>
      </w:r>
    </w:p>
    <w:p>
      <w:pPr>
        <w:pStyle w:val="12"/>
        <w:spacing w:before="0"/>
        <w:jc w:val="center"/>
      </w:pPr>
    </w:p>
    <w:p>
      <w:pPr>
        <w:spacing w:line="276" w:lineRule="auto"/>
        <w:jc w:val="center"/>
        <w:rPr>
          <w:rFonts w:ascii="Arial" w:hAnsi="Arial" w:cs="Arial"/>
          <w:b/>
          <w:szCs w:val="8"/>
        </w:rPr>
      </w:pPr>
      <w:r>
        <w:rPr>
          <w:rFonts w:ascii="Arial" w:hAnsi="Arial" w:cs="Arial"/>
          <w:b/>
          <w:szCs w:val="8"/>
        </w:rPr>
        <w:t>ECPS6001: Psychology Empirical Project</w:t>
      </w:r>
    </w:p>
    <w:p>
      <w:pPr>
        <w:spacing w:line="276" w:lineRule="auto"/>
        <w:jc w:val="center"/>
        <w:rPr>
          <w:rFonts w:ascii="Arial" w:hAnsi="Arial" w:cs="Arial"/>
          <w:b/>
          <w:szCs w:val="8"/>
        </w:rPr>
      </w:pPr>
      <w:r>
        <w:rPr>
          <w:rFonts w:ascii="Arial" w:hAnsi="Arial" w:cs="Arial"/>
          <w:b/>
          <w:szCs w:val="8"/>
        </w:rPr>
        <w:t>Research Proposal</w:t>
      </w:r>
    </w:p>
    <w:p>
      <w:pPr>
        <w:spacing w:line="276" w:lineRule="auto"/>
        <w:jc w:val="center"/>
        <w:rPr>
          <w:rFonts w:ascii="Arial" w:hAnsi="Arial" w:cs="Arial"/>
          <w:b/>
          <w:szCs w:val="8"/>
        </w:rPr>
      </w:pPr>
    </w:p>
    <w:p>
      <w:pPr>
        <w:spacing w:line="276" w:lineRule="auto"/>
        <w:rPr>
          <w:rFonts w:ascii="Arial" w:hAnsi="Arial" w:cs="Arial"/>
          <w:szCs w:val="8"/>
        </w:rPr>
      </w:pPr>
      <w:r>
        <w:rPr>
          <w:rFonts w:ascii="Arial" w:hAnsi="Arial" w:cs="Arial"/>
          <w:szCs w:val="8"/>
        </w:rPr>
        <w:t xml:space="preserve">Assessment Component 1: Research proposal (1,000 words) worth 10% of the overall module mark for the Psychology Empirical Project. The proposal form will be marked in line with the Level Six Grading Rubric. The boxes below will expand as you type.  </w:t>
      </w:r>
    </w:p>
    <w:tbl>
      <w:tblPr>
        <w:tblStyle w:val="4"/>
        <w:tblpPr w:leftFromText="180" w:rightFromText="180" w:vertAnchor="text" w:horzAnchor="margin" w:tblpY="175"/>
        <w:tblW w:w="103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8"/>
        <w:gridCol w:w="7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508" w:type="dxa"/>
            <w:shd w:val="clear" w:color="auto" w:fill="E0E0E0"/>
          </w:tcPr>
          <w:p>
            <w:pPr>
              <w:rPr>
                <w:rFonts w:ascii="Arial" w:hAnsi="Arial" w:cs="Arial"/>
                <w:sz w:val="22"/>
                <w:szCs w:val="22"/>
              </w:rPr>
            </w:pPr>
            <w:r>
              <w:rPr>
                <w:rFonts w:ascii="Arial" w:hAnsi="Arial" w:cs="Arial"/>
                <w:sz w:val="22"/>
                <w:szCs w:val="22"/>
              </w:rPr>
              <w:t>Student Name and University ID number:</w:t>
            </w:r>
          </w:p>
        </w:tc>
        <w:tc>
          <w:tcPr>
            <w:tcW w:w="7860" w:type="dxa"/>
          </w:tcPr>
          <w:p>
            <w:pPr>
              <w:rPr>
                <w:rFonts w:hint="default"/>
                <w:sz w:val="28"/>
                <w:szCs w:val="28"/>
                <w:lang w:val="en-US"/>
              </w:rPr>
            </w:pPr>
            <w:r>
              <w:rPr>
                <w:rFonts w:hint="default"/>
                <w:sz w:val="28"/>
                <w:szCs w:val="28"/>
                <w:lang w:val="en-US"/>
              </w:rPr>
              <w:t>Carys Summerhayes</w:t>
            </w:r>
          </w:p>
          <w:p>
            <w:pPr>
              <w:rPr>
                <w:rFonts w:hint="default"/>
                <w:sz w:val="28"/>
                <w:szCs w:val="28"/>
                <w:lang w:val="en-US"/>
              </w:rPr>
            </w:pPr>
            <w:r>
              <w:rPr>
                <w:rFonts w:hint="default"/>
                <w:sz w:val="28"/>
                <w:szCs w:val="28"/>
                <w:lang w:val="en-US"/>
              </w:rPr>
              <w:t>2003735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508" w:type="dxa"/>
            <w:shd w:val="clear" w:color="auto" w:fill="E0E0E0"/>
          </w:tcPr>
          <w:p>
            <w:pPr>
              <w:rPr>
                <w:rFonts w:ascii="Arial" w:hAnsi="Arial" w:cs="Arial"/>
                <w:sz w:val="22"/>
                <w:szCs w:val="22"/>
              </w:rPr>
            </w:pPr>
            <w:r>
              <w:rPr>
                <w:rFonts w:ascii="Arial" w:hAnsi="Arial" w:cs="Arial"/>
                <w:sz w:val="22"/>
                <w:szCs w:val="22"/>
              </w:rPr>
              <w:t>Proposed Supervisor’s name:</w:t>
            </w:r>
          </w:p>
        </w:tc>
        <w:tc>
          <w:tcPr>
            <w:tcW w:w="7860" w:type="dxa"/>
          </w:tcPr>
          <w:p>
            <w:pPr>
              <w:rPr>
                <w:rFonts w:hint="default"/>
                <w:i/>
                <w:sz w:val="24"/>
                <w:szCs w:val="24"/>
                <w:lang w:val="en-US"/>
              </w:rPr>
            </w:pPr>
            <w:r>
              <w:rPr>
                <w:rFonts w:hint="default"/>
                <w:i/>
                <w:sz w:val="20"/>
                <w:szCs w:val="28"/>
                <w:lang w:val="en-US"/>
              </w:rPr>
              <w:t xml:space="preserve"> </w:t>
            </w:r>
            <w:r>
              <w:rPr>
                <w:rFonts w:hint="default"/>
                <w:i/>
                <w:sz w:val="24"/>
                <w:szCs w:val="24"/>
                <w:lang w:val="en-US"/>
              </w:rPr>
              <w:t>Zoe Cooke</w:t>
            </w:r>
          </w:p>
          <w:p>
            <w:pPr>
              <w:rPr>
                <w:i/>
                <w:sz w:val="20"/>
                <w:szCs w:val="28"/>
              </w:rPr>
            </w:pPr>
          </w:p>
        </w:tc>
      </w:tr>
    </w:tbl>
    <w:p>
      <w:pPr>
        <w:pStyle w:val="12"/>
        <w:spacing w:before="0"/>
        <w:rPr>
          <w:b w:val="0"/>
          <w:sz w:val="32"/>
          <w:szCs w:val="20"/>
        </w:rPr>
      </w:pPr>
    </w:p>
    <w:p>
      <w:pPr>
        <w:rPr>
          <w:rFonts w:ascii="Arial" w:hAnsi="Arial" w:cs="Arial"/>
          <w:b/>
          <w:bCs/>
          <w:sz w:val="20"/>
          <w:szCs w:val="20"/>
        </w:rPr>
      </w:pPr>
      <w:r>
        <w:rPr>
          <w:rFonts w:ascii="Arial" w:hAnsi="Arial" w:cs="Arial"/>
          <w:b/>
          <w:bCs/>
          <w:sz w:val="20"/>
          <w:szCs w:val="20"/>
        </w:rPr>
        <w:t xml:space="preserve">Psychology Research Area (tick all that apply) </w:t>
      </w:r>
    </w:p>
    <w:p>
      <w:pPr>
        <w:rPr>
          <w:rFonts w:ascii="Arial" w:hAnsi="Arial" w:cs="Arial"/>
          <w:b/>
          <w:bCs/>
          <w:sz w:val="20"/>
          <w:szCs w:val="20"/>
        </w:rPr>
      </w:pPr>
    </w:p>
    <w:p>
      <w:pPr>
        <w:rPr>
          <w:rFonts w:ascii="Arial" w:hAnsi="Arial" w:cs="Arial"/>
          <w:b/>
          <w:bCs/>
          <w:sz w:val="20"/>
          <w:szCs w:val="20"/>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7"/>
        <w:gridCol w:w="2577"/>
        <w:gridCol w:w="2577"/>
        <w:gridCol w:w="2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77" w:type="dxa"/>
          </w:tcPr>
          <w:p>
            <w:pPr>
              <w:rPr>
                <w:rFonts w:ascii="Arial" w:hAnsi="Arial" w:cs="Arial"/>
                <w:sz w:val="20"/>
                <w:szCs w:val="20"/>
              </w:rPr>
            </w:pPr>
            <w:r>
              <w:rPr>
                <w:rFonts w:ascii="Arial" w:hAnsi="Arial" w:cs="Arial"/>
                <w:sz w:val="20"/>
                <w:szCs w:val="20"/>
              </w:rPr>
              <w:t xml:space="preserve">Social Psychology </w:t>
            </w:r>
          </w:p>
          <w:p>
            <w:pPr>
              <w:rPr>
                <w:rFonts w:hint="default" w:ascii="Arial" w:hAnsi="Arial" w:cs="Arial"/>
                <w:sz w:val="20"/>
                <w:szCs w:val="20"/>
                <w:lang w:val="en-US"/>
              </w:rPr>
            </w:pPr>
            <w:r>
              <w:rPr>
                <w:rFonts w:hint="default" w:ascii="Arial" w:hAnsi="Arial" w:cs="Arial"/>
                <w:sz w:val="20"/>
                <w:szCs w:val="20"/>
                <w:lang w:val="en-US"/>
              </w:rPr>
              <w:t>/</w:t>
            </w:r>
          </w:p>
        </w:tc>
        <w:tc>
          <w:tcPr>
            <w:tcW w:w="2577" w:type="dxa"/>
          </w:tcPr>
          <w:p>
            <w:pPr>
              <w:rPr>
                <w:rFonts w:ascii="Arial" w:hAnsi="Arial" w:cs="Arial"/>
                <w:sz w:val="20"/>
                <w:szCs w:val="20"/>
              </w:rPr>
            </w:pPr>
            <w:r>
              <w:rPr>
                <w:rFonts w:ascii="Arial" w:hAnsi="Arial" w:cs="Arial"/>
                <w:sz w:val="20"/>
                <w:szCs w:val="20"/>
              </w:rPr>
              <w:t xml:space="preserve">Developmental Psychology </w:t>
            </w:r>
          </w:p>
          <w:p>
            <w:pPr>
              <w:rPr>
                <w:rFonts w:ascii="Arial" w:hAnsi="Arial" w:cs="Arial"/>
                <w:sz w:val="20"/>
                <w:szCs w:val="20"/>
              </w:rPr>
            </w:pPr>
          </w:p>
        </w:tc>
        <w:tc>
          <w:tcPr>
            <w:tcW w:w="2577" w:type="dxa"/>
          </w:tcPr>
          <w:p>
            <w:pPr>
              <w:rPr>
                <w:rFonts w:ascii="Arial" w:hAnsi="Arial" w:cs="Arial"/>
                <w:sz w:val="20"/>
                <w:szCs w:val="20"/>
              </w:rPr>
            </w:pPr>
            <w:r>
              <w:rPr>
                <w:rFonts w:ascii="Arial" w:hAnsi="Arial" w:cs="Arial"/>
                <w:sz w:val="20"/>
                <w:szCs w:val="20"/>
              </w:rPr>
              <w:t xml:space="preserve">Biological Psychology </w:t>
            </w:r>
          </w:p>
        </w:tc>
        <w:tc>
          <w:tcPr>
            <w:tcW w:w="2577" w:type="dxa"/>
          </w:tcPr>
          <w:p>
            <w:pPr>
              <w:rPr>
                <w:rFonts w:ascii="Arial" w:hAnsi="Arial" w:cs="Arial"/>
                <w:sz w:val="20"/>
                <w:szCs w:val="20"/>
              </w:rPr>
            </w:pPr>
            <w:r>
              <w:rPr>
                <w:rFonts w:ascii="Arial" w:hAnsi="Arial" w:cs="Arial"/>
                <w:sz w:val="20"/>
                <w:szCs w:val="20"/>
              </w:rPr>
              <w:t xml:space="preserve">Forensic Psychology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77" w:type="dxa"/>
          </w:tcPr>
          <w:p>
            <w:pPr>
              <w:rPr>
                <w:rFonts w:ascii="Arial" w:hAnsi="Arial" w:cs="Arial"/>
                <w:sz w:val="20"/>
                <w:szCs w:val="20"/>
              </w:rPr>
            </w:pPr>
            <w:r>
              <w:rPr>
                <w:rFonts w:ascii="Arial" w:hAnsi="Arial" w:cs="Arial"/>
                <w:sz w:val="20"/>
                <w:szCs w:val="20"/>
              </w:rPr>
              <w:t xml:space="preserve">Health Psychology </w:t>
            </w:r>
          </w:p>
          <w:p>
            <w:pPr>
              <w:rPr>
                <w:rFonts w:hint="default" w:ascii="Arial" w:hAnsi="Arial" w:cs="Arial"/>
                <w:sz w:val="20"/>
                <w:szCs w:val="20"/>
                <w:lang w:val="en-US"/>
              </w:rPr>
            </w:pPr>
            <w:r>
              <w:rPr>
                <w:rFonts w:hint="default" w:ascii="Arial" w:hAnsi="Arial" w:cs="Arial"/>
                <w:sz w:val="20"/>
                <w:szCs w:val="20"/>
                <w:lang w:val="en-US"/>
              </w:rPr>
              <w:t>/</w:t>
            </w:r>
          </w:p>
        </w:tc>
        <w:tc>
          <w:tcPr>
            <w:tcW w:w="2577" w:type="dxa"/>
          </w:tcPr>
          <w:p>
            <w:pPr>
              <w:rPr>
                <w:rFonts w:ascii="Arial" w:hAnsi="Arial" w:cs="Arial"/>
                <w:sz w:val="20"/>
                <w:szCs w:val="20"/>
              </w:rPr>
            </w:pPr>
            <w:r>
              <w:rPr>
                <w:rFonts w:ascii="Arial" w:hAnsi="Arial" w:cs="Arial"/>
                <w:sz w:val="20"/>
                <w:szCs w:val="20"/>
              </w:rPr>
              <w:t xml:space="preserve">Individual Differences </w:t>
            </w:r>
          </w:p>
          <w:p>
            <w:pPr>
              <w:rPr>
                <w:rFonts w:hint="default" w:ascii="Arial" w:hAnsi="Arial" w:cs="Arial"/>
                <w:sz w:val="20"/>
                <w:szCs w:val="20"/>
                <w:lang w:val="en-US"/>
              </w:rPr>
            </w:pPr>
            <w:r>
              <w:rPr>
                <w:rFonts w:hint="default" w:ascii="Arial" w:hAnsi="Arial" w:cs="Arial"/>
                <w:sz w:val="20"/>
                <w:szCs w:val="20"/>
                <w:lang w:val="en-US"/>
              </w:rPr>
              <w:t>/</w:t>
            </w:r>
          </w:p>
          <w:p>
            <w:pPr>
              <w:rPr>
                <w:rFonts w:ascii="Arial" w:hAnsi="Arial" w:cs="Arial"/>
                <w:sz w:val="20"/>
                <w:szCs w:val="20"/>
              </w:rPr>
            </w:pPr>
          </w:p>
        </w:tc>
        <w:tc>
          <w:tcPr>
            <w:tcW w:w="2577" w:type="dxa"/>
          </w:tcPr>
          <w:p>
            <w:pPr>
              <w:rPr>
                <w:rFonts w:ascii="Arial" w:hAnsi="Arial" w:cs="Arial"/>
                <w:sz w:val="20"/>
                <w:szCs w:val="20"/>
              </w:rPr>
            </w:pPr>
            <w:r>
              <w:rPr>
                <w:rFonts w:ascii="Arial" w:hAnsi="Arial" w:cs="Arial"/>
                <w:sz w:val="20"/>
                <w:szCs w:val="20"/>
              </w:rPr>
              <w:t xml:space="preserve">Educational Psychology </w:t>
            </w:r>
          </w:p>
        </w:tc>
        <w:tc>
          <w:tcPr>
            <w:tcW w:w="2577" w:type="dxa"/>
          </w:tcPr>
          <w:p>
            <w:pPr>
              <w:rPr>
                <w:rFonts w:ascii="Arial" w:hAnsi="Arial" w:cs="Arial"/>
                <w:sz w:val="20"/>
                <w:szCs w:val="20"/>
              </w:rPr>
            </w:pPr>
            <w:r>
              <w:rPr>
                <w:rFonts w:ascii="Arial" w:hAnsi="Arial" w:cs="Arial"/>
                <w:sz w:val="20"/>
                <w:szCs w:val="20"/>
              </w:rPr>
              <w:t xml:space="preserve">Political Psychology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77" w:type="dxa"/>
          </w:tcPr>
          <w:p>
            <w:pPr>
              <w:rPr>
                <w:rFonts w:ascii="Arial" w:hAnsi="Arial" w:cs="Arial"/>
                <w:sz w:val="20"/>
                <w:szCs w:val="20"/>
              </w:rPr>
            </w:pPr>
            <w:r>
              <w:rPr>
                <w:rFonts w:ascii="Arial" w:hAnsi="Arial" w:cs="Arial"/>
                <w:sz w:val="20"/>
                <w:szCs w:val="20"/>
              </w:rPr>
              <w:t xml:space="preserve">Cognitive Psychology </w:t>
            </w:r>
          </w:p>
          <w:p>
            <w:pPr>
              <w:rPr>
                <w:rFonts w:ascii="Arial" w:hAnsi="Arial" w:cs="Arial"/>
                <w:sz w:val="20"/>
                <w:szCs w:val="20"/>
              </w:rPr>
            </w:pPr>
          </w:p>
        </w:tc>
        <w:tc>
          <w:tcPr>
            <w:tcW w:w="2577" w:type="dxa"/>
          </w:tcPr>
          <w:p>
            <w:pPr>
              <w:rPr>
                <w:rFonts w:ascii="Arial" w:hAnsi="Arial" w:cs="Arial"/>
                <w:sz w:val="20"/>
                <w:szCs w:val="20"/>
              </w:rPr>
            </w:pPr>
            <w:r>
              <w:rPr>
                <w:rFonts w:ascii="Arial" w:hAnsi="Arial" w:cs="Arial"/>
                <w:sz w:val="20"/>
                <w:szCs w:val="20"/>
              </w:rPr>
              <w:t xml:space="preserve">Clinical Psychology </w:t>
            </w:r>
          </w:p>
        </w:tc>
        <w:tc>
          <w:tcPr>
            <w:tcW w:w="2577" w:type="dxa"/>
          </w:tcPr>
          <w:p>
            <w:pPr>
              <w:rPr>
                <w:rFonts w:ascii="Arial" w:hAnsi="Arial" w:cs="Arial"/>
                <w:sz w:val="20"/>
                <w:szCs w:val="20"/>
              </w:rPr>
            </w:pPr>
            <w:r>
              <w:rPr>
                <w:rFonts w:ascii="Arial" w:hAnsi="Arial" w:cs="Arial"/>
                <w:sz w:val="20"/>
                <w:szCs w:val="20"/>
              </w:rPr>
              <w:t xml:space="preserve">Counselling Psychology </w:t>
            </w:r>
          </w:p>
        </w:tc>
        <w:tc>
          <w:tcPr>
            <w:tcW w:w="2577" w:type="dxa"/>
          </w:tcPr>
          <w:p>
            <w:pPr>
              <w:rPr>
                <w:rFonts w:ascii="Arial" w:hAnsi="Arial" w:cs="Arial"/>
                <w:sz w:val="20"/>
                <w:szCs w:val="20"/>
              </w:rPr>
            </w:pPr>
            <w:r>
              <w:rPr>
                <w:rFonts w:ascii="Arial" w:hAnsi="Arial" w:cs="Arial"/>
                <w:sz w:val="20"/>
                <w:szCs w:val="20"/>
              </w:rPr>
              <w:t xml:space="preserve">Occupational Psychology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08" w:type="dxa"/>
            <w:gridSpan w:val="4"/>
          </w:tcPr>
          <w:p>
            <w:pPr>
              <w:rPr>
                <w:rFonts w:ascii="Arial" w:hAnsi="Arial" w:cs="Arial"/>
                <w:i/>
                <w:iCs/>
                <w:sz w:val="20"/>
                <w:szCs w:val="20"/>
              </w:rPr>
            </w:pPr>
          </w:p>
          <w:p>
            <w:pPr>
              <w:rPr>
                <w:rFonts w:ascii="Arial" w:hAnsi="Arial" w:cs="Arial"/>
                <w:sz w:val="20"/>
                <w:szCs w:val="20"/>
              </w:rPr>
            </w:pPr>
          </w:p>
        </w:tc>
      </w:tr>
    </w:tbl>
    <w:p>
      <w:pPr>
        <w:rPr>
          <w:sz w:val="32"/>
          <w:szCs w:val="12"/>
        </w:rPr>
      </w:pPr>
    </w:p>
    <w:p>
      <w:pPr>
        <w:rPr>
          <w:rFonts w:ascii="Arial" w:hAnsi="Arial" w:cs="Arial"/>
          <w:b/>
          <w:bCs/>
          <w:sz w:val="20"/>
          <w:szCs w:val="20"/>
        </w:rPr>
      </w:pPr>
      <w:r>
        <w:rPr>
          <w:rFonts w:ascii="Arial" w:hAnsi="Arial" w:cs="Arial"/>
          <w:b/>
          <w:bCs/>
          <w:sz w:val="20"/>
          <w:szCs w:val="20"/>
        </w:rPr>
        <w:t xml:space="preserve">Proposed Study Design (tick all that apply) </w:t>
      </w:r>
    </w:p>
    <w:p>
      <w:pPr>
        <w:rPr>
          <w:rFonts w:ascii="Arial" w:hAnsi="Arial" w:cs="Arial"/>
          <w:b/>
          <w:bCs/>
          <w:sz w:val="20"/>
          <w:szCs w:val="20"/>
        </w:rPr>
      </w:pPr>
    </w:p>
    <w:p>
      <w:pPr>
        <w:rPr>
          <w:rFonts w:ascii="Arial" w:hAnsi="Arial" w:cs="Arial"/>
          <w:b/>
          <w:bCs/>
          <w:sz w:val="20"/>
          <w:szCs w:val="20"/>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7"/>
        <w:gridCol w:w="2577"/>
        <w:gridCol w:w="2577"/>
        <w:gridCol w:w="2577"/>
      </w:tblGrid>
      <w:tr>
        <w:tc>
          <w:tcPr>
            <w:tcW w:w="2577" w:type="dxa"/>
          </w:tcPr>
          <w:p>
            <w:pPr>
              <w:rPr>
                <w:rFonts w:ascii="Arial" w:hAnsi="Arial" w:cs="Arial"/>
                <w:sz w:val="20"/>
                <w:szCs w:val="20"/>
              </w:rPr>
            </w:pPr>
            <w:r>
              <w:rPr>
                <w:rFonts w:ascii="Arial" w:hAnsi="Arial" w:cs="Arial"/>
                <w:sz w:val="20"/>
                <w:szCs w:val="20"/>
              </w:rPr>
              <w:t xml:space="preserve">Quantitative </w:t>
            </w:r>
          </w:p>
          <w:p>
            <w:pPr>
              <w:rPr>
                <w:rFonts w:hint="default" w:ascii="Arial" w:hAnsi="Arial" w:cs="Arial"/>
                <w:sz w:val="20"/>
                <w:szCs w:val="20"/>
                <w:lang w:val="en-US"/>
              </w:rPr>
            </w:pPr>
            <w:r>
              <w:rPr>
                <w:rFonts w:hint="default" w:ascii="Arial" w:hAnsi="Arial" w:cs="Arial"/>
                <w:sz w:val="20"/>
                <w:szCs w:val="20"/>
                <w:lang w:val="en-US"/>
              </w:rPr>
              <w:t>/</w:t>
            </w:r>
          </w:p>
        </w:tc>
        <w:tc>
          <w:tcPr>
            <w:tcW w:w="2577" w:type="dxa"/>
          </w:tcPr>
          <w:p>
            <w:pPr>
              <w:rPr>
                <w:rFonts w:ascii="Arial" w:hAnsi="Arial" w:cs="Arial"/>
                <w:sz w:val="20"/>
                <w:szCs w:val="20"/>
              </w:rPr>
            </w:pPr>
            <w:r>
              <w:rPr>
                <w:rFonts w:ascii="Arial" w:hAnsi="Arial" w:cs="Arial"/>
                <w:sz w:val="20"/>
                <w:szCs w:val="20"/>
              </w:rPr>
              <w:t xml:space="preserve">Experimental </w:t>
            </w:r>
          </w:p>
        </w:tc>
        <w:tc>
          <w:tcPr>
            <w:tcW w:w="2577" w:type="dxa"/>
          </w:tcPr>
          <w:p>
            <w:pPr>
              <w:rPr>
                <w:rFonts w:hint="default" w:ascii="Arial" w:hAnsi="Arial" w:cs="Arial"/>
                <w:sz w:val="20"/>
                <w:szCs w:val="20"/>
                <w:lang w:val="en-US"/>
              </w:rPr>
            </w:pPr>
            <w:r>
              <w:rPr>
                <w:rFonts w:ascii="Arial" w:hAnsi="Arial" w:cs="Arial"/>
                <w:sz w:val="20"/>
                <w:szCs w:val="20"/>
              </w:rPr>
              <w:t xml:space="preserve">Applied (with UWTSD students </w:t>
            </w:r>
            <w:r>
              <w:rPr>
                <w:rFonts w:hint="default" w:ascii="Arial" w:hAnsi="Arial" w:cs="Arial"/>
                <w:sz w:val="20"/>
                <w:szCs w:val="20"/>
                <w:lang w:val="en-US"/>
              </w:rPr>
              <w:t>/</w:t>
            </w:r>
          </w:p>
          <w:p>
            <w:pPr>
              <w:rPr>
                <w:rFonts w:ascii="Arial" w:hAnsi="Arial" w:cs="Arial"/>
                <w:sz w:val="20"/>
                <w:szCs w:val="20"/>
              </w:rPr>
            </w:pPr>
          </w:p>
        </w:tc>
        <w:tc>
          <w:tcPr>
            <w:tcW w:w="2577" w:type="dxa"/>
          </w:tcPr>
          <w:p>
            <w:pPr>
              <w:rPr>
                <w:rFonts w:hint="default" w:ascii="Arial" w:hAnsi="Arial" w:cs="Arial"/>
                <w:sz w:val="20"/>
                <w:szCs w:val="20"/>
                <w:lang w:val="en-US"/>
              </w:rPr>
            </w:pPr>
            <w:r>
              <w:rPr>
                <w:rFonts w:ascii="Arial" w:hAnsi="Arial" w:cs="Arial"/>
                <w:sz w:val="20"/>
                <w:szCs w:val="20"/>
              </w:rPr>
              <w:t xml:space="preserve">Online Questionnaire Survey </w:t>
            </w:r>
            <w:r>
              <w:rPr>
                <w:rFonts w:hint="default" w:ascii="Arial" w:hAnsi="Arial" w:cs="Arial"/>
                <w:sz w:val="20"/>
                <w:szCs w:val="20"/>
                <w:lang w:val="en-US"/>
              </w:rPr>
              <w:t>/</w:t>
            </w:r>
          </w:p>
        </w:tc>
      </w:tr>
      <w:tr>
        <w:tc>
          <w:tcPr>
            <w:tcW w:w="2577" w:type="dxa"/>
          </w:tcPr>
          <w:p>
            <w:pPr>
              <w:rPr>
                <w:rFonts w:ascii="Arial" w:hAnsi="Arial" w:cs="Arial"/>
                <w:sz w:val="20"/>
                <w:szCs w:val="20"/>
              </w:rPr>
            </w:pPr>
            <w:r>
              <w:rPr>
                <w:rFonts w:ascii="Arial" w:hAnsi="Arial" w:cs="Arial"/>
                <w:sz w:val="20"/>
                <w:szCs w:val="20"/>
              </w:rPr>
              <w:t xml:space="preserve">Qualitative </w:t>
            </w:r>
          </w:p>
          <w:p>
            <w:pPr>
              <w:rPr>
                <w:rFonts w:ascii="Arial" w:hAnsi="Arial" w:cs="Arial"/>
                <w:sz w:val="20"/>
                <w:szCs w:val="20"/>
              </w:rPr>
            </w:pPr>
          </w:p>
        </w:tc>
        <w:tc>
          <w:tcPr>
            <w:tcW w:w="2577" w:type="dxa"/>
          </w:tcPr>
          <w:p>
            <w:pPr>
              <w:rPr>
                <w:rFonts w:ascii="Arial" w:hAnsi="Arial" w:cs="Arial"/>
                <w:sz w:val="20"/>
                <w:szCs w:val="20"/>
              </w:rPr>
            </w:pPr>
            <w:r>
              <w:rPr>
                <w:rFonts w:ascii="Arial" w:hAnsi="Arial" w:cs="Arial"/>
                <w:sz w:val="20"/>
                <w:szCs w:val="20"/>
              </w:rPr>
              <w:t xml:space="preserve">Quasi Experimental </w:t>
            </w:r>
          </w:p>
          <w:p>
            <w:pPr>
              <w:rPr>
                <w:rFonts w:ascii="Arial" w:hAnsi="Arial" w:cs="Arial"/>
                <w:sz w:val="20"/>
                <w:szCs w:val="20"/>
              </w:rPr>
            </w:pPr>
          </w:p>
          <w:p>
            <w:pPr>
              <w:rPr>
                <w:rFonts w:ascii="Arial" w:hAnsi="Arial" w:cs="Arial"/>
                <w:sz w:val="20"/>
                <w:szCs w:val="20"/>
              </w:rPr>
            </w:pPr>
          </w:p>
        </w:tc>
        <w:tc>
          <w:tcPr>
            <w:tcW w:w="2577" w:type="dxa"/>
          </w:tcPr>
          <w:p>
            <w:pPr>
              <w:rPr>
                <w:rFonts w:ascii="Arial" w:hAnsi="Arial" w:cs="Arial"/>
                <w:sz w:val="20"/>
                <w:szCs w:val="20"/>
              </w:rPr>
            </w:pPr>
            <w:r>
              <w:rPr>
                <w:rFonts w:ascii="Arial" w:hAnsi="Arial" w:cs="Arial"/>
                <w:sz w:val="20"/>
                <w:szCs w:val="20"/>
              </w:rPr>
              <w:t>Focus Groups</w:t>
            </w:r>
          </w:p>
        </w:tc>
        <w:tc>
          <w:tcPr>
            <w:tcW w:w="2577" w:type="dxa"/>
          </w:tcPr>
          <w:p>
            <w:pPr>
              <w:rPr>
                <w:rFonts w:ascii="Arial" w:hAnsi="Arial" w:cs="Arial"/>
                <w:sz w:val="20"/>
                <w:szCs w:val="20"/>
              </w:rPr>
            </w:pPr>
            <w:r>
              <w:rPr>
                <w:rFonts w:ascii="Arial" w:hAnsi="Arial" w:cs="Arial"/>
                <w:sz w:val="20"/>
                <w:szCs w:val="20"/>
              </w:rPr>
              <w:t xml:space="preserve">Online  </w:t>
            </w:r>
          </w:p>
          <w:p>
            <w:pPr>
              <w:rPr>
                <w:rFonts w:hint="default" w:ascii="Arial" w:hAnsi="Arial" w:cs="Arial"/>
                <w:sz w:val="20"/>
                <w:szCs w:val="20"/>
                <w:lang w:val="en-US"/>
              </w:rPr>
            </w:pPr>
            <w:r>
              <w:rPr>
                <w:rFonts w:hint="default" w:ascii="Arial" w:hAnsi="Arial" w:cs="Arial"/>
                <w:sz w:val="20"/>
                <w:szCs w:val="20"/>
                <w:lang w:val="en-U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77" w:type="dxa"/>
          </w:tcPr>
          <w:p>
            <w:pPr>
              <w:rPr>
                <w:rFonts w:ascii="Arial" w:hAnsi="Arial" w:cs="Arial"/>
                <w:sz w:val="20"/>
                <w:szCs w:val="20"/>
              </w:rPr>
            </w:pPr>
            <w:r>
              <w:rPr>
                <w:rFonts w:ascii="Arial" w:hAnsi="Arial" w:cs="Arial"/>
                <w:sz w:val="20"/>
                <w:szCs w:val="20"/>
              </w:rPr>
              <w:t xml:space="preserve">Mixed Methods </w:t>
            </w:r>
          </w:p>
          <w:p>
            <w:pPr>
              <w:rPr>
                <w:rFonts w:ascii="Arial" w:hAnsi="Arial" w:cs="Arial"/>
                <w:sz w:val="20"/>
                <w:szCs w:val="20"/>
              </w:rPr>
            </w:pPr>
          </w:p>
        </w:tc>
        <w:tc>
          <w:tcPr>
            <w:tcW w:w="2577" w:type="dxa"/>
          </w:tcPr>
          <w:p>
            <w:pPr>
              <w:rPr>
                <w:rFonts w:ascii="Arial" w:hAnsi="Arial" w:cs="Arial"/>
                <w:sz w:val="20"/>
                <w:szCs w:val="20"/>
              </w:rPr>
            </w:pPr>
            <w:r>
              <w:rPr>
                <w:rFonts w:ascii="Arial" w:hAnsi="Arial" w:cs="Arial"/>
                <w:sz w:val="20"/>
                <w:szCs w:val="20"/>
              </w:rPr>
              <w:t xml:space="preserve">Applied (with external organisation) </w:t>
            </w:r>
          </w:p>
        </w:tc>
        <w:tc>
          <w:tcPr>
            <w:tcW w:w="2577" w:type="dxa"/>
          </w:tcPr>
          <w:p>
            <w:pPr>
              <w:rPr>
                <w:rFonts w:ascii="Arial" w:hAnsi="Arial" w:cs="Arial"/>
                <w:sz w:val="20"/>
                <w:szCs w:val="20"/>
              </w:rPr>
            </w:pPr>
            <w:r>
              <w:rPr>
                <w:rFonts w:ascii="Arial" w:hAnsi="Arial" w:cs="Arial"/>
                <w:sz w:val="20"/>
                <w:szCs w:val="20"/>
              </w:rPr>
              <w:t xml:space="preserve">Interviews </w:t>
            </w:r>
          </w:p>
          <w:p>
            <w:pPr>
              <w:rPr>
                <w:rFonts w:ascii="Arial" w:hAnsi="Arial" w:cs="Arial"/>
                <w:sz w:val="20"/>
                <w:szCs w:val="20"/>
              </w:rPr>
            </w:pPr>
          </w:p>
          <w:p>
            <w:pPr>
              <w:rPr>
                <w:rFonts w:ascii="Arial" w:hAnsi="Arial" w:cs="Arial"/>
                <w:sz w:val="20"/>
                <w:szCs w:val="20"/>
              </w:rPr>
            </w:pPr>
          </w:p>
          <w:p>
            <w:pPr>
              <w:rPr>
                <w:rFonts w:ascii="Arial" w:hAnsi="Arial" w:cs="Arial"/>
                <w:sz w:val="20"/>
                <w:szCs w:val="20"/>
              </w:rPr>
            </w:pPr>
          </w:p>
        </w:tc>
        <w:tc>
          <w:tcPr>
            <w:tcW w:w="2577" w:type="dxa"/>
          </w:tcPr>
          <w:p>
            <w:pPr>
              <w:rPr>
                <w:rFonts w:ascii="Arial" w:hAnsi="Arial" w:cs="Arial"/>
                <w:sz w:val="20"/>
                <w:szCs w:val="20"/>
              </w:rPr>
            </w:pPr>
            <w:r>
              <w:rPr>
                <w:rFonts w:ascii="Arial" w:hAnsi="Arial" w:cs="Arial"/>
                <w:sz w:val="20"/>
                <w:szCs w:val="20"/>
              </w:rPr>
              <w:t xml:space="preserve">Lab-based study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154" w:type="dxa"/>
            <w:gridSpan w:val="2"/>
          </w:tcPr>
          <w:p>
            <w:pPr>
              <w:rPr>
                <w:rFonts w:ascii="Arial" w:hAnsi="Arial" w:cs="Arial"/>
                <w:i/>
                <w:iCs/>
                <w:sz w:val="24"/>
                <w:szCs w:val="24"/>
              </w:rPr>
            </w:pPr>
          </w:p>
          <w:p>
            <w:pPr>
              <w:rPr>
                <w:rFonts w:hint="default" w:ascii="Arial" w:hAnsi="Arial" w:cs="Arial"/>
                <w:i/>
                <w:iCs/>
                <w:sz w:val="24"/>
                <w:szCs w:val="24"/>
                <w:lang w:val="en-US"/>
              </w:rPr>
            </w:pPr>
            <w:r>
              <w:rPr>
                <w:rFonts w:hint="default" w:ascii="Arial" w:hAnsi="Arial" w:cs="Arial"/>
                <w:i/>
                <w:iCs/>
                <w:sz w:val="24"/>
                <w:szCs w:val="24"/>
                <w:lang w:val="en-US"/>
              </w:rPr>
              <w:t xml:space="preserve">To gain approval for the study an ethics form will be issued to the school of research ethics to receive approval of the study to be taken place by UWTSD  and the involvement of UWTSD students. </w:t>
            </w:r>
          </w:p>
          <w:p>
            <w:pPr>
              <w:rPr>
                <w:rFonts w:ascii="Arial" w:hAnsi="Arial" w:cs="Arial"/>
                <w:i/>
                <w:iCs/>
                <w:sz w:val="24"/>
                <w:szCs w:val="24"/>
              </w:rPr>
            </w:pPr>
          </w:p>
          <w:p>
            <w:pPr>
              <w:rPr>
                <w:rFonts w:ascii="Arial" w:hAnsi="Arial" w:cs="Arial"/>
                <w:i/>
                <w:iCs/>
                <w:sz w:val="24"/>
                <w:szCs w:val="24"/>
              </w:rPr>
            </w:pPr>
          </w:p>
          <w:p>
            <w:pPr>
              <w:rPr>
                <w:rFonts w:ascii="Arial" w:hAnsi="Arial" w:cs="Arial"/>
                <w:i/>
                <w:iCs/>
                <w:sz w:val="24"/>
                <w:szCs w:val="24"/>
              </w:rPr>
            </w:pPr>
          </w:p>
          <w:p>
            <w:pPr>
              <w:rPr>
                <w:rFonts w:ascii="Arial" w:hAnsi="Arial" w:cs="Arial"/>
                <w:i/>
                <w:iCs/>
                <w:sz w:val="24"/>
                <w:szCs w:val="24"/>
              </w:rPr>
            </w:pPr>
          </w:p>
          <w:p>
            <w:pPr>
              <w:rPr>
                <w:rFonts w:ascii="Arial" w:hAnsi="Arial" w:cs="Arial"/>
                <w:i/>
                <w:iCs/>
                <w:sz w:val="24"/>
                <w:szCs w:val="24"/>
              </w:rPr>
            </w:pPr>
          </w:p>
          <w:p>
            <w:pPr>
              <w:rPr>
                <w:rFonts w:ascii="Arial" w:hAnsi="Arial" w:cs="Arial"/>
                <w:sz w:val="24"/>
                <w:szCs w:val="24"/>
              </w:rPr>
            </w:pPr>
          </w:p>
        </w:tc>
        <w:tc>
          <w:tcPr>
            <w:tcW w:w="5154" w:type="dxa"/>
            <w:gridSpan w:val="2"/>
          </w:tcPr>
          <w:p>
            <w:pPr>
              <w:rPr>
                <w:rFonts w:ascii="Arial" w:hAnsi="Arial" w:cs="Arial"/>
                <w:i/>
                <w:iCs/>
                <w:sz w:val="20"/>
                <w:szCs w:val="20"/>
              </w:rPr>
            </w:pPr>
          </w:p>
          <w:p>
            <w:pPr>
              <w:rPr>
                <w:rFonts w:ascii="Arial" w:hAnsi="Arial" w:cs="Arial"/>
                <w:sz w:val="20"/>
                <w:szCs w:val="20"/>
              </w:rPr>
            </w:pPr>
          </w:p>
        </w:tc>
      </w:tr>
    </w:tbl>
    <w:p>
      <w:pPr>
        <w:rPr>
          <w:sz w:val="32"/>
          <w:szCs w:val="12"/>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68" w:type="dxa"/>
          </w:tcPr>
          <w:p>
            <w:pPr>
              <w:rPr>
                <w:rFonts w:hint="default" w:ascii="Arial" w:hAnsi="Arial" w:cs="Arial"/>
                <w:sz w:val="20"/>
                <w:lang w:val="en-US"/>
              </w:rPr>
            </w:pPr>
            <w:r>
              <w:rPr>
                <w:rFonts w:ascii="Arial" w:hAnsi="Arial" w:cs="Arial"/>
                <w:b/>
                <w:sz w:val="20"/>
              </w:rPr>
              <w:t xml:space="preserve">Suggested Research Title/Area: </w:t>
            </w:r>
            <w:r>
              <w:rPr>
                <w:rFonts w:hint="default" w:ascii="Arial" w:hAnsi="Arial" w:cs="Arial"/>
                <w:sz w:val="20"/>
                <w:lang w:val="en-US"/>
              </w:rPr>
              <w:t>To explore the perceived barriers and motivators to engaging in sport or exercise in females.</w:t>
            </w:r>
          </w:p>
          <w:p/>
        </w:tc>
      </w:tr>
    </w:tbl>
    <w:p>
      <w:pPr>
        <w:rPr>
          <w:sz w:val="32"/>
          <w:szCs w:val="12"/>
        </w:rPr>
      </w:pPr>
    </w:p>
    <w:p>
      <w:pPr>
        <w:rPr>
          <w:sz w:val="32"/>
          <w:szCs w:val="12"/>
        </w:rPr>
      </w:pPr>
    </w:p>
    <w:p>
      <w:pPr>
        <w:rPr>
          <w:rFonts w:ascii="Arial" w:hAnsi="Arial" w:cs="Arial"/>
          <w:b/>
          <w:sz w:val="32"/>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68" w:type="dxa"/>
          </w:tcPr>
          <w:p>
            <w:pPr>
              <w:rPr>
                <w:rFonts w:ascii="Arial" w:hAnsi="Arial" w:cs="Arial"/>
                <w:b/>
                <w:sz w:val="20"/>
              </w:rPr>
            </w:pPr>
            <w:r>
              <w:rPr>
                <w:rFonts w:ascii="Arial" w:hAnsi="Arial" w:cs="Arial"/>
                <w:b/>
                <w:sz w:val="20"/>
              </w:rPr>
              <w:t xml:space="preserve">Background: 250 words </w:t>
            </w:r>
          </w:p>
          <w:p>
            <w:pPr>
              <w:rPr>
                <w:rFonts w:ascii="Arial" w:hAnsi="Arial" w:cs="Arial"/>
                <w:sz w:val="20"/>
              </w:rPr>
            </w:pPr>
            <w:r>
              <w:rPr>
                <w:rFonts w:ascii="Arial" w:hAnsi="Arial" w:cs="Arial"/>
                <w:b/>
                <w:sz w:val="20"/>
              </w:rPr>
              <w:t xml:space="preserve">Why is your study important? What theory and empirical research evidence supports your research question? </w:t>
            </w:r>
            <w:r>
              <w:rPr>
                <w:rFonts w:ascii="Arial" w:hAnsi="Arial" w:cs="Arial"/>
                <w:sz w:val="20"/>
              </w:rPr>
              <w:t xml:space="preserve">(Please provide a rationale for your study including a brief review of relevant psychological literature and theory and a minimum of five references). </w:t>
            </w:r>
          </w:p>
          <w:p>
            <w:pPr>
              <w:rPr>
                <w:rFonts w:ascii="Arial" w:hAnsi="Arial" w:cs="Arial"/>
                <w:sz w:val="20"/>
              </w:rPr>
            </w:pPr>
          </w:p>
          <w:p>
            <w:pPr>
              <w:rPr>
                <w:rFonts w:hint="default" w:ascii="Times New Roman Regular" w:hAnsi="Times New Roman Regular" w:eastAsia="tim" w:cs="Times New Roman Regular"/>
                <w:sz w:val="24"/>
                <w:szCs w:val="24"/>
                <w:lang w:val="en-US"/>
              </w:rPr>
            </w:pPr>
            <w:r>
              <w:rPr>
                <w:rFonts w:hint="default" w:ascii="Times New Roman Regular" w:hAnsi="Times New Roman Regular" w:eastAsia="tim" w:cs="Times New Roman Regular"/>
                <w:sz w:val="24"/>
                <w:szCs w:val="24"/>
                <w:lang w:val="en-US"/>
              </w:rPr>
              <w:t>Exploring what main barriers are in place when engaging in physical exercise and sports but also what the main motivators are that help encourage females in sports and exercise, following how females can be emotionally effected by these barriers but also the difference in emotions within barrier factors and motivational factors. the rationale to identify what barriers and motivators are commonly perceived by females. Researching into previous psychological literature there have been many studies conducted linking to motivation and participation in females such as (Belanger et al., 2009) study examined females and stated girls are often less motivated to participate in in community sport compared to males whereas another study, (Murray et al., 2022) that examined understanding motivation in sport for females found that found a relation towards physical self-concept fully mediated relationship between social- identity and controlled motivators. Looking into other forms of motivators such as the study (Homan et al., 2018) found that extrinsic motivators cause higher risk of eating disorders within women participating in competitive high intensity sports. Whereas intrinsic motivators lead to lower risks of developing an eating disorders. Suggesting barriers within main research topic the study (El Ansari &amp; Lovell, 2009) consisted of women of age grouped younger (20-27) and older (28-35). Number of children noted by each participant found barriers that resulted in a elation towards time in the sub-scale questionnaire used and relating to the number of children, but older women experiencing higher barriers links that prevent them to exercise. This study will be examining perceived barriers and motivators.theories involving females and sport are the conflict theory (Eitzen, 1988) recgnised as social system which is dominated by males and to promote economic exploitation . The feminist theory around sports promotes that open to political or critical practices committed and not just to examine gender in sport but to influence the change of these dynamics. (Burke, 2001)</w:t>
            </w:r>
          </w:p>
          <w:p>
            <w:pPr>
              <w:rPr>
                <w:rFonts w:hint="default" w:ascii="Times New Roman Regular" w:hAnsi="Times New Roman Regular" w:eastAsia="tim" w:cs="Times New Roman Regular"/>
                <w:sz w:val="24"/>
                <w:szCs w:val="24"/>
                <w:lang w:val="en-US"/>
              </w:rPr>
            </w:pPr>
          </w:p>
          <w:p>
            <w:pPr>
              <w:rPr>
                <w:rFonts w:hint="default" w:ascii="Times New Roman" w:hAnsi="Times New Roman" w:cs="Times New Roman"/>
                <w:i w:val="0"/>
                <w:iCs w:val="0"/>
                <w:caps w:val="0"/>
                <w:color w:val="000000"/>
                <w:spacing w:val="0"/>
                <w:sz w:val="24"/>
                <w:szCs w:val="24"/>
                <w:u w:val="none"/>
              </w:rPr>
            </w:pPr>
            <w:r>
              <w:rPr>
                <w:rFonts w:hint="default" w:ascii="Times New Roman" w:hAnsi="Times New Roman" w:cs="Times New Roman"/>
                <w:i w:val="0"/>
                <w:iCs w:val="0"/>
                <w:caps w:val="0"/>
                <w:color w:val="000000"/>
                <w:spacing w:val="0"/>
                <w:sz w:val="24"/>
                <w:szCs w:val="24"/>
                <w:u w:val="none"/>
                <w:shd w:val="clear" w:fill="FFFFFF"/>
              </w:rPr>
              <w:t>References</w:t>
            </w:r>
          </w:p>
          <w:p>
            <w:pPr>
              <w:pStyle w:val="8"/>
              <w:keepNext w:val="0"/>
              <w:keepLines w:val="0"/>
              <w:widowControl/>
              <w:suppressLineNumbers w:val="0"/>
              <w:pBdr>
                <w:left w:val="none" w:color="auto" w:sz="0" w:space="0"/>
              </w:pBdr>
              <w:shd w:val="clear" w:fill="FFFFFF"/>
              <w:spacing w:before="0" w:beforeAutospacing="0" w:after="0" w:afterAutospacing="0" w:line="640" w:lineRule="atLeast"/>
              <w:ind w:left="0" w:firstLine="0"/>
              <w:rPr>
                <w:rFonts w:hint="default" w:ascii="Times New Roman" w:hAnsi="Times New Roman" w:cs="Times New Roman"/>
                <w:i w:val="0"/>
                <w:iCs w:val="0"/>
                <w:caps w:val="0"/>
                <w:color w:val="000000"/>
                <w:spacing w:val="0"/>
                <w:sz w:val="24"/>
                <w:szCs w:val="24"/>
                <w:u w:val="none"/>
              </w:rPr>
            </w:pPr>
            <w:r>
              <w:rPr>
                <w:rFonts w:hint="default" w:ascii="Times New Roman" w:hAnsi="Times New Roman" w:cs="Times New Roman"/>
                <w:i w:val="0"/>
                <w:iCs w:val="0"/>
                <w:caps w:val="0"/>
                <w:color w:val="000000"/>
                <w:spacing w:val="0"/>
                <w:sz w:val="24"/>
                <w:szCs w:val="24"/>
                <w:u w:val="none"/>
                <w:bdr w:val="none" w:color="auto" w:sz="0" w:space="0"/>
                <w:shd w:val="clear" w:fill="FFFFFF"/>
              </w:rPr>
              <w:t>Aily, J. B., Carnaz, L., Farche, A. C. S., Takahashi, A. C. de M., Aily, J. B., Carnaz, L., Farche, A. C. S., &amp; Takahashi, A. C. de M. (2017). Perception of barriers to physical exercise in women population over 60. </w:t>
            </w:r>
            <w:r>
              <w:rPr>
                <w:rFonts w:hint="default" w:ascii="Times New Roman" w:hAnsi="Times New Roman" w:cs="Times New Roman"/>
                <w:i/>
                <w:iCs/>
                <w:caps w:val="0"/>
                <w:color w:val="000000"/>
                <w:spacing w:val="0"/>
                <w:sz w:val="24"/>
                <w:szCs w:val="24"/>
                <w:u w:val="none"/>
                <w:bdr w:val="none" w:color="auto" w:sz="0" w:space="0"/>
                <w:shd w:val="clear" w:fill="FFFFFF"/>
              </w:rPr>
              <w:t>Motriz: Revista de Educação Física</w:t>
            </w:r>
            <w:r>
              <w:rPr>
                <w:rFonts w:hint="default" w:ascii="Times New Roman" w:hAnsi="Times New Roman" w:cs="Times New Roman"/>
                <w:i w:val="0"/>
                <w:iCs w:val="0"/>
                <w:caps w:val="0"/>
                <w:color w:val="000000"/>
                <w:spacing w:val="0"/>
                <w:sz w:val="24"/>
                <w:szCs w:val="24"/>
                <w:u w:val="none"/>
                <w:bdr w:val="none" w:color="auto" w:sz="0" w:space="0"/>
                <w:shd w:val="clear" w:fill="FFFFFF"/>
              </w:rPr>
              <w:t>, </w:t>
            </w:r>
            <w:r>
              <w:rPr>
                <w:rFonts w:hint="default" w:ascii="Times New Roman" w:hAnsi="Times New Roman" w:cs="Times New Roman"/>
                <w:i/>
                <w:iCs/>
                <w:caps w:val="0"/>
                <w:color w:val="000000"/>
                <w:spacing w:val="0"/>
                <w:sz w:val="24"/>
                <w:szCs w:val="24"/>
                <w:u w:val="none"/>
                <w:bdr w:val="none" w:color="auto" w:sz="0" w:space="0"/>
                <w:shd w:val="clear" w:fill="FFFFFF"/>
              </w:rPr>
              <w:t>23</w:t>
            </w:r>
            <w:r>
              <w:rPr>
                <w:rFonts w:hint="default" w:ascii="Times New Roman" w:hAnsi="Times New Roman" w:cs="Times New Roman"/>
                <w:i w:val="0"/>
                <w:iCs w:val="0"/>
                <w:caps w:val="0"/>
                <w:color w:val="000000"/>
                <w:spacing w:val="0"/>
                <w:sz w:val="24"/>
                <w:szCs w:val="24"/>
                <w:u w:val="none"/>
                <w:bdr w:val="none" w:color="auto" w:sz="0" w:space="0"/>
                <w:shd w:val="clear" w:fill="FFFFFF"/>
              </w:rPr>
              <w:t>(2). https://doi.org/10.1590/s1980-6574201700020012</w:t>
            </w:r>
          </w:p>
          <w:p>
            <w:pPr>
              <w:pStyle w:val="8"/>
              <w:keepNext w:val="0"/>
              <w:keepLines w:val="0"/>
              <w:widowControl/>
              <w:suppressLineNumbers w:val="0"/>
              <w:pBdr>
                <w:left w:val="none" w:color="auto" w:sz="0" w:space="0"/>
              </w:pBdr>
              <w:shd w:val="clear" w:fill="FFFFFF"/>
              <w:spacing w:before="0" w:beforeAutospacing="0" w:after="0" w:afterAutospacing="0" w:line="640" w:lineRule="atLeast"/>
              <w:ind w:left="0" w:firstLine="0"/>
              <w:rPr>
                <w:rFonts w:hint="default" w:ascii="Times New Roman" w:hAnsi="Times New Roman" w:cs="Times New Roman"/>
                <w:i w:val="0"/>
                <w:iCs w:val="0"/>
                <w:caps w:val="0"/>
                <w:color w:val="000000"/>
                <w:spacing w:val="0"/>
                <w:sz w:val="24"/>
                <w:szCs w:val="24"/>
                <w:u w:val="none"/>
              </w:rPr>
            </w:pPr>
            <w:r>
              <w:rPr>
                <w:rFonts w:hint="default" w:ascii="Times New Roman" w:hAnsi="Times New Roman" w:cs="Times New Roman"/>
                <w:i w:val="0"/>
                <w:iCs w:val="0"/>
                <w:caps w:val="0"/>
                <w:color w:val="000000"/>
                <w:spacing w:val="0"/>
                <w:sz w:val="24"/>
                <w:szCs w:val="24"/>
                <w:u w:val="none"/>
                <w:bdr w:val="none" w:color="auto" w:sz="0" w:space="0"/>
                <w:shd w:val="clear" w:fill="FFFFFF"/>
              </w:rPr>
              <w:t>Bélanger, M., Gray-Donald, K., O’Loughlin, J., Paradis, G., &amp; Hanley, J. (2009). When Adolescents Drop the Ball. </w:t>
            </w:r>
            <w:r>
              <w:rPr>
                <w:rFonts w:hint="default" w:ascii="Times New Roman" w:hAnsi="Times New Roman" w:cs="Times New Roman"/>
                <w:i/>
                <w:iCs/>
                <w:caps w:val="0"/>
                <w:color w:val="000000"/>
                <w:spacing w:val="0"/>
                <w:sz w:val="24"/>
                <w:szCs w:val="24"/>
                <w:u w:val="none"/>
                <w:bdr w:val="none" w:color="auto" w:sz="0" w:space="0"/>
                <w:shd w:val="clear" w:fill="FFFFFF"/>
              </w:rPr>
              <w:t>American Journal of Preventive Medicine</w:t>
            </w:r>
            <w:r>
              <w:rPr>
                <w:rFonts w:hint="default" w:ascii="Times New Roman" w:hAnsi="Times New Roman" w:cs="Times New Roman"/>
                <w:i w:val="0"/>
                <w:iCs w:val="0"/>
                <w:caps w:val="0"/>
                <w:color w:val="000000"/>
                <w:spacing w:val="0"/>
                <w:sz w:val="24"/>
                <w:szCs w:val="24"/>
                <w:u w:val="none"/>
                <w:bdr w:val="none" w:color="auto" w:sz="0" w:space="0"/>
                <w:shd w:val="clear" w:fill="FFFFFF"/>
              </w:rPr>
              <w:t>, </w:t>
            </w:r>
            <w:r>
              <w:rPr>
                <w:rFonts w:hint="default" w:ascii="Times New Roman" w:hAnsi="Times New Roman" w:cs="Times New Roman"/>
                <w:i/>
                <w:iCs/>
                <w:caps w:val="0"/>
                <w:color w:val="000000"/>
                <w:spacing w:val="0"/>
                <w:sz w:val="24"/>
                <w:szCs w:val="24"/>
                <w:u w:val="none"/>
                <w:bdr w:val="none" w:color="auto" w:sz="0" w:space="0"/>
                <w:shd w:val="clear" w:fill="FFFFFF"/>
              </w:rPr>
              <w:t>37</w:t>
            </w:r>
            <w:r>
              <w:rPr>
                <w:rFonts w:hint="default" w:ascii="Times New Roman" w:hAnsi="Times New Roman" w:cs="Times New Roman"/>
                <w:i w:val="0"/>
                <w:iCs w:val="0"/>
                <w:caps w:val="0"/>
                <w:color w:val="000000"/>
                <w:spacing w:val="0"/>
                <w:sz w:val="24"/>
                <w:szCs w:val="24"/>
                <w:u w:val="none"/>
                <w:bdr w:val="none" w:color="auto" w:sz="0" w:space="0"/>
                <w:shd w:val="clear" w:fill="FFFFFF"/>
              </w:rPr>
              <w:t>(1), 41–49. https://doi.org/10.1016/j.amepre.2009.04.002</w:t>
            </w:r>
          </w:p>
          <w:p>
            <w:pPr>
              <w:pStyle w:val="8"/>
              <w:keepNext w:val="0"/>
              <w:keepLines w:val="0"/>
              <w:widowControl/>
              <w:suppressLineNumbers w:val="0"/>
              <w:pBdr>
                <w:left w:val="none" w:color="auto" w:sz="0" w:space="0"/>
              </w:pBdr>
              <w:shd w:val="clear" w:fill="FFFFFF"/>
              <w:spacing w:before="0" w:beforeAutospacing="0" w:after="0" w:afterAutospacing="0" w:line="640" w:lineRule="atLeast"/>
              <w:ind w:left="0" w:firstLine="0"/>
              <w:rPr>
                <w:rFonts w:hint="default" w:ascii="Times New Roman" w:hAnsi="Times New Roman" w:cs="Times New Roman"/>
                <w:i w:val="0"/>
                <w:iCs w:val="0"/>
                <w:caps w:val="0"/>
                <w:color w:val="000000"/>
                <w:spacing w:val="0"/>
                <w:sz w:val="24"/>
                <w:szCs w:val="24"/>
                <w:u w:val="none"/>
              </w:rPr>
            </w:pPr>
            <w:r>
              <w:rPr>
                <w:rFonts w:hint="default" w:ascii="Times New Roman" w:hAnsi="Times New Roman" w:cs="Times New Roman"/>
                <w:i w:val="0"/>
                <w:iCs w:val="0"/>
                <w:caps w:val="0"/>
                <w:color w:val="000000"/>
                <w:spacing w:val="0"/>
                <w:sz w:val="24"/>
                <w:szCs w:val="24"/>
                <w:u w:val="none"/>
                <w:bdr w:val="none" w:color="auto" w:sz="0" w:space="0"/>
                <w:shd w:val="clear" w:fill="FFFFFF"/>
              </w:rPr>
              <w:t>British Psychological Society. (2021). Code of ethics and conduct. </w:t>
            </w:r>
            <w:r>
              <w:rPr>
                <w:rFonts w:hint="default" w:ascii="Times New Roman" w:hAnsi="Times New Roman" w:cs="Times New Roman"/>
                <w:i/>
                <w:iCs/>
                <w:caps w:val="0"/>
                <w:color w:val="000000"/>
                <w:spacing w:val="0"/>
                <w:sz w:val="24"/>
                <w:szCs w:val="24"/>
                <w:u w:val="none"/>
                <w:bdr w:val="none" w:color="auto" w:sz="0" w:space="0"/>
                <w:shd w:val="clear" w:fill="FFFFFF"/>
              </w:rPr>
              <w:t>Code of Ethics and Conduct</w:t>
            </w:r>
            <w:r>
              <w:rPr>
                <w:rFonts w:hint="default" w:ascii="Times New Roman" w:hAnsi="Times New Roman" w:cs="Times New Roman"/>
                <w:i w:val="0"/>
                <w:iCs w:val="0"/>
                <w:caps w:val="0"/>
                <w:color w:val="000000"/>
                <w:spacing w:val="0"/>
                <w:sz w:val="24"/>
                <w:szCs w:val="24"/>
                <w:u w:val="none"/>
                <w:bdr w:val="none" w:color="auto" w:sz="0" w:space="0"/>
                <w:shd w:val="clear" w:fill="FFFFFF"/>
              </w:rPr>
              <w:t>, </w:t>
            </w:r>
            <w:r>
              <w:rPr>
                <w:rFonts w:hint="default" w:ascii="Times New Roman" w:hAnsi="Times New Roman" w:cs="Times New Roman"/>
                <w:i/>
                <w:iCs/>
                <w:caps w:val="0"/>
                <w:color w:val="000000"/>
                <w:spacing w:val="0"/>
                <w:sz w:val="24"/>
                <w:szCs w:val="24"/>
                <w:u w:val="none"/>
                <w:bdr w:val="none" w:color="auto" w:sz="0" w:space="0"/>
                <w:shd w:val="clear" w:fill="FFFFFF"/>
              </w:rPr>
              <w:t>978-1-85433-804-4</w:t>
            </w:r>
            <w:r>
              <w:rPr>
                <w:rFonts w:hint="default" w:ascii="Times New Roman" w:hAnsi="Times New Roman" w:cs="Times New Roman"/>
                <w:i w:val="0"/>
                <w:iCs w:val="0"/>
                <w:caps w:val="0"/>
                <w:color w:val="000000"/>
                <w:spacing w:val="0"/>
                <w:sz w:val="24"/>
                <w:szCs w:val="24"/>
                <w:u w:val="none"/>
                <w:bdr w:val="none" w:color="auto" w:sz="0" w:space="0"/>
                <w:shd w:val="clear" w:fill="FFFFFF"/>
              </w:rPr>
              <w:t>. https://doi.org/10.53841/bpsrep.2021.inf94</w:t>
            </w:r>
          </w:p>
          <w:p>
            <w:pPr>
              <w:pStyle w:val="8"/>
              <w:keepNext w:val="0"/>
              <w:keepLines w:val="0"/>
              <w:widowControl/>
              <w:suppressLineNumbers w:val="0"/>
              <w:pBdr>
                <w:left w:val="none" w:color="auto" w:sz="0" w:space="0"/>
              </w:pBdr>
              <w:shd w:val="clear" w:fill="FFFFFF"/>
              <w:spacing w:before="0" w:beforeAutospacing="0" w:after="0" w:afterAutospacing="0" w:line="640" w:lineRule="atLeast"/>
              <w:ind w:left="0" w:firstLine="0"/>
              <w:rPr>
                <w:rFonts w:hint="default" w:ascii="Times New Roman" w:hAnsi="Times New Roman" w:cs="Times New Roman"/>
                <w:i w:val="0"/>
                <w:iCs w:val="0"/>
                <w:caps w:val="0"/>
                <w:color w:val="000000"/>
                <w:spacing w:val="0"/>
                <w:sz w:val="24"/>
                <w:szCs w:val="24"/>
                <w:u w:val="none"/>
              </w:rPr>
            </w:pPr>
            <w:r>
              <w:rPr>
                <w:rFonts w:hint="default" w:ascii="Times New Roman" w:hAnsi="Times New Roman" w:cs="Times New Roman"/>
                <w:i w:val="0"/>
                <w:iCs w:val="0"/>
                <w:caps w:val="0"/>
                <w:color w:val="000000"/>
                <w:spacing w:val="0"/>
                <w:sz w:val="24"/>
                <w:szCs w:val="24"/>
                <w:u w:val="none"/>
                <w:bdr w:val="none" w:color="auto" w:sz="0" w:space="0"/>
                <w:shd w:val="clear" w:fill="FFFFFF"/>
              </w:rPr>
              <w:t>Burke, M. (2001). </w:t>
            </w:r>
            <w:r>
              <w:rPr>
                <w:rFonts w:hint="default" w:ascii="Times New Roman" w:hAnsi="Times New Roman" w:cs="Times New Roman"/>
                <w:i/>
                <w:iCs/>
                <w:caps w:val="0"/>
                <w:color w:val="000000"/>
                <w:spacing w:val="0"/>
                <w:sz w:val="24"/>
                <w:szCs w:val="24"/>
                <w:u w:val="none"/>
                <w:bdr w:val="none" w:color="auto" w:sz="0" w:space="0"/>
                <w:shd w:val="clear" w:fill="FFFFFF"/>
              </w:rPr>
              <w:t>SPORT AND TRADITIONS OF FEMINIST THEORY</w:t>
            </w:r>
            <w:r>
              <w:rPr>
                <w:rFonts w:hint="default" w:ascii="Times New Roman" w:hAnsi="Times New Roman" w:cs="Times New Roman"/>
                <w:i w:val="0"/>
                <w:iCs w:val="0"/>
                <w:caps w:val="0"/>
                <w:color w:val="000000"/>
                <w:spacing w:val="0"/>
                <w:sz w:val="24"/>
                <w:szCs w:val="24"/>
                <w:u w:val="none"/>
                <w:bdr w:val="none" w:color="auto" w:sz="0" w:space="0"/>
                <w:shd w:val="clear" w:fill="FFFFFF"/>
              </w:rPr>
              <w:t>. https://vuir.vu.edu.au/259/1/02whole.pdf</w:t>
            </w:r>
          </w:p>
          <w:p>
            <w:pPr>
              <w:pStyle w:val="8"/>
              <w:keepNext w:val="0"/>
              <w:keepLines w:val="0"/>
              <w:widowControl/>
              <w:suppressLineNumbers w:val="0"/>
              <w:pBdr>
                <w:left w:val="none" w:color="auto" w:sz="0" w:space="0"/>
              </w:pBdr>
              <w:shd w:val="clear" w:fill="FFFFFF"/>
              <w:spacing w:before="0" w:beforeAutospacing="0" w:after="0" w:afterAutospacing="0" w:line="640" w:lineRule="atLeast"/>
              <w:ind w:left="0" w:firstLine="0"/>
              <w:rPr>
                <w:rFonts w:hint="default" w:ascii="Times New Roman" w:hAnsi="Times New Roman" w:cs="Times New Roman"/>
                <w:i w:val="0"/>
                <w:iCs w:val="0"/>
                <w:caps w:val="0"/>
                <w:color w:val="000000"/>
                <w:spacing w:val="0"/>
                <w:sz w:val="24"/>
                <w:szCs w:val="24"/>
                <w:u w:val="none"/>
              </w:rPr>
            </w:pPr>
            <w:r>
              <w:rPr>
                <w:rFonts w:hint="default" w:ascii="Times New Roman" w:hAnsi="Times New Roman" w:cs="Times New Roman"/>
                <w:i w:val="0"/>
                <w:iCs w:val="0"/>
                <w:caps w:val="0"/>
                <w:color w:val="000000"/>
                <w:spacing w:val="0"/>
                <w:sz w:val="24"/>
                <w:szCs w:val="24"/>
                <w:u w:val="none"/>
                <w:bdr w:val="none" w:color="auto" w:sz="0" w:space="0"/>
                <w:shd w:val="clear" w:fill="FFFFFF"/>
              </w:rPr>
              <w:t>Burton, N. W., Barber, B. L., &amp; Khan, A. (2021). A Qualitative Study of Barriers and Enablers of Physical Activity among Female Emirati University Students. </w:t>
            </w:r>
            <w:r>
              <w:rPr>
                <w:rFonts w:hint="default" w:ascii="Times New Roman" w:hAnsi="Times New Roman" w:cs="Times New Roman"/>
                <w:i/>
                <w:iCs/>
                <w:caps w:val="0"/>
                <w:color w:val="000000"/>
                <w:spacing w:val="0"/>
                <w:sz w:val="24"/>
                <w:szCs w:val="24"/>
                <w:u w:val="none"/>
                <w:bdr w:val="none" w:color="auto" w:sz="0" w:space="0"/>
                <w:shd w:val="clear" w:fill="FFFFFF"/>
              </w:rPr>
              <w:t>International Journal of Environmental Research and Public Health</w:t>
            </w:r>
            <w:r>
              <w:rPr>
                <w:rFonts w:hint="default" w:ascii="Times New Roman" w:hAnsi="Times New Roman" w:cs="Times New Roman"/>
                <w:i w:val="0"/>
                <w:iCs w:val="0"/>
                <w:caps w:val="0"/>
                <w:color w:val="000000"/>
                <w:spacing w:val="0"/>
                <w:sz w:val="24"/>
                <w:szCs w:val="24"/>
                <w:u w:val="none"/>
                <w:bdr w:val="none" w:color="auto" w:sz="0" w:space="0"/>
                <w:shd w:val="clear" w:fill="FFFFFF"/>
              </w:rPr>
              <w:t>, </w:t>
            </w:r>
            <w:r>
              <w:rPr>
                <w:rFonts w:hint="default" w:ascii="Times New Roman" w:hAnsi="Times New Roman" w:cs="Times New Roman"/>
                <w:i/>
                <w:iCs/>
                <w:caps w:val="0"/>
                <w:color w:val="000000"/>
                <w:spacing w:val="0"/>
                <w:sz w:val="24"/>
                <w:szCs w:val="24"/>
                <w:u w:val="none"/>
                <w:bdr w:val="none" w:color="auto" w:sz="0" w:space="0"/>
                <w:shd w:val="clear" w:fill="FFFFFF"/>
              </w:rPr>
              <w:t>18</w:t>
            </w:r>
            <w:r>
              <w:rPr>
                <w:rFonts w:hint="default" w:ascii="Times New Roman" w:hAnsi="Times New Roman" w:cs="Times New Roman"/>
                <w:i w:val="0"/>
                <w:iCs w:val="0"/>
                <w:caps w:val="0"/>
                <w:color w:val="000000"/>
                <w:spacing w:val="0"/>
                <w:sz w:val="24"/>
                <w:szCs w:val="24"/>
                <w:u w:val="none"/>
                <w:bdr w:val="none" w:color="auto" w:sz="0" w:space="0"/>
                <w:shd w:val="clear" w:fill="FFFFFF"/>
              </w:rPr>
              <w:t>(7), 3380. https://doi.org/10.3390/ijerph18073380</w:t>
            </w:r>
          </w:p>
          <w:p>
            <w:pPr>
              <w:pStyle w:val="8"/>
              <w:keepNext w:val="0"/>
              <w:keepLines w:val="0"/>
              <w:widowControl/>
              <w:suppressLineNumbers w:val="0"/>
              <w:pBdr>
                <w:left w:val="none" w:color="auto" w:sz="0" w:space="0"/>
              </w:pBdr>
              <w:shd w:val="clear" w:fill="FFFFFF"/>
              <w:spacing w:before="0" w:beforeAutospacing="0" w:after="0" w:afterAutospacing="0" w:line="640" w:lineRule="atLeast"/>
              <w:ind w:left="0" w:firstLine="0"/>
              <w:rPr>
                <w:rFonts w:hint="default" w:ascii="Times New Roman" w:hAnsi="Times New Roman" w:cs="Times New Roman"/>
                <w:i w:val="0"/>
                <w:iCs w:val="0"/>
                <w:caps w:val="0"/>
                <w:color w:val="000000"/>
                <w:spacing w:val="0"/>
                <w:sz w:val="24"/>
                <w:szCs w:val="24"/>
                <w:u w:val="none"/>
              </w:rPr>
            </w:pPr>
            <w:r>
              <w:rPr>
                <w:rFonts w:hint="default" w:ascii="Times New Roman" w:hAnsi="Times New Roman" w:cs="Times New Roman"/>
                <w:i w:val="0"/>
                <w:iCs w:val="0"/>
                <w:caps w:val="0"/>
                <w:color w:val="000000"/>
                <w:spacing w:val="0"/>
                <w:sz w:val="24"/>
                <w:szCs w:val="24"/>
                <w:u w:val="none"/>
                <w:bdr w:val="none" w:color="auto" w:sz="0" w:space="0"/>
                <w:shd w:val="clear" w:fill="FFFFFF"/>
              </w:rPr>
              <w:t>Eitzen, D. S. (1988). Conflict Theory and Deviance in Sport. </w:t>
            </w:r>
            <w:r>
              <w:rPr>
                <w:rFonts w:hint="default" w:ascii="Times New Roman" w:hAnsi="Times New Roman" w:cs="Times New Roman"/>
                <w:i/>
                <w:iCs/>
                <w:caps w:val="0"/>
                <w:color w:val="000000"/>
                <w:spacing w:val="0"/>
                <w:sz w:val="24"/>
                <w:szCs w:val="24"/>
                <w:u w:val="none"/>
                <w:bdr w:val="none" w:color="auto" w:sz="0" w:space="0"/>
                <w:shd w:val="clear" w:fill="FFFFFF"/>
              </w:rPr>
              <w:t>International Review for the Sociology of Sport</w:t>
            </w:r>
            <w:r>
              <w:rPr>
                <w:rFonts w:hint="default" w:ascii="Times New Roman" w:hAnsi="Times New Roman" w:cs="Times New Roman"/>
                <w:i w:val="0"/>
                <w:iCs w:val="0"/>
                <w:caps w:val="0"/>
                <w:color w:val="000000"/>
                <w:spacing w:val="0"/>
                <w:sz w:val="24"/>
                <w:szCs w:val="24"/>
                <w:u w:val="none"/>
                <w:bdr w:val="none" w:color="auto" w:sz="0" w:space="0"/>
                <w:shd w:val="clear" w:fill="FFFFFF"/>
              </w:rPr>
              <w:t>, </w:t>
            </w:r>
            <w:r>
              <w:rPr>
                <w:rFonts w:hint="default" w:ascii="Times New Roman" w:hAnsi="Times New Roman" w:cs="Times New Roman"/>
                <w:i/>
                <w:iCs/>
                <w:caps w:val="0"/>
                <w:color w:val="000000"/>
                <w:spacing w:val="0"/>
                <w:sz w:val="24"/>
                <w:szCs w:val="24"/>
                <w:u w:val="none"/>
                <w:bdr w:val="none" w:color="auto" w:sz="0" w:space="0"/>
                <w:shd w:val="clear" w:fill="FFFFFF"/>
              </w:rPr>
              <w:t>23</w:t>
            </w:r>
            <w:r>
              <w:rPr>
                <w:rFonts w:hint="default" w:ascii="Times New Roman" w:hAnsi="Times New Roman" w:cs="Times New Roman"/>
                <w:i w:val="0"/>
                <w:iCs w:val="0"/>
                <w:caps w:val="0"/>
                <w:color w:val="000000"/>
                <w:spacing w:val="0"/>
                <w:sz w:val="24"/>
                <w:szCs w:val="24"/>
                <w:u w:val="none"/>
                <w:bdr w:val="none" w:color="auto" w:sz="0" w:space="0"/>
                <w:shd w:val="clear" w:fill="FFFFFF"/>
              </w:rPr>
              <w:t>(3), 193–204. https://doi.org/10.1177/101269028802300302</w:t>
            </w:r>
          </w:p>
          <w:p>
            <w:pPr>
              <w:pStyle w:val="8"/>
              <w:keepNext w:val="0"/>
              <w:keepLines w:val="0"/>
              <w:widowControl/>
              <w:suppressLineNumbers w:val="0"/>
              <w:pBdr>
                <w:left w:val="none" w:color="auto" w:sz="0" w:space="0"/>
              </w:pBdr>
              <w:shd w:val="clear" w:fill="FFFFFF"/>
              <w:spacing w:before="0" w:beforeAutospacing="0" w:after="0" w:afterAutospacing="0" w:line="640" w:lineRule="atLeast"/>
              <w:ind w:left="0" w:firstLine="0"/>
              <w:rPr>
                <w:rFonts w:hint="default" w:ascii="Times New Roman" w:hAnsi="Times New Roman" w:cs="Times New Roman"/>
                <w:i w:val="0"/>
                <w:iCs w:val="0"/>
                <w:caps w:val="0"/>
                <w:color w:val="000000"/>
                <w:spacing w:val="0"/>
                <w:sz w:val="24"/>
                <w:szCs w:val="24"/>
                <w:u w:val="none"/>
              </w:rPr>
            </w:pPr>
            <w:r>
              <w:rPr>
                <w:rFonts w:hint="default" w:ascii="Times New Roman" w:hAnsi="Times New Roman" w:cs="Times New Roman"/>
                <w:i w:val="0"/>
                <w:iCs w:val="0"/>
                <w:caps w:val="0"/>
                <w:color w:val="000000"/>
                <w:spacing w:val="0"/>
                <w:sz w:val="24"/>
                <w:szCs w:val="24"/>
                <w:u w:val="none"/>
                <w:bdr w:val="none" w:color="auto" w:sz="0" w:space="0"/>
                <w:shd w:val="clear" w:fill="FFFFFF"/>
              </w:rPr>
              <w:t>El Ansari, W., &amp; Lovell, G. (2009). Barriers to Exercise in Younger and Older Non-Exercising Adult Women: A Cross Sectional Study in London, United Kingdom. </w:t>
            </w:r>
            <w:r>
              <w:rPr>
                <w:rFonts w:hint="default" w:ascii="Times New Roman" w:hAnsi="Times New Roman" w:cs="Times New Roman"/>
                <w:i/>
                <w:iCs/>
                <w:caps w:val="0"/>
                <w:color w:val="000000"/>
                <w:spacing w:val="0"/>
                <w:sz w:val="24"/>
                <w:szCs w:val="24"/>
                <w:u w:val="none"/>
                <w:bdr w:val="none" w:color="auto" w:sz="0" w:space="0"/>
                <w:shd w:val="clear" w:fill="FFFFFF"/>
              </w:rPr>
              <w:t>International Journal of Environmental Research and Public Health</w:t>
            </w:r>
            <w:r>
              <w:rPr>
                <w:rFonts w:hint="default" w:ascii="Times New Roman" w:hAnsi="Times New Roman" w:cs="Times New Roman"/>
                <w:i w:val="0"/>
                <w:iCs w:val="0"/>
                <w:caps w:val="0"/>
                <w:color w:val="000000"/>
                <w:spacing w:val="0"/>
                <w:sz w:val="24"/>
                <w:szCs w:val="24"/>
                <w:u w:val="none"/>
                <w:bdr w:val="none" w:color="auto" w:sz="0" w:space="0"/>
                <w:shd w:val="clear" w:fill="FFFFFF"/>
              </w:rPr>
              <w:t>, </w:t>
            </w:r>
            <w:r>
              <w:rPr>
                <w:rFonts w:hint="default" w:ascii="Times New Roman" w:hAnsi="Times New Roman" w:cs="Times New Roman"/>
                <w:i/>
                <w:iCs/>
                <w:caps w:val="0"/>
                <w:color w:val="000000"/>
                <w:spacing w:val="0"/>
                <w:sz w:val="24"/>
                <w:szCs w:val="24"/>
                <w:u w:val="none"/>
                <w:bdr w:val="none" w:color="auto" w:sz="0" w:space="0"/>
                <w:shd w:val="clear" w:fill="FFFFFF"/>
              </w:rPr>
              <w:t>6</w:t>
            </w:r>
            <w:r>
              <w:rPr>
                <w:rFonts w:hint="default" w:ascii="Times New Roman" w:hAnsi="Times New Roman" w:cs="Times New Roman"/>
                <w:i w:val="0"/>
                <w:iCs w:val="0"/>
                <w:caps w:val="0"/>
                <w:color w:val="000000"/>
                <w:spacing w:val="0"/>
                <w:sz w:val="24"/>
                <w:szCs w:val="24"/>
                <w:u w:val="none"/>
                <w:bdr w:val="none" w:color="auto" w:sz="0" w:space="0"/>
                <w:shd w:val="clear" w:fill="FFFFFF"/>
              </w:rPr>
              <w:t>(4), 1443–1455. https://doi.org/10.3390/ijerph6041443</w:t>
            </w:r>
          </w:p>
          <w:p>
            <w:pPr>
              <w:pStyle w:val="8"/>
              <w:keepNext w:val="0"/>
              <w:keepLines w:val="0"/>
              <w:widowControl/>
              <w:suppressLineNumbers w:val="0"/>
              <w:pBdr>
                <w:left w:val="none" w:color="auto" w:sz="0" w:space="0"/>
              </w:pBdr>
              <w:shd w:val="clear" w:fill="FFFFFF"/>
              <w:spacing w:before="0" w:beforeAutospacing="0" w:after="0" w:afterAutospacing="0" w:line="640" w:lineRule="atLeast"/>
              <w:ind w:left="0" w:firstLine="0"/>
              <w:rPr>
                <w:rFonts w:hint="default" w:ascii="Times New Roman" w:hAnsi="Times New Roman" w:cs="Times New Roman"/>
                <w:i w:val="0"/>
                <w:iCs w:val="0"/>
                <w:caps w:val="0"/>
                <w:color w:val="000000"/>
                <w:spacing w:val="0"/>
                <w:sz w:val="24"/>
                <w:szCs w:val="24"/>
                <w:u w:val="none"/>
              </w:rPr>
            </w:pPr>
            <w:r>
              <w:rPr>
                <w:rFonts w:hint="default" w:ascii="Times New Roman" w:hAnsi="Times New Roman" w:cs="Times New Roman"/>
                <w:i w:val="0"/>
                <w:iCs w:val="0"/>
                <w:caps w:val="0"/>
                <w:color w:val="000000"/>
                <w:spacing w:val="0"/>
                <w:sz w:val="24"/>
                <w:szCs w:val="24"/>
                <w:u w:val="none"/>
                <w:bdr w:val="none" w:color="auto" w:sz="0" w:space="0"/>
                <w:shd w:val="clear" w:fill="FFFFFF"/>
              </w:rPr>
              <w:t>Granero-Gallegos, A., Baena-Extremera, A., Gómez-López, M., Sánchez-Fuentes, J. A., &amp; Abraldes, J. A. (2014). Psychometric Properties of the “Sport Motivation Scale (SMS)” Adapted to Physical Education. </w:t>
            </w:r>
            <w:r>
              <w:rPr>
                <w:rFonts w:hint="default" w:ascii="Times New Roman" w:hAnsi="Times New Roman" w:cs="Times New Roman"/>
                <w:i/>
                <w:iCs/>
                <w:caps w:val="0"/>
                <w:color w:val="000000"/>
                <w:spacing w:val="0"/>
                <w:sz w:val="24"/>
                <w:szCs w:val="24"/>
                <w:u w:val="none"/>
                <w:bdr w:val="none" w:color="auto" w:sz="0" w:space="0"/>
                <w:shd w:val="clear" w:fill="FFFFFF"/>
              </w:rPr>
              <w:t>Journal of Sports Science &amp; Medicine</w:t>
            </w:r>
            <w:r>
              <w:rPr>
                <w:rFonts w:hint="default" w:ascii="Times New Roman" w:hAnsi="Times New Roman" w:cs="Times New Roman"/>
                <w:i w:val="0"/>
                <w:iCs w:val="0"/>
                <w:caps w:val="0"/>
                <w:color w:val="000000"/>
                <w:spacing w:val="0"/>
                <w:sz w:val="24"/>
                <w:szCs w:val="24"/>
                <w:u w:val="none"/>
                <w:bdr w:val="none" w:color="auto" w:sz="0" w:space="0"/>
                <w:shd w:val="clear" w:fill="FFFFFF"/>
              </w:rPr>
              <w:t>, </w:t>
            </w:r>
            <w:r>
              <w:rPr>
                <w:rFonts w:hint="default" w:ascii="Times New Roman" w:hAnsi="Times New Roman" w:cs="Times New Roman"/>
                <w:i/>
                <w:iCs/>
                <w:caps w:val="0"/>
                <w:color w:val="000000"/>
                <w:spacing w:val="0"/>
                <w:sz w:val="24"/>
                <w:szCs w:val="24"/>
                <w:u w:val="none"/>
                <w:bdr w:val="none" w:color="auto" w:sz="0" w:space="0"/>
                <w:shd w:val="clear" w:fill="FFFFFF"/>
              </w:rPr>
              <w:t>13</w:t>
            </w:r>
            <w:r>
              <w:rPr>
                <w:rFonts w:hint="default" w:ascii="Times New Roman" w:hAnsi="Times New Roman" w:cs="Times New Roman"/>
                <w:i w:val="0"/>
                <w:iCs w:val="0"/>
                <w:caps w:val="0"/>
                <w:color w:val="000000"/>
                <w:spacing w:val="0"/>
                <w:sz w:val="24"/>
                <w:szCs w:val="24"/>
                <w:u w:val="none"/>
                <w:bdr w:val="none" w:color="auto" w:sz="0" w:space="0"/>
                <w:shd w:val="clear" w:fill="FFFFFF"/>
              </w:rPr>
              <w:t>(4), 801–807. https://www.ncbi.nlm.nih.gov/pmc/articles/PMC4234949/</w:t>
            </w:r>
          </w:p>
          <w:p>
            <w:pPr>
              <w:pStyle w:val="8"/>
              <w:keepNext w:val="0"/>
              <w:keepLines w:val="0"/>
              <w:widowControl/>
              <w:suppressLineNumbers w:val="0"/>
              <w:pBdr>
                <w:left w:val="none" w:color="auto" w:sz="0" w:space="0"/>
              </w:pBdr>
              <w:shd w:val="clear" w:fill="FFFFFF"/>
              <w:spacing w:before="0" w:beforeAutospacing="0" w:after="0" w:afterAutospacing="0" w:line="640" w:lineRule="atLeast"/>
              <w:ind w:left="0" w:firstLine="0"/>
              <w:rPr>
                <w:rFonts w:hint="default" w:ascii="Times New Roman" w:hAnsi="Times New Roman" w:cs="Times New Roman"/>
                <w:i w:val="0"/>
                <w:iCs w:val="0"/>
                <w:caps w:val="0"/>
                <w:color w:val="000000"/>
                <w:spacing w:val="0"/>
                <w:sz w:val="24"/>
                <w:szCs w:val="24"/>
                <w:u w:val="none"/>
              </w:rPr>
            </w:pPr>
            <w:r>
              <w:rPr>
                <w:rFonts w:hint="default" w:ascii="Times New Roman" w:hAnsi="Times New Roman" w:cs="Times New Roman"/>
                <w:i w:val="0"/>
                <w:iCs w:val="0"/>
                <w:caps w:val="0"/>
                <w:color w:val="000000"/>
                <w:spacing w:val="0"/>
                <w:sz w:val="24"/>
                <w:szCs w:val="24"/>
                <w:u w:val="none"/>
                <w:bdr w:val="none" w:color="auto" w:sz="0" w:space="0"/>
                <w:shd w:val="clear" w:fill="FFFFFF"/>
              </w:rPr>
              <w:t>Homan, K. J., Crowley, S. L., &amp; Sim, L. A. (2018). Motivation for sport participation and eating disorder risk among female collegiate athletes. </w:t>
            </w:r>
            <w:r>
              <w:rPr>
                <w:rFonts w:hint="default" w:ascii="Times New Roman" w:hAnsi="Times New Roman" w:cs="Times New Roman"/>
                <w:i/>
                <w:iCs/>
                <w:caps w:val="0"/>
                <w:color w:val="000000"/>
                <w:spacing w:val="0"/>
                <w:sz w:val="24"/>
                <w:szCs w:val="24"/>
                <w:u w:val="none"/>
                <w:bdr w:val="none" w:color="auto" w:sz="0" w:space="0"/>
                <w:shd w:val="clear" w:fill="FFFFFF"/>
              </w:rPr>
              <w:t>Eating Disorders</w:t>
            </w:r>
            <w:r>
              <w:rPr>
                <w:rFonts w:hint="default" w:ascii="Times New Roman" w:hAnsi="Times New Roman" w:cs="Times New Roman"/>
                <w:i w:val="0"/>
                <w:iCs w:val="0"/>
                <w:caps w:val="0"/>
                <w:color w:val="000000"/>
                <w:spacing w:val="0"/>
                <w:sz w:val="24"/>
                <w:szCs w:val="24"/>
                <w:u w:val="none"/>
                <w:bdr w:val="none" w:color="auto" w:sz="0" w:space="0"/>
                <w:shd w:val="clear" w:fill="FFFFFF"/>
              </w:rPr>
              <w:t>, </w:t>
            </w:r>
            <w:r>
              <w:rPr>
                <w:rFonts w:hint="default" w:ascii="Times New Roman" w:hAnsi="Times New Roman" w:cs="Times New Roman"/>
                <w:i/>
                <w:iCs/>
                <w:caps w:val="0"/>
                <w:color w:val="000000"/>
                <w:spacing w:val="0"/>
                <w:sz w:val="24"/>
                <w:szCs w:val="24"/>
                <w:u w:val="none"/>
                <w:bdr w:val="none" w:color="auto" w:sz="0" w:space="0"/>
                <w:shd w:val="clear" w:fill="FFFFFF"/>
              </w:rPr>
              <w:t>27</w:t>
            </w:r>
            <w:r>
              <w:rPr>
                <w:rFonts w:hint="default" w:ascii="Times New Roman" w:hAnsi="Times New Roman" w:cs="Times New Roman"/>
                <w:i w:val="0"/>
                <w:iCs w:val="0"/>
                <w:caps w:val="0"/>
                <w:color w:val="000000"/>
                <w:spacing w:val="0"/>
                <w:sz w:val="24"/>
                <w:szCs w:val="24"/>
                <w:u w:val="none"/>
                <w:bdr w:val="none" w:color="auto" w:sz="0" w:space="0"/>
                <w:shd w:val="clear" w:fill="FFFFFF"/>
              </w:rPr>
              <w:t>(4), 1–15. https://doi.org/10.1080/10640266.2018.1517527</w:t>
            </w:r>
          </w:p>
          <w:p>
            <w:pPr>
              <w:pStyle w:val="8"/>
              <w:keepNext w:val="0"/>
              <w:keepLines w:val="0"/>
              <w:widowControl/>
              <w:suppressLineNumbers w:val="0"/>
              <w:pBdr>
                <w:left w:val="none" w:color="auto" w:sz="0" w:space="0"/>
              </w:pBdr>
              <w:shd w:val="clear" w:fill="FFFFFF"/>
              <w:spacing w:before="0" w:beforeAutospacing="0" w:after="0" w:afterAutospacing="0" w:line="640" w:lineRule="atLeast"/>
              <w:ind w:left="0" w:firstLine="0"/>
              <w:rPr>
                <w:rFonts w:hint="default" w:ascii="Times New Roman" w:hAnsi="Times New Roman" w:cs="Times New Roman"/>
                <w:i w:val="0"/>
                <w:iCs w:val="0"/>
                <w:caps w:val="0"/>
                <w:color w:val="000000"/>
                <w:spacing w:val="0"/>
                <w:sz w:val="24"/>
                <w:szCs w:val="24"/>
                <w:u w:val="none"/>
              </w:rPr>
            </w:pPr>
            <w:r>
              <w:rPr>
                <w:rFonts w:hint="default" w:ascii="Times New Roman" w:hAnsi="Times New Roman" w:cs="Times New Roman"/>
                <w:i w:val="0"/>
                <w:iCs w:val="0"/>
                <w:caps w:val="0"/>
                <w:color w:val="000000"/>
                <w:spacing w:val="0"/>
                <w:sz w:val="24"/>
                <w:szCs w:val="24"/>
                <w:u w:val="none"/>
                <w:bdr w:val="none" w:color="auto" w:sz="0" w:space="0"/>
                <w:shd w:val="clear" w:fill="FFFFFF"/>
              </w:rPr>
              <w:t>Karen R ; Sechrist, Susan N ; Walker, &amp; Pender, N. J. (1987). </w:t>
            </w:r>
            <w:r>
              <w:rPr>
                <w:rFonts w:hint="default" w:ascii="Times New Roman" w:hAnsi="Times New Roman" w:cs="Times New Roman"/>
                <w:i/>
                <w:iCs/>
                <w:caps w:val="0"/>
                <w:color w:val="000000"/>
                <w:spacing w:val="0"/>
                <w:sz w:val="24"/>
                <w:szCs w:val="24"/>
                <w:u w:val="none"/>
                <w:bdr w:val="none" w:color="auto" w:sz="0" w:space="0"/>
                <w:shd w:val="clear" w:fill="FFFFFF"/>
              </w:rPr>
              <w:t>Health Promotion Model -Instruments to Measure HPM Behavioral Determinants : Exercise Benefits/Barriers Scale [EBBS] (Adult Version)</w:t>
            </w:r>
            <w:r>
              <w:rPr>
                <w:rFonts w:hint="default" w:ascii="Times New Roman" w:hAnsi="Times New Roman" w:cs="Times New Roman"/>
                <w:i w:val="0"/>
                <w:iCs w:val="0"/>
                <w:caps w:val="0"/>
                <w:color w:val="000000"/>
                <w:spacing w:val="0"/>
                <w:sz w:val="24"/>
                <w:szCs w:val="24"/>
                <w:u w:val="none"/>
                <w:bdr w:val="none" w:color="auto" w:sz="0" w:space="0"/>
                <w:shd w:val="clear" w:fill="FFFFFF"/>
              </w:rPr>
              <w:t>. https://deepblue.lib.umich.edu/bitstream/handle/2027.42/85354/EBBS-English_Version.pdf?sequence=2</w:t>
            </w:r>
          </w:p>
          <w:p>
            <w:pPr>
              <w:pStyle w:val="8"/>
              <w:keepNext w:val="0"/>
              <w:keepLines w:val="0"/>
              <w:widowControl/>
              <w:suppressLineNumbers w:val="0"/>
              <w:pBdr>
                <w:left w:val="none" w:color="auto" w:sz="0" w:space="0"/>
              </w:pBdr>
              <w:shd w:val="clear" w:fill="FFFFFF"/>
              <w:spacing w:before="0" w:beforeAutospacing="0" w:after="0" w:afterAutospacing="0" w:line="640" w:lineRule="atLeast"/>
              <w:ind w:left="0" w:firstLine="0"/>
              <w:rPr>
                <w:rFonts w:hint="default" w:ascii="Times New Roman" w:hAnsi="Times New Roman" w:cs="Times New Roman"/>
                <w:i w:val="0"/>
                <w:iCs w:val="0"/>
                <w:caps w:val="0"/>
                <w:color w:val="000000"/>
                <w:spacing w:val="0"/>
                <w:sz w:val="24"/>
                <w:szCs w:val="24"/>
                <w:u w:val="none"/>
              </w:rPr>
            </w:pPr>
            <w:r>
              <w:rPr>
                <w:rFonts w:hint="default" w:ascii="Times New Roman" w:hAnsi="Times New Roman" w:cs="Times New Roman"/>
                <w:i w:val="0"/>
                <w:iCs w:val="0"/>
                <w:caps w:val="0"/>
                <w:color w:val="000000"/>
                <w:spacing w:val="0"/>
                <w:sz w:val="24"/>
                <w:szCs w:val="24"/>
                <w:u w:val="none"/>
                <w:bdr w:val="none" w:color="auto" w:sz="0" w:space="0"/>
                <w:shd w:val="clear" w:fill="FFFFFF"/>
              </w:rPr>
              <w:t>McDonough, M. H., &amp; Crocker, P. R. E. (2005). Sport Participation Motivation in Young Adolescent Girls. </w:t>
            </w:r>
            <w:r>
              <w:rPr>
                <w:rFonts w:hint="default" w:ascii="Times New Roman" w:hAnsi="Times New Roman" w:cs="Times New Roman"/>
                <w:i/>
                <w:iCs/>
                <w:caps w:val="0"/>
                <w:color w:val="000000"/>
                <w:spacing w:val="0"/>
                <w:sz w:val="24"/>
                <w:szCs w:val="24"/>
                <w:u w:val="none"/>
                <w:bdr w:val="none" w:color="auto" w:sz="0" w:space="0"/>
                <w:shd w:val="clear" w:fill="FFFFFF"/>
              </w:rPr>
              <w:t>Research Quarterly for Exercise and Sport</w:t>
            </w:r>
            <w:r>
              <w:rPr>
                <w:rFonts w:hint="default" w:ascii="Times New Roman" w:hAnsi="Times New Roman" w:cs="Times New Roman"/>
                <w:i w:val="0"/>
                <w:iCs w:val="0"/>
                <w:caps w:val="0"/>
                <w:color w:val="000000"/>
                <w:spacing w:val="0"/>
                <w:sz w:val="24"/>
                <w:szCs w:val="24"/>
                <w:u w:val="none"/>
                <w:bdr w:val="none" w:color="auto" w:sz="0" w:space="0"/>
                <w:shd w:val="clear" w:fill="FFFFFF"/>
              </w:rPr>
              <w:t>, </w:t>
            </w:r>
            <w:r>
              <w:rPr>
                <w:rFonts w:hint="default" w:ascii="Times New Roman" w:hAnsi="Times New Roman" w:cs="Times New Roman"/>
                <w:i/>
                <w:iCs/>
                <w:caps w:val="0"/>
                <w:color w:val="000000"/>
                <w:spacing w:val="0"/>
                <w:sz w:val="24"/>
                <w:szCs w:val="24"/>
                <w:u w:val="none"/>
                <w:bdr w:val="none" w:color="auto" w:sz="0" w:space="0"/>
                <w:shd w:val="clear" w:fill="FFFFFF"/>
              </w:rPr>
              <w:t>76</w:t>
            </w:r>
            <w:r>
              <w:rPr>
                <w:rFonts w:hint="default" w:ascii="Times New Roman" w:hAnsi="Times New Roman" w:cs="Times New Roman"/>
                <w:i w:val="0"/>
                <w:iCs w:val="0"/>
                <w:caps w:val="0"/>
                <w:color w:val="000000"/>
                <w:spacing w:val="0"/>
                <w:sz w:val="24"/>
                <w:szCs w:val="24"/>
                <w:u w:val="none"/>
                <w:bdr w:val="none" w:color="auto" w:sz="0" w:space="0"/>
                <w:shd w:val="clear" w:fill="FFFFFF"/>
              </w:rPr>
              <w:t>(4), 456–467. https://doi.org/10.1080/02701367.2005.10599319</w:t>
            </w:r>
          </w:p>
          <w:p>
            <w:pPr>
              <w:pStyle w:val="8"/>
              <w:keepNext w:val="0"/>
              <w:keepLines w:val="0"/>
              <w:widowControl/>
              <w:suppressLineNumbers w:val="0"/>
              <w:pBdr>
                <w:left w:val="none" w:color="auto" w:sz="0" w:space="0"/>
              </w:pBdr>
              <w:shd w:val="clear" w:fill="FFFFFF"/>
              <w:spacing w:before="0" w:beforeAutospacing="0" w:after="0" w:afterAutospacing="0" w:line="640" w:lineRule="atLeast"/>
              <w:ind w:left="0" w:firstLine="0"/>
              <w:rPr>
                <w:rFonts w:hint="default" w:ascii="Times New Roman" w:hAnsi="Times New Roman" w:cs="Times New Roman"/>
                <w:i w:val="0"/>
                <w:iCs w:val="0"/>
                <w:caps w:val="0"/>
                <w:color w:val="000000"/>
                <w:spacing w:val="0"/>
                <w:sz w:val="24"/>
                <w:szCs w:val="24"/>
                <w:u w:val="none"/>
              </w:rPr>
            </w:pPr>
            <w:r>
              <w:rPr>
                <w:rFonts w:hint="default" w:ascii="Times New Roman" w:hAnsi="Times New Roman" w:cs="Times New Roman"/>
                <w:i w:val="0"/>
                <w:iCs w:val="0"/>
                <w:caps w:val="0"/>
                <w:color w:val="000000"/>
                <w:spacing w:val="0"/>
                <w:sz w:val="24"/>
                <w:szCs w:val="24"/>
                <w:u w:val="none"/>
                <w:bdr w:val="none" w:color="auto" w:sz="0" w:space="0"/>
                <w:shd w:val="clear" w:fill="FFFFFF"/>
              </w:rPr>
              <w:t>Murray, R. M., Koulanova, A., &amp; Sabiston, C. M. (2022). Understanding Girls’ Motivation to Participate in Sport: The Effects of Social Identity and Physical Self-Concept. </w:t>
            </w:r>
            <w:r>
              <w:rPr>
                <w:rFonts w:hint="default" w:ascii="Times New Roman" w:hAnsi="Times New Roman" w:cs="Times New Roman"/>
                <w:i/>
                <w:iCs/>
                <w:caps w:val="0"/>
                <w:color w:val="000000"/>
                <w:spacing w:val="0"/>
                <w:sz w:val="24"/>
                <w:szCs w:val="24"/>
                <w:u w:val="none"/>
                <w:bdr w:val="none" w:color="auto" w:sz="0" w:space="0"/>
                <w:shd w:val="clear" w:fill="FFFFFF"/>
              </w:rPr>
              <w:t>Frontiers in Sports and Active Living</w:t>
            </w:r>
            <w:r>
              <w:rPr>
                <w:rFonts w:hint="default" w:ascii="Times New Roman" w:hAnsi="Times New Roman" w:cs="Times New Roman"/>
                <w:i w:val="0"/>
                <w:iCs w:val="0"/>
                <w:caps w:val="0"/>
                <w:color w:val="000000"/>
                <w:spacing w:val="0"/>
                <w:sz w:val="24"/>
                <w:szCs w:val="24"/>
                <w:u w:val="none"/>
                <w:bdr w:val="none" w:color="auto" w:sz="0" w:space="0"/>
                <w:shd w:val="clear" w:fill="FFFFFF"/>
              </w:rPr>
              <w:t>, </w:t>
            </w:r>
            <w:r>
              <w:rPr>
                <w:rFonts w:hint="default" w:ascii="Times New Roman" w:hAnsi="Times New Roman" w:cs="Times New Roman"/>
                <w:i/>
                <w:iCs/>
                <w:caps w:val="0"/>
                <w:color w:val="000000"/>
                <w:spacing w:val="0"/>
                <w:sz w:val="24"/>
                <w:szCs w:val="24"/>
                <w:u w:val="none"/>
                <w:bdr w:val="none" w:color="auto" w:sz="0" w:space="0"/>
                <w:shd w:val="clear" w:fill="FFFFFF"/>
              </w:rPr>
              <w:t>3</w:t>
            </w:r>
            <w:r>
              <w:rPr>
                <w:rFonts w:hint="default" w:ascii="Times New Roman" w:hAnsi="Times New Roman" w:cs="Times New Roman"/>
                <w:i w:val="0"/>
                <w:iCs w:val="0"/>
                <w:caps w:val="0"/>
                <w:color w:val="000000"/>
                <w:spacing w:val="0"/>
                <w:sz w:val="24"/>
                <w:szCs w:val="24"/>
                <w:u w:val="none"/>
                <w:bdr w:val="none" w:color="auto" w:sz="0" w:space="0"/>
                <w:shd w:val="clear" w:fill="FFFFFF"/>
              </w:rPr>
              <w:t>. https://doi.org/10.3389/fspor.2021.787334</w:t>
            </w:r>
          </w:p>
          <w:p>
            <w:pPr>
              <w:keepNext w:val="0"/>
              <w:keepLines w:val="0"/>
              <w:widowControl/>
              <w:suppressLineNumbers w:val="0"/>
              <w:jc w:val="left"/>
            </w:pPr>
            <w:r>
              <w:rPr>
                <w:rFonts w:hint="default" w:ascii="Times New Roman" w:hAnsi="Times New Roman" w:eastAsia="SimSun" w:cs="Times New Roman"/>
                <w:i w:val="0"/>
                <w:iCs w:val="0"/>
                <w:caps w:val="0"/>
                <w:color w:val="000000"/>
                <w:spacing w:val="0"/>
                <w:kern w:val="0"/>
                <w:sz w:val="32"/>
                <w:szCs w:val="32"/>
                <w:u w:val="none"/>
                <w:shd w:val="clear" w:fill="FFFFFF"/>
                <w:lang w:val="en-US" w:eastAsia="zh-CN" w:bidi="ar"/>
              </w:rPr>
              <w:t>‌</w:t>
            </w:r>
          </w:p>
          <w:p>
            <w:pPr>
              <w:keepNext w:val="0"/>
              <w:keepLines w:val="0"/>
              <w:widowControl/>
              <w:suppressLineNumbers w:val="0"/>
              <w:jc w:val="left"/>
              <w:rPr>
                <w:sz w:val="24"/>
                <w:szCs w:val="24"/>
              </w:rPr>
            </w:pPr>
            <w:r>
              <w:rPr>
                <w:rFonts w:hint="default" w:ascii="Times New Roman" w:hAnsi="Times New Roman" w:eastAsia="SimSun" w:cs="Times New Roman"/>
                <w:i w:val="0"/>
                <w:iCs w:val="0"/>
                <w:caps w:val="0"/>
                <w:color w:val="000000"/>
                <w:spacing w:val="0"/>
                <w:kern w:val="0"/>
                <w:sz w:val="24"/>
                <w:szCs w:val="24"/>
                <w:u w:val="none"/>
                <w:shd w:val="clear" w:fill="FFFFFF"/>
                <w:lang w:val="en-US" w:eastAsia="zh-CN" w:bidi="ar"/>
              </w:rPr>
              <w:t>‌</w:t>
            </w:r>
          </w:p>
          <w:p>
            <w:pPr>
              <w:rPr>
                <w:rFonts w:hint="default" w:ascii="Arial" w:hAnsi="Arial" w:cs="Arial"/>
                <w:sz w:val="20"/>
                <w:lang w:val="en-US"/>
              </w:rPr>
            </w:pPr>
          </w:p>
          <w:p>
            <w:pPr>
              <w:rPr>
                <w:rFonts w:hint="default" w:ascii="Arial" w:hAnsi="Arial" w:cs="Arial"/>
                <w:sz w:val="20"/>
                <w:lang w:val="en-US"/>
              </w:rPr>
            </w:pPr>
          </w:p>
          <w:p>
            <w:pPr>
              <w:rPr>
                <w:rFonts w:hint="default" w:ascii="Arial" w:hAnsi="Arial" w:cs="Arial"/>
                <w:b/>
                <w:sz w:val="20"/>
                <w:lang w:val="en-US"/>
              </w:rPr>
            </w:pPr>
          </w:p>
          <w:p>
            <w:pPr>
              <w:rPr>
                <w:rFonts w:ascii="Arial" w:hAnsi="Arial" w:cs="Arial"/>
                <w:b/>
              </w:rPr>
            </w:pPr>
          </w:p>
          <w:p>
            <w:pPr>
              <w:rPr>
                <w:rFonts w:ascii="Arial" w:hAnsi="Arial" w:cs="Arial"/>
                <w:b/>
              </w:rPr>
            </w:pPr>
          </w:p>
          <w:p>
            <w:pPr>
              <w:rPr>
                <w:rFonts w:ascii="Arial" w:hAnsi="Arial" w:cs="Arial"/>
                <w:b/>
              </w:rPr>
            </w:pPr>
          </w:p>
          <w:p/>
          <w:p/>
          <w:p/>
        </w:tc>
      </w:tr>
    </w:tbl>
    <w:p>
      <w:pPr>
        <w:rPr>
          <w:rFonts w:ascii="Arial" w:hAnsi="Arial" w:cs="Arial"/>
          <w:sz w:val="8"/>
          <w:szCs w:val="8"/>
        </w:rPr>
      </w:pPr>
    </w:p>
    <w:tbl>
      <w:tblPr>
        <w:tblStyle w:val="4"/>
        <w:tblpPr w:leftFromText="180" w:rightFromText="180" w:vertAnchor="text" w:horzAnchor="margin" w:tblpY="1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08" w:type="dxa"/>
          </w:tcPr>
          <w:p>
            <w:pPr>
              <w:rPr>
                <w:rFonts w:ascii="Arial" w:hAnsi="Arial" w:cs="Arial"/>
                <w:b/>
                <w:sz w:val="20"/>
              </w:rPr>
            </w:pPr>
            <w:r>
              <w:rPr>
                <w:rFonts w:ascii="Arial" w:hAnsi="Arial" w:cs="Arial"/>
                <w:b/>
                <w:sz w:val="20"/>
              </w:rPr>
              <w:t>Please state the main research question(s) or hypotheses(s): (100 words max)</w:t>
            </w:r>
          </w:p>
          <w:p>
            <w:pPr>
              <w:rPr>
                <w:rFonts w:ascii="Arial" w:hAnsi="Arial" w:cs="Arial"/>
                <w:b/>
                <w:sz w:val="20"/>
              </w:rPr>
            </w:pPr>
          </w:p>
          <w:p>
            <w:pPr>
              <w:numPr>
                <w:ilvl w:val="0"/>
                <w:numId w:val="1"/>
              </w:numPr>
              <w:rPr>
                <w:rFonts w:hint="default" w:ascii="Times New Roman Regular" w:hAnsi="Times New Roman Regular" w:cs="Times New Roman Regular"/>
                <w:b w:val="0"/>
                <w:bCs/>
                <w:sz w:val="24"/>
                <w:szCs w:val="24"/>
                <w:lang w:val="en-US"/>
              </w:rPr>
            </w:pPr>
            <w:r>
              <w:rPr>
                <w:rFonts w:hint="default" w:ascii="Times New Roman Regular" w:hAnsi="Times New Roman Regular" w:cs="Times New Roman Regular"/>
                <w:b w:val="0"/>
                <w:bCs/>
                <w:sz w:val="24"/>
                <w:szCs w:val="24"/>
                <w:lang w:val="en-US"/>
              </w:rPr>
              <w:t>what factors females commonly identify as barriers that relate to engaging in sport ?</w:t>
            </w:r>
          </w:p>
          <w:p>
            <w:pPr>
              <w:numPr>
                <w:ilvl w:val="0"/>
                <w:numId w:val="1"/>
              </w:numPr>
              <w:rPr>
                <w:rFonts w:hint="default" w:ascii="Times New Roman Regular" w:hAnsi="Times New Roman Regular" w:cs="Times New Roman Regular"/>
                <w:b w:val="0"/>
                <w:bCs/>
                <w:sz w:val="24"/>
                <w:szCs w:val="24"/>
                <w:lang w:val="en-US"/>
              </w:rPr>
            </w:pPr>
            <w:r>
              <w:rPr>
                <w:rFonts w:hint="default" w:ascii="Times New Roman Regular" w:hAnsi="Times New Roman Regular" w:cs="Times New Roman Regular"/>
                <w:b w:val="0"/>
                <w:bCs/>
                <w:sz w:val="24"/>
                <w:szCs w:val="24"/>
                <w:lang w:val="en-US"/>
              </w:rPr>
              <w:t xml:space="preserve">what factors females commonly identify as motivators relating to exercise and sport? </w:t>
            </w:r>
          </w:p>
          <w:p>
            <w:pPr>
              <w:numPr>
                <w:ilvl w:val="0"/>
                <w:numId w:val="1"/>
              </w:numPr>
              <w:rPr>
                <w:rFonts w:hint="default" w:ascii="Times New Roman Regular" w:hAnsi="Times New Roman Regular" w:cs="Times New Roman Regular"/>
                <w:b w:val="0"/>
                <w:bCs/>
                <w:sz w:val="24"/>
                <w:szCs w:val="24"/>
                <w:lang w:val="en-US"/>
              </w:rPr>
            </w:pPr>
            <w:r>
              <w:rPr>
                <w:rFonts w:hint="default" w:ascii="Times New Roman Regular" w:hAnsi="Times New Roman Regular" w:cs="Times New Roman Regular"/>
                <w:b w:val="0"/>
                <w:bCs/>
                <w:sz w:val="24"/>
                <w:szCs w:val="24"/>
                <w:lang w:val="en-US"/>
              </w:rPr>
              <w:t xml:space="preserve">how do these barriers and motivators influence a females to participate in exercise and sport? </w:t>
            </w:r>
          </w:p>
          <w:p>
            <w:pPr>
              <w:rPr>
                <w:rFonts w:hint="default" w:ascii="Times New Roman Regular" w:hAnsi="Times New Roman Regular" w:cs="Times New Roman Regular"/>
                <w:b w:val="0"/>
                <w:bCs/>
                <w:sz w:val="24"/>
                <w:szCs w:val="24"/>
              </w:rPr>
            </w:pPr>
          </w:p>
          <w:p>
            <w:pPr>
              <w:rPr>
                <w:rFonts w:hint="default" w:ascii="Times New Roman Regular" w:hAnsi="Times New Roman Regular" w:cs="Times New Roman Regular"/>
                <w:b w:val="0"/>
                <w:bCs/>
                <w:sz w:val="24"/>
                <w:szCs w:val="24"/>
                <w:lang w:val="en-US"/>
              </w:rPr>
            </w:pPr>
            <w:r>
              <w:rPr>
                <w:rFonts w:hint="default" w:ascii="Times New Roman Regular" w:hAnsi="Times New Roman Regular" w:cs="Times New Roman Regular"/>
                <w:b w:val="0"/>
                <w:bCs/>
                <w:sz w:val="24"/>
                <w:szCs w:val="24"/>
                <w:lang w:val="en-US"/>
              </w:rPr>
              <w:t xml:space="preserve">hypotheses </w:t>
            </w:r>
          </w:p>
          <w:p>
            <w:pPr>
              <w:rPr>
                <w:rFonts w:hint="default" w:ascii="Times New Roman Regular" w:hAnsi="Times New Roman Regular" w:cs="Times New Roman Regular"/>
                <w:b w:val="0"/>
                <w:bCs/>
                <w:sz w:val="24"/>
                <w:szCs w:val="24"/>
                <w:lang w:val="en-US"/>
              </w:rPr>
            </w:pPr>
          </w:p>
          <w:p>
            <w:pPr>
              <w:rPr>
                <w:rFonts w:hint="default" w:ascii="Times New Roman Regular" w:hAnsi="Times New Roman Regular" w:cs="Times New Roman Regular"/>
                <w:b w:val="0"/>
                <w:bCs/>
                <w:sz w:val="24"/>
                <w:szCs w:val="24"/>
                <w:lang w:val="en-US"/>
              </w:rPr>
            </w:pPr>
            <w:r>
              <w:rPr>
                <w:rFonts w:hint="default" w:ascii="Times New Roman Regular" w:hAnsi="Times New Roman Regular" w:cs="Times New Roman Regular"/>
                <w:b w:val="0"/>
                <w:bCs/>
                <w:sz w:val="24"/>
                <w:szCs w:val="24"/>
                <w:lang w:val="en-US"/>
              </w:rPr>
              <w:t>1: women can experience anxiety when exercising or part taking in sports.</w:t>
            </w:r>
          </w:p>
          <w:p>
            <w:pPr>
              <w:rPr>
                <w:rFonts w:hint="default" w:ascii="Times New Roman Regular" w:hAnsi="Times New Roman Regular" w:cs="Times New Roman Regular"/>
                <w:b w:val="0"/>
                <w:bCs/>
                <w:sz w:val="24"/>
                <w:szCs w:val="24"/>
                <w:lang w:val="en-US"/>
              </w:rPr>
            </w:pPr>
            <w:r>
              <w:rPr>
                <w:rFonts w:hint="default" w:ascii="Times New Roman Regular" w:hAnsi="Times New Roman Regular" w:cs="Times New Roman Regular"/>
                <w:b w:val="0"/>
                <w:bCs/>
                <w:sz w:val="24"/>
                <w:szCs w:val="24"/>
                <w:lang w:val="en-US"/>
              </w:rPr>
              <w:t xml:space="preserve">2: women can feel comfortable in sports and exercise around a female social group/ team or class. </w:t>
            </w:r>
          </w:p>
          <w:p>
            <w:pPr>
              <w:rPr>
                <w:rFonts w:hint="default" w:ascii="Arial" w:hAnsi="Arial" w:cs="Arial"/>
                <w:b w:val="0"/>
                <w:bCs/>
                <w:sz w:val="24"/>
                <w:szCs w:val="24"/>
                <w:lang w:val="en-US"/>
              </w:rPr>
            </w:pPr>
          </w:p>
          <w:p>
            <w:pPr>
              <w:rPr>
                <w:rFonts w:hint="default" w:ascii="Arial" w:hAnsi="Arial" w:cs="Arial"/>
                <w:b w:val="0"/>
                <w:bCs/>
                <w:sz w:val="24"/>
                <w:szCs w:val="24"/>
                <w:lang w:val="en-US"/>
              </w:rPr>
            </w:pPr>
            <w:r>
              <w:rPr>
                <w:rFonts w:hint="default" w:ascii="Arial" w:hAnsi="Arial" w:cs="Arial"/>
                <w:b w:val="0"/>
                <w:bCs/>
                <w:sz w:val="24"/>
                <w:szCs w:val="24"/>
                <w:lang w:val="en-US"/>
              </w:rPr>
              <w:t>(</w:t>
            </w:r>
            <w:r>
              <w:rPr>
                <w:rFonts w:hint="default" w:ascii="Times New Roman Regular" w:hAnsi="Times New Roman Regular" w:cs="Times New Roman Regular"/>
                <w:b w:val="0"/>
                <w:bCs/>
                <w:sz w:val="24"/>
                <w:szCs w:val="24"/>
                <w:lang w:val="en-US"/>
              </w:rPr>
              <w:t>McDonugh &amp; Crocker, 2005), (Burton et al., 2021)</w:t>
            </w:r>
            <w:r>
              <w:rPr>
                <w:rFonts w:hint="default" w:ascii="Arial" w:hAnsi="Arial" w:cs="Arial"/>
                <w:b w:val="0"/>
                <w:bCs/>
                <w:sz w:val="24"/>
                <w:szCs w:val="24"/>
                <w:lang w:val="en-US"/>
              </w:rPr>
              <w:t>.</w:t>
            </w:r>
          </w:p>
          <w:p>
            <w:pPr>
              <w:rPr>
                <w:rFonts w:ascii="Arial" w:hAnsi="Arial" w:cs="Arial"/>
                <w:b w:val="0"/>
                <w:bCs/>
                <w:sz w:val="24"/>
                <w:szCs w:val="24"/>
              </w:rPr>
            </w:pPr>
          </w:p>
          <w:p/>
        </w:tc>
      </w:tr>
    </w:tbl>
    <w:p>
      <w:pPr>
        <w:rPr>
          <w:rFonts w:ascii="Arial" w:hAnsi="Arial" w:cs="Arial"/>
          <w:b/>
          <w:sz w:val="20"/>
        </w:rPr>
      </w:pPr>
    </w:p>
    <w:p>
      <w:pPr>
        <w:rPr>
          <w:rFonts w:ascii="Arial" w:hAnsi="Arial" w:cs="Arial"/>
          <w:b/>
          <w:sz w:val="20"/>
        </w:rPr>
      </w:pPr>
    </w:p>
    <w:p>
      <w:pPr>
        <w:rPr>
          <w:rFonts w:ascii="Arial" w:hAnsi="Arial" w:cs="Arial"/>
          <w:b/>
          <w:sz w:val="20"/>
          <w:u w:val="single"/>
        </w:rPr>
      </w:pPr>
      <w:r>
        <w:rPr>
          <w:rFonts w:ascii="Arial" w:hAnsi="Arial" w:cs="Arial"/>
          <w:b/>
          <w:sz w:val="20"/>
          <w:u w:val="single"/>
        </w:rPr>
        <w:t xml:space="preserve">Methodological Details (500 words) </w:t>
      </w:r>
    </w:p>
    <w:p>
      <w:pPr>
        <w:rPr>
          <w:rFonts w:ascii="Arial" w:hAnsi="Arial" w:cs="Arial"/>
          <w:b/>
          <w:sz w:val="20"/>
        </w:rPr>
      </w:pPr>
    </w:p>
    <w:tbl>
      <w:tblPr>
        <w:tblStyle w:val="4"/>
        <w:tblW w:w="0" w:type="auto"/>
        <w:tblInd w:w="0" w:type="dxa"/>
        <w:tblLayout w:type="autofit"/>
        <w:tblCellMar>
          <w:top w:w="0" w:type="dxa"/>
          <w:left w:w="108" w:type="dxa"/>
          <w:bottom w:w="0" w:type="dxa"/>
          <w:right w:w="108" w:type="dxa"/>
        </w:tblCellMar>
      </w:tblPr>
      <w:tblGrid>
        <w:gridCol w:w="10368"/>
      </w:tblGrid>
      <w:tr>
        <w:tc>
          <w:tcPr>
            <w:tcW w:w="10368" w:type="dxa"/>
            <w:tcBorders>
              <w:top w:val="single" w:color="auto" w:sz="4" w:space="0"/>
              <w:left w:val="single" w:color="auto" w:sz="4" w:space="0"/>
              <w:bottom w:val="single" w:color="auto" w:sz="4" w:space="0"/>
              <w:right w:val="single" w:color="auto" w:sz="4" w:space="0"/>
            </w:tcBorders>
          </w:tcPr>
          <w:p>
            <w:pPr>
              <w:rPr>
                <w:rFonts w:ascii="Arial" w:hAnsi="Arial" w:cs="Arial"/>
                <w:b/>
                <w:i/>
                <w:iCs/>
                <w:sz w:val="20"/>
              </w:rPr>
            </w:pPr>
            <w:r>
              <w:rPr>
                <w:rFonts w:ascii="Arial" w:hAnsi="Arial" w:cs="Arial"/>
                <w:b/>
                <w:i/>
                <w:iCs/>
                <w:sz w:val="20"/>
              </w:rPr>
              <w:t>Please summarise the key methodological approach: (you can include copies of proposed study materials as appendices if you wish). You must include details of the following:</w:t>
            </w:r>
          </w:p>
          <w:p>
            <w:pPr>
              <w:pStyle w:val="13"/>
              <w:numPr>
                <w:ilvl w:val="0"/>
                <w:numId w:val="2"/>
              </w:numPr>
              <w:rPr>
                <w:rFonts w:ascii="Arial" w:hAnsi="Arial" w:cs="Arial"/>
                <w:bCs/>
                <w:i/>
                <w:iCs/>
                <w:sz w:val="20"/>
              </w:rPr>
            </w:pPr>
            <w:r>
              <w:rPr>
                <w:rFonts w:ascii="Arial" w:hAnsi="Arial" w:cs="Arial"/>
                <w:bCs/>
                <w:i/>
                <w:iCs/>
                <w:sz w:val="20"/>
              </w:rPr>
              <w:t>Participants: Who will your participants be, how will you access and recruit them, and how many are needed?</w:t>
            </w:r>
          </w:p>
          <w:p>
            <w:pPr>
              <w:pStyle w:val="13"/>
              <w:numPr>
                <w:numId w:val="0"/>
              </w:numPr>
              <w:ind w:leftChars="0"/>
              <w:rPr>
                <w:rFonts w:ascii="Arial" w:hAnsi="Arial" w:cs="Arial"/>
                <w:bCs/>
                <w:i/>
                <w:iCs/>
                <w:sz w:val="20"/>
              </w:rPr>
            </w:pPr>
          </w:p>
          <w:p>
            <w:pPr>
              <w:pStyle w:val="13"/>
              <w:numPr>
                <w:numId w:val="0"/>
              </w:numPr>
              <w:ind w:leftChars="0"/>
              <w:rPr>
                <w:rFonts w:hint="default" w:ascii="Times New Roman Regular" w:hAnsi="Times New Roman Regular" w:cs="Times New Roman Regular"/>
                <w:bCs/>
                <w:i w:val="0"/>
                <w:iCs/>
                <w:sz w:val="24"/>
                <w:szCs w:val="24"/>
                <w:lang w:val="en-US"/>
              </w:rPr>
            </w:pPr>
            <w:r>
              <w:rPr>
                <w:rFonts w:hint="default" w:ascii="Times New Roman Regular" w:hAnsi="Times New Roman Regular" w:cs="Times New Roman Regular"/>
                <w:bCs/>
                <w:i w:val="0"/>
                <w:iCs/>
                <w:sz w:val="24"/>
                <w:szCs w:val="24"/>
                <w:lang w:val="en-US"/>
              </w:rPr>
              <w:t xml:space="preserve">Participants will be targeted towards females only, from all ages 18+ aiming towards a result of 60 participants. also including UWTSD student to take part in the study. These students will be undergraduate students apart of psychology course that are all over the age of 18+.  As this study is based online and a quantitative report to access these individual participants will be used via social media platform such as Faceboook and Linkedin to use these platforms to promote access for individual participants to take apart in the study but show awareness of the study and what it initiates. Whereas using UWTSD students to participate via EMS (experimental management system). This system shows what studies are available to gain credits via participating and completing the study. To recruit these participant by using consent forms, information sheet, ethics form  and overview of the study. </w:t>
            </w:r>
          </w:p>
          <w:p>
            <w:pPr>
              <w:pStyle w:val="13"/>
              <w:numPr>
                <w:numId w:val="0"/>
              </w:numPr>
              <w:ind w:leftChars="0"/>
              <w:rPr>
                <w:rFonts w:hint="default" w:ascii="Times New Roman Regular" w:hAnsi="Times New Roman Regular" w:cs="Times New Roman Regular"/>
                <w:bCs/>
                <w:i w:val="0"/>
                <w:iCs/>
                <w:sz w:val="24"/>
                <w:szCs w:val="24"/>
              </w:rPr>
            </w:pPr>
          </w:p>
          <w:p>
            <w:pPr>
              <w:pStyle w:val="13"/>
              <w:numPr>
                <w:ilvl w:val="0"/>
                <w:numId w:val="2"/>
              </w:numPr>
              <w:rPr>
                <w:rFonts w:ascii="Arial" w:hAnsi="Arial" w:cs="Arial"/>
                <w:bCs/>
                <w:i/>
                <w:iCs/>
                <w:sz w:val="20"/>
              </w:rPr>
            </w:pPr>
            <w:r>
              <w:rPr>
                <w:rFonts w:ascii="Arial" w:hAnsi="Arial" w:cs="Arial"/>
                <w:bCs/>
                <w:i/>
                <w:iCs/>
                <w:sz w:val="20"/>
              </w:rPr>
              <w:t xml:space="preserve">Design: Using appropriate terminology clearly define key elements of your design (IVs, DVs, Qual approach, expt. manipulations etc).  How do you plan to analyse your main data? </w:t>
            </w:r>
          </w:p>
          <w:p>
            <w:pPr>
              <w:pStyle w:val="13"/>
              <w:numPr>
                <w:numId w:val="0"/>
              </w:numPr>
              <w:ind w:leftChars="0"/>
              <w:rPr>
                <w:rFonts w:ascii="Arial" w:hAnsi="Arial" w:cs="Arial"/>
                <w:bCs/>
                <w:i/>
                <w:iCs/>
                <w:sz w:val="20"/>
              </w:rPr>
            </w:pPr>
          </w:p>
          <w:p>
            <w:pPr>
              <w:pStyle w:val="13"/>
              <w:numPr>
                <w:numId w:val="0"/>
              </w:numPr>
              <w:ind w:leftChars="0"/>
              <w:rPr>
                <w:rFonts w:hint="default" w:ascii="Times New Roman Regular" w:hAnsi="Times New Roman Regular" w:eastAsia=".AppleSystemUIFont Regular" w:cs="Times New Roman Regular"/>
                <w:bCs/>
                <w:i w:val="0"/>
                <w:iCs/>
                <w:sz w:val="24"/>
                <w:szCs w:val="24"/>
                <w:lang w:val="en-US"/>
              </w:rPr>
            </w:pPr>
            <w:r>
              <w:rPr>
                <w:rFonts w:hint="default" w:ascii="Times New Roman Regular" w:hAnsi="Times New Roman Regular" w:eastAsia=".AppleSystemUIFont Regular" w:cs="Times New Roman Regular"/>
                <w:bCs/>
                <w:i w:val="0"/>
                <w:iCs/>
                <w:sz w:val="24"/>
                <w:szCs w:val="24"/>
                <w:lang w:val="en-US"/>
              </w:rPr>
              <w:t>This study will be analyzed quantitative style using the design between- subjects analysis using a two- way Anova approach and reverse scoring any negative worded questions within the questionnaires. also using SPSS to calculate and record data to analyse. This was chosen because of the aimed target group for this study being female only and with the study required number of 60. The independent variable is the age of female as different perceptions may rise form the different ages. another independent variable is ‘ barriers’ and ‘motivators’ the DV is that the emotion women identify from these barriers and motivators in sport stays the same throughout the whole study but from a female age can influence different experiences within life that can have an affect with answers. The control variable is that the each participant will receive the same questions to keep future data adequate. Included is two questionnaires 7 point scale like-art form on barriers (EBBM), and questionnaire scale of (SMS) from different ages and personalities can affect the type of data recorded. To analyse this data  by looking at the difference in emotion experienced towards barriers and motivators but also what certain age group differences of their perception of barriers and motivators and how it can affect them. (Ganero- Galleges et al., 2014), (Karen R: sechrist et al., 1987)</w:t>
            </w:r>
          </w:p>
          <w:p>
            <w:pPr>
              <w:pStyle w:val="13"/>
              <w:numPr>
                <w:numId w:val="0"/>
              </w:numPr>
              <w:contextualSpacing/>
              <w:rPr>
                <w:rFonts w:ascii="Arial" w:hAnsi="Arial" w:cs="Arial"/>
                <w:bCs/>
                <w:i/>
                <w:iCs/>
                <w:sz w:val="24"/>
                <w:szCs w:val="24"/>
              </w:rPr>
            </w:pPr>
          </w:p>
          <w:p>
            <w:pPr>
              <w:pStyle w:val="13"/>
              <w:numPr>
                <w:numId w:val="0"/>
              </w:numPr>
              <w:contextualSpacing/>
              <w:rPr>
                <w:rFonts w:ascii="Arial" w:hAnsi="Arial" w:cs="Arial"/>
                <w:bCs/>
                <w:i/>
                <w:iCs/>
                <w:sz w:val="20"/>
              </w:rPr>
            </w:pPr>
          </w:p>
          <w:p>
            <w:pPr>
              <w:pStyle w:val="13"/>
              <w:numPr>
                <w:ilvl w:val="0"/>
                <w:numId w:val="2"/>
              </w:numPr>
              <w:rPr>
                <w:rFonts w:ascii="Arial" w:hAnsi="Arial" w:cs="Arial"/>
                <w:bCs/>
                <w:i/>
                <w:iCs/>
                <w:sz w:val="20"/>
              </w:rPr>
            </w:pPr>
            <w:r>
              <w:rPr>
                <w:rFonts w:ascii="Arial" w:hAnsi="Arial" w:cs="Arial"/>
                <w:bCs/>
                <w:i/>
                <w:iCs/>
                <w:sz w:val="20"/>
              </w:rPr>
              <w:t xml:space="preserve">Materials: What are the main measures, scales, experimental tools or other materials required for your study? </w:t>
            </w:r>
          </w:p>
          <w:p>
            <w:pPr>
              <w:pStyle w:val="13"/>
              <w:numPr>
                <w:numId w:val="0"/>
              </w:numPr>
              <w:contextualSpacing/>
              <w:rPr>
                <w:rFonts w:ascii="Arial" w:hAnsi="Arial" w:cs="Arial"/>
                <w:bCs/>
                <w:i/>
                <w:iCs/>
                <w:sz w:val="20"/>
              </w:rPr>
            </w:pPr>
          </w:p>
          <w:p>
            <w:pPr>
              <w:pStyle w:val="13"/>
              <w:numPr>
                <w:numId w:val="0"/>
              </w:numPr>
              <w:contextualSpacing/>
              <w:rPr>
                <w:rFonts w:hint="default" w:ascii="Times New Roman Regular" w:hAnsi="Times New Roman Regular" w:eastAsia=".AppleSystemUIFont Regular" w:cs="Times New Roman Regular"/>
                <w:bCs/>
                <w:i w:val="0"/>
                <w:iCs/>
                <w:sz w:val="24"/>
                <w:szCs w:val="24"/>
                <w:lang w:val="en-US"/>
              </w:rPr>
            </w:pPr>
            <w:r>
              <w:rPr>
                <w:rFonts w:hint="default" w:ascii="Times New Roman Regular" w:hAnsi="Times New Roman Regular" w:eastAsia=".AppleSystemUIFont Regular" w:cs="Times New Roman Regular"/>
                <w:bCs/>
                <w:i w:val="0"/>
                <w:iCs/>
                <w:sz w:val="24"/>
                <w:szCs w:val="24"/>
                <w:lang w:val="en-US"/>
              </w:rPr>
              <w:t xml:space="preserve">materials used in this research includes questionnaires, information sheet, debrief form, ethics form and consent form, also 7-scale like-art scale on barriers (EBBM) and (SMS) questionnaire materials also used would be technology such as participants own technology as its an online study. computers and personal items also used to collect and record the data from participants. </w:t>
            </w:r>
          </w:p>
          <w:p>
            <w:pPr>
              <w:pStyle w:val="13"/>
              <w:numPr>
                <w:numId w:val="0"/>
              </w:numPr>
              <w:contextualSpacing/>
              <w:rPr>
                <w:rFonts w:hint="eastAsia" w:ascii=".AppleSystemUIFont Regular" w:hAnsi=".AppleSystemUIFont Regular" w:eastAsia=".AppleSystemUIFont Regular" w:cs=".AppleSystemUIFont Regular"/>
                <w:bCs/>
                <w:i/>
                <w:iCs/>
                <w:sz w:val="24"/>
                <w:szCs w:val="24"/>
                <w:lang w:val="en-US"/>
              </w:rPr>
            </w:pPr>
            <w:bookmarkStart w:id="0" w:name="_GoBack"/>
            <w:bookmarkEnd w:id="0"/>
          </w:p>
          <w:p>
            <w:pPr>
              <w:pStyle w:val="13"/>
              <w:numPr>
                <w:ilvl w:val="0"/>
                <w:numId w:val="2"/>
              </w:numPr>
              <w:rPr>
                <w:rFonts w:ascii="Arial" w:hAnsi="Arial" w:cs="Arial"/>
                <w:bCs/>
                <w:i/>
                <w:iCs/>
                <w:sz w:val="20"/>
              </w:rPr>
            </w:pPr>
            <w:r>
              <w:rPr>
                <w:rFonts w:ascii="Arial" w:hAnsi="Arial" w:cs="Arial"/>
                <w:bCs/>
                <w:i/>
                <w:iCs/>
                <w:sz w:val="20"/>
              </w:rPr>
              <w:t>Procedure: How will you carry out the study – define briefly what will happen to a participant in your study from the point of consent to the study debrief.</w:t>
            </w:r>
          </w:p>
          <w:p>
            <w:pPr>
              <w:rPr>
                <w:rFonts w:ascii="Arial" w:hAnsi="Arial" w:cs="Arial"/>
                <w:b/>
              </w:rPr>
            </w:pPr>
          </w:p>
          <w:p>
            <w:pPr>
              <w:rPr>
                <w:rFonts w:hint="default" w:ascii="Times New Roman Regular" w:hAnsi="Times New Roman Regular" w:cs="Times New Roman Regular"/>
                <w:b w:val="0"/>
                <w:bCs/>
                <w:lang w:val="en-US"/>
              </w:rPr>
            </w:pPr>
            <w:r>
              <w:rPr>
                <w:rFonts w:hint="default" w:ascii="Times New Roman Regular" w:hAnsi="Times New Roman Regular" w:cs="Times New Roman Regular"/>
                <w:b w:val="0"/>
                <w:bCs/>
                <w:lang w:val="en-US"/>
              </w:rPr>
              <w:t xml:space="preserve">Firstly this study will be conducted in a methodological approach such as participants needing to complete the consent form, ethics form and read through the information sheet before proceeding with the study via the link qualtirics which will be attached via social media online platform or via EMS. Participants will be greeted by a seprate screen before study starts where they would also have to fill in gender and pick an age group their age is allocated in. They will then start one of the two questionnaires. first questionnaire is based off barriers women perceive in exercise and sport, after this they will be shown a like-art 7 point scale on why they part take in sports and the barriers they have perceived. From this the participants will be directed onto the next questionnaire relating to why they take part in sport exercise and sport. After completing this the 7 point like-art scale from participants completing the two questionnaires attached after each questionnaire will see a slide thanking for participation of the study. Finally participants will be shown the debrief form at the end on further information about the study. </w:t>
            </w:r>
          </w:p>
          <w:p>
            <w:pPr>
              <w:rPr>
                <w:rFonts w:hint="default" w:ascii="Times New Roman Regular" w:hAnsi="Times New Roman Regular" w:cs="Times New Roman Regular"/>
                <w:b w:val="0"/>
                <w:bCs/>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tc>
      </w:tr>
    </w:tbl>
    <w:p>
      <w:pPr>
        <w:rPr>
          <w:rFonts w:ascii="Arial" w:hAnsi="Arial" w:cs="Arial"/>
          <w:b/>
        </w:rPr>
      </w:pPr>
    </w:p>
    <w:p>
      <w:pPr>
        <w:rPr>
          <w:rFonts w:ascii="Arial" w:hAnsi="Arial" w:cs="Arial"/>
          <w:b/>
          <w:sz w:val="20"/>
          <w:szCs w:val="20"/>
        </w:rPr>
      </w:pPr>
    </w:p>
    <w:p>
      <w:pPr>
        <w:rPr>
          <w:rFonts w:ascii="Arial" w:hAnsi="Arial" w:cs="Arial"/>
          <w:b/>
          <w:sz w:val="20"/>
          <w:szCs w:val="20"/>
          <w:u w:val="single"/>
        </w:rPr>
      </w:pPr>
      <w:r>
        <w:rPr>
          <w:rFonts w:ascii="Arial" w:hAnsi="Arial" w:cs="Arial"/>
          <w:b/>
          <w:sz w:val="20"/>
          <w:szCs w:val="20"/>
          <w:u w:val="single"/>
        </w:rPr>
        <w:t>Key Ethical considerations (150 words)</w:t>
      </w:r>
    </w:p>
    <w:p>
      <w:pPr>
        <w:rPr>
          <w:rFonts w:ascii="Arial" w:hAnsi="Arial" w:cs="Arial"/>
          <w:b/>
          <w:sz w:val="20"/>
          <w:szCs w:val="20"/>
          <w:u w:val="single"/>
        </w:rPr>
      </w:pPr>
    </w:p>
    <w:p>
      <w:pPr>
        <w:rPr>
          <w:sz w:val="4"/>
          <w:szCs w:val="4"/>
        </w:rPr>
      </w:pPr>
    </w:p>
    <w:tbl>
      <w:tblPr>
        <w:tblStyle w:val="4"/>
        <w:tblW w:w="0" w:type="auto"/>
        <w:tblInd w:w="0" w:type="dxa"/>
        <w:tblLayout w:type="autofit"/>
        <w:tblCellMar>
          <w:top w:w="0" w:type="dxa"/>
          <w:left w:w="108" w:type="dxa"/>
          <w:bottom w:w="0" w:type="dxa"/>
          <w:right w:w="108" w:type="dxa"/>
        </w:tblCellMar>
      </w:tblPr>
      <w:tblGrid>
        <w:gridCol w:w="10368"/>
      </w:tblGrid>
      <w:tr>
        <w:tc>
          <w:tcPr>
            <w:tcW w:w="10368" w:type="dxa"/>
            <w:tcBorders>
              <w:top w:val="single" w:color="auto" w:sz="4" w:space="0"/>
              <w:left w:val="single" w:color="auto" w:sz="4" w:space="0"/>
              <w:bottom w:val="single" w:color="auto" w:sz="4" w:space="0"/>
              <w:right w:val="single" w:color="auto" w:sz="4" w:space="0"/>
            </w:tcBorders>
          </w:tcPr>
          <w:p>
            <w:pPr>
              <w:rPr>
                <w:rFonts w:ascii="Arial" w:hAnsi="Arial" w:cs="Arial"/>
                <w:bCs/>
                <w:i/>
                <w:iCs/>
                <w:sz w:val="22"/>
                <w:szCs w:val="22"/>
              </w:rPr>
            </w:pPr>
            <w:r>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which will document your specific processes for informed consent, debriefing, and data protection.  Here you need to briefly note </w:t>
            </w:r>
            <w:r>
              <w:rPr>
                <w:rFonts w:ascii="Arial" w:hAnsi="Arial" w:cs="Arial"/>
                <w:bCs/>
                <w:i/>
                <w:iCs/>
                <w:sz w:val="22"/>
                <w:szCs w:val="22"/>
                <w:u w:val="single"/>
              </w:rPr>
              <w:t>additional or specific key ethical considerations</w:t>
            </w:r>
            <w:r>
              <w:rPr>
                <w:rFonts w:ascii="Arial" w:hAnsi="Arial" w:cs="Arial"/>
                <w:bCs/>
                <w:i/>
                <w:iCs/>
                <w:sz w:val="22"/>
                <w:szCs w:val="22"/>
              </w:rPr>
              <w:t xml:space="preserve"> for your particular project e.g. potential for distress or discomfort, any deception, research with vulnerable populations or sensitive topic areas, and briefly outline how you expect to manage these risks within your project. </w:t>
            </w:r>
          </w:p>
          <w:p>
            <w:pPr>
              <w:rPr>
                <w:rFonts w:ascii="Arial" w:hAnsi="Arial" w:cs="Arial"/>
                <w:b/>
              </w:rPr>
            </w:pPr>
          </w:p>
          <w:p>
            <w:pPr>
              <w:rPr>
                <w:rFonts w:hint="default" w:ascii="Times New Roman Regular" w:hAnsi="Times New Roman Regular" w:cs="Times New Roman Regular"/>
                <w:b w:val="0"/>
                <w:lang w:val="en-US"/>
              </w:rPr>
            </w:pPr>
            <w:r>
              <w:rPr>
                <w:rFonts w:hint="default" w:ascii="Times New Roman Regular" w:hAnsi="Times New Roman Regular" w:cs="Times New Roman Regular"/>
                <w:b w:val="0"/>
                <w:bCs/>
                <w:lang w:val="en-US"/>
              </w:rPr>
              <w:t>Relating with the BPS codes of human research towards ethics (2018), following the ethical guidelines a consent form will be presented to participants to be able of awareness of the participants written consent to participate in research but to fully understand what is required of the study. Participants will be informed of withdrawing rights when participating at any time without penalty. Debrief form will also be presented to participants to give further information on the study with also contact details of the researcher and supervisor at the end of the form. Participant will also be informed of the right to ask any questions about the study. Participants will also be informed on their right to withdraw nay data cant proceed after completing the study and that their information will not be tracked back to them individually. Therefore ensuring participants their data will be held strictly confidential and anonymously or the right to withdraw if uncomfortable or receiving health issues whilst part- taking in the study if ethical issues arise such as wording of questions within questionnaire. (British Psychological Society, 2021)</w:t>
            </w:r>
          </w:p>
          <w:p>
            <w:pPr>
              <w:rPr>
                <w:rFonts w:ascii="Arial" w:hAnsi="Arial" w:cs="Arial"/>
                <w:b/>
              </w:rPr>
            </w:pPr>
          </w:p>
          <w:p>
            <w:pPr>
              <w:rPr>
                <w:rFonts w:ascii="Arial" w:hAnsi="Arial" w:cs="Arial"/>
                <w:b/>
              </w:rPr>
            </w:pPr>
          </w:p>
          <w:p>
            <w:pPr>
              <w:rPr>
                <w:rFonts w:hint="default" w:ascii="Arial" w:hAnsi="Arial" w:cs="Arial"/>
                <w:b/>
                <w:lang w:val="en-US"/>
              </w:rPr>
            </w:pPr>
            <w:r>
              <w:rPr>
                <w:rFonts w:hint="default" w:ascii="Arial" w:hAnsi="Arial" w:cs="Arial"/>
                <w:b/>
                <w:lang w:val="en-US"/>
              </w:rPr>
              <w:t xml:space="preserve">Appendices </w:t>
            </w:r>
          </w:p>
          <w:p>
            <w:pPr>
              <w:rPr>
                <w:rFonts w:hint="default" w:ascii="Arial" w:hAnsi="Arial" w:cs="Arial"/>
                <w:b/>
                <w:lang w:val="en-US"/>
              </w:rPr>
            </w:pPr>
            <w:r>
              <w:rPr>
                <w:rFonts w:hint="default" w:ascii="Arial" w:hAnsi="Arial" w:cs="Arial"/>
                <w:b/>
                <w:lang w:val="en-US"/>
              </w:rPr>
              <w:object>
                <v:shape id="_x0000_i1025" o:spt="75" type="#_x0000_t75" style="height:0.05pt;width:0.05pt;" o:ole="t" filled="f" stroked="f" coordsize="21600,21600">
                  <v:fill on="f" focussize="0,0"/>
                  <v:stroke on="f"/>
                  <v:imagedata o:title=""/>
                  <o:lock v:ext="edit" aspectratio="t"/>
                  <w10:wrap type="none"/>
                  <w10:anchorlock/>
                </v:shape>
                <o:OLEObject Type="Embed" ProgID="" ShapeID="_x0000_i1025" DrawAspect="Content" ObjectID="_1468075725" r:id="rId7">
                  <o:LockedField>false</o:LockedField>
                </o:OLEObject>
              </w:object>
            </w:r>
          </w:p>
          <w:p>
            <w:pPr>
              <w:rPr>
                <w:rFonts w:hint="default" w:ascii="Arial" w:hAnsi="Arial" w:cs="Arial"/>
                <w:b/>
                <w:lang w:val="en-US"/>
              </w:rPr>
            </w:pPr>
          </w:p>
          <w:p>
            <w:pPr>
              <w:rPr>
                <w:rFonts w:hint="default" w:ascii="Arial" w:hAnsi="Arial" w:cs="Arial"/>
                <w:b/>
                <w:lang w:val="en-US"/>
              </w:rPr>
            </w:pPr>
          </w:p>
          <w:p>
            <w:pPr>
              <w:rPr>
                <w:rFonts w:hint="default" w:ascii="Arial" w:hAnsi="Arial" w:cs="Arial"/>
                <w:b/>
                <w:lang w:val="en-US"/>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p>
        </w:tc>
      </w:tr>
    </w:tbl>
    <w:p>
      <w:pPr>
        <w:rPr>
          <w:sz w:val="8"/>
          <w:szCs w:val="8"/>
        </w:rPr>
      </w:pPr>
    </w:p>
    <w:p>
      <w:pPr>
        <w:rPr>
          <w:rFonts w:ascii="Arial" w:hAnsi="Arial" w:cs="Arial"/>
          <w:b/>
        </w:rPr>
      </w:pPr>
    </w:p>
    <w:p>
      <w:pPr>
        <w:pStyle w:val="11"/>
        <w:rPr>
          <w:sz w:val="4"/>
          <w:szCs w:val="4"/>
        </w:rPr>
      </w:pPr>
    </w:p>
    <w:sectPr>
      <w:footerReference r:id="rId3" w:type="default"/>
      <w:footerReference r:id="rId4" w:type="even"/>
      <w:pgSz w:w="11906" w:h="16838"/>
      <w:pgMar w:top="567" w:right="794" w:bottom="397" w:left="794" w:header="709" w:footer="709" w:gutter="0"/>
      <w:pgNumType w:start="6"/>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Tahoma">
    <w:panose1 w:val="020B0604030504040204"/>
    <w:charset w:val="00"/>
    <w:family w:val="swiss"/>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tim">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Times New Roman Regular">
    <w:panose1 w:val="02020603050405020304"/>
    <w:charset w:val="00"/>
    <w:family w:val="auto"/>
    <w:pitch w:val="default"/>
    <w:sig w:usb0="00000000" w:usb1="00000000" w:usb2="00000000" w:usb3="00000000" w:csb0="00000000" w:csb1="00000000"/>
  </w:font>
  <w:font w:name=".AppleSystemUIFont Regular">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9"/>
      </w:rPr>
    </w:pPr>
    <w:r>
      <w:rPr>
        <w:rStyle w:val="9"/>
      </w:rPr>
      <w:fldChar w:fldCharType="begin"/>
    </w:r>
    <w:r>
      <w:rPr>
        <w:rStyle w:val="9"/>
      </w:rPr>
      <w:instrText xml:space="preserve">PAGE  </w:instrText>
    </w:r>
    <w:r>
      <w:rPr>
        <w:rStyle w:val="9"/>
      </w:rPr>
      <w:fldChar w:fldCharType="end"/>
    </w:r>
  </w:p>
  <w:p>
    <w:pPr>
      <w:pStyle w:val="6"/>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3AE12A"/>
    <w:multiLevelType w:val="singleLevel"/>
    <w:tmpl w:val="EC3AE12A"/>
    <w:lvl w:ilvl="0" w:tentative="0">
      <w:start w:val="1"/>
      <w:numFmt w:val="decimal"/>
      <w:suff w:val="space"/>
      <w:lvlText w:val="%1."/>
      <w:lvlJc w:val="left"/>
    </w:lvl>
  </w:abstractNum>
  <w:abstractNum w:abstractNumId="1">
    <w:nsid w:val="51CB25F2"/>
    <w:multiLevelType w:val="multilevel"/>
    <w:tmpl w:val="51CB25F2"/>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0"/>
  <w:bordersDoNotSurroundFooter w:val="0"/>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attachedTemplate r:id="rId1"/>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C1972"/>
    <w:rsid w:val="000C45C6"/>
    <w:rsid w:val="000C7356"/>
    <w:rsid w:val="000E4E3F"/>
    <w:rsid w:val="000F514D"/>
    <w:rsid w:val="00107694"/>
    <w:rsid w:val="00137D0F"/>
    <w:rsid w:val="001466E6"/>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3E33"/>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43FE"/>
    <w:rsid w:val="009F0537"/>
    <w:rsid w:val="009F6541"/>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567E"/>
    <w:rsid w:val="00B76769"/>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66C4"/>
    <w:rsid w:val="00CF5F56"/>
    <w:rsid w:val="00D01C1B"/>
    <w:rsid w:val="00D077E1"/>
    <w:rsid w:val="00D128EA"/>
    <w:rsid w:val="00D2461D"/>
    <w:rsid w:val="00D40D39"/>
    <w:rsid w:val="00D7426D"/>
    <w:rsid w:val="00D744CC"/>
    <w:rsid w:val="00D83BA6"/>
    <w:rsid w:val="00D9285C"/>
    <w:rsid w:val="00D92BA9"/>
    <w:rsid w:val="00DA2212"/>
    <w:rsid w:val="00DA7F18"/>
    <w:rsid w:val="00DB1B13"/>
    <w:rsid w:val="00DB4F0B"/>
    <w:rsid w:val="00DB7633"/>
    <w:rsid w:val="00DB7AE5"/>
    <w:rsid w:val="00DC77E1"/>
    <w:rsid w:val="00DE121A"/>
    <w:rsid w:val="00DF4D67"/>
    <w:rsid w:val="00DF7A76"/>
    <w:rsid w:val="00E00F78"/>
    <w:rsid w:val="00E0289D"/>
    <w:rsid w:val="00E24A0F"/>
    <w:rsid w:val="00E24E04"/>
    <w:rsid w:val="00E26247"/>
    <w:rsid w:val="00E271BA"/>
    <w:rsid w:val="00E31518"/>
    <w:rsid w:val="00E37438"/>
    <w:rsid w:val="00E50BFF"/>
    <w:rsid w:val="00E63A9A"/>
    <w:rsid w:val="00E667C8"/>
    <w:rsid w:val="00E84E80"/>
    <w:rsid w:val="00EA230D"/>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F750B"/>
    <w:rsid w:val="2FFFB30D"/>
    <w:rsid w:val="519FC333"/>
    <w:rsid w:val="5FFFCAF4"/>
    <w:rsid w:val="6EF1A8D5"/>
    <w:rsid w:val="6FEBBD97"/>
    <w:rsid w:val="6FFDA89F"/>
    <w:rsid w:val="78FF8068"/>
    <w:rsid w:val="BFDF9D43"/>
    <w:rsid w:val="BFF145F0"/>
    <w:rsid w:val="BFFF29AF"/>
    <w:rsid w:val="D7BB9DC7"/>
    <w:rsid w:val="DFCD1EAC"/>
    <w:rsid w:val="EBE9B4AC"/>
    <w:rsid w:val="EF5F4185"/>
    <w:rsid w:val="FBD75AF5"/>
    <w:rsid w:val="FFB3C1E4"/>
    <w:rsid w:val="FFBF6C7E"/>
    <w:rsid w:val="FFEE03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GB" w:eastAsia="en-GB" w:bidi="ar-SA"/>
    </w:rPr>
  </w:style>
  <w:style w:type="paragraph" w:styleId="2">
    <w:name w:val="heading 1"/>
    <w:basedOn w:val="1"/>
    <w:next w:val="1"/>
    <w:qFormat/>
    <w:uiPriority w:val="0"/>
    <w:pPr>
      <w:keepNext/>
      <w:spacing w:before="240" w:after="60"/>
      <w:outlineLvl w:val="0"/>
    </w:pPr>
    <w:rPr>
      <w:rFonts w:ascii="Arial" w:hAnsi="Arial" w:cs="Arial"/>
      <w:b/>
      <w:bCs/>
      <w:kern w:val="32"/>
      <w:sz w:val="32"/>
      <w:szCs w:val="32"/>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semiHidden/>
    <w:qFormat/>
    <w:uiPriority w:val="0"/>
    <w:rPr>
      <w:rFonts w:ascii="Tahoma" w:hAnsi="Tahoma" w:cs="Tahoma"/>
      <w:sz w:val="16"/>
      <w:szCs w:val="16"/>
    </w:rPr>
  </w:style>
  <w:style w:type="paragraph" w:styleId="6">
    <w:name w:val="footer"/>
    <w:basedOn w:val="1"/>
    <w:semiHidden/>
    <w:qFormat/>
    <w:uiPriority w:val="0"/>
    <w:pPr>
      <w:tabs>
        <w:tab w:val="center" w:pos="4153"/>
        <w:tab w:val="right" w:pos="8306"/>
      </w:tabs>
    </w:pPr>
  </w:style>
  <w:style w:type="paragraph" w:styleId="7">
    <w:name w:val="header"/>
    <w:basedOn w:val="1"/>
    <w:semiHidden/>
    <w:qFormat/>
    <w:uiPriority w:val="0"/>
    <w:pPr>
      <w:tabs>
        <w:tab w:val="center" w:pos="4153"/>
        <w:tab w:val="right" w:pos="8306"/>
      </w:tabs>
    </w:pPr>
  </w:style>
  <w:style w:type="paragraph" w:styleId="8">
    <w:name w:val="Normal (Web)"/>
    <w:uiPriority w:val="0"/>
    <w:pPr>
      <w:spacing w:before="0" w:beforeAutospacing="1" w:after="0" w:afterAutospacing="1"/>
      <w:ind w:left="0" w:right="0"/>
      <w:jc w:val="left"/>
    </w:pPr>
    <w:rPr>
      <w:kern w:val="0"/>
      <w:sz w:val="24"/>
      <w:szCs w:val="24"/>
      <w:lang w:val="en-US" w:eastAsia="zh-CN" w:bidi="ar"/>
    </w:rPr>
  </w:style>
  <w:style w:type="character" w:styleId="9">
    <w:name w:val="page number"/>
    <w:basedOn w:val="3"/>
    <w:semiHidden/>
    <w:qFormat/>
    <w:uiPriority w:val="0"/>
  </w:style>
  <w:style w:type="table" w:styleId="10">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SMU NORMAL ARIAL"/>
    <w:basedOn w:val="1"/>
    <w:qFormat/>
    <w:uiPriority w:val="0"/>
    <w:rPr>
      <w:rFonts w:ascii="Arial" w:hAnsi="Arial"/>
      <w:sz w:val="22"/>
    </w:rPr>
  </w:style>
  <w:style w:type="paragraph" w:customStyle="1" w:styleId="12">
    <w:name w:val="SMU ARIAL 14 BOLD"/>
    <w:qFormat/>
    <w:uiPriority w:val="0"/>
    <w:pPr>
      <w:spacing w:before="240"/>
    </w:pPr>
    <w:rPr>
      <w:rFonts w:ascii="Arial" w:hAnsi="Arial" w:eastAsia="Times New Roman" w:cs="Arial"/>
      <w:b/>
      <w:bCs/>
      <w:caps/>
      <w:kern w:val="32"/>
      <w:sz w:val="28"/>
      <w:szCs w:val="32"/>
      <w:lang w:val="en-GB" w:eastAsia="en-GB" w:bidi="ar-SA"/>
    </w:rPr>
  </w:style>
  <w:style w:type="paragraph" w:styleId="1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Users/caryssummerhayes/Library/Containers/com.kingsoft.wpsoffice.mac.global/Data/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smu portrait</Template>
  <Company>SIHE</Company>
  <Pages>3</Pages>
  <Words>488</Words>
  <Characters>3024</Characters>
  <Lines>25</Lines>
  <Paragraphs>7</Paragraphs>
  <TotalTime>239</TotalTime>
  <ScaleCrop>false</ScaleCrop>
  <LinksUpToDate>false</LinksUpToDate>
  <CharactersWithSpaces>3505</CharactersWithSpaces>
  <Application>WPS Office_5.1.0.7912_F1E327BC-269C-435d-A152-05C5408002CA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2023-05-16T10:17:00Z</dcterms:created>
  <dc:creator>Gill Fildes</dc:creator>
  <cp:lastModifiedBy>caryssummerhayes</cp:lastModifiedBy>
  <cp:lastPrinted>2008-04-14T14:39:00Z</cp:lastPrinted>
  <dcterms:modified xsi:type="dcterms:W3CDTF">2023-05-28T17:09:29Z</dcterms:modified>
  <dc:title>ETHICS APPROVAL FORM</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1033-5.1.0.7912</vt:lpwstr>
  </property>
</Properties>
</file>