
<file path=[Content_Types].xml><?xml version="1.0" encoding="utf-8"?>
<Types xmlns="http://schemas.openxmlformats.org/package/2006/content-types">
  <Default Extension="bin" ContentType="application/vnd.openxmlformats-officedocument.oleObject"/>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6CA3B" w14:textId="05CABC5D" w:rsidR="00350D55" w:rsidRDefault="00350D55" w:rsidP="00350D55">
      <w:r>
        <w:rPr>
          <w:noProof/>
        </w:rPr>
        <w:drawing>
          <wp:inline distT="0" distB="0" distL="0" distR="0" wp14:anchorId="14AC0C9D" wp14:editId="695E883B">
            <wp:extent cx="5594350" cy="3495032"/>
            <wp:effectExtent l="0" t="0" r="6350" b="0"/>
            <wp:docPr id="1197768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68123"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594350" cy="3495032"/>
                    </a:xfrm>
                    <a:prstGeom prst="rect">
                      <a:avLst/>
                    </a:prstGeom>
                  </pic:spPr>
                </pic:pic>
              </a:graphicData>
            </a:graphic>
          </wp:inline>
        </w:drawing>
      </w:r>
    </w:p>
    <w:p w14:paraId="63578160" w14:textId="77777777" w:rsidR="00350D55" w:rsidRDefault="00350D55" w:rsidP="00350D55"/>
    <w:p w14:paraId="4E728E44" w14:textId="51B7F45F" w:rsidR="00350D55" w:rsidRPr="00350D55" w:rsidRDefault="00350D55" w:rsidP="00350D55">
      <w:pPr>
        <w:rPr>
          <w:rFonts w:ascii="Arial" w:hAnsi="Arial" w:cs="Arial"/>
          <w:b/>
          <w:bCs/>
          <w:sz w:val="36"/>
          <w:szCs w:val="36"/>
        </w:rPr>
      </w:pPr>
      <w:r w:rsidRPr="00350D55">
        <w:rPr>
          <w:rFonts w:ascii="Arial" w:hAnsi="Arial" w:cs="Arial"/>
          <w:b/>
          <w:bCs/>
          <w:sz w:val="36"/>
          <w:szCs w:val="36"/>
        </w:rPr>
        <w:t>Student Name</w:t>
      </w:r>
      <w:r>
        <w:rPr>
          <w:rFonts w:ascii="Arial" w:hAnsi="Arial" w:cs="Arial"/>
          <w:b/>
          <w:bCs/>
          <w:sz w:val="36"/>
          <w:szCs w:val="36"/>
        </w:rPr>
        <w:t>: Dre Steele</w:t>
      </w:r>
    </w:p>
    <w:p w14:paraId="242C2300" w14:textId="3C6FED11" w:rsidR="00350D55" w:rsidRPr="00350D55" w:rsidRDefault="00350D55" w:rsidP="00350D55">
      <w:pPr>
        <w:rPr>
          <w:rFonts w:ascii="Arial" w:hAnsi="Arial" w:cs="Arial"/>
          <w:b/>
          <w:bCs/>
          <w:sz w:val="36"/>
          <w:szCs w:val="36"/>
        </w:rPr>
      </w:pPr>
      <w:r>
        <w:rPr>
          <w:rFonts w:ascii="Arial" w:hAnsi="Arial" w:cs="Arial"/>
          <w:b/>
          <w:bCs/>
          <w:sz w:val="36"/>
          <w:szCs w:val="36"/>
        </w:rPr>
        <w:t>S</w:t>
      </w:r>
      <w:r w:rsidRPr="00350D55">
        <w:rPr>
          <w:rFonts w:ascii="Arial" w:hAnsi="Arial" w:cs="Arial"/>
          <w:b/>
          <w:bCs/>
          <w:sz w:val="36"/>
          <w:szCs w:val="36"/>
        </w:rPr>
        <w:t xml:space="preserve">tudent </w:t>
      </w:r>
      <w:r>
        <w:rPr>
          <w:rFonts w:ascii="Arial" w:hAnsi="Arial" w:cs="Arial"/>
          <w:b/>
          <w:bCs/>
          <w:sz w:val="36"/>
          <w:szCs w:val="36"/>
        </w:rPr>
        <w:t>N</w:t>
      </w:r>
      <w:r w:rsidRPr="00350D55">
        <w:rPr>
          <w:rFonts w:ascii="Arial" w:hAnsi="Arial" w:cs="Arial"/>
          <w:b/>
          <w:bCs/>
          <w:sz w:val="36"/>
          <w:szCs w:val="36"/>
        </w:rPr>
        <w:t>umber</w:t>
      </w:r>
      <w:r>
        <w:rPr>
          <w:rFonts w:ascii="Arial" w:hAnsi="Arial" w:cs="Arial"/>
          <w:b/>
          <w:bCs/>
          <w:sz w:val="36"/>
          <w:szCs w:val="36"/>
        </w:rPr>
        <w:t>: 2332005</w:t>
      </w:r>
    </w:p>
    <w:p w14:paraId="7D5048CF" w14:textId="1DD4A08D" w:rsidR="00350D55" w:rsidRPr="00350D55" w:rsidRDefault="00350D55" w:rsidP="00350D55">
      <w:pPr>
        <w:rPr>
          <w:rFonts w:ascii="Arial" w:hAnsi="Arial" w:cs="Arial"/>
          <w:b/>
          <w:bCs/>
          <w:sz w:val="36"/>
          <w:szCs w:val="36"/>
        </w:rPr>
      </w:pPr>
      <w:r w:rsidRPr="00350D55">
        <w:rPr>
          <w:rFonts w:ascii="Arial" w:hAnsi="Arial" w:cs="Arial"/>
          <w:b/>
          <w:bCs/>
          <w:sz w:val="36"/>
          <w:szCs w:val="36"/>
        </w:rPr>
        <w:t xml:space="preserve">Module </w:t>
      </w:r>
      <w:r>
        <w:rPr>
          <w:rFonts w:ascii="Arial" w:hAnsi="Arial" w:cs="Arial"/>
          <w:b/>
          <w:bCs/>
          <w:sz w:val="36"/>
          <w:szCs w:val="36"/>
        </w:rPr>
        <w:t>T</w:t>
      </w:r>
      <w:r w:rsidRPr="00350D55">
        <w:rPr>
          <w:rFonts w:ascii="Arial" w:hAnsi="Arial" w:cs="Arial"/>
          <w:b/>
          <w:bCs/>
          <w:sz w:val="36"/>
          <w:szCs w:val="36"/>
        </w:rPr>
        <w:t>itle</w:t>
      </w:r>
      <w:r w:rsidR="003051E7">
        <w:rPr>
          <w:rFonts w:ascii="Arial" w:hAnsi="Arial" w:cs="Arial"/>
          <w:b/>
          <w:bCs/>
          <w:sz w:val="36"/>
          <w:szCs w:val="36"/>
        </w:rPr>
        <w:t>: Creativity and Innovation</w:t>
      </w:r>
    </w:p>
    <w:p w14:paraId="4C478D51" w14:textId="184ABFCC" w:rsidR="00350D55" w:rsidRPr="00350D55" w:rsidRDefault="00350D55" w:rsidP="00350D55">
      <w:pPr>
        <w:rPr>
          <w:rFonts w:ascii="Arial" w:hAnsi="Arial" w:cs="Arial"/>
          <w:b/>
          <w:bCs/>
          <w:sz w:val="36"/>
          <w:szCs w:val="36"/>
        </w:rPr>
      </w:pPr>
      <w:r>
        <w:rPr>
          <w:rFonts w:ascii="Arial" w:hAnsi="Arial" w:cs="Arial"/>
          <w:b/>
          <w:bCs/>
          <w:sz w:val="36"/>
          <w:szCs w:val="36"/>
        </w:rPr>
        <w:t>M</w:t>
      </w:r>
      <w:r w:rsidRPr="00350D55">
        <w:rPr>
          <w:rFonts w:ascii="Arial" w:hAnsi="Arial" w:cs="Arial"/>
          <w:b/>
          <w:bCs/>
          <w:sz w:val="36"/>
          <w:szCs w:val="36"/>
        </w:rPr>
        <w:t xml:space="preserve">odule </w:t>
      </w:r>
      <w:r>
        <w:rPr>
          <w:rFonts w:ascii="Arial" w:hAnsi="Arial" w:cs="Arial"/>
          <w:b/>
          <w:bCs/>
          <w:sz w:val="36"/>
          <w:szCs w:val="36"/>
        </w:rPr>
        <w:t>C</w:t>
      </w:r>
      <w:r w:rsidRPr="00350D55">
        <w:rPr>
          <w:rFonts w:ascii="Arial" w:hAnsi="Arial" w:cs="Arial"/>
          <w:b/>
          <w:bCs/>
          <w:sz w:val="36"/>
          <w:szCs w:val="36"/>
        </w:rPr>
        <w:t>ode</w:t>
      </w:r>
      <w:r w:rsidR="003051E7">
        <w:rPr>
          <w:rFonts w:ascii="Arial" w:hAnsi="Arial" w:cs="Arial"/>
          <w:b/>
          <w:bCs/>
          <w:sz w:val="36"/>
          <w:szCs w:val="36"/>
        </w:rPr>
        <w:t xml:space="preserve">: </w:t>
      </w:r>
      <w:r w:rsidR="003051E7" w:rsidRPr="003051E7">
        <w:rPr>
          <w:rFonts w:ascii="Arial" w:hAnsi="Arial" w:cs="Arial"/>
          <w:b/>
          <w:spacing w:val="-2"/>
          <w:sz w:val="36"/>
          <w:szCs w:val="36"/>
        </w:rPr>
        <w:t>BMSW5013</w:t>
      </w:r>
    </w:p>
    <w:p w14:paraId="70053FDA" w14:textId="5BC623CD" w:rsidR="00350D55" w:rsidRPr="00350D55" w:rsidRDefault="00350D55" w:rsidP="00350D55">
      <w:pPr>
        <w:rPr>
          <w:rFonts w:ascii="Arial" w:hAnsi="Arial" w:cs="Arial"/>
          <w:b/>
          <w:bCs/>
          <w:sz w:val="36"/>
          <w:szCs w:val="36"/>
        </w:rPr>
      </w:pPr>
      <w:r w:rsidRPr="00350D55">
        <w:rPr>
          <w:rFonts w:ascii="Arial" w:hAnsi="Arial" w:cs="Arial"/>
          <w:b/>
          <w:bCs/>
          <w:sz w:val="36"/>
          <w:szCs w:val="36"/>
        </w:rPr>
        <w:t xml:space="preserve">Lecturer’s </w:t>
      </w:r>
      <w:r>
        <w:rPr>
          <w:rFonts w:ascii="Arial" w:hAnsi="Arial" w:cs="Arial"/>
          <w:b/>
          <w:bCs/>
          <w:sz w:val="36"/>
          <w:szCs w:val="36"/>
        </w:rPr>
        <w:t>N</w:t>
      </w:r>
      <w:r w:rsidRPr="00350D55">
        <w:rPr>
          <w:rFonts w:ascii="Arial" w:hAnsi="Arial" w:cs="Arial"/>
          <w:b/>
          <w:bCs/>
          <w:sz w:val="36"/>
          <w:szCs w:val="36"/>
        </w:rPr>
        <w:t>ame</w:t>
      </w:r>
      <w:r w:rsidR="003051E7">
        <w:rPr>
          <w:rFonts w:ascii="Arial" w:hAnsi="Arial" w:cs="Arial"/>
          <w:b/>
          <w:bCs/>
          <w:sz w:val="36"/>
          <w:szCs w:val="36"/>
        </w:rPr>
        <w:t>: Chris Wilkin</w:t>
      </w:r>
    </w:p>
    <w:p w14:paraId="411DA44C" w14:textId="77777777" w:rsidR="003051E7" w:rsidRDefault="003051E7">
      <w:pPr>
        <w:rPr>
          <w:rFonts w:ascii="Arial" w:hAnsi="Arial" w:cs="Arial"/>
          <w:b/>
          <w:bCs/>
          <w:sz w:val="36"/>
          <w:szCs w:val="36"/>
        </w:rPr>
      </w:pPr>
      <w:r>
        <w:rPr>
          <w:rFonts w:ascii="Arial" w:hAnsi="Arial" w:cs="Arial"/>
          <w:b/>
          <w:bCs/>
          <w:sz w:val="36"/>
          <w:szCs w:val="36"/>
        </w:rPr>
        <w:br w:type="page"/>
      </w:r>
    </w:p>
    <w:p w14:paraId="36708553" w14:textId="19F14212" w:rsidR="00350D55" w:rsidRPr="003051E7" w:rsidRDefault="004A3AC4" w:rsidP="004A3AC4">
      <w:pPr>
        <w:pStyle w:val="Heading1"/>
        <w:jc w:val="center"/>
        <w:rPr>
          <w:rFonts w:ascii="Arial" w:hAnsi="Arial" w:cs="Arial"/>
          <w:b/>
          <w:bCs/>
          <w:color w:val="auto"/>
        </w:rPr>
      </w:pPr>
      <w:bookmarkStart w:id="0" w:name="_Toc226755196"/>
      <w:r>
        <w:rPr>
          <w:rFonts w:ascii="Arial" w:hAnsi="Arial" w:cs="Arial"/>
          <w:b/>
          <w:bCs/>
          <w:color w:val="auto"/>
        </w:rPr>
        <w:lastRenderedPageBreak/>
        <w:t>TABLE OF CONTENTS</w:t>
      </w:r>
      <w:bookmarkEnd w:id="0"/>
    </w:p>
    <w:sdt>
      <w:sdtPr>
        <w:rPr>
          <w:rFonts w:asciiTheme="minorHAnsi" w:eastAsiaTheme="minorEastAsia" w:hAnsiTheme="minorHAnsi" w:cstheme="minorBidi"/>
          <w:color w:val="auto"/>
          <w:kern w:val="2"/>
          <w:sz w:val="24"/>
          <w:szCs w:val="24"/>
          <w:lang w:eastAsia="en-US"/>
          <w14:ligatures w14:val="standardContextual"/>
        </w:rPr>
        <w:id w:val="-1994781717"/>
        <w:docPartObj>
          <w:docPartGallery w:val="Table of Contents"/>
          <w:docPartUnique/>
        </w:docPartObj>
      </w:sdtPr>
      <w:sdtEndPr>
        <w:rPr>
          <w:b/>
          <w:bCs/>
        </w:rPr>
      </w:sdtEndPr>
      <w:sdtContent>
        <w:p w14:paraId="041097B9" w14:textId="67383A71" w:rsidR="004A3AC4" w:rsidRDefault="004A3AC4">
          <w:pPr>
            <w:pStyle w:val="TOCHeading"/>
          </w:pPr>
        </w:p>
        <w:p w14:paraId="22E49C86" w14:textId="6999D3D9" w:rsidR="00482D8F" w:rsidRDefault="004A3AC4">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anchor="_Toc226755196" w:history="1">
            <w:r w:rsidR="00482D8F" w:rsidRPr="008803EA">
              <w:rPr>
                <w:rStyle w:val="Hyperlink"/>
                <w:rFonts w:ascii="Arial" w:hAnsi="Arial" w:cs="Arial"/>
                <w:b/>
                <w:bCs/>
                <w:noProof/>
              </w:rPr>
              <w:t>TABLE OF CONTENTS</w:t>
            </w:r>
            <w:r w:rsidR="00482D8F">
              <w:rPr>
                <w:noProof/>
                <w:webHidden/>
              </w:rPr>
              <w:tab/>
            </w:r>
            <w:r w:rsidR="00482D8F">
              <w:rPr>
                <w:noProof/>
                <w:webHidden/>
              </w:rPr>
              <w:fldChar w:fldCharType="begin"/>
            </w:r>
            <w:r w:rsidR="00482D8F">
              <w:rPr>
                <w:noProof/>
                <w:webHidden/>
              </w:rPr>
              <w:instrText xml:space="preserve"> PAGEREF _Toc226755196 \h </w:instrText>
            </w:r>
            <w:r w:rsidR="00482D8F">
              <w:rPr>
                <w:noProof/>
                <w:webHidden/>
              </w:rPr>
            </w:r>
            <w:r w:rsidR="00482D8F">
              <w:rPr>
                <w:noProof/>
                <w:webHidden/>
              </w:rPr>
              <w:fldChar w:fldCharType="separate"/>
            </w:r>
            <w:r w:rsidR="00482D8F">
              <w:rPr>
                <w:noProof/>
                <w:webHidden/>
              </w:rPr>
              <w:t>2</w:t>
            </w:r>
            <w:r w:rsidR="00482D8F">
              <w:rPr>
                <w:noProof/>
                <w:webHidden/>
              </w:rPr>
              <w:fldChar w:fldCharType="end"/>
            </w:r>
          </w:hyperlink>
        </w:p>
        <w:p w14:paraId="375587B6" w14:textId="02C87B59" w:rsidR="00482D8F" w:rsidRDefault="00482D8F">
          <w:pPr>
            <w:pStyle w:val="TOC1"/>
            <w:tabs>
              <w:tab w:val="right" w:leader="dot" w:pos="9016"/>
            </w:tabs>
            <w:rPr>
              <w:rFonts w:eastAsiaTheme="minorEastAsia"/>
              <w:noProof/>
              <w:kern w:val="0"/>
              <w:sz w:val="22"/>
              <w:szCs w:val="22"/>
              <w:lang w:eastAsia="en-GB"/>
              <w14:ligatures w14:val="none"/>
            </w:rPr>
          </w:pPr>
          <w:hyperlink w:anchor="_Toc226755197" w:history="1">
            <w:r w:rsidRPr="008803EA">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_Toc226755197 \h </w:instrText>
            </w:r>
            <w:r>
              <w:rPr>
                <w:noProof/>
                <w:webHidden/>
              </w:rPr>
            </w:r>
            <w:r>
              <w:rPr>
                <w:noProof/>
                <w:webHidden/>
              </w:rPr>
              <w:fldChar w:fldCharType="separate"/>
            </w:r>
            <w:r>
              <w:rPr>
                <w:noProof/>
                <w:webHidden/>
              </w:rPr>
              <w:t>3</w:t>
            </w:r>
            <w:r>
              <w:rPr>
                <w:noProof/>
                <w:webHidden/>
              </w:rPr>
              <w:fldChar w:fldCharType="end"/>
            </w:r>
          </w:hyperlink>
        </w:p>
        <w:p w14:paraId="67443272" w14:textId="4363FFB8" w:rsidR="00482D8F" w:rsidRDefault="00482D8F">
          <w:pPr>
            <w:pStyle w:val="TOC1"/>
            <w:tabs>
              <w:tab w:val="right" w:leader="dot" w:pos="9016"/>
            </w:tabs>
            <w:rPr>
              <w:rFonts w:eastAsiaTheme="minorEastAsia"/>
              <w:noProof/>
              <w:kern w:val="0"/>
              <w:sz w:val="22"/>
              <w:szCs w:val="22"/>
              <w:lang w:eastAsia="en-GB"/>
              <w14:ligatures w14:val="none"/>
            </w:rPr>
          </w:pPr>
          <w:hyperlink w:anchor="_Toc226755198" w:history="1">
            <w:r w:rsidRPr="008803E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_Toc226755198 \h </w:instrText>
            </w:r>
            <w:r>
              <w:rPr>
                <w:noProof/>
                <w:webHidden/>
              </w:rPr>
            </w:r>
            <w:r>
              <w:rPr>
                <w:noProof/>
                <w:webHidden/>
              </w:rPr>
              <w:fldChar w:fldCharType="separate"/>
            </w:r>
            <w:r>
              <w:rPr>
                <w:noProof/>
                <w:webHidden/>
              </w:rPr>
              <w:t>4</w:t>
            </w:r>
            <w:r>
              <w:rPr>
                <w:noProof/>
                <w:webHidden/>
              </w:rPr>
              <w:fldChar w:fldCharType="end"/>
            </w:r>
          </w:hyperlink>
        </w:p>
        <w:p w14:paraId="3E503DBE" w14:textId="7F966916" w:rsidR="00482D8F" w:rsidRDefault="00482D8F">
          <w:pPr>
            <w:pStyle w:val="TOC1"/>
            <w:tabs>
              <w:tab w:val="right" w:leader="dot" w:pos="9016"/>
            </w:tabs>
            <w:rPr>
              <w:rFonts w:eastAsiaTheme="minorEastAsia"/>
              <w:noProof/>
              <w:kern w:val="0"/>
              <w:sz w:val="22"/>
              <w:szCs w:val="22"/>
              <w:lang w:eastAsia="en-GB"/>
              <w14:ligatures w14:val="none"/>
            </w:rPr>
          </w:pPr>
          <w:hyperlink w:anchor="_Toc226755199" w:history="1">
            <w:r w:rsidRPr="008803EA">
              <w:rPr>
                <w:rStyle w:val="Hyperlink"/>
                <w:rFonts w:ascii="Arial" w:hAnsi="Arial" w:cs="Arial"/>
                <w:b/>
                <w:bCs/>
                <w:noProof/>
              </w:rPr>
              <w:t>PROBLEMS IDENTIFIED SEREN COFFI</w:t>
            </w:r>
            <w:r>
              <w:rPr>
                <w:noProof/>
                <w:webHidden/>
              </w:rPr>
              <w:tab/>
            </w:r>
            <w:r>
              <w:rPr>
                <w:noProof/>
                <w:webHidden/>
              </w:rPr>
              <w:fldChar w:fldCharType="begin"/>
            </w:r>
            <w:r>
              <w:rPr>
                <w:noProof/>
                <w:webHidden/>
              </w:rPr>
              <w:instrText xml:space="preserve"> PAGEREF _Toc226755199 \h </w:instrText>
            </w:r>
            <w:r>
              <w:rPr>
                <w:noProof/>
                <w:webHidden/>
              </w:rPr>
            </w:r>
            <w:r>
              <w:rPr>
                <w:noProof/>
                <w:webHidden/>
              </w:rPr>
              <w:fldChar w:fldCharType="separate"/>
            </w:r>
            <w:r>
              <w:rPr>
                <w:noProof/>
                <w:webHidden/>
              </w:rPr>
              <w:t>5</w:t>
            </w:r>
            <w:r>
              <w:rPr>
                <w:noProof/>
                <w:webHidden/>
              </w:rPr>
              <w:fldChar w:fldCharType="end"/>
            </w:r>
          </w:hyperlink>
        </w:p>
        <w:p w14:paraId="275D854E" w14:textId="403EA17D" w:rsidR="00482D8F" w:rsidRDefault="00482D8F">
          <w:pPr>
            <w:pStyle w:val="TOC1"/>
            <w:tabs>
              <w:tab w:val="right" w:leader="dot" w:pos="9016"/>
            </w:tabs>
            <w:rPr>
              <w:rFonts w:eastAsiaTheme="minorEastAsia"/>
              <w:noProof/>
              <w:kern w:val="0"/>
              <w:sz w:val="22"/>
              <w:szCs w:val="22"/>
              <w:lang w:eastAsia="en-GB"/>
              <w14:ligatures w14:val="none"/>
            </w:rPr>
          </w:pPr>
          <w:hyperlink w:anchor="_Toc226755200" w:history="1">
            <w:r w:rsidRPr="008803EA">
              <w:rPr>
                <w:rStyle w:val="Hyperlink"/>
                <w:rFonts w:ascii="Arial" w:hAnsi="Arial" w:cs="Arial"/>
                <w:b/>
                <w:bCs/>
                <w:noProof/>
              </w:rPr>
              <w:t>DEFINING CREATIVITY</w:t>
            </w:r>
            <w:r>
              <w:rPr>
                <w:noProof/>
                <w:webHidden/>
              </w:rPr>
              <w:tab/>
            </w:r>
            <w:r>
              <w:rPr>
                <w:noProof/>
                <w:webHidden/>
              </w:rPr>
              <w:fldChar w:fldCharType="begin"/>
            </w:r>
            <w:r>
              <w:rPr>
                <w:noProof/>
                <w:webHidden/>
              </w:rPr>
              <w:instrText xml:space="preserve"> PAGEREF _Toc226755200 \h </w:instrText>
            </w:r>
            <w:r>
              <w:rPr>
                <w:noProof/>
                <w:webHidden/>
              </w:rPr>
            </w:r>
            <w:r>
              <w:rPr>
                <w:noProof/>
                <w:webHidden/>
              </w:rPr>
              <w:fldChar w:fldCharType="separate"/>
            </w:r>
            <w:r>
              <w:rPr>
                <w:noProof/>
                <w:webHidden/>
              </w:rPr>
              <w:t>6</w:t>
            </w:r>
            <w:r>
              <w:rPr>
                <w:noProof/>
                <w:webHidden/>
              </w:rPr>
              <w:fldChar w:fldCharType="end"/>
            </w:r>
          </w:hyperlink>
        </w:p>
        <w:p w14:paraId="49CFCEA9" w14:textId="081E56E9" w:rsidR="00482D8F" w:rsidRDefault="00482D8F">
          <w:pPr>
            <w:pStyle w:val="TOC1"/>
            <w:tabs>
              <w:tab w:val="right" w:leader="dot" w:pos="9016"/>
            </w:tabs>
            <w:rPr>
              <w:rFonts w:eastAsiaTheme="minorEastAsia"/>
              <w:noProof/>
              <w:kern w:val="0"/>
              <w:sz w:val="22"/>
              <w:szCs w:val="22"/>
              <w:lang w:eastAsia="en-GB"/>
              <w14:ligatures w14:val="none"/>
            </w:rPr>
          </w:pPr>
          <w:hyperlink w:anchor="_Toc226755201" w:history="1">
            <w:r w:rsidRPr="008803EA">
              <w:rPr>
                <w:rStyle w:val="Hyperlink"/>
                <w:rFonts w:ascii="Arial" w:hAnsi="Arial" w:cs="Arial"/>
                <w:b/>
                <w:bCs/>
                <w:noProof/>
              </w:rPr>
              <w:t>MAIN FINDING</w:t>
            </w:r>
            <w:r>
              <w:rPr>
                <w:noProof/>
                <w:webHidden/>
              </w:rPr>
              <w:tab/>
            </w:r>
            <w:r>
              <w:rPr>
                <w:noProof/>
                <w:webHidden/>
              </w:rPr>
              <w:fldChar w:fldCharType="begin"/>
            </w:r>
            <w:r>
              <w:rPr>
                <w:noProof/>
                <w:webHidden/>
              </w:rPr>
              <w:instrText xml:space="preserve"> PAGEREF _Toc226755201 \h </w:instrText>
            </w:r>
            <w:r>
              <w:rPr>
                <w:noProof/>
                <w:webHidden/>
              </w:rPr>
            </w:r>
            <w:r>
              <w:rPr>
                <w:noProof/>
                <w:webHidden/>
              </w:rPr>
              <w:fldChar w:fldCharType="separate"/>
            </w:r>
            <w:r>
              <w:rPr>
                <w:noProof/>
                <w:webHidden/>
              </w:rPr>
              <w:t>8</w:t>
            </w:r>
            <w:r>
              <w:rPr>
                <w:noProof/>
                <w:webHidden/>
              </w:rPr>
              <w:fldChar w:fldCharType="end"/>
            </w:r>
          </w:hyperlink>
        </w:p>
        <w:p w14:paraId="4438149E" w14:textId="37BBC6A5" w:rsidR="00482D8F" w:rsidRDefault="00482D8F">
          <w:pPr>
            <w:pStyle w:val="TOC1"/>
            <w:tabs>
              <w:tab w:val="right" w:leader="dot" w:pos="9016"/>
            </w:tabs>
            <w:rPr>
              <w:rFonts w:eastAsiaTheme="minorEastAsia"/>
              <w:noProof/>
              <w:kern w:val="0"/>
              <w:sz w:val="22"/>
              <w:szCs w:val="22"/>
              <w:lang w:eastAsia="en-GB"/>
              <w14:ligatures w14:val="none"/>
            </w:rPr>
          </w:pPr>
          <w:hyperlink w:anchor="_Toc226755202" w:history="1">
            <w:r w:rsidRPr="008803EA">
              <w:rPr>
                <w:rStyle w:val="Hyperlink"/>
                <w:rFonts w:ascii="Arial" w:hAnsi="Arial" w:cs="Arial"/>
                <w:b/>
                <w:bCs/>
                <w:noProof/>
              </w:rPr>
              <w:t>SECTION 2 APPLYING AI LLM</w:t>
            </w:r>
            <w:r>
              <w:rPr>
                <w:noProof/>
                <w:webHidden/>
              </w:rPr>
              <w:tab/>
            </w:r>
            <w:r>
              <w:rPr>
                <w:noProof/>
                <w:webHidden/>
              </w:rPr>
              <w:fldChar w:fldCharType="begin"/>
            </w:r>
            <w:r>
              <w:rPr>
                <w:noProof/>
                <w:webHidden/>
              </w:rPr>
              <w:instrText xml:space="preserve"> PAGEREF _Toc226755202 \h </w:instrText>
            </w:r>
            <w:r>
              <w:rPr>
                <w:noProof/>
                <w:webHidden/>
              </w:rPr>
            </w:r>
            <w:r>
              <w:rPr>
                <w:noProof/>
                <w:webHidden/>
              </w:rPr>
              <w:fldChar w:fldCharType="separate"/>
            </w:r>
            <w:r>
              <w:rPr>
                <w:noProof/>
                <w:webHidden/>
              </w:rPr>
              <w:t>12</w:t>
            </w:r>
            <w:r>
              <w:rPr>
                <w:noProof/>
                <w:webHidden/>
              </w:rPr>
              <w:fldChar w:fldCharType="end"/>
            </w:r>
          </w:hyperlink>
        </w:p>
        <w:p w14:paraId="367BC877" w14:textId="5DFA37A0" w:rsidR="00482D8F" w:rsidRDefault="00482D8F">
          <w:pPr>
            <w:pStyle w:val="TOC1"/>
            <w:tabs>
              <w:tab w:val="right" w:leader="dot" w:pos="9016"/>
            </w:tabs>
            <w:rPr>
              <w:rFonts w:eastAsiaTheme="minorEastAsia"/>
              <w:noProof/>
              <w:kern w:val="0"/>
              <w:sz w:val="22"/>
              <w:szCs w:val="22"/>
              <w:lang w:eastAsia="en-GB"/>
              <w14:ligatures w14:val="none"/>
            </w:rPr>
          </w:pPr>
          <w:hyperlink w:anchor="_Toc226755203" w:history="1">
            <w:r w:rsidRPr="008803E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_Toc226755203 \h </w:instrText>
            </w:r>
            <w:r>
              <w:rPr>
                <w:noProof/>
                <w:webHidden/>
              </w:rPr>
            </w:r>
            <w:r>
              <w:rPr>
                <w:noProof/>
                <w:webHidden/>
              </w:rPr>
              <w:fldChar w:fldCharType="separate"/>
            </w:r>
            <w:r>
              <w:rPr>
                <w:noProof/>
                <w:webHidden/>
              </w:rPr>
              <w:t>16</w:t>
            </w:r>
            <w:r>
              <w:rPr>
                <w:noProof/>
                <w:webHidden/>
              </w:rPr>
              <w:fldChar w:fldCharType="end"/>
            </w:r>
          </w:hyperlink>
        </w:p>
        <w:p w14:paraId="45C6599E" w14:textId="6B6F26FD" w:rsidR="00482D8F" w:rsidRDefault="00482D8F">
          <w:pPr>
            <w:pStyle w:val="TOC1"/>
            <w:tabs>
              <w:tab w:val="right" w:leader="dot" w:pos="9016"/>
            </w:tabs>
            <w:rPr>
              <w:rFonts w:eastAsiaTheme="minorEastAsia"/>
              <w:noProof/>
              <w:kern w:val="0"/>
              <w:sz w:val="22"/>
              <w:szCs w:val="22"/>
              <w:lang w:eastAsia="en-GB"/>
              <w14:ligatures w14:val="none"/>
            </w:rPr>
          </w:pPr>
          <w:hyperlink w:anchor="_Toc226755204" w:history="1">
            <w:r w:rsidRPr="008803EA">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_Toc226755204 \h </w:instrText>
            </w:r>
            <w:r>
              <w:rPr>
                <w:noProof/>
                <w:webHidden/>
              </w:rPr>
            </w:r>
            <w:r>
              <w:rPr>
                <w:noProof/>
                <w:webHidden/>
              </w:rPr>
              <w:fldChar w:fldCharType="separate"/>
            </w:r>
            <w:r>
              <w:rPr>
                <w:noProof/>
                <w:webHidden/>
              </w:rPr>
              <w:t>19</w:t>
            </w:r>
            <w:r>
              <w:rPr>
                <w:noProof/>
                <w:webHidden/>
              </w:rPr>
              <w:fldChar w:fldCharType="end"/>
            </w:r>
          </w:hyperlink>
        </w:p>
        <w:p w14:paraId="6568DAD0" w14:textId="5B9F5F56" w:rsidR="00482D8F" w:rsidRDefault="00482D8F">
          <w:pPr>
            <w:pStyle w:val="TOC1"/>
            <w:tabs>
              <w:tab w:val="right" w:leader="dot" w:pos="9016"/>
            </w:tabs>
            <w:rPr>
              <w:rFonts w:eastAsiaTheme="minorEastAsia"/>
              <w:noProof/>
              <w:kern w:val="0"/>
              <w:sz w:val="22"/>
              <w:szCs w:val="22"/>
              <w:lang w:eastAsia="en-GB"/>
              <w14:ligatures w14:val="none"/>
            </w:rPr>
          </w:pPr>
          <w:hyperlink w:anchor="_Toc226755205" w:history="1">
            <w:r w:rsidRPr="008803EA">
              <w:rPr>
                <w:rStyle w:val="Hyperlink"/>
                <w:rFonts w:ascii="Arial" w:hAnsi="Arial" w:cs="Arial"/>
                <w:b/>
                <w:bCs/>
                <w:noProof/>
              </w:rPr>
              <w:t>APENDIX</w:t>
            </w:r>
            <w:r>
              <w:rPr>
                <w:noProof/>
                <w:webHidden/>
              </w:rPr>
              <w:tab/>
            </w:r>
            <w:r>
              <w:rPr>
                <w:noProof/>
                <w:webHidden/>
              </w:rPr>
              <w:fldChar w:fldCharType="begin"/>
            </w:r>
            <w:r>
              <w:rPr>
                <w:noProof/>
                <w:webHidden/>
              </w:rPr>
              <w:instrText xml:space="preserve"> PAGEREF _Toc226755205 \h </w:instrText>
            </w:r>
            <w:r>
              <w:rPr>
                <w:noProof/>
                <w:webHidden/>
              </w:rPr>
            </w:r>
            <w:r>
              <w:rPr>
                <w:noProof/>
                <w:webHidden/>
              </w:rPr>
              <w:fldChar w:fldCharType="separate"/>
            </w:r>
            <w:r>
              <w:rPr>
                <w:noProof/>
                <w:webHidden/>
              </w:rPr>
              <w:t>23</w:t>
            </w:r>
            <w:r>
              <w:rPr>
                <w:noProof/>
                <w:webHidden/>
              </w:rPr>
              <w:fldChar w:fldCharType="end"/>
            </w:r>
          </w:hyperlink>
        </w:p>
        <w:p w14:paraId="0B9934A8" w14:textId="029F444B" w:rsidR="004A3AC4" w:rsidRDefault="004A3AC4">
          <w:r>
            <w:rPr>
              <w:b/>
              <w:bCs/>
            </w:rPr>
            <w:fldChar w:fldCharType="end"/>
          </w:r>
        </w:p>
      </w:sdtContent>
    </w:sdt>
    <w:p w14:paraId="594AC31D" w14:textId="77777777" w:rsidR="00350D55" w:rsidRDefault="00350D55" w:rsidP="00350D55"/>
    <w:p w14:paraId="79CF2C15" w14:textId="01A4FB40" w:rsidR="003051E7" w:rsidRDefault="003051E7" w:rsidP="00350D55"/>
    <w:p w14:paraId="31477947" w14:textId="77777777" w:rsidR="003051E7" w:rsidRDefault="003051E7">
      <w:r>
        <w:br w:type="page"/>
      </w:r>
    </w:p>
    <w:p w14:paraId="3EB6B0AF" w14:textId="32FAB8C1" w:rsidR="004A3AC4" w:rsidRDefault="004A3AC4" w:rsidP="003051E7">
      <w:pPr>
        <w:pStyle w:val="Heading1"/>
        <w:jc w:val="center"/>
        <w:rPr>
          <w:rFonts w:ascii="Arial" w:hAnsi="Arial" w:cs="Arial"/>
          <w:b/>
          <w:bCs/>
          <w:color w:val="auto"/>
        </w:rPr>
      </w:pPr>
      <w:bookmarkStart w:id="1" w:name="_Toc226755197"/>
      <w:r>
        <w:rPr>
          <w:rFonts w:ascii="Arial" w:hAnsi="Arial" w:cs="Arial"/>
          <w:b/>
          <w:bCs/>
          <w:color w:val="auto"/>
        </w:rPr>
        <w:lastRenderedPageBreak/>
        <w:t>EXECUTIVE SUMMARY</w:t>
      </w:r>
      <w:bookmarkEnd w:id="1"/>
    </w:p>
    <w:p w14:paraId="4ECE6317" w14:textId="77777777" w:rsidR="00FB34EC" w:rsidRDefault="00FB34EC" w:rsidP="001A196D">
      <w:pPr>
        <w:rPr>
          <w:rFonts w:ascii="Arial" w:hAnsi="Arial" w:cs="Arial"/>
          <w:b/>
          <w:bCs/>
        </w:rPr>
      </w:pPr>
    </w:p>
    <w:p w14:paraId="35C17A66" w14:textId="77777777" w:rsidR="004D0F25" w:rsidRDefault="004D0F25" w:rsidP="004D0F25">
      <w:pPr>
        <w:rPr>
          <w:rFonts w:ascii="Arial" w:hAnsi="Arial" w:cs="Arial"/>
        </w:rPr>
      </w:pPr>
    </w:p>
    <w:p w14:paraId="075C777B" w14:textId="402B9032" w:rsidR="00AA067C" w:rsidRPr="0097463C" w:rsidRDefault="00AA067C" w:rsidP="23D30664">
      <w:pPr>
        <w:spacing w:line="360" w:lineRule="auto"/>
        <w:rPr>
          <w:rFonts w:ascii="Arial" w:hAnsi="Arial" w:cs="Arial"/>
        </w:rPr>
      </w:pPr>
      <w:r w:rsidRPr="23D30664">
        <w:rPr>
          <w:rFonts w:ascii="Arial" w:hAnsi="Arial" w:cs="Arial"/>
        </w:rPr>
        <w:t xml:space="preserve">Seren Coffi is a café with deep roots in community values, widely recognised for its ethical </w:t>
      </w:r>
      <w:r w:rsidR="005D3160" w:rsidRPr="23D30664">
        <w:rPr>
          <w:rFonts w:ascii="Arial" w:hAnsi="Arial" w:cs="Arial"/>
        </w:rPr>
        <w:t>standards</w:t>
      </w:r>
      <w:r w:rsidRPr="23D30664">
        <w:rPr>
          <w:rFonts w:ascii="Arial" w:hAnsi="Arial" w:cs="Arial"/>
        </w:rPr>
        <w:t xml:space="preserve"> and strong cultural identity. It is currently facing an expanding set of operational difficulties, including escalating costs, supply chain instability, unpredictable shifts in seasonal demand, and the </w:t>
      </w:r>
      <w:r w:rsidR="00232E0C" w:rsidRPr="23D30664">
        <w:rPr>
          <w:rFonts w:ascii="Arial" w:hAnsi="Arial" w:cs="Arial"/>
        </w:rPr>
        <w:t>founder's personal burnout</w:t>
      </w:r>
      <w:r w:rsidRPr="23D30664">
        <w:rPr>
          <w:rFonts w:ascii="Arial" w:hAnsi="Arial" w:cs="Arial"/>
        </w:rPr>
        <w:t>. These accumulating pressures have steadily undermined the café’s capacity to preserve its distinctive atmosphere and continue delivering its community-focused programmes. Although the café remains committed to its core principles and benefits from strong local backing, its culture-led, people-first model is increasingly under pressure in a commercial environment that places a premium on speed, efficiency, and scalability.</w:t>
      </w:r>
    </w:p>
    <w:p w14:paraId="01606781" w14:textId="1A26493E" w:rsidR="00AA067C" w:rsidRPr="0097463C" w:rsidRDefault="00AA067C" w:rsidP="23D30664">
      <w:pPr>
        <w:spacing w:line="360" w:lineRule="auto"/>
        <w:rPr>
          <w:rFonts w:ascii="Arial" w:hAnsi="Arial" w:cs="Arial"/>
        </w:rPr>
      </w:pPr>
      <w:r w:rsidRPr="23D30664">
        <w:rPr>
          <w:rFonts w:ascii="Arial" w:hAnsi="Arial" w:cs="Arial"/>
        </w:rPr>
        <w:t>The introduction of a mobile coffee van or bar as an innovative solution presents the prospect of greater financial adaptability and a broader customer base. However, it simultaneously carries the risk of weakening the caf</w:t>
      </w:r>
      <w:r w:rsidR="00482D8F">
        <w:rPr>
          <w:rFonts w:ascii="Arial" w:hAnsi="Arial" w:cs="Arial"/>
        </w:rPr>
        <w:t>e</w:t>
      </w:r>
      <w:r w:rsidRPr="23D30664">
        <w:rPr>
          <w:rFonts w:ascii="Arial" w:hAnsi="Arial" w:cs="Arial"/>
        </w:rPr>
        <w:t>'s identity and imposing further strain on its workforce. Applying frameworks such as Tidd and Bessant's 4Ps and Lewin's Force Field Analysis reveals significant tensions between preserving cultural integrity and navigating the operational challenges characteristic of small enterprises. AI contributed to the conceptualisation of both the mobile format and an alternative cultural hub model, highlighting technology's capacity to expand creative thinking while underscoring the indispensable role of human judgement in innovation driven by values.</w:t>
      </w:r>
    </w:p>
    <w:p w14:paraId="31429D89" w14:textId="1F3D8CED" w:rsidR="004D0F25" w:rsidRPr="0097463C" w:rsidRDefault="004D0F25" w:rsidP="004D0F25">
      <w:pPr>
        <w:rPr>
          <w:rFonts w:ascii="Arial" w:hAnsi="Arial" w:cs="Arial"/>
        </w:rPr>
      </w:pPr>
      <w:r w:rsidRPr="0097463C">
        <w:rPr>
          <w:rFonts w:ascii="Arial" w:hAnsi="Arial" w:cs="Arial"/>
        </w:rPr>
        <w:t>   </w:t>
      </w:r>
    </w:p>
    <w:p w14:paraId="578E90EA" w14:textId="77777777" w:rsidR="004A3AC4" w:rsidRPr="0097463C" w:rsidRDefault="004A3AC4">
      <w:pPr>
        <w:rPr>
          <w:rFonts w:ascii="Arial" w:eastAsiaTheme="majorEastAsia" w:hAnsi="Arial" w:cs="Arial"/>
          <w:b/>
          <w:bCs/>
        </w:rPr>
      </w:pPr>
      <w:r w:rsidRPr="0097463C">
        <w:rPr>
          <w:rFonts w:ascii="Arial" w:hAnsi="Arial" w:cs="Arial"/>
          <w:b/>
          <w:bCs/>
        </w:rPr>
        <w:br w:type="page"/>
      </w:r>
    </w:p>
    <w:p w14:paraId="78F03A55" w14:textId="1AA27DB3" w:rsidR="004A3AC4" w:rsidRPr="0097463C" w:rsidRDefault="004A3AC4" w:rsidP="003051E7">
      <w:pPr>
        <w:pStyle w:val="Heading1"/>
        <w:jc w:val="center"/>
        <w:rPr>
          <w:rFonts w:ascii="Arial" w:hAnsi="Arial" w:cs="Arial"/>
          <w:b/>
          <w:bCs/>
          <w:color w:val="auto"/>
        </w:rPr>
      </w:pPr>
      <w:bookmarkStart w:id="2" w:name="_Toc226755198"/>
      <w:r w:rsidRPr="0097463C">
        <w:rPr>
          <w:rFonts w:ascii="Arial" w:hAnsi="Arial" w:cs="Arial"/>
          <w:b/>
          <w:bCs/>
          <w:color w:val="auto"/>
        </w:rPr>
        <w:lastRenderedPageBreak/>
        <w:t>INTRODUCTION</w:t>
      </w:r>
      <w:bookmarkEnd w:id="2"/>
    </w:p>
    <w:p w14:paraId="555A138D" w14:textId="77777777" w:rsidR="004D0F25" w:rsidRPr="0097463C" w:rsidRDefault="004D0F25" w:rsidP="00B10FC1">
      <w:pPr>
        <w:rPr>
          <w:rFonts w:ascii="Arial" w:hAnsi="Arial" w:cs="Arial"/>
        </w:rPr>
      </w:pPr>
    </w:p>
    <w:p w14:paraId="31AE79E4" w14:textId="77777777" w:rsidR="004D0F25" w:rsidRPr="0097463C" w:rsidRDefault="004D0F25" w:rsidP="00B10FC1">
      <w:pPr>
        <w:rPr>
          <w:rFonts w:ascii="Arial" w:hAnsi="Arial" w:cs="Arial"/>
        </w:rPr>
      </w:pPr>
    </w:p>
    <w:p w14:paraId="0F38B8F0" w14:textId="6FB1FACE" w:rsidR="00B10FC1" w:rsidRPr="0097463C" w:rsidRDefault="00B10FC1" w:rsidP="23D30664">
      <w:pPr>
        <w:spacing w:line="360" w:lineRule="auto"/>
        <w:rPr>
          <w:rFonts w:ascii="Arial" w:hAnsi="Arial" w:cs="Arial"/>
        </w:rPr>
      </w:pPr>
      <w:r w:rsidRPr="23D30664">
        <w:rPr>
          <w:rFonts w:ascii="Arial" w:hAnsi="Arial" w:cs="Arial"/>
        </w:rPr>
        <w:t>Seren Coffi stands as a community</w:t>
      </w:r>
      <w:r w:rsidR="005D3160" w:rsidRPr="23D30664">
        <w:rPr>
          <w:rFonts w:ascii="Arial" w:hAnsi="Arial" w:cs="Arial"/>
        </w:rPr>
        <w:t xml:space="preserve"> </w:t>
      </w:r>
      <w:r w:rsidRPr="23D30664">
        <w:rPr>
          <w:rFonts w:ascii="Arial" w:hAnsi="Arial" w:cs="Arial"/>
        </w:rPr>
        <w:t>centred café that has long distinguished itself through its commitment to ethical sourcing, cultural visibility, and a slower, more intentional approach to hospitality. From its earliest days, the cafe established itself not simply as a place to buy coffee, but as a space where values were made visible through bilingual signage, transparent supply chains, and a genuine respect for local craft and community life. This identity has earned Seren Coffi a loyal following and a reputation for sincerity in a sector often driven by speed and uniformity.</w:t>
      </w:r>
    </w:p>
    <w:p w14:paraId="0E1B842A" w14:textId="51D2FD71" w:rsidR="00B10FC1" w:rsidRPr="0097463C" w:rsidRDefault="00B10FC1" w:rsidP="23D30664">
      <w:pPr>
        <w:spacing w:line="360" w:lineRule="auto"/>
        <w:rPr>
          <w:rFonts w:ascii="Arial" w:hAnsi="Arial" w:cs="Arial"/>
        </w:rPr>
      </w:pPr>
      <w:r w:rsidRPr="23D30664">
        <w:rPr>
          <w:rFonts w:ascii="Arial" w:hAnsi="Arial" w:cs="Arial"/>
        </w:rPr>
        <w:t>However, the organisation now faces a period of significant strain. Rising operational costs, supply chain pressures, seasonal downturns, and increased competition have collectively eroded the stability that once underpinned its mission. The symptoms are visible reduced programming, delayed maintenance, and growing fatigue among the founders who have carried the weight of decision</w:t>
      </w:r>
      <w:r w:rsidR="005D3160" w:rsidRPr="23D30664">
        <w:rPr>
          <w:rFonts w:ascii="Arial" w:hAnsi="Arial" w:cs="Arial"/>
        </w:rPr>
        <w:t xml:space="preserve"> </w:t>
      </w:r>
      <w:r w:rsidRPr="23D30664">
        <w:rPr>
          <w:rFonts w:ascii="Arial" w:hAnsi="Arial" w:cs="Arial"/>
        </w:rPr>
        <w:t>making since the beginning. While the core product remains strong and the business model fundamentally sound, the café’s capacity to deliver on its values has been compromised by the cumulative pressures of the past year.</w:t>
      </w:r>
    </w:p>
    <w:p w14:paraId="50AA02D8" w14:textId="77777777" w:rsidR="00B10FC1" w:rsidRPr="0097463C" w:rsidRDefault="00B10FC1" w:rsidP="23D30664">
      <w:pPr>
        <w:spacing w:line="360" w:lineRule="auto"/>
        <w:rPr>
          <w:rFonts w:ascii="Arial" w:hAnsi="Arial" w:cs="Arial"/>
        </w:rPr>
      </w:pPr>
      <w:r w:rsidRPr="23D30664">
        <w:rPr>
          <w:rFonts w:ascii="Arial" w:hAnsi="Arial" w:cs="Arial"/>
        </w:rPr>
        <w:t>Seren Coffi is at a key moment. It retains a strong identity, a supportive community, and the foundations of a business that can still thrive. What it requires now is a constructive, imaginative approach that honours its principles while equipping it to operate with greater resilience. The task ahead is not to reinvent Seren Coffi, but to help it regain its footing and re</w:t>
      </w:r>
      <w:r>
        <w:noBreakHyphen/>
      </w:r>
      <w:r w:rsidRPr="23D30664">
        <w:rPr>
          <w:rFonts w:ascii="Arial" w:hAnsi="Arial" w:cs="Arial"/>
        </w:rPr>
        <w:t>energise the qualities that made it meaningful in the first place.</w:t>
      </w:r>
    </w:p>
    <w:p w14:paraId="66BD0A40" w14:textId="77777777" w:rsidR="004A3AC4" w:rsidRPr="0097463C" w:rsidRDefault="004A3AC4">
      <w:pPr>
        <w:rPr>
          <w:rFonts w:ascii="Arial" w:eastAsiaTheme="majorEastAsia" w:hAnsi="Arial" w:cs="Arial"/>
          <w:b/>
          <w:bCs/>
        </w:rPr>
      </w:pPr>
      <w:r w:rsidRPr="0097463C">
        <w:rPr>
          <w:rFonts w:ascii="Arial" w:hAnsi="Arial" w:cs="Arial"/>
          <w:b/>
          <w:bCs/>
        </w:rPr>
        <w:br w:type="page"/>
      </w:r>
    </w:p>
    <w:p w14:paraId="7C3D4912" w14:textId="3002CE4D" w:rsidR="00B10FC1" w:rsidRPr="0097463C" w:rsidRDefault="00B10FC1" w:rsidP="00B10FC1">
      <w:pPr>
        <w:pStyle w:val="Heading1"/>
        <w:rPr>
          <w:rFonts w:ascii="Arial" w:hAnsi="Arial" w:cs="Arial"/>
          <w:b/>
          <w:bCs/>
          <w:color w:val="auto"/>
        </w:rPr>
      </w:pPr>
      <w:bookmarkStart w:id="3" w:name="_Toc226755199"/>
      <w:r w:rsidRPr="0097463C">
        <w:rPr>
          <w:rFonts w:ascii="Arial" w:hAnsi="Arial" w:cs="Arial"/>
          <w:b/>
          <w:bCs/>
          <w:color w:val="auto"/>
        </w:rPr>
        <w:lastRenderedPageBreak/>
        <w:t>PROBLEMS IDENTIFIED SEREN COFFI</w:t>
      </w:r>
      <w:bookmarkEnd w:id="3"/>
    </w:p>
    <w:p w14:paraId="5840722A" w14:textId="77777777" w:rsidR="00B10FC1" w:rsidRPr="0097463C" w:rsidRDefault="00B10FC1" w:rsidP="00B10FC1">
      <w:pPr>
        <w:rPr>
          <w:rFonts w:ascii="Arial" w:hAnsi="Arial" w:cs="Arial"/>
        </w:rPr>
      </w:pPr>
    </w:p>
    <w:p w14:paraId="5336CE52" w14:textId="39028BC7" w:rsidR="00B10FC1" w:rsidRPr="0097463C" w:rsidRDefault="00B10FC1" w:rsidP="23D30664">
      <w:pPr>
        <w:spacing w:line="360" w:lineRule="auto"/>
        <w:rPr>
          <w:rFonts w:ascii="Arial" w:hAnsi="Arial" w:cs="Arial"/>
        </w:rPr>
      </w:pPr>
      <w:r w:rsidRPr="23D30664">
        <w:rPr>
          <w:rFonts w:ascii="Arial" w:hAnsi="Arial" w:cs="Arial"/>
        </w:rPr>
        <w:t>Seren Coffi is experiencing a combination of pressures that have gradually weakened its ability to operate as it once did. Rising costs, equipment failures, and limited financial flexibility have made day</w:t>
      </w:r>
      <w:r w:rsidR="005D3160" w:rsidRPr="23D30664">
        <w:rPr>
          <w:rFonts w:ascii="Arial" w:hAnsi="Arial" w:cs="Arial"/>
        </w:rPr>
        <w:t xml:space="preserve"> </w:t>
      </w:r>
      <w:r w:rsidRPr="23D30664">
        <w:rPr>
          <w:rFonts w:ascii="Arial" w:hAnsi="Arial" w:cs="Arial"/>
        </w:rPr>
        <w:t>to</w:t>
      </w:r>
      <w:r w:rsidR="005D3160" w:rsidRPr="23D30664">
        <w:rPr>
          <w:rFonts w:ascii="Arial" w:hAnsi="Arial" w:cs="Arial"/>
        </w:rPr>
        <w:t xml:space="preserve"> </w:t>
      </w:r>
      <w:r w:rsidRPr="23D30664">
        <w:rPr>
          <w:rFonts w:ascii="Arial" w:hAnsi="Arial" w:cs="Arial"/>
        </w:rPr>
        <w:t>day functioning increasingly difficult. At the same time, the founders, who have always been central to the café’s identity, are showing signs of fatigue, with less time and energy available for the thoughtful, collaborative decision-making that once shaped the business.</w:t>
      </w:r>
    </w:p>
    <w:p w14:paraId="789605FD" w14:textId="0F3270BD" w:rsidR="00B10FC1" w:rsidRPr="0097463C" w:rsidRDefault="00B10FC1" w:rsidP="23D30664">
      <w:pPr>
        <w:spacing w:line="360" w:lineRule="auto"/>
        <w:rPr>
          <w:rFonts w:ascii="Arial" w:hAnsi="Arial" w:cs="Arial"/>
        </w:rPr>
      </w:pPr>
      <w:r w:rsidRPr="23D30664">
        <w:rPr>
          <w:rFonts w:ascii="Arial" w:hAnsi="Arial" w:cs="Arial"/>
        </w:rPr>
        <w:t xml:space="preserve">These internal challenges are becoming visible to customers. The chalkboard is updated less often, community events have stopped, and the overall atmosphere feels less vibrant than before. External competition has added further strain, particularly with the arrival of a nearby café offering speed and discounts that Seren Coffi cannot easily match. The café’s commitment to ethical, </w:t>
      </w:r>
      <w:r w:rsidR="6D80F7EC" w:rsidRPr="23D30664">
        <w:rPr>
          <w:rFonts w:ascii="Arial" w:hAnsi="Arial" w:cs="Arial"/>
        </w:rPr>
        <w:t>small-scale</w:t>
      </w:r>
      <w:r w:rsidRPr="23D30664">
        <w:rPr>
          <w:rFonts w:ascii="Arial" w:hAnsi="Arial" w:cs="Arial"/>
        </w:rPr>
        <w:t xml:space="preserve"> suppliers, while central to its values, also leaves it more vulnerable to global disruptions and price increases.</w:t>
      </w:r>
    </w:p>
    <w:p w14:paraId="2E70B1D3" w14:textId="77777777" w:rsidR="00B10FC1" w:rsidRPr="0097463C" w:rsidRDefault="00B10FC1" w:rsidP="23D30664">
      <w:pPr>
        <w:spacing w:line="360" w:lineRule="auto"/>
        <w:rPr>
          <w:rFonts w:ascii="Arial" w:hAnsi="Arial" w:cs="Arial"/>
        </w:rPr>
      </w:pPr>
      <w:r w:rsidRPr="23D30664">
        <w:rPr>
          <w:rFonts w:ascii="Arial" w:hAnsi="Arial" w:cs="Arial"/>
        </w:rPr>
        <w:t>Despite these difficulties, Seren Coffi still has a strong identity and a community that cares about its future. The challenge now is to stabilise the organisation in a way that protects its core values while allowing it to adapt more effectively to the pressures it faces.</w:t>
      </w:r>
    </w:p>
    <w:p w14:paraId="1549CCD1" w14:textId="77777777" w:rsidR="005C002A" w:rsidRPr="0097463C" w:rsidRDefault="005C002A" w:rsidP="23D30664">
      <w:pPr>
        <w:spacing w:line="360" w:lineRule="auto"/>
        <w:rPr>
          <w:rFonts w:ascii="Arial" w:hAnsi="Arial" w:cs="Arial"/>
        </w:rPr>
      </w:pPr>
    </w:p>
    <w:p w14:paraId="6BF78079" w14:textId="77777777" w:rsidR="005C002A" w:rsidRPr="0097463C" w:rsidRDefault="005C002A" w:rsidP="00B10FC1">
      <w:pPr>
        <w:rPr>
          <w:rFonts w:ascii="Arial" w:hAnsi="Arial" w:cs="Arial"/>
        </w:rPr>
      </w:pPr>
    </w:p>
    <w:p w14:paraId="0FBE1933" w14:textId="77777777" w:rsidR="005C002A" w:rsidRPr="0097463C" w:rsidRDefault="005C002A" w:rsidP="00B10FC1">
      <w:pPr>
        <w:rPr>
          <w:rFonts w:ascii="Arial" w:hAnsi="Arial" w:cs="Arial"/>
        </w:rPr>
      </w:pPr>
    </w:p>
    <w:p w14:paraId="521232B7" w14:textId="77777777" w:rsidR="005C002A" w:rsidRPr="0097463C" w:rsidRDefault="005C002A" w:rsidP="00B10FC1">
      <w:pPr>
        <w:rPr>
          <w:rFonts w:ascii="Arial" w:hAnsi="Arial" w:cs="Arial"/>
        </w:rPr>
      </w:pPr>
    </w:p>
    <w:p w14:paraId="228811FC" w14:textId="77777777" w:rsidR="005C002A" w:rsidRPr="0097463C" w:rsidRDefault="005C002A" w:rsidP="00B10FC1">
      <w:pPr>
        <w:rPr>
          <w:rFonts w:ascii="Arial" w:hAnsi="Arial" w:cs="Arial"/>
        </w:rPr>
      </w:pPr>
    </w:p>
    <w:p w14:paraId="3F2F3526" w14:textId="77777777" w:rsidR="005C002A" w:rsidRPr="0097463C" w:rsidRDefault="005C002A" w:rsidP="00B10FC1">
      <w:pPr>
        <w:rPr>
          <w:rFonts w:ascii="Arial" w:hAnsi="Arial" w:cs="Arial"/>
        </w:rPr>
      </w:pPr>
    </w:p>
    <w:p w14:paraId="301DA57D" w14:textId="77777777" w:rsidR="005C002A" w:rsidRPr="0097463C" w:rsidRDefault="005C002A" w:rsidP="00B10FC1">
      <w:pPr>
        <w:rPr>
          <w:rFonts w:ascii="Arial" w:hAnsi="Arial" w:cs="Arial"/>
        </w:rPr>
      </w:pPr>
    </w:p>
    <w:p w14:paraId="69A2C3FB" w14:textId="77777777" w:rsidR="005C002A" w:rsidRPr="0097463C" w:rsidRDefault="005C002A" w:rsidP="00B10FC1">
      <w:pPr>
        <w:rPr>
          <w:rFonts w:ascii="Arial" w:hAnsi="Arial" w:cs="Arial"/>
        </w:rPr>
      </w:pPr>
    </w:p>
    <w:p w14:paraId="16A3163F" w14:textId="77777777" w:rsidR="005C002A" w:rsidRPr="0097463C" w:rsidRDefault="005C002A" w:rsidP="00B10FC1">
      <w:pPr>
        <w:rPr>
          <w:rFonts w:ascii="Arial" w:hAnsi="Arial" w:cs="Arial"/>
        </w:rPr>
      </w:pPr>
    </w:p>
    <w:p w14:paraId="519D28E8" w14:textId="77777777" w:rsidR="005C002A" w:rsidRPr="0097463C" w:rsidRDefault="005C002A" w:rsidP="00B10FC1">
      <w:pPr>
        <w:rPr>
          <w:rFonts w:ascii="Arial" w:hAnsi="Arial" w:cs="Arial"/>
        </w:rPr>
      </w:pPr>
    </w:p>
    <w:p w14:paraId="67D81E0F" w14:textId="28AC8FEE" w:rsidR="005C002A" w:rsidRPr="0097463C" w:rsidRDefault="005C002A" w:rsidP="00CA3432">
      <w:pPr>
        <w:pStyle w:val="Heading1"/>
        <w:jc w:val="center"/>
        <w:rPr>
          <w:rFonts w:ascii="Arial" w:hAnsi="Arial" w:cs="Arial"/>
          <w:b/>
          <w:bCs/>
          <w:color w:val="auto"/>
        </w:rPr>
      </w:pPr>
      <w:bookmarkStart w:id="4" w:name="_Toc226755200"/>
      <w:r w:rsidRPr="23D30664">
        <w:rPr>
          <w:rFonts w:ascii="Arial" w:hAnsi="Arial" w:cs="Arial"/>
          <w:b/>
          <w:bCs/>
          <w:color w:val="auto"/>
        </w:rPr>
        <w:lastRenderedPageBreak/>
        <w:t>D</w:t>
      </w:r>
      <w:r w:rsidR="007D18C4" w:rsidRPr="23D30664">
        <w:rPr>
          <w:rFonts w:ascii="Arial" w:hAnsi="Arial" w:cs="Arial"/>
          <w:b/>
          <w:bCs/>
          <w:color w:val="auto"/>
        </w:rPr>
        <w:t>EFINING CREATIVITY</w:t>
      </w:r>
      <w:bookmarkEnd w:id="4"/>
    </w:p>
    <w:p w14:paraId="12DD1A78" w14:textId="77777777" w:rsidR="0082571E" w:rsidRPr="0097463C" w:rsidRDefault="0082571E" w:rsidP="0082571E">
      <w:pPr>
        <w:rPr>
          <w:rFonts w:ascii="Arial" w:hAnsi="Arial" w:cs="Arial"/>
        </w:rPr>
      </w:pPr>
    </w:p>
    <w:p w14:paraId="4882A961" w14:textId="3FD8C95B" w:rsidR="0082571E" w:rsidRPr="0097463C" w:rsidRDefault="0082571E" w:rsidP="23D30664">
      <w:pPr>
        <w:spacing w:line="360" w:lineRule="auto"/>
        <w:rPr>
          <w:rFonts w:ascii="Arial" w:hAnsi="Arial" w:cs="Arial"/>
        </w:rPr>
      </w:pPr>
      <w:r w:rsidRPr="23D30664">
        <w:rPr>
          <w:rFonts w:ascii="Arial" w:hAnsi="Arial" w:cs="Arial"/>
        </w:rPr>
        <w:t>Corazza (2016) highlights that creativity is approached and defined in various ways across different fields. It is broadly conceived as the ability to produce ideas or outputs that are simultaneously novel and effective, where novelty denotes originality and effectiveness reflects the usefulness or suitability of the outcome within a specific context. This inherently dynamic quality of creativity underscores its capacity to adapt and develop over time, rather than being static. Nevertheless, Weisberg, R.W. (2015) and other scholars have raised objections to widely held definitions of creativity, especially those that treat value as an essential component. A central criticism is that incorporating value into the definition introduces tension between the technical meaning used by researchers and its everyday interpretation, which can cause other academics to dismiss the findings altogether.</w:t>
      </w:r>
    </w:p>
    <w:p w14:paraId="690621D4" w14:textId="77777777" w:rsidR="005C002A" w:rsidRPr="0097463C" w:rsidRDefault="005C002A" w:rsidP="005C002A">
      <w:pPr>
        <w:rPr>
          <w:rFonts w:ascii="Arial" w:hAnsi="Arial" w:cs="Arial"/>
        </w:rPr>
      </w:pPr>
    </w:p>
    <w:p w14:paraId="285AED40" w14:textId="77777777" w:rsidR="001E1B7F" w:rsidRPr="0097463C" w:rsidRDefault="001E1B7F" w:rsidP="005C002A">
      <w:pPr>
        <w:rPr>
          <w:rFonts w:ascii="Arial" w:hAnsi="Arial" w:cs="Arial"/>
          <w:b/>
          <w:bCs/>
        </w:rPr>
      </w:pPr>
    </w:p>
    <w:p w14:paraId="38064F92" w14:textId="0756CF4A" w:rsidR="005C002A" w:rsidRPr="0097463C" w:rsidRDefault="005C002A" w:rsidP="00CA3432">
      <w:pPr>
        <w:jc w:val="center"/>
        <w:rPr>
          <w:rFonts w:ascii="Arial" w:hAnsi="Arial" w:cs="Arial"/>
          <w:b/>
          <w:bCs/>
          <w:sz w:val="40"/>
          <w:szCs w:val="40"/>
        </w:rPr>
      </w:pPr>
      <w:r w:rsidRPr="0097463C">
        <w:rPr>
          <w:rFonts w:ascii="Arial" w:hAnsi="Arial" w:cs="Arial"/>
          <w:b/>
          <w:bCs/>
          <w:sz w:val="40"/>
          <w:szCs w:val="40"/>
        </w:rPr>
        <w:t>D</w:t>
      </w:r>
      <w:r w:rsidR="003E41F7" w:rsidRPr="0097463C">
        <w:rPr>
          <w:rFonts w:ascii="Arial" w:hAnsi="Arial" w:cs="Arial"/>
          <w:b/>
          <w:bCs/>
          <w:sz w:val="40"/>
          <w:szCs w:val="40"/>
        </w:rPr>
        <w:t>EFINING INNOVATION</w:t>
      </w:r>
    </w:p>
    <w:p w14:paraId="65277585" w14:textId="77777777" w:rsidR="005C002A" w:rsidRPr="0097463C" w:rsidRDefault="005C002A" w:rsidP="005C002A">
      <w:pPr>
        <w:rPr>
          <w:rFonts w:ascii="Arial" w:hAnsi="Arial" w:cs="Arial"/>
        </w:rPr>
      </w:pPr>
    </w:p>
    <w:p w14:paraId="5E499C06" w14:textId="36B3C29C" w:rsidR="0082571E" w:rsidRPr="0097463C" w:rsidRDefault="0082571E" w:rsidP="23D30664">
      <w:pPr>
        <w:spacing w:line="360" w:lineRule="auto"/>
        <w:rPr>
          <w:rFonts w:ascii="Arial" w:hAnsi="Arial" w:cs="Arial"/>
        </w:rPr>
      </w:pPr>
      <w:r w:rsidRPr="23D30664">
        <w:rPr>
          <w:rFonts w:ascii="Arial" w:hAnsi="Arial" w:cs="Arial"/>
        </w:rPr>
        <w:t xml:space="preserve">Innovation is examined through a range of perspectives within academic literature. Markman, A.B. (2016). One viewpoint frames innovation as the process of developing new ideas and introducing them to the market by eliminating barriers, covering phases that span from the generation and assessment of ideas through to the establishment of ecosystems that facilitate commercialisation. A notable concern within the field relates to the variation and lack of consistency in how innovation is defined across research. Varadarajan (2024) contends that the adoption of </w:t>
      </w:r>
      <w:r w:rsidR="004D0F25" w:rsidRPr="23D30664">
        <w:rPr>
          <w:rFonts w:ascii="Arial" w:hAnsi="Arial" w:cs="Arial"/>
        </w:rPr>
        <w:t>varying definitions of innovation and its associated constructs, along with inconsistent classification of innovation types, undermines progress in</w:t>
      </w:r>
      <w:r w:rsidRPr="23D30664">
        <w:rPr>
          <w:rFonts w:ascii="Arial" w:hAnsi="Arial" w:cs="Arial"/>
        </w:rPr>
        <w:t xml:space="preserve"> knowledge in this area.</w:t>
      </w:r>
    </w:p>
    <w:p w14:paraId="640E61C2" w14:textId="77777777" w:rsidR="003E41F7" w:rsidRPr="0097463C" w:rsidRDefault="003E41F7" w:rsidP="0082571E">
      <w:pPr>
        <w:rPr>
          <w:rFonts w:ascii="Arial" w:hAnsi="Arial" w:cs="Arial"/>
        </w:rPr>
      </w:pPr>
    </w:p>
    <w:p w14:paraId="172A9142" w14:textId="77777777" w:rsidR="00BF34B8" w:rsidRPr="0097463C" w:rsidRDefault="00BF34B8" w:rsidP="005C002A">
      <w:pPr>
        <w:rPr>
          <w:rFonts w:ascii="Arial" w:hAnsi="Arial" w:cs="Arial"/>
          <w:b/>
          <w:bCs/>
        </w:rPr>
      </w:pPr>
    </w:p>
    <w:p w14:paraId="1A04DE81" w14:textId="77777777" w:rsidR="00BF34B8" w:rsidRPr="0097463C" w:rsidRDefault="00BF34B8" w:rsidP="005C002A">
      <w:pPr>
        <w:rPr>
          <w:rFonts w:ascii="Arial" w:hAnsi="Arial" w:cs="Arial"/>
          <w:b/>
          <w:bCs/>
        </w:rPr>
      </w:pPr>
    </w:p>
    <w:p w14:paraId="601AC077" w14:textId="77777777" w:rsidR="00BF34B8" w:rsidRPr="0097463C" w:rsidRDefault="00BF34B8" w:rsidP="005C002A">
      <w:pPr>
        <w:rPr>
          <w:rFonts w:ascii="Arial" w:hAnsi="Arial" w:cs="Arial"/>
          <w:b/>
          <w:bCs/>
        </w:rPr>
      </w:pPr>
    </w:p>
    <w:p w14:paraId="781255A8" w14:textId="77777777" w:rsidR="00BF34B8" w:rsidRPr="0097463C" w:rsidRDefault="00BF34B8" w:rsidP="005C002A">
      <w:pPr>
        <w:rPr>
          <w:rFonts w:ascii="Arial" w:hAnsi="Arial" w:cs="Arial"/>
          <w:b/>
          <w:bCs/>
        </w:rPr>
      </w:pPr>
    </w:p>
    <w:p w14:paraId="5B12F933" w14:textId="77777777" w:rsidR="00BF34B8" w:rsidRPr="0097463C" w:rsidRDefault="00BF34B8" w:rsidP="005C002A">
      <w:pPr>
        <w:rPr>
          <w:rFonts w:ascii="Arial" w:hAnsi="Arial" w:cs="Arial"/>
          <w:b/>
          <w:bCs/>
        </w:rPr>
      </w:pPr>
    </w:p>
    <w:p w14:paraId="58C3B759" w14:textId="77777777" w:rsidR="00BF34B8" w:rsidRPr="0097463C" w:rsidRDefault="00BF34B8" w:rsidP="005C002A">
      <w:pPr>
        <w:rPr>
          <w:rFonts w:ascii="Arial" w:hAnsi="Arial" w:cs="Arial"/>
          <w:b/>
          <w:bCs/>
        </w:rPr>
      </w:pPr>
    </w:p>
    <w:p w14:paraId="05E550D1" w14:textId="77777777" w:rsidR="001E1B7F" w:rsidRPr="0097463C" w:rsidRDefault="001E1B7F" w:rsidP="005C002A">
      <w:pPr>
        <w:rPr>
          <w:rFonts w:ascii="Arial" w:hAnsi="Arial" w:cs="Arial"/>
          <w:b/>
          <w:bCs/>
        </w:rPr>
      </w:pPr>
    </w:p>
    <w:p w14:paraId="2DD62062" w14:textId="73A9EBB0" w:rsidR="005C002A" w:rsidRPr="0097463C" w:rsidRDefault="005C002A" w:rsidP="005C002A">
      <w:pPr>
        <w:rPr>
          <w:rFonts w:ascii="Arial" w:hAnsi="Arial" w:cs="Arial"/>
          <w:b/>
          <w:bCs/>
          <w:sz w:val="32"/>
          <w:szCs w:val="32"/>
        </w:rPr>
      </w:pPr>
      <w:r w:rsidRPr="0097463C">
        <w:rPr>
          <w:rFonts w:ascii="Arial" w:hAnsi="Arial" w:cs="Arial"/>
          <w:b/>
          <w:bCs/>
          <w:sz w:val="32"/>
          <w:szCs w:val="32"/>
        </w:rPr>
        <w:t>D</w:t>
      </w:r>
      <w:r w:rsidR="003E41F7" w:rsidRPr="0097463C">
        <w:rPr>
          <w:rFonts w:ascii="Arial" w:hAnsi="Arial" w:cs="Arial"/>
          <w:b/>
          <w:bCs/>
          <w:sz w:val="32"/>
          <w:szCs w:val="32"/>
        </w:rPr>
        <w:t>IFFERENCES</w:t>
      </w:r>
      <w:r w:rsidRPr="0097463C">
        <w:rPr>
          <w:rFonts w:ascii="Arial" w:hAnsi="Arial" w:cs="Arial"/>
          <w:b/>
          <w:bCs/>
          <w:sz w:val="32"/>
          <w:szCs w:val="32"/>
        </w:rPr>
        <w:t xml:space="preserve"> </w:t>
      </w:r>
      <w:r w:rsidR="003E41F7" w:rsidRPr="0097463C">
        <w:rPr>
          <w:rFonts w:ascii="Arial" w:hAnsi="Arial" w:cs="Arial"/>
          <w:b/>
          <w:bCs/>
          <w:sz w:val="32"/>
          <w:szCs w:val="32"/>
        </w:rPr>
        <w:t>BETWEEN</w:t>
      </w:r>
      <w:r w:rsidRPr="0097463C">
        <w:rPr>
          <w:rFonts w:ascii="Arial" w:hAnsi="Arial" w:cs="Arial"/>
          <w:b/>
          <w:bCs/>
          <w:sz w:val="32"/>
          <w:szCs w:val="32"/>
        </w:rPr>
        <w:t xml:space="preserve"> </w:t>
      </w:r>
      <w:r w:rsidR="003E41F7" w:rsidRPr="0097463C">
        <w:rPr>
          <w:rFonts w:ascii="Arial" w:hAnsi="Arial" w:cs="Arial"/>
          <w:b/>
          <w:bCs/>
          <w:sz w:val="32"/>
          <w:szCs w:val="32"/>
        </w:rPr>
        <w:t xml:space="preserve">CREATIVITY </w:t>
      </w:r>
      <w:r w:rsidR="00EB2442" w:rsidRPr="0097463C">
        <w:rPr>
          <w:rFonts w:ascii="Arial" w:hAnsi="Arial" w:cs="Arial"/>
          <w:b/>
          <w:bCs/>
          <w:sz w:val="32"/>
          <w:szCs w:val="32"/>
        </w:rPr>
        <w:t xml:space="preserve">AND </w:t>
      </w:r>
      <w:r w:rsidR="003E41F7" w:rsidRPr="0097463C">
        <w:rPr>
          <w:rFonts w:ascii="Arial" w:hAnsi="Arial" w:cs="Arial"/>
          <w:b/>
          <w:bCs/>
          <w:sz w:val="32"/>
          <w:szCs w:val="32"/>
        </w:rPr>
        <w:t>INNOVATION</w:t>
      </w:r>
      <w:r w:rsidRPr="0097463C">
        <w:rPr>
          <w:rFonts w:ascii="Arial" w:hAnsi="Arial" w:cs="Arial"/>
          <w:b/>
          <w:bCs/>
          <w:sz w:val="32"/>
          <w:szCs w:val="32"/>
        </w:rPr>
        <w:t xml:space="preserve"> </w:t>
      </w:r>
    </w:p>
    <w:p w14:paraId="21C2C444" w14:textId="77777777" w:rsidR="001E1B7F" w:rsidRPr="0097463C" w:rsidRDefault="001E1B7F" w:rsidP="005C002A">
      <w:pPr>
        <w:rPr>
          <w:rFonts w:ascii="Arial" w:hAnsi="Arial" w:cs="Arial"/>
        </w:rPr>
      </w:pPr>
    </w:p>
    <w:p w14:paraId="102D8E71" w14:textId="107D9B1F" w:rsidR="0082571E" w:rsidRPr="0097463C" w:rsidRDefault="0082571E" w:rsidP="23D30664">
      <w:pPr>
        <w:spacing w:line="360" w:lineRule="auto"/>
        <w:rPr>
          <w:rFonts w:ascii="Arial" w:hAnsi="Arial" w:cs="Arial"/>
        </w:rPr>
      </w:pPr>
      <w:r w:rsidRPr="23D30664">
        <w:rPr>
          <w:rFonts w:ascii="Arial" w:hAnsi="Arial" w:cs="Arial"/>
        </w:rPr>
        <w:t>Walia, C. (2019) notes that, despite their close relationship, creativity and innovation are fundamentally different concepts with distinct roles and characteristics. Creativity is concerned with the emergence of meaningful ideas or results, with emphasis placed on the process of generation itself, whether it culminates in a physical outcome. In contrast, Singh, S. and Aggarwal, Y. (2022) describe innovation as the practical realisation of creative ability, pursued with commercial and/or social intent. It therefore reaches far beyond the inception of ideas to involve their application in real</w:t>
      </w:r>
      <w:r w:rsidR="005D3160" w:rsidRPr="23D30664">
        <w:rPr>
          <w:rFonts w:ascii="Arial" w:hAnsi="Arial" w:cs="Arial"/>
        </w:rPr>
        <w:t xml:space="preserve"> </w:t>
      </w:r>
      <w:r w:rsidRPr="23D30664">
        <w:rPr>
          <w:rFonts w:ascii="Arial" w:hAnsi="Arial" w:cs="Arial"/>
        </w:rPr>
        <w:t>world contexts and the creation of value, encompassing motivation, deliberate action, and a range of environmental and psychological influences. Creativity, then, is grounded in the cognitive and procedural elements of ideation, while innovation is directed at putting those ideas into effect and achieving concrete results. Corazza, G.E. (2016). On this basis, creativity can be regarded as an essential foundation for innovation, which is by nature more outcome-focused and tied to the practical execution and realisation of value.</w:t>
      </w:r>
    </w:p>
    <w:p w14:paraId="3EBE35C1" w14:textId="5BB82DD1" w:rsidR="0082571E" w:rsidRPr="0097463C" w:rsidRDefault="0082571E" w:rsidP="23D30664">
      <w:pPr>
        <w:spacing w:line="360" w:lineRule="auto"/>
        <w:rPr>
          <w:rFonts w:ascii="Arial" w:hAnsi="Arial" w:cs="Arial"/>
        </w:rPr>
      </w:pPr>
      <w:r w:rsidRPr="23D30664">
        <w:rPr>
          <w:rFonts w:ascii="Arial" w:hAnsi="Arial" w:cs="Arial"/>
        </w:rPr>
        <w:t>Creativity and innovation are widely regarded as vital capabilities for future professional life and entrepreneurial growth, enabling both individuals and organisations to tackle complex problems with fresh, inventive solutions. Plucker, J.A. (2016). These qualities can turn ordinary tasks into more engaging and effective endeavours, supporting individual career advancement as well as the overall development of organisations.</w:t>
      </w:r>
    </w:p>
    <w:p w14:paraId="3910A9CB" w14:textId="77777777" w:rsidR="005C002A" w:rsidRPr="0097463C" w:rsidRDefault="005C002A" w:rsidP="00B10FC1">
      <w:pPr>
        <w:rPr>
          <w:rFonts w:ascii="Arial" w:hAnsi="Arial" w:cs="Arial"/>
        </w:rPr>
      </w:pPr>
    </w:p>
    <w:p w14:paraId="4F89ED26" w14:textId="77777777" w:rsidR="00B10FC1" w:rsidRPr="0097463C" w:rsidRDefault="00B10FC1" w:rsidP="00B10FC1">
      <w:pPr>
        <w:rPr>
          <w:rFonts w:ascii="Arial" w:hAnsi="Arial" w:cs="Arial"/>
        </w:rPr>
      </w:pPr>
    </w:p>
    <w:p w14:paraId="4D99CAA9" w14:textId="77777777" w:rsidR="00B10FC1" w:rsidRPr="0097463C" w:rsidRDefault="00B10FC1" w:rsidP="00B10FC1">
      <w:pPr>
        <w:rPr>
          <w:rFonts w:ascii="Arial" w:hAnsi="Arial" w:cs="Arial"/>
        </w:rPr>
      </w:pPr>
    </w:p>
    <w:p w14:paraId="53E21BAC" w14:textId="77777777" w:rsidR="00B10FC1" w:rsidRPr="0097463C" w:rsidRDefault="00B10FC1" w:rsidP="00B10FC1">
      <w:pPr>
        <w:rPr>
          <w:rFonts w:ascii="Arial" w:hAnsi="Arial" w:cs="Arial"/>
        </w:rPr>
      </w:pPr>
    </w:p>
    <w:p w14:paraId="21F8E49B" w14:textId="77777777" w:rsidR="00B10FC1" w:rsidRPr="0097463C" w:rsidRDefault="00B10FC1" w:rsidP="00B10FC1">
      <w:pPr>
        <w:rPr>
          <w:rFonts w:ascii="Arial" w:hAnsi="Arial" w:cs="Arial"/>
        </w:rPr>
      </w:pPr>
    </w:p>
    <w:p w14:paraId="55AF077C" w14:textId="77777777" w:rsidR="00B10FC1" w:rsidRPr="0097463C" w:rsidRDefault="00B10FC1" w:rsidP="00B10FC1">
      <w:pPr>
        <w:rPr>
          <w:rFonts w:ascii="Arial" w:hAnsi="Arial" w:cs="Arial"/>
        </w:rPr>
      </w:pPr>
    </w:p>
    <w:p w14:paraId="568E1642" w14:textId="77777777" w:rsidR="00B10FC1" w:rsidRPr="0097463C" w:rsidRDefault="00B10FC1" w:rsidP="00B10FC1">
      <w:pPr>
        <w:rPr>
          <w:rFonts w:ascii="Arial" w:hAnsi="Arial" w:cs="Arial"/>
        </w:rPr>
      </w:pPr>
    </w:p>
    <w:p w14:paraId="19978399" w14:textId="77777777" w:rsidR="00B10FC1" w:rsidRPr="0097463C" w:rsidRDefault="00B10FC1" w:rsidP="00B10FC1">
      <w:pPr>
        <w:rPr>
          <w:rFonts w:ascii="Arial" w:hAnsi="Arial" w:cs="Arial"/>
        </w:rPr>
      </w:pPr>
    </w:p>
    <w:p w14:paraId="749B8633" w14:textId="77777777" w:rsidR="00B10FC1" w:rsidRPr="0097463C" w:rsidRDefault="00B10FC1" w:rsidP="00B10FC1">
      <w:pPr>
        <w:rPr>
          <w:rFonts w:ascii="Arial" w:hAnsi="Arial" w:cs="Arial"/>
        </w:rPr>
      </w:pPr>
    </w:p>
    <w:p w14:paraId="5BF3A2B7" w14:textId="77777777" w:rsidR="00B10FC1" w:rsidRPr="0097463C" w:rsidRDefault="00B10FC1" w:rsidP="00B10FC1">
      <w:pPr>
        <w:rPr>
          <w:rFonts w:ascii="Arial" w:hAnsi="Arial" w:cs="Arial"/>
        </w:rPr>
      </w:pPr>
    </w:p>
    <w:p w14:paraId="0EE70F62" w14:textId="77777777" w:rsidR="00BF34B8" w:rsidRPr="0097463C" w:rsidRDefault="00BF34B8" w:rsidP="00B10FC1">
      <w:pPr>
        <w:pStyle w:val="Heading1"/>
        <w:jc w:val="center"/>
        <w:rPr>
          <w:rFonts w:ascii="Arial" w:hAnsi="Arial" w:cs="Arial"/>
          <w:b/>
          <w:bCs/>
          <w:color w:val="auto"/>
          <w:sz w:val="24"/>
          <w:szCs w:val="24"/>
        </w:rPr>
      </w:pPr>
    </w:p>
    <w:p w14:paraId="4F7D729B" w14:textId="675DA746" w:rsidR="003051E7" w:rsidRPr="0097463C" w:rsidRDefault="004A3AC4" w:rsidP="00B10FC1">
      <w:pPr>
        <w:pStyle w:val="Heading1"/>
        <w:jc w:val="center"/>
        <w:rPr>
          <w:rFonts w:ascii="Arial" w:hAnsi="Arial" w:cs="Arial"/>
          <w:b/>
          <w:bCs/>
          <w:color w:val="auto"/>
        </w:rPr>
      </w:pPr>
      <w:bookmarkStart w:id="5" w:name="_Toc226755201"/>
      <w:r w:rsidRPr="0097463C">
        <w:rPr>
          <w:rFonts w:ascii="Arial" w:hAnsi="Arial" w:cs="Arial"/>
          <w:b/>
          <w:bCs/>
          <w:color w:val="auto"/>
        </w:rPr>
        <w:t>MAIN FINDING</w:t>
      </w:r>
      <w:bookmarkEnd w:id="5"/>
    </w:p>
    <w:p w14:paraId="00857424" w14:textId="77777777" w:rsidR="00B10FC1" w:rsidRPr="0097463C" w:rsidRDefault="00B10FC1" w:rsidP="00B10FC1">
      <w:pPr>
        <w:rPr>
          <w:rFonts w:ascii="Arial" w:hAnsi="Arial" w:cs="Arial"/>
        </w:rPr>
      </w:pPr>
    </w:p>
    <w:p w14:paraId="560AA9D6" w14:textId="4811C627" w:rsidR="007E1606" w:rsidRPr="0097463C" w:rsidRDefault="007E1606" w:rsidP="007E1606">
      <w:pPr>
        <w:rPr>
          <w:rFonts w:ascii="Arial" w:hAnsi="Arial" w:cs="Arial"/>
        </w:rPr>
      </w:pPr>
    </w:p>
    <w:p w14:paraId="6485C490" w14:textId="0BD85E4C" w:rsidR="009D1B19" w:rsidRPr="0097463C" w:rsidRDefault="009D1B19" w:rsidP="23D30664">
      <w:pPr>
        <w:spacing w:line="360" w:lineRule="auto"/>
        <w:rPr>
          <w:rFonts w:ascii="Arial" w:hAnsi="Arial" w:cs="Arial"/>
        </w:rPr>
      </w:pPr>
      <w:r w:rsidRPr="23D30664">
        <w:rPr>
          <w:rFonts w:ascii="Arial" w:hAnsi="Arial" w:cs="Arial"/>
        </w:rPr>
        <w:t>The challenges currently facing Seren Coffi bring to light the structural friction between creativity, innovation, and the capitalist requirements that shape business development. The café’s creative identity has consistently been built upon community</w:t>
      </w:r>
      <w:r w:rsidR="005D3160" w:rsidRPr="23D30664">
        <w:rPr>
          <w:rFonts w:ascii="Arial" w:hAnsi="Arial" w:cs="Arial"/>
        </w:rPr>
        <w:t xml:space="preserve"> </w:t>
      </w:r>
      <w:r w:rsidRPr="23D30664">
        <w:rPr>
          <w:rFonts w:ascii="Arial" w:hAnsi="Arial" w:cs="Arial"/>
        </w:rPr>
        <w:t>driven practices, ethical sourcing, bilingual engagement, and cultural programming that reflect a deep commitment to place and belonging. These expressions of value</w:t>
      </w:r>
      <w:r w:rsidR="005D3160" w:rsidRPr="23D30664">
        <w:rPr>
          <w:rFonts w:ascii="Arial" w:hAnsi="Arial" w:cs="Arial"/>
        </w:rPr>
        <w:t xml:space="preserve"> connect</w:t>
      </w:r>
      <w:r w:rsidRPr="23D30664">
        <w:rPr>
          <w:rFonts w:ascii="Arial" w:hAnsi="Arial" w:cs="Arial"/>
        </w:rPr>
        <w:t xml:space="preserve"> closely with Amabile and Pratt’s (2016) contention that creativity is nurtured through intrinsic motivation and purposeful work. However, this form of relationally grounded, culturally integrated creativity sits in an uncomfortable position within an economic environment that prioritises speed, scale, and efficiency (Piketty, 2014; Susskind, 2020). Within dominant innovation discourse, innovation tends to be conflated with scalable, standardised approaches that offer reliable commercial returns (Birkinshaw et al., 2011). Such a framing affords little space for organisations such as Seren Coffi, whose value derives from cultural significance rather than extractive profit</w:t>
      </w:r>
      <w:r w:rsidR="00106E63" w:rsidRPr="23D30664">
        <w:rPr>
          <w:rFonts w:ascii="Arial" w:hAnsi="Arial" w:cs="Arial"/>
        </w:rPr>
        <w:t xml:space="preserve"> </w:t>
      </w:r>
      <w:r w:rsidRPr="23D30664">
        <w:rPr>
          <w:rFonts w:ascii="Arial" w:hAnsi="Arial" w:cs="Arial"/>
        </w:rPr>
        <w:t>making.</w:t>
      </w:r>
    </w:p>
    <w:p w14:paraId="7AD2A2AC" w14:textId="03677E19" w:rsidR="009D1B19" w:rsidRPr="0097463C" w:rsidRDefault="009D1B19" w:rsidP="23D30664">
      <w:pPr>
        <w:spacing w:line="360" w:lineRule="auto"/>
        <w:rPr>
          <w:rFonts w:ascii="Arial" w:hAnsi="Arial" w:cs="Arial"/>
        </w:rPr>
      </w:pPr>
      <w:r w:rsidRPr="23D30664">
        <w:rPr>
          <w:rFonts w:ascii="Arial" w:hAnsi="Arial" w:cs="Arial"/>
        </w:rPr>
        <w:t xml:space="preserve">The hospitality group’s proposal brings this ideological conflict into sharp focus. It operates on the assumption that growth is synonymous with replication, brand consistency, and market share capture, an outlook firmly rooted in capitalist expansion. Fleming (2019) contends that such approaches tend to </w:t>
      </w:r>
      <w:r w:rsidR="00106E63" w:rsidRPr="23D30664">
        <w:rPr>
          <w:rFonts w:ascii="Arial" w:hAnsi="Arial" w:cs="Arial"/>
        </w:rPr>
        <w:t xml:space="preserve">wear </w:t>
      </w:r>
      <w:r w:rsidRPr="23D30664">
        <w:rPr>
          <w:rFonts w:ascii="Arial" w:hAnsi="Arial" w:cs="Arial"/>
        </w:rPr>
        <w:t xml:space="preserve">organisations cultural distinctiveness in pursuit of efficiency. The founders, by contrast, hold an altogether different conception of growth, one centred on nurturing relationships and reinforcing cultural identity. This perspective exposes the </w:t>
      </w:r>
      <w:r w:rsidRPr="23D30664">
        <w:rPr>
          <w:rFonts w:ascii="Arial" w:hAnsi="Arial" w:cs="Arial"/>
        </w:rPr>
        <w:lastRenderedPageBreak/>
        <w:t>inadequacy of applying conventional growth models to organisations whose primary source of value is not economic.</w:t>
      </w:r>
    </w:p>
    <w:p w14:paraId="6A17CD44" w14:textId="332651AE" w:rsidR="00AA067C" w:rsidRPr="0097463C" w:rsidRDefault="00AA067C" w:rsidP="23D30664">
      <w:pPr>
        <w:spacing w:line="360" w:lineRule="auto"/>
        <w:rPr>
          <w:rFonts w:ascii="Arial" w:hAnsi="Arial" w:cs="Arial"/>
        </w:rPr>
      </w:pPr>
      <w:r w:rsidRPr="23D30664">
        <w:rPr>
          <w:rFonts w:ascii="Arial" w:hAnsi="Arial" w:cs="Arial"/>
        </w:rPr>
        <w:t>Viewed within this context, the proposed Seren Coffi Mobile Coffee Van/Bar appears to offer a compromise, seeking to reconcile the organisation’s cultural commitments with an urgent need for financial viability. Nevertheless, a more thorough scrutiny through Tidd and Bessant’s (2021) 4Ps framework brings to light deeper and more fundamental tensions embedded within the proposal.</w:t>
      </w:r>
    </w:p>
    <w:p w14:paraId="08F28DCF" w14:textId="77777777" w:rsidR="009D1B19" w:rsidRPr="0097463C" w:rsidRDefault="009D1B19" w:rsidP="23D30664">
      <w:pPr>
        <w:spacing w:line="360" w:lineRule="auto"/>
        <w:rPr>
          <w:rFonts w:ascii="Arial" w:hAnsi="Arial" w:cs="Arial"/>
        </w:rPr>
      </w:pPr>
      <w:r w:rsidRPr="23D30664">
        <w:rPr>
          <w:rFonts w:ascii="Arial" w:hAnsi="Arial" w:cs="Arial"/>
        </w:rPr>
        <w:t>Product innovation is clear in the new way people encounter Seren Coffi. However, this shift raises questions about whether mobility risks diminish the sense of place that originally made the café meaningful. Turning cultural experience into something portable may unintentionally reproduce the convenience</w:t>
      </w:r>
      <w:r>
        <w:noBreakHyphen/>
      </w:r>
      <w:r w:rsidRPr="23D30664">
        <w:rPr>
          <w:rFonts w:ascii="Arial" w:hAnsi="Arial" w:cs="Arial"/>
        </w:rPr>
        <w:t>driven consumption patterns that Seren Coffi has historically resisted.</w:t>
      </w:r>
    </w:p>
    <w:p w14:paraId="5C36EFBA" w14:textId="77777777" w:rsidR="009D1B19" w:rsidRPr="0097463C" w:rsidRDefault="009D1B19" w:rsidP="23D30664">
      <w:pPr>
        <w:spacing w:line="360" w:lineRule="auto"/>
        <w:rPr>
          <w:rFonts w:ascii="Arial" w:hAnsi="Arial" w:cs="Arial"/>
        </w:rPr>
      </w:pPr>
      <w:r w:rsidRPr="23D30664">
        <w:rPr>
          <w:rFonts w:ascii="Arial" w:hAnsi="Arial" w:cs="Arial"/>
        </w:rPr>
        <w:t>Process innovation introduces greater process flexibility, but it also threatens normalising unstable labour. Mobile trading often involves irregular hours, unpredictable demand, and physical strain conditions that could intensify, rather than ease, the founders’ existing fatigue. The assumption that mobility automatically reduces labour intensity shows a managerial optimism that deserves scrutiny.</w:t>
      </w:r>
    </w:p>
    <w:p w14:paraId="42978EE2" w14:textId="5E51FC1C" w:rsidR="009D1B19" w:rsidRPr="0097463C" w:rsidRDefault="009D1B19" w:rsidP="23D30664">
      <w:pPr>
        <w:spacing w:line="360" w:lineRule="auto"/>
        <w:rPr>
          <w:rFonts w:ascii="Arial" w:hAnsi="Arial" w:cs="Arial"/>
        </w:rPr>
      </w:pPr>
      <w:r w:rsidRPr="23D30664">
        <w:rPr>
          <w:rFonts w:ascii="Arial" w:hAnsi="Arial" w:cs="Arial"/>
        </w:rPr>
        <w:t xml:space="preserve">Position innovation reframes Seren Coffi as a presence that moves through the community rather than a stationary location. While this may restore visibility, it could also reposition the café within a more transactional, </w:t>
      </w:r>
      <w:r w:rsidR="07EEE7BB" w:rsidRPr="23D30664">
        <w:rPr>
          <w:rFonts w:ascii="Arial" w:hAnsi="Arial" w:cs="Arial"/>
        </w:rPr>
        <w:t>event-based</w:t>
      </w:r>
      <w:r w:rsidRPr="23D30664">
        <w:rPr>
          <w:rFonts w:ascii="Arial" w:hAnsi="Arial" w:cs="Arial"/>
        </w:rPr>
        <w:t xml:space="preserve"> economy rather than the slower, relational model it values.</w:t>
      </w:r>
    </w:p>
    <w:p w14:paraId="4B51458C" w14:textId="77777777" w:rsidR="009D1B19" w:rsidRPr="0097463C" w:rsidRDefault="009D1B19" w:rsidP="23D30664">
      <w:pPr>
        <w:spacing w:line="360" w:lineRule="auto"/>
        <w:rPr>
          <w:rFonts w:ascii="Arial" w:hAnsi="Arial" w:cs="Arial"/>
        </w:rPr>
      </w:pPr>
      <w:r w:rsidRPr="23D30664">
        <w:rPr>
          <w:rFonts w:ascii="Arial" w:hAnsi="Arial" w:cs="Arial"/>
        </w:rPr>
        <w:t>Paradigm innovation reshapes the organisation’s underlying identity, yet it also exposes the instability of the current model. The very need to adopt mobility suggests that wider economic pressures have undermined the existing paradigm rooted in slow hospitality and cultural connection. The mobile van may help preserve the organisation’s principles. Still, it also highlights how difficult it is for culturally oriented enterprises to survive without compromise in a system that rewards scale and output.</w:t>
      </w:r>
    </w:p>
    <w:p w14:paraId="07E5F6B6" w14:textId="76712619" w:rsidR="009D1B19" w:rsidRPr="0097463C" w:rsidRDefault="009D1B19" w:rsidP="23D30664">
      <w:pPr>
        <w:spacing w:line="360" w:lineRule="auto"/>
        <w:rPr>
          <w:rFonts w:ascii="Arial" w:hAnsi="Arial" w:cs="Arial"/>
        </w:rPr>
      </w:pPr>
      <w:r w:rsidRPr="23D30664">
        <w:rPr>
          <w:rFonts w:ascii="Arial" w:hAnsi="Arial" w:cs="Arial"/>
        </w:rPr>
        <w:t xml:space="preserve">To understand how this proposal emerged, it is helpful to consider the creative process that led to it. Glăveanu’s (2014) relational theory of creativity emphasises how creative ideas arise from interactions between people, materials, and contexts. </w:t>
      </w:r>
      <w:r w:rsidRPr="23D30664">
        <w:rPr>
          <w:rFonts w:ascii="Arial" w:hAnsi="Arial" w:cs="Arial"/>
        </w:rPr>
        <w:lastRenderedPageBreak/>
        <w:t>In Seren Coffi’s case, declining footfall, founder fatigue, and rising costs created a moment which demanded rethinking the problem's boundaries. Yet even the shift from outperforming competitors to broadening presence stays controlled by competitive logic. Puccio et al.’s (2018) argument that creativity regularly involves reimagining existing resources is relevant here, but it risks romanticising constraint. The mobile van is not simply a clever reconfiguration of assets it is also a response to structural precarity.</w:t>
      </w:r>
    </w:p>
    <w:p w14:paraId="57EFE6F3" w14:textId="2F6057A4" w:rsidR="00232E0C" w:rsidRPr="0097463C" w:rsidRDefault="009D1B19" w:rsidP="23D30664">
      <w:pPr>
        <w:spacing w:line="360" w:lineRule="auto"/>
        <w:rPr>
          <w:rFonts w:ascii="Arial" w:hAnsi="Arial" w:cs="Arial"/>
        </w:rPr>
      </w:pPr>
      <w:r w:rsidRPr="23D30664">
        <w:rPr>
          <w:rFonts w:ascii="Arial" w:hAnsi="Arial" w:cs="Arial"/>
        </w:rPr>
        <w:t>Innovation, however, cannot be fully grasped through the lens of creativity or product</w:t>
      </w:r>
      <w:r w:rsidR="00106E63" w:rsidRPr="23D30664">
        <w:rPr>
          <w:rFonts w:ascii="Arial" w:hAnsi="Arial" w:cs="Arial"/>
        </w:rPr>
        <w:t xml:space="preserve"> </w:t>
      </w:r>
      <w:r w:rsidRPr="23D30664">
        <w:rPr>
          <w:rFonts w:ascii="Arial" w:hAnsi="Arial" w:cs="Arial"/>
        </w:rPr>
        <w:t xml:space="preserve">service frameworks alone. The proposed change also demands organisational adaptation. </w:t>
      </w:r>
      <w:r w:rsidR="00232E0C" w:rsidRPr="23D30664">
        <w:rPr>
          <w:rFonts w:ascii="Arial" w:hAnsi="Arial" w:cs="Arial"/>
        </w:rPr>
        <w:t xml:space="preserve">When Lewin’s Force Field Analysis (Burnes &amp; Cooke, 2013) is applied with greater critical rigour, it highlights the pressures shaping the options available to Seren Coffi while simultaneously exposing the inadequacies of conventional change management frameworks in this context. Though the model is frequently used to map out driving and restraining forces, its binary logic tends to flatten the nuanced political and ideological tensions that are </w:t>
      </w:r>
      <w:r w:rsidR="0DD706A0" w:rsidRPr="23D30664">
        <w:rPr>
          <w:rFonts w:ascii="Arial" w:hAnsi="Arial" w:cs="Arial"/>
        </w:rPr>
        <w:t>at</w:t>
      </w:r>
      <w:r w:rsidR="00232E0C" w:rsidRPr="23D30664">
        <w:rPr>
          <w:rFonts w:ascii="Arial" w:hAnsi="Arial" w:cs="Arial"/>
        </w:rPr>
        <w:t xml:space="preserve"> work. It operates on the premise that forces are separable, measurable, and generated from within the organisation. </w:t>
      </w:r>
      <w:r w:rsidR="3C6350BA" w:rsidRPr="23D30664">
        <w:rPr>
          <w:rFonts w:ascii="Arial" w:hAnsi="Arial" w:cs="Arial"/>
        </w:rPr>
        <w:t>However</w:t>
      </w:r>
      <w:r w:rsidR="00232E0C" w:rsidRPr="23D30664">
        <w:rPr>
          <w:rFonts w:ascii="Arial" w:hAnsi="Arial" w:cs="Arial"/>
        </w:rPr>
        <w:t>, many of the pressures facing Seren Coffi, among them the imperatives of capitalist growth, market volatility, and the devaluation of cultural labour, originate not within the organisation but within the broader structural conditions of the economy.</w:t>
      </w:r>
    </w:p>
    <w:p w14:paraId="78D7F5BD" w14:textId="297BE214" w:rsidR="00232E0C" w:rsidRPr="0097463C" w:rsidRDefault="00232E0C" w:rsidP="23D30664">
      <w:pPr>
        <w:spacing w:line="360" w:lineRule="auto"/>
        <w:rPr>
          <w:rFonts w:ascii="Arial" w:hAnsi="Arial" w:cs="Arial"/>
        </w:rPr>
      </w:pPr>
    </w:p>
    <w:p w14:paraId="6BE7F298" w14:textId="3961D292" w:rsidR="009D1B19" w:rsidRPr="0097463C" w:rsidRDefault="009D1B19" w:rsidP="23D30664">
      <w:pPr>
        <w:spacing w:line="360" w:lineRule="auto"/>
        <w:rPr>
          <w:rFonts w:ascii="Arial" w:hAnsi="Arial" w:cs="Arial"/>
        </w:rPr>
      </w:pPr>
      <w:r w:rsidRPr="23D30664">
        <w:rPr>
          <w:rFonts w:ascii="Arial" w:hAnsi="Arial" w:cs="Arial"/>
        </w:rPr>
        <w:t>Driving forces include Seren Coffi’s strong community reputation, the lower financial risk of a mobile unit compared to a second venue, and the potential to generate income without extending opening hours. Yet these forces also expose deeper vulnerabilities, dependence on non</w:t>
      </w:r>
      <w:r>
        <w:noBreakHyphen/>
      </w:r>
      <w:r w:rsidRPr="23D30664">
        <w:rPr>
          <w:rFonts w:ascii="Arial" w:hAnsi="Arial" w:cs="Arial"/>
        </w:rPr>
        <w:t>market forms of value, the assumption that expansion is necessary, and the belief that mobility inherently reduces labour intensity.</w:t>
      </w:r>
    </w:p>
    <w:p w14:paraId="3C52AE20" w14:textId="4DAA2A3D" w:rsidR="009D1B19" w:rsidRPr="0097463C" w:rsidRDefault="009D1B19" w:rsidP="23D30664">
      <w:pPr>
        <w:spacing w:line="360" w:lineRule="auto"/>
        <w:rPr>
          <w:rFonts w:ascii="Arial" w:hAnsi="Arial" w:cs="Arial"/>
        </w:rPr>
      </w:pPr>
      <w:r w:rsidRPr="23D30664">
        <w:rPr>
          <w:rFonts w:ascii="Arial" w:hAnsi="Arial" w:cs="Arial"/>
        </w:rPr>
        <w:t>Restraining forces include administrative burdens, logistical complexity, seasonal instability, and the risk of diluting the café’s cultural identity. These are not simply obstacles to be managed they reflect structural inequalities that unequally impact small, values</w:t>
      </w:r>
      <w:r w:rsidR="00106E63" w:rsidRPr="23D30664">
        <w:rPr>
          <w:rFonts w:ascii="Arial" w:hAnsi="Arial" w:cs="Arial"/>
        </w:rPr>
        <w:t xml:space="preserve"> </w:t>
      </w:r>
      <w:r w:rsidRPr="23D30664">
        <w:rPr>
          <w:rFonts w:ascii="Arial" w:hAnsi="Arial" w:cs="Arial"/>
        </w:rPr>
        <w:t>driven enterprises. Lewin’s model treats them as variables to be balanced rather than symptoms of a wider economic system that privileges scale and predictability.</w:t>
      </w:r>
    </w:p>
    <w:p w14:paraId="4AEED3AC" w14:textId="77777777" w:rsidR="009D1B19" w:rsidRPr="0097463C" w:rsidRDefault="009D1B19" w:rsidP="23D30664">
      <w:pPr>
        <w:spacing w:line="360" w:lineRule="auto"/>
        <w:rPr>
          <w:rFonts w:ascii="Arial" w:hAnsi="Arial" w:cs="Arial"/>
        </w:rPr>
      </w:pPr>
      <w:r w:rsidRPr="23D30664">
        <w:rPr>
          <w:rFonts w:ascii="Arial" w:hAnsi="Arial" w:cs="Arial"/>
        </w:rPr>
        <w:lastRenderedPageBreak/>
        <w:t>More fundamentally, Lewin’s model cannot capture Seren Coffi’s lived reality. It reduces cultural identity to a variable, assumes stability where none exists, and privileges managerial rationality over emotional and cultural experience. The founders’ exhaustion, their attachment to place, and their commitment to cultural communication cannot be meaningfully represented within a mechanistic force metaphor. As Alvesson and Willmott (2012) argue, classical change models regularly obscure power relations and structural constraints, and this is evident here.</w:t>
      </w:r>
    </w:p>
    <w:p w14:paraId="473B435A" w14:textId="77777777" w:rsidR="009D1B19" w:rsidRPr="0097463C" w:rsidRDefault="009D1B19" w:rsidP="23D30664">
      <w:pPr>
        <w:spacing w:line="360" w:lineRule="auto"/>
        <w:rPr>
          <w:rFonts w:ascii="Arial" w:hAnsi="Arial" w:cs="Arial"/>
        </w:rPr>
      </w:pPr>
      <w:r w:rsidRPr="23D30664">
        <w:rPr>
          <w:rFonts w:ascii="Arial" w:hAnsi="Arial" w:cs="Arial"/>
        </w:rPr>
        <w:t>The organisation’s climate for innovation displays a similar contradiction. Historically, Seren Coffi has promoted creativity through ethical partnerships and cultural engagement, echoing the findings of Anderson et al. (2014) on the importance of positive environments. Yet current exhaustion and operational strain undermine the psychological safety required for real innovation (Newman et al., 2020). The founders’ joint decision</w:t>
      </w:r>
      <w:r>
        <w:noBreakHyphen/>
      </w:r>
      <w:r w:rsidRPr="23D30664">
        <w:rPr>
          <w:rFonts w:ascii="Arial" w:hAnsi="Arial" w:cs="Arial"/>
        </w:rPr>
        <w:t>making style, while principled, may slow adaptation at a time when resources are overstretched.</w:t>
      </w:r>
    </w:p>
    <w:p w14:paraId="4793B3AE" w14:textId="2E10CE88" w:rsidR="009D1B19" w:rsidRPr="0097463C" w:rsidRDefault="009D1B19" w:rsidP="23D30664">
      <w:pPr>
        <w:spacing w:line="360" w:lineRule="auto"/>
        <w:rPr>
          <w:rFonts w:ascii="Arial" w:hAnsi="Arial" w:cs="Arial"/>
        </w:rPr>
      </w:pPr>
      <w:r w:rsidRPr="23D30664">
        <w:rPr>
          <w:rFonts w:ascii="Arial" w:hAnsi="Arial" w:cs="Arial"/>
        </w:rPr>
        <w:t xml:space="preserve">Considered collectively, these analyses indicate that the mobile coffee van/bar is far more than a strategic innovation it is a negotiated response to deep-seated structural pressures. It works to safeguard Seren Coffi’s cultural core, yet it also lays bare the constraints of resisting capitalist growth logic from within a system that perpetually demands expansion. Ultimately, the proposal shines a light on both the resilience of Seren Coffi’s values and the structural vulnerability of small enterprises </w:t>
      </w:r>
      <w:r w:rsidR="00710698" w:rsidRPr="23D30664">
        <w:rPr>
          <w:rFonts w:ascii="Arial" w:hAnsi="Arial" w:cs="Arial"/>
        </w:rPr>
        <w:t>navigating</w:t>
      </w:r>
      <w:r w:rsidRPr="23D30664">
        <w:rPr>
          <w:rFonts w:ascii="Arial" w:hAnsi="Arial" w:cs="Arial"/>
        </w:rPr>
        <w:t xml:space="preserve"> an economic landscape that consistently undervalues the very forms of creativity it most needs to protect.</w:t>
      </w:r>
    </w:p>
    <w:p w14:paraId="68C7A060" w14:textId="77777777" w:rsidR="009D1B19" w:rsidRPr="0097463C" w:rsidRDefault="009D1B19" w:rsidP="007E1606">
      <w:pPr>
        <w:rPr>
          <w:rFonts w:ascii="Arial" w:hAnsi="Arial" w:cs="Arial"/>
        </w:rPr>
      </w:pPr>
    </w:p>
    <w:p w14:paraId="38BBD93E" w14:textId="72225F6A" w:rsidR="007E1606" w:rsidRPr="0097463C" w:rsidRDefault="007E1606" w:rsidP="007E1606">
      <w:pPr>
        <w:rPr>
          <w:rFonts w:ascii="Arial" w:hAnsi="Arial" w:cs="Arial"/>
        </w:rPr>
      </w:pPr>
    </w:p>
    <w:p w14:paraId="372AC181" w14:textId="77777777" w:rsidR="00B10FC1" w:rsidRPr="0097463C" w:rsidRDefault="00B10FC1">
      <w:pPr>
        <w:rPr>
          <w:rFonts w:ascii="Arial" w:hAnsi="Arial" w:cs="Arial"/>
        </w:rPr>
      </w:pPr>
      <w:r w:rsidRPr="0097463C">
        <w:rPr>
          <w:rFonts w:ascii="Arial" w:hAnsi="Arial" w:cs="Arial"/>
        </w:rPr>
        <w:br w:type="page"/>
      </w:r>
    </w:p>
    <w:p w14:paraId="4A803C2A" w14:textId="668C668B" w:rsidR="00B10FC1" w:rsidRPr="0097463C" w:rsidRDefault="00AA0D9C" w:rsidP="00B10FC1">
      <w:pPr>
        <w:pStyle w:val="Heading1"/>
        <w:jc w:val="center"/>
        <w:rPr>
          <w:rFonts w:ascii="Arial" w:hAnsi="Arial" w:cs="Arial"/>
          <w:b/>
          <w:bCs/>
          <w:color w:val="auto"/>
        </w:rPr>
      </w:pPr>
      <w:bookmarkStart w:id="6" w:name="_Toc226755202"/>
      <w:r w:rsidRPr="0097463C">
        <w:rPr>
          <w:rFonts w:ascii="Arial" w:hAnsi="Arial" w:cs="Arial"/>
          <w:b/>
          <w:bCs/>
          <w:color w:val="auto"/>
        </w:rPr>
        <w:lastRenderedPageBreak/>
        <w:t>SECTION 2 APPLYING AI LLM</w:t>
      </w:r>
      <w:bookmarkEnd w:id="6"/>
    </w:p>
    <w:p w14:paraId="3ED31CF6" w14:textId="542FB3FD" w:rsidR="00AA0D9C" w:rsidRPr="0097463C" w:rsidRDefault="00AA0D9C" w:rsidP="00B10FC1">
      <w:pPr>
        <w:rPr>
          <w:rFonts w:ascii="Arial" w:hAnsi="Arial" w:cs="Arial"/>
        </w:rPr>
      </w:pPr>
    </w:p>
    <w:p w14:paraId="09CD15D0" w14:textId="2F242ABE" w:rsidR="00710698" w:rsidRPr="0097463C" w:rsidRDefault="00710698" w:rsidP="23D30664">
      <w:pPr>
        <w:spacing w:line="360" w:lineRule="auto"/>
        <w:rPr>
          <w:rFonts w:ascii="Arial" w:hAnsi="Arial" w:cs="Arial"/>
        </w:rPr>
      </w:pPr>
      <w:r w:rsidRPr="23D30664">
        <w:rPr>
          <w:rFonts w:ascii="Arial" w:hAnsi="Arial" w:cs="Arial"/>
        </w:rPr>
        <w:t>The central argument is that Seren Coffi’s move from a traditional café to a mobile coffee van constituted a deliberate strategic response to the mounting unsustainability of its former business model. While the original café had long served as an important community hub, it had grown increasingly unviable due to escalating costs, equipment</w:t>
      </w:r>
      <w:r w:rsidR="00106E63" w:rsidRPr="23D30664">
        <w:rPr>
          <w:rFonts w:ascii="Arial" w:hAnsi="Arial" w:cs="Arial"/>
        </w:rPr>
        <w:t xml:space="preserve"> </w:t>
      </w:r>
      <w:r w:rsidRPr="23D30664">
        <w:rPr>
          <w:rFonts w:ascii="Arial" w:hAnsi="Arial" w:cs="Arial"/>
        </w:rPr>
        <w:t xml:space="preserve">related difficulties, and founder burnout pressures well documented in scholarship on emotional labour within small hospitality businesses (Hochschild, 1983; Maslach &amp; Leiter, 2016). These difficulties are </w:t>
      </w:r>
      <w:r w:rsidR="00575B93" w:rsidRPr="23D30664">
        <w:rPr>
          <w:rFonts w:ascii="Arial" w:hAnsi="Arial" w:cs="Arial"/>
        </w:rPr>
        <w:t xml:space="preserve">typical </w:t>
      </w:r>
      <w:r w:rsidRPr="23D30664">
        <w:rPr>
          <w:rFonts w:ascii="Arial" w:hAnsi="Arial" w:cs="Arial"/>
        </w:rPr>
        <w:t>of the broader fragilities that small enterprises commonly face (Storey, 2016; Chell, 2007). By transitioning to a mobile model, Seren Coffi honoured its foundational values while alleviating operational strain, a move that exemplifies Foss’s (2015) contention that organisations must reimagine their business models when existing structures are no longer capable of sustaining competitiveness or long-term viability.</w:t>
      </w:r>
    </w:p>
    <w:p w14:paraId="1BCA8909" w14:textId="6DE60F98" w:rsidR="00710698" w:rsidRPr="0097463C" w:rsidRDefault="00710698" w:rsidP="23D30664">
      <w:pPr>
        <w:spacing w:line="360" w:lineRule="auto"/>
        <w:rPr>
          <w:rFonts w:ascii="Arial" w:hAnsi="Arial" w:cs="Arial"/>
        </w:rPr>
      </w:pPr>
      <w:r w:rsidRPr="23D30664">
        <w:rPr>
          <w:rFonts w:ascii="Arial" w:hAnsi="Arial" w:cs="Arial"/>
        </w:rPr>
        <w:t xml:space="preserve">As I examined this idea more closely, it became apparent that Seren Coffi was operating in a saturated, intensely competitive market, which Kim and Mauborgne (2005) describe as a red ocean dominated by large, </w:t>
      </w:r>
      <w:r w:rsidR="00106E63" w:rsidRPr="23D30664">
        <w:rPr>
          <w:rFonts w:ascii="Arial" w:hAnsi="Arial" w:cs="Arial"/>
        </w:rPr>
        <w:t>well-resourced</w:t>
      </w:r>
      <w:r w:rsidRPr="23D30664">
        <w:rPr>
          <w:rFonts w:ascii="Arial" w:hAnsi="Arial" w:cs="Arial"/>
        </w:rPr>
        <w:t xml:space="preserve"> chains. This situation mirrored wider patterns of small-business vulnerability under contemporary capitalism (Srnicek, 2017). Engaging in direct competition within this environment proved both exhausting and strategically counterproductive. The mobile concept, by contrast, offered a blue ocean alternative, a distinctive and uncontested market space in which Seren Coffi’s strengths could be more clearly expressed (Kim &amp; Mauborgne, 2005). Rather than simply validating the concept, AI served to expand and enrich my understanding of what genuinely meaningful innovation might look like for Seren Coffi.</w:t>
      </w:r>
    </w:p>
    <w:p w14:paraId="6E0FCB81" w14:textId="77777777" w:rsidR="001730F8" w:rsidRPr="0097463C" w:rsidRDefault="001730F8" w:rsidP="23D30664">
      <w:pPr>
        <w:spacing w:line="360" w:lineRule="auto"/>
        <w:rPr>
          <w:rFonts w:ascii="Arial" w:hAnsi="Arial" w:cs="Arial"/>
          <w:b/>
          <w:bCs/>
        </w:rPr>
      </w:pPr>
      <w:r w:rsidRPr="23D30664">
        <w:rPr>
          <w:rFonts w:ascii="Arial" w:hAnsi="Arial" w:cs="Arial"/>
          <w:b/>
          <w:bCs/>
        </w:rPr>
        <w:t>How I Used AI to Develop the Creative Innovation</w:t>
      </w:r>
    </w:p>
    <w:p w14:paraId="43F7D8C7" w14:textId="4121E3DF" w:rsidR="00710698" w:rsidRPr="0097463C" w:rsidRDefault="00710698" w:rsidP="23D30664">
      <w:pPr>
        <w:spacing w:line="360" w:lineRule="auto"/>
        <w:rPr>
          <w:rFonts w:ascii="Arial" w:hAnsi="Arial" w:cs="Arial"/>
        </w:rPr>
      </w:pPr>
      <w:r w:rsidRPr="23D30664">
        <w:rPr>
          <w:rFonts w:ascii="Arial" w:hAnsi="Arial" w:cs="Arial"/>
        </w:rPr>
        <w:t xml:space="preserve">When I first proposed the mobile model, my reasoning was primarily grounded in its practicality, specifically the scope for cost savings, enhanced operational flexibility, and more direct customer engagement. AI, however, repositioned this transition as a fundamental reimagining of Seren Coffi’s identity, framing the mobile unit as a lively and dynamic presence capable of extending the café’s reach into new areas of the city. This reframing of the narrative from one driven by necessity to one defined by </w:t>
      </w:r>
      <w:r w:rsidRPr="23D30664">
        <w:rPr>
          <w:rFonts w:ascii="Arial" w:hAnsi="Arial" w:cs="Arial"/>
        </w:rPr>
        <w:lastRenderedPageBreak/>
        <w:t>opportunity carried considerable significance. It aligns with Turner’s (2020) view that authentic innovation requires reframing challenges, embracing uncertainty, and developing adaptive thinking in place of habitual responses. It also resonates with Albert and Whetten’s (1985) argument that organisational identity is anchored in what is central, distinctive, and enduring, alongside Gioia, Schultz, and Corley’s (2000) contention that identity is reshaped in meaningful ways during periods of substantial change.</w:t>
      </w:r>
    </w:p>
    <w:p w14:paraId="263C0072" w14:textId="77777777" w:rsidR="00C945FC" w:rsidRPr="0097463C" w:rsidRDefault="00C945FC" w:rsidP="23D30664">
      <w:pPr>
        <w:spacing w:line="360" w:lineRule="auto"/>
        <w:rPr>
          <w:rFonts w:ascii="Arial" w:hAnsi="Arial" w:cs="Arial"/>
        </w:rPr>
      </w:pPr>
    </w:p>
    <w:p w14:paraId="69737C76" w14:textId="1991DC09" w:rsidR="00E136D0" w:rsidRPr="0097463C" w:rsidRDefault="00E136D0" w:rsidP="23D30664">
      <w:pPr>
        <w:spacing w:line="360" w:lineRule="auto"/>
        <w:rPr>
          <w:rFonts w:ascii="Arial" w:hAnsi="Arial" w:cs="Arial"/>
        </w:rPr>
      </w:pPr>
      <w:r w:rsidRPr="23D30664">
        <w:rPr>
          <w:rFonts w:ascii="Arial" w:hAnsi="Arial" w:cs="Arial"/>
        </w:rPr>
        <w:t>AI introduced a phased, rational approach. It did not assume the café would buy a van, which was unrealistic given the caf</w:t>
      </w:r>
      <w:r w:rsidR="00106E63" w:rsidRPr="23D30664">
        <w:rPr>
          <w:rFonts w:ascii="Arial" w:hAnsi="Arial" w:cs="Arial"/>
        </w:rPr>
        <w:t>e</w:t>
      </w:r>
      <w:r w:rsidRPr="23D30664">
        <w:rPr>
          <w:rFonts w:ascii="Arial" w:hAnsi="Arial" w:cs="Arial"/>
        </w:rPr>
        <w:t>'s finances. Instead, it recommended renting a vehicle and refurbishing a trailer. This showed lateral thinking within the set boundaries, including the need to keep existing leadership, governance, and suppliers. AI’s ability to generate solutions within constraints aligns with research on creativity, which finds that creativity emerges from constraints (Stokes, 2005; Amabile &amp; Pratt, 2016; Hargadon &amp; Bechky, 2006). Trott (2016) also notes that innovation arises from recombining existing resources rather than from acquiring new ones. This confirms Seren Coffi could innovate without major capital investment.</w:t>
      </w:r>
    </w:p>
    <w:p w14:paraId="0E7AA8A4" w14:textId="77777777" w:rsidR="00E136D0" w:rsidRPr="0097463C" w:rsidRDefault="00E136D0" w:rsidP="23D30664">
      <w:pPr>
        <w:spacing w:line="360" w:lineRule="auto"/>
        <w:rPr>
          <w:rFonts w:ascii="Arial" w:hAnsi="Arial" w:cs="Arial"/>
        </w:rPr>
      </w:pPr>
      <w:r w:rsidRPr="23D30664">
        <w:rPr>
          <w:rFonts w:ascii="Arial" w:hAnsi="Arial" w:cs="Arial"/>
        </w:rPr>
        <w:t>This development matches Blue Ocean Strategy’s focus on redrawing market boundaries (Kim &amp; Mauborgne, 2005). AI suggested mobile formats for office parks, festivals, and community events, defining a new value space. In this space, Seren Coffi offers advantages in mobility, cultural presence, and ethical storytelling, rather than competing with chain cafés. Research on pop up and mobile retail highlights flexibility, innovation, and placemaking (Warnaby &amp; Shi, 2019; Surchi, 2011). Manners-Bell and Lyon (2022) show that mobility, adaptable logistics, and innovative business models let organisations operate beyond fixed sites. This evidence supports the use of a mobile coffee unit as a strategic, innovative response to market pressures.</w:t>
      </w:r>
    </w:p>
    <w:p w14:paraId="4518E5A0" w14:textId="38FE5990" w:rsidR="001730F8" w:rsidRPr="0097463C" w:rsidRDefault="001730F8" w:rsidP="00E136D0">
      <w:pPr>
        <w:rPr>
          <w:rFonts w:ascii="Arial" w:hAnsi="Arial" w:cs="Arial"/>
        </w:rPr>
      </w:pPr>
      <w:r w:rsidRPr="0097463C">
        <w:rPr>
          <w:rFonts w:ascii="Arial" w:hAnsi="Arial" w:cs="Arial"/>
          <w:b/>
          <w:bCs/>
        </w:rPr>
        <w:t>Appraisal of AI’s Influence on My Innovative Concept</w:t>
      </w:r>
    </w:p>
    <w:p w14:paraId="12A45307" w14:textId="7BE6174D" w:rsidR="00E136D0" w:rsidRPr="0097463C" w:rsidRDefault="00E136D0" w:rsidP="23D30664">
      <w:pPr>
        <w:spacing w:line="360" w:lineRule="auto"/>
        <w:rPr>
          <w:rFonts w:ascii="Arial" w:hAnsi="Arial" w:cs="Arial"/>
        </w:rPr>
      </w:pPr>
      <w:r w:rsidRPr="23D30664">
        <w:rPr>
          <w:rFonts w:ascii="Arial" w:hAnsi="Arial" w:cs="Arial"/>
        </w:rPr>
        <w:t xml:space="preserve">AI expanded the concept by emphasising narrative. It identified Seren Coffi’s identity, bilingual signage, ethical sourcing, and community principles as foundational. Any strategy needed to preserve and amplify these aspects. This narrative focus ensured the innovation stayed authentic, not just functional. It echoes Glăveanu’s (2014) </w:t>
      </w:r>
      <w:r w:rsidRPr="23D30664">
        <w:rPr>
          <w:rFonts w:ascii="Arial" w:hAnsi="Arial" w:cs="Arial"/>
        </w:rPr>
        <w:lastRenderedPageBreak/>
        <w:t>relational theory of creativity. This theory emphasises the interplay between people, materials, and context. It also mirrors Weick’s (1995) argument that organisations make sense of change through narrative.</w:t>
      </w:r>
    </w:p>
    <w:p w14:paraId="4511F6E7" w14:textId="77777777" w:rsidR="00E136D0" w:rsidRPr="0097463C" w:rsidRDefault="00E136D0" w:rsidP="23D30664">
      <w:pPr>
        <w:spacing w:line="360" w:lineRule="auto"/>
        <w:rPr>
          <w:rFonts w:ascii="Arial" w:hAnsi="Arial" w:cs="Arial"/>
        </w:rPr>
      </w:pPr>
      <w:r w:rsidRPr="23D30664">
        <w:rPr>
          <w:rFonts w:ascii="Arial" w:hAnsi="Arial" w:cs="Arial"/>
        </w:rPr>
        <w:t>AI noted several operational risks. These included regulatory hurdles for mobile trading, the physical toll of working from a van, and the vulnerability of equipment. These practical issues grounded the concept in reality. Without this critical view, the mobile model might have been over idealised. AI also warned of identity drift, suggesting that a mobile format could undermine Seren Coffi’s distinctive character and atmosphere. This led to a deeper assessment of what makes the café unique. Taken together, these risks show the limits of a blue ocean strategy. Finding a new market space eases competition but does not remove complexity.</w:t>
      </w:r>
    </w:p>
    <w:p w14:paraId="5D39E112" w14:textId="4610B8AF" w:rsidR="00E136D0" w:rsidRPr="0097463C" w:rsidRDefault="00E136D0" w:rsidP="23D30664">
      <w:pPr>
        <w:spacing w:line="360" w:lineRule="auto"/>
        <w:rPr>
          <w:rFonts w:ascii="Arial" w:hAnsi="Arial" w:cs="Arial"/>
        </w:rPr>
      </w:pPr>
      <w:r w:rsidRPr="23D30664">
        <w:rPr>
          <w:rFonts w:ascii="Arial" w:hAnsi="Arial" w:cs="Arial"/>
        </w:rPr>
        <w:t>AI identified benefits that supported the original idea that the mobile model could ease founder pressure, reduce overhead costs, and increase visibility. More importantly, mobility would reinforce Seren Coffi’s identity by enabling engagement with new communities. This demonstrated that the move proactively reflected the cafe’s values. Research supports that innovation is often motivated by identity work and value preservation (Peredo &amp; Chrisman, 2006; Lampel, Lant &amp; Shamsie, 2000). Chesbrough (2014) further argues that innovation is strongest when organisations draw on existing strengths and community bonds instead of seeking novelty for its own sake.</w:t>
      </w:r>
    </w:p>
    <w:p w14:paraId="107C51A0" w14:textId="77777777" w:rsidR="00E136D0" w:rsidRPr="0097463C" w:rsidRDefault="00E136D0" w:rsidP="23D30664">
      <w:pPr>
        <w:spacing w:line="360" w:lineRule="auto"/>
        <w:rPr>
          <w:rFonts w:ascii="Arial" w:hAnsi="Arial" w:cs="Arial"/>
        </w:rPr>
      </w:pPr>
      <w:r w:rsidRPr="23D30664">
        <w:rPr>
          <w:rFonts w:ascii="Arial" w:hAnsi="Arial" w:cs="Arial"/>
        </w:rPr>
        <w:t>AI’s approach to narrative was especially striking. It framed the move as an expression of resilience rather than a sign of decline. This showed that how a change is communicated can matter as much as its operational aspects in creative innovation. This idea resonates with the work of Garud, Gehman, and Giuliani (2014) on narrative and innovation. It prompted me to focus not only on the logistics of the transition but also on how to communicate it. This would help sustain and deepen community support.</w:t>
      </w:r>
    </w:p>
    <w:p w14:paraId="0C5411B0" w14:textId="4B15FBD1" w:rsidR="00E136D0" w:rsidRPr="0097463C" w:rsidRDefault="00E136D0" w:rsidP="23D30664">
      <w:pPr>
        <w:spacing w:line="360" w:lineRule="auto"/>
        <w:rPr>
          <w:rFonts w:ascii="Arial" w:hAnsi="Arial" w:cs="Arial"/>
        </w:rPr>
      </w:pPr>
      <w:r w:rsidRPr="23D30664">
        <w:rPr>
          <w:rFonts w:ascii="Arial" w:hAnsi="Arial" w:cs="Arial"/>
        </w:rPr>
        <w:t xml:space="preserve">The most substantial challenge arose when AI proposed a different vision, turning Seren Coffi into a community-supported cultural house rather than a mobile unit. This was a big change. It meant cutting hours, adopting a membership model, hosting events, and making the café a community hub rather than a typical business. This </w:t>
      </w:r>
      <w:r w:rsidRPr="23D30664">
        <w:rPr>
          <w:rFonts w:ascii="Arial" w:hAnsi="Arial" w:cs="Arial"/>
        </w:rPr>
        <w:lastRenderedPageBreak/>
        <w:t>idea followed Peredo and Chrisman's (2006) view of businesses focused on social good and group benefit.</w:t>
      </w:r>
    </w:p>
    <w:p w14:paraId="10374703" w14:textId="77777777" w:rsidR="00E136D0" w:rsidRPr="0097463C" w:rsidRDefault="00E136D0" w:rsidP="23D30664">
      <w:pPr>
        <w:spacing w:line="360" w:lineRule="auto"/>
        <w:rPr>
          <w:rFonts w:ascii="Arial" w:hAnsi="Arial" w:cs="Arial"/>
        </w:rPr>
      </w:pPr>
      <w:r w:rsidRPr="23D30664">
        <w:rPr>
          <w:rFonts w:ascii="Arial" w:hAnsi="Arial" w:cs="Arial"/>
        </w:rPr>
        <w:t>This alternative was also a blue ocean strategy. The cultural house model redefined what a café could offer. It moved away from competing on speed or convenience and focused on creating a sense of belonging. Coffee became a cultural touchstone, not just a commodity. This fits with research on experience-based value creation (Russo Spena, Caridà &amp; Colurcio, 2012).</w:t>
      </w:r>
    </w:p>
    <w:p w14:paraId="33ABE8CD" w14:textId="1A096F28" w:rsidR="00E136D0" w:rsidRPr="0097463C" w:rsidRDefault="00E136D0" w:rsidP="23D30664">
      <w:pPr>
        <w:spacing w:line="360" w:lineRule="auto"/>
        <w:rPr>
          <w:rFonts w:ascii="Arial" w:hAnsi="Arial" w:cs="Arial"/>
        </w:rPr>
      </w:pPr>
      <w:r w:rsidRPr="23D30664">
        <w:rPr>
          <w:rFonts w:ascii="Arial" w:hAnsi="Arial" w:cs="Arial"/>
        </w:rPr>
        <w:t xml:space="preserve">AI has brought several successes to creative innovation. It provided structure by phrasing ideas, noting risks, and describing benefits. This made the innovation more coherent and actionable. AI also showed emotional intelligence by recognising how fatigue, attachment, and identity can shape creative solutions. Research on AI-supported </w:t>
      </w:r>
      <w:r w:rsidR="3F348E9E" w:rsidRPr="23D30664">
        <w:rPr>
          <w:rFonts w:ascii="Arial" w:hAnsi="Arial" w:cs="Arial"/>
        </w:rPr>
        <w:t>decision-making</w:t>
      </w:r>
      <w:r w:rsidRPr="23D30664">
        <w:rPr>
          <w:rFonts w:ascii="Arial" w:hAnsi="Arial" w:cs="Arial"/>
        </w:rPr>
        <w:t xml:space="preserve"> shows that AI can broaden thinking and generate alternatives (Shrestha, Ben-Menahem &amp; von Krogh, 2019; Brynjolfsson &amp; McAfee, 2017; Davenport &amp; Ronanki, 2018).</w:t>
      </w:r>
    </w:p>
    <w:p w14:paraId="650EC87A" w14:textId="1FDCDF4E" w:rsidR="00E136D0" w:rsidRPr="0097463C" w:rsidRDefault="00E136D0" w:rsidP="23D30664">
      <w:pPr>
        <w:spacing w:line="360" w:lineRule="auto"/>
        <w:rPr>
          <w:rFonts w:ascii="Arial" w:hAnsi="Arial" w:cs="Arial"/>
        </w:rPr>
      </w:pPr>
      <w:r w:rsidRPr="23D30664">
        <w:rPr>
          <w:rFonts w:ascii="Arial" w:hAnsi="Arial" w:cs="Arial"/>
        </w:rPr>
        <w:t>Despite these successes, some limitations appeared. AI sometimes idealised solutions, first presenting the mobile model with enthusiasm that downplayed practical challenges. Its critical perspective emerged later, suggesting that AI may focus on coherence and optimism rather than harsh realities. Another limit is that AI lacks lived experience. It can analyse and synthesise, but it cannot experience a cold, foggy February day in Cardiff or understand the emotions of closing a beloved caf</w:t>
      </w:r>
      <w:r w:rsidR="41747D15" w:rsidRPr="23D30664">
        <w:rPr>
          <w:rFonts w:ascii="Arial" w:hAnsi="Arial" w:cs="Arial"/>
        </w:rPr>
        <w:t>e</w:t>
      </w:r>
      <w:r w:rsidRPr="23D30664">
        <w:rPr>
          <w:rFonts w:ascii="Arial" w:hAnsi="Arial" w:cs="Arial"/>
        </w:rPr>
        <w:t>. Its insights need human interpretation. AI also generates solutions that may be elegant but operationally complex. For example, the cultural</w:t>
      </w:r>
      <w:r w:rsidR="00496CF7" w:rsidRPr="23D30664">
        <w:rPr>
          <w:rFonts w:ascii="Arial" w:hAnsi="Arial" w:cs="Arial"/>
        </w:rPr>
        <w:t xml:space="preserve"> </w:t>
      </w:r>
      <w:r w:rsidRPr="23D30664">
        <w:rPr>
          <w:rFonts w:ascii="Arial" w:hAnsi="Arial" w:cs="Arial"/>
        </w:rPr>
        <w:t>house model is meaningful but requires major coordination, storytelling, and community management. AI may not always account for the labour these ideas demand.</w:t>
      </w:r>
    </w:p>
    <w:p w14:paraId="032DDF85" w14:textId="77777777" w:rsidR="00E136D0" w:rsidRPr="0097463C" w:rsidRDefault="00E136D0" w:rsidP="23D30664">
      <w:pPr>
        <w:spacing w:line="360" w:lineRule="auto"/>
        <w:rPr>
          <w:rFonts w:ascii="Arial" w:hAnsi="Arial" w:cs="Arial"/>
        </w:rPr>
      </w:pPr>
      <w:r w:rsidRPr="23D30664">
        <w:rPr>
          <w:rFonts w:ascii="Arial" w:hAnsi="Arial" w:cs="Arial"/>
        </w:rPr>
        <w:t>AI’s creative capacity is constrained by the information it receives. It cannot understand the founders’ personalities or objectives unless these are explicitly communicated. Consequently, its recommendations require human judgment.</w:t>
      </w:r>
    </w:p>
    <w:p w14:paraId="11E493B6" w14:textId="078C9B04" w:rsidR="00E136D0" w:rsidRPr="0097463C" w:rsidRDefault="00E136D0" w:rsidP="23D30664">
      <w:pPr>
        <w:spacing w:line="360" w:lineRule="auto"/>
        <w:rPr>
          <w:rFonts w:ascii="Arial" w:hAnsi="Arial" w:cs="Arial"/>
        </w:rPr>
      </w:pPr>
      <w:r w:rsidRPr="23D30664">
        <w:rPr>
          <w:rFonts w:ascii="Arial" w:hAnsi="Arial" w:cs="Arial"/>
        </w:rPr>
        <w:t>Utilising AI to develop and assess Seren Coffi’s creative innovation proved highly productive. Key takeaways include AI’s ability to expand ideas, challenge assumptions, suggest alternatives, and deepen analysis. However, AI’s recommendations should be viewed as starting points for human decision</w:t>
      </w:r>
      <w:r>
        <w:noBreakHyphen/>
      </w:r>
      <w:r w:rsidRPr="23D30664">
        <w:rPr>
          <w:rFonts w:ascii="Arial" w:hAnsi="Arial" w:cs="Arial"/>
        </w:rPr>
        <w:t xml:space="preserve">making rather than definite solutions. The mobile model remains a strong and viable </w:t>
      </w:r>
      <w:r w:rsidRPr="23D30664">
        <w:rPr>
          <w:rFonts w:ascii="Arial" w:hAnsi="Arial" w:cs="Arial"/>
        </w:rPr>
        <w:lastRenderedPageBreak/>
        <w:t>innovation, but the process revealed that it is not the sole option. Chesbrough (2014). The cultural</w:t>
      </w:r>
      <w:r w:rsidR="00496CF7" w:rsidRPr="23D30664">
        <w:rPr>
          <w:rFonts w:ascii="Arial" w:hAnsi="Arial" w:cs="Arial"/>
        </w:rPr>
        <w:t xml:space="preserve"> </w:t>
      </w:r>
      <w:r w:rsidRPr="23D30664">
        <w:rPr>
          <w:rFonts w:ascii="Arial" w:hAnsi="Arial" w:cs="Arial"/>
        </w:rPr>
        <w:t>house model presents a compelling alternative that may better preserve the café’s identity. Both approaches represent blue ocean strategies, strategic shifts into uncontested spaces where Seren Coffi’s values, identity, and community role can thrive without being overshadowed by larger competitors.</w:t>
      </w:r>
    </w:p>
    <w:p w14:paraId="09036EE9" w14:textId="77777777" w:rsidR="00E136D0" w:rsidRPr="0097463C" w:rsidRDefault="00E136D0" w:rsidP="23D30664">
      <w:pPr>
        <w:spacing w:line="360" w:lineRule="auto"/>
        <w:rPr>
          <w:rFonts w:ascii="Arial" w:hAnsi="Arial" w:cs="Arial"/>
        </w:rPr>
      </w:pPr>
      <w:r w:rsidRPr="23D30664">
        <w:rPr>
          <w:rFonts w:ascii="Arial" w:hAnsi="Arial" w:cs="Arial"/>
        </w:rPr>
        <w:t xml:space="preserve">In this context, AI served as a tool that contributed clarity, challenge, and creativity to a complex problem. While the final decision remains with the founders, engaging with AI has made that decision more informed, more reflective, and more closely aligned with the values that define Seren Coffi.       </w:t>
      </w:r>
    </w:p>
    <w:p w14:paraId="63C29731" w14:textId="77777777" w:rsidR="00E136D0" w:rsidRPr="0097463C" w:rsidRDefault="00E136D0" w:rsidP="00E136D0">
      <w:pPr>
        <w:rPr>
          <w:rFonts w:ascii="Arial" w:hAnsi="Arial" w:cs="Arial"/>
        </w:rPr>
      </w:pPr>
      <w:r w:rsidRPr="0097463C">
        <w:rPr>
          <w:rFonts w:ascii="Arial" w:hAnsi="Arial" w:cs="Arial"/>
        </w:rPr>
        <w:t xml:space="preserve">    </w:t>
      </w:r>
    </w:p>
    <w:p w14:paraId="3ED3DF17" w14:textId="77777777" w:rsidR="007A55AD" w:rsidRPr="0097463C" w:rsidRDefault="007A55AD" w:rsidP="007A55AD">
      <w:pPr>
        <w:pStyle w:val="NormalWeb"/>
        <w:rPr>
          <w:rFonts w:ascii="Arial" w:hAnsi="Arial" w:cs="Arial"/>
        </w:rPr>
      </w:pPr>
    </w:p>
    <w:p w14:paraId="7B1170AC" w14:textId="77777777" w:rsidR="007A55AD" w:rsidRPr="0097463C" w:rsidRDefault="007A55AD" w:rsidP="007A55AD">
      <w:pPr>
        <w:pStyle w:val="NormalWeb"/>
        <w:rPr>
          <w:rFonts w:ascii="Arial" w:hAnsi="Arial" w:cs="Arial"/>
        </w:rPr>
      </w:pPr>
    </w:p>
    <w:p w14:paraId="47085208" w14:textId="77777777" w:rsidR="007A55AD" w:rsidRPr="0097463C" w:rsidRDefault="007A55AD" w:rsidP="007A55AD">
      <w:pPr>
        <w:pStyle w:val="NormalWeb"/>
        <w:rPr>
          <w:rFonts w:ascii="Arial" w:hAnsi="Arial" w:cs="Arial"/>
        </w:rPr>
      </w:pPr>
    </w:p>
    <w:p w14:paraId="1C12DB17" w14:textId="77777777" w:rsidR="007A55AD" w:rsidRPr="0097463C" w:rsidRDefault="007A55AD" w:rsidP="007A55AD">
      <w:pPr>
        <w:pStyle w:val="NormalWeb"/>
        <w:rPr>
          <w:rFonts w:ascii="Arial" w:hAnsi="Arial" w:cs="Arial"/>
        </w:rPr>
      </w:pPr>
    </w:p>
    <w:p w14:paraId="30E58279" w14:textId="77777777" w:rsidR="007A55AD" w:rsidRPr="0097463C" w:rsidRDefault="007A55AD" w:rsidP="007A55AD">
      <w:pPr>
        <w:pStyle w:val="NormalWeb"/>
        <w:rPr>
          <w:rFonts w:ascii="Arial" w:hAnsi="Arial" w:cs="Arial"/>
        </w:rPr>
      </w:pPr>
    </w:p>
    <w:p w14:paraId="62D5B987" w14:textId="77777777" w:rsidR="007A55AD" w:rsidRPr="0097463C" w:rsidRDefault="007A55AD" w:rsidP="007A55AD">
      <w:pPr>
        <w:pStyle w:val="NormalWeb"/>
        <w:rPr>
          <w:rFonts w:ascii="Arial" w:hAnsi="Arial" w:cs="Arial"/>
        </w:rPr>
      </w:pPr>
    </w:p>
    <w:p w14:paraId="4D42CA18" w14:textId="77777777" w:rsidR="007A55AD" w:rsidRPr="0097463C" w:rsidRDefault="007A55AD" w:rsidP="007A55AD">
      <w:pPr>
        <w:pStyle w:val="NormalWeb"/>
        <w:rPr>
          <w:rFonts w:ascii="Arial" w:hAnsi="Arial" w:cs="Arial"/>
        </w:rPr>
      </w:pPr>
    </w:p>
    <w:p w14:paraId="12B39FEE" w14:textId="77777777" w:rsidR="007A55AD" w:rsidRPr="0097463C" w:rsidRDefault="007A55AD" w:rsidP="007A55AD">
      <w:pPr>
        <w:pStyle w:val="NormalWeb"/>
        <w:rPr>
          <w:rFonts w:ascii="Arial" w:hAnsi="Arial" w:cs="Arial"/>
        </w:rPr>
      </w:pPr>
    </w:p>
    <w:p w14:paraId="17EF925C" w14:textId="77777777" w:rsidR="007A55AD" w:rsidRPr="0097463C" w:rsidRDefault="007A55AD" w:rsidP="007A55AD">
      <w:pPr>
        <w:pStyle w:val="NormalWeb"/>
        <w:rPr>
          <w:rFonts w:ascii="Arial" w:hAnsi="Arial" w:cs="Arial"/>
        </w:rPr>
      </w:pPr>
    </w:p>
    <w:p w14:paraId="7BCEE391" w14:textId="77777777" w:rsidR="007A55AD" w:rsidRPr="0097463C" w:rsidRDefault="007A55AD" w:rsidP="007A55AD">
      <w:pPr>
        <w:pStyle w:val="NormalWeb"/>
        <w:rPr>
          <w:rFonts w:ascii="Arial" w:hAnsi="Arial" w:cs="Arial"/>
        </w:rPr>
      </w:pPr>
    </w:p>
    <w:p w14:paraId="6C7B2CFC" w14:textId="77777777" w:rsidR="007A55AD" w:rsidRPr="0097463C" w:rsidRDefault="007A55AD" w:rsidP="007A55AD">
      <w:pPr>
        <w:pStyle w:val="NormalWeb"/>
        <w:rPr>
          <w:rFonts w:ascii="Arial" w:hAnsi="Arial" w:cs="Arial"/>
        </w:rPr>
      </w:pPr>
    </w:p>
    <w:p w14:paraId="74F1E39A" w14:textId="77777777" w:rsidR="007A55AD" w:rsidRPr="0097463C" w:rsidRDefault="007A55AD" w:rsidP="007A55AD">
      <w:pPr>
        <w:pStyle w:val="NormalWeb"/>
        <w:rPr>
          <w:rFonts w:ascii="Arial" w:hAnsi="Arial" w:cs="Arial"/>
        </w:rPr>
      </w:pPr>
    </w:p>
    <w:p w14:paraId="291CCC8C" w14:textId="50DFDE7D" w:rsidR="00482D8F" w:rsidRDefault="00482D8F" w:rsidP="00860B2D">
      <w:pPr>
        <w:pStyle w:val="Heading1"/>
        <w:jc w:val="center"/>
        <w:rPr>
          <w:rFonts w:ascii="Arial" w:hAnsi="Arial" w:cs="Arial"/>
          <w:b/>
          <w:bCs/>
          <w:color w:val="auto"/>
        </w:rPr>
      </w:pPr>
      <w:bookmarkStart w:id="7" w:name="_Toc226755203"/>
    </w:p>
    <w:p w14:paraId="37675420" w14:textId="77777777" w:rsidR="00482D8F" w:rsidRPr="00482D8F" w:rsidRDefault="00482D8F" w:rsidP="00482D8F"/>
    <w:p w14:paraId="7798C55F" w14:textId="51EA6B22" w:rsidR="00D5662B" w:rsidRPr="0097463C" w:rsidRDefault="00D5662B" w:rsidP="00860B2D">
      <w:pPr>
        <w:pStyle w:val="Heading1"/>
        <w:jc w:val="center"/>
        <w:rPr>
          <w:rFonts w:ascii="Arial" w:hAnsi="Arial" w:cs="Arial"/>
          <w:b/>
          <w:bCs/>
          <w:color w:val="auto"/>
        </w:rPr>
      </w:pPr>
      <w:r w:rsidRPr="0097463C">
        <w:rPr>
          <w:rFonts w:ascii="Arial" w:hAnsi="Arial" w:cs="Arial"/>
          <w:b/>
          <w:bCs/>
          <w:color w:val="auto"/>
        </w:rPr>
        <w:lastRenderedPageBreak/>
        <w:t>CONCLUSION</w:t>
      </w:r>
      <w:bookmarkEnd w:id="7"/>
    </w:p>
    <w:p w14:paraId="5D1706D4" w14:textId="61304B2C" w:rsidR="007A55AD" w:rsidRPr="0097463C" w:rsidRDefault="007A55AD" w:rsidP="23D30664">
      <w:pPr>
        <w:pStyle w:val="NormalWeb"/>
        <w:spacing w:line="360" w:lineRule="auto"/>
        <w:rPr>
          <w:rFonts w:ascii="Arial" w:hAnsi="Arial" w:cs="Arial"/>
        </w:rPr>
      </w:pPr>
      <w:r w:rsidRPr="23D30664">
        <w:rPr>
          <w:rFonts w:ascii="Arial" w:hAnsi="Arial" w:cs="Arial"/>
        </w:rPr>
        <w:t>Seren Coffi’s situation brings into focus the deeply human challenges that arise when creativity and innovation collide with the structural pressures facing small, values driven enterprises. What began as a culturally rooted, community centred café has increasingly struggled to sustain its mission in the face of rising operational demands, founder fatigue, and a market environment that rewards speed and efficiency over connection and care. These tensions, traced throughout the analysis, reveal how external pressures have gradually eroded the stability of a business built on relational value rather than transactional throughput. The strain is not merely financial it is emotional, cultural, and existential, touching the very identity of the enterprise.</w:t>
      </w:r>
    </w:p>
    <w:p w14:paraId="576DC882" w14:textId="7BAFCDF6" w:rsidR="007A55AD" w:rsidRPr="0097463C" w:rsidRDefault="007A55AD" w:rsidP="23D30664">
      <w:pPr>
        <w:pStyle w:val="NormalWeb"/>
        <w:spacing w:line="360" w:lineRule="auto"/>
        <w:rPr>
          <w:rFonts w:ascii="Arial" w:hAnsi="Arial" w:cs="Arial"/>
        </w:rPr>
      </w:pPr>
      <w:r w:rsidRPr="23D30664">
        <w:rPr>
          <w:rFonts w:ascii="Arial" w:hAnsi="Arial" w:cs="Arial"/>
        </w:rPr>
        <w:t xml:space="preserve">Within this context, the mobile coffee van emerges as both a practical response and a symbolically charged shift. On one hand, it offers a viable route toward financial flexibility, reduced overheads, and new opportunities for engagement. On the other, it raises legitimate concerns about the potential dilution of the sense of place that once defined Seren Coffi. The café has never been just a site of consumption it has been a space of belonging, language, and cultural presence. Moving into a </w:t>
      </w:r>
      <w:r w:rsidR="1ABEEA69" w:rsidRPr="23D30664">
        <w:rPr>
          <w:rFonts w:ascii="Arial" w:hAnsi="Arial" w:cs="Arial"/>
        </w:rPr>
        <w:t>mobile format risk</w:t>
      </w:r>
      <w:r w:rsidRPr="23D30664">
        <w:rPr>
          <w:rFonts w:ascii="Arial" w:hAnsi="Arial" w:cs="Arial"/>
        </w:rPr>
        <w:t xml:space="preserve"> loosening these anchors. This duality underscores a central insight of the study innovation is rarely a neutral or purely strategic act. It is a negotiation between what an organisation needs to survive and what it hopes to preserve.</w:t>
      </w:r>
    </w:p>
    <w:p w14:paraId="29B206BC" w14:textId="6B4473F7" w:rsidR="007A55AD" w:rsidRPr="0097463C" w:rsidRDefault="007A55AD" w:rsidP="23D30664">
      <w:pPr>
        <w:pStyle w:val="NormalWeb"/>
        <w:spacing w:line="360" w:lineRule="auto"/>
        <w:rPr>
          <w:rFonts w:ascii="Arial" w:hAnsi="Arial" w:cs="Arial"/>
        </w:rPr>
      </w:pPr>
      <w:r w:rsidRPr="23D30664">
        <w:rPr>
          <w:rFonts w:ascii="Arial" w:hAnsi="Arial" w:cs="Arial"/>
        </w:rPr>
        <w:t xml:space="preserve">The application of the 4Ps, Force Field Analysis, and relational theories of creativity makes clear that the proposed innovation is not a simple operational </w:t>
      </w:r>
      <w:r w:rsidR="2080310C" w:rsidRPr="23D30664">
        <w:rPr>
          <w:rFonts w:ascii="Arial" w:hAnsi="Arial" w:cs="Arial"/>
        </w:rPr>
        <w:t>adjustment,</w:t>
      </w:r>
      <w:r w:rsidRPr="23D30664">
        <w:rPr>
          <w:rFonts w:ascii="Arial" w:hAnsi="Arial" w:cs="Arial"/>
        </w:rPr>
        <w:t xml:space="preserve"> but a response shaped by deep rooted structural constraints. The 4Ps Highlights how personal exhaustion, creative processes, the proposed mobile product, and external pressures intersect. Force Field Analysis reveals the push and </w:t>
      </w:r>
      <w:r w:rsidR="7ACBA918" w:rsidRPr="23D30664">
        <w:rPr>
          <w:rFonts w:ascii="Arial" w:hAnsi="Arial" w:cs="Arial"/>
        </w:rPr>
        <w:t>pulls</w:t>
      </w:r>
      <w:r w:rsidRPr="23D30664">
        <w:rPr>
          <w:rFonts w:ascii="Arial" w:hAnsi="Arial" w:cs="Arial"/>
        </w:rPr>
        <w:t xml:space="preserve"> between forces that support change and those that resist it, highlighting the emotional and cultural stakes involved. Relational creativity further emphasises that Seren Coffi’s identity is co</w:t>
      </w:r>
      <w:r>
        <w:noBreakHyphen/>
      </w:r>
      <w:r w:rsidRPr="23D30664">
        <w:rPr>
          <w:rFonts w:ascii="Arial" w:hAnsi="Arial" w:cs="Arial"/>
        </w:rPr>
        <w:t>constructed through interactions between people, materials, and place, meaning any innovation must honour these relationships rather than override them.</w:t>
      </w:r>
    </w:p>
    <w:p w14:paraId="2DB9162B" w14:textId="77777777" w:rsidR="007A55AD" w:rsidRPr="0097463C" w:rsidRDefault="007A55AD" w:rsidP="23D30664">
      <w:pPr>
        <w:pStyle w:val="NormalWeb"/>
        <w:spacing w:line="360" w:lineRule="auto"/>
        <w:rPr>
          <w:rFonts w:ascii="Arial" w:hAnsi="Arial" w:cs="Arial"/>
        </w:rPr>
      </w:pPr>
      <w:r w:rsidRPr="23D30664">
        <w:rPr>
          <w:rFonts w:ascii="Arial" w:hAnsi="Arial" w:cs="Arial"/>
        </w:rPr>
        <w:t>AI played a meaningful role in this process by widening the conceptual space, reframing the problem, and proposing alternative models such as the cultural</w:t>
      </w:r>
      <w:r>
        <w:noBreakHyphen/>
      </w:r>
      <w:r w:rsidRPr="23D30664">
        <w:rPr>
          <w:rFonts w:ascii="Arial" w:hAnsi="Arial" w:cs="Arial"/>
        </w:rPr>
        <w:t xml:space="preserve">house </w:t>
      </w:r>
      <w:r w:rsidRPr="23D30664">
        <w:rPr>
          <w:rFonts w:ascii="Arial" w:hAnsi="Arial" w:cs="Arial"/>
        </w:rPr>
        <w:lastRenderedPageBreak/>
        <w:t xml:space="preserve">concept. Yet its limitations were equally evident. While AI can generate possibilities, it cannot feel the weight of community expectations or understand the lived experience of running a </w:t>
      </w:r>
      <w:proofErr w:type="gramStart"/>
      <w:r w:rsidRPr="23D30664">
        <w:rPr>
          <w:rFonts w:ascii="Arial" w:hAnsi="Arial" w:cs="Arial"/>
        </w:rPr>
        <w:t>values</w:t>
      </w:r>
      <w:proofErr w:type="gramEnd"/>
      <w:r w:rsidRPr="23D30664">
        <w:rPr>
          <w:rFonts w:ascii="Arial" w:hAnsi="Arial" w:cs="Arial"/>
        </w:rPr>
        <w:t xml:space="preserve"> driven cafe. Ultimately, the future of Seren Coffi rests not in algorithmic suggestions but in the judgement, intuition, and cultural stewardship of those who carry its story forward.</w:t>
      </w:r>
    </w:p>
    <w:p w14:paraId="3976DBB9" w14:textId="0A137647" w:rsidR="005C002A" w:rsidRDefault="005C002A">
      <w:r>
        <w:br w:type="page"/>
      </w:r>
    </w:p>
    <w:p w14:paraId="06A4AEA7" w14:textId="61CECD10" w:rsidR="00363C86" w:rsidRPr="00860B2D" w:rsidRDefault="005C002A" w:rsidP="00860B2D">
      <w:pPr>
        <w:pStyle w:val="Heading1"/>
        <w:jc w:val="center"/>
        <w:rPr>
          <w:rFonts w:ascii="Arial" w:hAnsi="Arial" w:cs="Arial"/>
          <w:b/>
          <w:bCs/>
          <w:color w:val="auto"/>
        </w:rPr>
      </w:pPr>
      <w:bookmarkStart w:id="8" w:name="_Toc226755204"/>
      <w:r w:rsidRPr="005C002A">
        <w:rPr>
          <w:rFonts w:ascii="Arial" w:hAnsi="Arial" w:cs="Arial"/>
          <w:b/>
          <w:bCs/>
          <w:color w:val="auto"/>
        </w:rPr>
        <w:lastRenderedPageBreak/>
        <w:t>REFERENCE LIST</w:t>
      </w:r>
      <w:bookmarkEnd w:id="8"/>
    </w:p>
    <w:p w14:paraId="53BBB9BC" w14:textId="77777777" w:rsidR="00860B2D" w:rsidRPr="00860B2D" w:rsidRDefault="00860B2D" w:rsidP="00860B2D">
      <w:pPr>
        <w:pStyle w:val="NormalWeb"/>
        <w:rPr>
          <w:rFonts w:ascii="Arial" w:hAnsi="Arial" w:cs="Arial"/>
        </w:rPr>
      </w:pPr>
      <w:r w:rsidRPr="00860B2D">
        <w:rPr>
          <w:rFonts w:ascii="Arial" w:hAnsi="Arial" w:cs="Arial"/>
        </w:rPr>
        <w:t xml:space="preserve">Albert, S. and Whetten, D.A. (1985) ‘Organisational identity’, </w:t>
      </w:r>
      <w:r w:rsidRPr="00860B2D">
        <w:rPr>
          <w:rStyle w:val="Emphasis"/>
          <w:rFonts w:ascii="Arial" w:eastAsiaTheme="majorEastAsia" w:hAnsi="Arial" w:cs="Arial"/>
        </w:rPr>
        <w:t>Research in Organisational Behaviour</w:t>
      </w:r>
      <w:r w:rsidRPr="00860B2D">
        <w:rPr>
          <w:rFonts w:ascii="Arial" w:hAnsi="Arial" w:cs="Arial"/>
        </w:rPr>
        <w:t>, 7, pp. 263–295.</w:t>
      </w:r>
    </w:p>
    <w:p w14:paraId="63D1555C" w14:textId="77777777" w:rsidR="00860B2D" w:rsidRPr="00860B2D" w:rsidRDefault="00860B2D" w:rsidP="00860B2D">
      <w:pPr>
        <w:pStyle w:val="NormalWeb"/>
        <w:rPr>
          <w:rFonts w:ascii="Arial" w:hAnsi="Arial" w:cs="Arial"/>
        </w:rPr>
      </w:pPr>
      <w:r w:rsidRPr="00860B2D">
        <w:rPr>
          <w:rFonts w:ascii="Arial" w:hAnsi="Arial" w:cs="Arial"/>
        </w:rPr>
        <w:t xml:space="preserve">Alvesson, M. and Willmott, H. (2012) </w:t>
      </w:r>
      <w:r w:rsidRPr="00860B2D">
        <w:rPr>
          <w:rStyle w:val="Emphasis"/>
          <w:rFonts w:ascii="Arial" w:eastAsiaTheme="majorEastAsia" w:hAnsi="Arial" w:cs="Arial"/>
        </w:rPr>
        <w:t>Making Sense of Management: A Critical Introduction</w:t>
      </w:r>
      <w:r w:rsidRPr="00860B2D">
        <w:rPr>
          <w:rFonts w:ascii="Arial" w:hAnsi="Arial" w:cs="Arial"/>
        </w:rPr>
        <w:t xml:space="preserve">. 2nd </w:t>
      </w:r>
      <w:proofErr w:type="spellStart"/>
      <w:r w:rsidRPr="00860B2D">
        <w:rPr>
          <w:rFonts w:ascii="Arial" w:hAnsi="Arial" w:cs="Arial"/>
        </w:rPr>
        <w:t>edn</w:t>
      </w:r>
      <w:proofErr w:type="spellEnd"/>
      <w:r w:rsidRPr="00860B2D">
        <w:rPr>
          <w:rFonts w:ascii="Arial" w:hAnsi="Arial" w:cs="Arial"/>
        </w:rPr>
        <w:t>. London: SAGE.</w:t>
      </w:r>
    </w:p>
    <w:p w14:paraId="70C4921F" w14:textId="77777777" w:rsidR="00860B2D" w:rsidRPr="00860B2D" w:rsidRDefault="00860B2D" w:rsidP="00860B2D">
      <w:pPr>
        <w:pStyle w:val="NormalWeb"/>
        <w:rPr>
          <w:rFonts w:ascii="Arial" w:hAnsi="Arial" w:cs="Arial"/>
        </w:rPr>
      </w:pPr>
      <w:r w:rsidRPr="00860B2D">
        <w:rPr>
          <w:rFonts w:ascii="Arial" w:hAnsi="Arial" w:cs="Arial"/>
        </w:rPr>
        <w:t xml:space="preserve">Amabile, T.M. and Pratt, M.G. (2016) ‘The dynamic componential model of creativity and innovation in organisations’, </w:t>
      </w:r>
      <w:r w:rsidRPr="00860B2D">
        <w:rPr>
          <w:rStyle w:val="Emphasis"/>
          <w:rFonts w:ascii="Arial" w:eastAsiaTheme="majorEastAsia" w:hAnsi="Arial" w:cs="Arial"/>
        </w:rPr>
        <w:t>Research in Organisational Behaviour</w:t>
      </w:r>
      <w:r w:rsidRPr="00860B2D">
        <w:rPr>
          <w:rFonts w:ascii="Arial" w:hAnsi="Arial" w:cs="Arial"/>
        </w:rPr>
        <w:t>, 36, pp. 157–183.</w:t>
      </w:r>
      <w:r w:rsidRPr="00860B2D">
        <w:rPr>
          <w:rFonts w:ascii="Arial" w:hAnsi="Arial" w:cs="Arial"/>
        </w:rPr>
        <w:br/>
        <w:t xml:space="preserve">Available at: </w:t>
      </w:r>
      <w:hyperlink r:id="rId10" w:history="1">
        <w:r w:rsidRPr="00860B2D">
          <w:rPr>
            <w:rStyle w:val="Hyperlink"/>
            <w:rFonts w:ascii="Arial" w:eastAsiaTheme="majorEastAsia" w:hAnsi="Arial" w:cs="Arial"/>
          </w:rPr>
          <w:t>https://doi.org/10.1016/j.riob.2016.10.001</w:t>
        </w:r>
      </w:hyperlink>
    </w:p>
    <w:p w14:paraId="40269816" w14:textId="77777777" w:rsidR="00860B2D" w:rsidRPr="00860B2D" w:rsidRDefault="00860B2D" w:rsidP="00860B2D">
      <w:pPr>
        <w:pStyle w:val="NormalWeb"/>
        <w:rPr>
          <w:rFonts w:ascii="Arial" w:hAnsi="Arial" w:cs="Arial"/>
        </w:rPr>
      </w:pPr>
      <w:r w:rsidRPr="00860B2D">
        <w:rPr>
          <w:rFonts w:ascii="Arial" w:hAnsi="Arial" w:cs="Arial"/>
        </w:rPr>
        <w:t xml:space="preserve">Anderson, N., </w:t>
      </w:r>
      <w:proofErr w:type="spellStart"/>
      <w:r w:rsidRPr="00860B2D">
        <w:rPr>
          <w:rFonts w:ascii="Arial" w:hAnsi="Arial" w:cs="Arial"/>
        </w:rPr>
        <w:t>Potočnik</w:t>
      </w:r>
      <w:proofErr w:type="spellEnd"/>
      <w:r w:rsidRPr="00860B2D">
        <w:rPr>
          <w:rFonts w:ascii="Arial" w:hAnsi="Arial" w:cs="Arial"/>
        </w:rPr>
        <w:t xml:space="preserve">, K. and Zhou, J. (2014) ‘Innovation and creativity in organisations: A state of the science review’, </w:t>
      </w:r>
      <w:r w:rsidRPr="00860B2D">
        <w:rPr>
          <w:rStyle w:val="Emphasis"/>
          <w:rFonts w:ascii="Arial" w:eastAsiaTheme="majorEastAsia" w:hAnsi="Arial" w:cs="Arial"/>
        </w:rPr>
        <w:t>Journal of Management</w:t>
      </w:r>
      <w:r w:rsidRPr="00860B2D">
        <w:rPr>
          <w:rFonts w:ascii="Arial" w:hAnsi="Arial" w:cs="Arial"/>
        </w:rPr>
        <w:t>, 40(5), pp. 1297–1333.</w:t>
      </w:r>
      <w:r w:rsidRPr="00860B2D">
        <w:rPr>
          <w:rFonts w:ascii="Arial" w:hAnsi="Arial" w:cs="Arial"/>
        </w:rPr>
        <w:br/>
        <w:t xml:space="preserve">Available at: </w:t>
      </w:r>
      <w:hyperlink r:id="rId11" w:history="1">
        <w:r w:rsidRPr="00860B2D">
          <w:rPr>
            <w:rStyle w:val="Hyperlink"/>
            <w:rFonts w:ascii="Arial" w:eastAsiaTheme="majorEastAsia" w:hAnsi="Arial" w:cs="Arial"/>
          </w:rPr>
          <w:t>https://doi.org/10.1177/0149206314527128</w:t>
        </w:r>
      </w:hyperlink>
    </w:p>
    <w:p w14:paraId="23A56254" w14:textId="77777777" w:rsidR="00860B2D" w:rsidRPr="00860B2D" w:rsidRDefault="00860B2D" w:rsidP="00860B2D">
      <w:pPr>
        <w:pStyle w:val="NormalWeb"/>
        <w:rPr>
          <w:rFonts w:ascii="Arial" w:hAnsi="Arial" w:cs="Arial"/>
        </w:rPr>
      </w:pPr>
      <w:proofErr w:type="spellStart"/>
      <w:r w:rsidRPr="00860B2D">
        <w:rPr>
          <w:rFonts w:ascii="Arial" w:hAnsi="Arial" w:cs="Arial"/>
        </w:rPr>
        <w:t>Birkinshaw</w:t>
      </w:r>
      <w:proofErr w:type="spellEnd"/>
      <w:r w:rsidRPr="00860B2D">
        <w:rPr>
          <w:rFonts w:ascii="Arial" w:hAnsi="Arial" w:cs="Arial"/>
        </w:rPr>
        <w:t xml:space="preserve">, J., Hamel, G. and Mol, M.J. (2011) ‘Management innovation’, </w:t>
      </w:r>
      <w:r w:rsidRPr="00860B2D">
        <w:rPr>
          <w:rStyle w:val="Emphasis"/>
          <w:rFonts w:ascii="Arial" w:eastAsiaTheme="majorEastAsia" w:hAnsi="Arial" w:cs="Arial"/>
        </w:rPr>
        <w:t>Academy of Management Review</w:t>
      </w:r>
      <w:r w:rsidRPr="00860B2D">
        <w:rPr>
          <w:rFonts w:ascii="Arial" w:hAnsi="Arial" w:cs="Arial"/>
        </w:rPr>
        <w:t>, 36(4), pp. 825–845.</w:t>
      </w:r>
      <w:r w:rsidRPr="00860B2D">
        <w:rPr>
          <w:rFonts w:ascii="Arial" w:hAnsi="Arial" w:cs="Arial"/>
        </w:rPr>
        <w:br/>
        <w:t xml:space="preserve">Available at: </w:t>
      </w:r>
      <w:hyperlink r:id="rId12" w:history="1">
        <w:r w:rsidRPr="00860B2D">
          <w:rPr>
            <w:rStyle w:val="Hyperlink"/>
            <w:rFonts w:ascii="Arial" w:eastAsiaTheme="majorEastAsia" w:hAnsi="Arial" w:cs="Arial"/>
          </w:rPr>
          <w:t>https://doi.org/10.5465/amr.2009.0194</w:t>
        </w:r>
      </w:hyperlink>
    </w:p>
    <w:p w14:paraId="1AB9FE4B" w14:textId="77777777" w:rsidR="00860B2D" w:rsidRPr="00860B2D" w:rsidRDefault="00860B2D" w:rsidP="00860B2D">
      <w:pPr>
        <w:pStyle w:val="NormalWeb"/>
        <w:rPr>
          <w:rFonts w:ascii="Arial" w:hAnsi="Arial" w:cs="Arial"/>
        </w:rPr>
      </w:pPr>
      <w:r w:rsidRPr="00860B2D">
        <w:rPr>
          <w:rFonts w:ascii="Arial" w:hAnsi="Arial" w:cs="Arial"/>
        </w:rPr>
        <w:t xml:space="preserve">Brynjolfsson, E. and McAfee, A. (2017) </w:t>
      </w:r>
      <w:r w:rsidRPr="00860B2D">
        <w:rPr>
          <w:rStyle w:val="Emphasis"/>
          <w:rFonts w:ascii="Arial" w:eastAsiaTheme="majorEastAsia" w:hAnsi="Arial" w:cs="Arial"/>
        </w:rPr>
        <w:t>Machine, Platform, Crowd: Harnessing Our Digital Future</w:t>
      </w:r>
      <w:r w:rsidRPr="00860B2D">
        <w:rPr>
          <w:rFonts w:ascii="Arial" w:hAnsi="Arial" w:cs="Arial"/>
        </w:rPr>
        <w:t>. New York: W.W. Norton.</w:t>
      </w:r>
    </w:p>
    <w:p w14:paraId="6C5D4B8D" w14:textId="77777777" w:rsidR="00860B2D" w:rsidRPr="00860B2D" w:rsidRDefault="00860B2D" w:rsidP="00860B2D">
      <w:pPr>
        <w:pStyle w:val="NormalWeb"/>
        <w:rPr>
          <w:rFonts w:ascii="Arial" w:hAnsi="Arial" w:cs="Arial"/>
        </w:rPr>
      </w:pPr>
      <w:r w:rsidRPr="00860B2D">
        <w:rPr>
          <w:rFonts w:ascii="Arial" w:hAnsi="Arial" w:cs="Arial"/>
        </w:rPr>
        <w:t>Burnes, B. and Cooke, B. (2013) ‘Kurt Lewin’s field theory: A review and re</w:t>
      </w:r>
      <w:r w:rsidRPr="00860B2D">
        <w:rPr>
          <w:rFonts w:ascii="Arial" w:hAnsi="Arial" w:cs="Arial"/>
        </w:rPr>
        <w:noBreakHyphen/>
        <w:t xml:space="preserve">evaluation’, </w:t>
      </w:r>
      <w:r w:rsidRPr="00860B2D">
        <w:rPr>
          <w:rStyle w:val="Emphasis"/>
          <w:rFonts w:ascii="Arial" w:eastAsiaTheme="majorEastAsia" w:hAnsi="Arial" w:cs="Arial"/>
        </w:rPr>
        <w:t>Human Relations</w:t>
      </w:r>
      <w:r w:rsidRPr="00860B2D">
        <w:rPr>
          <w:rFonts w:ascii="Arial" w:hAnsi="Arial" w:cs="Arial"/>
        </w:rPr>
        <w:t>, 66(9), pp. 1215–1239.</w:t>
      </w:r>
      <w:r w:rsidRPr="00860B2D">
        <w:rPr>
          <w:rFonts w:ascii="Arial" w:hAnsi="Arial" w:cs="Arial"/>
        </w:rPr>
        <w:br/>
        <w:t xml:space="preserve">Available at: </w:t>
      </w:r>
      <w:hyperlink r:id="rId13" w:history="1">
        <w:r w:rsidRPr="00860B2D">
          <w:rPr>
            <w:rStyle w:val="Hyperlink"/>
            <w:rFonts w:ascii="Arial" w:eastAsiaTheme="majorEastAsia" w:hAnsi="Arial" w:cs="Arial"/>
          </w:rPr>
          <w:t>https://doi.org/10.1177/0018726713495074</w:t>
        </w:r>
      </w:hyperlink>
    </w:p>
    <w:p w14:paraId="522844ED" w14:textId="77777777" w:rsidR="00860B2D" w:rsidRPr="00860B2D" w:rsidRDefault="00860B2D" w:rsidP="00860B2D">
      <w:pPr>
        <w:pStyle w:val="NormalWeb"/>
        <w:rPr>
          <w:rFonts w:ascii="Arial" w:hAnsi="Arial" w:cs="Arial"/>
        </w:rPr>
      </w:pPr>
      <w:proofErr w:type="spellStart"/>
      <w:r w:rsidRPr="00860B2D">
        <w:rPr>
          <w:rFonts w:ascii="Arial" w:hAnsi="Arial" w:cs="Arial"/>
        </w:rPr>
        <w:t>Chell</w:t>
      </w:r>
      <w:proofErr w:type="spellEnd"/>
      <w:r w:rsidRPr="00860B2D">
        <w:rPr>
          <w:rFonts w:ascii="Arial" w:hAnsi="Arial" w:cs="Arial"/>
        </w:rPr>
        <w:t xml:space="preserve">, E. (2007) ‘Social enterprise and entrepreneurship: Towards a convergent theory of the entrepreneurial process’, </w:t>
      </w:r>
      <w:r w:rsidRPr="00860B2D">
        <w:rPr>
          <w:rStyle w:val="Emphasis"/>
          <w:rFonts w:ascii="Arial" w:eastAsiaTheme="majorEastAsia" w:hAnsi="Arial" w:cs="Arial"/>
        </w:rPr>
        <w:t>International Small Business Journal</w:t>
      </w:r>
      <w:r w:rsidRPr="00860B2D">
        <w:rPr>
          <w:rFonts w:ascii="Arial" w:hAnsi="Arial" w:cs="Arial"/>
        </w:rPr>
        <w:t>, 25(1), pp. 5–26.</w:t>
      </w:r>
    </w:p>
    <w:p w14:paraId="6DE916BB" w14:textId="77777777" w:rsidR="00860B2D" w:rsidRPr="00860B2D" w:rsidRDefault="00860B2D" w:rsidP="00860B2D">
      <w:pPr>
        <w:pStyle w:val="NormalWeb"/>
        <w:rPr>
          <w:rFonts w:ascii="Arial" w:hAnsi="Arial" w:cs="Arial"/>
        </w:rPr>
      </w:pPr>
      <w:r w:rsidRPr="00860B2D">
        <w:rPr>
          <w:rFonts w:ascii="Arial" w:hAnsi="Arial" w:cs="Arial"/>
        </w:rPr>
        <w:t xml:space="preserve">Chesbrough, H., </w:t>
      </w:r>
      <w:proofErr w:type="spellStart"/>
      <w:r w:rsidRPr="00860B2D">
        <w:rPr>
          <w:rFonts w:ascii="Arial" w:hAnsi="Arial" w:cs="Arial"/>
        </w:rPr>
        <w:t>Vanhaverbeke</w:t>
      </w:r>
      <w:proofErr w:type="spellEnd"/>
      <w:r w:rsidRPr="00860B2D">
        <w:rPr>
          <w:rFonts w:ascii="Arial" w:hAnsi="Arial" w:cs="Arial"/>
        </w:rPr>
        <w:t xml:space="preserve">, W. and West, J. (eds) (2014) </w:t>
      </w:r>
      <w:r w:rsidRPr="00860B2D">
        <w:rPr>
          <w:rStyle w:val="Emphasis"/>
          <w:rFonts w:ascii="Arial" w:eastAsiaTheme="majorEastAsia" w:hAnsi="Arial" w:cs="Arial"/>
        </w:rPr>
        <w:t>New Frontiers in Open Innovation</w:t>
      </w:r>
      <w:r w:rsidRPr="00860B2D">
        <w:rPr>
          <w:rFonts w:ascii="Arial" w:hAnsi="Arial" w:cs="Arial"/>
        </w:rPr>
        <w:t>. Oxford: Oxford University Press.</w:t>
      </w:r>
      <w:r w:rsidRPr="00860B2D">
        <w:rPr>
          <w:rFonts w:ascii="Arial" w:hAnsi="Arial" w:cs="Arial"/>
        </w:rPr>
        <w:br/>
        <w:t xml:space="preserve">Available at: </w:t>
      </w:r>
      <w:hyperlink r:id="rId14" w:history="1">
        <w:r w:rsidRPr="00860B2D">
          <w:rPr>
            <w:rStyle w:val="Hyperlink"/>
            <w:rFonts w:ascii="Arial" w:eastAsiaTheme="majorEastAsia" w:hAnsi="Arial" w:cs="Arial"/>
          </w:rPr>
          <w:t>https://doi.org/10.1093/acprof:oso/9780199682461.001.0001</w:t>
        </w:r>
      </w:hyperlink>
    </w:p>
    <w:p w14:paraId="2219ED96" w14:textId="77777777" w:rsidR="00860B2D" w:rsidRPr="00860B2D" w:rsidRDefault="00860B2D" w:rsidP="00860B2D">
      <w:pPr>
        <w:pStyle w:val="NormalWeb"/>
        <w:rPr>
          <w:rFonts w:ascii="Arial" w:hAnsi="Arial" w:cs="Arial"/>
        </w:rPr>
      </w:pPr>
      <w:r w:rsidRPr="00860B2D">
        <w:rPr>
          <w:rFonts w:ascii="Arial" w:hAnsi="Arial" w:cs="Arial"/>
        </w:rPr>
        <w:t xml:space="preserve">Cockburn, I.M., Henderson, R. and Stern, S. (2018) </w:t>
      </w:r>
      <w:r w:rsidRPr="00860B2D">
        <w:rPr>
          <w:rStyle w:val="Emphasis"/>
          <w:rFonts w:ascii="Arial" w:eastAsiaTheme="majorEastAsia" w:hAnsi="Arial" w:cs="Arial"/>
        </w:rPr>
        <w:t>The impact of artificial intelligence on innovation</w:t>
      </w:r>
      <w:r w:rsidRPr="00860B2D">
        <w:rPr>
          <w:rFonts w:ascii="Arial" w:hAnsi="Arial" w:cs="Arial"/>
        </w:rPr>
        <w:t>. NBER Working Paper No. 24449. Cambridge, MA: National Bureau of Economic Research.</w:t>
      </w:r>
    </w:p>
    <w:p w14:paraId="57BC4B76" w14:textId="77777777" w:rsidR="00860B2D" w:rsidRPr="00860B2D" w:rsidRDefault="00860B2D" w:rsidP="00860B2D">
      <w:pPr>
        <w:pStyle w:val="NormalWeb"/>
        <w:rPr>
          <w:rFonts w:ascii="Arial" w:hAnsi="Arial" w:cs="Arial"/>
        </w:rPr>
      </w:pPr>
      <w:proofErr w:type="spellStart"/>
      <w:r w:rsidRPr="00860B2D">
        <w:rPr>
          <w:rFonts w:ascii="Arial" w:hAnsi="Arial" w:cs="Arial"/>
        </w:rPr>
        <w:t>Corazza</w:t>
      </w:r>
      <w:proofErr w:type="spellEnd"/>
      <w:r w:rsidRPr="00860B2D">
        <w:rPr>
          <w:rFonts w:ascii="Arial" w:hAnsi="Arial" w:cs="Arial"/>
        </w:rPr>
        <w:t xml:space="preserve">, G.E. (2016) ‘Potential originality and effectiveness: The dynamic definition of creativity’, </w:t>
      </w:r>
      <w:r w:rsidRPr="00860B2D">
        <w:rPr>
          <w:rStyle w:val="Emphasis"/>
          <w:rFonts w:ascii="Arial" w:eastAsiaTheme="majorEastAsia" w:hAnsi="Arial" w:cs="Arial"/>
        </w:rPr>
        <w:t>Creativity Research Journal</w:t>
      </w:r>
      <w:r w:rsidRPr="00860B2D">
        <w:rPr>
          <w:rFonts w:ascii="Arial" w:hAnsi="Arial" w:cs="Arial"/>
        </w:rPr>
        <w:t>, 28(3), pp. 258–267.</w:t>
      </w:r>
      <w:r w:rsidRPr="00860B2D">
        <w:rPr>
          <w:rFonts w:ascii="Arial" w:hAnsi="Arial" w:cs="Arial"/>
        </w:rPr>
        <w:br/>
        <w:t xml:space="preserve">Available at: </w:t>
      </w:r>
      <w:hyperlink r:id="rId15" w:history="1">
        <w:r w:rsidRPr="00860B2D">
          <w:rPr>
            <w:rStyle w:val="Hyperlink"/>
            <w:rFonts w:ascii="Arial" w:eastAsiaTheme="majorEastAsia" w:hAnsi="Arial" w:cs="Arial"/>
          </w:rPr>
          <w:t>https://doi.org/10.1080/10400419.2016.1195627</w:t>
        </w:r>
      </w:hyperlink>
    </w:p>
    <w:p w14:paraId="6DA7E201" w14:textId="77777777" w:rsidR="00860B2D" w:rsidRPr="00860B2D" w:rsidRDefault="00860B2D" w:rsidP="00860B2D">
      <w:pPr>
        <w:pStyle w:val="NormalWeb"/>
        <w:rPr>
          <w:rFonts w:ascii="Arial" w:hAnsi="Arial" w:cs="Arial"/>
        </w:rPr>
      </w:pPr>
      <w:r w:rsidRPr="00860B2D">
        <w:rPr>
          <w:rFonts w:ascii="Arial" w:hAnsi="Arial" w:cs="Arial"/>
        </w:rPr>
        <w:t xml:space="preserve">Davenport, T.H. and </w:t>
      </w:r>
      <w:proofErr w:type="spellStart"/>
      <w:r w:rsidRPr="00860B2D">
        <w:rPr>
          <w:rFonts w:ascii="Arial" w:hAnsi="Arial" w:cs="Arial"/>
        </w:rPr>
        <w:t>Ronanki</w:t>
      </w:r>
      <w:proofErr w:type="spellEnd"/>
      <w:r w:rsidRPr="00860B2D">
        <w:rPr>
          <w:rFonts w:ascii="Arial" w:hAnsi="Arial" w:cs="Arial"/>
        </w:rPr>
        <w:t xml:space="preserve">, R. (2018) ‘Artificial intelligence for the real world’, </w:t>
      </w:r>
      <w:r w:rsidRPr="00860B2D">
        <w:rPr>
          <w:rStyle w:val="Emphasis"/>
          <w:rFonts w:ascii="Arial" w:eastAsiaTheme="majorEastAsia" w:hAnsi="Arial" w:cs="Arial"/>
        </w:rPr>
        <w:t>Harvard Business Review</w:t>
      </w:r>
      <w:r w:rsidRPr="00860B2D">
        <w:rPr>
          <w:rFonts w:ascii="Arial" w:hAnsi="Arial" w:cs="Arial"/>
        </w:rPr>
        <w:t>, 96(1), pp. 108–116.</w:t>
      </w:r>
    </w:p>
    <w:p w14:paraId="5C962F08" w14:textId="77777777" w:rsidR="00860B2D" w:rsidRPr="00860B2D" w:rsidRDefault="00860B2D" w:rsidP="00860B2D">
      <w:pPr>
        <w:pStyle w:val="NormalWeb"/>
        <w:rPr>
          <w:rFonts w:ascii="Arial" w:hAnsi="Arial" w:cs="Arial"/>
        </w:rPr>
      </w:pPr>
      <w:r w:rsidRPr="00860B2D">
        <w:rPr>
          <w:rFonts w:ascii="Arial" w:hAnsi="Arial" w:cs="Arial"/>
        </w:rPr>
        <w:lastRenderedPageBreak/>
        <w:t xml:space="preserve">Fleming, P. (2019) </w:t>
      </w:r>
      <w:r w:rsidRPr="00860B2D">
        <w:rPr>
          <w:rStyle w:val="Emphasis"/>
          <w:rFonts w:ascii="Arial" w:eastAsiaTheme="majorEastAsia" w:hAnsi="Arial" w:cs="Arial"/>
        </w:rPr>
        <w:t>The Death of Homo Economicus</w:t>
      </w:r>
      <w:r w:rsidRPr="00860B2D">
        <w:rPr>
          <w:rFonts w:ascii="Arial" w:hAnsi="Arial" w:cs="Arial"/>
        </w:rPr>
        <w:t>. London: Pluto Press.</w:t>
      </w:r>
      <w:r w:rsidRPr="00860B2D">
        <w:rPr>
          <w:rFonts w:ascii="Arial" w:hAnsi="Arial" w:cs="Arial"/>
        </w:rPr>
        <w:br/>
        <w:t xml:space="preserve">Available at: </w:t>
      </w:r>
      <w:hyperlink r:id="rId16" w:history="1">
        <w:r w:rsidRPr="00860B2D">
          <w:rPr>
            <w:rStyle w:val="Hyperlink"/>
            <w:rFonts w:ascii="Arial" w:eastAsiaTheme="majorEastAsia" w:hAnsi="Arial" w:cs="Arial"/>
          </w:rPr>
          <w:t>https://doi.org/10.2307/j.ctvpb3x5c</w:t>
        </w:r>
      </w:hyperlink>
    </w:p>
    <w:p w14:paraId="08972AB0" w14:textId="77777777" w:rsidR="00860B2D" w:rsidRPr="00860B2D" w:rsidRDefault="00860B2D" w:rsidP="00860B2D">
      <w:pPr>
        <w:pStyle w:val="NormalWeb"/>
        <w:rPr>
          <w:rFonts w:ascii="Arial" w:hAnsi="Arial" w:cs="Arial"/>
        </w:rPr>
      </w:pPr>
      <w:r w:rsidRPr="00860B2D">
        <w:rPr>
          <w:rFonts w:ascii="Arial" w:hAnsi="Arial" w:cs="Arial"/>
        </w:rPr>
        <w:t xml:space="preserve">Foss, N.J. and </w:t>
      </w:r>
      <w:proofErr w:type="spellStart"/>
      <w:r w:rsidRPr="00860B2D">
        <w:rPr>
          <w:rFonts w:ascii="Arial" w:hAnsi="Arial" w:cs="Arial"/>
        </w:rPr>
        <w:t>Saebi</w:t>
      </w:r>
      <w:proofErr w:type="spellEnd"/>
      <w:r w:rsidRPr="00860B2D">
        <w:rPr>
          <w:rFonts w:ascii="Arial" w:hAnsi="Arial" w:cs="Arial"/>
        </w:rPr>
        <w:t xml:space="preserve">, T. (eds) (2015) </w:t>
      </w:r>
      <w:r w:rsidRPr="00860B2D">
        <w:rPr>
          <w:rStyle w:val="Emphasis"/>
          <w:rFonts w:ascii="Arial" w:eastAsiaTheme="majorEastAsia" w:hAnsi="Arial" w:cs="Arial"/>
        </w:rPr>
        <w:t>Business Model Innovation: The Organisational Dimension</w:t>
      </w:r>
      <w:r w:rsidRPr="00860B2D">
        <w:rPr>
          <w:rFonts w:ascii="Arial" w:hAnsi="Arial" w:cs="Arial"/>
        </w:rPr>
        <w:t>. Oxford: Oxford University Press.</w:t>
      </w:r>
      <w:r w:rsidRPr="00860B2D">
        <w:rPr>
          <w:rFonts w:ascii="Arial" w:hAnsi="Arial" w:cs="Arial"/>
        </w:rPr>
        <w:br/>
        <w:t xml:space="preserve">Available at: </w:t>
      </w:r>
      <w:hyperlink r:id="rId17" w:history="1">
        <w:r w:rsidRPr="00860B2D">
          <w:rPr>
            <w:rStyle w:val="Hyperlink"/>
            <w:rFonts w:ascii="Arial" w:eastAsiaTheme="majorEastAsia" w:hAnsi="Arial" w:cs="Arial"/>
          </w:rPr>
          <w:t>https://doi.org/10.1093/acprof:oso/9780198701873.001.0001</w:t>
        </w:r>
      </w:hyperlink>
    </w:p>
    <w:p w14:paraId="2A4D612E" w14:textId="77777777" w:rsidR="00860B2D" w:rsidRPr="00860B2D" w:rsidRDefault="00860B2D" w:rsidP="00860B2D">
      <w:pPr>
        <w:pStyle w:val="NormalWeb"/>
        <w:rPr>
          <w:rFonts w:ascii="Arial" w:hAnsi="Arial" w:cs="Arial"/>
        </w:rPr>
      </w:pPr>
      <w:proofErr w:type="spellStart"/>
      <w:r w:rsidRPr="00860B2D">
        <w:rPr>
          <w:rFonts w:ascii="Arial" w:hAnsi="Arial" w:cs="Arial"/>
        </w:rPr>
        <w:t>Garud</w:t>
      </w:r>
      <w:proofErr w:type="spellEnd"/>
      <w:r w:rsidRPr="00860B2D">
        <w:rPr>
          <w:rFonts w:ascii="Arial" w:hAnsi="Arial" w:cs="Arial"/>
        </w:rPr>
        <w:t xml:space="preserve">, R., </w:t>
      </w:r>
      <w:proofErr w:type="spellStart"/>
      <w:r w:rsidRPr="00860B2D">
        <w:rPr>
          <w:rFonts w:ascii="Arial" w:hAnsi="Arial" w:cs="Arial"/>
        </w:rPr>
        <w:t>Gehman</w:t>
      </w:r>
      <w:proofErr w:type="spellEnd"/>
      <w:r w:rsidRPr="00860B2D">
        <w:rPr>
          <w:rFonts w:ascii="Arial" w:hAnsi="Arial" w:cs="Arial"/>
        </w:rPr>
        <w:t xml:space="preserve">, J. and Giuliani, A.P. (2014) ‘Contextualising entrepreneurial innovation: A narrative perspective’, </w:t>
      </w:r>
      <w:r w:rsidRPr="00860B2D">
        <w:rPr>
          <w:rStyle w:val="Emphasis"/>
          <w:rFonts w:ascii="Arial" w:eastAsiaTheme="majorEastAsia" w:hAnsi="Arial" w:cs="Arial"/>
        </w:rPr>
        <w:t>Research Policy</w:t>
      </w:r>
      <w:r w:rsidRPr="00860B2D">
        <w:rPr>
          <w:rFonts w:ascii="Arial" w:hAnsi="Arial" w:cs="Arial"/>
        </w:rPr>
        <w:t>, 43(7), pp. 1177–1188.</w:t>
      </w:r>
    </w:p>
    <w:p w14:paraId="7595E0DF" w14:textId="77777777" w:rsidR="00860B2D" w:rsidRPr="00860B2D" w:rsidRDefault="00860B2D" w:rsidP="00860B2D">
      <w:pPr>
        <w:pStyle w:val="NormalWeb"/>
        <w:rPr>
          <w:rFonts w:ascii="Arial" w:hAnsi="Arial" w:cs="Arial"/>
        </w:rPr>
      </w:pPr>
      <w:proofErr w:type="spellStart"/>
      <w:r w:rsidRPr="00860B2D">
        <w:rPr>
          <w:rFonts w:ascii="Arial" w:hAnsi="Arial" w:cs="Arial"/>
        </w:rPr>
        <w:t>Gioia</w:t>
      </w:r>
      <w:proofErr w:type="spellEnd"/>
      <w:r w:rsidRPr="00860B2D">
        <w:rPr>
          <w:rFonts w:ascii="Arial" w:hAnsi="Arial" w:cs="Arial"/>
        </w:rPr>
        <w:t xml:space="preserve">, D.A., Schultz, M. and Corley, K.G. (2000) ‘Organisational identity, image, and adaptive instability’, </w:t>
      </w:r>
      <w:r w:rsidRPr="00860B2D">
        <w:rPr>
          <w:rStyle w:val="Emphasis"/>
          <w:rFonts w:ascii="Arial" w:eastAsiaTheme="majorEastAsia" w:hAnsi="Arial" w:cs="Arial"/>
        </w:rPr>
        <w:t>Academy of Management Review</w:t>
      </w:r>
      <w:r w:rsidRPr="00860B2D">
        <w:rPr>
          <w:rFonts w:ascii="Arial" w:hAnsi="Arial" w:cs="Arial"/>
        </w:rPr>
        <w:t>, 25(1), pp. 63–81.</w:t>
      </w:r>
    </w:p>
    <w:p w14:paraId="11E0CFF0" w14:textId="77777777" w:rsidR="00860B2D" w:rsidRPr="00860B2D" w:rsidRDefault="00860B2D" w:rsidP="00860B2D">
      <w:pPr>
        <w:pStyle w:val="NormalWeb"/>
        <w:rPr>
          <w:rFonts w:ascii="Arial" w:hAnsi="Arial" w:cs="Arial"/>
        </w:rPr>
      </w:pPr>
      <w:proofErr w:type="spellStart"/>
      <w:r w:rsidRPr="00860B2D">
        <w:rPr>
          <w:rFonts w:ascii="Arial" w:hAnsi="Arial" w:cs="Arial"/>
        </w:rPr>
        <w:t>Glăveanu</w:t>
      </w:r>
      <w:proofErr w:type="spellEnd"/>
      <w:r w:rsidRPr="00860B2D">
        <w:rPr>
          <w:rFonts w:ascii="Arial" w:hAnsi="Arial" w:cs="Arial"/>
        </w:rPr>
        <w:t xml:space="preserve">, V.P. (2014) </w:t>
      </w:r>
      <w:r w:rsidRPr="00860B2D">
        <w:rPr>
          <w:rStyle w:val="Emphasis"/>
          <w:rFonts w:ascii="Arial" w:eastAsiaTheme="majorEastAsia" w:hAnsi="Arial" w:cs="Arial"/>
        </w:rPr>
        <w:t>Distributed Creativity: Thinking Outside the Box of the Creative Individual</w:t>
      </w:r>
      <w:r w:rsidRPr="00860B2D">
        <w:rPr>
          <w:rFonts w:ascii="Arial" w:hAnsi="Arial" w:cs="Arial"/>
        </w:rPr>
        <w:t>. New York: Springer.</w:t>
      </w:r>
      <w:r w:rsidRPr="00860B2D">
        <w:rPr>
          <w:rFonts w:ascii="Arial" w:hAnsi="Arial" w:cs="Arial"/>
        </w:rPr>
        <w:br/>
        <w:t xml:space="preserve">Available at: </w:t>
      </w:r>
      <w:hyperlink r:id="rId18" w:history="1">
        <w:r w:rsidRPr="00860B2D">
          <w:rPr>
            <w:rStyle w:val="Hyperlink"/>
            <w:rFonts w:ascii="Arial" w:eastAsiaTheme="majorEastAsia" w:hAnsi="Arial" w:cs="Arial"/>
          </w:rPr>
          <w:t>https://doi.org/10.1007/978-1-4614-8446-5</w:t>
        </w:r>
      </w:hyperlink>
    </w:p>
    <w:p w14:paraId="7895E6A7" w14:textId="77777777" w:rsidR="00860B2D" w:rsidRPr="00860B2D" w:rsidRDefault="00860B2D" w:rsidP="00860B2D">
      <w:pPr>
        <w:pStyle w:val="NormalWeb"/>
        <w:rPr>
          <w:rFonts w:ascii="Arial" w:hAnsi="Arial" w:cs="Arial"/>
        </w:rPr>
      </w:pPr>
      <w:r w:rsidRPr="00860B2D">
        <w:rPr>
          <w:rFonts w:ascii="Arial" w:hAnsi="Arial" w:cs="Arial"/>
        </w:rPr>
        <w:t xml:space="preserve">Hargadon, A. and </w:t>
      </w:r>
      <w:proofErr w:type="spellStart"/>
      <w:r w:rsidRPr="00860B2D">
        <w:rPr>
          <w:rFonts w:ascii="Arial" w:hAnsi="Arial" w:cs="Arial"/>
        </w:rPr>
        <w:t>Bechky</w:t>
      </w:r>
      <w:proofErr w:type="spellEnd"/>
      <w:r w:rsidRPr="00860B2D">
        <w:rPr>
          <w:rFonts w:ascii="Arial" w:hAnsi="Arial" w:cs="Arial"/>
        </w:rPr>
        <w:t xml:space="preserve">, B.A. (2006) ‘When collections of creatives become creative collectives: A field study of problem solving at work’, </w:t>
      </w:r>
      <w:r w:rsidRPr="00860B2D">
        <w:rPr>
          <w:rStyle w:val="Emphasis"/>
          <w:rFonts w:ascii="Arial" w:eastAsiaTheme="majorEastAsia" w:hAnsi="Arial" w:cs="Arial"/>
        </w:rPr>
        <w:t>Organisation Science</w:t>
      </w:r>
      <w:r w:rsidRPr="00860B2D">
        <w:rPr>
          <w:rFonts w:ascii="Arial" w:hAnsi="Arial" w:cs="Arial"/>
        </w:rPr>
        <w:t>, 17(4), pp. 484–500.</w:t>
      </w:r>
    </w:p>
    <w:p w14:paraId="29BE84EA" w14:textId="77777777" w:rsidR="00860B2D" w:rsidRPr="00860B2D" w:rsidRDefault="00860B2D" w:rsidP="00860B2D">
      <w:pPr>
        <w:pStyle w:val="NormalWeb"/>
        <w:rPr>
          <w:rFonts w:ascii="Arial" w:hAnsi="Arial" w:cs="Arial"/>
        </w:rPr>
      </w:pPr>
      <w:r w:rsidRPr="00860B2D">
        <w:rPr>
          <w:rFonts w:ascii="Arial" w:hAnsi="Arial" w:cs="Arial"/>
        </w:rPr>
        <w:t xml:space="preserve">Hochschild, A.R. (1983) </w:t>
      </w:r>
      <w:r w:rsidRPr="00860B2D">
        <w:rPr>
          <w:rStyle w:val="Emphasis"/>
          <w:rFonts w:ascii="Arial" w:eastAsiaTheme="majorEastAsia" w:hAnsi="Arial" w:cs="Arial"/>
        </w:rPr>
        <w:t>The Managed Heart: Commercialisation of Human Feeling</w:t>
      </w:r>
      <w:r w:rsidRPr="00860B2D">
        <w:rPr>
          <w:rFonts w:ascii="Arial" w:hAnsi="Arial" w:cs="Arial"/>
        </w:rPr>
        <w:t>. Berkeley: University of California Press.</w:t>
      </w:r>
    </w:p>
    <w:p w14:paraId="0CFDBC62" w14:textId="77777777" w:rsidR="00860B2D" w:rsidRPr="00860B2D" w:rsidRDefault="00860B2D" w:rsidP="00860B2D">
      <w:pPr>
        <w:pStyle w:val="NormalWeb"/>
        <w:rPr>
          <w:rFonts w:ascii="Arial" w:hAnsi="Arial" w:cs="Arial"/>
        </w:rPr>
      </w:pPr>
      <w:r w:rsidRPr="00860B2D">
        <w:rPr>
          <w:rFonts w:ascii="Arial" w:hAnsi="Arial" w:cs="Arial"/>
        </w:rPr>
        <w:t xml:space="preserve">Kim, W.C. and Mauborgne, R. (2005) </w:t>
      </w:r>
      <w:r w:rsidRPr="00860B2D">
        <w:rPr>
          <w:rStyle w:val="Emphasis"/>
          <w:rFonts w:ascii="Arial" w:eastAsiaTheme="majorEastAsia" w:hAnsi="Arial" w:cs="Arial"/>
        </w:rPr>
        <w:t>Blue Ocean Strategy</w:t>
      </w:r>
      <w:r w:rsidRPr="00860B2D">
        <w:rPr>
          <w:rFonts w:ascii="Arial" w:hAnsi="Arial" w:cs="Arial"/>
        </w:rPr>
        <w:t>. Boston, MA: Harvard Business School Press.</w:t>
      </w:r>
    </w:p>
    <w:p w14:paraId="7D30B7FE" w14:textId="77777777" w:rsidR="00860B2D" w:rsidRPr="00860B2D" w:rsidRDefault="00860B2D" w:rsidP="00860B2D">
      <w:pPr>
        <w:pStyle w:val="NormalWeb"/>
        <w:rPr>
          <w:rFonts w:ascii="Arial" w:hAnsi="Arial" w:cs="Arial"/>
        </w:rPr>
      </w:pPr>
      <w:proofErr w:type="spellStart"/>
      <w:r w:rsidRPr="00860B2D">
        <w:rPr>
          <w:rFonts w:ascii="Arial" w:hAnsi="Arial" w:cs="Arial"/>
        </w:rPr>
        <w:t>Lampel</w:t>
      </w:r>
      <w:proofErr w:type="spellEnd"/>
      <w:r w:rsidRPr="00860B2D">
        <w:rPr>
          <w:rFonts w:ascii="Arial" w:hAnsi="Arial" w:cs="Arial"/>
        </w:rPr>
        <w:t xml:space="preserve">, J., Lant, T. and </w:t>
      </w:r>
      <w:proofErr w:type="spellStart"/>
      <w:r w:rsidRPr="00860B2D">
        <w:rPr>
          <w:rFonts w:ascii="Arial" w:hAnsi="Arial" w:cs="Arial"/>
        </w:rPr>
        <w:t>Shamsie</w:t>
      </w:r>
      <w:proofErr w:type="spellEnd"/>
      <w:r w:rsidRPr="00860B2D">
        <w:rPr>
          <w:rFonts w:ascii="Arial" w:hAnsi="Arial" w:cs="Arial"/>
        </w:rPr>
        <w:t xml:space="preserve">, J. (2000) ‘Balancing act: Learning from organising practices in cultural industries’, </w:t>
      </w:r>
      <w:r w:rsidRPr="00860B2D">
        <w:rPr>
          <w:rStyle w:val="Emphasis"/>
          <w:rFonts w:ascii="Arial" w:eastAsiaTheme="majorEastAsia" w:hAnsi="Arial" w:cs="Arial"/>
        </w:rPr>
        <w:t>Organisation Science</w:t>
      </w:r>
      <w:r w:rsidRPr="00860B2D">
        <w:rPr>
          <w:rFonts w:ascii="Arial" w:hAnsi="Arial" w:cs="Arial"/>
        </w:rPr>
        <w:t>, 11(3), pp. 263–269.</w:t>
      </w:r>
    </w:p>
    <w:p w14:paraId="510F748C" w14:textId="77777777" w:rsidR="00860B2D" w:rsidRPr="00860B2D" w:rsidRDefault="00860B2D" w:rsidP="00860B2D">
      <w:pPr>
        <w:pStyle w:val="NormalWeb"/>
        <w:rPr>
          <w:rFonts w:ascii="Arial" w:hAnsi="Arial" w:cs="Arial"/>
        </w:rPr>
      </w:pPr>
      <w:r w:rsidRPr="00860B2D">
        <w:rPr>
          <w:rFonts w:ascii="Arial" w:hAnsi="Arial" w:cs="Arial"/>
        </w:rPr>
        <w:t>Manners</w:t>
      </w:r>
      <w:r w:rsidRPr="00860B2D">
        <w:rPr>
          <w:rFonts w:ascii="Arial" w:hAnsi="Arial" w:cs="Arial"/>
        </w:rPr>
        <w:noBreakHyphen/>
        <w:t xml:space="preserve">Bell, J. and Lyon, K. (2022) </w:t>
      </w:r>
      <w:r w:rsidRPr="00860B2D">
        <w:rPr>
          <w:rStyle w:val="Emphasis"/>
          <w:rFonts w:ascii="Arial" w:eastAsiaTheme="majorEastAsia" w:hAnsi="Arial" w:cs="Arial"/>
        </w:rPr>
        <w:t>Logistics and Supply Chain Innovation: A Practical Guide to Disruptive Technologies and New Business Models</w:t>
      </w:r>
      <w:r w:rsidRPr="00860B2D">
        <w:rPr>
          <w:rFonts w:ascii="Arial" w:hAnsi="Arial" w:cs="Arial"/>
        </w:rPr>
        <w:t xml:space="preserve">. 2nd </w:t>
      </w:r>
      <w:proofErr w:type="spellStart"/>
      <w:r w:rsidRPr="00860B2D">
        <w:rPr>
          <w:rFonts w:ascii="Arial" w:hAnsi="Arial" w:cs="Arial"/>
        </w:rPr>
        <w:t>edn</w:t>
      </w:r>
      <w:proofErr w:type="spellEnd"/>
      <w:r w:rsidRPr="00860B2D">
        <w:rPr>
          <w:rFonts w:ascii="Arial" w:hAnsi="Arial" w:cs="Arial"/>
        </w:rPr>
        <w:t>. London: Kogan Page.</w:t>
      </w:r>
    </w:p>
    <w:p w14:paraId="58F700A4" w14:textId="77777777" w:rsidR="00860B2D" w:rsidRPr="00860B2D" w:rsidRDefault="00860B2D" w:rsidP="00860B2D">
      <w:pPr>
        <w:pStyle w:val="NormalWeb"/>
        <w:rPr>
          <w:rFonts w:ascii="Arial" w:hAnsi="Arial" w:cs="Arial"/>
        </w:rPr>
      </w:pPr>
      <w:r w:rsidRPr="00860B2D">
        <w:rPr>
          <w:rFonts w:ascii="Arial" w:hAnsi="Arial" w:cs="Arial"/>
        </w:rPr>
        <w:t xml:space="preserve">Markman, A.B. (2016) </w:t>
      </w:r>
      <w:r w:rsidRPr="00860B2D">
        <w:rPr>
          <w:rStyle w:val="Emphasis"/>
          <w:rFonts w:ascii="Arial" w:eastAsiaTheme="majorEastAsia" w:hAnsi="Arial" w:cs="Arial"/>
        </w:rPr>
        <w:t>Open Innovation: Academic and Practical Perspectives on the Journey from Idea to Market</w:t>
      </w:r>
      <w:r w:rsidRPr="00860B2D">
        <w:rPr>
          <w:rFonts w:ascii="Arial" w:hAnsi="Arial" w:cs="Arial"/>
        </w:rPr>
        <w:t>. Oxford: Oxford University Press.</w:t>
      </w:r>
      <w:r w:rsidRPr="00860B2D">
        <w:rPr>
          <w:rFonts w:ascii="Arial" w:hAnsi="Arial" w:cs="Arial"/>
        </w:rPr>
        <w:br/>
        <w:t xml:space="preserve">Available at: </w:t>
      </w:r>
      <w:hyperlink r:id="rId19" w:history="1">
        <w:r w:rsidRPr="00860B2D">
          <w:rPr>
            <w:rStyle w:val="Hyperlink"/>
            <w:rFonts w:ascii="Arial" w:eastAsiaTheme="majorEastAsia" w:hAnsi="Arial" w:cs="Arial"/>
          </w:rPr>
          <w:t>https://doi.org/10.1093/acprof:oso/9780199374441.001.0001</w:t>
        </w:r>
      </w:hyperlink>
    </w:p>
    <w:p w14:paraId="16E06EFE" w14:textId="77777777" w:rsidR="00860B2D" w:rsidRPr="00860B2D" w:rsidRDefault="00860B2D" w:rsidP="00860B2D">
      <w:pPr>
        <w:pStyle w:val="NormalWeb"/>
        <w:rPr>
          <w:rFonts w:ascii="Arial" w:hAnsi="Arial" w:cs="Arial"/>
        </w:rPr>
      </w:pPr>
      <w:r w:rsidRPr="00860B2D">
        <w:rPr>
          <w:rFonts w:ascii="Arial" w:hAnsi="Arial" w:cs="Arial"/>
        </w:rPr>
        <w:t xml:space="preserve">Maslach, C. and Leiter, M.P. (2016) ‘Understanding the burnout experience’, </w:t>
      </w:r>
      <w:r w:rsidRPr="00860B2D">
        <w:rPr>
          <w:rStyle w:val="Emphasis"/>
          <w:rFonts w:ascii="Arial" w:eastAsiaTheme="majorEastAsia" w:hAnsi="Arial" w:cs="Arial"/>
        </w:rPr>
        <w:t>World Psychiatry</w:t>
      </w:r>
      <w:r w:rsidRPr="00860B2D">
        <w:rPr>
          <w:rFonts w:ascii="Arial" w:hAnsi="Arial" w:cs="Arial"/>
        </w:rPr>
        <w:t>, 15(2), pp. 103–111.</w:t>
      </w:r>
    </w:p>
    <w:p w14:paraId="3B0ED0D4" w14:textId="77777777" w:rsidR="00860B2D" w:rsidRPr="00860B2D" w:rsidRDefault="00860B2D" w:rsidP="00860B2D">
      <w:pPr>
        <w:pStyle w:val="NormalWeb"/>
        <w:rPr>
          <w:rFonts w:ascii="Arial" w:hAnsi="Arial" w:cs="Arial"/>
        </w:rPr>
      </w:pPr>
      <w:r w:rsidRPr="00860B2D">
        <w:rPr>
          <w:rFonts w:ascii="Arial" w:hAnsi="Arial" w:cs="Arial"/>
        </w:rPr>
        <w:t xml:space="preserve">Newman, A., Donohue, R. and Eva, N. (2020) ‘Psychological safety: A systematic review’, </w:t>
      </w:r>
      <w:r w:rsidRPr="00860B2D">
        <w:rPr>
          <w:rStyle w:val="Emphasis"/>
          <w:rFonts w:ascii="Arial" w:eastAsiaTheme="majorEastAsia" w:hAnsi="Arial" w:cs="Arial"/>
        </w:rPr>
        <w:t>Human Resource Management Review</w:t>
      </w:r>
      <w:r w:rsidRPr="00860B2D">
        <w:rPr>
          <w:rFonts w:ascii="Arial" w:hAnsi="Arial" w:cs="Arial"/>
        </w:rPr>
        <w:t>, 30(1), pp. 1–12.</w:t>
      </w:r>
      <w:r w:rsidRPr="00860B2D">
        <w:rPr>
          <w:rFonts w:ascii="Arial" w:hAnsi="Arial" w:cs="Arial"/>
        </w:rPr>
        <w:br/>
        <w:t xml:space="preserve">Available at: </w:t>
      </w:r>
      <w:hyperlink r:id="rId20" w:history="1">
        <w:r w:rsidRPr="00860B2D">
          <w:rPr>
            <w:rStyle w:val="Hyperlink"/>
            <w:rFonts w:ascii="Arial" w:eastAsiaTheme="majorEastAsia" w:hAnsi="Arial" w:cs="Arial"/>
          </w:rPr>
          <w:t>https://doi.org/10.1016/j.hrmr.2019.100318</w:t>
        </w:r>
      </w:hyperlink>
    </w:p>
    <w:p w14:paraId="426E2497" w14:textId="77777777" w:rsidR="00860B2D" w:rsidRPr="00860B2D" w:rsidRDefault="00860B2D" w:rsidP="00860B2D">
      <w:pPr>
        <w:pStyle w:val="NormalWeb"/>
        <w:rPr>
          <w:rFonts w:ascii="Arial" w:hAnsi="Arial" w:cs="Arial"/>
        </w:rPr>
      </w:pPr>
      <w:proofErr w:type="spellStart"/>
      <w:r w:rsidRPr="00860B2D">
        <w:rPr>
          <w:rFonts w:ascii="Arial" w:hAnsi="Arial" w:cs="Arial"/>
        </w:rPr>
        <w:t>Peredo</w:t>
      </w:r>
      <w:proofErr w:type="spellEnd"/>
      <w:r w:rsidRPr="00860B2D">
        <w:rPr>
          <w:rFonts w:ascii="Arial" w:hAnsi="Arial" w:cs="Arial"/>
        </w:rPr>
        <w:t>, A.M. and Chrisman, J.J. (2006) ‘Toward a theory of community</w:t>
      </w:r>
      <w:r w:rsidRPr="00860B2D">
        <w:rPr>
          <w:rFonts w:ascii="Arial" w:hAnsi="Arial" w:cs="Arial"/>
        </w:rPr>
        <w:noBreakHyphen/>
        <w:t xml:space="preserve">based enterprise’, </w:t>
      </w:r>
      <w:r w:rsidRPr="00860B2D">
        <w:rPr>
          <w:rStyle w:val="Emphasis"/>
          <w:rFonts w:ascii="Arial" w:eastAsiaTheme="majorEastAsia" w:hAnsi="Arial" w:cs="Arial"/>
        </w:rPr>
        <w:t>Academy of Management Review</w:t>
      </w:r>
      <w:r w:rsidRPr="00860B2D">
        <w:rPr>
          <w:rFonts w:ascii="Arial" w:hAnsi="Arial" w:cs="Arial"/>
        </w:rPr>
        <w:t>, 31(2), pp. 309–328.</w:t>
      </w:r>
    </w:p>
    <w:p w14:paraId="167E8AF3" w14:textId="77777777" w:rsidR="00860B2D" w:rsidRPr="00860B2D" w:rsidRDefault="00860B2D" w:rsidP="00860B2D">
      <w:pPr>
        <w:pStyle w:val="NormalWeb"/>
        <w:rPr>
          <w:rFonts w:ascii="Arial" w:hAnsi="Arial" w:cs="Arial"/>
        </w:rPr>
      </w:pPr>
      <w:r w:rsidRPr="00860B2D">
        <w:rPr>
          <w:rFonts w:ascii="Arial" w:hAnsi="Arial" w:cs="Arial"/>
        </w:rPr>
        <w:lastRenderedPageBreak/>
        <w:t xml:space="preserve">Piketty, T. (2014) </w:t>
      </w:r>
      <w:r w:rsidRPr="00860B2D">
        <w:rPr>
          <w:rStyle w:val="Emphasis"/>
          <w:rFonts w:ascii="Arial" w:eastAsiaTheme="majorEastAsia" w:hAnsi="Arial" w:cs="Arial"/>
        </w:rPr>
        <w:t>Capital in the Twenty</w:t>
      </w:r>
      <w:r w:rsidRPr="00860B2D">
        <w:rPr>
          <w:rStyle w:val="Emphasis"/>
          <w:rFonts w:ascii="Arial" w:eastAsiaTheme="majorEastAsia" w:hAnsi="Arial" w:cs="Arial"/>
        </w:rPr>
        <w:noBreakHyphen/>
        <w:t>First Century</w:t>
      </w:r>
      <w:r w:rsidRPr="00860B2D">
        <w:rPr>
          <w:rFonts w:ascii="Arial" w:hAnsi="Arial" w:cs="Arial"/>
        </w:rPr>
        <w:t>. Cambridge, MA: Harvard University Press.</w:t>
      </w:r>
      <w:r w:rsidRPr="00860B2D">
        <w:rPr>
          <w:rFonts w:ascii="Arial" w:hAnsi="Arial" w:cs="Arial"/>
        </w:rPr>
        <w:br/>
        <w:t xml:space="preserve">Available at: </w:t>
      </w:r>
      <w:hyperlink r:id="rId21" w:history="1">
        <w:r w:rsidRPr="00860B2D">
          <w:rPr>
            <w:rStyle w:val="Hyperlink"/>
            <w:rFonts w:ascii="Arial" w:eastAsiaTheme="majorEastAsia" w:hAnsi="Arial" w:cs="Arial"/>
          </w:rPr>
          <w:t>https://doi.org/10.4159/9780674369542</w:t>
        </w:r>
      </w:hyperlink>
    </w:p>
    <w:p w14:paraId="0FA55ACE" w14:textId="77777777" w:rsidR="00860B2D" w:rsidRPr="00860B2D" w:rsidRDefault="00860B2D" w:rsidP="00860B2D">
      <w:pPr>
        <w:pStyle w:val="NormalWeb"/>
        <w:rPr>
          <w:rFonts w:ascii="Arial" w:hAnsi="Arial" w:cs="Arial"/>
        </w:rPr>
      </w:pPr>
      <w:proofErr w:type="spellStart"/>
      <w:r w:rsidRPr="00860B2D">
        <w:rPr>
          <w:rFonts w:ascii="Arial" w:hAnsi="Arial" w:cs="Arial"/>
        </w:rPr>
        <w:t>Plucker</w:t>
      </w:r>
      <w:proofErr w:type="spellEnd"/>
      <w:r w:rsidRPr="00860B2D">
        <w:rPr>
          <w:rFonts w:ascii="Arial" w:hAnsi="Arial" w:cs="Arial"/>
        </w:rPr>
        <w:t xml:space="preserve">, J.A. (2016) </w:t>
      </w:r>
      <w:r w:rsidRPr="00860B2D">
        <w:rPr>
          <w:rStyle w:val="Emphasis"/>
          <w:rFonts w:ascii="Arial" w:eastAsiaTheme="majorEastAsia" w:hAnsi="Arial" w:cs="Arial"/>
        </w:rPr>
        <w:t>Creativity and Innovation: Theory, Research, and Practice</w:t>
      </w:r>
      <w:r w:rsidRPr="00860B2D">
        <w:rPr>
          <w:rFonts w:ascii="Arial" w:hAnsi="Arial" w:cs="Arial"/>
        </w:rPr>
        <w:t>. Waco, TX: Prufrock Press.</w:t>
      </w:r>
    </w:p>
    <w:p w14:paraId="55995219" w14:textId="77777777" w:rsidR="00860B2D" w:rsidRPr="00860B2D" w:rsidRDefault="00860B2D" w:rsidP="00860B2D">
      <w:pPr>
        <w:pStyle w:val="NormalWeb"/>
        <w:rPr>
          <w:rFonts w:ascii="Arial" w:hAnsi="Arial" w:cs="Arial"/>
        </w:rPr>
      </w:pPr>
      <w:r w:rsidRPr="00860B2D">
        <w:rPr>
          <w:rFonts w:ascii="Arial" w:hAnsi="Arial" w:cs="Arial"/>
        </w:rPr>
        <w:t xml:space="preserve">Porter, M. and Kramer, M. (2019) ‘Creating shared value: Updated reflections’, </w:t>
      </w:r>
      <w:r w:rsidRPr="00860B2D">
        <w:rPr>
          <w:rStyle w:val="Emphasis"/>
          <w:rFonts w:ascii="Arial" w:eastAsiaTheme="majorEastAsia" w:hAnsi="Arial" w:cs="Arial"/>
        </w:rPr>
        <w:t>Harvard Business Review</w:t>
      </w:r>
      <w:r w:rsidRPr="00860B2D">
        <w:rPr>
          <w:rFonts w:ascii="Arial" w:hAnsi="Arial" w:cs="Arial"/>
        </w:rPr>
        <w:t>, 97(1), pp. 1–5.</w:t>
      </w:r>
    </w:p>
    <w:p w14:paraId="75EF6AEF" w14:textId="77777777" w:rsidR="00860B2D" w:rsidRPr="00860B2D" w:rsidRDefault="00860B2D" w:rsidP="00860B2D">
      <w:pPr>
        <w:pStyle w:val="NormalWeb"/>
        <w:rPr>
          <w:rFonts w:ascii="Arial" w:hAnsi="Arial" w:cs="Arial"/>
        </w:rPr>
      </w:pPr>
      <w:r w:rsidRPr="00860B2D">
        <w:rPr>
          <w:rFonts w:ascii="Arial" w:hAnsi="Arial" w:cs="Arial"/>
        </w:rPr>
        <w:t xml:space="preserve">Puccio, G.J., </w:t>
      </w:r>
      <w:proofErr w:type="spellStart"/>
      <w:r w:rsidRPr="00860B2D">
        <w:rPr>
          <w:rFonts w:ascii="Arial" w:hAnsi="Arial" w:cs="Arial"/>
        </w:rPr>
        <w:t>Mance</w:t>
      </w:r>
      <w:proofErr w:type="spellEnd"/>
      <w:r w:rsidRPr="00860B2D">
        <w:rPr>
          <w:rFonts w:ascii="Arial" w:hAnsi="Arial" w:cs="Arial"/>
        </w:rPr>
        <w:t xml:space="preserve">, M. and </w:t>
      </w:r>
      <w:proofErr w:type="spellStart"/>
      <w:r w:rsidRPr="00860B2D">
        <w:rPr>
          <w:rFonts w:ascii="Arial" w:hAnsi="Arial" w:cs="Arial"/>
        </w:rPr>
        <w:t>Barbero</w:t>
      </w:r>
      <w:proofErr w:type="spellEnd"/>
      <w:r w:rsidRPr="00860B2D">
        <w:rPr>
          <w:rFonts w:ascii="Arial" w:hAnsi="Arial" w:cs="Arial"/>
        </w:rPr>
        <w:t xml:space="preserve"> </w:t>
      </w:r>
      <w:proofErr w:type="spellStart"/>
      <w:r w:rsidRPr="00860B2D">
        <w:rPr>
          <w:rFonts w:ascii="Arial" w:hAnsi="Arial" w:cs="Arial"/>
        </w:rPr>
        <w:t>Switalski</w:t>
      </w:r>
      <w:proofErr w:type="spellEnd"/>
      <w:r w:rsidRPr="00860B2D">
        <w:rPr>
          <w:rFonts w:ascii="Arial" w:hAnsi="Arial" w:cs="Arial"/>
        </w:rPr>
        <w:t xml:space="preserve">, L. (2018) </w:t>
      </w:r>
      <w:r w:rsidRPr="00860B2D">
        <w:rPr>
          <w:rStyle w:val="Emphasis"/>
          <w:rFonts w:ascii="Arial" w:eastAsiaTheme="majorEastAsia" w:hAnsi="Arial" w:cs="Arial"/>
        </w:rPr>
        <w:t>Creative Leadership: Skills That Drive Change</w:t>
      </w:r>
      <w:r w:rsidRPr="00860B2D">
        <w:rPr>
          <w:rFonts w:ascii="Arial" w:hAnsi="Arial" w:cs="Arial"/>
        </w:rPr>
        <w:t xml:space="preserve">. 2nd </w:t>
      </w:r>
      <w:proofErr w:type="spellStart"/>
      <w:r w:rsidRPr="00860B2D">
        <w:rPr>
          <w:rFonts w:ascii="Arial" w:hAnsi="Arial" w:cs="Arial"/>
        </w:rPr>
        <w:t>edn</w:t>
      </w:r>
      <w:proofErr w:type="spellEnd"/>
      <w:r w:rsidRPr="00860B2D">
        <w:rPr>
          <w:rFonts w:ascii="Arial" w:hAnsi="Arial" w:cs="Arial"/>
        </w:rPr>
        <w:t>. London: Sage.</w:t>
      </w:r>
    </w:p>
    <w:p w14:paraId="7CE65B91" w14:textId="77777777" w:rsidR="00860B2D" w:rsidRPr="00860B2D" w:rsidRDefault="00860B2D" w:rsidP="00860B2D">
      <w:pPr>
        <w:pStyle w:val="NormalWeb"/>
        <w:rPr>
          <w:rFonts w:ascii="Arial" w:hAnsi="Arial" w:cs="Arial"/>
        </w:rPr>
      </w:pPr>
      <w:r w:rsidRPr="00860B2D">
        <w:rPr>
          <w:rFonts w:ascii="Arial" w:hAnsi="Arial" w:cs="Arial"/>
        </w:rPr>
        <w:t xml:space="preserve">Russo </w:t>
      </w:r>
      <w:proofErr w:type="spellStart"/>
      <w:r w:rsidRPr="00860B2D">
        <w:rPr>
          <w:rFonts w:ascii="Arial" w:hAnsi="Arial" w:cs="Arial"/>
        </w:rPr>
        <w:t>Spena</w:t>
      </w:r>
      <w:proofErr w:type="spellEnd"/>
      <w:r w:rsidRPr="00860B2D">
        <w:rPr>
          <w:rFonts w:ascii="Arial" w:hAnsi="Arial" w:cs="Arial"/>
        </w:rPr>
        <w:t xml:space="preserve">, T., </w:t>
      </w:r>
      <w:proofErr w:type="spellStart"/>
      <w:r w:rsidRPr="00860B2D">
        <w:rPr>
          <w:rFonts w:ascii="Arial" w:hAnsi="Arial" w:cs="Arial"/>
        </w:rPr>
        <w:t>Caridà</w:t>
      </w:r>
      <w:proofErr w:type="spellEnd"/>
      <w:r w:rsidRPr="00860B2D">
        <w:rPr>
          <w:rFonts w:ascii="Arial" w:hAnsi="Arial" w:cs="Arial"/>
        </w:rPr>
        <w:t xml:space="preserve">, A. and </w:t>
      </w:r>
      <w:proofErr w:type="spellStart"/>
      <w:r w:rsidRPr="00860B2D">
        <w:rPr>
          <w:rFonts w:ascii="Arial" w:hAnsi="Arial" w:cs="Arial"/>
        </w:rPr>
        <w:t>Colurcio</w:t>
      </w:r>
      <w:proofErr w:type="spellEnd"/>
      <w:r w:rsidRPr="00860B2D">
        <w:rPr>
          <w:rFonts w:ascii="Arial" w:hAnsi="Arial" w:cs="Arial"/>
        </w:rPr>
        <w:t xml:space="preserve">, M. (2012) ‘Creating value in the experience economy’, </w:t>
      </w:r>
      <w:r w:rsidRPr="00860B2D">
        <w:rPr>
          <w:rStyle w:val="Emphasis"/>
          <w:rFonts w:ascii="Arial" w:eastAsiaTheme="majorEastAsia" w:hAnsi="Arial" w:cs="Arial"/>
        </w:rPr>
        <w:t>Service Industries Journal</w:t>
      </w:r>
      <w:r w:rsidRPr="00860B2D">
        <w:rPr>
          <w:rFonts w:ascii="Arial" w:hAnsi="Arial" w:cs="Arial"/>
        </w:rPr>
        <w:t>, 32(4), pp. 1–18.</w:t>
      </w:r>
    </w:p>
    <w:p w14:paraId="2C53B68C" w14:textId="77777777" w:rsidR="00860B2D" w:rsidRPr="00860B2D" w:rsidRDefault="00860B2D" w:rsidP="00860B2D">
      <w:pPr>
        <w:pStyle w:val="NormalWeb"/>
        <w:rPr>
          <w:rFonts w:ascii="Arial" w:hAnsi="Arial" w:cs="Arial"/>
        </w:rPr>
      </w:pPr>
      <w:r w:rsidRPr="00860B2D">
        <w:rPr>
          <w:rFonts w:ascii="Arial" w:hAnsi="Arial" w:cs="Arial"/>
        </w:rPr>
        <w:t>Shrestha, Y.R., Ben</w:t>
      </w:r>
      <w:r w:rsidRPr="00860B2D">
        <w:rPr>
          <w:rFonts w:ascii="Arial" w:hAnsi="Arial" w:cs="Arial"/>
        </w:rPr>
        <w:noBreakHyphen/>
        <w:t>Menahem, S.M. and von Krogh, G. (2019) ‘Organisational decision</w:t>
      </w:r>
      <w:r w:rsidRPr="00860B2D">
        <w:rPr>
          <w:rFonts w:ascii="Arial" w:hAnsi="Arial" w:cs="Arial"/>
        </w:rPr>
        <w:noBreakHyphen/>
        <w:t xml:space="preserve">making structures in the age of artificial intelligence’, </w:t>
      </w:r>
      <w:r w:rsidRPr="00860B2D">
        <w:rPr>
          <w:rStyle w:val="Emphasis"/>
          <w:rFonts w:ascii="Arial" w:eastAsiaTheme="majorEastAsia" w:hAnsi="Arial" w:cs="Arial"/>
        </w:rPr>
        <w:t>California Management Review</w:t>
      </w:r>
      <w:r w:rsidRPr="00860B2D">
        <w:rPr>
          <w:rFonts w:ascii="Arial" w:hAnsi="Arial" w:cs="Arial"/>
        </w:rPr>
        <w:t>, 61(4), pp. 66–83.</w:t>
      </w:r>
    </w:p>
    <w:p w14:paraId="228EEFDA" w14:textId="77777777" w:rsidR="00860B2D" w:rsidRPr="00860B2D" w:rsidRDefault="00860B2D" w:rsidP="00860B2D">
      <w:pPr>
        <w:pStyle w:val="NormalWeb"/>
        <w:rPr>
          <w:rFonts w:ascii="Arial" w:hAnsi="Arial" w:cs="Arial"/>
        </w:rPr>
      </w:pPr>
      <w:r w:rsidRPr="00860B2D">
        <w:rPr>
          <w:rFonts w:ascii="Arial" w:hAnsi="Arial" w:cs="Arial"/>
        </w:rPr>
        <w:t xml:space="preserve">Singh, S. and Aggarwal, Y. (2022) ‘In search of a consensus definition of innovation’, </w:t>
      </w:r>
      <w:r w:rsidRPr="00860B2D">
        <w:rPr>
          <w:rStyle w:val="Emphasis"/>
          <w:rFonts w:ascii="Arial" w:eastAsiaTheme="majorEastAsia" w:hAnsi="Arial" w:cs="Arial"/>
        </w:rPr>
        <w:t>Innovation</w:t>
      </w:r>
      <w:r w:rsidRPr="00860B2D">
        <w:rPr>
          <w:rFonts w:ascii="Arial" w:hAnsi="Arial" w:cs="Arial"/>
        </w:rPr>
        <w:t>, 35(2), pp. 177–195.</w:t>
      </w:r>
      <w:r w:rsidRPr="00860B2D">
        <w:rPr>
          <w:rFonts w:ascii="Arial" w:hAnsi="Arial" w:cs="Arial"/>
        </w:rPr>
        <w:br/>
        <w:t xml:space="preserve">Available at: </w:t>
      </w:r>
      <w:hyperlink r:id="rId22" w:history="1">
        <w:r w:rsidRPr="00860B2D">
          <w:rPr>
            <w:rStyle w:val="Hyperlink"/>
            <w:rFonts w:ascii="Arial" w:eastAsiaTheme="majorEastAsia" w:hAnsi="Arial" w:cs="Arial"/>
          </w:rPr>
          <w:t>https://doi.org/10.1080/13511610.2021.1925526</w:t>
        </w:r>
      </w:hyperlink>
    </w:p>
    <w:p w14:paraId="6094539D" w14:textId="77777777" w:rsidR="00860B2D" w:rsidRPr="00860B2D" w:rsidRDefault="00860B2D" w:rsidP="00860B2D">
      <w:pPr>
        <w:pStyle w:val="NormalWeb"/>
        <w:rPr>
          <w:rFonts w:ascii="Arial" w:hAnsi="Arial" w:cs="Arial"/>
        </w:rPr>
      </w:pPr>
      <w:r w:rsidRPr="00860B2D">
        <w:rPr>
          <w:rFonts w:ascii="Arial" w:hAnsi="Arial" w:cs="Arial"/>
        </w:rPr>
        <w:t xml:space="preserve">Srnicek, N. (2017) </w:t>
      </w:r>
      <w:r w:rsidRPr="00860B2D">
        <w:rPr>
          <w:rStyle w:val="Emphasis"/>
          <w:rFonts w:ascii="Arial" w:eastAsiaTheme="majorEastAsia" w:hAnsi="Arial" w:cs="Arial"/>
        </w:rPr>
        <w:t>Platform Capitalism</w:t>
      </w:r>
      <w:r w:rsidRPr="00860B2D">
        <w:rPr>
          <w:rFonts w:ascii="Arial" w:hAnsi="Arial" w:cs="Arial"/>
        </w:rPr>
        <w:t>. Cambridge: Polity Press.</w:t>
      </w:r>
    </w:p>
    <w:p w14:paraId="35588A93" w14:textId="77777777" w:rsidR="00860B2D" w:rsidRPr="00860B2D" w:rsidRDefault="00860B2D" w:rsidP="00860B2D">
      <w:pPr>
        <w:pStyle w:val="NormalWeb"/>
        <w:rPr>
          <w:rFonts w:ascii="Arial" w:hAnsi="Arial" w:cs="Arial"/>
        </w:rPr>
      </w:pPr>
      <w:r w:rsidRPr="00860B2D">
        <w:rPr>
          <w:rFonts w:ascii="Arial" w:hAnsi="Arial" w:cs="Arial"/>
        </w:rPr>
        <w:t xml:space="preserve">Stokes, P.D. (2005) ‘Creativity from constraints’, </w:t>
      </w:r>
      <w:r w:rsidRPr="00860B2D">
        <w:rPr>
          <w:rStyle w:val="Emphasis"/>
          <w:rFonts w:ascii="Arial" w:eastAsiaTheme="majorEastAsia" w:hAnsi="Arial" w:cs="Arial"/>
        </w:rPr>
        <w:t>New Ideas in Psychology</w:t>
      </w:r>
      <w:r w:rsidRPr="00860B2D">
        <w:rPr>
          <w:rFonts w:ascii="Arial" w:hAnsi="Arial" w:cs="Arial"/>
        </w:rPr>
        <w:t>, 23(3), pp. 222–235.</w:t>
      </w:r>
    </w:p>
    <w:p w14:paraId="20C8E965" w14:textId="77777777" w:rsidR="00860B2D" w:rsidRPr="00860B2D" w:rsidRDefault="00860B2D" w:rsidP="00860B2D">
      <w:pPr>
        <w:pStyle w:val="NormalWeb"/>
        <w:rPr>
          <w:rFonts w:ascii="Arial" w:hAnsi="Arial" w:cs="Arial"/>
        </w:rPr>
      </w:pPr>
      <w:r w:rsidRPr="00860B2D">
        <w:rPr>
          <w:rFonts w:ascii="Arial" w:hAnsi="Arial" w:cs="Arial"/>
        </w:rPr>
        <w:t xml:space="preserve">Storey, D.J. (2016) </w:t>
      </w:r>
      <w:r w:rsidRPr="00860B2D">
        <w:rPr>
          <w:rStyle w:val="Emphasis"/>
          <w:rFonts w:ascii="Arial" w:eastAsiaTheme="majorEastAsia" w:hAnsi="Arial" w:cs="Arial"/>
        </w:rPr>
        <w:t>Understanding the Small Business Sector</w:t>
      </w:r>
      <w:r w:rsidRPr="00860B2D">
        <w:rPr>
          <w:rFonts w:ascii="Arial" w:hAnsi="Arial" w:cs="Arial"/>
        </w:rPr>
        <w:t>. London: Routledge.</w:t>
      </w:r>
    </w:p>
    <w:p w14:paraId="56AE7FD0" w14:textId="77777777" w:rsidR="00860B2D" w:rsidRPr="00860B2D" w:rsidRDefault="00860B2D" w:rsidP="00860B2D">
      <w:pPr>
        <w:pStyle w:val="NormalWeb"/>
        <w:rPr>
          <w:rFonts w:ascii="Arial" w:hAnsi="Arial" w:cs="Arial"/>
        </w:rPr>
      </w:pPr>
      <w:proofErr w:type="spellStart"/>
      <w:r w:rsidRPr="00860B2D">
        <w:rPr>
          <w:rFonts w:ascii="Arial" w:hAnsi="Arial" w:cs="Arial"/>
        </w:rPr>
        <w:t>Surchi</w:t>
      </w:r>
      <w:proofErr w:type="spellEnd"/>
      <w:r w:rsidRPr="00860B2D">
        <w:rPr>
          <w:rFonts w:ascii="Arial" w:hAnsi="Arial" w:cs="Arial"/>
        </w:rPr>
        <w:t xml:space="preserve">, M. (2011) ‘The temporary store’, </w:t>
      </w:r>
      <w:r w:rsidRPr="00860B2D">
        <w:rPr>
          <w:rStyle w:val="Emphasis"/>
          <w:rFonts w:ascii="Arial" w:eastAsiaTheme="majorEastAsia" w:hAnsi="Arial" w:cs="Arial"/>
        </w:rPr>
        <w:t>Journal of Fashion Marketing and Management</w:t>
      </w:r>
      <w:r w:rsidRPr="00860B2D">
        <w:rPr>
          <w:rFonts w:ascii="Arial" w:hAnsi="Arial" w:cs="Arial"/>
        </w:rPr>
        <w:t>, 15(2), pp. 257–270.</w:t>
      </w:r>
    </w:p>
    <w:p w14:paraId="7F6A2A45" w14:textId="77777777" w:rsidR="00860B2D" w:rsidRPr="00860B2D" w:rsidRDefault="00860B2D" w:rsidP="00860B2D">
      <w:pPr>
        <w:pStyle w:val="NormalWeb"/>
        <w:rPr>
          <w:rFonts w:ascii="Arial" w:hAnsi="Arial" w:cs="Arial"/>
        </w:rPr>
      </w:pPr>
      <w:r w:rsidRPr="00860B2D">
        <w:rPr>
          <w:rFonts w:ascii="Arial" w:hAnsi="Arial" w:cs="Arial"/>
        </w:rPr>
        <w:t xml:space="preserve">Susskind, D. (2020) </w:t>
      </w:r>
      <w:r w:rsidRPr="00860B2D">
        <w:rPr>
          <w:rStyle w:val="Emphasis"/>
          <w:rFonts w:ascii="Arial" w:eastAsiaTheme="majorEastAsia" w:hAnsi="Arial" w:cs="Arial"/>
        </w:rPr>
        <w:t>A World Without Work</w:t>
      </w:r>
      <w:r w:rsidRPr="00860B2D">
        <w:rPr>
          <w:rFonts w:ascii="Arial" w:hAnsi="Arial" w:cs="Arial"/>
        </w:rPr>
        <w:t>. London: Allen Lane.</w:t>
      </w:r>
    </w:p>
    <w:p w14:paraId="26E4A5DC" w14:textId="77777777" w:rsidR="00860B2D" w:rsidRPr="00860B2D" w:rsidRDefault="00860B2D" w:rsidP="00860B2D">
      <w:pPr>
        <w:pStyle w:val="NormalWeb"/>
        <w:rPr>
          <w:rFonts w:ascii="Arial" w:hAnsi="Arial" w:cs="Arial"/>
        </w:rPr>
      </w:pPr>
      <w:r w:rsidRPr="00860B2D">
        <w:rPr>
          <w:rFonts w:ascii="Arial" w:hAnsi="Arial" w:cs="Arial"/>
        </w:rPr>
        <w:t xml:space="preserve">Tidd, J. and Bessant, J.R. (2021) </w:t>
      </w:r>
      <w:r w:rsidRPr="00860B2D">
        <w:rPr>
          <w:rStyle w:val="Emphasis"/>
          <w:rFonts w:ascii="Arial" w:eastAsiaTheme="majorEastAsia" w:hAnsi="Arial" w:cs="Arial"/>
        </w:rPr>
        <w:t>Managing Innovation</w:t>
      </w:r>
      <w:r w:rsidRPr="00860B2D">
        <w:rPr>
          <w:rFonts w:ascii="Arial" w:hAnsi="Arial" w:cs="Arial"/>
        </w:rPr>
        <w:t xml:space="preserve">. 7th </w:t>
      </w:r>
      <w:proofErr w:type="spellStart"/>
      <w:r w:rsidRPr="00860B2D">
        <w:rPr>
          <w:rFonts w:ascii="Arial" w:hAnsi="Arial" w:cs="Arial"/>
        </w:rPr>
        <w:t>edn</w:t>
      </w:r>
      <w:proofErr w:type="spellEnd"/>
      <w:r w:rsidRPr="00860B2D">
        <w:rPr>
          <w:rFonts w:ascii="Arial" w:hAnsi="Arial" w:cs="Arial"/>
        </w:rPr>
        <w:t>. Hoboken: Wiley.</w:t>
      </w:r>
    </w:p>
    <w:p w14:paraId="2CBBA817" w14:textId="77777777" w:rsidR="00860B2D" w:rsidRPr="00860B2D" w:rsidRDefault="00860B2D" w:rsidP="00860B2D">
      <w:pPr>
        <w:pStyle w:val="NormalWeb"/>
        <w:rPr>
          <w:rFonts w:ascii="Arial" w:hAnsi="Arial" w:cs="Arial"/>
        </w:rPr>
      </w:pPr>
      <w:r w:rsidRPr="00860B2D">
        <w:rPr>
          <w:rFonts w:ascii="Arial" w:hAnsi="Arial" w:cs="Arial"/>
        </w:rPr>
        <w:t xml:space="preserve">Trott, P. (2016) </w:t>
      </w:r>
      <w:r w:rsidRPr="00860B2D">
        <w:rPr>
          <w:rStyle w:val="Emphasis"/>
          <w:rFonts w:ascii="Arial" w:eastAsiaTheme="majorEastAsia" w:hAnsi="Arial" w:cs="Arial"/>
        </w:rPr>
        <w:t>Innovation Management and New Product Development</w:t>
      </w:r>
      <w:r w:rsidRPr="00860B2D">
        <w:rPr>
          <w:rFonts w:ascii="Arial" w:hAnsi="Arial" w:cs="Arial"/>
        </w:rPr>
        <w:t xml:space="preserve">. 6th </w:t>
      </w:r>
      <w:proofErr w:type="spellStart"/>
      <w:r w:rsidRPr="00860B2D">
        <w:rPr>
          <w:rFonts w:ascii="Arial" w:hAnsi="Arial" w:cs="Arial"/>
        </w:rPr>
        <w:t>edn</w:t>
      </w:r>
      <w:proofErr w:type="spellEnd"/>
      <w:r w:rsidRPr="00860B2D">
        <w:rPr>
          <w:rFonts w:ascii="Arial" w:hAnsi="Arial" w:cs="Arial"/>
        </w:rPr>
        <w:t>. Harlow: Pearson.</w:t>
      </w:r>
    </w:p>
    <w:p w14:paraId="362C328D" w14:textId="77777777" w:rsidR="00860B2D" w:rsidRPr="00860B2D" w:rsidRDefault="00860B2D" w:rsidP="00860B2D">
      <w:pPr>
        <w:pStyle w:val="NormalWeb"/>
        <w:rPr>
          <w:rFonts w:ascii="Arial" w:hAnsi="Arial" w:cs="Arial"/>
        </w:rPr>
      </w:pPr>
      <w:r w:rsidRPr="00860B2D">
        <w:rPr>
          <w:rFonts w:ascii="Arial" w:hAnsi="Arial" w:cs="Arial"/>
        </w:rPr>
        <w:t xml:space="preserve">Turner, E. (2020) </w:t>
      </w:r>
      <w:r w:rsidRPr="00860B2D">
        <w:rPr>
          <w:rStyle w:val="Emphasis"/>
          <w:rFonts w:ascii="Arial" w:eastAsiaTheme="majorEastAsia" w:hAnsi="Arial" w:cs="Arial"/>
        </w:rPr>
        <w:t>Be Less Zombie</w:t>
      </w:r>
      <w:r w:rsidRPr="00860B2D">
        <w:rPr>
          <w:rFonts w:ascii="Arial" w:hAnsi="Arial" w:cs="Arial"/>
        </w:rPr>
        <w:t>. Chichester: Wiley.</w:t>
      </w:r>
    </w:p>
    <w:p w14:paraId="589C2DE7" w14:textId="77777777" w:rsidR="00860B2D" w:rsidRPr="00860B2D" w:rsidRDefault="00860B2D" w:rsidP="00860B2D">
      <w:pPr>
        <w:pStyle w:val="NormalWeb"/>
        <w:rPr>
          <w:rFonts w:ascii="Arial" w:hAnsi="Arial" w:cs="Arial"/>
        </w:rPr>
      </w:pPr>
      <w:proofErr w:type="spellStart"/>
      <w:r w:rsidRPr="00860B2D">
        <w:rPr>
          <w:rFonts w:ascii="Arial" w:hAnsi="Arial" w:cs="Arial"/>
        </w:rPr>
        <w:t>Varadarajan</w:t>
      </w:r>
      <w:proofErr w:type="spellEnd"/>
      <w:r w:rsidRPr="00860B2D">
        <w:rPr>
          <w:rFonts w:ascii="Arial" w:hAnsi="Arial" w:cs="Arial"/>
        </w:rPr>
        <w:t xml:space="preserve">, R. (2024) ‘Mitigating the definitional quagmire in innovation research’, </w:t>
      </w:r>
      <w:r w:rsidRPr="00860B2D">
        <w:rPr>
          <w:rStyle w:val="Emphasis"/>
          <w:rFonts w:ascii="Arial" w:eastAsiaTheme="majorEastAsia" w:hAnsi="Arial" w:cs="Arial"/>
        </w:rPr>
        <w:t>Journal of Product Innovation Management</w:t>
      </w:r>
      <w:r w:rsidRPr="00860B2D">
        <w:rPr>
          <w:rFonts w:ascii="Arial" w:hAnsi="Arial" w:cs="Arial"/>
        </w:rPr>
        <w:t>, 41(4), pp. 703–723.</w:t>
      </w:r>
      <w:r w:rsidRPr="00860B2D">
        <w:rPr>
          <w:rFonts w:ascii="Arial" w:hAnsi="Arial" w:cs="Arial"/>
        </w:rPr>
        <w:br/>
        <w:t xml:space="preserve">Available at: </w:t>
      </w:r>
      <w:hyperlink r:id="rId23" w:history="1">
        <w:r w:rsidRPr="00860B2D">
          <w:rPr>
            <w:rStyle w:val="Hyperlink"/>
            <w:rFonts w:ascii="Arial" w:eastAsiaTheme="majorEastAsia" w:hAnsi="Arial" w:cs="Arial"/>
          </w:rPr>
          <w:t>https://doi.org/10.1111/jpim.12729</w:t>
        </w:r>
      </w:hyperlink>
    </w:p>
    <w:p w14:paraId="7A99D938" w14:textId="77777777" w:rsidR="00860B2D" w:rsidRPr="00860B2D" w:rsidRDefault="00860B2D" w:rsidP="00860B2D">
      <w:pPr>
        <w:pStyle w:val="NormalWeb"/>
        <w:rPr>
          <w:rFonts w:ascii="Arial" w:hAnsi="Arial" w:cs="Arial"/>
        </w:rPr>
      </w:pPr>
      <w:r w:rsidRPr="00860B2D">
        <w:rPr>
          <w:rFonts w:ascii="Arial" w:hAnsi="Arial" w:cs="Arial"/>
        </w:rPr>
        <w:t xml:space="preserve">Walia, C. (2019) ‘A dynamic definition of creativity’, </w:t>
      </w:r>
      <w:r w:rsidRPr="00860B2D">
        <w:rPr>
          <w:rStyle w:val="Emphasis"/>
          <w:rFonts w:ascii="Arial" w:eastAsiaTheme="majorEastAsia" w:hAnsi="Arial" w:cs="Arial"/>
        </w:rPr>
        <w:t>Creativity Research Journal</w:t>
      </w:r>
      <w:r w:rsidRPr="00860B2D">
        <w:rPr>
          <w:rFonts w:ascii="Arial" w:hAnsi="Arial" w:cs="Arial"/>
        </w:rPr>
        <w:t>, 31(3), pp. 237–247.</w:t>
      </w:r>
      <w:r w:rsidRPr="00860B2D">
        <w:rPr>
          <w:rFonts w:ascii="Arial" w:hAnsi="Arial" w:cs="Arial"/>
        </w:rPr>
        <w:br/>
        <w:t xml:space="preserve">Available at: </w:t>
      </w:r>
      <w:hyperlink r:id="rId24" w:history="1">
        <w:r w:rsidRPr="00860B2D">
          <w:rPr>
            <w:rStyle w:val="Hyperlink"/>
            <w:rFonts w:ascii="Arial" w:eastAsiaTheme="majorEastAsia" w:hAnsi="Arial" w:cs="Arial"/>
          </w:rPr>
          <w:t>https://doi.org/10.1080/10400419.2019.1641787</w:t>
        </w:r>
      </w:hyperlink>
    </w:p>
    <w:p w14:paraId="7B2F4588" w14:textId="77777777" w:rsidR="00860B2D" w:rsidRPr="00860B2D" w:rsidRDefault="00860B2D" w:rsidP="00860B2D">
      <w:pPr>
        <w:pStyle w:val="NormalWeb"/>
        <w:rPr>
          <w:rFonts w:ascii="Arial" w:hAnsi="Arial" w:cs="Arial"/>
        </w:rPr>
      </w:pPr>
      <w:proofErr w:type="spellStart"/>
      <w:r w:rsidRPr="00860B2D">
        <w:rPr>
          <w:rFonts w:ascii="Arial" w:hAnsi="Arial" w:cs="Arial"/>
        </w:rPr>
        <w:lastRenderedPageBreak/>
        <w:t>Warnaby</w:t>
      </w:r>
      <w:proofErr w:type="spellEnd"/>
      <w:r w:rsidRPr="00860B2D">
        <w:rPr>
          <w:rFonts w:ascii="Arial" w:hAnsi="Arial" w:cs="Arial"/>
        </w:rPr>
        <w:t>, G. and Shi, C. (2019) ‘Pop</w:t>
      </w:r>
      <w:r w:rsidRPr="00860B2D">
        <w:rPr>
          <w:rFonts w:ascii="Arial" w:hAnsi="Arial" w:cs="Arial"/>
        </w:rPr>
        <w:noBreakHyphen/>
        <w:t xml:space="preserve">up retailing’, </w:t>
      </w:r>
      <w:r w:rsidRPr="00860B2D">
        <w:rPr>
          <w:rStyle w:val="Emphasis"/>
          <w:rFonts w:ascii="Arial" w:eastAsiaTheme="majorEastAsia" w:hAnsi="Arial" w:cs="Arial"/>
        </w:rPr>
        <w:t>Journal of Retailing and Consumer Services</w:t>
      </w:r>
      <w:r w:rsidRPr="00860B2D">
        <w:rPr>
          <w:rFonts w:ascii="Arial" w:hAnsi="Arial" w:cs="Arial"/>
        </w:rPr>
        <w:t>, 49, pp. 297–304.</w:t>
      </w:r>
    </w:p>
    <w:p w14:paraId="5F8B6CEA" w14:textId="77777777" w:rsidR="00860B2D" w:rsidRPr="00860B2D" w:rsidRDefault="00860B2D" w:rsidP="00860B2D">
      <w:pPr>
        <w:pStyle w:val="NormalWeb"/>
        <w:rPr>
          <w:rFonts w:ascii="Arial" w:hAnsi="Arial" w:cs="Arial"/>
        </w:rPr>
      </w:pPr>
      <w:r w:rsidRPr="00860B2D">
        <w:rPr>
          <w:rFonts w:ascii="Arial" w:hAnsi="Arial" w:cs="Arial"/>
        </w:rPr>
        <w:t xml:space="preserve">Weick, K.E. (1995) </w:t>
      </w:r>
      <w:r w:rsidRPr="00860B2D">
        <w:rPr>
          <w:rStyle w:val="Emphasis"/>
          <w:rFonts w:ascii="Arial" w:eastAsiaTheme="majorEastAsia" w:hAnsi="Arial" w:cs="Arial"/>
        </w:rPr>
        <w:t>Sensemaking in Organisations</w:t>
      </w:r>
      <w:r w:rsidRPr="00860B2D">
        <w:rPr>
          <w:rFonts w:ascii="Arial" w:hAnsi="Arial" w:cs="Arial"/>
        </w:rPr>
        <w:t>. Thousand Oaks: Sage.</w:t>
      </w:r>
    </w:p>
    <w:p w14:paraId="02DE2640" w14:textId="77777777" w:rsidR="00860B2D" w:rsidRDefault="00860B2D" w:rsidP="00860B2D">
      <w:pPr>
        <w:pStyle w:val="NormalWeb"/>
      </w:pPr>
      <w:r w:rsidRPr="00860B2D">
        <w:rPr>
          <w:rFonts w:ascii="Arial" w:hAnsi="Arial" w:cs="Arial"/>
        </w:rPr>
        <w:t xml:space="preserve">Weisberg, R.W. (2015) ‘On the usefulness of “value” in the definition of creativity’, </w:t>
      </w:r>
      <w:r w:rsidRPr="00860B2D">
        <w:rPr>
          <w:rStyle w:val="Emphasis"/>
          <w:rFonts w:ascii="Arial" w:eastAsiaTheme="majorEastAsia" w:hAnsi="Arial" w:cs="Arial"/>
        </w:rPr>
        <w:t>Creativity Research Journal</w:t>
      </w:r>
      <w:r w:rsidRPr="00860B2D">
        <w:rPr>
          <w:rFonts w:ascii="Arial" w:hAnsi="Arial" w:cs="Arial"/>
        </w:rPr>
        <w:t>, 27(2), pp. 111–124.</w:t>
      </w:r>
      <w:r w:rsidRPr="00860B2D">
        <w:rPr>
          <w:rFonts w:ascii="Arial" w:hAnsi="Arial" w:cs="Arial"/>
        </w:rPr>
        <w:br/>
        <w:t xml:space="preserve">Available at: </w:t>
      </w:r>
      <w:hyperlink r:id="rId25" w:history="1">
        <w:r w:rsidRPr="00860B2D">
          <w:rPr>
            <w:rStyle w:val="Hyperlink"/>
            <w:rFonts w:ascii="Arial" w:eastAsiaTheme="majorEastAsia" w:hAnsi="Arial" w:cs="Arial"/>
          </w:rPr>
          <w:t>https://doi.org/10.1080/10400419.2015.1030320</w:t>
        </w:r>
      </w:hyperlink>
    </w:p>
    <w:p w14:paraId="2F480B90" w14:textId="77777777" w:rsidR="00363C86" w:rsidRDefault="00363C86" w:rsidP="00860B2D"/>
    <w:p w14:paraId="15E35680" w14:textId="77777777" w:rsidR="00363C86" w:rsidRDefault="00363C86" w:rsidP="00B23215">
      <w:pPr>
        <w:jc w:val="center"/>
        <w:rPr>
          <w:rFonts w:ascii="Arial" w:hAnsi="Arial" w:cs="Arial"/>
          <w:b/>
          <w:bCs/>
          <w:sz w:val="40"/>
          <w:szCs w:val="40"/>
        </w:rPr>
      </w:pPr>
    </w:p>
    <w:p w14:paraId="6300F648" w14:textId="77777777" w:rsidR="00363C86" w:rsidRDefault="00363C86" w:rsidP="00B23215">
      <w:pPr>
        <w:jc w:val="center"/>
        <w:rPr>
          <w:rFonts w:ascii="Arial" w:hAnsi="Arial" w:cs="Arial"/>
          <w:b/>
          <w:bCs/>
          <w:sz w:val="40"/>
          <w:szCs w:val="40"/>
        </w:rPr>
      </w:pPr>
    </w:p>
    <w:p w14:paraId="727C8CBC" w14:textId="77777777" w:rsidR="00363C86" w:rsidRDefault="00363C86" w:rsidP="00B23215">
      <w:pPr>
        <w:jc w:val="center"/>
        <w:rPr>
          <w:rFonts w:ascii="Arial" w:hAnsi="Arial" w:cs="Arial"/>
          <w:b/>
          <w:bCs/>
          <w:sz w:val="40"/>
          <w:szCs w:val="40"/>
        </w:rPr>
      </w:pPr>
    </w:p>
    <w:p w14:paraId="7FB0FF72" w14:textId="77777777" w:rsidR="0097463C" w:rsidRDefault="0097463C" w:rsidP="00D5662B">
      <w:pPr>
        <w:jc w:val="center"/>
        <w:rPr>
          <w:rFonts w:ascii="Arial" w:hAnsi="Arial" w:cs="Arial"/>
          <w:b/>
          <w:bCs/>
          <w:sz w:val="40"/>
          <w:szCs w:val="40"/>
        </w:rPr>
      </w:pPr>
    </w:p>
    <w:p w14:paraId="1CB8C825" w14:textId="77777777" w:rsidR="0097463C" w:rsidRDefault="0097463C" w:rsidP="00D5662B">
      <w:pPr>
        <w:jc w:val="center"/>
        <w:rPr>
          <w:rFonts w:ascii="Arial" w:hAnsi="Arial" w:cs="Arial"/>
          <w:b/>
          <w:bCs/>
          <w:sz w:val="40"/>
          <w:szCs w:val="40"/>
        </w:rPr>
      </w:pPr>
    </w:p>
    <w:p w14:paraId="5AD50819" w14:textId="77777777" w:rsidR="0097463C" w:rsidRDefault="0097463C" w:rsidP="00D5662B">
      <w:pPr>
        <w:jc w:val="center"/>
        <w:rPr>
          <w:rFonts w:ascii="Arial" w:hAnsi="Arial" w:cs="Arial"/>
          <w:b/>
          <w:bCs/>
          <w:sz w:val="40"/>
          <w:szCs w:val="40"/>
        </w:rPr>
      </w:pPr>
    </w:p>
    <w:p w14:paraId="76ECEFA9" w14:textId="77777777" w:rsidR="0097463C" w:rsidRDefault="0097463C" w:rsidP="00D5662B">
      <w:pPr>
        <w:jc w:val="center"/>
        <w:rPr>
          <w:rFonts w:ascii="Arial" w:hAnsi="Arial" w:cs="Arial"/>
          <w:b/>
          <w:bCs/>
          <w:sz w:val="40"/>
          <w:szCs w:val="40"/>
        </w:rPr>
      </w:pPr>
    </w:p>
    <w:p w14:paraId="47077FE1" w14:textId="77777777" w:rsidR="0097463C" w:rsidRDefault="0097463C" w:rsidP="00D5662B">
      <w:pPr>
        <w:jc w:val="center"/>
        <w:rPr>
          <w:rFonts w:ascii="Arial" w:hAnsi="Arial" w:cs="Arial"/>
          <w:b/>
          <w:bCs/>
          <w:sz w:val="40"/>
          <w:szCs w:val="40"/>
        </w:rPr>
      </w:pPr>
    </w:p>
    <w:p w14:paraId="7339636F" w14:textId="77777777" w:rsidR="0097463C" w:rsidRDefault="0097463C" w:rsidP="00D5662B">
      <w:pPr>
        <w:jc w:val="center"/>
        <w:rPr>
          <w:rFonts w:ascii="Arial" w:hAnsi="Arial" w:cs="Arial"/>
          <w:b/>
          <w:bCs/>
          <w:sz w:val="40"/>
          <w:szCs w:val="40"/>
        </w:rPr>
      </w:pPr>
    </w:p>
    <w:p w14:paraId="0E056292" w14:textId="77777777" w:rsidR="0097463C" w:rsidRDefault="0097463C" w:rsidP="00D5662B">
      <w:pPr>
        <w:jc w:val="center"/>
        <w:rPr>
          <w:rFonts w:ascii="Arial" w:hAnsi="Arial" w:cs="Arial"/>
          <w:b/>
          <w:bCs/>
          <w:sz w:val="40"/>
          <w:szCs w:val="40"/>
        </w:rPr>
      </w:pPr>
    </w:p>
    <w:p w14:paraId="312E1BC8" w14:textId="77777777" w:rsidR="0097463C" w:rsidRDefault="0097463C" w:rsidP="00D5662B">
      <w:pPr>
        <w:jc w:val="center"/>
        <w:rPr>
          <w:rFonts w:ascii="Arial" w:hAnsi="Arial" w:cs="Arial"/>
          <w:b/>
          <w:bCs/>
          <w:sz w:val="40"/>
          <w:szCs w:val="40"/>
        </w:rPr>
      </w:pPr>
    </w:p>
    <w:p w14:paraId="217AD11F" w14:textId="77777777" w:rsidR="0097463C" w:rsidRDefault="0097463C" w:rsidP="00D5662B">
      <w:pPr>
        <w:jc w:val="center"/>
        <w:rPr>
          <w:rFonts w:ascii="Arial" w:hAnsi="Arial" w:cs="Arial"/>
          <w:b/>
          <w:bCs/>
          <w:sz w:val="40"/>
          <w:szCs w:val="40"/>
        </w:rPr>
      </w:pPr>
    </w:p>
    <w:p w14:paraId="69C26400" w14:textId="77777777" w:rsidR="0097463C" w:rsidRDefault="0097463C" w:rsidP="00D5662B">
      <w:pPr>
        <w:jc w:val="center"/>
        <w:rPr>
          <w:rFonts w:ascii="Arial" w:hAnsi="Arial" w:cs="Arial"/>
          <w:b/>
          <w:bCs/>
          <w:sz w:val="40"/>
          <w:szCs w:val="40"/>
        </w:rPr>
      </w:pPr>
    </w:p>
    <w:p w14:paraId="03EC3B77" w14:textId="77777777" w:rsidR="0097463C" w:rsidRDefault="0097463C" w:rsidP="00D5662B">
      <w:pPr>
        <w:jc w:val="center"/>
        <w:rPr>
          <w:rFonts w:ascii="Arial" w:hAnsi="Arial" w:cs="Arial"/>
          <w:b/>
          <w:bCs/>
          <w:sz w:val="40"/>
          <w:szCs w:val="40"/>
        </w:rPr>
      </w:pPr>
    </w:p>
    <w:p w14:paraId="00615672" w14:textId="77777777" w:rsidR="0097463C" w:rsidRDefault="0097463C" w:rsidP="00D5662B">
      <w:pPr>
        <w:jc w:val="center"/>
        <w:rPr>
          <w:rFonts w:ascii="Arial" w:hAnsi="Arial" w:cs="Arial"/>
          <w:b/>
          <w:bCs/>
          <w:sz w:val="40"/>
          <w:szCs w:val="40"/>
        </w:rPr>
      </w:pPr>
    </w:p>
    <w:p w14:paraId="3208BC9C" w14:textId="77777777" w:rsidR="0097463C" w:rsidRDefault="0097463C" w:rsidP="00D5662B">
      <w:pPr>
        <w:jc w:val="center"/>
        <w:rPr>
          <w:rFonts w:ascii="Arial" w:hAnsi="Arial" w:cs="Arial"/>
          <w:b/>
          <w:bCs/>
          <w:sz w:val="40"/>
          <w:szCs w:val="40"/>
        </w:rPr>
      </w:pPr>
    </w:p>
    <w:p w14:paraId="038128D6" w14:textId="14386F96" w:rsidR="00710698" w:rsidRPr="0097463C" w:rsidRDefault="00575B93" w:rsidP="0097463C">
      <w:pPr>
        <w:pStyle w:val="Heading1"/>
        <w:jc w:val="center"/>
        <w:rPr>
          <w:rFonts w:ascii="Arial" w:hAnsi="Arial" w:cs="Arial"/>
          <w:b/>
          <w:bCs/>
          <w:color w:val="auto"/>
        </w:rPr>
      </w:pPr>
      <w:bookmarkStart w:id="9" w:name="_Toc226755205"/>
      <w:r w:rsidRPr="0097463C">
        <w:rPr>
          <w:rFonts w:ascii="Arial" w:hAnsi="Arial" w:cs="Arial"/>
          <w:b/>
          <w:bCs/>
          <w:color w:val="auto"/>
        </w:rPr>
        <w:lastRenderedPageBreak/>
        <w:t>APENDIX</w:t>
      </w:r>
      <w:bookmarkEnd w:id="9"/>
    </w:p>
    <w:p w14:paraId="5C34EF69" w14:textId="75D184DB" w:rsidR="00575B93" w:rsidRDefault="00575B93" w:rsidP="00575B93"/>
    <w:p w14:paraId="01E2AD1D" w14:textId="355DF25E" w:rsidR="00575B93" w:rsidRPr="00575B93" w:rsidRDefault="0097463C" w:rsidP="0097463C">
      <w:pPr>
        <w:jc w:val="center"/>
      </w:pPr>
      <w:r>
        <w:object w:dxaOrig="915" w:dyaOrig="810" w14:anchorId="3BDB3F2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1.75pt;height:152.25pt" o:ole="">
            <v:imagedata r:id="rId26" o:title=""/>
          </v:shape>
          <o:OLEObject Type="Embed" ProgID="Package" ShapeID="_x0000_i1025" DrawAspect="Content" ObjectID="_1837368283" r:id="rId27"/>
        </w:object>
      </w:r>
    </w:p>
    <w:sectPr w:rsidR="00575B93" w:rsidRPr="00575B9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702D3" w14:textId="77777777" w:rsidR="008E5C34" w:rsidRDefault="008E5C34" w:rsidP="004A3AC4">
      <w:pPr>
        <w:spacing w:after="0" w:line="240" w:lineRule="auto"/>
      </w:pPr>
      <w:r>
        <w:separator/>
      </w:r>
    </w:p>
  </w:endnote>
  <w:endnote w:type="continuationSeparator" w:id="0">
    <w:p w14:paraId="191539B3" w14:textId="77777777" w:rsidR="008E5C34" w:rsidRDefault="008E5C34" w:rsidP="004A3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87856"/>
      <w:docPartObj>
        <w:docPartGallery w:val="Page Numbers (Bottom of Page)"/>
        <w:docPartUnique/>
      </w:docPartObj>
    </w:sdtPr>
    <w:sdtEndPr/>
    <w:sdtContent>
      <w:p w14:paraId="6834B723" w14:textId="2C63A5C8" w:rsidR="004A3AC4" w:rsidRDefault="004A3AC4">
        <w:pPr>
          <w:pStyle w:val="Footer"/>
          <w:jc w:val="center"/>
        </w:pPr>
        <w:r>
          <w:fldChar w:fldCharType="begin"/>
        </w:r>
        <w:r>
          <w:instrText>PAGE   \* MERGEFORMAT</w:instrText>
        </w:r>
        <w:r>
          <w:fldChar w:fldCharType="separate"/>
        </w:r>
        <w:r>
          <w:t>2</w:t>
        </w:r>
        <w:r>
          <w:fldChar w:fldCharType="end"/>
        </w:r>
      </w:p>
    </w:sdtContent>
  </w:sdt>
  <w:p w14:paraId="68B01B01" w14:textId="77777777" w:rsidR="004A3AC4" w:rsidRDefault="004A3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50C1F" w14:textId="77777777" w:rsidR="008E5C34" w:rsidRDefault="008E5C34" w:rsidP="004A3AC4">
      <w:pPr>
        <w:spacing w:after="0" w:line="240" w:lineRule="auto"/>
      </w:pPr>
      <w:r>
        <w:separator/>
      </w:r>
    </w:p>
  </w:footnote>
  <w:footnote w:type="continuationSeparator" w:id="0">
    <w:p w14:paraId="438170D6" w14:textId="77777777" w:rsidR="008E5C34" w:rsidRDefault="008E5C34" w:rsidP="004A3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76B02"/>
    <w:multiLevelType w:val="hybridMultilevel"/>
    <w:tmpl w:val="F934C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88340A"/>
    <w:multiLevelType w:val="multilevel"/>
    <w:tmpl w:val="45264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4F7BE1"/>
    <w:multiLevelType w:val="multilevel"/>
    <w:tmpl w:val="8F6CB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F978D4"/>
    <w:multiLevelType w:val="multilevel"/>
    <w:tmpl w:val="73726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D55"/>
    <w:rsid w:val="000101B2"/>
    <w:rsid w:val="00030CE4"/>
    <w:rsid w:val="000959A0"/>
    <w:rsid w:val="000F4826"/>
    <w:rsid w:val="00106E63"/>
    <w:rsid w:val="00120EAA"/>
    <w:rsid w:val="00121FF3"/>
    <w:rsid w:val="00152AD2"/>
    <w:rsid w:val="001700B9"/>
    <w:rsid w:val="001730F8"/>
    <w:rsid w:val="001A196D"/>
    <w:rsid w:val="001A4B91"/>
    <w:rsid w:val="001E1B7F"/>
    <w:rsid w:val="00232E0C"/>
    <w:rsid w:val="002369F5"/>
    <w:rsid w:val="003051E7"/>
    <w:rsid w:val="00350D55"/>
    <w:rsid w:val="00363C86"/>
    <w:rsid w:val="003E41F7"/>
    <w:rsid w:val="004432AB"/>
    <w:rsid w:val="00482D8F"/>
    <w:rsid w:val="00496CF7"/>
    <w:rsid w:val="004A0305"/>
    <w:rsid w:val="004A3AC4"/>
    <w:rsid w:val="004C5DFE"/>
    <w:rsid w:val="004D0F25"/>
    <w:rsid w:val="005062FF"/>
    <w:rsid w:val="00557869"/>
    <w:rsid w:val="00575B93"/>
    <w:rsid w:val="005A7387"/>
    <w:rsid w:val="005C002A"/>
    <w:rsid w:val="005C36D1"/>
    <w:rsid w:val="005D3160"/>
    <w:rsid w:val="00680E70"/>
    <w:rsid w:val="006E1BDF"/>
    <w:rsid w:val="00710698"/>
    <w:rsid w:val="00771FF4"/>
    <w:rsid w:val="007A55AD"/>
    <w:rsid w:val="007C18B1"/>
    <w:rsid w:val="007D18C4"/>
    <w:rsid w:val="007E1606"/>
    <w:rsid w:val="0082571E"/>
    <w:rsid w:val="00860B2D"/>
    <w:rsid w:val="008C0A6A"/>
    <w:rsid w:val="008E5C34"/>
    <w:rsid w:val="00927B16"/>
    <w:rsid w:val="0097463C"/>
    <w:rsid w:val="009C3E24"/>
    <w:rsid w:val="009D1B19"/>
    <w:rsid w:val="00AA067C"/>
    <w:rsid w:val="00AA0D9C"/>
    <w:rsid w:val="00AD0B7E"/>
    <w:rsid w:val="00B10FC1"/>
    <w:rsid w:val="00B23215"/>
    <w:rsid w:val="00BA4258"/>
    <w:rsid w:val="00BC2BBE"/>
    <w:rsid w:val="00BF34B8"/>
    <w:rsid w:val="00C477E5"/>
    <w:rsid w:val="00C945FC"/>
    <w:rsid w:val="00CA30FC"/>
    <w:rsid w:val="00CA3432"/>
    <w:rsid w:val="00D0558F"/>
    <w:rsid w:val="00D47DDE"/>
    <w:rsid w:val="00D5662B"/>
    <w:rsid w:val="00E136D0"/>
    <w:rsid w:val="00EB2442"/>
    <w:rsid w:val="00EF2302"/>
    <w:rsid w:val="00F0196A"/>
    <w:rsid w:val="00F50F14"/>
    <w:rsid w:val="00FA3183"/>
    <w:rsid w:val="00FB34EC"/>
    <w:rsid w:val="00FE1E07"/>
    <w:rsid w:val="0105FC34"/>
    <w:rsid w:val="027D15AC"/>
    <w:rsid w:val="07EEE7BB"/>
    <w:rsid w:val="0C67B457"/>
    <w:rsid w:val="0DD706A0"/>
    <w:rsid w:val="18330775"/>
    <w:rsid w:val="1A71908B"/>
    <w:rsid w:val="1ABEEA69"/>
    <w:rsid w:val="1D224AA4"/>
    <w:rsid w:val="1E5228A2"/>
    <w:rsid w:val="2080310C"/>
    <w:rsid w:val="20D683B1"/>
    <w:rsid w:val="210E5073"/>
    <w:rsid w:val="23B98FBE"/>
    <w:rsid w:val="23D30664"/>
    <w:rsid w:val="35495D36"/>
    <w:rsid w:val="36C11586"/>
    <w:rsid w:val="3C6350BA"/>
    <w:rsid w:val="3F348E9E"/>
    <w:rsid w:val="41747D15"/>
    <w:rsid w:val="4E774C5D"/>
    <w:rsid w:val="66B7E729"/>
    <w:rsid w:val="6B718389"/>
    <w:rsid w:val="6BEE6530"/>
    <w:rsid w:val="6D80F7EC"/>
    <w:rsid w:val="7ACBA918"/>
    <w:rsid w:val="7E294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9636F"/>
  <w15:chartTrackingRefBased/>
  <w15:docId w15:val="{A0636FFD-11A5-4392-B69E-EB2A520D9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D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D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D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D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D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D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D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D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D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D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0D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D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D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D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D55"/>
    <w:rPr>
      <w:rFonts w:eastAsiaTheme="majorEastAsia" w:cstheme="majorBidi"/>
      <w:color w:val="272727" w:themeColor="text1" w:themeTint="D8"/>
    </w:rPr>
  </w:style>
  <w:style w:type="paragraph" w:styleId="Title">
    <w:name w:val="Title"/>
    <w:basedOn w:val="Normal"/>
    <w:next w:val="Normal"/>
    <w:link w:val="TitleChar"/>
    <w:uiPriority w:val="10"/>
    <w:qFormat/>
    <w:rsid w:val="00350D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D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D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D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D55"/>
    <w:pPr>
      <w:spacing w:before="160"/>
      <w:jc w:val="center"/>
    </w:pPr>
    <w:rPr>
      <w:i/>
      <w:iCs/>
      <w:color w:val="404040" w:themeColor="text1" w:themeTint="BF"/>
    </w:rPr>
  </w:style>
  <w:style w:type="character" w:customStyle="1" w:styleId="QuoteChar">
    <w:name w:val="Quote Char"/>
    <w:basedOn w:val="DefaultParagraphFont"/>
    <w:link w:val="Quote"/>
    <w:uiPriority w:val="29"/>
    <w:rsid w:val="00350D55"/>
    <w:rPr>
      <w:i/>
      <w:iCs/>
      <w:color w:val="404040" w:themeColor="text1" w:themeTint="BF"/>
    </w:rPr>
  </w:style>
  <w:style w:type="paragraph" w:styleId="ListParagraph">
    <w:name w:val="List Paragraph"/>
    <w:basedOn w:val="Normal"/>
    <w:uiPriority w:val="34"/>
    <w:qFormat/>
    <w:rsid w:val="00350D55"/>
    <w:pPr>
      <w:ind w:left="720"/>
      <w:contextualSpacing/>
    </w:pPr>
  </w:style>
  <w:style w:type="character" w:styleId="IntenseEmphasis">
    <w:name w:val="Intense Emphasis"/>
    <w:basedOn w:val="DefaultParagraphFont"/>
    <w:uiPriority w:val="21"/>
    <w:qFormat/>
    <w:rsid w:val="00350D55"/>
    <w:rPr>
      <w:i/>
      <w:iCs/>
      <w:color w:val="0F4761" w:themeColor="accent1" w:themeShade="BF"/>
    </w:rPr>
  </w:style>
  <w:style w:type="paragraph" w:styleId="IntenseQuote">
    <w:name w:val="Intense Quote"/>
    <w:basedOn w:val="Normal"/>
    <w:next w:val="Normal"/>
    <w:link w:val="IntenseQuoteChar"/>
    <w:uiPriority w:val="30"/>
    <w:qFormat/>
    <w:rsid w:val="00350D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D55"/>
    <w:rPr>
      <w:i/>
      <w:iCs/>
      <w:color w:val="0F4761" w:themeColor="accent1" w:themeShade="BF"/>
    </w:rPr>
  </w:style>
  <w:style w:type="character" w:styleId="IntenseReference">
    <w:name w:val="Intense Reference"/>
    <w:basedOn w:val="DefaultParagraphFont"/>
    <w:uiPriority w:val="32"/>
    <w:qFormat/>
    <w:rsid w:val="00350D55"/>
    <w:rPr>
      <w:b/>
      <w:bCs/>
      <w:smallCaps/>
      <w:color w:val="0F4761" w:themeColor="accent1" w:themeShade="BF"/>
      <w:spacing w:val="5"/>
    </w:rPr>
  </w:style>
  <w:style w:type="character" w:styleId="Hyperlink">
    <w:name w:val="Hyperlink"/>
    <w:basedOn w:val="DefaultParagraphFont"/>
    <w:uiPriority w:val="99"/>
    <w:unhideWhenUsed/>
    <w:rsid w:val="00350D55"/>
    <w:rPr>
      <w:color w:val="467886" w:themeColor="hyperlink"/>
      <w:u w:val="single"/>
    </w:rPr>
  </w:style>
  <w:style w:type="character" w:styleId="UnresolvedMention">
    <w:name w:val="Unresolved Mention"/>
    <w:basedOn w:val="DefaultParagraphFont"/>
    <w:uiPriority w:val="99"/>
    <w:semiHidden/>
    <w:unhideWhenUsed/>
    <w:rsid w:val="00350D55"/>
    <w:rPr>
      <w:color w:val="605E5C"/>
      <w:shd w:val="clear" w:color="auto" w:fill="E1DFDD"/>
    </w:rPr>
  </w:style>
  <w:style w:type="paragraph" w:styleId="TOCHeading">
    <w:name w:val="TOC Heading"/>
    <w:basedOn w:val="Heading1"/>
    <w:next w:val="Normal"/>
    <w:uiPriority w:val="39"/>
    <w:unhideWhenUsed/>
    <w:qFormat/>
    <w:rsid w:val="004A3AC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A3AC4"/>
    <w:pPr>
      <w:spacing w:after="100"/>
    </w:pPr>
  </w:style>
  <w:style w:type="paragraph" w:styleId="Header">
    <w:name w:val="header"/>
    <w:basedOn w:val="Normal"/>
    <w:link w:val="HeaderChar"/>
    <w:uiPriority w:val="99"/>
    <w:unhideWhenUsed/>
    <w:rsid w:val="004A3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AC4"/>
  </w:style>
  <w:style w:type="paragraph" w:styleId="Footer">
    <w:name w:val="footer"/>
    <w:basedOn w:val="Normal"/>
    <w:link w:val="FooterChar"/>
    <w:uiPriority w:val="99"/>
    <w:unhideWhenUsed/>
    <w:rsid w:val="004A3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AC4"/>
  </w:style>
  <w:style w:type="paragraph" w:styleId="NormalWeb">
    <w:name w:val="Normal (Web)"/>
    <w:basedOn w:val="Normal"/>
    <w:uiPriority w:val="99"/>
    <w:semiHidden/>
    <w:unhideWhenUsed/>
    <w:rsid w:val="00CA30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A30FC"/>
    <w:rPr>
      <w:b/>
      <w:bCs/>
    </w:rPr>
  </w:style>
  <w:style w:type="character" w:styleId="Emphasis">
    <w:name w:val="Emphasis"/>
    <w:basedOn w:val="DefaultParagraphFont"/>
    <w:uiPriority w:val="20"/>
    <w:qFormat/>
    <w:rsid w:val="00CA30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8913">
      <w:bodyDiv w:val="1"/>
      <w:marLeft w:val="0"/>
      <w:marRight w:val="0"/>
      <w:marTop w:val="0"/>
      <w:marBottom w:val="0"/>
      <w:divBdr>
        <w:top w:val="none" w:sz="0" w:space="0" w:color="auto"/>
        <w:left w:val="none" w:sz="0" w:space="0" w:color="auto"/>
        <w:bottom w:val="none" w:sz="0" w:space="0" w:color="auto"/>
        <w:right w:val="none" w:sz="0" w:space="0" w:color="auto"/>
      </w:divBdr>
    </w:div>
    <w:div w:id="76901264">
      <w:bodyDiv w:val="1"/>
      <w:marLeft w:val="0"/>
      <w:marRight w:val="0"/>
      <w:marTop w:val="0"/>
      <w:marBottom w:val="0"/>
      <w:divBdr>
        <w:top w:val="none" w:sz="0" w:space="0" w:color="auto"/>
        <w:left w:val="none" w:sz="0" w:space="0" w:color="auto"/>
        <w:bottom w:val="none" w:sz="0" w:space="0" w:color="auto"/>
        <w:right w:val="none" w:sz="0" w:space="0" w:color="auto"/>
      </w:divBdr>
      <w:divsChild>
        <w:div w:id="1362129291">
          <w:marLeft w:val="0"/>
          <w:marRight w:val="0"/>
          <w:marTop w:val="0"/>
          <w:marBottom w:val="0"/>
          <w:divBdr>
            <w:top w:val="none" w:sz="0" w:space="0" w:color="auto"/>
            <w:left w:val="none" w:sz="0" w:space="0" w:color="auto"/>
            <w:bottom w:val="none" w:sz="0" w:space="0" w:color="auto"/>
            <w:right w:val="none" w:sz="0" w:space="0" w:color="auto"/>
          </w:divBdr>
          <w:divsChild>
            <w:div w:id="204547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812150">
      <w:bodyDiv w:val="1"/>
      <w:marLeft w:val="0"/>
      <w:marRight w:val="0"/>
      <w:marTop w:val="0"/>
      <w:marBottom w:val="0"/>
      <w:divBdr>
        <w:top w:val="none" w:sz="0" w:space="0" w:color="auto"/>
        <w:left w:val="none" w:sz="0" w:space="0" w:color="auto"/>
        <w:bottom w:val="none" w:sz="0" w:space="0" w:color="auto"/>
        <w:right w:val="none" w:sz="0" w:space="0" w:color="auto"/>
      </w:divBdr>
    </w:div>
    <w:div w:id="447283710">
      <w:bodyDiv w:val="1"/>
      <w:marLeft w:val="0"/>
      <w:marRight w:val="0"/>
      <w:marTop w:val="0"/>
      <w:marBottom w:val="0"/>
      <w:divBdr>
        <w:top w:val="none" w:sz="0" w:space="0" w:color="auto"/>
        <w:left w:val="none" w:sz="0" w:space="0" w:color="auto"/>
        <w:bottom w:val="none" w:sz="0" w:space="0" w:color="auto"/>
        <w:right w:val="none" w:sz="0" w:space="0" w:color="auto"/>
      </w:divBdr>
      <w:divsChild>
        <w:div w:id="1488551689">
          <w:marLeft w:val="0"/>
          <w:marRight w:val="0"/>
          <w:marTop w:val="0"/>
          <w:marBottom w:val="0"/>
          <w:divBdr>
            <w:top w:val="none" w:sz="0" w:space="0" w:color="auto"/>
            <w:left w:val="none" w:sz="0" w:space="0" w:color="auto"/>
            <w:bottom w:val="none" w:sz="0" w:space="0" w:color="auto"/>
            <w:right w:val="none" w:sz="0" w:space="0" w:color="auto"/>
          </w:divBdr>
          <w:divsChild>
            <w:div w:id="121458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635223">
      <w:bodyDiv w:val="1"/>
      <w:marLeft w:val="0"/>
      <w:marRight w:val="0"/>
      <w:marTop w:val="0"/>
      <w:marBottom w:val="0"/>
      <w:divBdr>
        <w:top w:val="none" w:sz="0" w:space="0" w:color="auto"/>
        <w:left w:val="none" w:sz="0" w:space="0" w:color="auto"/>
        <w:bottom w:val="none" w:sz="0" w:space="0" w:color="auto"/>
        <w:right w:val="none" w:sz="0" w:space="0" w:color="auto"/>
      </w:divBdr>
      <w:divsChild>
        <w:div w:id="792014885">
          <w:marLeft w:val="0"/>
          <w:marRight w:val="0"/>
          <w:marTop w:val="0"/>
          <w:marBottom w:val="0"/>
          <w:divBdr>
            <w:top w:val="none" w:sz="0" w:space="0" w:color="auto"/>
            <w:left w:val="none" w:sz="0" w:space="0" w:color="auto"/>
            <w:bottom w:val="none" w:sz="0" w:space="0" w:color="auto"/>
            <w:right w:val="none" w:sz="0" w:space="0" w:color="auto"/>
          </w:divBdr>
          <w:divsChild>
            <w:div w:id="113155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403399">
      <w:bodyDiv w:val="1"/>
      <w:marLeft w:val="0"/>
      <w:marRight w:val="0"/>
      <w:marTop w:val="0"/>
      <w:marBottom w:val="0"/>
      <w:divBdr>
        <w:top w:val="none" w:sz="0" w:space="0" w:color="auto"/>
        <w:left w:val="none" w:sz="0" w:space="0" w:color="auto"/>
        <w:bottom w:val="none" w:sz="0" w:space="0" w:color="auto"/>
        <w:right w:val="none" w:sz="0" w:space="0" w:color="auto"/>
      </w:divBdr>
      <w:divsChild>
        <w:div w:id="1099832646">
          <w:marLeft w:val="0"/>
          <w:marRight w:val="0"/>
          <w:marTop w:val="0"/>
          <w:marBottom w:val="0"/>
          <w:divBdr>
            <w:top w:val="none" w:sz="0" w:space="0" w:color="auto"/>
            <w:left w:val="none" w:sz="0" w:space="0" w:color="auto"/>
            <w:bottom w:val="none" w:sz="0" w:space="0" w:color="auto"/>
            <w:right w:val="none" w:sz="0" w:space="0" w:color="auto"/>
          </w:divBdr>
          <w:divsChild>
            <w:div w:id="59737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920747">
      <w:bodyDiv w:val="1"/>
      <w:marLeft w:val="0"/>
      <w:marRight w:val="0"/>
      <w:marTop w:val="0"/>
      <w:marBottom w:val="0"/>
      <w:divBdr>
        <w:top w:val="none" w:sz="0" w:space="0" w:color="auto"/>
        <w:left w:val="none" w:sz="0" w:space="0" w:color="auto"/>
        <w:bottom w:val="none" w:sz="0" w:space="0" w:color="auto"/>
        <w:right w:val="none" w:sz="0" w:space="0" w:color="auto"/>
      </w:divBdr>
      <w:divsChild>
        <w:div w:id="2076736058">
          <w:marLeft w:val="0"/>
          <w:marRight w:val="0"/>
          <w:marTop w:val="0"/>
          <w:marBottom w:val="0"/>
          <w:divBdr>
            <w:top w:val="none" w:sz="0" w:space="0" w:color="auto"/>
            <w:left w:val="none" w:sz="0" w:space="0" w:color="auto"/>
            <w:bottom w:val="none" w:sz="0" w:space="0" w:color="auto"/>
            <w:right w:val="none" w:sz="0" w:space="0" w:color="auto"/>
          </w:divBdr>
          <w:divsChild>
            <w:div w:id="21404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29187">
      <w:bodyDiv w:val="1"/>
      <w:marLeft w:val="0"/>
      <w:marRight w:val="0"/>
      <w:marTop w:val="0"/>
      <w:marBottom w:val="0"/>
      <w:divBdr>
        <w:top w:val="none" w:sz="0" w:space="0" w:color="auto"/>
        <w:left w:val="none" w:sz="0" w:space="0" w:color="auto"/>
        <w:bottom w:val="none" w:sz="0" w:space="0" w:color="auto"/>
        <w:right w:val="none" w:sz="0" w:space="0" w:color="auto"/>
      </w:divBdr>
    </w:div>
    <w:div w:id="1324161869">
      <w:bodyDiv w:val="1"/>
      <w:marLeft w:val="0"/>
      <w:marRight w:val="0"/>
      <w:marTop w:val="0"/>
      <w:marBottom w:val="0"/>
      <w:divBdr>
        <w:top w:val="none" w:sz="0" w:space="0" w:color="auto"/>
        <w:left w:val="none" w:sz="0" w:space="0" w:color="auto"/>
        <w:bottom w:val="none" w:sz="0" w:space="0" w:color="auto"/>
        <w:right w:val="none" w:sz="0" w:space="0" w:color="auto"/>
      </w:divBdr>
    </w:div>
    <w:div w:id="1334139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77/0018726713495074" TargetMode="External"/><Relationship Id="rId18" Type="http://schemas.openxmlformats.org/officeDocument/2006/relationships/hyperlink" Target="https://doi.org/10.1007/978-1-4614-8446-5" TargetMode="External"/><Relationship Id="rId26" Type="http://schemas.openxmlformats.org/officeDocument/2006/relationships/image" Target="media/image2.emf"/><Relationship Id="rId3" Type="http://schemas.openxmlformats.org/officeDocument/2006/relationships/styles" Target="styles.xml"/><Relationship Id="rId21" Type="http://schemas.openxmlformats.org/officeDocument/2006/relationships/hyperlink" Target="https://doi.org/10.4159/9780674369542" TargetMode="External"/><Relationship Id="rId7" Type="http://schemas.openxmlformats.org/officeDocument/2006/relationships/endnotes" Target="endnotes.xml"/><Relationship Id="rId12" Type="http://schemas.openxmlformats.org/officeDocument/2006/relationships/hyperlink" Target="https://doi.org/10.5465/amr.2009.0194" TargetMode="External"/><Relationship Id="rId17" Type="http://schemas.openxmlformats.org/officeDocument/2006/relationships/hyperlink" Target="https://doi.org/10.1093/acprof:oso/9780198701873.001.0001" TargetMode="External"/><Relationship Id="rId25" Type="http://schemas.openxmlformats.org/officeDocument/2006/relationships/hyperlink" Target="https://doi.org/10.1080/10400419.2015.1030320" TargetMode="External"/><Relationship Id="rId2" Type="http://schemas.openxmlformats.org/officeDocument/2006/relationships/numbering" Target="numbering.xml"/><Relationship Id="rId16" Type="http://schemas.openxmlformats.org/officeDocument/2006/relationships/hyperlink" Target="https://doi.org/10.2307/j.ctvpb3x5c" TargetMode="External"/><Relationship Id="rId20" Type="http://schemas.openxmlformats.org/officeDocument/2006/relationships/hyperlink" Target="https://doi.org/10.1016/j.hrmr.2019.10031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14527128" TargetMode="External"/><Relationship Id="rId24" Type="http://schemas.openxmlformats.org/officeDocument/2006/relationships/hyperlink" Target="https://doi.org/10.1080/10400419.2019.1641787" TargetMode="External"/><Relationship Id="rId5" Type="http://schemas.openxmlformats.org/officeDocument/2006/relationships/webSettings" Target="webSettings.xml"/><Relationship Id="rId15" Type="http://schemas.openxmlformats.org/officeDocument/2006/relationships/hyperlink" Target="https://doi.org/10.1080/10400419.2016.1195627" TargetMode="External"/><Relationship Id="rId23" Type="http://schemas.openxmlformats.org/officeDocument/2006/relationships/hyperlink" Target="https://doi.org/10.1111/jpim.12729" TargetMode="External"/><Relationship Id="rId28" Type="http://schemas.openxmlformats.org/officeDocument/2006/relationships/footer" Target="footer1.xml"/><Relationship Id="rId10" Type="http://schemas.openxmlformats.org/officeDocument/2006/relationships/hyperlink" Target="https://doi.org/10.1016/j.riob.2016.10.001" TargetMode="External"/><Relationship Id="rId19" Type="http://schemas.openxmlformats.org/officeDocument/2006/relationships/hyperlink" Target="https://doi.org/10.1093/acprof:oso/9780199374441.001.0001" TargetMode="External"/><Relationship Id="rId4" Type="http://schemas.openxmlformats.org/officeDocument/2006/relationships/settings" Target="settings.xml"/><Relationship Id="rId9" Type="http://schemas.openxmlformats.org/officeDocument/2006/relationships/hyperlink" Target="https://www.peoplematters.in/article/innovation/creative-and-critical-thinking-a-recipe-for-innovation-6261" TargetMode="External"/><Relationship Id="rId14" Type="http://schemas.openxmlformats.org/officeDocument/2006/relationships/hyperlink" Target="https://doi.org/10.1093/acprof:oso/9780199682461.001.0001" TargetMode="External"/><Relationship Id="rId22" Type="http://schemas.openxmlformats.org/officeDocument/2006/relationships/hyperlink" Target="https://doi.org/10.1080/13511610.2021.1925526" TargetMode="External"/><Relationship Id="rId27" Type="http://schemas.openxmlformats.org/officeDocument/2006/relationships/oleObject" Target="embeddings/oleObject1.bin"/><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BE2E2-BFE3-453D-820D-F6B6A8981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5629</Words>
  <Characters>32087</Characters>
  <Application>Microsoft Office Word</Application>
  <DocSecurity>0</DocSecurity>
  <Lines>267</Lines>
  <Paragraphs>75</Paragraphs>
  <ScaleCrop>false</ScaleCrop>
  <Company/>
  <LinksUpToDate>false</LinksUpToDate>
  <CharactersWithSpaces>37641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STEELE</dc:creator>
  <cp:keywords/>
  <dc:description/>
  <cp:lastModifiedBy>Steele, Quason</cp:lastModifiedBy>
  <cp:revision>4</cp:revision>
  <dcterms:created xsi:type="dcterms:W3CDTF">2026-04-10T21:48:00Z</dcterms:created>
  <dcterms:modified xsi:type="dcterms:W3CDTF">2026-04-10T22:17:00Z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217e960e-b76b-483f-bc41-5ce15a85d557</vt:lpwstr>
  </property>
</Properties>
</file>