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2018F" w14:textId="2F84F33D" w:rsidR="00163E78" w:rsidRDefault="00FA09C5" w:rsidP="00950422">
      <w:pPr>
        <w:jc w:val="center"/>
        <w:rPr>
          <w:rFonts w:ascii="Times New Roman" w:hAnsi="Times New Roman" w:cs="Times New Roman"/>
          <w:sz w:val="24"/>
          <w:szCs w:val="24"/>
        </w:rPr>
      </w:pPr>
      <w:r>
        <w:rPr>
          <w:rFonts w:ascii="Times New Roman" w:hAnsi="Times New Roman" w:cs="Times New Roman"/>
          <w:sz w:val="24"/>
          <w:szCs w:val="24"/>
        </w:rPr>
        <w:t>A comparison of the marketing methods of two multinational hotel brands</w:t>
      </w:r>
    </w:p>
    <w:p w14:paraId="3108EC19" w14:textId="39F5793B" w:rsidR="00FA09C5" w:rsidRDefault="00950422" w:rsidP="00983453">
      <w:pPr>
        <w:jc w:val="center"/>
        <w:rPr>
          <w:rFonts w:ascii="Times New Roman" w:hAnsi="Times New Roman" w:cs="Times New Roman"/>
          <w:sz w:val="24"/>
          <w:szCs w:val="24"/>
        </w:rPr>
      </w:pPr>
      <w:proofErr w:type="gramStart"/>
      <w:r>
        <w:rPr>
          <w:rFonts w:ascii="Times New Roman" w:hAnsi="Times New Roman" w:cs="Times New Roman"/>
          <w:sz w:val="24"/>
          <w:szCs w:val="24"/>
        </w:rPr>
        <w:t>Name :</w:t>
      </w:r>
      <w:proofErr w:type="gramEnd"/>
      <w:r>
        <w:rPr>
          <w:rFonts w:ascii="Times New Roman" w:hAnsi="Times New Roman" w:cs="Times New Roman"/>
          <w:sz w:val="24"/>
          <w:szCs w:val="24"/>
        </w:rPr>
        <w:t xml:space="preserve"> Daniel-</w:t>
      </w:r>
      <w:proofErr w:type="spellStart"/>
      <w:r>
        <w:rPr>
          <w:rFonts w:ascii="Times New Roman" w:hAnsi="Times New Roman" w:cs="Times New Roman"/>
          <w:sz w:val="24"/>
          <w:szCs w:val="24"/>
        </w:rPr>
        <w:t>Nicusor</w:t>
      </w:r>
      <w:proofErr w:type="spellEnd"/>
      <w:r>
        <w:rPr>
          <w:rFonts w:ascii="Times New Roman" w:hAnsi="Times New Roman" w:cs="Times New Roman"/>
          <w:sz w:val="24"/>
          <w:szCs w:val="24"/>
        </w:rPr>
        <w:t xml:space="preserve"> Petrache</w:t>
      </w:r>
    </w:p>
    <w:p w14:paraId="7E8FF94F" w14:textId="19388FCC" w:rsidR="00950422" w:rsidRDefault="0063026F" w:rsidP="00983453">
      <w:pPr>
        <w:jc w:val="center"/>
        <w:rPr>
          <w:rFonts w:ascii="Times New Roman" w:hAnsi="Times New Roman" w:cs="Times New Roman"/>
          <w:sz w:val="24"/>
          <w:szCs w:val="24"/>
        </w:rPr>
      </w:pPr>
      <w:r>
        <w:rPr>
          <w:rFonts w:ascii="Times New Roman" w:hAnsi="Times New Roman" w:cs="Times New Roman"/>
          <w:sz w:val="24"/>
          <w:szCs w:val="24"/>
        </w:rPr>
        <w:t xml:space="preserve">Student ID </w:t>
      </w:r>
      <w:proofErr w:type="gramStart"/>
      <w:r>
        <w:rPr>
          <w:rFonts w:ascii="Times New Roman" w:hAnsi="Times New Roman" w:cs="Times New Roman"/>
          <w:sz w:val="24"/>
          <w:szCs w:val="24"/>
        </w:rPr>
        <w:t>number :</w:t>
      </w:r>
      <w:proofErr w:type="gramEnd"/>
      <w:r>
        <w:rPr>
          <w:rFonts w:ascii="Times New Roman" w:hAnsi="Times New Roman" w:cs="Times New Roman"/>
          <w:sz w:val="24"/>
          <w:szCs w:val="24"/>
        </w:rPr>
        <w:t xml:space="preserve"> </w:t>
      </w:r>
      <w:r w:rsidR="000B0845">
        <w:rPr>
          <w:rFonts w:ascii="Times New Roman" w:hAnsi="Times New Roman" w:cs="Times New Roman"/>
          <w:sz w:val="24"/>
          <w:szCs w:val="24"/>
        </w:rPr>
        <w:t>2246592</w:t>
      </w:r>
    </w:p>
    <w:p w14:paraId="7660AD4C" w14:textId="29F143E7" w:rsidR="000B0845" w:rsidRDefault="0085124B" w:rsidP="00983453">
      <w:pPr>
        <w:jc w:val="center"/>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title :</w:t>
      </w:r>
      <w:proofErr w:type="gramEnd"/>
      <w:r>
        <w:rPr>
          <w:rFonts w:ascii="Times New Roman" w:hAnsi="Times New Roman" w:cs="Times New Roman"/>
          <w:sz w:val="24"/>
          <w:szCs w:val="24"/>
        </w:rPr>
        <w:t xml:space="preserve"> Marketing Essentials BMIH4005</w:t>
      </w:r>
    </w:p>
    <w:p w14:paraId="4AE4F1C1" w14:textId="27C6B0A3" w:rsidR="0085124B" w:rsidRDefault="0085124B" w:rsidP="00983453">
      <w:pPr>
        <w:jc w:val="center"/>
        <w:rPr>
          <w:rFonts w:ascii="Times New Roman" w:hAnsi="Times New Roman" w:cs="Times New Roman"/>
          <w:sz w:val="24"/>
          <w:szCs w:val="24"/>
        </w:rPr>
      </w:pPr>
      <w:r>
        <w:rPr>
          <w:rFonts w:ascii="Times New Roman" w:hAnsi="Times New Roman" w:cs="Times New Roman"/>
          <w:sz w:val="24"/>
          <w:szCs w:val="24"/>
        </w:rPr>
        <w:t xml:space="preserve">Lecturer’s </w:t>
      </w:r>
      <w:proofErr w:type="gramStart"/>
      <w:r>
        <w:rPr>
          <w:rFonts w:ascii="Times New Roman" w:hAnsi="Times New Roman" w:cs="Times New Roman"/>
          <w:sz w:val="24"/>
          <w:szCs w:val="24"/>
        </w:rPr>
        <w:t>name :</w:t>
      </w:r>
      <w:proofErr w:type="gramEnd"/>
      <w:r>
        <w:rPr>
          <w:rFonts w:ascii="Times New Roman" w:hAnsi="Times New Roman" w:cs="Times New Roman"/>
          <w:sz w:val="24"/>
          <w:szCs w:val="24"/>
        </w:rPr>
        <w:t xml:space="preserve"> Dale Clarke</w:t>
      </w:r>
    </w:p>
    <w:p w14:paraId="0716CE2E" w14:textId="0C732E24" w:rsidR="0085124B" w:rsidRDefault="00BD7B61" w:rsidP="00983453">
      <w:pPr>
        <w:jc w:val="center"/>
        <w:rPr>
          <w:rFonts w:ascii="Times New Roman" w:hAnsi="Times New Roman" w:cs="Times New Roman"/>
          <w:sz w:val="24"/>
          <w:szCs w:val="24"/>
        </w:rPr>
      </w:pPr>
      <w:r>
        <w:rPr>
          <w:rFonts w:ascii="Times New Roman" w:hAnsi="Times New Roman" w:cs="Times New Roman"/>
          <w:sz w:val="24"/>
          <w:szCs w:val="24"/>
        </w:rPr>
        <w:t xml:space="preserve">Word </w:t>
      </w:r>
      <w:proofErr w:type="gramStart"/>
      <w:r>
        <w:rPr>
          <w:rFonts w:ascii="Times New Roman" w:hAnsi="Times New Roman" w:cs="Times New Roman"/>
          <w:sz w:val="24"/>
          <w:szCs w:val="24"/>
        </w:rPr>
        <w:t>Count :</w:t>
      </w:r>
      <w:proofErr w:type="gramEnd"/>
      <w:r>
        <w:rPr>
          <w:rFonts w:ascii="Times New Roman" w:hAnsi="Times New Roman" w:cs="Times New Roman"/>
          <w:sz w:val="24"/>
          <w:szCs w:val="24"/>
        </w:rPr>
        <w:t xml:space="preserve"> </w:t>
      </w:r>
      <w:r w:rsidR="00983453">
        <w:rPr>
          <w:rFonts w:ascii="Times New Roman" w:hAnsi="Times New Roman" w:cs="Times New Roman"/>
          <w:sz w:val="24"/>
          <w:szCs w:val="24"/>
        </w:rPr>
        <w:t>1532</w:t>
      </w:r>
    </w:p>
    <w:p w14:paraId="30E1E0D6" w14:textId="77777777" w:rsidR="00950422" w:rsidRDefault="00950422">
      <w:pPr>
        <w:rPr>
          <w:rFonts w:ascii="Times New Roman" w:hAnsi="Times New Roman" w:cs="Times New Roman"/>
          <w:sz w:val="24"/>
          <w:szCs w:val="24"/>
        </w:rPr>
      </w:pPr>
    </w:p>
    <w:p w14:paraId="0C870606" w14:textId="2618F52B" w:rsidR="00AF4C06" w:rsidRPr="00AF4C06" w:rsidRDefault="00AF4C06" w:rsidP="00AF4C06">
      <w:pPr>
        <w:rPr>
          <w:rFonts w:ascii="Times New Roman" w:hAnsi="Times New Roman" w:cs="Times New Roman"/>
          <w:sz w:val="24"/>
          <w:szCs w:val="24"/>
        </w:rPr>
      </w:pPr>
      <w:r w:rsidRPr="00AF4C06">
        <w:rPr>
          <w:rFonts w:ascii="Times New Roman" w:hAnsi="Times New Roman" w:cs="Times New Roman"/>
          <w:sz w:val="24"/>
          <w:szCs w:val="24"/>
        </w:rPr>
        <w:t xml:space="preserve">In the hospitality field, Six Senses hotels and Holiday Inn emerge as distinguished brands representing diverse illustrations. </w:t>
      </w:r>
      <w:proofErr w:type="gramStart"/>
      <w:r w:rsidRPr="00AF4C06">
        <w:rPr>
          <w:rFonts w:ascii="Times New Roman" w:hAnsi="Times New Roman" w:cs="Times New Roman"/>
          <w:sz w:val="24"/>
          <w:szCs w:val="24"/>
        </w:rPr>
        <w:t>Six Senses outlines luxury,</w:t>
      </w:r>
      <w:proofErr w:type="gramEnd"/>
      <w:r w:rsidRPr="00AF4C06">
        <w:rPr>
          <w:rFonts w:ascii="Times New Roman" w:hAnsi="Times New Roman" w:cs="Times New Roman"/>
          <w:sz w:val="24"/>
          <w:szCs w:val="24"/>
        </w:rPr>
        <w:t xml:space="preserve"> captivates guests with eco-consciousness and transformative wellness experiences. Meanwhile, Holiday Inn's unwavering commitment to affordable comfort and exceptional service appeals to the discerning </w:t>
      </w:r>
      <w:r w:rsidR="00F06947" w:rsidRPr="00AF4C06">
        <w:rPr>
          <w:rFonts w:ascii="Times New Roman" w:hAnsi="Times New Roman" w:cs="Times New Roman"/>
          <w:sz w:val="24"/>
          <w:szCs w:val="24"/>
        </w:rPr>
        <w:t>traveller</w:t>
      </w:r>
      <w:r w:rsidRPr="00AF4C06">
        <w:rPr>
          <w:rFonts w:ascii="Times New Roman" w:hAnsi="Times New Roman" w:cs="Times New Roman"/>
          <w:sz w:val="24"/>
          <w:szCs w:val="24"/>
        </w:rPr>
        <w:t xml:space="preserve"> seeking a memorable stay. This essay aims to explore the unique attributes, market positioning, and success factors that have propelled these renowned hotel brands to the forefront of the industry. This thesis aims to </w:t>
      </w:r>
      <w:proofErr w:type="gramStart"/>
      <w:r w:rsidRPr="00AF4C06">
        <w:rPr>
          <w:rFonts w:ascii="Times New Roman" w:hAnsi="Times New Roman" w:cs="Times New Roman"/>
          <w:sz w:val="24"/>
          <w:szCs w:val="24"/>
        </w:rPr>
        <w:t>compare and contrast</w:t>
      </w:r>
      <w:proofErr w:type="gramEnd"/>
      <w:r w:rsidRPr="00AF4C06">
        <w:rPr>
          <w:rFonts w:ascii="Times New Roman" w:hAnsi="Times New Roman" w:cs="Times New Roman"/>
          <w:sz w:val="24"/>
          <w:szCs w:val="24"/>
        </w:rPr>
        <w:t xml:space="preserve"> the assumptions and predictions surrounding Six Senses and Holiday Inn, two distinct hotel brands. By examining their respective market positioning, guest demographics, and industry trends, </w:t>
      </w:r>
      <w:r w:rsidR="000F2E28">
        <w:rPr>
          <w:rFonts w:ascii="Times New Roman" w:hAnsi="Times New Roman" w:cs="Times New Roman"/>
          <w:sz w:val="24"/>
          <w:szCs w:val="24"/>
        </w:rPr>
        <w:t>they</w:t>
      </w:r>
      <w:r w:rsidRPr="00AF4C06">
        <w:rPr>
          <w:rFonts w:ascii="Times New Roman" w:hAnsi="Times New Roman" w:cs="Times New Roman"/>
          <w:sz w:val="24"/>
          <w:szCs w:val="24"/>
        </w:rPr>
        <w:t xml:space="preserve"> can discern potential growth trajectories, consumer preferences, and future challenges that may impact their success and competitive advantage in the evolving hospitality landscape. Using a comprehensive framework encompassing market positioning, guest demographics, and industry trends, this analysis will compare Six Senses and Holiday Inn. Key points will include their unique brand ethos, target markets and adaptability to emerging consumer demands, allowing for a holistic assessment of their competitive advantages and potential growth opportunities.</w:t>
      </w:r>
    </w:p>
    <w:p w14:paraId="32FEDD89" w14:textId="77777777" w:rsidR="00AF4C06" w:rsidRPr="00AF4C06" w:rsidRDefault="00AF4C06" w:rsidP="00AF4C06">
      <w:pPr>
        <w:rPr>
          <w:rFonts w:ascii="Times New Roman" w:hAnsi="Times New Roman" w:cs="Times New Roman"/>
          <w:sz w:val="24"/>
          <w:szCs w:val="24"/>
        </w:rPr>
      </w:pPr>
    </w:p>
    <w:p w14:paraId="7685A3F0" w14:textId="77777777" w:rsidR="00AF4C06" w:rsidRPr="00AF4C06" w:rsidRDefault="00AF4C06" w:rsidP="00AF4C06">
      <w:pPr>
        <w:rPr>
          <w:rFonts w:ascii="Times New Roman" w:hAnsi="Times New Roman" w:cs="Times New Roman"/>
          <w:sz w:val="24"/>
          <w:szCs w:val="24"/>
        </w:rPr>
      </w:pPr>
    </w:p>
    <w:p w14:paraId="7FEF1FDA" w14:textId="66A64D62" w:rsidR="00AF4C06" w:rsidRPr="00AF4C06" w:rsidRDefault="00AF4C06" w:rsidP="00AF4C06">
      <w:pPr>
        <w:rPr>
          <w:rFonts w:ascii="Times New Roman" w:hAnsi="Times New Roman" w:cs="Times New Roman"/>
          <w:sz w:val="24"/>
          <w:szCs w:val="24"/>
        </w:rPr>
      </w:pPr>
      <w:r w:rsidRPr="00AF4C06">
        <w:rPr>
          <w:rFonts w:ascii="Times New Roman" w:hAnsi="Times New Roman" w:cs="Times New Roman"/>
          <w:sz w:val="24"/>
          <w:szCs w:val="24"/>
        </w:rPr>
        <w:t xml:space="preserve">Six Senses and Holiday Inn, two imposing hotel brands, exhibit distinct situational factors that shape their internal and external environments. By employing frameworks like SWOT and PESTLE, we can </w:t>
      </w:r>
      <w:r w:rsidR="00F06947" w:rsidRPr="00AF4C06">
        <w:rPr>
          <w:rFonts w:ascii="Times New Roman" w:hAnsi="Times New Roman" w:cs="Times New Roman"/>
          <w:sz w:val="24"/>
          <w:szCs w:val="24"/>
        </w:rPr>
        <w:t>analyse</w:t>
      </w:r>
      <w:r w:rsidRPr="00AF4C06">
        <w:rPr>
          <w:rFonts w:ascii="Times New Roman" w:hAnsi="Times New Roman" w:cs="Times New Roman"/>
          <w:sz w:val="24"/>
          <w:szCs w:val="24"/>
        </w:rPr>
        <w:t xml:space="preserve"> their similarities and differences. Starting with the internal analysis, Six Senses and Holiday Inn both possess unique strengths. Six Senses excels in delivering luxurious experiences and embraces sustainability practices, attracting environmentally conscious </w:t>
      </w:r>
      <w:r w:rsidR="00F06947" w:rsidRPr="00AF4C06">
        <w:rPr>
          <w:rFonts w:ascii="Times New Roman" w:hAnsi="Times New Roman" w:cs="Times New Roman"/>
          <w:sz w:val="24"/>
          <w:szCs w:val="24"/>
        </w:rPr>
        <w:t>travellers</w:t>
      </w:r>
      <w:r w:rsidRPr="00AF4C06">
        <w:rPr>
          <w:rFonts w:ascii="Times New Roman" w:hAnsi="Times New Roman" w:cs="Times New Roman"/>
          <w:sz w:val="24"/>
          <w:szCs w:val="24"/>
        </w:rPr>
        <w:t xml:space="preserve"> seeking wellness retreats. On the other hand, Holiday Inn's strength lies in its strong brand recognition, extensive global presence, and affordable comfort, catering to a wide range of budget-conscious </w:t>
      </w:r>
      <w:r w:rsidR="00F06947" w:rsidRPr="00AF4C06">
        <w:rPr>
          <w:rFonts w:ascii="Times New Roman" w:hAnsi="Times New Roman" w:cs="Times New Roman"/>
          <w:sz w:val="24"/>
          <w:szCs w:val="24"/>
        </w:rPr>
        <w:t>travellers</w:t>
      </w:r>
      <w:r w:rsidRPr="00AF4C06">
        <w:rPr>
          <w:rFonts w:ascii="Times New Roman" w:hAnsi="Times New Roman" w:cs="Times New Roman"/>
          <w:sz w:val="24"/>
          <w:szCs w:val="24"/>
        </w:rPr>
        <w:t xml:space="preserve">. However, weaknesses can be identified. Six Senses, due to its focus on luxury, may have limited accessibility for budget </w:t>
      </w:r>
      <w:r w:rsidR="00F06947" w:rsidRPr="00AF4C06">
        <w:rPr>
          <w:rFonts w:ascii="Times New Roman" w:hAnsi="Times New Roman" w:cs="Times New Roman"/>
          <w:sz w:val="24"/>
          <w:szCs w:val="24"/>
        </w:rPr>
        <w:t>travellers</w:t>
      </w:r>
      <w:r w:rsidRPr="00AF4C06">
        <w:rPr>
          <w:rFonts w:ascii="Times New Roman" w:hAnsi="Times New Roman" w:cs="Times New Roman"/>
          <w:sz w:val="24"/>
          <w:szCs w:val="24"/>
        </w:rPr>
        <w:t xml:space="preserve">. In contrast, Holiday Inn's vast network of properties may face challenges in maintaining consistent quality and personalized experiences. Moving to the external analysis, the brands face different opportunities and threats. Both benefit from growing global travel trends, but in distinct ways. Six Senses has an opportunity to capitalize on the increasing demand for wellness tourism and eco-friendly practices. Holiday Inn, with its affordability, can tap into the rise of budget travel and the expanding middle-class market. However, they also face threats that are specific to their positioning. Six Senses may encounter challenges in </w:t>
      </w:r>
      <w:r w:rsidRPr="00AF4C06">
        <w:rPr>
          <w:rFonts w:ascii="Times New Roman" w:hAnsi="Times New Roman" w:cs="Times New Roman"/>
          <w:sz w:val="24"/>
          <w:szCs w:val="24"/>
        </w:rPr>
        <w:lastRenderedPageBreak/>
        <w:t xml:space="preserve">expanding its luxury niche due to intense competition and changing consumer preferences. For Holiday Inn, threats include potential saturation in the mid-market segment and the need to continually adapt to evolving customer expectations. Politically, both face regulations related to </w:t>
      </w:r>
      <w:r w:rsidR="00056FFE" w:rsidRPr="00AF4C06">
        <w:rPr>
          <w:rFonts w:ascii="Times New Roman" w:hAnsi="Times New Roman" w:cs="Times New Roman"/>
          <w:sz w:val="24"/>
          <w:szCs w:val="24"/>
        </w:rPr>
        <w:t>labour</w:t>
      </w:r>
      <w:r w:rsidRPr="00AF4C06">
        <w:rPr>
          <w:rFonts w:ascii="Times New Roman" w:hAnsi="Times New Roman" w:cs="Times New Roman"/>
          <w:sz w:val="24"/>
          <w:szCs w:val="24"/>
        </w:rPr>
        <w:t xml:space="preserve">, safety, and taxation. Economically, factors like exchange rates and economic downturns impact their financial performance. Socially, changing travel </w:t>
      </w:r>
      <w:r w:rsidR="00056FFE" w:rsidRPr="00AF4C06">
        <w:rPr>
          <w:rFonts w:ascii="Times New Roman" w:hAnsi="Times New Roman" w:cs="Times New Roman"/>
          <w:sz w:val="24"/>
          <w:szCs w:val="24"/>
        </w:rPr>
        <w:t>behaviours</w:t>
      </w:r>
      <w:r w:rsidRPr="00AF4C06">
        <w:rPr>
          <w:rFonts w:ascii="Times New Roman" w:hAnsi="Times New Roman" w:cs="Times New Roman"/>
          <w:sz w:val="24"/>
          <w:szCs w:val="24"/>
        </w:rPr>
        <w:t>, such as an increased emphasis on experiential travel or social media influence, affect both brands differently. Technological advancements impact them as well, with Six Senses leveraging technology to enhance guest experiences while Holiday Inn focuses on digital marketing and guest convenience.</w:t>
      </w:r>
      <w:r w:rsidR="00BC5798" w:rsidRPr="00BC5798">
        <w:t xml:space="preserve"> </w:t>
      </w:r>
      <w:r w:rsidR="00BC5798" w:rsidRPr="00BC5798">
        <w:rPr>
          <w:rFonts w:ascii="Times New Roman" w:hAnsi="Times New Roman" w:cs="Times New Roman"/>
          <w:sz w:val="24"/>
          <w:szCs w:val="24"/>
        </w:rPr>
        <w:t>Legally, Holiday Inn and Six Senses Hotels differ in terms of regulatory compliance, intellectual property protection</w:t>
      </w:r>
      <w:r w:rsidR="00624482">
        <w:rPr>
          <w:rFonts w:ascii="Times New Roman" w:hAnsi="Times New Roman" w:cs="Times New Roman"/>
          <w:sz w:val="24"/>
          <w:szCs w:val="24"/>
        </w:rPr>
        <w:t xml:space="preserve"> or </w:t>
      </w:r>
      <w:r w:rsidR="00BC5798" w:rsidRPr="00BC5798">
        <w:rPr>
          <w:rFonts w:ascii="Times New Roman" w:hAnsi="Times New Roman" w:cs="Times New Roman"/>
          <w:sz w:val="24"/>
          <w:szCs w:val="24"/>
        </w:rPr>
        <w:t>sustainability practices, highlighting their distinct approaches and standards.</w:t>
      </w:r>
      <w:r w:rsidR="00866152" w:rsidRPr="00AF4C06">
        <w:rPr>
          <w:rFonts w:ascii="Times New Roman" w:hAnsi="Times New Roman" w:cs="Times New Roman"/>
          <w:sz w:val="24"/>
          <w:szCs w:val="24"/>
        </w:rPr>
        <w:t xml:space="preserve"> </w:t>
      </w:r>
      <w:r w:rsidRPr="00AF4C06">
        <w:rPr>
          <w:rFonts w:ascii="Times New Roman" w:hAnsi="Times New Roman" w:cs="Times New Roman"/>
          <w:sz w:val="24"/>
          <w:szCs w:val="24"/>
        </w:rPr>
        <w:t>Finally, environmental considerations impact Six Senses more prominently due to its sustainability initiatives, while Holiday Inn may need to align with evolving environmental expectations. In conclusion, the SWOT and PESTLE frameworks illuminate both similarities and differences between Six Senses and Holiday Inn. While both brands excel in their respective areas, such as Six Senses' luxury focus and Holiday Inn's affordability, they face distinct challenges and opportunities. By understanding these situational factors, the brands can leverage their strengths, address weaknesses, seize opportunities, and mitigate threats to maintain their competitive edge in the ever-changing hospitality industry.</w:t>
      </w:r>
    </w:p>
    <w:p w14:paraId="13A5DD2B" w14:textId="77777777" w:rsidR="00AF4C06" w:rsidRPr="00AF4C06" w:rsidRDefault="00AF4C06" w:rsidP="00AF4C06">
      <w:pPr>
        <w:rPr>
          <w:rFonts w:ascii="Times New Roman" w:hAnsi="Times New Roman" w:cs="Times New Roman"/>
          <w:sz w:val="24"/>
          <w:szCs w:val="24"/>
        </w:rPr>
      </w:pPr>
    </w:p>
    <w:p w14:paraId="5D226E8C" w14:textId="2D7B7ADE" w:rsidR="00AF4C06" w:rsidRPr="00AF4C06" w:rsidRDefault="00AF4C06" w:rsidP="00AF4C06">
      <w:pPr>
        <w:rPr>
          <w:rFonts w:ascii="Times New Roman" w:hAnsi="Times New Roman" w:cs="Times New Roman"/>
          <w:sz w:val="24"/>
          <w:szCs w:val="24"/>
        </w:rPr>
      </w:pPr>
      <w:r w:rsidRPr="00AF4C06">
        <w:rPr>
          <w:rFonts w:ascii="Times New Roman" w:hAnsi="Times New Roman" w:cs="Times New Roman"/>
          <w:sz w:val="24"/>
          <w:szCs w:val="24"/>
        </w:rPr>
        <w:t xml:space="preserve">Six Senses Hotels and Holiday Inn are two famous hotel brands that excel at providing unique experiences to their guests. Considering Six Senses Hotels, they exemplify luxury and sustainability. Their product focuses on offering high-quality accommodations and unparalleled wellness experiences. The hotels are strategically located in </w:t>
      </w:r>
      <w:r w:rsidR="00056FFE" w:rsidRPr="00AF4C06">
        <w:rPr>
          <w:rFonts w:ascii="Times New Roman" w:hAnsi="Times New Roman" w:cs="Times New Roman"/>
          <w:sz w:val="24"/>
          <w:szCs w:val="24"/>
        </w:rPr>
        <w:t>breath-taking</w:t>
      </w:r>
      <w:r w:rsidRPr="00AF4C06">
        <w:rPr>
          <w:rFonts w:ascii="Times New Roman" w:hAnsi="Times New Roman" w:cs="Times New Roman"/>
          <w:sz w:val="24"/>
          <w:szCs w:val="24"/>
        </w:rPr>
        <w:t xml:space="preserve"> destinations, providing guests with stunning views and access to nature. The services offered at Six Senses are holistic and personalised, with an emphasis on wellness treatments, yoga, and mindfulness activities. Their promotion relies heavily on word-of-mouth, social media, and partnerships with wellness influencers and sustainable living advocates. On the other hand, Holiday Inn caters to a broader market segment, emphasising affordability and convenience. Their product focuses on comfortable and functional accommodations suitable for both business and leisure travellers. Holiday Inn hotels are often located in prime city or suburban areas, providing easy access to transportation and popular attractions. Holiday Inn's pricing strategy is competitive, targeting cost-conscious customers who prioritise value for money. Their promotion includes online and traditional advertising and partnerships with travel agencies and corporate clients. Both brands prioritise customer satisfaction, value customer feedback, and strive to exceed expectations. Additionally, both brands have a global presence and operate multiple properties worldwide, catering to diverse markets and cultural preferences. Regarding differences, the primary distinction lies in their target markets and positioning. While Holiday Inn concentrates on offering cosy accommodations for travellers on a tight budget, Six Senses caters to high-end luxury travellers seeking wellness and sustainability. Their pricing policies, services, and locations all reflect this distinction. While Holiday Inn places a higher value on accessibility and convenience, Six Senses emphasises exclusivity and peaceful settings. As for assumptions and predictions, it can be confirmed that both brands have successfully executed their strategies. Their emphasis on sustainability has resonated with environmentally conscious travellers. Holiday Inn, with its affordable yet </w:t>
      </w:r>
      <w:r w:rsidRPr="00AF4C06">
        <w:rPr>
          <w:rFonts w:ascii="Times New Roman" w:hAnsi="Times New Roman" w:cs="Times New Roman"/>
          <w:sz w:val="24"/>
          <w:szCs w:val="24"/>
        </w:rPr>
        <w:lastRenderedPageBreak/>
        <w:t>reliable offerings, has consistently catered to a wide customer base, gaining popularity and loyalty. Their focus on convenience and value has met the expectations of cost-conscious travellers. In conclusion, Six Senses Hotels and Holiday Inn are two distinct hotel brands with different target markets and positioning. While Six Senses emphasises luxury and sustainability, Holiday Inn prioritises affordability and convenience. However, both brands share a commitment to customer satisfaction; therefore, the assumptions made have been successfully confirmed.</w:t>
      </w:r>
    </w:p>
    <w:p w14:paraId="0CF7C5FB" w14:textId="77777777" w:rsidR="00AF4C06" w:rsidRPr="00AF4C06" w:rsidRDefault="00AF4C06" w:rsidP="00AF4C06">
      <w:pPr>
        <w:rPr>
          <w:rFonts w:ascii="Times New Roman" w:hAnsi="Times New Roman" w:cs="Times New Roman"/>
          <w:sz w:val="24"/>
          <w:szCs w:val="24"/>
        </w:rPr>
      </w:pPr>
    </w:p>
    <w:p w14:paraId="1872EED9" w14:textId="5E0B9F90" w:rsidR="00AF4C06" w:rsidRPr="00AF4C06" w:rsidRDefault="00AF4C06" w:rsidP="00AF4C06">
      <w:pPr>
        <w:rPr>
          <w:rFonts w:ascii="Times New Roman" w:hAnsi="Times New Roman" w:cs="Times New Roman"/>
          <w:sz w:val="24"/>
          <w:szCs w:val="24"/>
        </w:rPr>
      </w:pPr>
      <w:r w:rsidRPr="00AF4C06">
        <w:rPr>
          <w:rFonts w:ascii="Times New Roman" w:hAnsi="Times New Roman" w:cs="Times New Roman"/>
          <w:sz w:val="24"/>
          <w:szCs w:val="24"/>
        </w:rPr>
        <w:t xml:space="preserve">In terms of achieving an analysis by applying the </w:t>
      </w:r>
      <w:r w:rsidR="00056FFE" w:rsidRPr="00AF4C06">
        <w:rPr>
          <w:rFonts w:ascii="Times New Roman" w:hAnsi="Times New Roman" w:cs="Times New Roman"/>
          <w:sz w:val="24"/>
          <w:szCs w:val="24"/>
        </w:rPr>
        <w:t>Similar Web</w:t>
      </w:r>
      <w:r w:rsidRPr="00AF4C06">
        <w:rPr>
          <w:rFonts w:ascii="Times New Roman" w:hAnsi="Times New Roman" w:cs="Times New Roman"/>
          <w:sz w:val="24"/>
          <w:szCs w:val="24"/>
        </w:rPr>
        <w:t xml:space="preserve"> tool to various variables, it is possible to recognise different customer segments for Six Senses Hotels and Holiday Inn. Both brands have distinct targeting strategies and can be positioned differently in the market. Six Senses Hotels, known for their luxury and sustainability-focused offerings, attract a customer segment that values high-end experiences and environmental consciousness. By exploiting </w:t>
      </w:r>
      <w:r w:rsidR="00056FFE" w:rsidRPr="00AF4C06">
        <w:rPr>
          <w:rFonts w:ascii="Times New Roman" w:hAnsi="Times New Roman" w:cs="Times New Roman"/>
          <w:sz w:val="24"/>
          <w:szCs w:val="24"/>
        </w:rPr>
        <w:t>Similar Web</w:t>
      </w:r>
      <w:r w:rsidRPr="00AF4C06">
        <w:rPr>
          <w:rFonts w:ascii="Times New Roman" w:hAnsi="Times New Roman" w:cs="Times New Roman"/>
          <w:sz w:val="24"/>
          <w:szCs w:val="24"/>
        </w:rPr>
        <w:t xml:space="preserve">, it can be observed that their website traffic comes from sources such as luxury travel websites and lifestyle publications. These signs indicate that Six Senses Hotels serve rich travellers looking for distinctive and environmentally responsible lodging. They can be recognised as a luxury brand that places a strong emphasis on wellbeing and exclusivity. On the other hand, Holiday Inn targets a broader customer segment seeking comfortable and affordable accommodations. </w:t>
      </w:r>
      <w:r w:rsidR="00056FFE" w:rsidRPr="00AF4C06">
        <w:rPr>
          <w:rFonts w:ascii="Times New Roman" w:hAnsi="Times New Roman" w:cs="Times New Roman"/>
          <w:sz w:val="24"/>
          <w:szCs w:val="24"/>
        </w:rPr>
        <w:t>Similar Web’s</w:t>
      </w:r>
      <w:r w:rsidRPr="00AF4C06">
        <w:rPr>
          <w:rFonts w:ascii="Times New Roman" w:hAnsi="Times New Roman" w:cs="Times New Roman"/>
          <w:sz w:val="24"/>
          <w:szCs w:val="24"/>
        </w:rPr>
        <w:t xml:space="preserve"> analysis reveals that their website traffic is driven by factors like online travel agencies or budget travel websites. This data suggests that Holiday Inn appeals to cost-conscious families and individuals looking for convenient and value-for-money stays. Their positioning lies in the mid-range or budget hotel segment, offering reliable hospitality services. Comparing the targeting strategies of these brands, Six Senses Hotels focuses on attracting a niche market of affluent customers interested in sustainable experiences. They prioritise organic searches and high-end publications to reach their target audience. In contrast, Holiday Inn adopts a more mass-market approach, targeting a wider customer base that includes families and budget-conscious travellers. Their emphasis lies in partnerships with online travel agencies and platforms catering to affordable travel options. In terms of positioning, Six Senses Hotels differentiate themselves by emphasising their premium offerings, wellness focus, and commitment to sustainability. They position themselves as a top-tier luxury brand with a unique selling proposition centred around eco-consciousness. Holiday Inn, on the other hand, positions itself as a reliable and affordable hotel chain, emphasising convenience and value for money. Accordingly, positioning tools demonstrate that Six Senses Hotels occupy a distinct position within the luxury hospitality market. They differentiate themselves from competitors by focusing on sustainability and wellness, offering a unique value proposition. Holiday Inn, meanwhile, positions itself in the mid-range or budget hotel segment, where it competes with other well-known brands offering similar services. Through positioning tools, it is evident that Six Senses Hotels positions itself as a premium brand with a focus on wellness, while Holiday Inn positions itself as an affordable hotel chain.</w:t>
      </w:r>
    </w:p>
    <w:p w14:paraId="01D0A0E8" w14:textId="0BDEF552" w:rsidR="00B36469" w:rsidRDefault="00AF4C06" w:rsidP="00AF4C06">
      <w:pPr>
        <w:rPr>
          <w:rFonts w:ascii="Times New Roman" w:hAnsi="Times New Roman" w:cs="Times New Roman"/>
          <w:sz w:val="24"/>
          <w:szCs w:val="24"/>
        </w:rPr>
      </w:pPr>
      <w:r w:rsidRPr="00AF4C06">
        <w:rPr>
          <w:rFonts w:ascii="Times New Roman" w:hAnsi="Times New Roman" w:cs="Times New Roman"/>
          <w:sz w:val="24"/>
          <w:szCs w:val="24"/>
        </w:rPr>
        <w:t xml:space="preserve">In essence, the analysis of Six Senses Hotels and Holiday Inn using tools like </w:t>
      </w:r>
      <w:r w:rsidR="00056FFE" w:rsidRPr="00AF4C06">
        <w:rPr>
          <w:rFonts w:ascii="Times New Roman" w:hAnsi="Times New Roman" w:cs="Times New Roman"/>
          <w:sz w:val="24"/>
          <w:szCs w:val="24"/>
        </w:rPr>
        <w:t>Similar Web</w:t>
      </w:r>
      <w:r w:rsidRPr="00AF4C06">
        <w:rPr>
          <w:rFonts w:ascii="Times New Roman" w:hAnsi="Times New Roman" w:cs="Times New Roman"/>
          <w:sz w:val="24"/>
          <w:szCs w:val="24"/>
        </w:rPr>
        <w:t xml:space="preserve">, along with an examination of their targeting strategies and positioning, reveals distinct customer segments and branding approaches. In summary, the analysis of Six Senses Hotels and Holiday Inn revealed distinct customer segments and branding strategies. Six Senses Hotels positions itself as a premium brand with a wellness focus, while Holiday Inn </w:t>
      </w:r>
      <w:r w:rsidRPr="00AF4C06">
        <w:rPr>
          <w:rFonts w:ascii="Times New Roman" w:hAnsi="Times New Roman" w:cs="Times New Roman"/>
          <w:sz w:val="24"/>
          <w:szCs w:val="24"/>
        </w:rPr>
        <w:lastRenderedPageBreak/>
        <w:t>emphasises affordability. Understanding these differences can help hotel brands effectively cater to their target markets. Future research can explore sustainability practises, consumer behaviour, digital marketing, and evolving trends for further insights. Conclusively, throughout the essay, some differences were explored and supported by evidence, such as the analysis of website traffic sources or customer preferences. The conclusion also reaffirmed the initial thesis by summarising the findings and highlighting the contrasting approaches of the two hotel brands.</w:t>
      </w:r>
    </w:p>
    <w:p w14:paraId="5AC3365B" w14:textId="20C3716D" w:rsidR="00B36469" w:rsidRDefault="00B36469" w:rsidP="006B0EF2">
      <w:pPr>
        <w:rPr>
          <w:color w:val="05103E"/>
          <w:sz w:val="27"/>
          <w:szCs w:val="27"/>
          <w:bdr w:val="single" w:sz="2" w:space="0" w:color="ECEDEE" w:frame="1"/>
          <w:shd w:val="clear" w:color="auto" w:fill="FFFFFF"/>
        </w:rPr>
      </w:pPr>
      <w:r>
        <w:rPr>
          <w:color w:val="05103E"/>
          <w:sz w:val="27"/>
          <w:szCs w:val="27"/>
          <w:shd w:val="clear" w:color="auto" w:fill="FFFFFF"/>
        </w:rPr>
        <w:t xml:space="preserve">Smith, M., &amp; </w:t>
      </w:r>
      <w:proofErr w:type="spellStart"/>
      <w:r>
        <w:rPr>
          <w:color w:val="05103E"/>
          <w:sz w:val="27"/>
          <w:szCs w:val="27"/>
          <w:shd w:val="clear" w:color="auto" w:fill="FFFFFF"/>
        </w:rPr>
        <w:t>Puczkó</w:t>
      </w:r>
      <w:proofErr w:type="spellEnd"/>
      <w:r>
        <w:rPr>
          <w:color w:val="05103E"/>
          <w:sz w:val="27"/>
          <w:szCs w:val="27"/>
          <w:shd w:val="clear" w:color="auto" w:fill="FFFFFF"/>
        </w:rPr>
        <w:t>, L. (2015). More than a special interest: defining and determining the demand for health tourism. </w:t>
      </w:r>
      <w:r>
        <w:rPr>
          <w:i/>
          <w:iCs/>
          <w:color w:val="05103E"/>
          <w:sz w:val="27"/>
          <w:szCs w:val="27"/>
          <w:bdr w:val="single" w:sz="2" w:space="0" w:color="ECEDEE" w:frame="1"/>
          <w:shd w:val="clear" w:color="auto" w:fill="FFFFFF"/>
        </w:rPr>
        <w:t>Tourism Recreation Research</w:t>
      </w:r>
      <w:r>
        <w:rPr>
          <w:color w:val="05103E"/>
          <w:sz w:val="27"/>
          <w:szCs w:val="27"/>
          <w:shd w:val="clear" w:color="auto" w:fill="FFFFFF"/>
        </w:rPr>
        <w:t>, </w:t>
      </w:r>
      <w:r>
        <w:rPr>
          <w:i/>
          <w:iCs/>
          <w:color w:val="05103E"/>
          <w:sz w:val="27"/>
          <w:szCs w:val="27"/>
          <w:bdr w:val="single" w:sz="2" w:space="0" w:color="ECEDEE" w:frame="1"/>
          <w:shd w:val="clear" w:color="auto" w:fill="FFFFFF"/>
        </w:rPr>
        <w:t>40</w:t>
      </w:r>
      <w:r>
        <w:rPr>
          <w:color w:val="05103E"/>
          <w:sz w:val="27"/>
          <w:szCs w:val="27"/>
          <w:shd w:val="clear" w:color="auto" w:fill="FFFFFF"/>
        </w:rPr>
        <w:t>(2), 205–219. </w:t>
      </w:r>
      <w:hyperlink r:id="rId5" w:history="1">
        <w:r w:rsidRPr="000A4A69">
          <w:rPr>
            <w:rStyle w:val="Hyperlink"/>
            <w:sz w:val="27"/>
            <w:szCs w:val="27"/>
            <w:bdr w:val="single" w:sz="2" w:space="0" w:color="ECEDEE" w:frame="1"/>
            <w:shd w:val="clear" w:color="auto" w:fill="FFFFFF"/>
          </w:rPr>
          <w:t>https://doi.org/10.1080/02508281.2015.1045364</w:t>
        </w:r>
      </w:hyperlink>
    </w:p>
    <w:p w14:paraId="1CDD4E20" w14:textId="2B00219A" w:rsidR="00B36469" w:rsidRDefault="00B36469" w:rsidP="006B0EF2">
      <w:pPr>
        <w:rPr>
          <w:color w:val="05103E"/>
          <w:sz w:val="27"/>
          <w:szCs w:val="27"/>
          <w:bdr w:val="single" w:sz="2" w:space="0" w:color="ECEDEE" w:frame="1"/>
          <w:shd w:val="clear" w:color="auto" w:fill="FFFFFF"/>
        </w:rPr>
      </w:pPr>
      <w:proofErr w:type="spellStart"/>
      <w:r>
        <w:rPr>
          <w:color w:val="05103E"/>
          <w:sz w:val="27"/>
          <w:szCs w:val="27"/>
          <w:shd w:val="clear" w:color="auto" w:fill="FFFFFF"/>
        </w:rPr>
        <w:t>Sigala</w:t>
      </w:r>
      <w:proofErr w:type="spellEnd"/>
      <w:r>
        <w:rPr>
          <w:color w:val="05103E"/>
          <w:sz w:val="27"/>
          <w:szCs w:val="27"/>
          <w:shd w:val="clear" w:color="auto" w:fill="FFFFFF"/>
        </w:rPr>
        <w:t xml:space="preserve">, M., Kumar, S., </w:t>
      </w:r>
      <w:proofErr w:type="spellStart"/>
      <w:r>
        <w:rPr>
          <w:color w:val="05103E"/>
          <w:sz w:val="27"/>
          <w:szCs w:val="27"/>
          <w:shd w:val="clear" w:color="auto" w:fill="FFFFFF"/>
        </w:rPr>
        <w:t>Donthu</w:t>
      </w:r>
      <w:proofErr w:type="spellEnd"/>
      <w:r>
        <w:rPr>
          <w:color w:val="05103E"/>
          <w:sz w:val="27"/>
          <w:szCs w:val="27"/>
          <w:shd w:val="clear" w:color="auto" w:fill="FFFFFF"/>
        </w:rPr>
        <w:t xml:space="preserve">, N., </w:t>
      </w:r>
      <w:proofErr w:type="spellStart"/>
      <w:r>
        <w:rPr>
          <w:color w:val="05103E"/>
          <w:sz w:val="27"/>
          <w:szCs w:val="27"/>
          <w:shd w:val="clear" w:color="auto" w:fill="FFFFFF"/>
        </w:rPr>
        <w:t>Sureka</w:t>
      </w:r>
      <w:proofErr w:type="spellEnd"/>
      <w:r>
        <w:rPr>
          <w:color w:val="05103E"/>
          <w:sz w:val="27"/>
          <w:szCs w:val="27"/>
          <w:shd w:val="clear" w:color="auto" w:fill="FFFFFF"/>
        </w:rPr>
        <w:t>, R., &amp; Joshi, Y. (2021). A bibliometric overview of the Journal of Hospitality and Tourism Management: Research contributions and influence. </w:t>
      </w:r>
      <w:r>
        <w:rPr>
          <w:i/>
          <w:iCs/>
          <w:color w:val="05103E"/>
          <w:sz w:val="27"/>
          <w:szCs w:val="27"/>
          <w:bdr w:val="single" w:sz="2" w:space="0" w:color="ECEDEE" w:frame="1"/>
          <w:shd w:val="clear" w:color="auto" w:fill="FFFFFF"/>
        </w:rPr>
        <w:t>Journal of Hospitality and Tourism Management</w:t>
      </w:r>
      <w:r>
        <w:rPr>
          <w:color w:val="05103E"/>
          <w:sz w:val="27"/>
          <w:szCs w:val="27"/>
          <w:shd w:val="clear" w:color="auto" w:fill="FFFFFF"/>
        </w:rPr>
        <w:t>, </w:t>
      </w:r>
      <w:r>
        <w:rPr>
          <w:i/>
          <w:iCs/>
          <w:color w:val="05103E"/>
          <w:sz w:val="27"/>
          <w:szCs w:val="27"/>
          <w:bdr w:val="single" w:sz="2" w:space="0" w:color="ECEDEE" w:frame="1"/>
          <w:shd w:val="clear" w:color="auto" w:fill="FFFFFF"/>
        </w:rPr>
        <w:t>47</w:t>
      </w:r>
      <w:r>
        <w:rPr>
          <w:color w:val="05103E"/>
          <w:sz w:val="27"/>
          <w:szCs w:val="27"/>
          <w:shd w:val="clear" w:color="auto" w:fill="FFFFFF"/>
        </w:rPr>
        <w:t>, 273–288. </w:t>
      </w:r>
      <w:hyperlink r:id="rId6" w:history="1">
        <w:r w:rsidRPr="000A4A69">
          <w:rPr>
            <w:rStyle w:val="Hyperlink"/>
            <w:sz w:val="27"/>
            <w:szCs w:val="27"/>
            <w:bdr w:val="single" w:sz="2" w:space="0" w:color="ECEDEE" w:frame="1"/>
            <w:shd w:val="clear" w:color="auto" w:fill="FFFFFF"/>
          </w:rPr>
          <w:t>https://doi.org/10.1016/j.jhtm.2021.04.005</w:t>
        </w:r>
      </w:hyperlink>
    </w:p>
    <w:p w14:paraId="63A81C6E" w14:textId="029720B3" w:rsidR="00B36469" w:rsidRDefault="00B36469" w:rsidP="006B0EF2">
      <w:pPr>
        <w:rPr>
          <w:color w:val="05103E"/>
          <w:sz w:val="27"/>
          <w:szCs w:val="27"/>
          <w:bdr w:val="single" w:sz="2" w:space="0" w:color="ECEDEE" w:frame="1"/>
          <w:shd w:val="clear" w:color="auto" w:fill="FFFFFF"/>
        </w:rPr>
      </w:pPr>
      <w:r>
        <w:rPr>
          <w:color w:val="05103E"/>
          <w:sz w:val="27"/>
          <w:szCs w:val="27"/>
          <w:shd w:val="clear" w:color="auto" w:fill="FFFFFF"/>
        </w:rPr>
        <w:t xml:space="preserve">Oh, H. (2000). The Effect of Brand Class, Brand Awareness, and Price on Customer Value and </w:t>
      </w:r>
      <w:proofErr w:type="spellStart"/>
      <w:r>
        <w:rPr>
          <w:color w:val="05103E"/>
          <w:sz w:val="27"/>
          <w:szCs w:val="27"/>
          <w:shd w:val="clear" w:color="auto" w:fill="FFFFFF"/>
        </w:rPr>
        <w:t>Behavioral</w:t>
      </w:r>
      <w:proofErr w:type="spellEnd"/>
      <w:r>
        <w:rPr>
          <w:color w:val="05103E"/>
          <w:sz w:val="27"/>
          <w:szCs w:val="27"/>
          <w:shd w:val="clear" w:color="auto" w:fill="FFFFFF"/>
        </w:rPr>
        <w:t xml:space="preserve"> Intentions. </w:t>
      </w:r>
      <w:r>
        <w:rPr>
          <w:i/>
          <w:iCs/>
          <w:color w:val="05103E"/>
          <w:sz w:val="27"/>
          <w:szCs w:val="27"/>
          <w:bdr w:val="single" w:sz="2" w:space="0" w:color="ECEDEE" w:frame="1"/>
          <w:shd w:val="clear" w:color="auto" w:fill="FFFFFF"/>
        </w:rPr>
        <w:t>Journal of Hospitality &amp; Tourism Research</w:t>
      </w:r>
      <w:r>
        <w:rPr>
          <w:color w:val="05103E"/>
          <w:sz w:val="27"/>
          <w:szCs w:val="27"/>
          <w:shd w:val="clear" w:color="auto" w:fill="FFFFFF"/>
        </w:rPr>
        <w:t>, </w:t>
      </w:r>
      <w:r>
        <w:rPr>
          <w:i/>
          <w:iCs/>
          <w:color w:val="05103E"/>
          <w:sz w:val="27"/>
          <w:szCs w:val="27"/>
          <w:bdr w:val="single" w:sz="2" w:space="0" w:color="ECEDEE" w:frame="1"/>
          <w:shd w:val="clear" w:color="auto" w:fill="FFFFFF"/>
        </w:rPr>
        <w:t>24</w:t>
      </w:r>
      <w:r>
        <w:rPr>
          <w:color w:val="05103E"/>
          <w:sz w:val="27"/>
          <w:szCs w:val="27"/>
          <w:shd w:val="clear" w:color="auto" w:fill="FFFFFF"/>
        </w:rPr>
        <w:t>(2), 136–162. </w:t>
      </w:r>
      <w:hyperlink r:id="rId7" w:history="1">
        <w:r w:rsidRPr="000A4A69">
          <w:rPr>
            <w:rStyle w:val="Hyperlink"/>
            <w:sz w:val="27"/>
            <w:szCs w:val="27"/>
            <w:bdr w:val="single" w:sz="2" w:space="0" w:color="ECEDEE" w:frame="1"/>
            <w:shd w:val="clear" w:color="auto" w:fill="FFFFFF"/>
          </w:rPr>
          <w:t>https://doi.org/10.1177/109634800002400202</w:t>
        </w:r>
      </w:hyperlink>
    </w:p>
    <w:p w14:paraId="35042A39" w14:textId="2722EB3D" w:rsidR="00B36469" w:rsidRDefault="00B36469" w:rsidP="006B0EF2">
      <w:pPr>
        <w:rPr>
          <w:color w:val="05103E"/>
          <w:sz w:val="27"/>
          <w:szCs w:val="27"/>
          <w:shd w:val="clear" w:color="auto" w:fill="FFFFFF"/>
        </w:rPr>
      </w:pPr>
      <w:r>
        <w:rPr>
          <w:color w:val="05103E"/>
          <w:sz w:val="27"/>
          <w:szCs w:val="27"/>
          <w:shd w:val="clear" w:color="auto" w:fill="FFFFFF"/>
        </w:rPr>
        <w:t xml:space="preserve">Ferreira, J. J. M., Teixeira, S. J., &amp; </w:t>
      </w:r>
      <w:proofErr w:type="spellStart"/>
      <w:r>
        <w:rPr>
          <w:color w:val="05103E"/>
          <w:sz w:val="27"/>
          <w:szCs w:val="27"/>
          <w:shd w:val="clear" w:color="auto" w:fill="FFFFFF"/>
        </w:rPr>
        <w:t>Rammal</w:t>
      </w:r>
      <w:proofErr w:type="spellEnd"/>
      <w:r>
        <w:rPr>
          <w:color w:val="05103E"/>
          <w:sz w:val="27"/>
          <w:szCs w:val="27"/>
          <w:shd w:val="clear" w:color="auto" w:fill="FFFFFF"/>
        </w:rPr>
        <w:t>, H. G. (2020). </w:t>
      </w:r>
      <w:r>
        <w:rPr>
          <w:i/>
          <w:iCs/>
          <w:color w:val="05103E"/>
          <w:sz w:val="27"/>
          <w:szCs w:val="27"/>
          <w:bdr w:val="single" w:sz="2" w:space="0" w:color="ECEDEE" w:frame="1"/>
          <w:shd w:val="clear" w:color="auto" w:fill="FFFFFF"/>
        </w:rPr>
        <w:t>Technological Innovation and International Competitiveness for Business Growth: Challenges and Opportunities</w:t>
      </w:r>
      <w:r>
        <w:rPr>
          <w:color w:val="05103E"/>
          <w:sz w:val="27"/>
          <w:szCs w:val="27"/>
          <w:shd w:val="clear" w:color="auto" w:fill="FFFFFF"/>
        </w:rPr>
        <w:t>. Springer Nature.</w:t>
      </w:r>
    </w:p>
    <w:p w14:paraId="08690B90" w14:textId="1D529589" w:rsidR="00B36469" w:rsidRDefault="00B36469" w:rsidP="006B0EF2">
      <w:pPr>
        <w:rPr>
          <w:color w:val="05103E"/>
          <w:sz w:val="27"/>
          <w:szCs w:val="27"/>
          <w:bdr w:val="single" w:sz="2" w:space="0" w:color="ECEDEE" w:frame="1"/>
          <w:shd w:val="clear" w:color="auto" w:fill="FFFFFF"/>
        </w:rPr>
      </w:pPr>
      <w:r>
        <w:rPr>
          <w:i/>
          <w:iCs/>
          <w:color w:val="05103E"/>
          <w:sz w:val="27"/>
          <w:szCs w:val="27"/>
          <w:bdr w:val="single" w:sz="2" w:space="0" w:color="ECEDEE" w:frame="1"/>
          <w:shd w:val="clear" w:color="auto" w:fill="FFFFFF"/>
        </w:rPr>
        <w:t>Luxury Resorts, Wellness Spas, and Five Star Hotels | Six Senses</w:t>
      </w:r>
      <w:r>
        <w:rPr>
          <w:color w:val="05103E"/>
          <w:sz w:val="27"/>
          <w:szCs w:val="27"/>
          <w:shd w:val="clear" w:color="auto" w:fill="FFFFFF"/>
        </w:rPr>
        <w:t>. (n.d.). </w:t>
      </w:r>
      <w:hyperlink r:id="rId8" w:history="1">
        <w:r w:rsidRPr="000A4A69">
          <w:rPr>
            <w:rStyle w:val="Hyperlink"/>
            <w:sz w:val="27"/>
            <w:szCs w:val="27"/>
            <w:bdr w:val="single" w:sz="2" w:space="0" w:color="ECEDEE" w:frame="1"/>
            <w:shd w:val="clear" w:color="auto" w:fill="FFFFFF"/>
          </w:rPr>
          <w:t>https://www.sixsenses.com/</w:t>
        </w:r>
      </w:hyperlink>
    </w:p>
    <w:p w14:paraId="4219D336" w14:textId="6870E9C2" w:rsidR="00B36469" w:rsidRDefault="00B36469" w:rsidP="006B0EF2">
      <w:pPr>
        <w:rPr>
          <w:color w:val="05103E"/>
          <w:sz w:val="27"/>
          <w:szCs w:val="27"/>
          <w:bdr w:val="single" w:sz="2" w:space="0" w:color="ECEDEE" w:frame="1"/>
          <w:shd w:val="clear" w:color="auto" w:fill="FFFFFF"/>
        </w:rPr>
      </w:pPr>
      <w:r>
        <w:rPr>
          <w:i/>
          <w:iCs/>
          <w:color w:val="05103E"/>
          <w:sz w:val="27"/>
          <w:szCs w:val="27"/>
          <w:bdr w:val="single" w:sz="2" w:space="0" w:color="ECEDEE" w:frame="1"/>
          <w:shd w:val="clear" w:color="auto" w:fill="FFFFFF"/>
        </w:rPr>
        <w:t>Holiday Inn® Hotels | Book Family Friendly Hotels Worldwide | Official Site</w:t>
      </w:r>
      <w:r>
        <w:rPr>
          <w:color w:val="05103E"/>
          <w:sz w:val="27"/>
          <w:szCs w:val="27"/>
          <w:shd w:val="clear" w:color="auto" w:fill="FFFFFF"/>
        </w:rPr>
        <w:t>. (n.d.). IHG. </w:t>
      </w:r>
      <w:hyperlink r:id="rId9" w:history="1">
        <w:r w:rsidR="00DE0BDF" w:rsidRPr="004D22B0">
          <w:rPr>
            <w:rStyle w:val="Hyperlink"/>
            <w:sz w:val="27"/>
            <w:szCs w:val="27"/>
            <w:bdr w:val="single" w:sz="2" w:space="0" w:color="ECEDEE" w:frame="1"/>
            <w:shd w:val="clear" w:color="auto" w:fill="FFFFFF"/>
          </w:rPr>
          <w:t>https://www.ihg.com/holidayinn/hotels/us/en/reservation</w:t>
        </w:r>
      </w:hyperlink>
    </w:p>
    <w:p w14:paraId="49557F49" w14:textId="3D52243E" w:rsidR="0068358D" w:rsidRDefault="0068358D" w:rsidP="006B0EF2">
      <w:pPr>
        <w:rPr>
          <w:color w:val="05103E"/>
          <w:sz w:val="27"/>
          <w:szCs w:val="27"/>
          <w:shd w:val="clear" w:color="auto" w:fill="CEE7FE"/>
        </w:rPr>
      </w:pPr>
      <w:r>
        <w:rPr>
          <w:color w:val="05103E"/>
          <w:sz w:val="27"/>
          <w:szCs w:val="27"/>
          <w:shd w:val="clear" w:color="auto" w:fill="CEE7FE"/>
        </w:rPr>
        <w:t>(</w:t>
      </w:r>
      <w:r>
        <w:rPr>
          <w:i/>
          <w:iCs/>
          <w:color w:val="05103E"/>
          <w:sz w:val="27"/>
          <w:szCs w:val="27"/>
          <w:bdr w:val="single" w:sz="2" w:space="0" w:color="ECEDEE" w:frame="1"/>
        </w:rPr>
        <w:t xml:space="preserve">“the Routledge Handbook of Hospitality Marketing” Edited by Xu </w:t>
      </w:r>
      <w:proofErr w:type="spellStart"/>
      <w:r>
        <w:rPr>
          <w:i/>
          <w:iCs/>
          <w:color w:val="05103E"/>
          <w:sz w:val="27"/>
          <w:szCs w:val="27"/>
          <w:bdr w:val="single" w:sz="2" w:space="0" w:color="ECEDEE" w:frame="1"/>
        </w:rPr>
        <w:t>Honggen</w:t>
      </w:r>
      <w:proofErr w:type="spellEnd"/>
      <w:r>
        <w:rPr>
          <w:i/>
          <w:iCs/>
          <w:color w:val="05103E"/>
          <w:sz w:val="27"/>
          <w:szCs w:val="27"/>
          <w:bdr w:val="single" w:sz="2" w:space="0" w:color="ECEDEE" w:frame="1"/>
        </w:rPr>
        <w:t xml:space="preserve">, Mike Peter Reed, and </w:t>
      </w:r>
      <w:proofErr w:type="spellStart"/>
      <w:r>
        <w:rPr>
          <w:i/>
          <w:iCs/>
          <w:color w:val="05103E"/>
          <w:sz w:val="27"/>
          <w:szCs w:val="27"/>
          <w:bdr w:val="single" w:sz="2" w:space="0" w:color="ECEDEE" w:frame="1"/>
        </w:rPr>
        <w:t>Dimitrios</w:t>
      </w:r>
      <w:proofErr w:type="spellEnd"/>
      <w:r>
        <w:rPr>
          <w:i/>
          <w:iCs/>
          <w:color w:val="05103E"/>
          <w:sz w:val="27"/>
          <w:szCs w:val="27"/>
          <w:bdr w:val="single" w:sz="2" w:space="0" w:color="ECEDEE" w:frame="1"/>
        </w:rPr>
        <w:t xml:space="preserve"> </w:t>
      </w:r>
      <w:proofErr w:type="spellStart"/>
      <w:r>
        <w:rPr>
          <w:i/>
          <w:iCs/>
          <w:color w:val="05103E"/>
          <w:sz w:val="27"/>
          <w:szCs w:val="27"/>
          <w:bdr w:val="single" w:sz="2" w:space="0" w:color="ECEDEE" w:frame="1"/>
        </w:rPr>
        <w:t>Buhalis</w:t>
      </w:r>
      <w:proofErr w:type="spellEnd"/>
      <w:r>
        <w:rPr>
          <w:i/>
          <w:iCs/>
          <w:color w:val="05103E"/>
          <w:sz w:val="27"/>
          <w:szCs w:val="27"/>
          <w:bdr w:val="single" w:sz="2" w:space="0" w:color="ECEDEE" w:frame="1"/>
        </w:rPr>
        <w:t>.</w:t>
      </w:r>
      <w:r>
        <w:rPr>
          <w:color w:val="05103E"/>
          <w:sz w:val="27"/>
          <w:szCs w:val="27"/>
          <w:shd w:val="clear" w:color="auto" w:fill="CEE7FE"/>
        </w:rPr>
        <w:t>, n.d.-b)</w:t>
      </w:r>
    </w:p>
    <w:p w14:paraId="5C7AB517" w14:textId="3DF29748" w:rsidR="00924822" w:rsidRDefault="00924822" w:rsidP="006B0EF2">
      <w:pPr>
        <w:rPr>
          <w:color w:val="05103E"/>
          <w:sz w:val="27"/>
          <w:szCs w:val="27"/>
          <w:bdr w:val="single" w:sz="2" w:space="0" w:color="ECEDEE" w:frame="1"/>
          <w:shd w:val="clear" w:color="auto" w:fill="FFFFFF"/>
        </w:rPr>
      </w:pPr>
      <w:r>
        <w:rPr>
          <w:color w:val="05103E"/>
          <w:sz w:val="27"/>
          <w:szCs w:val="27"/>
          <w:shd w:val="clear" w:color="auto" w:fill="FFFFFF"/>
        </w:rPr>
        <w:t>Law, R., Leung, D. T., &amp; Cheung, C. (2012). A Systematic Review, Analysis, and Evaluation of Research Articles in the </w:t>
      </w:r>
      <w:r>
        <w:rPr>
          <w:i/>
          <w:iCs/>
          <w:color w:val="05103E"/>
          <w:sz w:val="27"/>
          <w:szCs w:val="27"/>
          <w:bdr w:val="single" w:sz="2" w:space="0" w:color="ECEDEE" w:frame="1"/>
          <w:shd w:val="clear" w:color="auto" w:fill="FFFFFF"/>
        </w:rPr>
        <w:t>Cornell Hospitality Quarterly</w:t>
      </w:r>
      <w:r>
        <w:rPr>
          <w:color w:val="05103E"/>
          <w:sz w:val="27"/>
          <w:szCs w:val="27"/>
          <w:shd w:val="clear" w:color="auto" w:fill="FFFFFF"/>
        </w:rPr>
        <w:t>. </w:t>
      </w:r>
      <w:r>
        <w:rPr>
          <w:i/>
          <w:iCs/>
          <w:color w:val="05103E"/>
          <w:sz w:val="27"/>
          <w:szCs w:val="27"/>
          <w:bdr w:val="single" w:sz="2" w:space="0" w:color="ECEDEE" w:frame="1"/>
          <w:shd w:val="clear" w:color="auto" w:fill="FFFFFF"/>
        </w:rPr>
        <w:t>Cornell Hospitality Quarterly</w:t>
      </w:r>
      <w:r>
        <w:rPr>
          <w:color w:val="05103E"/>
          <w:sz w:val="27"/>
          <w:szCs w:val="27"/>
          <w:shd w:val="clear" w:color="auto" w:fill="FFFFFF"/>
        </w:rPr>
        <w:t>, </w:t>
      </w:r>
      <w:r>
        <w:rPr>
          <w:i/>
          <w:iCs/>
          <w:color w:val="05103E"/>
          <w:sz w:val="27"/>
          <w:szCs w:val="27"/>
          <w:bdr w:val="single" w:sz="2" w:space="0" w:color="ECEDEE" w:frame="1"/>
          <w:shd w:val="clear" w:color="auto" w:fill="FFFFFF"/>
        </w:rPr>
        <w:t>53</w:t>
      </w:r>
      <w:r>
        <w:rPr>
          <w:color w:val="05103E"/>
          <w:sz w:val="27"/>
          <w:szCs w:val="27"/>
          <w:shd w:val="clear" w:color="auto" w:fill="FFFFFF"/>
        </w:rPr>
        <w:t>(4), 365–381. </w:t>
      </w:r>
      <w:hyperlink r:id="rId10" w:history="1">
        <w:r w:rsidR="0093789B" w:rsidRPr="004D22B0">
          <w:rPr>
            <w:rStyle w:val="Hyperlink"/>
            <w:sz w:val="27"/>
            <w:szCs w:val="27"/>
            <w:bdr w:val="single" w:sz="2" w:space="0" w:color="ECEDEE" w:frame="1"/>
            <w:shd w:val="clear" w:color="auto" w:fill="FFFFFF"/>
          </w:rPr>
          <w:t>https://doi.org/10.1177/1938965512457458</w:t>
        </w:r>
      </w:hyperlink>
    </w:p>
    <w:p w14:paraId="42B2DC0C" w14:textId="77777777" w:rsidR="00EB45F3" w:rsidRPr="00EB45F3" w:rsidRDefault="00EB45F3" w:rsidP="00EB45F3">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r w:rsidRPr="00EB45F3">
        <w:rPr>
          <w:rFonts w:ascii="Times New Roman" w:eastAsia="Times New Roman" w:hAnsi="Times New Roman" w:cs="Times New Roman"/>
          <w:color w:val="05103E"/>
          <w:kern w:val="0"/>
          <w:sz w:val="27"/>
          <w:szCs w:val="27"/>
          <w:lang w:eastAsia="en-GB"/>
          <w14:ligatures w14:val="none"/>
        </w:rPr>
        <w:t xml:space="preserve">Buttle, F., Bowie, D., Brookes, M., &amp; </w:t>
      </w:r>
      <w:proofErr w:type="spellStart"/>
      <w:r w:rsidRPr="00EB45F3">
        <w:rPr>
          <w:rFonts w:ascii="Times New Roman" w:eastAsia="Times New Roman" w:hAnsi="Times New Roman" w:cs="Times New Roman"/>
          <w:color w:val="05103E"/>
          <w:kern w:val="0"/>
          <w:sz w:val="27"/>
          <w:szCs w:val="27"/>
          <w:lang w:eastAsia="en-GB"/>
          <w14:ligatures w14:val="none"/>
        </w:rPr>
        <w:t>Mariussen</w:t>
      </w:r>
      <w:proofErr w:type="spellEnd"/>
      <w:r w:rsidRPr="00EB45F3">
        <w:rPr>
          <w:rFonts w:ascii="Times New Roman" w:eastAsia="Times New Roman" w:hAnsi="Times New Roman" w:cs="Times New Roman"/>
          <w:color w:val="05103E"/>
          <w:kern w:val="0"/>
          <w:sz w:val="27"/>
          <w:szCs w:val="27"/>
          <w:lang w:eastAsia="en-GB"/>
          <w14:ligatures w14:val="none"/>
        </w:rPr>
        <w:t>, A. (2016). </w:t>
      </w:r>
      <w:r w:rsidRPr="00EB45F3">
        <w:rPr>
          <w:rFonts w:ascii="Times New Roman" w:eastAsia="Times New Roman" w:hAnsi="Times New Roman" w:cs="Times New Roman"/>
          <w:i/>
          <w:iCs/>
          <w:color w:val="05103E"/>
          <w:kern w:val="0"/>
          <w:sz w:val="27"/>
          <w:szCs w:val="27"/>
          <w:bdr w:val="single" w:sz="2" w:space="0" w:color="ECEDEE" w:frame="1"/>
          <w:lang w:eastAsia="en-GB"/>
          <w14:ligatures w14:val="none"/>
        </w:rPr>
        <w:t>Hospitality Marketing</w:t>
      </w:r>
      <w:r w:rsidRPr="00EB45F3">
        <w:rPr>
          <w:rFonts w:ascii="Times New Roman" w:eastAsia="Times New Roman" w:hAnsi="Times New Roman" w:cs="Times New Roman"/>
          <w:color w:val="05103E"/>
          <w:kern w:val="0"/>
          <w:sz w:val="27"/>
          <w:szCs w:val="27"/>
          <w:lang w:eastAsia="en-GB"/>
          <w14:ligatures w14:val="none"/>
        </w:rPr>
        <w:t>. Taylor &amp; Francis.</w:t>
      </w:r>
    </w:p>
    <w:p w14:paraId="5354F5C7" w14:textId="77777777" w:rsidR="0093789B" w:rsidRDefault="0093789B" w:rsidP="006B0EF2">
      <w:pPr>
        <w:rPr>
          <w:rFonts w:ascii="Times New Roman" w:hAnsi="Times New Roman" w:cs="Times New Roman"/>
          <w:sz w:val="24"/>
          <w:szCs w:val="24"/>
        </w:rPr>
      </w:pPr>
    </w:p>
    <w:p w14:paraId="6C756652" w14:textId="77777777" w:rsidR="00657B90" w:rsidRDefault="00657B90" w:rsidP="00657B90">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proofErr w:type="spellStart"/>
      <w:r w:rsidRPr="00657B90">
        <w:rPr>
          <w:rFonts w:ascii="Times New Roman" w:eastAsia="Times New Roman" w:hAnsi="Times New Roman" w:cs="Times New Roman"/>
          <w:color w:val="05103E"/>
          <w:kern w:val="0"/>
          <w:sz w:val="27"/>
          <w:szCs w:val="27"/>
          <w:lang w:eastAsia="en-GB"/>
          <w14:ligatures w14:val="none"/>
        </w:rPr>
        <w:t>Nykiel</w:t>
      </w:r>
      <w:proofErr w:type="spellEnd"/>
      <w:r w:rsidRPr="00657B90">
        <w:rPr>
          <w:rFonts w:ascii="Times New Roman" w:eastAsia="Times New Roman" w:hAnsi="Times New Roman" w:cs="Times New Roman"/>
          <w:color w:val="05103E"/>
          <w:kern w:val="0"/>
          <w:sz w:val="27"/>
          <w:szCs w:val="27"/>
          <w:lang w:eastAsia="en-GB"/>
          <w14:ligatures w14:val="none"/>
        </w:rPr>
        <w:t>, R. A. (2005). </w:t>
      </w:r>
      <w:r w:rsidRPr="00657B90">
        <w:rPr>
          <w:rFonts w:ascii="Times New Roman" w:eastAsia="Times New Roman" w:hAnsi="Times New Roman" w:cs="Times New Roman"/>
          <w:i/>
          <w:iCs/>
          <w:color w:val="05103E"/>
          <w:kern w:val="0"/>
          <w:sz w:val="27"/>
          <w:szCs w:val="27"/>
          <w:bdr w:val="single" w:sz="2" w:space="0" w:color="ECEDEE" w:frame="1"/>
          <w:lang w:eastAsia="en-GB"/>
          <w14:ligatures w14:val="none"/>
        </w:rPr>
        <w:t>Hospitality Management Strategies</w:t>
      </w:r>
      <w:r w:rsidRPr="00657B90">
        <w:rPr>
          <w:rFonts w:ascii="Times New Roman" w:eastAsia="Times New Roman" w:hAnsi="Times New Roman" w:cs="Times New Roman"/>
          <w:color w:val="05103E"/>
          <w:kern w:val="0"/>
          <w:sz w:val="27"/>
          <w:szCs w:val="27"/>
          <w:lang w:eastAsia="en-GB"/>
          <w14:ligatures w14:val="none"/>
        </w:rPr>
        <w:t>. Pearson.</w:t>
      </w:r>
    </w:p>
    <w:p w14:paraId="14EC0E9D" w14:textId="77777777" w:rsidR="00DA5627" w:rsidRDefault="00DA5627" w:rsidP="00657B90">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p>
    <w:p w14:paraId="3B64D150" w14:textId="77777777" w:rsidR="00DA5627" w:rsidRDefault="00DA5627" w:rsidP="00DA5627">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proofErr w:type="spellStart"/>
      <w:r w:rsidRPr="00DA5627">
        <w:rPr>
          <w:rFonts w:ascii="Times New Roman" w:eastAsia="Times New Roman" w:hAnsi="Times New Roman" w:cs="Times New Roman"/>
          <w:color w:val="05103E"/>
          <w:kern w:val="0"/>
          <w:sz w:val="27"/>
          <w:szCs w:val="27"/>
          <w:lang w:eastAsia="en-GB"/>
          <w14:ligatures w14:val="none"/>
        </w:rPr>
        <w:lastRenderedPageBreak/>
        <w:t>Pizam</w:t>
      </w:r>
      <w:proofErr w:type="spellEnd"/>
      <w:r w:rsidRPr="00DA5627">
        <w:rPr>
          <w:rFonts w:ascii="Times New Roman" w:eastAsia="Times New Roman" w:hAnsi="Times New Roman" w:cs="Times New Roman"/>
          <w:color w:val="05103E"/>
          <w:kern w:val="0"/>
          <w:sz w:val="27"/>
          <w:szCs w:val="27"/>
          <w:lang w:eastAsia="en-GB"/>
          <w14:ligatures w14:val="none"/>
        </w:rPr>
        <w:t>, A. (2010). </w:t>
      </w:r>
      <w:r w:rsidRPr="00DA5627">
        <w:rPr>
          <w:rFonts w:ascii="Times New Roman" w:eastAsia="Times New Roman" w:hAnsi="Times New Roman" w:cs="Times New Roman"/>
          <w:i/>
          <w:iCs/>
          <w:color w:val="05103E"/>
          <w:kern w:val="0"/>
          <w:sz w:val="27"/>
          <w:szCs w:val="27"/>
          <w:bdr w:val="single" w:sz="2" w:space="0" w:color="ECEDEE" w:frame="1"/>
          <w:lang w:eastAsia="en-GB"/>
          <w14:ligatures w14:val="none"/>
        </w:rPr>
        <w:t xml:space="preserve">International </w:t>
      </w:r>
      <w:proofErr w:type="spellStart"/>
      <w:r w:rsidRPr="00DA5627">
        <w:rPr>
          <w:rFonts w:ascii="Times New Roman" w:eastAsia="Times New Roman" w:hAnsi="Times New Roman" w:cs="Times New Roman"/>
          <w:i/>
          <w:iCs/>
          <w:color w:val="05103E"/>
          <w:kern w:val="0"/>
          <w:sz w:val="27"/>
          <w:szCs w:val="27"/>
          <w:bdr w:val="single" w:sz="2" w:space="0" w:color="ECEDEE" w:frame="1"/>
          <w:lang w:eastAsia="en-GB"/>
          <w14:ligatures w14:val="none"/>
        </w:rPr>
        <w:t>Encyclopedia</w:t>
      </w:r>
      <w:proofErr w:type="spellEnd"/>
      <w:r w:rsidRPr="00DA5627">
        <w:rPr>
          <w:rFonts w:ascii="Times New Roman" w:eastAsia="Times New Roman" w:hAnsi="Times New Roman" w:cs="Times New Roman"/>
          <w:i/>
          <w:iCs/>
          <w:color w:val="05103E"/>
          <w:kern w:val="0"/>
          <w:sz w:val="27"/>
          <w:szCs w:val="27"/>
          <w:bdr w:val="single" w:sz="2" w:space="0" w:color="ECEDEE" w:frame="1"/>
          <w:lang w:eastAsia="en-GB"/>
          <w14:ligatures w14:val="none"/>
        </w:rPr>
        <w:t xml:space="preserve"> of Hospitality Management</w:t>
      </w:r>
      <w:r w:rsidRPr="00DA5627">
        <w:rPr>
          <w:rFonts w:ascii="Times New Roman" w:eastAsia="Times New Roman" w:hAnsi="Times New Roman" w:cs="Times New Roman"/>
          <w:color w:val="05103E"/>
          <w:kern w:val="0"/>
          <w:sz w:val="27"/>
          <w:szCs w:val="27"/>
          <w:lang w:eastAsia="en-GB"/>
          <w14:ligatures w14:val="none"/>
        </w:rPr>
        <w:t>. Butterworth-Heinemann.</w:t>
      </w:r>
    </w:p>
    <w:p w14:paraId="526941F7" w14:textId="77777777" w:rsidR="00F67639" w:rsidRDefault="00F67639" w:rsidP="00F67639">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r w:rsidRPr="00F67639">
        <w:rPr>
          <w:rFonts w:ascii="Times New Roman" w:eastAsia="Times New Roman" w:hAnsi="Times New Roman" w:cs="Times New Roman"/>
          <w:color w:val="05103E"/>
          <w:kern w:val="0"/>
          <w:sz w:val="27"/>
          <w:szCs w:val="27"/>
          <w:lang w:eastAsia="en-GB"/>
          <w14:ligatures w14:val="none"/>
        </w:rPr>
        <w:t>Clifton, R. (2009). </w:t>
      </w:r>
      <w:r w:rsidRPr="00F67639">
        <w:rPr>
          <w:rFonts w:ascii="Times New Roman" w:eastAsia="Times New Roman" w:hAnsi="Times New Roman" w:cs="Times New Roman"/>
          <w:i/>
          <w:iCs/>
          <w:color w:val="05103E"/>
          <w:kern w:val="0"/>
          <w:sz w:val="27"/>
          <w:szCs w:val="27"/>
          <w:bdr w:val="single" w:sz="2" w:space="0" w:color="ECEDEE" w:frame="1"/>
          <w:lang w:eastAsia="en-GB"/>
          <w14:ligatures w14:val="none"/>
        </w:rPr>
        <w:t>Brands and Branding</w:t>
      </w:r>
      <w:r w:rsidRPr="00F67639">
        <w:rPr>
          <w:rFonts w:ascii="Times New Roman" w:eastAsia="Times New Roman" w:hAnsi="Times New Roman" w:cs="Times New Roman"/>
          <w:color w:val="05103E"/>
          <w:kern w:val="0"/>
          <w:sz w:val="27"/>
          <w:szCs w:val="27"/>
          <w:lang w:eastAsia="en-GB"/>
          <w14:ligatures w14:val="none"/>
        </w:rPr>
        <w:t>. John Wiley &amp; Sons.</w:t>
      </w:r>
    </w:p>
    <w:p w14:paraId="39945197" w14:textId="77777777" w:rsidR="00FF06C7" w:rsidRPr="00F67639" w:rsidRDefault="00FF06C7" w:rsidP="00F67639">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p>
    <w:p w14:paraId="0FC145B7" w14:textId="232B2680" w:rsidR="00657B90" w:rsidRDefault="00FF06C7" w:rsidP="00DC68D6">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r w:rsidRPr="00FF06C7">
        <w:rPr>
          <w:rFonts w:ascii="Times New Roman" w:eastAsia="Times New Roman" w:hAnsi="Times New Roman" w:cs="Times New Roman"/>
          <w:color w:val="05103E"/>
          <w:kern w:val="0"/>
          <w:sz w:val="27"/>
          <w:szCs w:val="27"/>
          <w:lang w:eastAsia="en-GB"/>
          <w14:ligatures w14:val="none"/>
        </w:rPr>
        <w:t xml:space="preserve">Chevalier, M., &amp; </w:t>
      </w:r>
      <w:proofErr w:type="spellStart"/>
      <w:r w:rsidRPr="00FF06C7">
        <w:rPr>
          <w:rFonts w:ascii="Times New Roman" w:eastAsia="Times New Roman" w:hAnsi="Times New Roman" w:cs="Times New Roman"/>
          <w:color w:val="05103E"/>
          <w:kern w:val="0"/>
          <w:sz w:val="27"/>
          <w:szCs w:val="27"/>
          <w:lang w:eastAsia="en-GB"/>
          <w14:ligatures w14:val="none"/>
        </w:rPr>
        <w:t>Mazzalovo</w:t>
      </w:r>
      <w:proofErr w:type="spellEnd"/>
      <w:r w:rsidRPr="00FF06C7">
        <w:rPr>
          <w:rFonts w:ascii="Times New Roman" w:eastAsia="Times New Roman" w:hAnsi="Times New Roman" w:cs="Times New Roman"/>
          <w:color w:val="05103E"/>
          <w:kern w:val="0"/>
          <w:sz w:val="27"/>
          <w:szCs w:val="27"/>
          <w:lang w:eastAsia="en-GB"/>
          <w14:ligatures w14:val="none"/>
        </w:rPr>
        <w:t>, G. (2012). </w:t>
      </w:r>
      <w:r w:rsidRPr="00FF06C7">
        <w:rPr>
          <w:rFonts w:ascii="Times New Roman" w:eastAsia="Times New Roman" w:hAnsi="Times New Roman" w:cs="Times New Roman"/>
          <w:i/>
          <w:iCs/>
          <w:color w:val="05103E"/>
          <w:kern w:val="0"/>
          <w:sz w:val="27"/>
          <w:szCs w:val="27"/>
          <w:bdr w:val="single" w:sz="2" w:space="0" w:color="ECEDEE" w:frame="1"/>
          <w:lang w:eastAsia="en-GB"/>
          <w14:ligatures w14:val="none"/>
        </w:rPr>
        <w:t>Luxury Brand Management: A World of Privilege</w:t>
      </w:r>
      <w:r w:rsidRPr="00FF06C7">
        <w:rPr>
          <w:rFonts w:ascii="Times New Roman" w:eastAsia="Times New Roman" w:hAnsi="Times New Roman" w:cs="Times New Roman"/>
          <w:color w:val="05103E"/>
          <w:kern w:val="0"/>
          <w:sz w:val="27"/>
          <w:szCs w:val="27"/>
          <w:lang w:eastAsia="en-GB"/>
          <w14:ligatures w14:val="none"/>
        </w:rPr>
        <w:t>. John Wiley &amp; Sons.</w:t>
      </w:r>
    </w:p>
    <w:p w14:paraId="05B0FDC0" w14:textId="77777777" w:rsidR="00DC68D6" w:rsidRDefault="00DC68D6" w:rsidP="00DC68D6">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p>
    <w:p w14:paraId="087A0A1F" w14:textId="53A13E19" w:rsidR="00DC68D6" w:rsidRDefault="00DC68D6" w:rsidP="00DC68D6">
      <w:pPr>
        <w:shd w:val="clear" w:color="auto" w:fill="FFFFFF"/>
        <w:spacing w:after="0" w:line="240" w:lineRule="auto"/>
        <w:rPr>
          <w:color w:val="05103E"/>
          <w:sz w:val="27"/>
          <w:szCs w:val="27"/>
          <w:shd w:val="clear" w:color="auto" w:fill="FFFFFF"/>
        </w:rPr>
      </w:pPr>
      <w:r>
        <w:rPr>
          <w:color w:val="05103E"/>
          <w:sz w:val="27"/>
          <w:szCs w:val="27"/>
          <w:shd w:val="clear" w:color="auto" w:fill="FFFFFF"/>
        </w:rPr>
        <w:t>Reviews, C. T. (2011). </w:t>
      </w:r>
      <w:proofErr w:type="spellStart"/>
      <w:r>
        <w:rPr>
          <w:i/>
          <w:iCs/>
          <w:color w:val="05103E"/>
          <w:sz w:val="27"/>
          <w:szCs w:val="27"/>
          <w:bdr w:val="single" w:sz="2" w:space="0" w:color="ECEDEE" w:frame="1"/>
          <w:shd w:val="clear" w:color="auto" w:fill="FFFFFF"/>
        </w:rPr>
        <w:t>Studyguide</w:t>
      </w:r>
      <w:proofErr w:type="spellEnd"/>
      <w:r>
        <w:rPr>
          <w:i/>
          <w:iCs/>
          <w:color w:val="05103E"/>
          <w:sz w:val="27"/>
          <w:szCs w:val="27"/>
          <w:bdr w:val="single" w:sz="2" w:space="0" w:color="ECEDEE" w:frame="1"/>
          <w:shd w:val="clear" w:color="auto" w:fill="FFFFFF"/>
        </w:rPr>
        <w:t xml:space="preserve"> for Hotel, Restaurant and Travel Law by Morris, Karen, ISBN 9781418051914</w:t>
      </w:r>
      <w:r>
        <w:rPr>
          <w:color w:val="05103E"/>
          <w:sz w:val="27"/>
          <w:szCs w:val="27"/>
          <w:shd w:val="clear" w:color="auto" w:fill="FFFFFF"/>
        </w:rPr>
        <w:t>. Academic Internet Pub Incorporated.</w:t>
      </w:r>
    </w:p>
    <w:p w14:paraId="62A4BE8C" w14:textId="77777777" w:rsidR="00057629" w:rsidRDefault="00057629" w:rsidP="00DC68D6">
      <w:pPr>
        <w:shd w:val="clear" w:color="auto" w:fill="FFFFFF"/>
        <w:spacing w:after="0" w:line="240" w:lineRule="auto"/>
        <w:rPr>
          <w:color w:val="05103E"/>
          <w:sz w:val="27"/>
          <w:szCs w:val="27"/>
          <w:shd w:val="clear" w:color="auto" w:fill="FFFFFF"/>
        </w:rPr>
      </w:pPr>
    </w:p>
    <w:p w14:paraId="63FD0CAE" w14:textId="648FC9DB" w:rsidR="00116202" w:rsidRDefault="00116202" w:rsidP="00116202">
      <w:pPr>
        <w:shd w:val="clear" w:color="auto" w:fill="FFFFFF"/>
        <w:spacing w:after="0" w:line="240" w:lineRule="auto"/>
        <w:rPr>
          <w:rFonts w:ascii="Times New Roman" w:eastAsia="Times New Roman" w:hAnsi="Times New Roman" w:cs="Times New Roman"/>
          <w:color w:val="05103E"/>
          <w:kern w:val="0"/>
          <w:sz w:val="27"/>
          <w:szCs w:val="27"/>
          <w:bdr w:val="single" w:sz="2" w:space="0" w:color="ECEDEE" w:frame="1"/>
          <w:lang w:eastAsia="en-GB"/>
          <w14:ligatures w14:val="none"/>
        </w:rPr>
      </w:pPr>
      <w:proofErr w:type="spellStart"/>
      <w:r w:rsidRPr="00116202">
        <w:rPr>
          <w:rFonts w:ascii="Times New Roman" w:eastAsia="Times New Roman" w:hAnsi="Times New Roman" w:cs="Times New Roman"/>
          <w:color w:val="05103E"/>
          <w:kern w:val="0"/>
          <w:sz w:val="27"/>
          <w:szCs w:val="27"/>
          <w:lang w:eastAsia="en-GB"/>
          <w14:ligatures w14:val="none"/>
        </w:rPr>
        <w:t>Denizci</w:t>
      </w:r>
      <w:proofErr w:type="spellEnd"/>
      <w:r w:rsidRPr="00116202">
        <w:rPr>
          <w:rFonts w:ascii="Times New Roman" w:eastAsia="Times New Roman" w:hAnsi="Times New Roman" w:cs="Times New Roman"/>
          <w:color w:val="05103E"/>
          <w:kern w:val="0"/>
          <w:sz w:val="27"/>
          <w:szCs w:val="27"/>
          <w:lang w:eastAsia="en-GB"/>
          <w14:ligatures w14:val="none"/>
        </w:rPr>
        <w:t xml:space="preserve">, B. (2008). An Introduction to Revenue Management for the Hospitality Industry: Principles and Practices for the Real </w:t>
      </w:r>
      <w:proofErr w:type="spellStart"/>
      <w:proofErr w:type="gramStart"/>
      <w:r w:rsidRPr="00116202">
        <w:rPr>
          <w:rFonts w:ascii="Times New Roman" w:eastAsia="Times New Roman" w:hAnsi="Times New Roman" w:cs="Times New Roman"/>
          <w:color w:val="05103E"/>
          <w:kern w:val="0"/>
          <w:sz w:val="27"/>
          <w:szCs w:val="27"/>
          <w:lang w:eastAsia="en-GB"/>
          <w14:ligatures w14:val="none"/>
        </w:rPr>
        <w:t>World:Kimberly</w:t>
      </w:r>
      <w:proofErr w:type="spellEnd"/>
      <w:proofErr w:type="gramEnd"/>
      <w:r w:rsidRPr="00116202">
        <w:rPr>
          <w:rFonts w:ascii="Times New Roman" w:eastAsia="Times New Roman" w:hAnsi="Times New Roman" w:cs="Times New Roman"/>
          <w:color w:val="05103E"/>
          <w:kern w:val="0"/>
          <w:sz w:val="27"/>
          <w:szCs w:val="27"/>
          <w:lang w:eastAsia="en-GB"/>
          <w14:ligatures w14:val="none"/>
        </w:rPr>
        <w:t xml:space="preserve"> A. Tranter, Trevor Stuart-Hill, </w:t>
      </w:r>
      <w:proofErr w:type="spellStart"/>
      <w:r w:rsidRPr="00116202">
        <w:rPr>
          <w:rFonts w:ascii="Times New Roman" w:eastAsia="Times New Roman" w:hAnsi="Times New Roman" w:cs="Times New Roman"/>
          <w:color w:val="05103E"/>
          <w:kern w:val="0"/>
          <w:sz w:val="27"/>
          <w:szCs w:val="27"/>
          <w:lang w:eastAsia="en-GB"/>
          <w14:ligatures w14:val="none"/>
        </w:rPr>
        <w:t>Juston</w:t>
      </w:r>
      <w:proofErr w:type="spellEnd"/>
      <w:r w:rsidRPr="00116202">
        <w:rPr>
          <w:rFonts w:ascii="Times New Roman" w:eastAsia="Times New Roman" w:hAnsi="Times New Roman" w:cs="Times New Roman"/>
          <w:color w:val="05103E"/>
          <w:kern w:val="0"/>
          <w:sz w:val="27"/>
          <w:szCs w:val="27"/>
          <w:lang w:eastAsia="en-GB"/>
          <w14:ligatures w14:val="none"/>
        </w:rPr>
        <w:t xml:space="preserve"> Parker. </w:t>
      </w:r>
      <w:r w:rsidRPr="00116202">
        <w:rPr>
          <w:rFonts w:ascii="Times New Roman" w:eastAsia="Times New Roman" w:hAnsi="Times New Roman" w:cs="Times New Roman"/>
          <w:i/>
          <w:iCs/>
          <w:color w:val="05103E"/>
          <w:kern w:val="0"/>
          <w:sz w:val="27"/>
          <w:szCs w:val="27"/>
          <w:bdr w:val="single" w:sz="2" w:space="0" w:color="ECEDEE" w:frame="1"/>
          <w:lang w:eastAsia="en-GB"/>
          <w14:ligatures w14:val="none"/>
        </w:rPr>
        <w:t>The Journal of Hospitality Financial Management</w:t>
      </w:r>
      <w:r w:rsidRPr="00116202">
        <w:rPr>
          <w:rFonts w:ascii="Times New Roman" w:eastAsia="Times New Roman" w:hAnsi="Times New Roman" w:cs="Times New Roman"/>
          <w:color w:val="05103E"/>
          <w:kern w:val="0"/>
          <w:sz w:val="27"/>
          <w:szCs w:val="27"/>
          <w:lang w:eastAsia="en-GB"/>
          <w14:ligatures w14:val="none"/>
        </w:rPr>
        <w:t>, </w:t>
      </w:r>
      <w:r w:rsidRPr="00116202">
        <w:rPr>
          <w:rFonts w:ascii="Times New Roman" w:eastAsia="Times New Roman" w:hAnsi="Times New Roman" w:cs="Times New Roman"/>
          <w:i/>
          <w:iCs/>
          <w:color w:val="05103E"/>
          <w:kern w:val="0"/>
          <w:sz w:val="27"/>
          <w:szCs w:val="27"/>
          <w:bdr w:val="single" w:sz="2" w:space="0" w:color="ECEDEE" w:frame="1"/>
          <w:lang w:eastAsia="en-GB"/>
          <w14:ligatures w14:val="none"/>
        </w:rPr>
        <w:t>16</w:t>
      </w:r>
      <w:r w:rsidRPr="00116202">
        <w:rPr>
          <w:rFonts w:ascii="Times New Roman" w:eastAsia="Times New Roman" w:hAnsi="Times New Roman" w:cs="Times New Roman"/>
          <w:color w:val="05103E"/>
          <w:kern w:val="0"/>
          <w:sz w:val="27"/>
          <w:szCs w:val="27"/>
          <w:lang w:eastAsia="en-GB"/>
          <w14:ligatures w14:val="none"/>
        </w:rPr>
        <w:t>(2), 89–91.</w:t>
      </w:r>
      <w:r w:rsidR="00BE3E5E">
        <w:rPr>
          <w:rFonts w:ascii="Times New Roman" w:eastAsia="Times New Roman" w:hAnsi="Times New Roman" w:cs="Times New Roman"/>
          <w:color w:val="05103E"/>
          <w:kern w:val="0"/>
          <w:sz w:val="27"/>
          <w:szCs w:val="27"/>
          <w:bdr w:val="single" w:sz="2" w:space="0" w:color="ECEDEE" w:frame="1"/>
          <w:lang w:eastAsia="en-GB"/>
          <w14:ligatures w14:val="none"/>
        </w:rPr>
        <w:t xml:space="preserve"> </w:t>
      </w:r>
    </w:p>
    <w:p w14:paraId="5164E97C" w14:textId="77777777" w:rsidR="00C57F66" w:rsidRPr="00C57F66" w:rsidRDefault="00C57F66" w:rsidP="00C57F66">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r w:rsidRPr="00C57F66">
        <w:rPr>
          <w:rFonts w:ascii="Times New Roman" w:eastAsia="Times New Roman" w:hAnsi="Times New Roman" w:cs="Times New Roman"/>
          <w:color w:val="05103E"/>
          <w:kern w:val="0"/>
          <w:sz w:val="27"/>
          <w:szCs w:val="27"/>
          <w:lang w:eastAsia="en-GB"/>
          <w14:ligatures w14:val="none"/>
        </w:rPr>
        <w:t>Chan, E. C. Y., &amp; Hsu, C. H. (2016). Environmental management research in hospitality. </w:t>
      </w:r>
      <w:r w:rsidRPr="00C57F66">
        <w:rPr>
          <w:rFonts w:ascii="Times New Roman" w:eastAsia="Times New Roman" w:hAnsi="Times New Roman" w:cs="Times New Roman"/>
          <w:i/>
          <w:iCs/>
          <w:color w:val="05103E"/>
          <w:kern w:val="0"/>
          <w:sz w:val="27"/>
          <w:szCs w:val="27"/>
          <w:bdr w:val="single" w:sz="2" w:space="0" w:color="ECEDEE" w:frame="1"/>
          <w:lang w:eastAsia="en-GB"/>
          <w14:ligatures w14:val="none"/>
        </w:rPr>
        <w:t>International Journal of Contemporary Hospitality Management</w:t>
      </w:r>
      <w:r w:rsidRPr="00C57F66">
        <w:rPr>
          <w:rFonts w:ascii="Times New Roman" w:eastAsia="Times New Roman" w:hAnsi="Times New Roman" w:cs="Times New Roman"/>
          <w:color w:val="05103E"/>
          <w:kern w:val="0"/>
          <w:sz w:val="27"/>
          <w:szCs w:val="27"/>
          <w:lang w:eastAsia="en-GB"/>
          <w14:ligatures w14:val="none"/>
        </w:rPr>
        <w:t>, </w:t>
      </w:r>
      <w:r w:rsidRPr="00C57F66">
        <w:rPr>
          <w:rFonts w:ascii="Times New Roman" w:eastAsia="Times New Roman" w:hAnsi="Times New Roman" w:cs="Times New Roman"/>
          <w:i/>
          <w:iCs/>
          <w:color w:val="05103E"/>
          <w:kern w:val="0"/>
          <w:sz w:val="27"/>
          <w:szCs w:val="27"/>
          <w:bdr w:val="single" w:sz="2" w:space="0" w:color="ECEDEE" w:frame="1"/>
          <w:lang w:eastAsia="en-GB"/>
          <w14:ligatures w14:val="none"/>
        </w:rPr>
        <w:t>28</w:t>
      </w:r>
      <w:r w:rsidRPr="00C57F66">
        <w:rPr>
          <w:rFonts w:ascii="Times New Roman" w:eastAsia="Times New Roman" w:hAnsi="Times New Roman" w:cs="Times New Roman"/>
          <w:color w:val="05103E"/>
          <w:kern w:val="0"/>
          <w:sz w:val="27"/>
          <w:szCs w:val="27"/>
          <w:lang w:eastAsia="en-GB"/>
          <w14:ligatures w14:val="none"/>
        </w:rPr>
        <w:t>(5), 886–923. </w:t>
      </w:r>
      <w:r w:rsidRPr="00C57F66">
        <w:rPr>
          <w:rFonts w:ascii="Times New Roman" w:eastAsia="Times New Roman" w:hAnsi="Times New Roman" w:cs="Times New Roman"/>
          <w:color w:val="05103E"/>
          <w:kern w:val="0"/>
          <w:sz w:val="27"/>
          <w:szCs w:val="27"/>
          <w:bdr w:val="single" w:sz="2" w:space="0" w:color="ECEDEE" w:frame="1"/>
          <w:lang w:eastAsia="en-GB"/>
          <w14:ligatures w14:val="none"/>
        </w:rPr>
        <w:t>https://doi.org/10.1108/ijchm-02-2015-0076</w:t>
      </w:r>
    </w:p>
    <w:p w14:paraId="285A85EE" w14:textId="77777777" w:rsidR="00C57F66" w:rsidRDefault="00C57F66" w:rsidP="00116202">
      <w:pPr>
        <w:shd w:val="clear" w:color="auto" w:fill="FFFFFF"/>
        <w:spacing w:after="0" w:line="240" w:lineRule="auto"/>
        <w:rPr>
          <w:rFonts w:ascii="Times New Roman" w:eastAsia="Times New Roman" w:hAnsi="Times New Roman" w:cs="Times New Roman"/>
          <w:color w:val="05103E"/>
          <w:kern w:val="0"/>
          <w:sz w:val="27"/>
          <w:szCs w:val="27"/>
          <w:bdr w:val="single" w:sz="2" w:space="0" w:color="ECEDEE" w:frame="1"/>
          <w:lang w:eastAsia="en-GB"/>
          <w14:ligatures w14:val="none"/>
        </w:rPr>
      </w:pPr>
    </w:p>
    <w:p w14:paraId="5458E429" w14:textId="31AF306A" w:rsidR="008272A5" w:rsidRDefault="008272A5" w:rsidP="00116202">
      <w:pPr>
        <w:shd w:val="clear" w:color="auto" w:fill="FFFFFF"/>
        <w:spacing w:after="0" w:line="240" w:lineRule="auto"/>
        <w:rPr>
          <w:color w:val="05103E"/>
          <w:sz w:val="27"/>
          <w:szCs w:val="27"/>
          <w:shd w:val="clear" w:color="auto" w:fill="FFFFFF"/>
        </w:rPr>
      </w:pPr>
      <w:r>
        <w:rPr>
          <w:color w:val="05103E"/>
          <w:sz w:val="27"/>
          <w:szCs w:val="27"/>
          <w:shd w:val="clear" w:color="auto" w:fill="FFFFFF"/>
        </w:rPr>
        <w:t xml:space="preserve">Robles, E. (2009). </w:t>
      </w:r>
      <w:proofErr w:type="spellStart"/>
      <w:r>
        <w:rPr>
          <w:color w:val="05103E"/>
          <w:sz w:val="27"/>
          <w:szCs w:val="27"/>
          <w:shd w:val="clear" w:color="auto" w:fill="FFFFFF"/>
        </w:rPr>
        <w:t>Reseña</w:t>
      </w:r>
      <w:proofErr w:type="spellEnd"/>
      <w:r>
        <w:rPr>
          <w:color w:val="05103E"/>
          <w:sz w:val="27"/>
          <w:szCs w:val="27"/>
          <w:shd w:val="clear" w:color="auto" w:fill="FFFFFF"/>
        </w:rPr>
        <w:t xml:space="preserve"> de “Marketing for Hospitality and Tourism” de Philip Kotler, John T. Bowen y James C. Makens. </w:t>
      </w:r>
      <w:r>
        <w:rPr>
          <w:i/>
          <w:iCs/>
          <w:color w:val="05103E"/>
          <w:sz w:val="27"/>
          <w:szCs w:val="27"/>
          <w:bdr w:val="single" w:sz="2" w:space="0" w:color="ECEDEE" w:frame="1"/>
          <w:shd w:val="clear" w:color="auto" w:fill="FFFFFF"/>
        </w:rPr>
        <w:t xml:space="preserve">Forum </w:t>
      </w:r>
      <w:proofErr w:type="spellStart"/>
      <w:r>
        <w:rPr>
          <w:i/>
          <w:iCs/>
          <w:color w:val="05103E"/>
          <w:sz w:val="27"/>
          <w:szCs w:val="27"/>
          <w:bdr w:val="single" w:sz="2" w:space="0" w:color="ECEDEE" w:frame="1"/>
          <w:shd w:val="clear" w:color="auto" w:fill="FFFFFF"/>
        </w:rPr>
        <w:t>Empresarial</w:t>
      </w:r>
      <w:proofErr w:type="spellEnd"/>
      <w:r>
        <w:rPr>
          <w:color w:val="05103E"/>
          <w:sz w:val="27"/>
          <w:szCs w:val="27"/>
          <w:shd w:val="clear" w:color="auto" w:fill="FFFFFF"/>
        </w:rPr>
        <w:t>, </w:t>
      </w:r>
      <w:r>
        <w:rPr>
          <w:i/>
          <w:iCs/>
          <w:color w:val="05103E"/>
          <w:sz w:val="27"/>
          <w:szCs w:val="27"/>
          <w:bdr w:val="single" w:sz="2" w:space="0" w:color="ECEDEE" w:frame="1"/>
          <w:shd w:val="clear" w:color="auto" w:fill="FFFFFF"/>
        </w:rPr>
        <w:t>14</w:t>
      </w:r>
      <w:r>
        <w:rPr>
          <w:color w:val="05103E"/>
          <w:sz w:val="27"/>
          <w:szCs w:val="27"/>
          <w:shd w:val="clear" w:color="auto" w:fill="FFFFFF"/>
        </w:rPr>
        <w:t>(1), 77–78.</w:t>
      </w:r>
    </w:p>
    <w:p w14:paraId="5F4FDC72" w14:textId="77777777" w:rsidR="008272A5" w:rsidRDefault="008272A5" w:rsidP="00116202">
      <w:pPr>
        <w:shd w:val="clear" w:color="auto" w:fill="FFFFFF"/>
        <w:spacing w:after="0" w:line="240" w:lineRule="auto"/>
        <w:rPr>
          <w:color w:val="05103E"/>
          <w:sz w:val="27"/>
          <w:szCs w:val="27"/>
          <w:shd w:val="clear" w:color="auto" w:fill="FFFFFF"/>
        </w:rPr>
      </w:pPr>
    </w:p>
    <w:p w14:paraId="648BDE5A" w14:textId="77777777" w:rsidR="006B2DC4" w:rsidRPr="006B2DC4" w:rsidRDefault="006B2DC4" w:rsidP="006B2DC4">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r w:rsidRPr="006B2DC4">
        <w:rPr>
          <w:rFonts w:ascii="Times New Roman" w:eastAsia="Times New Roman" w:hAnsi="Times New Roman" w:cs="Times New Roman"/>
          <w:color w:val="05103E"/>
          <w:kern w:val="0"/>
          <w:sz w:val="27"/>
          <w:szCs w:val="27"/>
          <w:lang w:eastAsia="en-GB"/>
          <w14:ligatures w14:val="none"/>
        </w:rPr>
        <w:t>Dev, C. S. (2012). </w:t>
      </w:r>
      <w:r w:rsidRPr="006B2DC4">
        <w:rPr>
          <w:rFonts w:ascii="Times New Roman" w:eastAsia="Times New Roman" w:hAnsi="Times New Roman" w:cs="Times New Roman"/>
          <w:i/>
          <w:iCs/>
          <w:color w:val="05103E"/>
          <w:kern w:val="0"/>
          <w:sz w:val="27"/>
          <w:szCs w:val="27"/>
          <w:bdr w:val="single" w:sz="2" w:space="0" w:color="ECEDEE" w:frame="1"/>
          <w:lang w:eastAsia="en-GB"/>
          <w14:ligatures w14:val="none"/>
        </w:rPr>
        <w:t>Hospitality Branding</w:t>
      </w:r>
      <w:r w:rsidRPr="006B2DC4">
        <w:rPr>
          <w:rFonts w:ascii="Times New Roman" w:eastAsia="Times New Roman" w:hAnsi="Times New Roman" w:cs="Times New Roman"/>
          <w:color w:val="05103E"/>
          <w:kern w:val="0"/>
          <w:sz w:val="27"/>
          <w:szCs w:val="27"/>
          <w:lang w:eastAsia="en-GB"/>
          <w14:ligatures w14:val="none"/>
        </w:rPr>
        <w:t>. Cornell University Press.</w:t>
      </w:r>
    </w:p>
    <w:p w14:paraId="573C6B04" w14:textId="77777777" w:rsidR="008272A5" w:rsidRDefault="008272A5" w:rsidP="00116202">
      <w:pPr>
        <w:shd w:val="clear" w:color="auto" w:fill="FFFFFF"/>
        <w:spacing w:after="0" w:line="240" w:lineRule="auto"/>
        <w:rPr>
          <w:rFonts w:ascii="Times New Roman" w:eastAsia="Times New Roman" w:hAnsi="Times New Roman" w:cs="Times New Roman"/>
          <w:color w:val="05103E"/>
          <w:kern w:val="0"/>
          <w:sz w:val="27"/>
          <w:szCs w:val="27"/>
          <w:bdr w:val="single" w:sz="2" w:space="0" w:color="ECEDEE" w:frame="1"/>
          <w:lang w:eastAsia="en-GB"/>
          <w14:ligatures w14:val="none"/>
        </w:rPr>
      </w:pPr>
    </w:p>
    <w:p w14:paraId="52F5E646" w14:textId="77777777" w:rsidR="00057629" w:rsidRPr="00116202" w:rsidRDefault="00057629" w:rsidP="00116202">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p>
    <w:p w14:paraId="22E9517E" w14:textId="31DB2CFE" w:rsidR="00711B9B" w:rsidRDefault="002909F8" w:rsidP="00DC68D6">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r>
        <w:rPr>
          <w:rFonts w:ascii="Times New Roman" w:eastAsia="Times New Roman" w:hAnsi="Times New Roman" w:cs="Times New Roman"/>
          <w:color w:val="05103E"/>
          <w:kern w:val="0"/>
          <w:sz w:val="27"/>
          <w:szCs w:val="27"/>
          <w:lang w:eastAsia="en-GB"/>
          <w14:ligatures w14:val="none"/>
        </w:rPr>
        <w:t>APPENDIX</w:t>
      </w:r>
    </w:p>
    <w:p w14:paraId="43E0E6EA" w14:textId="77777777" w:rsidR="00711B9B" w:rsidRDefault="00711B9B" w:rsidP="00DC68D6">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p>
    <w:p w14:paraId="606137EB" w14:textId="4458ADB2" w:rsidR="00BB7F2F" w:rsidRDefault="00BB7F2F" w:rsidP="00BB7F2F">
      <w:pPr>
        <w:pStyle w:val="NormalWeb"/>
        <w:numPr>
          <w:ilvl w:val="0"/>
          <w:numId w:val="2"/>
        </w:numPr>
        <w:spacing w:before="0" w:beforeAutospacing="0" w:after="0" w:afterAutospacing="0" w:line="480" w:lineRule="auto"/>
      </w:pPr>
      <w:r>
        <w:rPr>
          <w:i/>
          <w:iCs/>
        </w:rPr>
        <w:t>Bowman’s Strategy Clock</w:t>
      </w:r>
      <w:r>
        <w:t xml:space="preserve">. (n.d.). </w:t>
      </w:r>
      <w:hyperlink r:id="rId11" w:history="1">
        <w:r w:rsidRPr="001D26C8">
          <w:rPr>
            <w:rStyle w:val="Hyperlink"/>
          </w:rPr>
          <w:t>https://www.sketchbubble.com/en/powerpoint-bowmans strategy-clock.html</w:t>
        </w:r>
      </w:hyperlink>
    </w:p>
    <w:p w14:paraId="19465D6D" w14:textId="33581D6D" w:rsidR="00BB7F2F" w:rsidRDefault="00576C36" w:rsidP="00BB7F2F">
      <w:pPr>
        <w:pStyle w:val="NormalWeb"/>
        <w:spacing w:before="0" w:beforeAutospacing="0" w:after="0" w:afterAutospacing="0" w:line="480" w:lineRule="auto"/>
        <w:ind w:left="720"/>
      </w:pPr>
      <w:r>
        <w:rPr>
          <w:noProof/>
          <w:color w:val="05103E"/>
          <w:sz w:val="27"/>
          <w:szCs w:val="27"/>
        </w:rPr>
        <w:lastRenderedPageBreak/>
        <w:drawing>
          <wp:inline distT="0" distB="0" distL="0" distR="0" wp14:anchorId="01896E81" wp14:editId="1060EE02">
            <wp:extent cx="3800612" cy="2533601"/>
            <wp:effectExtent l="0" t="0" r="0" b="635"/>
            <wp:docPr id="388539627" name="Picture 1" descr="A picture containing text, screenshot, diagram,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539627" name="Picture 1" descr="A picture containing text, screenshot, diagram, circ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45863" cy="2563767"/>
                    </a:xfrm>
                    <a:prstGeom prst="rect">
                      <a:avLst/>
                    </a:prstGeom>
                  </pic:spPr>
                </pic:pic>
              </a:graphicData>
            </a:graphic>
          </wp:inline>
        </w:drawing>
      </w:r>
      <w:r w:rsidR="005243D6">
        <w:rPr>
          <w:noProof/>
          <w14:ligatures w14:val="standardContextual"/>
        </w:rPr>
        <w:drawing>
          <wp:inline distT="0" distB="0" distL="0" distR="0" wp14:anchorId="566DAB19" wp14:editId="11D0D12F">
            <wp:extent cx="4726305" cy="3010486"/>
            <wp:effectExtent l="0" t="0" r="0" b="0"/>
            <wp:docPr id="1223870087" name="Picture 2" descr="A picture containing text, electronics, screensho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870087" name="Picture 2" descr="A picture containing text, electronics, screenshot, websit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824353" cy="3072939"/>
                    </a:xfrm>
                    <a:prstGeom prst="rect">
                      <a:avLst/>
                    </a:prstGeom>
                  </pic:spPr>
                </pic:pic>
              </a:graphicData>
            </a:graphic>
          </wp:inline>
        </w:drawing>
      </w:r>
    </w:p>
    <w:p w14:paraId="2C3EEF40" w14:textId="2CCE2052" w:rsidR="00711B9B" w:rsidRPr="00003C79" w:rsidRDefault="001228B0" w:rsidP="005E46F7">
      <w:pPr>
        <w:pStyle w:val="NormalWeb"/>
        <w:numPr>
          <w:ilvl w:val="0"/>
          <w:numId w:val="2"/>
        </w:numPr>
        <w:spacing w:before="0" w:beforeAutospacing="0" w:after="0" w:afterAutospacing="0" w:line="480" w:lineRule="auto"/>
      </w:pPr>
      <w:proofErr w:type="spellStart"/>
      <w:r>
        <w:rPr>
          <w:i/>
          <w:iCs/>
        </w:rPr>
        <w:lastRenderedPageBreak/>
        <w:t>SimilarWeb</w:t>
      </w:r>
      <w:proofErr w:type="spellEnd"/>
      <w:r>
        <w:rPr>
          <w:i/>
          <w:iCs/>
        </w:rPr>
        <w:t xml:space="preserve"> Identity</w:t>
      </w:r>
      <w:r>
        <w:t>. (n.d.). https://pro.similarweb.com/#/digitalsuite/home</w:t>
      </w:r>
      <w:r w:rsidR="0029300A">
        <w:rPr>
          <w:noProof/>
          <w:color w:val="05103E"/>
          <w:sz w:val="27"/>
          <w:szCs w:val="27"/>
        </w:rPr>
        <w:drawing>
          <wp:inline distT="0" distB="0" distL="0" distR="0" wp14:anchorId="74B2268C" wp14:editId="717DC89C">
            <wp:extent cx="4318814" cy="1902460"/>
            <wp:effectExtent l="0" t="0" r="5715" b="2540"/>
            <wp:docPr id="952262904" name="Picture 2"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262904" name="Picture 2" descr="A screen shot of a computer&#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43551" cy="1913357"/>
                    </a:xfrm>
                    <a:prstGeom prst="rect">
                      <a:avLst/>
                    </a:prstGeom>
                  </pic:spPr>
                </pic:pic>
              </a:graphicData>
            </a:graphic>
          </wp:inline>
        </w:drawing>
      </w:r>
      <w:r w:rsidR="008D6D39">
        <w:rPr>
          <w:color w:val="05103E"/>
          <w:sz w:val="27"/>
          <w:szCs w:val="27"/>
        </w:rPr>
        <w:t xml:space="preserve">   </w:t>
      </w:r>
      <w:r w:rsidR="0029300A">
        <w:rPr>
          <w:noProof/>
          <w:color w:val="05103E"/>
          <w:sz w:val="27"/>
          <w:szCs w:val="27"/>
        </w:rPr>
        <w:drawing>
          <wp:inline distT="0" distB="0" distL="0" distR="0" wp14:anchorId="17A14EC1" wp14:editId="1DACA710">
            <wp:extent cx="4724398" cy="1701800"/>
            <wp:effectExtent l="0" t="0" r="635" b="0"/>
            <wp:docPr id="1383665785"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665785" name="Picture 3" descr="A screenshot of a computer&#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46458" cy="1709746"/>
                    </a:xfrm>
                    <a:prstGeom prst="rect">
                      <a:avLst/>
                    </a:prstGeom>
                  </pic:spPr>
                </pic:pic>
              </a:graphicData>
            </a:graphic>
          </wp:inline>
        </w:drawing>
      </w:r>
      <w:r w:rsidR="008D6D39">
        <w:rPr>
          <w:color w:val="05103E"/>
          <w:sz w:val="27"/>
          <w:szCs w:val="27"/>
        </w:rPr>
        <w:t xml:space="preserve">     </w:t>
      </w:r>
    </w:p>
    <w:p w14:paraId="49E00ECA" w14:textId="77777777" w:rsidR="00711B9B" w:rsidRDefault="00711B9B" w:rsidP="00DC68D6">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p>
    <w:p w14:paraId="3CFF645D" w14:textId="77777777" w:rsidR="00711B9B" w:rsidRDefault="00711B9B" w:rsidP="00DC68D6">
      <w:pPr>
        <w:shd w:val="clear" w:color="auto" w:fill="FFFFFF"/>
        <w:spacing w:after="0" w:line="240" w:lineRule="auto"/>
        <w:rPr>
          <w:rFonts w:ascii="Times New Roman" w:eastAsia="Times New Roman" w:hAnsi="Times New Roman" w:cs="Times New Roman"/>
          <w:color w:val="05103E"/>
          <w:kern w:val="0"/>
          <w:sz w:val="27"/>
          <w:szCs w:val="27"/>
          <w:lang w:eastAsia="en-GB"/>
          <w14:ligatures w14:val="none"/>
        </w:rPr>
      </w:pPr>
    </w:p>
    <w:p w14:paraId="3A1D44B2" w14:textId="1DE1A05B" w:rsidR="00A2228C" w:rsidRDefault="00003C79" w:rsidP="00A2228C">
      <w:pPr>
        <w:pStyle w:val="NormalWeb"/>
        <w:spacing w:before="0" w:beforeAutospacing="0" w:after="0" w:afterAutospacing="0" w:line="480" w:lineRule="auto"/>
        <w:ind w:left="720" w:hanging="720"/>
        <w:rPr>
          <w:color w:val="05103E"/>
          <w:sz w:val="27"/>
          <w:szCs w:val="27"/>
        </w:rPr>
      </w:pPr>
      <w:r>
        <w:rPr>
          <w:color w:val="05103E"/>
          <w:sz w:val="27"/>
          <w:szCs w:val="27"/>
        </w:rPr>
        <w:t xml:space="preserve">             </w:t>
      </w:r>
      <w:r>
        <w:rPr>
          <w:noProof/>
          <w:color w:val="05103E"/>
          <w:sz w:val="27"/>
          <w:szCs w:val="27"/>
          <w14:ligatures w14:val="standardContextual"/>
        </w:rPr>
        <w:drawing>
          <wp:inline distT="0" distB="0" distL="0" distR="0" wp14:anchorId="792ED83E" wp14:editId="60665DF8">
            <wp:extent cx="4613910" cy="2075390"/>
            <wp:effectExtent l="0" t="0" r="0" b="1270"/>
            <wp:docPr id="2010845505" name="Picture 4"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845505" name="Picture 4" descr="A screen shot of a computer&#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35010" cy="2084881"/>
                    </a:xfrm>
                    <a:prstGeom prst="rect">
                      <a:avLst/>
                    </a:prstGeom>
                  </pic:spPr>
                </pic:pic>
              </a:graphicData>
            </a:graphic>
          </wp:inline>
        </w:drawing>
      </w:r>
    </w:p>
    <w:p w14:paraId="79D8E2C3" w14:textId="5F794D6B" w:rsidR="00711B9B" w:rsidRPr="00F959B0" w:rsidRDefault="008820C1" w:rsidP="00F959B0">
      <w:pPr>
        <w:pStyle w:val="NormalWeb"/>
        <w:numPr>
          <w:ilvl w:val="0"/>
          <w:numId w:val="2"/>
        </w:numPr>
        <w:spacing w:before="0" w:beforeAutospacing="0" w:after="0" w:afterAutospacing="0" w:line="480" w:lineRule="auto"/>
        <w:jc w:val="both"/>
      </w:pPr>
      <w:r>
        <w:rPr>
          <w:i/>
          <w:iCs/>
        </w:rPr>
        <w:lastRenderedPageBreak/>
        <w:t xml:space="preserve">Six Senses - </w:t>
      </w:r>
      <w:proofErr w:type="spellStart"/>
      <w:r>
        <w:rPr>
          <w:i/>
          <w:iCs/>
        </w:rPr>
        <w:t>Syndacast</w:t>
      </w:r>
      <w:proofErr w:type="spellEnd"/>
      <w:r>
        <w:t xml:space="preserve">. (2019, August 29). </w:t>
      </w:r>
      <w:proofErr w:type="spellStart"/>
      <w:r>
        <w:t>Syndacast</w:t>
      </w:r>
      <w:proofErr w:type="spellEnd"/>
      <w:r>
        <w:t>. https://www.syndacast.com/portfolio-item/six-se</w:t>
      </w:r>
      <w:r w:rsidR="00F959B0">
        <w:t>nses/</w:t>
      </w:r>
      <w:r w:rsidRPr="00F959B0">
        <w:rPr>
          <w:color w:val="05103E"/>
          <w:sz w:val="27"/>
          <w:szCs w:val="27"/>
        </w:rPr>
        <w:t xml:space="preserve">           </w:t>
      </w:r>
      <w:r w:rsidR="00F959B0">
        <w:rPr>
          <w:noProof/>
        </w:rPr>
        <w:drawing>
          <wp:inline distT="0" distB="0" distL="0" distR="0" wp14:anchorId="12D23531" wp14:editId="4C7BD3EA">
            <wp:extent cx="4660900" cy="3194050"/>
            <wp:effectExtent l="0" t="0" r="6350" b="6350"/>
            <wp:docPr id="717504281" name="Picture 2" descr="A picture containing text, screenshot, coll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504281" name="Picture 2" descr="A picture containing text, screenshot, collag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678579" cy="3206165"/>
                    </a:xfrm>
                    <a:prstGeom prst="rect">
                      <a:avLst/>
                    </a:prstGeom>
                  </pic:spPr>
                </pic:pic>
              </a:graphicData>
            </a:graphic>
          </wp:inline>
        </w:drawing>
      </w:r>
    </w:p>
    <w:p w14:paraId="7FF1A53D" w14:textId="449F58B2" w:rsidR="00F959B0" w:rsidRPr="00F959B0" w:rsidRDefault="005E4577" w:rsidP="00C71449">
      <w:pPr>
        <w:pStyle w:val="NormalWeb"/>
        <w:numPr>
          <w:ilvl w:val="0"/>
          <w:numId w:val="2"/>
        </w:numPr>
        <w:spacing w:before="0" w:beforeAutospacing="0" w:after="0" w:afterAutospacing="0" w:line="480" w:lineRule="auto"/>
      </w:pPr>
      <w:r>
        <w:rPr>
          <w:i/>
          <w:iCs/>
        </w:rPr>
        <w:lastRenderedPageBreak/>
        <w:t>Holiday Inn Express asks travellers to be smart</w:t>
      </w:r>
      <w:r>
        <w:t>. (2013, October 18). Marketing-Interactive. https://www.marketing-interactive.com/ihg-launches-smart-newcampaign</w:t>
      </w:r>
      <w:r w:rsidR="00C71449">
        <w:rPr>
          <w:noProof/>
          <w14:ligatures w14:val="standardContextual"/>
        </w:rPr>
        <w:drawing>
          <wp:inline distT="0" distB="0" distL="0" distR="0" wp14:anchorId="17CC0C05" wp14:editId="384F4FDC">
            <wp:extent cx="4485459" cy="6977380"/>
            <wp:effectExtent l="0" t="0" r="0" b="0"/>
            <wp:docPr id="634168956" name="Picture 3" descr="A blue advertisement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168956" name="Picture 3" descr="A blue advertisement with white text&#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4496539" cy="6994616"/>
                    </a:xfrm>
                    <a:prstGeom prst="rect">
                      <a:avLst/>
                    </a:prstGeom>
                  </pic:spPr>
                </pic:pic>
              </a:graphicData>
            </a:graphic>
          </wp:inline>
        </w:drawing>
      </w:r>
    </w:p>
    <w:sectPr w:rsidR="00F959B0" w:rsidRPr="00F959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D2FE3"/>
    <w:multiLevelType w:val="hybridMultilevel"/>
    <w:tmpl w:val="86A26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B34F9C"/>
    <w:multiLevelType w:val="hybridMultilevel"/>
    <w:tmpl w:val="5ED20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7981912">
    <w:abstractNumId w:val="0"/>
  </w:num>
  <w:num w:numId="2" w16cid:durableId="3091002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9C5"/>
    <w:rsid w:val="00003C79"/>
    <w:rsid w:val="00056FFE"/>
    <w:rsid w:val="00057629"/>
    <w:rsid w:val="000B0845"/>
    <w:rsid w:val="000D79C4"/>
    <w:rsid w:val="000F2E28"/>
    <w:rsid w:val="00116202"/>
    <w:rsid w:val="001228B0"/>
    <w:rsid w:val="00163E78"/>
    <w:rsid w:val="00216A48"/>
    <w:rsid w:val="0023442A"/>
    <w:rsid w:val="002909F8"/>
    <w:rsid w:val="0029300A"/>
    <w:rsid w:val="00470346"/>
    <w:rsid w:val="004E3D73"/>
    <w:rsid w:val="005243D6"/>
    <w:rsid w:val="00535C9E"/>
    <w:rsid w:val="00576C36"/>
    <w:rsid w:val="005D2844"/>
    <w:rsid w:val="005E4577"/>
    <w:rsid w:val="005E46F7"/>
    <w:rsid w:val="00624482"/>
    <w:rsid w:val="0063026F"/>
    <w:rsid w:val="00637A2B"/>
    <w:rsid w:val="00657B90"/>
    <w:rsid w:val="0068358D"/>
    <w:rsid w:val="006B0EF2"/>
    <w:rsid w:val="006B2DC4"/>
    <w:rsid w:val="006C641F"/>
    <w:rsid w:val="00700188"/>
    <w:rsid w:val="00711B9B"/>
    <w:rsid w:val="00713900"/>
    <w:rsid w:val="00720855"/>
    <w:rsid w:val="007740C3"/>
    <w:rsid w:val="007918EE"/>
    <w:rsid w:val="007A7B06"/>
    <w:rsid w:val="00820C3E"/>
    <w:rsid w:val="008272A5"/>
    <w:rsid w:val="0085124B"/>
    <w:rsid w:val="00866152"/>
    <w:rsid w:val="008820C1"/>
    <w:rsid w:val="008B6DD8"/>
    <w:rsid w:val="008D6D39"/>
    <w:rsid w:val="00924822"/>
    <w:rsid w:val="0093789B"/>
    <w:rsid w:val="00950422"/>
    <w:rsid w:val="00982DD9"/>
    <w:rsid w:val="00983453"/>
    <w:rsid w:val="00A2228C"/>
    <w:rsid w:val="00AF4C06"/>
    <w:rsid w:val="00B36469"/>
    <w:rsid w:val="00BB7F2F"/>
    <w:rsid w:val="00BC5798"/>
    <w:rsid w:val="00BC7A15"/>
    <w:rsid w:val="00BD7B61"/>
    <w:rsid w:val="00BE3E5E"/>
    <w:rsid w:val="00C57F66"/>
    <w:rsid w:val="00C63A59"/>
    <w:rsid w:val="00C71449"/>
    <w:rsid w:val="00DA5627"/>
    <w:rsid w:val="00DA7060"/>
    <w:rsid w:val="00DC68D6"/>
    <w:rsid w:val="00DE0BDF"/>
    <w:rsid w:val="00E777E5"/>
    <w:rsid w:val="00E940E3"/>
    <w:rsid w:val="00EB45F3"/>
    <w:rsid w:val="00F06947"/>
    <w:rsid w:val="00F67639"/>
    <w:rsid w:val="00F959B0"/>
    <w:rsid w:val="00FA09C5"/>
    <w:rsid w:val="00FF0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61C0D"/>
  <w15:chartTrackingRefBased/>
  <w15:docId w15:val="{0834926D-75FB-40A2-943E-A25A9EFCE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6469"/>
    <w:rPr>
      <w:color w:val="0563C1" w:themeColor="hyperlink"/>
      <w:u w:val="single"/>
    </w:rPr>
  </w:style>
  <w:style w:type="character" w:styleId="UnresolvedMention">
    <w:name w:val="Unresolved Mention"/>
    <w:basedOn w:val="DefaultParagraphFont"/>
    <w:uiPriority w:val="99"/>
    <w:semiHidden/>
    <w:unhideWhenUsed/>
    <w:rsid w:val="00B36469"/>
    <w:rPr>
      <w:color w:val="605E5C"/>
      <w:shd w:val="clear" w:color="auto" w:fill="E1DFDD"/>
    </w:rPr>
  </w:style>
  <w:style w:type="paragraph" w:styleId="NormalWeb">
    <w:name w:val="Normal (Web)"/>
    <w:basedOn w:val="Normal"/>
    <w:uiPriority w:val="99"/>
    <w:unhideWhenUsed/>
    <w:rsid w:val="002909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63379">
      <w:bodyDiv w:val="1"/>
      <w:marLeft w:val="0"/>
      <w:marRight w:val="0"/>
      <w:marTop w:val="0"/>
      <w:marBottom w:val="0"/>
      <w:divBdr>
        <w:top w:val="none" w:sz="0" w:space="0" w:color="auto"/>
        <w:left w:val="none" w:sz="0" w:space="0" w:color="auto"/>
        <w:bottom w:val="none" w:sz="0" w:space="0" w:color="auto"/>
        <w:right w:val="none" w:sz="0" w:space="0" w:color="auto"/>
      </w:divBdr>
      <w:divsChild>
        <w:div w:id="2084254030">
          <w:marLeft w:val="0"/>
          <w:marRight w:val="0"/>
          <w:marTop w:val="0"/>
          <w:marBottom w:val="0"/>
          <w:divBdr>
            <w:top w:val="single" w:sz="2" w:space="0" w:color="ECEDEE"/>
            <w:left w:val="single" w:sz="2" w:space="0" w:color="ECEDEE"/>
            <w:bottom w:val="single" w:sz="2" w:space="0" w:color="ECEDEE"/>
            <w:right w:val="single" w:sz="2" w:space="0" w:color="ECEDEE"/>
          </w:divBdr>
          <w:divsChild>
            <w:div w:id="1682000611">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763691246">
      <w:bodyDiv w:val="1"/>
      <w:marLeft w:val="0"/>
      <w:marRight w:val="0"/>
      <w:marTop w:val="0"/>
      <w:marBottom w:val="0"/>
      <w:divBdr>
        <w:top w:val="none" w:sz="0" w:space="0" w:color="auto"/>
        <w:left w:val="none" w:sz="0" w:space="0" w:color="auto"/>
        <w:bottom w:val="none" w:sz="0" w:space="0" w:color="auto"/>
        <w:right w:val="none" w:sz="0" w:space="0" w:color="auto"/>
      </w:divBdr>
    </w:div>
    <w:div w:id="960723182">
      <w:bodyDiv w:val="1"/>
      <w:marLeft w:val="0"/>
      <w:marRight w:val="0"/>
      <w:marTop w:val="0"/>
      <w:marBottom w:val="0"/>
      <w:divBdr>
        <w:top w:val="none" w:sz="0" w:space="0" w:color="auto"/>
        <w:left w:val="none" w:sz="0" w:space="0" w:color="auto"/>
        <w:bottom w:val="none" w:sz="0" w:space="0" w:color="auto"/>
        <w:right w:val="none" w:sz="0" w:space="0" w:color="auto"/>
      </w:divBdr>
    </w:div>
    <w:div w:id="1078209723">
      <w:bodyDiv w:val="1"/>
      <w:marLeft w:val="0"/>
      <w:marRight w:val="0"/>
      <w:marTop w:val="0"/>
      <w:marBottom w:val="0"/>
      <w:divBdr>
        <w:top w:val="none" w:sz="0" w:space="0" w:color="auto"/>
        <w:left w:val="none" w:sz="0" w:space="0" w:color="auto"/>
        <w:bottom w:val="none" w:sz="0" w:space="0" w:color="auto"/>
        <w:right w:val="none" w:sz="0" w:space="0" w:color="auto"/>
      </w:divBdr>
      <w:divsChild>
        <w:div w:id="1875457139">
          <w:marLeft w:val="0"/>
          <w:marRight w:val="0"/>
          <w:marTop w:val="0"/>
          <w:marBottom w:val="0"/>
          <w:divBdr>
            <w:top w:val="single" w:sz="2" w:space="0" w:color="ECEDEE"/>
            <w:left w:val="single" w:sz="2" w:space="0" w:color="ECEDEE"/>
            <w:bottom w:val="single" w:sz="2" w:space="0" w:color="ECEDEE"/>
            <w:right w:val="single" w:sz="2" w:space="0" w:color="ECEDEE"/>
          </w:divBdr>
          <w:divsChild>
            <w:div w:id="421604565">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204751613">
      <w:bodyDiv w:val="1"/>
      <w:marLeft w:val="0"/>
      <w:marRight w:val="0"/>
      <w:marTop w:val="0"/>
      <w:marBottom w:val="0"/>
      <w:divBdr>
        <w:top w:val="none" w:sz="0" w:space="0" w:color="auto"/>
        <w:left w:val="none" w:sz="0" w:space="0" w:color="auto"/>
        <w:bottom w:val="none" w:sz="0" w:space="0" w:color="auto"/>
        <w:right w:val="none" w:sz="0" w:space="0" w:color="auto"/>
      </w:divBdr>
      <w:divsChild>
        <w:div w:id="594560140">
          <w:marLeft w:val="0"/>
          <w:marRight w:val="0"/>
          <w:marTop w:val="0"/>
          <w:marBottom w:val="0"/>
          <w:divBdr>
            <w:top w:val="single" w:sz="2" w:space="0" w:color="ECEDEE"/>
            <w:left w:val="single" w:sz="2" w:space="0" w:color="ECEDEE"/>
            <w:bottom w:val="single" w:sz="2" w:space="0" w:color="ECEDEE"/>
            <w:right w:val="single" w:sz="2" w:space="0" w:color="ECEDEE"/>
          </w:divBdr>
          <w:divsChild>
            <w:div w:id="1936354386">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229918415">
      <w:bodyDiv w:val="1"/>
      <w:marLeft w:val="0"/>
      <w:marRight w:val="0"/>
      <w:marTop w:val="0"/>
      <w:marBottom w:val="0"/>
      <w:divBdr>
        <w:top w:val="none" w:sz="0" w:space="0" w:color="auto"/>
        <w:left w:val="none" w:sz="0" w:space="0" w:color="auto"/>
        <w:bottom w:val="none" w:sz="0" w:space="0" w:color="auto"/>
        <w:right w:val="none" w:sz="0" w:space="0" w:color="auto"/>
      </w:divBdr>
      <w:divsChild>
        <w:div w:id="1398088905">
          <w:marLeft w:val="0"/>
          <w:marRight w:val="0"/>
          <w:marTop w:val="0"/>
          <w:marBottom w:val="0"/>
          <w:divBdr>
            <w:top w:val="single" w:sz="2" w:space="0" w:color="ECEDEE"/>
            <w:left w:val="single" w:sz="2" w:space="0" w:color="ECEDEE"/>
            <w:bottom w:val="single" w:sz="2" w:space="0" w:color="ECEDEE"/>
            <w:right w:val="single" w:sz="2" w:space="0" w:color="ECEDEE"/>
          </w:divBdr>
          <w:divsChild>
            <w:div w:id="7340324">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440173832">
      <w:bodyDiv w:val="1"/>
      <w:marLeft w:val="0"/>
      <w:marRight w:val="0"/>
      <w:marTop w:val="0"/>
      <w:marBottom w:val="0"/>
      <w:divBdr>
        <w:top w:val="none" w:sz="0" w:space="0" w:color="auto"/>
        <w:left w:val="none" w:sz="0" w:space="0" w:color="auto"/>
        <w:bottom w:val="none" w:sz="0" w:space="0" w:color="auto"/>
        <w:right w:val="none" w:sz="0" w:space="0" w:color="auto"/>
      </w:divBdr>
    </w:div>
    <w:div w:id="1443263476">
      <w:bodyDiv w:val="1"/>
      <w:marLeft w:val="0"/>
      <w:marRight w:val="0"/>
      <w:marTop w:val="0"/>
      <w:marBottom w:val="0"/>
      <w:divBdr>
        <w:top w:val="none" w:sz="0" w:space="0" w:color="auto"/>
        <w:left w:val="none" w:sz="0" w:space="0" w:color="auto"/>
        <w:bottom w:val="none" w:sz="0" w:space="0" w:color="auto"/>
        <w:right w:val="none" w:sz="0" w:space="0" w:color="auto"/>
      </w:divBdr>
      <w:divsChild>
        <w:div w:id="1253659616">
          <w:marLeft w:val="0"/>
          <w:marRight w:val="0"/>
          <w:marTop w:val="0"/>
          <w:marBottom w:val="0"/>
          <w:divBdr>
            <w:top w:val="single" w:sz="2" w:space="0" w:color="ECEDEE"/>
            <w:left w:val="single" w:sz="2" w:space="0" w:color="ECEDEE"/>
            <w:bottom w:val="single" w:sz="2" w:space="0" w:color="ECEDEE"/>
            <w:right w:val="single" w:sz="2" w:space="0" w:color="ECEDEE"/>
          </w:divBdr>
          <w:divsChild>
            <w:div w:id="1813206921">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513908106">
      <w:bodyDiv w:val="1"/>
      <w:marLeft w:val="0"/>
      <w:marRight w:val="0"/>
      <w:marTop w:val="0"/>
      <w:marBottom w:val="0"/>
      <w:divBdr>
        <w:top w:val="none" w:sz="0" w:space="0" w:color="auto"/>
        <w:left w:val="none" w:sz="0" w:space="0" w:color="auto"/>
        <w:bottom w:val="none" w:sz="0" w:space="0" w:color="auto"/>
        <w:right w:val="none" w:sz="0" w:space="0" w:color="auto"/>
      </w:divBdr>
      <w:divsChild>
        <w:div w:id="580456698">
          <w:marLeft w:val="0"/>
          <w:marRight w:val="0"/>
          <w:marTop w:val="0"/>
          <w:marBottom w:val="0"/>
          <w:divBdr>
            <w:top w:val="single" w:sz="2" w:space="0" w:color="ECEDEE"/>
            <w:left w:val="single" w:sz="2" w:space="0" w:color="ECEDEE"/>
            <w:bottom w:val="single" w:sz="2" w:space="0" w:color="ECEDEE"/>
            <w:right w:val="single" w:sz="2" w:space="0" w:color="ECEDEE"/>
          </w:divBdr>
          <w:divsChild>
            <w:div w:id="1252659282">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770078357">
      <w:bodyDiv w:val="1"/>
      <w:marLeft w:val="0"/>
      <w:marRight w:val="0"/>
      <w:marTop w:val="0"/>
      <w:marBottom w:val="0"/>
      <w:divBdr>
        <w:top w:val="none" w:sz="0" w:space="0" w:color="auto"/>
        <w:left w:val="none" w:sz="0" w:space="0" w:color="auto"/>
        <w:bottom w:val="none" w:sz="0" w:space="0" w:color="auto"/>
        <w:right w:val="none" w:sz="0" w:space="0" w:color="auto"/>
      </w:divBdr>
    </w:div>
    <w:div w:id="1788700220">
      <w:bodyDiv w:val="1"/>
      <w:marLeft w:val="0"/>
      <w:marRight w:val="0"/>
      <w:marTop w:val="0"/>
      <w:marBottom w:val="0"/>
      <w:divBdr>
        <w:top w:val="none" w:sz="0" w:space="0" w:color="auto"/>
        <w:left w:val="none" w:sz="0" w:space="0" w:color="auto"/>
        <w:bottom w:val="none" w:sz="0" w:space="0" w:color="auto"/>
        <w:right w:val="none" w:sz="0" w:space="0" w:color="auto"/>
      </w:divBdr>
      <w:divsChild>
        <w:div w:id="1627736025">
          <w:marLeft w:val="0"/>
          <w:marRight w:val="0"/>
          <w:marTop w:val="0"/>
          <w:marBottom w:val="0"/>
          <w:divBdr>
            <w:top w:val="single" w:sz="2" w:space="0" w:color="ECEDEE"/>
            <w:left w:val="single" w:sz="2" w:space="0" w:color="ECEDEE"/>
            <w:bottom w:val="single" w:sz="2" w:space="0" w:color="ECEDEE"/>
            <w:right w:val="single" w:sz="2" w:space="0" w:color="ECEDEE"/>
          </w:divBdr>
          <w:divsChild>
            <w:div w:id="1450006707">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935626411">
      <w:bodyDiv w:val="1"/>
      <w:marLeft w:val="0"/>
      <w:marRight w:val="0"/>
      <w:marTop w:val="0"/>
      <w:marBottom w:val="0"/>
      <w:divBdr>
        <w:top w:val="none" w:sz="0" w:space="0" w:color="auto"/>
        <w:left w:val="none" w:sz="0" w:space="0" w:color="auto"/>
        <w:bottom w:val="none" w:sz="0" w:space="0" w:color="auto"/>
        <w:right w:val="none" w:sz="0" w:space="0" w:color="auto"/>
      </w:divBdr>
      <w:divsChild>
        <w:div w:id="176578783">
          <w:marLeft w:val="0"/>
          <w:marRight w:val="0"/>
          <w:marTop w:val="0"/>
          <w:marBottom w:val="0"/>
          <w:divBdr>
            <w:top w:val="single" w:sz="2" w:space="0" w:color="ECEDEE"/>
            <w:left w:val="single" w:sz="2" w:space="0" w:color="ECEDEE"/>
            <w:bottom w:val="single" w:sz="2" w:space="0" w:color="ECEDEE"/>
            <w:right w:val="single" w:sz="2" w:space="0" w:color="ECEDEE"/>
          </w:divBdr>
          <w:divsChild>
            <w:div w:id="1621304202">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2028214596">
      <w:bodyDiv w:val="1"/>
      <w:marLeft w:val="0"/>
      <w:marRight w:val="0"/>
      <w:marTop w:val="0"/>
      <w:marBottom w:val="0"/>
      <w:divBdr>
        <w:top w:val="none" w:sz="0" w:space="0" w:color="auto"/>
        <w:left w:val="none" w:sz="0" w:space="0" w:color="auto"/>
        <w:bottom w:val="none" w:sz="0" w:space="0" w:color="auto"/>
        <w:right w:val="none" w:sz="0" w:space="0" w:color="auto"/>
      </w:divBdr>
    </w:div>
    <w:div w:id="2049909626">
      <w:bodyDiv w:val="1"/>
      <w:marLeft w:val="0"/>
      <w:marRight w:val="0"/>
      <w:marTop w:val="0"/>
      <w:marBottom w:val="0"/>
      <w:divBdr>
        <w:top w:val="none" w:sz="0" w:space="0" w:color="auto"/>
        <w:left w:val="none" w:sz="0" w:space="0" w:color="auto"/>
        <w:bottom w:val="none" w:sz="0" w:space="0" w:color="auto"/>
        <w:right w:val="none" w:sz="0" w:space="0" w:color="auto"/>
      </w:divBdr>
    </w:div>
    <w:div w:id="2091346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xsenses.com/" TargetMode="External"/><Relationship Id="rId13" Type="http://schemas.openxmlformats.org/officeDocument/2006/relationships/image" Target="media/image2.jpg"/><Relationship Id="rId18"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hyperlink" Target="https://doi.org/10.1177/109634800002400202" TargetMode="External"/><Relationship Id="rId12" Type="http://schemas.openxmlformats.org/officeDocument/2006/relationships/image" Target="media/image1.jpg"/><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16/j.jhtm.2021.04.005" TargetMode="External"/><Relationship Id="rId11" Type="http://schemas.openxmlformats.org/officeDocument/2006/relationships/hyperlink" Target="https://www.sketchbubble.com/en/powerpoint-bowmans%20strategy-clock.html" TargetMode="External"/><Relationship Id="rId5" Type="http://schemas.openxmlformats.org/officeDocument/2006/relationships/hyperlink" Target="https://doi.org/10.1080/02508281.2015.1045364" TargetMode="External"/><Relationship Id="rId15" Type="http://schemas.openxmlformats.org/officeDocument/2006/relationships/image" Target="media/image4.jpeg"/><Relationship Id="rId10" Type="http://schemas.openxmlformats.org/officeDocument/2006/relationships/hyperlink" Target="https://doi.org/10.1177/1938965512457458"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hg.com/holidayinn/hotels/us/en/reservation"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2260</Words>
  <Characters>12886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Petrache</dc:creator>
  <cp:keywords/>
  <dc:description/>
  <cp:lastModifiedBy>Daniel Petrache</cp:lastModifiedBy>
  <cp:revision>2</cp:revision>
  <dcterms:created xsi:type="dcterms:W3CDTF">2023-05-17T16:09:00Z</dcterms:created>
  <dcterms:modified xsi:type="dcterms:W3CDTF">2023-05-17T16:09:00Z</dcterms:modified>
</cp:coreProperties>
</file>