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XSpec="center" w:tblpY="1140"/>
        <w:tblW w:w="0" w:type="auto"/>
        <w:tblLook w:val="04A0" w:firstRow="1" w:lastRow="0" w:firstColumn="1" w:lastColumn="0" w:noHBand="0" w:noVBand="1"/>
      </w:tblPr>
      <w:tblGrid>
        <w:gridCol w:w="2227"/>
        <w:gridCol w:w="7123"/>
      </w:tblGrid>
      <w:tr w:rsidR="0066511C" w:rsidRPr="00C77C03" w14:paraId="6598878B" w14:textId="77777777" w:rsidTr="0066511C">
        <w:tc>
          <w:tcPr>
            <w:tcW w:w="2227" w:type="dxa"/>
            <w:hideMark/>
          </w:tcPr>
          <w:p w14:paraId="59DAF145" w14:textId="0DC037E5" w:rsidR="0066511C" w:rsidRPr="00C77C03" w:rsidRDefault="0066511C" w:rsidP="0066511C">
            <w:pPr>
              <w:spacing w:line="360" w:lineRule="auto"/>
              <w:rPr>
                <w:rFonts w:cs="Arial"/>
                <w:b/>
                <w:bCs/>
                <w:szCs w:val="22"/>
              </w:rPr>
            </w:pPr>
            <w:r w:rsidRPr="00C77C03">
              <w:rPr>
                <w:rFonts w:cs="Arial"/>
                <w:b/>
                <w:bCs/>
                <w:szCs w:val="22"/>
              </w:rPr>
              <w:t>Programme</w:t>
            </w:r>
          </w:p>
        </w:tc>
        <w:tc>
          <w:tcPr>
            <w:tcW w:w="7123" w:type="dxa"/>
            <w:hideMark/>
          </w:tcPr>
          <w:p w14:paraId="3F66CB78" w14:textId="77777777" w:rsidR="0066511C" w:rsidRPr="00C77C03" w:rsidRDefault="0066511C" w:rsidP="0066511C">
            <w:pPr>
              <w:spacing w:line="360" w:lineRule="auto"/>
              <w:rPr>
                <w:rFonts w:cs="Arial"/>
                <w:szCs w:val="22"/>
              </w:rPr>
            </w:pPr>
            <w:r w:rsidRPr="00C77C03">
              <w:rPr>
                <w:rFonts w:cs="Arial"/>
                <w:szCs w:val="22"/>
              </w:rPr>
              <w:t>BSc (Hons) Health and Social Care</w:t>
            </w:r>
          </w:p>
        </w:tc>
      </w:tr>
      <w:tr w:rsidR="0066511C" w:rsidRPr="00C77C03" w14:paraId="1A5B31FD" w14:textId="77777777" w:rsidTr="0066511C">
        <w:tc>
          <w:tcPr>
            <w:tcW w:w="2227" w:type="dxa"/>
          </w:tcPr>
          <w:p w14:paraId="4DBE8A04" w14:textId="184EB901" w:rsidR="0066511C" w:rsidRPr="00C77C03" w:rsidRDefault="0066511C" w:rsidP="0066511C">
            <w:pPr>
              <w:spacing w:line="360" w:lineRule="auto"/>
              <w:rPr>
                <w:rFonts w:cs="Arial"/>
                <w:b/>
                <w:bCs/>
                <w:szCs w:val="22"/>
              </w:rPr>
            </w:pPr>
            <w:r w:rsidRPr="00C77C03">
              <w:rPr>
                <w:rFonts w:cs="Arial"/>
                <w:b/>
                <w:bCs/>
                <w:szCs w:val="22"/>
              </w:rPr>
              <w:t>Student ID</w:t>
            </w:r>
          </w:p>
        </w:tc>
        <w:tc>
          <w:tcPr>
            <w:tcW w:w="7123" w:type="dxa"/>
          </w:tcPr>
          <w:p w14:paraId="21C19418" w14:textId="477F8671" w:rsidR="0066511C" w:rsidRPr="00C77C03" w:rsidRDefault="00711ADA" w:rsidP="0066511C">
            <w:pPr>
              <w:spacing w:line="360" w:lineRule="auto"/>
              <w:rPr>
                <w:rFonts w:cs="Arial"/>
                <w:szCs w:val="22"/>
              </w:rPr>
            </w:pPr>
            <w:r w:rsidRPr="00711ADA">
              <w:rPr>
                <w:rFonts w:cs="Arial"/>
                <w:szCs w:val="22"/>
              </w:rPr>
              <w:t>2313056</w:t>
            </w:r>
          </w:p>
        </w:tc>
      </w:tr>
      <w:tr w:rsidR="0066511C" w:rsidRPr="00C77C03" w14:paraId="5A55F6E4" w14:textId="77777777" w:rsidTr="0066511C">
        <w:tc>
          <w:tcPr>
            <w:tcW w:w="2227" w:type="dxa"/>
            <w:hideMark/>
          </w:tcPr>
          <w:p w14:paraId="2794CE3E" w14:textId="32703F45" w:rsidR="0066511C" w:rsidRPr="00C77C03" w:rsidRDefault="0066511C" w:rsidP="0066511C">
            <w:pPr>
              <w:spacing w:line="360" w:lineRule="auto"/>
              <w:rPr>
                <w:rFonts w:cs="Arial"/>
                <w:b/>
                <w:bCs/>
                <w:szCs w:val="22"/>
              </w:rPr>
            </w:pPr>
            <w:r w:rsidRPr="00C77C03">
              <w:rPr>
                <w:rFonts w:cs="Arial"/>
                <w:b/>
                <w:bCs/>
                <w:szCs w:val="22"/>
              </w:rPr>
              <w:t>Module</w:t>
            </w:r>
          </w:p>
        </w:tc>
        <w:tc>
          <w:tcPr>
            <w:tcW w:w="7123" w:type="dxa"/>
            <w:hideMark/>
          </w:tcPr>
          <w:p w14:paraId="12B8E5D6" w14:textId="77777777" w:rsidR="0066511C" w:rsidRPr="00C77C03" w:rsidRDefault="0066511C" w:rsidP="0066511C">
            <w:pPr>
              <w:spacing w:line="360" w:lineRule="auto"/>
              <w:rPr>
                <w:rFonts w:cs="Arial"/>
                <w:szCs w:val="22"/>
              </w:rPr>
            </w:pPr>
            <w:r w:rsidRPr="00C77C03">
              <w:rPr>
                <w:rFonts w:cs="Arial"/>
                <w:szCs w:val="22"/>
              </w:rPr>
              <w:t>Psychological Classifications and Provisions</w:t>
            </w:r>
          </w:p>
        </w:tc>
      </w:tr>
      <w:tr w:rsidR="0066511C" w:rsidRPr="00C77C03" w14:paraId="3D6A6102" w14:textId="77777777" w:rsidTr="0066511C">
        <w:tc>
          <w:tcPr>
            <w:tcW w:w="2227" w:type="dxa"/>
            <w:hideMark/>
          </w:tcPr>
          <w:p w14:paraId="2EED72DA" w14:textId="3A8DF950" w:rsidR="0066511C" w:rsidRPr="00C77C03" w:rsidRDefault="0066511C" w:rsidP="0066511C">
            <w:pPr>
              <w:spacing w:line="360" w:lineRule="auto"/>
              <w:rPr>
                <w:rFonts w:cs="Arial"/>
                <w:b/>
                <w:bCs/>
                <w:szCs w:val="22"/>
              </w:rPr>
            </w:pPr>
            <w:r w:rsidRPr="00C77C03">
              <w:rPr>
                <w:rFonts w:cs="Arial"/>
                <w:b/>
                <w:bCs/>
                <w:szCs w:val="22"/>
              </w:rPr>
              <w:t>Module Code</w:t>
            </w:r>
          </w:p>
        </w:tc>
        <w:tc>
          <w:tcPr>
            <w:tcW w:w="7123" w:type="dxa"/>
            <w:hideMark/>
          </w:tcPr>
          <w:p w14:paraId="553A6CBD" w14:textId="2E29A9E8" w:rsidR="0066511C" w:rsidRPr="00C77C03" w:rsidRDefault="0066511C" w:rsidP="0066511C">
            <w:pPr>
              <w:spacing w:line="360" w:lineRule="auto"/>
              <w:rPr>
                <w:rFonts w:cs="Arial"/>
                <w:szCs w:val="22"/>
              </w:rPr>
            </w:pPr>
            <w:r w:rsidRPr="00C77C03">
              <w:rPr>
                <w:rFonts w:cs="Arial"/>
                <w:szCs w:val="22"/>
              </w:rPr>
              <w:t xml:space="preserve">BMHP6029 </w:t>
            </w:r>
          </w:p>
        </w:tc>
      </w:tr>
      <w:tr w:rsidR="0066511C" w:rsidRPr="00C77C03" w14:paraId="1CAA9C5D" w14:textId="77777777" w:rsidTr="0066511C">
        <w:tc>
          <w:tcPr>
            <w:tcW w:w="2227" w:type="dxa"/>
            <w:hideMark/>
          </w:tcPr>
          <w:p w14:paraId="3518551B" w14:textId="55A50EE4" w:rsidR="0066511C" w:rsidRPr="00C77C03" w:rsidRDefault="0066511C" w:rsidP="0066511C">
            <w:pPr>
              <w:spacing w:line="360" w:lineRule="auto"/>
              <w:rPr>
                <w:rFonts w:cs="Arial"/>
                <w:b/>
                <w:bCs/>
                <w:szCs w:val="22"/>
              </w:rPr>
            </w:pPr>
            <w:r w:rsidRPr="00C77C03">
              <w:rPr>
                <w:rFonts w:cs="Arial"/>
                <w:b/>
                <w:bCs/>
                <w:szCs w:val="22"/>
              </w:rPr>
              <w:t>Lecturer</w:t>
            </w:r>
          </w:p>
        </w:tc>
        <w:tc>
          <w:tcPr>
            <w:tcW w:w="7123" w:type="dxa"/>
            <w:hideMark/>
          </w:tcPr>
          <w:p w14:paraId="4D6AFE4D" w14:textId="309A55EA" w:rsidR="0066511C" w:rsidRPr="00C77C03" w:rsidRDefault="0066511C" w:rsidP="0066511C">
            <w:pPr>
              <w:spacing w:line="360" w:lineRule="auto"/>
              <w:rPr>
                <w:rFonts w:cs="Arial"/>
                <w:szCs w:val="22"/>
              </w:rPr>
            </w:pPr>
            <w:r w:rsidRPr="00C77C03">
              <w:rPr>
                <w:rFonts w:cs="Arial"/>
                <w:szCs w:val="22"/>
              </w:rPr>
              <w:t xml:space="preserve"> </w:t>
            </w:r>
            <w:proofErr w:type="spellStart"/>
            <w:r w:rsidR="00D25846">
              <w:rPr>
                <w:rFonts w:cs="Arial"/>
                <w:szCs w:val="22"/>
              </w:rPr>
              <w:t>Tomy</w:t>
            </w:r>
            <w:proofErr w:type="spellEnd"/>
            <w:r w:rsidR="00D25846">
              <w:rPr>
                <w:rFonts w:cs="Arial"/>
                <w:szCs w:val="22"/>
              </w:rPr>
              <w:t xml:space="preserve"> </w:t>
            </w:r>
            <w:proofErr w:type="spellStart"/>
            <w:r w:rsidR="00D25846">
              <w:rPr>
                <w:rFonts w:cs="Arial"/>
                <w:szCs w:val="22"/>
              </w:rPr>
              <w:t>Ad</w:t>
            </w:r>
            <w:r w:rsidR="00106613">
              <w:rPr>
                <w:rFonts w:cs="Arial"/>
                <w:szCs w:val="22"/>
              </w:rPr>
              <w:t>attu</w:t>
            </w:r>
            <w:proofErr w:type="spellEnd"/>
            <w:r w:rsidR="00106613">
              <w:rPr>
                <w:rFonts w:cs="Arial"/>
                <w:szCs w:val="22"/>
              </w:rPr>
              <w:t xml:space="preserve"> Chacko </w:t>
            </w:r>
            <w:r w:rsidR="00D25846">
              <w:rPr>
                <w:rFonts w:cs="Arial"/>
                <w:szCs w:val="22"/>
              </w:rPr>
              <w:t xml:space="preserve"> </w:t>
            </w:r>
          </w:p>
        </w:tc>
      </w:tr>
      <w:tr w:rsidR="0066511C" w:rsidRPr="00C77C03" w14:paraId="54CF18E0" w14:textId="77777777" w:rsidTr="0066511C">
        <w:tc>
          <w:tcPr>
            <w:tcW w:w="2227" w:type="dxa"/>
          </w:tcPr>
          <w:p w14:paraId="2AA2A915" w14:textId="34E1E79B" w:rsidR="0066511C" w:rsidRPr="00C77C03" w:rsidRDefault="0066511C" w:rsidP="0066511C">
            <w:pPr>
              <w:spacing w:line="360" w:lineRule="auto"/>
              <w:rPr>
                <w:rFonts w:cs="Arial"/>
                <w:b/>
                <w:bCs/>
                <w:szCs w:val="22"/>
              </w:rPr>
            </w:pPr>
            <w:r w:rsidRPr="00C77C03">
              <w:rPr>
                <w:rFonts w:cs="Arial"/>
                <w:b/>
                <w:bCs/>
                <w:szCs w:val="22"/>
              </w:rPr>
              <w:t>Internal Verifier</w:t>
            </w:r>
          </w:p>
        </w:tc>
        <w:tc>
          <w:tcPr>
            <w:tcW w:w="7123" w:type="dxa"/>
          </w:tcPr>
          <w:p w14:paraId="21A1BCA7" w14:textId="0316E40B" w:rsidR="0066511C" w:rsidRPr="00C77C03" w:rsidRDefault="0066511C" w:rsidP="0066511C">
            <w:pPr>
              <w:spacing w:line="360" w:lineRule="auto"/>
              <w:rPr>
                <w:rFonts w:cs="Arial"/>
                <w:szCs w:val="22"/>
              </w:rPr>
            </w:pPr>
            <w:r w:rsidRPr="00C77C03">
              <w:rPr>
                <w:rFonts w:cs="Arial"/>
                <w:szCs w:val="22"/>
              </w:rPr>
              <w:t>Dr Eleni Koutsogeorgou-Andreou</w:t>
            </w:r>
          </w:p>
        </w:tc>
      </w:tr>
      <w:tr w:rsidR="0066511C" w:rsidRPr="00C77C03" w14:paraId="442A2644" w14:textId="77777777" w:rsidTr="0066511C">
        <w:tc>
          <w:tcPr>
            <w:tcW w:w="2227" w:type="dxa"/>
            <w:hideMark/>
          </w:tcPr>
          <w:p w14:paraId="583D527B" w14:textId="79231A0F" w:rsidR="0066511C" w:rsidRPr="00C77C03" w:rsidRDefault="0066511C" w:rsidP="0066511C">
            <w:pPr>
              <w:spacing w:line="360" w:lineRule="auto"/>
              <w:rPr>
                <w:rFonts w:cs="Arial"/>
                <w:b/>
                <w:bCs/>
                <w:szCs w:val="22"/>
              </w:rPr>
            </w:pPr>
            <w:r w:rsidRPr="00C77C03">
              <w:rPr>
                <w:rFonts w:cs="Arial"/>
                <w:b/>
                <w:bCs/>
                <w:szCs w:val="22"/>
              </w:rPr>
              <w:t>Assignment Title</w:t>
            </w:r>
          </w:p>
        </w:tc>
        <w:tc>
          <w:tcPr>
            <w:tcW w:w="7123" w:type="dxa"/>
            <w:hideMark/>
          </w:tcPr>
          <w:p w14:paraId="7B5698A0" w14:textId="405A49C6" w:rsidR="0066511C" w:rsidRPr="00C77C03" w:rsidRDefault="0066511C" w:rsidP="0066511C">
            <w:pPr>
              <w:spacing w:line="360" w:lineRule="auto"/>
              <w:rPr>
                <w:rFonts w:cs="Arial"/>
                <w:szCs w:val="22"/>
              </w:rPr>
            </w:pPr>
            <w:r w:rsidRPr="00C77C03">
              <w:rPr>
                <w:rFonts w:cs="Arial"/>
                <w:szCs w:val="22"/>
              </w:rPr>
              <w:t>Component 2: Written Assignment (Report)</w:t>
            </w:r>
          </w:p>
        </w:tc>
      </w:tr>
    </w:tbl>
    <w:p w14:paraId="660863CE" w14:textId="39E6BF41" w:rsidR="0066511C" w:rsidRPr="00C77C03" w:rsidRDefault="0066511C">
      <w:r w:rsidRPr="00C77C03">
        <w:rPr>
          <w:noProof/>
        </w:rPr>
        <w:drawing>
          <wp:anchor distT="0" distB="0" distL="114300" distR="114300" simplePos="0" relativeHeight="251659264" behindDoc="1" locked="0" layoutInCell="1" allowOverlap="1" wp14:anchorId="6443EA7E" wp14:editId="6EFEB955">
            <wp:simplePos x="0" y="0"/>
            <wp:positionH relativeFrom="margin">
              <wp:align>left</wp:align>
            </wp:positionH>
            <wp:positionV relativeFrom="margin">
              <wp:align>top</wp:align>
            </wp:positionV>
            <wp:extent cx="1460500" cy="621030"/>
            <wp:effectExtent l="0" t="0" r="6350" b="7620"/>
            <wp:wrapTight wrapText="bothSides">
              <wp:wrapPolygon edited="0">
                <wp:start x="0" y="0"/>
                <wp:lineTo x="0" y="21202"/>
                <wp:lineTo x="21412" y="21202"/>
                <wp:lineTo x="21412" y="0"/>
                <wp:lineTo x="0" y="0"/>
              </wp:wrapPolygon>
            </wp:wrapTight>
            <wp:docPr id="849439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439471" name=""/>
                    <pic:cNvPicPr/>
                  </pic:nvPicPr>
                  <pic:blipFill>
                    <a:blip r:embed="rId8">
                      <a:extLst>
                        <a:ext uri="{28A0092B-C50C-407E-A947-70E740481C1C}">
                          <a14:useLocalDpi xmlns:a14="http://schemas.microsoft.com/office/drawing/2010/main" val="0"/>
                        </a:ext>
                      </a:extLst>
                    </a:blip>
                    <a:stretch>
                      <a:fillRect/>
                    </a:stretch>
                  </pic:blipFill>
                  <pic:spPr>
                    <a:xfrm>
                      <a:off x="0" y="0"/>
                      <a:ext cx="1460500" cy="621030"/>
                    </a:xfrm>
                    <a:prstGeom prst="rect">
                      <a:avLst/>
                    </a:prstGeom>
                  </pic:spPr>
                </pic:pic>
              </a:graphicData>
            </a:graphic>
            <wp14:sizeRelH relativeFrom="margin">
              <wp14:pctWidth>0</wp14:pctWidth>
            </wp14:sizeRelH>
            <wp14:sizeRelV relativeFrom="margin">
              <wp14:pctHeight>0</wp14:pctHeight>
            </wp14:sizeRelV>
          </wp:anchor>
        </w:drawing>
      </w:r>
    </w:p>
    <w:p w14:paraId="239D7F28" w14:textId="77777777" w:rsidR="0066511C" w:rsidRPr="00C77C03" w:rsidRDefault="0066511C">
      <w:r w:rsidRPr="00C77C03">
        <w:br w:type="page"/>
      </w:r>
    </w:p>
    <w:p w14:paraId="05962FB1" w14:textId="77777777" w:rsidR="00AC0ADA" w:rsidRPr="00C77C03" w:rsidRDefault="00AC0ADA" w:rsidP="00AC0ADA">
      <w:pPr>
        <w:spacing w:line="360" w:lineRule="auto"/>
        <w:jc w:val="center"/>
        <w:rPr>
          <w:b/>
          <w:bCs/>
          <w:sz w:val="36"/>
          <w:szCs w:val="40"/>
        </w:rPr>
      </w:pPr>
    </w:p>
    <w:p w14:paraId="1CEBFD95" w14:textId="77777777" w:rsidR="00AC0ADA" w:rsidRPr="00C77C03" w:rsidRDefault="00AC0ADA" w:rsidP="00AC0ADA">
      <w:pPr>
        <w:spacing w:line="360" w:lineRule="auto"/>
        <w:jc w:val="center"/>
        <w:rPr>
          <w:b/>
          <w:bCs/>
          <w:sz w:val="36"/>
          <w:szCs w:val="40"/>
        </w:rPr>
      </w:pPr>
    </w:p>
    <w:p w14:paraId="65CD295D" w14:textId="2CAD41E1" w:rsidR="00AC0ADA" w:rsidRDefault="000245D4" w:rsidP="00AC0ADA">
      <w:pPr>
        <w:spacing w:line="360" w:lineRule="auto"/>
        <w:jc w:val="center"/>
        <w:rPr>
          <w:b/>
          <w:bCs/>
          <w:sz w:val="36"/>
          <w:szCs w:val="40"/>
        </w:rPr>
      </w:pPr>
      <w:r w:rsidRPr="000245D4">
        <w:rPr>
          <w:b/>
          <w:bCs/>
          <w:sz w:val="36"/>
          <w:szCs w:val="40"/>
        </w:rPr>
        <w:t>Critical Analysis of Enuresis (ICD-11: 6C00): Classification, Diagnosis, Treatment, and Emerging Debates in the UK Contex</w:t>
      </w:r>
      <w:r>
        <w:rPr>
          <w:b/>
          <w:bCs/>
          <w:sz w:val="36"/>
          <w:szCs w:val="40"/>
        </w:rPr>
        <w:t>t</w:t>
      </w:r>
    </w:p>
    <w:p w14:paraId="26260EF4" w14:textId="563ED640" w:rsidR="0080313F" w:rsidRPr="00C77C03" w:rsidRDefault="0080313F" w:rsidP="00AC0ADA">
      <w:pPr>
        <w:spacing w:line="360" w:lineRule="auto"/>
        <w:jc w:val="center"/>
        <w:rPr>
          <w:b/>
          <w:bCs/>
          <w:sz w:val="36"/>
          <w:szCs w:val="40"/>
        </w:rPr>
      </w:pPr>
      <w:r>
        <w:rPr>
          <w:noProof/>
        </w:rPr>
        <w:drawing>
          <wp:anchor distT="0" distB="0" distL="114300" distR="114300" simplePos="0" relativeHeight="251661312" behindDoc="1" locked="0" layoutInCell="1" allowOverlap="1" wp14:anchorId="39DBD066" wp14:editId="3A3F0894">
            <wp:simplePos x="0" y="0"/>
            <wp:positionH relativeFrom="column">
              <wp:posOffset>3357524</wp:posOffset>
            </wp:positionH>
            <wp:positionV relativeFrom="page">
              <wp:posOffset>3298698</wp:posOffset>
            </wp:positionV>
            <wp:extent cx="2355215" cy="1938655"/>
            <wp:effectExtent l="0" t="0" r="6985" b="4445"/>
            <wp:wrapTight wrapText="bothSides">
              <wp:wrapPolygon edited="0">
                <wp:start x="0" y="0"/>
                <wp:lineTo x="0" y="21437"/>
                <wp:lineTo x="21489" y="21437"/>
                <wp:lineTo x="21489" y="0"/>
                <wp:lineTo x="0" y="0"/>
              </wp:wrapPolygon>
            </wp:wrapTight>
            <wp:docPr id="1357287803" name="Picture 2" descr="184 Bed Wetting Children Stock Vectors and Vector Art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84 Bed Wetting Children Stock Vectors and Vector Art | Shuttersto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5215" cy="1938655"/>
                    </a:xfrm>
                    <a:prstGeom prst="rect">
                      <a:avLst/>
                    </a:prstGeom>
                    <a:noFill/>
                    <a:ln>
                      <a:noFill/>
                    </a:ln>
                  </pic:spPr>
                </pic:pic>
              </a:graphicData>
            </a:graphic>
          </wp:anchor>
        </w:drawing>
      </w:r>
      <w:r>
        <w:rPr>
          <w:noProof/>
        </w:rPr>
        <w:drawing>
          <wp:anchor distT="0" distB="0" distL="114300" distR="114300" simplePos="0" relativeHeight="251660288" behindDoc="1" locked="0" layoutInCell="1" allowOverlap="1" wp14:anchorId="4451B0CC" wp14:editId="0FDD78B1">
            <wp:simplePos x="0" y="0"/>
            <wp:positionH relativeFrom="column">
              <wp:posOffset>241300</wp:posOffset>
            </wp:positionH>
            <wp:positionV relativeFrom="page">
              <wp:posOffset>3313786</wp:posOffset>
            </wp:positionV>
            <wp:extent cx="2479675" cy="2044065"/>
            <wp:effectExtent l="0" t="0" r="0" b="0"/>
            <wp:wrapTight wrapText="bothSides">
              <wp:wrapPolygon edited="0">
                <wp:start x="0" y="0"/>
                <wp:lineTo x="0" y="21338"/>
                <wp:lineTo x="21406" y="21338"/>
                <wp:lineTo x="21406" y="0"/>
                <wp:lineTo x="0" y="0"/>
              </wp:wrapPolygon>
            </wp:wrapTight>
            <wp:docPr id="380656772" name="Picture 1" descr="Nocturnal Enuresis - WelcomeC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cturnal Enuresis - WelcomeC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9675" cy="20440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43FAB5" w14:textId="2DF5C813" w:rsidR="00E229E6" w:rsidRPr="00C77C03" w:rsidRDefault="00E229E6">
      <w:pPr>
        <w:rPr>
          <w:b/>
          <w:bCs/>
          <w:sz w:val="36"/>
          <w:szCs w:val="40"/>
        </w:rPr>
      </w:pPr>
      <w:r w:rsidRPr="00C77C03">
        <w:rPr>
          <w:b/>
          <w:bCs/>
          <w:sz w:val="36"/>
          <w:szCs w:val="40"/>
        </w:rPr>
        <w:br w:type="page"/>
      </w:r>
    </w:p>
    <w:sdt>
      <w:sdtPr>
        <w:rPr>
          <w:rFonts w:ascii="Arial" w:hAnsi="Arial" w:cstheme="minorBidi"/>
          <w:color w:val="auto"/>
          <w:kern w:val="2"/>
          <w:sz w:val="22"/>
          <w:szCs w:val="24"/>
          <w:lang w:eastAsia="zh-CN"/>
          <w14:ligatures w14:val="standardContextual"/>
        </w:rPr>
        <w:id w:val="-1650512657"/>
        <w:docPartObj>
          <w:docPartGallery w:val="Table of Contents"/>
          <w:docPartUnique/>
        </w:docPartObj>
      </w:sdtPr>
      <w:sdtEndPr>
        <w:rPr>
          <w:b/>
          <w:bCs/>
        </w:rPr>
      </w:sdtEndPr>
      <w:sdtContent>
        <w:p w14:paraId="47177B83" w14:textId="6BA8A443" w:rsidR="00E229E6" w:rsidRPr="00C77C03" w:rsidRDefault="00E229E6" w:rsidP="00E229E6">
          <w:pPr>
            <w:pStyle w:val="TOCHeading"/>
            <w:jc w:val="center"/>
            <w:rPr>
              <w:rFonts w:ascii="Arial" w:hAnsi="Arial" w:cs="Arial"/>
              <w:b/>
              <w:bCs/>
              <w:color w:val="auto"/>
            </w:rPr>
          </w:pPr>
          <w:r w:rsidRPr="00C77C03">
            <w:rPr>
              <w:rFonts w:ascii="Arial" w:hAnsi="Arial" w:cs="Arial"/>
              <w:b/>
              <w:bCs/>
              <w:color w:val="auto"/>
            </w:rPr>
            <w:t>Table of Contents</w:t>
          </w:r>
        </w:p>
        <w:p w14:paraId="2F26D017" w14:textId="2F808C73" w:rsidR="00D7346F" w:rsidRDefault="00E229E6">
          <w:pPr>
            <w:pStyle w:val="TOC1"/>
            <w:tabs>
              <w:tab w:val="left" w:pos="480"/>
              <w:tab w:val="right" w:leader="dot" w:pos="9350"/>
            </w:tabs>
            <w:rPr>
              <w:rFonts w:asciiTheme="minorHAnsi" w:hAnsiTheme="minorHAnsi"/>
              <w:noProof/>
              <w:sz w:val="24"/>
              <w:lang w:val="en-US"/>
            </w:rPr>
          </w:pPr>
          <w:r w:rsidRPr="00C77C03">
            <w:fldChar w:fldCharType="begin"/>
          </w:r>
          <w:r w:rsidRPr="00C77C03">
            <w:instrText xml:space="preserve"> TOC \o "1-3" \h \z \u </w:instrText>
          </w:r>
          <w:r w:rsidRPr="00C77C03">
            <w:fldChar w:fldCharType="separate"/>
          </w:r>
          <w:hyperlink w:anchor="_Toc211776020" w:history="1">
            <w:r w:rsidR="00D7346F" w:rsidRPr="00F05681">
              <w:rPr>
                <w:rStyle w:val="Hyperlink"/>
                <w:rFonts w:cs="Arial"/>
                <w:b/>
                <w:bCs/>
                <w:noProof/>
              </w:rPr>
              <w:t>1.</w:t>
            </w:r>
            <w:r w:rsidR="00D7346F">
              <w:rPr>
                <w:rFonts w:asciiTheme="minorHAnsi" w:hAnsiTheme="minorHAnsi"/>
                <w:noProof/>
                <w:sz w:val="24"/>
                <w:lang w:val="en-US"/>
              </w:rPr>
              <w:tab/>
            </w:r>
            <w:r w:rsidR="00D7346F" w:rsidRPr="00F05681">
              <w:rPr>
                <w:rStyle w:val="Hyperlink"/>
                <w:rFonts w:cs="Arial"/>
                <w:b/>
                <w:bCs/>
                <w:noProof/>
              </w:rPr>
              <w:t>Introduction</w:t>
            </w:r>
            <w:r w:rsidR="00D7346F">
              <w:rPr>
                <w:noProof/>
                <w:webHidden/>
              </w:rPr>
              <w:tab/>
            </w:r>
            <w:r w:rsidR="00D7346F">
              <w:rPr>
                <w:noProof/>
                <w:webHidden/>
              </w:rPr>
              <w:fldChar w:fldCharType="begin"/>
            </w:r>
            <w:r w:rsidR="00D7346F">
              <w:rPr>
                <w:noProof/>
                <w:webHidden/>
              </w:rPr>
              <w:instrText xml:space="preserve"> PAGEREF _Toc211776020 \h </w:instrText>
            </w:r>
            <w:r w:rsidR="00D7346F">
              <w:rPr>
                <w:noProof/>
                <w:webHidden/>
              </w:rPr>
            </w:r>
            <w:r w:rsidR="00D7346F">
              <w:rPr>
                <w:noProof/>
                <w:webHidden/>
              </w:rPr>
              <w:fldChar w:fldCharType="separate"/>
            </w:r>
            <w:r w:rsidR="00D7346F">
              <w:rPr>
                <w:noProof/>
                <w:webHidden/>
              </w:rPr>
              <w:t>1</w:t>
            </w:r>
            <w:r w:rsidR="00D7346F">
              <w:rPr>
                <w:noProof/>
                <w:webHidden/>
              </w:rPr>
              <w:fldChar w:fldCharType="end"/>
            </w:r>
          </w:hyperlink>
        </w:p>
        <w:p w14:paraId="7F09D05A" w14:textId="12EA528A" w:rsidR="00D7346F" w:rsidRDefault="00106613">
          <w:pPr>
            <w:pStyle w:val="TOC1"/>
            <w:tabs>
              <w:tab w:val="left" w:pos="480"/>
              <w:tab w:val="right" w:leader="dot" w:pos="9350"/>
            </w:tabs>
            <w:rPr>
              <w:rFonts w:asciiTheme="minorHAnsi" w:hAnsiTheme="minorHAnsi"/>
              <w:noProof/>
              <w:sz w:val="24"/>
              <w:lang w:val="en-US"/>
            </w:rPr>
          </w:pPr>
          <w:hyperlink w:anchor="_Toc211776021" w:history="1">
            <w:r w:rsidR="00D7346F" w:rsidRPr="00F05681">
              <w:rPr>
                <w:rStyle w:val="Hyperlink"/>
                <w:rFonts w:cs="Arial"/>
                <w:b/>
                <w:bCs/>
                <w:noProof/>
              </w:rPr>
              <w:t>2.</w:t>
            </w:r>
            <w:r w:rsidR="00D7346F">
              <w:rPr>
                <w:rFonts w:asciiTheme="minorHAnsi" w:hAnsiTheme="minorHAnsi"/>
                <w:noProof/>
                <w:sz w:val="24"/>
                <w:lang w:val="en-US"/>
              </w:rPr>
              <w:tab/>
            </w:r>
            <w:r w:rsidR="00D7346F" w:rsidRPr="00F05681">
              <w:rPr>
                <w:rStyle w:val="Hyperlink"/>
                <w:rFonts w:cs="Arial"/>
                <w:b/>
                <w:bCs/>
                <w:noProof/>
              </w:rPr>
              <w:t>Classification and Diagnostic Features</w:t>
            </w:r>
            <w:r w:rsidR="00D7346F">
              <w:rPr>
                <w:noProof/>
                <w:webHidden/>
              </w:rPr>
              <w:tab/>
            </w:r>
            <w:r w:rsidR="00D7346F">
              <w:rPr>
                <w:noProof/>
                <w:webHidden/>
              </w:rPr>
              <w:fldChar w:fldCharType="begin"/>
            </w:r>
            <w:r w:rsidR="00D7346F">
              <w:rPr>
                <w:noProof/>
                <w:webHidden/>
              </w:rPr>
              <w:instrText xml:space="preserve"> PAGEREF _Toc211776021 \h </w:instrText>
            </w:r>
            <w:r w:rsidR="00D7346F">
              <w:rPr>
                <w:noProof/>
                <w:webHidden/>
              </w:rPr>
            </w:r>
            <w:r w:rsidR="00D7346F">
              <w:rPr>
                <w:noProof/>
                <w:webHidden/>
              </w:rPr>
              <w:fldChar w:fldCharType="separate"/>
            </w:r>
            <w:r w:rsidR="00D7346F">
              <w:rPr>
                <w:noProof/>
                <w:webHidden/>
              </w:rPr>
              <w:t>1</w:t>
            </w:r>
            <w:r w:rsidR="00D7346F">
              <w:rPr>
                <w:noProof/>
                <w:webHidden/>
              </w:rPr>
              <w:fldChar w:fldCharType="end"/>
            </w:r>
          </w:hyperlink>
        </w:p>
        <w:p w14:paraId="368B1045" w14:textId="733FB98C" w:rsidR="00D7346F" w:rsidRDefault="00106613">
          <w:pPr>
            <w:pStyle w:val="TOC1"/>
            <w:tabs>
              <w:tab w:val="left" w:pos="480"/>
              <w:tab w:val="right" w:leader="dot" w:pos="9350"/>
            </w:tabs>
            <w:rPr>
              <w:rFonts w:asciiTheme="minorHAnsi" w:hAnsiTheme="minorHAnsi"/>
              <w:noProof/>
              <w:sz w:val="24"/>
              <w:lang w:val="en-US"/>
            </w:rPr>
          </w:pPr>
          <w:hyperlink w:anchor="_Toc211776022" w:history="1">
            <w:r w:rsidR="00D7346F" w:rsidRPr="00F05681">
              <w:rPr>
                <w:rStyle w:val="Hyperlink"/>
                <w:rFonts w:cs="Arial"/>
                <w:b/>
                <w:bCs/>
                <w:noProof/>
              </w:rPr>
              <w:t>3.</w:t>
            </w:r>
            <w:r w:rsidR="00D7346F">
              <w:rPr>
                <w:rFonts w:asciiTheme="minorHAnsi" w:hAnsiTheme="minorHAnsi"/>
                <w:noProof/>
                <w:sz w:val="24"/>
                <w:lang w:val="en-US"/>
              </w:rPr>
              <w:tab/>
            </w:r>
            <w:r w:rsidR="00D7346F" w:rsidRPr="00F05681">
              <w:rPr>
                <w:rStyle w:val="Hyperlink"/>
                <w:rFonts w:cs="Arial"/>
                <w:b/>
                <w:bCs/>
                <w:noProof/>
              </w:rPr>
              <w:t>Treatment and Rehabilitation Approaches</w:t>
            </w:r>
            <w:r w:rsidR="00D7346F">
              <w:rPr>
                <w:noProof/>
                <w:webHidden/>
              </w:rPr>
              <w:tab/>
            </w:r>
            <w:r w:rsidR="00D7346F">
              <w:rPr>
                <w:noProof/>
                <w:webHidden/>
              </w:rPr>
              <w:fldChar w:fldCharType="begin"/>
            </w:r>
            <w:r w:rsidR="00D7346F">
              <w:rPr>
                <w:noProof/>
                <w:webHidden/>
              </w:rPr>
              <w:instrText xml:space="preserve"> PAGEREF _Toc211776022 \h </w:instrText>
            </w:r>
            <w:r w:rsidR="00D7346F">
              <w:rPr>
                <w:noProof/>
                <w:webHidden/>
              </w:rPr>
            </w:r>
            <w:r w:rsidR="00D7346F">
              <w:rPr>
                <w:noProof/>
                <w:webHidden/>
              </w:rPr>
              <w:fldChar w:fldCharType="separate"/>
            </w:r>
            <w:r w:rsidR="00D7346F">
              <w:rPr>
                <w:noProof/>
                <w:webHidden/>
              </w:rPr>
              <w:t>3</w:t>
            </w:r>
            <w:r w:rsidR="00D7346F">
              <w:rPr>
                <w:noProof/>
                <w:webHidden/>
              </w:rPr>
              <w:fldChar w:fldCharType="end"/>
            </w:r>
          </w:hyperlink>
        </w:p>
        <w:p w14:paraId="0FFBFF69" w14:textId="0CCE9B09" w:rsidR="00D7346F" w:rsidRDefault="00106613">
          <w:pPr>
            <w:pStyle w:val="TOC1"/>
            <w:tabs>
              <w:tab w:val="left" w:pos="480"/>
              <w:tab w:val="right" w:leader="dot" w:pos="9350"/>
            </w:tabs>
            <w:rPr>
              <w:rFonts w:asciiTheme="minorHAnsi" w:hAnsiTheme="minorHAnsi"/>
              <w:noProof/>
              <w:sz w:val="24"/>
              <w:lang w:val="en-US"/>
            </w:rPr>
          </w:pPr>
          <w:hyperlink w:anchor="_Toc211776023" w:history="1">
            <w:r w:rsidR="00D7346F" w:rsidRPr="00F05681">
              <w:rPr>
                <w:rStyle w:val="Hyperlink"/>
                <w:rFonts w:cs="Arial"/>
                <w:b/>
                <w:bCs/>
                <w:noProof/>
              </w:rPr>
              <w:t>4.</w:t>
            </w:r>
            <w:r w:rsidR="00D7346F">
              <w:rPr>
                <w:rFonts w:asciiTheme="minorHAnsi" w:hAnsiTheme="minorHAnsi"/>
                <w:noProof/>
                <w:sz w:val="24"/>
                <w:lang w:val="en-US"/>
              </w:rPr>
              <w:tab/>
            </w:r>
            <w:r w:rsidR="00D7346F" w:rsidRPr="00F05681">
              <w:rPr>
                <w:rStyle w:val="Hyperlink"/>
                <w:rFonts w:cs="Arial"/>
                <w:b/>
                <w:bCs/>
                <w:noProof/>
              </w:rPr>
              <w:t>Current Debates and Emerging Issues</w:t>
            </w:r>
            <w:r w:rsidR="00D7346F">
              <w:rPr>
                <w:noProof/>
                <w:webHidden/>
              </w:rPr>
              <w:tab/>
            </w:r>
            <w:r w:rsidR="00D7346F">
              <w:rPr>
                <w:noProof/>
                <w:webHidden/>
              </w:rPr>
              <w:fldChar w:fldCharType="begin"/>
            </w:r>
            <w:r w:rsidR="00D7346F">
              <w:rPr>
                <w:noProof/>
                <w:webHidden/>
              </w:rPr>
              <w:instrText xml:space="preserve"> PAGEREF _Toc211776023 \h </w:instrText>
            </w:r>
            <w:r w:rsidR="00D7346F">
              <w:rPr>
                <w:noProof/>
                <w:webHidden/>
              </w:rPr>
            </w:r>
            <w:r w:rsidR="00D7346F">
              <w:rPr>
                <w:noProof/>
                <w:webHidden/>
              </w:rPr>
              <w:fldChar w:fldCharType="separate"/>
            </w:r>
            <w:r w:rsidR="00D7346F">
              <w:rPr>
                <w:noProof/>
                <w:webHidden/>
              </w:rPr>
              <w:t>4</w:t>
            </w:r>
            <w:r w:rsidR="00D7346F">
              <w:rPr>
                <w:noProof/>
                <w:webHidden/>
              </w:rPr>
              <w:fldChar w:fldCharType="end"/>
            </w:r>
          </w:hyperlink>
        </w:p>
        <w:p w14:paraId="5182188A" w14:textId="404544F9" w:rsidR="00D7346F" w:rsidRDefault="00106613">
          <w:pPr>
            <w:pStyle w:val="TOC1"/>
            <w:tabs>
              <w:tab w:val="left" w:pos="480"/>
              <w:tab w:val="right" w:leader="dot" w:pos="9350"/>
            </w:tabs>
            <w:rPr>
              <w:rFonts w:asciiTheme="minorHAnsi" w:hAnsiTheme="minorHAnsi"/>
              <w:noProof/>
              <w:sz w:val="24"/>
              <w:lang w:val="en-US"/>
            </w:rPr>
          </w:pPr>
          <w:hyperlink w:anchor="_Toc211776024" w:history="1">
            <w:r w:rsidR="00D7346F" w:rsidRPr="00F05681">
              <w:rPr>
                <w:rStyle w:val="Hyperlink"/>
                <w:rFonts w:cs="Arial"/>
                <w:b/>
                <w:bCs/>
                <w:noProof/>
              </w:rPr>
              <w:t>5.</w:t>
            </w:r>
            <w:r w:rsidR="00D7346F">
              <w:rPr>
                <w:rFonts w:asciiTheme="minorHAnsi" w:hAnsiTheme="minorHAnsi"/>
                <w:noProof/>
                <w:sz w:val="24"/>
                <w:lang w:val="en-US"/>
              </w:rPr>
              <w:tab/>
            </w:r>
            <w:r w:rsidR="00D7346F" w:rsidRPr="00F05681">
              <w:rPr>
                <w:rStyle w:val="Hyperlink"/>
                <w:rFonts w:cs="Arial"/>
                <w:b/>
                <w:bCs/>
                <w:noProof/>
              </w:rPr>
              <w:t>Recommendations</w:t>
            </w:r>
            <w:r w:rsidR="00D7346F">
              <w:rPr>
                <w:noProof/>
                <w:webHidden/>
              </w:rPr>
              <w:tab/>
            </w:r>
            <w:r w:rsidR="00D7346F">
              <w:rPr>
                <w:noProof/>
                <w:webHidden/>
              </w:rPr>
              <w:fldChar w:fldCharType="begin"/>
            </w:r>
            <w:r w:rsidR="00D7346F">
              <w:rPr>
                <w:noProof/>
                <w:webHidden/>
              </w:rPr>
              <w:instrText xml:space="preserve"> PAGEREF _Toc211776024 \h </w:instrText>
            </w:r>
            <w:r w:rsidR="00D7346F">
              <w:rPr>
                <w:noProof/>
                <w:webHidden/>
              </w:rPr>
            </w:r>
            <w:r w:rsidR="00D7346F">
              <w:rPr>
                <w:noProof/>
                <w:webHidden/>
              </w:rPr>
              <w:fldChar w:fldCharType="separate"/>
            </w:r>
            <w:r w:rsidR="00D7346F">
              <w:rPr>
                <w:noProof/>
                <w:webHidden/>
              </w:rPr>
              <w:t>5</w:t>
            </w:r>
            <w:r w:rsidR="00D7346F">
              <w:rPr>
                <w:noProof/>
                <w:webHidden/>
              </w:rPr>
              <w:fldChar w:fldCharType="end"/>
            </w:r>
          </w:hyperlink>
        </w:p>
        <w:p w14:paraId="06F44538" w14:textId="448B56A0" w:rsidR="00D7346F" w:rsidRDefault="00106613">
          <w:pPr>
            <w:pStyle w:val="TOC1"/>
            <w:tabs>
              <w:tab w:val="left" w:pos="480"/>
              <w:tab w:val="right" w:leader="dot" w:pos="9350"/>
            </w:tabs>
            <w:rPr>
              <w:rFonts w:asciiTheme="minorHAnsi" w:hAnsiTheme="minorHAnsi"/>
              <w:noProof/>
              <w:sz w:val="24"/>
              <w:lang w:val="en-US"/>
            </w:rPr>
          </w:pPr>
          <w:hyperlink w:anchor="_Toc211776025" w:history="1">
            <w:r w:rsidR="00D7346F" w:rsidRPr="00F05681">
              <w:rPr>
                <w:rStyle w:val="Hyperlink"/>
                <w:rFonts w:cs="Arial"/>
                <w:b/>
                <w:bCs/>
                <w:noProof/>
              </w:rPr>
              <w:t>6.</w:t>
            </w:r>
            <w:r w:rsidR="00D7346F">
              <w:rPr>
                <w:rFonts w:asciiTheme="minorHAnsi" w:hAnsiTheme="minorHAnsi"/>
                <w:noProof/>
                <w:sz w:val="24"/>
                <w:lang w:val="en-US"/>
              </w:rPr>
              <w:tab/>
            </w:r>
            <w:r w:rsidR="00D7346F" w:rsidRPr="00F05681">
              <w:rPr>
                <w:rStyle w:val="Hyperlink"/>
                <w:rFonts w:cs="Arial"/>
                <w:b/>
                <w:bCs/>
                <w:noProof/>
              </w:rPr>
              <w:t>Conclusion</w:t>
            </w:r>
            <w:r w:rsidR="00D7346F">
              <w:rPr>
                <w:noProof/>
                <w:webHidden/>
              </w:rPr>
              <w:tab/>
            </w:r>
            <w:r w:rsidR="00D7346F">
              <w:rPr>
                <w:noProof/>
                <w:webHidden/>
              </w:rPr>
              <w:fldChar w:fldCharType="begin"/>
            </w:r>
            <w:r w:rsidR="00D7346F">
              <w:rPr>
                <w:noProof/>
                <w:webHidden/>
              </w:rPr>
              <w:instrText xml:space="preserve"> PAGEREF _Toc211776025 \h </w:instrText>
            </w:r>
            <w:r w:rsidR="00D7346F">
              <w:rPr>
                <w:noProof/>
                <w:webHidden/>
              </w:rPr>
            </w:r>
            <w:r w:rsidR="00D7346F">
              <w:rPr>
                <w:noProof/>
                <w:webHidden/>
              </w:rPr>
              <w:fldChar w:fldCharType="separate"/>
            </w:r>
            <w:r w:rsidR="00D7346F">
              <w:rPr>
                <w:noProof/>
                <w:webHidden/>
              </w:rPr>
              <w:t>6</w:t>
            </w:r>
            <w:r w:rsidR="00D7346F">
              <w:rPr>
                <w:noProof/>
                <w:webHidden/>
              </w:rPr>
              <w:fldChar w:fldCharType="end"/>
            </w:r>
          </w:hyperlink>
        </w:p>
        <w:p w14:paraId="64103C13" w14:textId="497B3A62" w:rsidR="00D7346F" w:rsidRDefault="00106613">
          <w:pPr>
            <w:pStyle w:val="TOC1"/>
            <w:tabs>
              <w:tab w:val="right" w:leader="dot" w:pos="9350"/>
            </w:tabs>
            <w:rPr>
              <w:rFonts w:asciiTheme="minorHAnsi" w:hAnsiTheme="minorHAnsi"/>
              <w:noProof/>
              <w:sz w:val="24"/>
              <w:lang w:val="en-US"/>
            </w:rPr>
          </w:pPr>
          <w:hyperlink w:anchor="_Toc211776026" w:history="1">
            <w:r w:rsidR="00D7346F" w:rsidRPr="00F05681">
              <w:rPr>
                <w:rStyle w:val="Hyperlink"/>
                <w:rFonts w:cs="Arial"/>
                <w:b/>
                <w:bCs/>
                <w:noProof/>
              </w:rPr>
              <w:t>References</w:t>
            </w:r>
            <w:r w:rsidR="00D7346F">
              <w:rPr>
                <w:noProof/>
                <w:webHidden/>
              </w:rPr>
              <w:tab/>
            </w:r>
            <w:r w:rsidR="00D7346F">
              <w:rPr>
                <w:noProof/>
                <w:webHidden/>
              </w:rPr>
              <w:fldChar w:fldCharType="begin"/>
            </w:r>
            <w:r w:rsidR="00D7346F">
              <w:rPr>
                <w:noProof/>
                <w:webHidden/>
              </w:rPr>
              <w:instrText xml:space="preserve"> PAGEREF _Toc211776026 \h </w:instrText>
            </w:r>
            <w:r w:rsidR="00D7346F">
              <w:rPr>
                <w:noProof/>
                <w:webHidden/>
              </w:rPr>
            </w:r>
            <w:r w:rsidR="00D7346F">
              <w:rPr>
                <w:noProof/>
                <w:webHidden/>
              </w:rPr>
              <w:fldChar w:fldCharType="separate"/>
            </w:r>
            <w:r w:rsidR="00D7346F">
              <w:rPr>
                <w:noProof/>
                <w:webHidden/>
              </w:rPr>
              <w:t>7</w:t>
            </w:r>
            <w:r w:rsidR="00D7346F">
              <w:rPr>
                <w:noProof/>
                <w:webHidden/>
              </w:rPr>
              <w:fldChar w:fldCharType="end"/>
            </w:r>
          </w:hyperlink>
        </w:p>
        <w:p w14:paraId="5DDD90B9" w14:textId="7DE9F9FE" w:rsidR="00D7346F" w:rsidRDefault="00106613">
          <w:pPr>
            <w:pStyle w:val="TOC1"/>
            <w:tabs>
              <w:tab w:val="right" w:leader="dot" w:pos="9350"/>
            </w:tabs>
            <w:rPr>
              <w:rFonts w:asciiTheme="minorHAnsi" w:hAnsiTheme="minorHAnsi"/>
              <w:noProof/>
              <w:sz w:val="24"/>
              <w:lang w:val="en-US"/>
            </w:rPr>
          </w:pPr>
          <w:hyperlink w:anchor="_Toc211776027" w:history="1">
            <w:r w:rsidR="00D7346F" w:rsidRPr="00F05681">
              <w:rPr>
                <w:rStyle w:val="Hyperlink"/>
                <w:rFonts w:cs="Arial"/>
                <w:b/>
                <w:bCs/>
                <w:noProof/>
              </w:rPr>
              <w:t>Appendix</w:t>
            </w:r>
            <w:r w:rsidR="00D7346F">
              <w:rPr>
                <w:noProof/>
                <w:webHidden/>
              </w:rPr>
              <w:tab/>
            </w:r>
            <w:r w:rsidR="00D7346F">
              <w:rPr>
                <w:noProof/>
                <w:webHidden/>
              </w:rPr>
              <w:fldChar w:fldCharType="begin"/>
            </w:r>
            <w:r w:rsidR="00D7346F">
              <w:rPr>
                <w:noProof/>
                <w:webHidden/>
              </w:rPr>
              <w:instrText xml:space="preserve"> PAGEREF _Toc211776027 \h </w:instrText>
            </w:r>
            <w:r w:rsidR="00D7346F">
              <w:rPr>
                <w:noProof/>
                <w:webHidden/>
              </w:rPr>
            </w:r>
            <w:r w:rsidR="00D7346F">
              <w:rPr>
                <w:noProof/>
                <w:webHidden/>
              </w:rPr>
              <w:fldChar w:fldCharType="separate"/>
            </w:r>
            <w:r w:rsidR="00D7346F">
              <w:rPr>
                <w:noProof/>
                <w:webHidden/>
              </w:rPr>
              <w:t>10</w:t>
            </w:r>
            <w:r w:rsidR="00D7346F">
              <w:rPr>
                <w:noProof/>
                <w:webHidden/>
              </w:rPr>
              <w:fldChar w:fldCharType="end"/>
            </w:r>
          </w:hyperlink>
        </w:p>
        <w:p w14:paraId="6AEA378A" w14:textId="1805F1A9" w:rsidR="00E229E6" w:rsidRPr="00C77C03" w:rsidRDefault="00E229E6">
          <w:r w:rsidRPr="00C77C03">
            <w:rPr>
              <w:b/>
              <w:bCs/>
            </w:rPr>
            <w:fldChar w:fldCharType="end"/>
          </w:r>
        </w:p>
      </w:sdtContent>
    </w:sdt>
    <w:p w14:paraId="49093DF8" w14:textId="77777777" w:rsidR="00E229E6" w:rsidRPr="00C77C03" w:rsidRDefault="00E229E6" w:rsidP="00AC0ADA">
      <w:pPr>
        <w:spacing w:line="360" w:lineRule="auto"/>
        <w:jc w:val="center"/>
        <w:rPr>
          <w:b/>
          <w:bCs/>
          <w:sz w:val="36"/>
          <w:szCs w:val="40"/>
        </w:rPr>
      </w:pPr>
    </w:p>
    <w:p w14:paraId="48277CFD" w14:textId="77777777" w:rsidR="00AC0ADA" w:rsidRPr="00C77C03" w:rsidRDefault="00AC0ADA">
      <w:r w:rsidRPr="00C77C03">
        <w:br w:type="page"/>
      </w:r>
    </w:p>
    <w:p w14:paraId="1131B69F" w14:textId="77777777" w:rsidR="00E229E6" w:rsidRPr="00C77C03" w:rsidRDefault="00E229E6" w:rsidP="00E229E6">
      <w:pPr>
        <w:pStyle w:val="Heading1"/>
        <w:numPr>
          <w:ilvl w:val="0"/>
          <w:numId w:val="1"/>
        </w:numPr>
        <w:spacing w:line="360" w:lineRule="auto"/>
        <w:jc w:val="both"/>
        <w:rPr>
          <w:rFonts w:ascii="Arial" w:hAnsi="Arial" w:cs="Arial"/>
          <w:b/>
          <w:bCs/>
          <w:color w:val="auto"/>
          <w:sz w:val="32"/>
          <w:szCs w:val="32"/>
        </w:rPr>
        <w:sectPr w:rsidR="00E229E6" w:rsidRPr="00C77C03">
          <w:pgSz w:w="12240" w:h="15840"/>
          <w:pgMar w:top="1440" w:right="1440" w:bottom="1440" w:left="1440" w:header="720" w:footer="720" w:gutter="0"/>
          <w:cols w:space="720"/>
          <w:docGrid w:linePitch="360"/>
        </w:sectPr>
      </w:pPr>
    </w:p>
    <w:p w14:paraId="509A5071" w14:textId="77777777" w:rsidR="00E229E6" w:rsidRPr="00C77C03" w:rsidRDefault="00E229E6" w:rsidP="00E229E6">
      <w:pPr>
        <w:pStyle w:val="Heading1"/>
        <w:numPr>
          <w:ilvl w:val="0"/>
          <w:numId w:val="1"/>
        </w:numPr>
        <w:spacing w:line="360" w:lineRule="auto"/>
        <w:jc w:val="both"/>
        <w:rPr>
          <w:rFonts w:ascii="Arial" w:hAnsi="Arial" w:cs="Arial"/>
          <w:b/>
          <w:bCs/>
          <w:color w:val="auto"/>
          <w:sz w:val="32"/>
          <w:szCs w:val="32"/>
        </w:rPr>
      </w:pPr>
      <w:bookmarkStart w:id="0" w:name="_Toc211776020"/>
      <w:r w:rsidRPr="00C77C03">
        <w:rPr>
          <w:rFonts w:ascii="Arial" w:hAnsi="Arial" w:cs="Arial"/>
          <w:b/>
          <w:bCs/>
          <w:color w:val="auto"/>
          <w:sz w:val="32"/>
          <w:szCs w:val="32"/>
        </w:rPr>
        <w:lastRenderedPageBreak/>
        <w:t>Introduction</w:t>
      </w:r>
      <w:bookmarkEnd w:id="0"/>
    </w:p>
    <w:p w14:paraId="0D996E7D" w14:textId="52999D58" w:rsidR="001762D1" w:rsidRPr="00C77C03" w:rsidRDefault="00007DD1" w:rsidP="00E229E6">
      <w:pPr>
        <w:spacing w:line="360" w:lineRule="auto"/>
        <w:jc w:val="both"/>
      </w:pPr>
      <w:r w:rsidRPr="00007DD1">
        <w:t>Enuresis, under the Elimination Disorders group of ICD-11 Chapter 6: Mental, Behavioural or Neurodevelopmental Disorders category, is involuntary or intentional urine withholding after the age of expected continence</w:t>
      </w:r>
      <w:r w:rsidR="009E4BFC">
        <w:t xml:space="preserve"> (WHO, 2025)</w:t>
      </w:r>
      <w:r w:rsidRPr="00007DD1">
        <w:t>. Elimination Disorders are of two major categories</w:t>
      </w:r>
      <w:r w:rsidR="00854A13">
        <w:t>, which are 6C00 Enuresis</w:t>
      </w:r>
      <w:r w:rsidRPr="00007DD1">
        <w:t xml:space="preserve"> and 6C01 Encopresis</w:t>
      </w:r>
      <w:r w:rsidR="0007319F">
        <w:t xml:space="preserve"> (WHO, 2025a)</w:t>
      </w:r>
      <w:r w:rsidRPr="00007DD1">
        <w:t xml:space="preserve">. Enuresis is a multi-factorial problem </w:t>
      </w:r>
      <w:r w:rsidR="00854A13">
        <w:t>involving behaviour, development, and psychosocial factors</w:t>
      </w:r>
      <w:r w:rsidRPr="00007DD1">
        <w:t>, and not a physiological problem</w:t>
      </w:r>
      <w:r w:rsidR="0007319F">
        <w:t xml:space="preserve"> (WHO, 2025)</w:t>
      </w:r>
      <w:r w:rsidRPr="00007DD1">
        <w:t>. It is the most prevalent childhood disorder in the UK</w:t>
      </w:r>
      <w:r w:rsidR="00854A13">
        <w:t>. It affects</w:t>
      </w:r>
      <w:r w:rsidRPr="00007DD1">
        <w:t xml:space="preserve"> about 10% of children between the ages of 5</w:t>
      </w:r>
      <w:r w:rsidR="00854A13">
        <w:t xml:space="preserve"> and </w:t>
      </w:r>
      <w:r w:rsidRPr="00007DD1">
        <w:t xml:space="preserve">7 and has clinical implications and </w:t>
      </w:r>
      <w:r w:rsidR="00854A13">
        <w:t>essential</w:t>
      </w:r>
      <w:r w:rsidRPr="00007DD1">
        <w:t xml:space="preserve"> emotional and social effects</w:t>
      </w:r>
      <w:r w:rsidR="00854A13">
        <w:t>, including shame, victimisation</w:t>
      </w:r>
      <w:r w:rsidRPr="00007DD1">
        <w:t xml:space="preserve">, and family </w:t>
      </w:r>
      <w:r w:rsidRPr="00A171F2">
        <w:t>trauma</w:t>
      </w:r>
      <w:r w:rsidR="001D1059" w:rsidRPr="00A171F2">
        <w:t xml:space="preserve"> (Adisu et al., 2025)</w:t>
      </w:r>
      <w:r w:rsidRPr="00A171F2">
        <w:t>. It can also affect academic achievement and mental health</w:t>
      </w:r>
      <w:r w:rsidR="00AC4092">
        <w:t xml:space="preserve"> (</w:t>
      </w:r>
      <w:r w:rsidR="00AC4092" w:rsidRPr="00E25F6B">
        <w:rPr>
          <w:rFonts w:cs="Arial"/>
          <w:szCs w:val="22"/>
        </w:rPr>
        <w:t>Warne</w:t>
      </w:r>
      <w:r w:rsidR="00AC4092">
        <w:rPr>
          <w:rFonts w:cs="Arial"/>
          <w:szCs w:val="22"/>
        </w:rPr>
        <w:t xml:space="preserve"> et al., 2024)</w:t>
      </w:r>
      <w:r w:rsidRPr="00A171F2">
        <w:t>.</w:t>
      </w:r>
      <w:r w:rsidRPr="00007DD1">
        <w:t xml:space="preserve"> In the present report, Enuresis has been critically </w:t>
      </w:r>
      <w:r w:rsidR="00854A13">
        <w:t>analysed from four perspectives: classification and diagnostic criteria, treatment and rehabilitation measures, and the debates that have arisen</w:t>
      </w:r>
      <w:r w:rsidRPr="00007DD1">
        <w:t xml:space="preserve"> in the current literature. It ends by providing evidence-based suggestions about how classification, clinical practice and child mental health policy can be improved in the UK context</w:t>
      </w:r>
      <w:r w:rsidR="001762D1" w:rsidRPr="001762D1">
        <w:t>.</w:t>
      </w:r>
    </w:p>
    <w:p w14:paraId="3CEC42B6" w14:textId="1BC20209" w:rsidR="00E229E6" w:rsidRPr="00C77C03" w:rsidRDefault="001762D1" w:rsidP="00E229E6">
      <w:pPr>
        <w:pStyle w:val="Heading1"/>
        <w:numPr>
          <w:ilvl w:val="0"/>
          <w:numId w:val="1"/>
        </w:numPr>
        <w:spacing w:line="360" w:lineRule="auto"/>
        <w:jc w:val="both"/>
        <w:rPr>
          <w:rFonts w:ascii="Arial" w:hAnsi="Arial" w:cs="Arial"/>
          <w:b/>
          <w:bCs/>
          <w:color w:val="auto"/>
          <w:sz w:val="32"/>
          <w:szCs w:val="32"/>
        </w:rPr>
      </w:pPr>
      <w:bookmarkStart w:id="1" w:name="_Toc211776021"/>
      <w:r w:rsidRPr="001762D1">
        <w:rPr>
          <w:rFonts w:ascii="Arial" w:hAnsi="Arial" w:cs="Arial"/>
          <w:b/>
          <w:bCs/>
          <w:color w:val="auto"/>
          <w:sz w:val="32"/>
          <w:szCs w:val="32"/>
        </w:rPr>
        <w:t>Classification and Diagnostic Features</w:t>
      </w:r>
      <w:bookmarkEnd w:id="1"/>
    </w:p>
    <w:p w14:paraId="76C6968E" w14:textId="6BEC84B6" w:rsidR="003D27F1" w:rsidRDefault="00FF5559" w:rsidP="003D27F1">
      <w:pPr>
        <w:spacing w:line="360" w:lineRule="auto"/>
        <w:jc w:val="both"/>
      </w:pPr>
      <w:r w:rsidRPr="00FF5559">
        <w:t>In ICD-11, Enuresis (6C00) is classified as a mental, behavioural, or neurodevelopmental disorder, and it is classified with Encopresis as an Elimination Disorder</w:t>
      </w:r>
      <w:r w:rsidR="001A1133">
        <w:t xml:space="preserve"> (WHO, 2025)</w:t>
      </w:r>
      <w:r w:rsidRPr="00FF5559">
        <w:t xml:space="preserve">. This division represents the understanding that in </w:t>
      </w:r>
      <w:r w:rsidR="00854A13">
        <w:t>cases of persistent urinary incontinence after the anticipated age of development, psychological and neurodevelopmental aspects of the condition usually prevail</w:t>
      </w:r>
      <w:r w:rsidRPr="00FF5559">
        <w:t xml:space="preserve">, rather than just physiological malfunction. </w:t>
      </w:r>
      <w:r w:rsidR="003D27F1">
        <w:t>The term disorder in the ICD-11 puts Enuresis in behavioural pathology as opposed to being entirely in the domain of medical abnormality, which fosters multidisciplinary treatment modalities</w:t>
      </w:r>
      <w:r w:rsidR="00D90298">
        <w:t xml:space="preserve"> (WHO, 2025)</w:t>
      </w:r>
      <w:r w:rsidR="003D27F1">
        <w:t xml:space="preserve">. </w:t>
      </w:r>
      <w:r w:rsidR="00CF66F1" w:rsidRPr="00E25F6B">
        <w:rPr>
          <w:rFonts w:cs="Arial"/>
          <w:szCs w:val="22"/>
        </w:rPr>
        <w:t>Smit</w:t>
      </w:r>
      <w:r w:rsidR="00CF66F1">
        <w:rPr>
          <w:rFonts w:cs="Arial"/>
          <w:szCs w:val="22"/>
        </w:rPr>
        <w:t xml:space="preserve"> </w:t>
      </w:r>
      <w:r w:rsidR="00CF66F1" w:rsidRPr="00E25F6B">
        <w:rPr>
          <w:rFonts w:cs="Arial"/>
          <w:szCs w:val="22"/>
        </w:rPr>
        <w:t xml:space="preserve">and Bakker </w:t>
      </w:r>
      <w:r w:rsidR="00CF66F1">
        <w:rPr>
          <w:rFonts w:cs="Arial"/>
          <w:szCs w:val="22"/>
        </w:rPr>
        <w:t>(</w:t>
      </w:r>
      <w:r w:rsidR="00CF66F1" w:rsidRPr="00E25F6B">
        <w:rPr>
          <w:rFonts w:cs="Arial"/>
          <w:szCs w:val="22"/>
        </w:rPr>
        <w:t>202</w:t>
      </w:r>
      <w:r w:rsidR="003D27F1">
        <w:t xml:space="preserve">1) </w:t>
      </w:r>
      <w:r w:rsidR="00DC2E30">
        <w:t>criticises this language, though,</w:t>
      </w:r>
      <w:r w:rsidR="003D27F1">
        <w:t xml:space="preserve"> </w:t>
      </w:r>
      <w:r w:rsidR="00DC2E30">
        <w:t>because</w:t>
      </w:r>
      <w:r w:rsidR="003D27F1">
        <w:t xml:space="preserve"> it tends to be </w:t>
      </w:r>
      <w:proofErr w:type="spellStart"/>
      <w:r w:rsidR="003D27F1">
        <w:t>pathologising</w:t>
      </w:r>
      <w:proofErr w:type="spellEnd"/>
      <w:r w:rsidR="003D27F1">
        <w:t xml:space="preserve"> and developmental differences can fall within the normal ranges.</w:t>
      </w:r>
    </w:p>
    <w:p w14:paraId="3B8AB2AF" w14:textId="24D31ED2" w:rsidR="003D27F1" w:rsidRDefault="006E4950" w:rsidP="003D27F1">
      <w:pPr>
        <w:spacing w:line="360" w:lineRule="auto"/>
        <w:jc w:val="both"/>
      </w:pPr>
      <w:r>
        <w:t>T</w:t>
      </w:r>
      <w:r w:rsidR="003D27F1">
        <w:t xml:space="preserve">he DSM-5 refers to Enuresis as </w:t>
      </w:r>
      <w:r w:rsidR="00DC2E30">
        <w:t>an Elimination disorder without categorising</w:t>
      </w:r>
      <w:r w:rsidR="003D27F1">
        <w:t xml:space="preserve"> it as a neurodevelopmental disorder</w:t>
      </w:r>
      <w:r w:rsidR="001A039F">
        <w:t xml:space="preserve"> (</w:t>
      </w:r>
      <w:r w:rsidR="001A039F" w:rsidRPr="00E25F6B">
        <w:rPr>
          <w:rFonts w:cs="Arial"/>
          <w:szCs w:val="22"/>
        </w:rPr>
        <w:t>Thomas</w:t>
      </w:r>
      <w:r w:rsidR="001A039F">
        <w:rPr>
          <w:rFonts w:cs="Arial"/>
          <w:szCs w:val="22"/>
        </w:rPr>
        <w:t xml:space="preserve"> </w:t>
      </w:r>
      <w:r w:rsidR="001A039F" w:rsidRPr="00E25F6B">
        <w:rPr>
          <w:rFonts w:cs="Arial"/>
          <w:szCs w:val="22"/>
        </w:rPr>
        <w:t>and Quittner, 2023</w:t>
      </w:r>
      <w:r w:rsidR="001A039F">
        <w:rPr>
          <w:rFonts w:cs="Arial"/>
          <w:szCs w:val="22"/>
        </w:rPr>
        <w:t>)</w:t>
      </w:r>
      <w:r w:rsidR="003D27F1">
        <w:t>. ICD-11 also distinguishes among nocturnal, diurnal and combined types and consists of a culturally open framework, which explains why different societies hold varying expectations of toilet training and developmental maturity</w:t>
      </w:r>
      <w:r w:rsidR="00C11E81">
        <w:t xml:space="preserve"> </w:t>
      </w:r>
      <w:r w:rsidR="00C11E81" w:rsidRPr="00E25F6B">
        <w:rPr>
          <w:rFonts w:cs="Arial"/>
          <w:szCs w:val="22"/>
          <w:lang w:val="en-US"/>
        </w:rPr>
        <w:t>‌</w:t>
      </w:r>
      <w:r w:rsidR="00C11E81">
        <w:rPr>
          <w:rFonts w:cs="Arial"/>
          <w:szCs w:val="22"/>
          <w:lang w:val="en-US"/>
        </w:rPr>
        <w:t>(</w:t>
      </w:r>
      <w:r w:rsidR="00C11E81" w:rsidRPr="00E25F6B">
        <w:rPr>
          <w:rFonts w:cs="Arial"/>
          <w:szCs w:val="22"/>
        </w:rPr>
        <w:t>World Health Organization</w:t>
      </w:r>
      <w:r w:rsidR="00C11E81">
        <w:rPr>
          <w:rFonts w:cs="Arial"/>
          <w:szCs w:val="22"/>
        </w:rPr>
        <w:t xml:space="preserve">, </w:t>
      </w:r>
      <w:r w:rsidR="00C11E81" w:rsidRPr="00E25F6B">
        <w:rPr>
          <w:rFonts w:cs="Arial"/>
          <w:szCs w:val="22"/>
        </w:rPr>
        <w:t>2024)</w:t>
      </w:r>
      <w:r w:rsidR="003D27F1">
        <w:t xml:space="preserve">. This flexibility permits clinicians to use diagnostic cut-offs either in developmental years </w:t>
      </w:r>
      <w:r w:rsidR="00DC2E30">
        <w:t>or</w:t>
      </w:r>
      <w:r w:rsidR="003D27F1">
        <w:t xml:space="preserve"> not necessarily by social years to consider children who have not yet reached a certain maturity level or children with intellectual impairments.</w:t>
      </w:r>
    </w:p>
    <w:p w14:paraId="33D07906" w14:textId="1B6F5A8C" w:rsidR="00FF5559" w:rsidRDefault="003D27F1" w:rsidP="00FF5559">
      <w:pPr>
        <w:spacing w:line="360" w:lineRule="auto"/>
        <w:jc w:val="both"/>
      </w:pPr>
      <w:r>
        <w:lastRenderedPageBreak/>
        <w:t>The conditions of diagnostic need are recurrent and consistent voiding, which is typically more than once per week</w:t>
      </w:r>
      <w:r w:rsidR="00DC2E30">
        <w:t>, for</w:t>
      </w:r>
      <w:r>
        <w:t xml:space="preserve"> months, in a child with developmental age on par with five years or above</w:t>
      </w:r>
      <w:r w:rsidR="00CB48D2">
        <w:t xml:space="preserve"> </w:t>
      </w:r>
      <w:r w:rsidR="00CB48D2" w:rsidRPr="00A171F2">
        <w:t>(Adisu et al., 2025)</w:t>
      </w:r>
      <w:r>
        <w:t xml:space="preserve">. Critically, to ensure a diagnosis, medical causes (infection of the urinary tract, diabetes or neurological disease, etc.) should be excluded. There is a gender variation, where </w:t>
      </w:r>
      <w:r w:rsidR="00DC2E30">
        <w:t xml:space="preserve">the </w:t>
      </w:r>
      <w:r>
        <w:t>majority of nocturnal Enuresis is more common in males and diurnal Enuresis is more common in females, which is an indicator of potential biological and social factors</w:t>
      </w:r>
      <w:r w:rsidR="007A5D52">
        <w:t xml:space="preserve"> (</w:t>
      </w:r>
      <w:r w:rsidR="007A5D52" w:rsidRPr="007875B7">
        <w:rPr>
          <w:rFonts w:cs="Arial"/>
          <w:szCs w:val="22"/>
        </w:rPr>
        <w:t xml:space="preserve">Ata, </w:t>
      </w:r>
      <w:proofErr w:type="spellStart"/>
      <w:r w:rsidR="007A5D52" w:rsidRPr="007875B7">
        <w:rPr>
          <w:rFonts w:cs="Arial"/>
          <w:szCs w:val="22"/>
        </w:rPr>
        <w:t>Yener</w:t>
      </w:r>
      <w:proofErr w:type="spellEnd"/>
      <w:r w:rsidR="007A5D52">
        <w:rPr>
          <w:rFonts w:cs="Arial"/>
          <w:szCs w:val="22"/>
        </w:rPr>
        <w:t xml:space="preserve"> </w:t>
      </w:r>
      <w:r w:rsidR="007A5D52" w:rsidRPr="007875B7">
        <w:rPr>
          <w:rFonts w:cs="Arial"/>
          <w:szCs w:val="22"/>
        </w:rPr>
        <w:t xml:space="preserve">and </w:t>
      </w:r>
      <w:proofErr w:type="spellStart"/>
      <w:r w:rsidR="007A5D52" w:rsidRPr="007875B7">
        <w:rPr>
          <w:rFonts w:cs="Arial"/>
          <w:szCs w:val="22"/>
        </w:rPr>
        <w:t>Hacıhamdioğlu</w:t>
      </w:r>
      <w:proofErr w:type="spellEnd"/>
      <w:r w:rsidR="007A5D52" w:rsidRPr="007875B7">
        <w:rPr>
          <w:rFonts w:cs="Arial"/>
          <w:szCs w:val="22"/>
        </w:rPr>
        <w:t>, 2025</w:t>
      </w:r>
      <w:r w:rsidR="007A5D52">
        <w:rPr>
          <w:rFonts w:cs="Arial"/>
          <w:szCs w:val="22"/>
        </w:rPr>
        <w:t>)</w:t>
      </w:r>
      <w:r w:rsidR="007A5D52" w:rsidRPr="007875B7">
        <w:rPr>
          <w:rFonts w:cs="Arial"/>
          <w:szCs w:val="22"/>
        </w:rPr>
        <w:t xml:space="preserve">. </w:t>
      </w:r>
      <w:r>
        <w:t xml:space="preserve">Cultural studies, including </w:t>
      </w:r>
      <w:proofErr w:type="spellStart"/>
      <w:r w:rsidR="00DE42CA" w:rsidRPr="007875B7">
        <w:rPr>
          <w:rFonts w:cs="Arial"/>
          <w:szCs w:val="22"/>
        </w:rPr>
        <w:t>Motaharifard</w:t>
      </w:r>
      <w:proofErr w:type="spellEnd"/>
      <w:r w:rsidR="00DE42CA">
        <w:rPr>
          <w:rFonts w:cs="Arial"/>
          <w:szCs w:val="22"/>
        </w:rPr>
        <w:t xml:space="preserve"> </w:t>
      </w:r>
      <w:r w:rsidR="00DE42CA" w:rsidRPr="007875B7">
        <w:rPr>
          <w:rFonts w:cs="Arial"/>
          <w:szCs w:val="22"/>
        </w:rPr>
        <w:t xml:space="preserve">and </w:t>
      </w:r>
      <w:proofErr w:type="spellStart"/>
      <w:r w:rsidR="00DE42CA" w:rsidRPr="007875B7">
        <w:rPr>
          <w:rFonts w:cs="Arial"/>
          <w:szCs w:val="22"/>
        </w:rPr>
        <w:t>Mohkam</w:t>
      </w:r>
      <w:proofErr w:type="spellEnd"/>
      <w:r w:rsidR="00DE42CA">
        <w:rPr>
          <w:rFonts w:cs="Arial"/>
          <w:szCs w:val="22"/>
        </w:rPr>
        <w:t xml:space="preserve"> (</w:t>
      </w:r>
      <w:r w:rsidR="00DE42CA" w:rsidRPr="007875B7">
        <w:rPr>
          <w:rFonts w:cs="Arial"/>
          <w:szCs w:val="22"/>
        </w:rPr>
        <w:t>2022</w:t>
      </w:r>
      <w:r w:rsidR="00DE42CA">
        <w:rPr>
          <w:rFonts w:cs="Arial"/>
          <w:szCs w:val="22"/>
        </w:rPr>
        <w:t xml:space="preserve">) </w:t>
      </w:r>
      <w:r>
        <w:t xml:space="preserve">point to attitudes towards incontinence and the social acceptance of incontinence as two obvious determinants of age when a person perceives incontinence as a problem. </w:t>
      </w:r>
      <w:r w:rsidR="00FF5559" w:rsidRPr="00FF5559">
        <w:t>There are clinical difficulties in the differentiation of Enuresis and medical incontinence, trauma-induced urinary discharge, or symptoms of stress</w:t>
      </w:r>
      <w:r w:rsidR="00E51CE6">
        <w:t xml:space="preserve"> (</w:t>
      </w:r>
      <w:r w:rsidR="00E51CE6" w:rsidRPr="007875B7">
        <w:rPr>
          <w:rFonts w:cs="Arial"/>
          <w:szCs w:val="22"/>
        </w:rPr>
        <w:t>Castillo</w:t>
      </w:r>
      <w:r w:rsidR="00E51CE6">
        <w:rPr>
          <w:rFonts w:cs="Arial"/>
          <w:szCs w:val="22"/>
        </w:rPr>
        <w:t xml:space="preserve"> </w:t>
      </w:r>
      <w:r w:rsidR="00E51CE6" w:rsidRPr="007875B7">
        <w:rPr>
          <w:rFonts w:cs="Arial"/>
          <w:szCs w:val="22"/>
        </w:rPr>
        <w:t>and Pham, 2024</w:t>
      </w:r>
      <w:r w:rsidR="00E51CE6">
        <w:rPr>
          <w:rFonts w:cs="Arial"/>
          <w:szCs w:val="22"/>
        </w:rPr>
        <w:t>)</w:t>
      </w:r>
      <w:r w:rsidR="00E51CE6" w:rsidRPr="007875B7">
        <w:rPr>
          <w:rFonts w:cs="Arial"/>
          <w:szCs w:val="22"/>
        </w:rPr>
        <w:t>.</w:t>
      </w:r>
      <w:r w:rsidR="00FF5559" w:rsidRPr="00FF5559">
        <w:t xml:space="preserve"> The coincidence with anxiety disorders or delayed development usually makes proper classification difficult</w:t>
      </w:r>
      <w:r w:rsidR="00854A13">
        <w:t>,</w:t>
      </w:r>
      <w:r w:rsidR="00FF5559" w:rsidRPr="00FF5559">
        <w:t xml:space="preserve"> which can lead to </w:t>
      </w:r>
      <w:r w:rsidR="00854A13">
        <w:t>overdiagnosis or under</w:t>
      </w:r>
      <w:r w:rsidR="009A55AA">
        <w:t xml:space="preserve"> </w:t>
      </w:r>
      <w:r w:rsidR="00854A13">
        <w:t>recognition</w:t>
      </w:r>
      <w:r w:rsidR="00FF5559" w:rsidRPr="00FF5559">
        <w:t>.</w:t>
      </w:r>
    </w:p>
    <w:p w14:paraId="3F42F587" w14:textId="5724D5EA" w:rsidR="00FB6B4D" w:rsidRPr="00FB6B4D" w:rsidRDefault="00FF5559" w:rsidP="00FF5559">
      <w:pPr>
        <w:spacing w:line="360" w:lineRule="auto"/>
        <w:jc w:val="both"/>
        <w:rPr>
          <w:lang w:val="en-US"/>
        </w:rPr>
      </w:pPr>
      <w:r w:rsidRPr="00FF5559">
        <w:t xml:space="preserve">In general, the flexible developmental framing of ICD-11 has the potential to </w:t>
      </w:r>
      <w:r w:rsidR="00854A13">
        <w:t>reduce</w:t>
      </w:r>
      <w:r w:rsidRPr="00FF5559">
        <w:t xml:space="preserve"> stigma and foster inclusive diagnosis</w:t>
      </w:r>
      <w:r w:rsidR="00854A13">
        <w:t>. Still, it</w:t>
      </w:r>
      <w:r w:rsidRPr="00FF5559">
        <w:t xml:space="preserve"> can also lead to a loss of diagnostic clarity and homogeneity in different clinical environments, especially when developmental and cultural norms are not aligned</w:t>
      </w:r>
      <w:r w:rsidR="00DA4A7F">
        <w:t xml:space="preserve"> (</w:t>
      </w:r>
      <w:r w:rsidR="00DA4A7F" w:rsidRPr="007875B7">
        <w:rPr>
          <w:rFonts w:cs="Arial"/>
          <w:szCs w:val="22"/>
        </w:rPr>
        <w:t>Wright, 2022)</w:t>
      </w:r>
      <w:r w:rsidR="00FB6B4D" w:rsidRPr="00FB6B4D">
        <w:rPr>
          <w:lang w:val="en-US"/>
        </w:rPr>
        <w:t>.</w:t>
      </w:r>
    </w:p>
    <w:p w14:paraId="469D788C" w14:textId="7B312390" w:rsidR="00FB6B4D" w:rsidRPr="00FB6B4D" w:rsidRDefault="00FB6B4D" w:rsidP="00FB6B4D">
      <w:pPr>
        <w:pStyle w:val="Caption"/>
        <w:keepNext/>
        <w:jc w:val="center"/>
        <w:rPr>
          <w:b/>
          <w:bCs/>
          <w:i w:val="0"/>
          <w:iCs w:val="0"/>
          <w:color w:val="auto"/>
        </w:rPr>
      </w:pPr>
      <w:r w:rsidRPr="00FB6B4D">
        <w:rPr>
          <w:b/>
          <w:bCs/>
          <w:i w:val="0"/>
          <w:iCs w:val="0"/>
          <w:color w:val="auto"/>
        </w:rPr>
        <w:t xml:space="preserve">Table </w:t>
      </w:r>
      <w:r w:rsidRPr="00FB6B4D">
        <w:rPr>
          <w:b/>
          <w:bCs/>
          <w:i w:val="0"/>
          <w:iCs w:val="0"/>
          <w:color w:val="auto"/>
        </w:rPr>
        <w:fldChar w:fldCharType="begin"/>
      </w:r>
      <w:r w:rsidRPr="00FB6B4D">
        <w:rPr>
          <w:b/>
          <w:bCs/>
          <w:i w:val="0"/>
          <w:iCs w:val="0"/>
          <w:color w:val="auto"/>
        </w:rPr>
        <w:instrText xml:space="preserve"> SEQ Table \* ARABIC </w:instrText>
      </w:r>
      <w:r w:rsidRPr="00FB6B4D">
        <w:rPr>
          <w:b/>
          <w:bCs/>
          <w:i w:val="0"/>
          <w:iCs w:val="0"/>
          <w:color w:val="auto"/>
        </w:rPr>
        <w:fldChar w:fldCharType="separate"/>
      </w:r>
      <w:r w:rsidR="00A50B09">
        <w:rPr>
          <w:b/>
          <w:bCs/>
          <w:i w:val="0"/>
          <w:iCs w:val="0"/>
          <w:noProof/>
          <w:color w:val="auto"/>
        </w:rPr>
        <w:t>1</w:t>
      </w:r>
      <w:r w:rsidRPr="00FB6B4D">
        <w:rPr>
          <w:b/>
          <w:bCs/>
          <w:i w:val="0"/>
          <w:iCs w:val="0"/>
          <w:color w:val="auto"/>
        </w:rPr>
        <w:fldChar w:fldCharType="end"/>
      </w:r>
      <w:r w:rsidRPr="00FB6B4D">
        <w:rPr>
          <w:b/>
          <w:bCs/>
          <w:i w:val="0"/>
          <w:iCs w:val="0"/>
          <w:color w:val="auto"/>
        </w:rPr>
        <w:t xml:space="preserve">: </w:t>
      </w:r>
      <w:r w:rsidRPr="00FB6B4D">
        <w:rPr>
          <w:b/>
          <w:bCs/>
          <w:i w:val="0"/>
          <w:iCs w:val="0"/>
          <w:color w:val="auto"/>
          <w:lang w:val="en-US"/>
        </w:rPr>
        <w:t>Comparison of Enuresis Classification and Diagnostic Criteria</w:t>
      </w:r>
    </w:p>
    <w:tbl>
      <w:tblPr>
        <w:tblStyle w:val="TableGrid"/>
        <w:tblW w:w="0" w:type="auto"/>
        <w:jc w:val="center"/>
        <w:shd w:val="clear" w:color="auto" w:fill="DEEAF6" w:themeFill="accent5" w:themeFillTint="33"/>
        <w:tblLook w:val="04A0" w:firstRow="1" w:lastRow="0" w:firstColumn="1" w:lastColumn="0" w:noHBand="0" w:noVBand="1"/>
      </w:tblPr>
      <w:tblGrid>
        <w:gridCol w:w="1907"/>
        <w:gridCol w:w="2481"/>
        <w:gridCol w:w="2481"/>
        <w:gridCol w:w="2481"/>
      </w:tblGrid>
      <w:tr w:rsidR="00FB6B4D" w:rsidRPr="00FB6B4D" w14:paraId="7A8125EC" w14:textId="77777777" w:rsidTr="00FB6B4D">
        <w:trPr>
          <w:jc w:val="center"/>
        </w:trPr>
        <w:tc>
          <w:tcPr>
            <w:tcW w:w="0" w:type="auto"/>
            <w:shd w:val="clear" w:color="auto" w:fill="DEEAF6" w:themeFill="accent5" w:themeFillTint="33"/>
            <w:vAlign w:val="center"/>
            <w:hideMark/>
          </w:tcPr>
          <w:p w14:paraId="06D20CE5" w14:textId="77777777" w:rsidR="00FB6B4D" w:rsidRPr="00FB6B4D" w:rsidRDefault="00FB6B4D" w:rsidP="00FB6B4D">
            <w:pPr>
              <w:spacing w:after="160" w:line="360" w:lineRule="auto"/>
              <w:jc w:val="center"/>
              <w:rPr>
                <w:b/>
                <w:bCs/>
                <w:sz w:val="20"/>
                <w:szCs w:val="22"/>
                <w:lang w:val="en-US"/>
              </w:rPr>
            </w:pPr>
            <w:r w:rsidRPr="00FB6B4D">
              <w:rPr>
                <w:b/>
                <w:bCs/>
                <w:sz w:val="20"/>
                <w:szCs w:val="22"/>
                <w:lang w:val="en-US"/>
              </w:rPr>
              <w:t>Aspect</w:t>
            </w:r>
          </w:p>
        </w:tc>
        <w:tc>
          <w:tcPr>
            <w:tcW w:w="2481" w:type="dxa"/>
            <w:shd w:val="clear" w:color="auto" w:fill="DEEAF6" w:themeFill="accent5" w:themeFillTint="33"/>
            <w:vAlign w:val="center"/>
            <w:hideMark/>
          </w:tcPr>
          <w:p w14:paraId="4345604B" w14:textId="36561FB9" w:rsidR="00FB6B4D" w:rsidRPr="00FB6B4D" w:rsidRDefault="00FB6B4D" w:rsidP="00FB6B4D">
            <w:pPr>
              <w:spacing w:after="160" w:line="360" w:lineRule="auto"/>
              <w:jc w:val="center"/>
              <w:rPr>
                <w:b/>
                <w:bCs/>
                <w:sz w:val="20"/>
                <w:szCs w:val="22"/>
                <w:lang w:val="en-US"/>
              </w:rPr>
            </w:pPr>
            <w:r w:rsidRPr="00FB6B4D">
              <w:rPr>
                <w:b/>
                <w:bCs/>
                <w:sz w:val="20"/>
                <w:szCs w:val="22"/>
                <w:lang w:val="en-US"/>
              </w:rPr>
              <w:t>ICD-11 (6C00)</w:t>
            </w:r>
            <w:r w:rsidR="007B07A7">
              <w:rPr>
                <w:b/>
                <w:bCs/>
                <w:sz w:val="20"/>
                <w:szCs w:val="22"/>
                <w:lang w:val="en-US"/>
              </w:rPr>
              <w:t xml:space="preserve"> (WHO, 2025)</w:t>
            </w:r>
          </w:p>
        </w:tc>
        <w:tc>
          <w:tcPr>
            <w:tcW w:w="2481" w:type="dxa"/>
            <w:shd w:val="clear" w:color="auto" w:fill="DEEAF6" w:themeFill="accent5" w:themeFillTint="33"/>
            <w:vAlign w:val="center"/>
            <w:hideMark/>
          </w:tcPr>
          <w:p w14:paraId="578BF270" w14:textId="5C20EFDE" w:rsidR="00FB6B4D" w:rsidRPr="00FB6B4D" w:rsidRDefault="00FB6B4D" w:rsidP="00FB6B4D">
            <w:pPr>
              <w:spacing w:after="160" w:line="360" w:lineRule="auto"/>
              <w:jc w:val="center"/>
              <w:rPr>
                <w:b/>
                <w:bCs/>
                <w:sz w:val="20"/>
                <w:szCs w:val="22"/>
                <w:lang w:val="en-US"/>
              </w:rPr>
            </w:pPr>
            <w:r w:rsidRPr="00FB6B4D">
              <w:rPr>
                <w:b/>
                <w:bCs/>
                <w:sz w:val="20"/>
                <w:szCs w:val="22"/>
                <w:lang w:val="en-US"/>
              </w:rPr>
              <w:t>DSM-5 (307.6)</w:t>
            </w:r>
            <w:r w:rsidR="00837E55">
              <w:rPr>
                <w:b/>
                <w:bCs/>
                <w:sz w:val="20"/>
                <w:szCs w:val="22"/>
                <w:lang w:val="en-US"/>
              </w:rPr>
              <w:t xml:space="preserve"> (</w:t>
            </w:r>
            <w:r w:rsidR="00837E55" w:rsidRPr="00837E55">
              <w:rPr>
                <w:b/>
                <w:bCs/>
                <w:sz w:val="20"/>
                <w:szCs w:val="22"/>
              </w:rPr>
              <w:t xml:space="preserve">Caldwell and </w:t>
            </w:r>
            <w:proofErr w:type="spellStart"/>
            <w:r w:rsidR="00837E55" w:rsidRPr="00837E55">
              <w:rPr>
                <w:b/>
                <w:bCs/>
                <w:sz w:val="20"/>
                <w:szCs w:val="22"/>
              </w:rPr>
              <w:t>Gontard</w:t>
            </w:r>
            <w:proofErr w:type="spellEnd"/>
            <w:r w:rsidR="00837E55" w:rsidRPr="00837E55">
              <w:rPr>
                <w:b/>
                <w:bCs/>
                <w:sz w:val="20"/>
                <w:szCs w:val="22"/>
              </w:rPr>
              <w:t>, 2017)</w:t>
            </w:r>
          </w:p>
        </w:tc>
        <w:tc>
          <w:tcPr>
            <w:tcW w:w="2481" w:type="dxa"/>
            <w:shd w:val="clear" w:color="auto" w:fill="DEEAF6" w:themeFill="accent5" w:themeFillTint="33"/>
            <w:vAlign w:val="center"/>
            <w:hideMark/>
          </w:tcPr>
          <w:p w14:paraId="2EE0A0AF" w14:textId="77777777" w:rsidR="00FB6B4D" w:rsidRPr="00FB6B4D" w:rsidRDefault="00FB6B4D" w:rsidP="00FB6B4D">
            <w:pPr>
              <w:spacing w:after="160" w:line="360" w:lineRule="auto"/>
              <w:jc w:val="center"/>
              <w:rPr>
                <w:b/>
                <w:bCs/>
                <w:sz w:val="20"/>
                <w:szCs w:val="22"/>
                <w:lang w:val="en-US"/>
              </w:rPr>
            </w:pPr>
            <w:r w:rsidRPr="00FB6B4D">
              <w:rPr>
                <w:b/>
                <w:bCs/>
                <w:sz w:val="20"/>
                <w:szCs w:val="22"/>
                <w:lang w:val="en-US"/>
              </w:rPr>
              <w:t>Key Diagnostic Distinction</w:t>
            </w:r>
          </w:p>
        </w:tc>
      </w:tr>
      <w:tr w:rsidR="00FB6B4D" w:rsidRPr="00FB6B4D" w14:paraId="2377FB63" w14:textId="77777777" w:rsidTr="00FB6B4D">
        <w:trPr>
          <w:jc w:val="center"/>
        </w:trPr>
        <w:tc>
          <w:tcPr>
            <w:tcW w:w="0" w:type="auto"/>
            <w:shd w:val="clear" w:color="auto" w:fill="DEEAF6" w:themeFill="accent5" w:themeFillTint="33"/>
            <w:vAlign w:val="center"/>
            <w:hideMark/>
          </w:tcPr>
          <w:p w14:paraId="4798D275" w14:textId="77777777" w:rsidR="00FB6B4D" w:rsidRPr="00FB6B4D" w:rsidRDefault="00FB6B4D" w:rsidP="00FB6B4D">
            <w:pPr>
              <w:spacing w:after="160" w:line="360" w:lineRule="auto"/>
              <w:jc w:val="center"/>
              <w:rPr>
                <w:b/>
                <w:bCs/>
                <w:sz w:val="20"/>
                <w:szCs w:val="22"/>
                <w:lang w:val="en-US"/>
              </w:rPr>
            </w:pPr>
            <w:r w:rsidRPr="00FB6B4D">
              <w:rPr>
                <w:b/>
                <w:bCs/>
                <w:sz w:val="20"/>
                <w:szCs w:val="22"/>
                <w:lang w:val="en-US"/>
              </w:rPr>
              <w:t>Classification</w:t>
            </w:r>
          </w:p>
        </w:tc>
        <w:tc>
          <w:tcPr>
            <w:tcW w:w="2481" w:type="dxa"/>
            <w:shd w:val="clear" w:color="auto" w:fill="DEEAF6" w:themeFill="accent5" w:themeFillTint="33"/>
            <w:vAlign w:val="center"/>
            <w:hideMark/>
          </w:tcPr>
          <w:p w14:paraId="4CCEB8EE" w14:textId="77777777" w:rsidR="00FB6B4D" w:rsidRPr="00FB6B4D" w:rsidRDefault="00FB6B4D" w:rsidP="00FB6B4D">
            <w:pPr>
              <w:spacing w:after="160" w:line="360" w:lineRule="auto"/>
              <w:jc w:val="center"/>
              <w:rPr>
                <w:sz w:val="20"/>
                <w:szCs w:val="22"/>
                <w:lang w:val="en-US"/>
              </w:rPr>
            </w:pPr>
            <w:r w:rsidRPr="00FB6B4D">
              <w:rPr>
                <w:sz w:val="20"/>
                <w:szCs w:val="22"/>
                <w:lang w:val="en-US"/>
              </w:rPr>
              <w:t xml:space="preserve">Mental, </w:t>
            </w:r>
            <w:proofErr w:type="spellStart"/>
            <w:r w:rsidRPr="00FB6B4D">
              <w:rPr>
                <w:sz w:val="20"/>
                <w:szCs w:val="22"/>
                <w:lang w:val="en-US"/>
              </w:rPr>
              <w:t>behavioural</w:t>
            </w:r>
            <w:proofErr w:type="spellEnd"/>
            <w:r w:rsidRPr="00FB6B4D">
              <w:rPr>
                <w:sz w:val="20"/>
                <w:szCs w:val="22"/>
                <w:lang w:val="en-US"/>
              </w:rPr>
              <w:t>, or neurodevelopmental disorder</w:t>
            </w:r>
          </w:p>
        </w:tc>
        <w:tc>
          <w:tcPr>
            <w:tcW w:w="2481" w:type="dxa"/>
            <w:shd w:val="clear" w:color="auto" w:fill="DEEAF6" w:themeFill="accent5" w:themeFillTint="33"/>
            <w:vAlign w:val="center"/>
            <w:hideMark/>
          </w:tcPr>
          <w:p w14:paraId="319967EA" w14:textId="77777777" w:rsidR="00FB6B4D" w:rsidRPr="00FB6B4D" w:rsidRDefault="00FB6B4D" w:rsidP="00FB6B4D">
            <w:pPr>
              <w:spacing w:after="160" w:line="360" w:lineRule="auto"/>
              <w:jc w:val="center"/>
              <w:rPr>
                <w:sz w:val="20"/>
                <w:szCs w:val="22"/>
                <w:lang w:val="en-US"/>
              </w:rPr>
            </w:pPr>
            <w:r w:rsidRPr="00FB6B4D">
              <w:rPr>
                <w:sz w:val="20"/>
                <w:szCs w:val="22"/>
                <w:lang w:val="en-US"/>
              </w:rPr>
              <w:t>Elimination disorder</w:t>
            </w:r>
          </w:p>
        </w:tc>
        <w:tc>
          <w:tcPr>
            <w:tcW w:w="2481" w:type="dxa"/>
            <w:shd w:val="clear" w:color="auto" w:fill="DEEAF6" w:themeFill="accent5" w:themeFillTint="33"/>
            <w:vAlign w:val="center"/>
            <w:hideMark/>
          </w:tcPr>
          <w:p w14:paraId="65345399" w14:textId="77777777" w:rsidR="00FB6B4D" w:rsidRPr="00FB6B4D" w:rsidRDefault="00FB6B4D" w:rsidP="00FB6B4D">
            <w:pPr>
              <w:spacing w:after="160" w:line="360" w:lineRule="auto"/>
              <w:jc w:val="center"/>
              <w:rPr>
                <w:sz w:val="20"/>
                <w:szCs w:val="22"/>
                <w:lang w:val="en-US"/>
              </w:rPr>
            </w:pPr>
            <w:r w:rsidRPr="00FB6B4D">
              <w:rPr>
                <w:sz w:val="20"/>
                <w:szCs w:val="22"/>
                <w:lang w:val="en-US"/>
              </w:rPr>
              <w:t xml:space="preserve">ICD-11 broadens </w:t>
            </w:r>
            <w:proofErr w:type="spellStart"/>
            <w:r w:rsidRPr="00FB6B4D">
              <w:rPr>
                <w:sz w:val="20"/>
                <w:szCs w:val="22"/>
                <w:lang w:val="en-US"/>
              </w:rPr>
              <w:t>behavioural</w:t>
            </w:r>
            <w:proofErr w:type="spellEnd"/>
            <w:r w:rsidRPr="00FB6B4D">
              <w:rPr>
                <w:sz w:val="20"/>
                <w:szCs w:val="22"/>
                <w:lang w:val="en-US"/>
              </w:rPr>
              <w:t xml:space="preserve"> scope</w:t>
            </w:r>
          </w:p>
        </w:tc>
      </w:tr>
      <w:tr w:rsidR="00FB6B4D" w:rsidRPr="00FB6B4D" w14:paraId="2CFE35CE" w14:textId="77777777" w:rsidTr="00FB6B4D">
        <w:trPr>
          <w:jc w:val="center"/>
        </w:trPr>
        <w:tc>
          <w:tcPr>
            <w:tcW w:w="0" w:type="auto"/>
            <w:shd w:val="clear" w:color="auto" w:fill="DEEAF6" w:themeFill="accent5" w:themeFillTint="33"/>
            <w:vAlign w:val="center"/>
            <w:hideMark/>
          </w:tcPr>
          <w:p w14:paraId="4CF3C088" w14:textId="77777777" w:rsidR="00FB6B4D" w:rsidRPr="00FB6B4D" w:rsidRDefault="00FB6B4D" w:rsidP="00FB6B4D">
            <w:pPr>
              <w:spacing w:after="160" w:line="360" w:lineRule="auto"/>
              <w:jc w:val="center"/>
              <w:rPr>
                <w:b/>
                <w:bCs/>
                <w:sz w:val="20"/>
                <w:szCs w:val="22"/>
                <w:lang w:val="en-US"/>
              </w:rPr>
            </w:pPr>
            <w:r w:rsidRPr="00FB6B4D">
              <w:rPr>
                <w:b/>
                <w:bCs/>
                <w:sz w:val="20"/>
                <w:szCs w:val="22"/>
                <w:lang w:val="en-US"/>
              </w:rPr>
              <w:t>Diagnostic Age Threshold</w:t>
            </w:r>
          </w:p>
        </w:tc>
        <w:tc>
          <w:tcPr>
            <w:tcW w:w="2481" w:type="dxa"/>
            <w:shd w:val="clear" w:color="auto" w:fill="DEEAF6" w:themeFill="accent5" w:themeFillTint="33"/>
            <w:vAlign w:val="center"/>
            <w:hideMark/>
          </w:tcPr>
          <w:p w14:paraId="3E2E0AC2" w14:textId="77777777" w:rsidR="00FB6B4D" w:rsidRPr="00FB6B4D" w:rsidRDefault="00FB6B4D" w:rsidP="00FB6B4D">
            <w:pPr>
              <w:spacing w:after="160" w:line="360" w:lineRule="auto"/>
              <w:jc w:val="center"/>
              <w:rPr>
                <w:sz w:val="20"/>
                <w:szCs w:val="22"/>
                <w:lang w:val="en-US"/>
              </w:rPr>
            </w:pPr>
            <w:r w:rsidRPr="00FB6B4D">
              <w:rPr>
                <w:sz w:val="20"/>
                <w:szCs w:val="22"/>
                <w:lang w:val="en-US"/>
              </w:rPr>
              <w:t>5 years (developmental age)</w:t>
            </w:r>
          </w:p>
        </w:tc>
        <w:tc>
          <w:tcPr>
            <w:tcW w:w="2481" w:type="dxa"/>
            <w:shd w:val="clear" w:color="auto" w:fill="DEEAF6" w:themeFill="accent5" w:themeFillTint="33"/>
            <w:vAlign w:val="center"/>
            <w:hideMark/>
          </w:tcPr>
          <w:p w14:paraId="075F76CB" w14:textId="77777777" w:rsidR="00FB6B4D" w:rsidRPr="00FB6B4D" w:rsidRDefault="00FB6B4D" w:rsidP="00FB6B4D">
            <w:pPr>
              <w:spacing w:after="160" w:line="360" w:lineRule="auto"/>
              <w:jc w:val="center"/>
              <w:rPr>
                <w:sz w:val="20"/>
                <w:szCs w:val="22"/>
                <w:lang w:val="en-US"/>
              </w:rPr>
            </w:pPr>
            <w:r w:rsidRPr="00FB6B4D">
              <w:rPr>
                <w:sz w:val="20"/>
                <w:szCs w:val="22"/>
                <w:lang w:val="en-US"/>
              </w:rPr>
              <w:t>5 years (chronological age)</w:t>
            </w:r>
          </w:p>
        </w:tc>
        <w:tc>
          <w:tcPr>
            <w:tcW w:w="2481" w:type="dxa"/>
            <w:shd w:val="clear" w:color="auto" w:fill="DEEAF6" w:themeFill="accent5" w:themeFillTint="33"/>
            <w:vAlign w:val="center"/>
            <w:hideMark/>
          </w:tcPr>
          <w:p w14:paraId="745CF3B4" w14:textId="77777777" w:rsidR="00FB6B4D" w:rsidRPr="00FB6B4D" w:rsidRDefault="00FB6B4D" w:rsidP="00FB6B4D">
            <w:pPr>
              <w:spacing w:after="160" w:line="360" w:lineRule="auto"/>
              <w:jc w:val="center"/>
              <w:rPr>
                <w:sz w:val="20"/>
                <w:szCs w:val="22"/>
                <w:lang w:val="en-US"/>
              </w:rPr>
            </w:pPr>
            <w:r w:rsidRPr="00FB6B4D">
              <w:rPr>
                <w:sz w:val="20"/>
                <w:szCs w:val="22"/>
                <w:lang w:val="en-US"/>
              </w:rPr>
              <w:t>ICD-11 allows for developmental adjustment</w:t>
            </w:r>
          </w:p>
        </w:tc>
      </w:tr>
      <w:tr w:rsidR="00FB6B4D" w:rsidRPr="00FB6B4D" w14:paraId="0898A208" w14:textId="77777777" w:rsidTr="00FB6B4D">
        <w:trPr>
          <w:jc w:val="center"/>
        </w:trPr>
        <w:tc>
          <w:tcPr>
            <w:tcW w:w="0" w:type="auto"/>
            <w:shd w:val="clear" w:color="auto" w:fill="DEEAF6" w:themeFill="accent5" w:themeFillTint="33"/>
            <w:vAlign w:val="center"/>
            <w:hideMark/>
          </w:tcPr>
          <w:p w14:paraId="2F62EB97" w14:textId="77777777" w:rsidR="00FB6B4D" w:rsidRPr="00FB6B4D" w:rsidRDefault="00FB6B4D" w:rsidP="00FB6B4D">
            <w:pPr>
              <w:spacing w:after="160" w:line="360" w:lineRule="auto"/>
              <w:jc w:val="center"/>
              <w:rPr>
                <w:b/>
                <w:bCs/>
                <w:sz w:val="20"/>
                <w:szCs w:val="22"/>
                <w:lang w:val="en-US"/>
              </w:rPr>
            </w:pPr>
            <w:r w:rsidRPr="00FB6B4D">
              <w:rPr>
                <w:b/>
                <w:bCs/>
                <w:sz w:val="20"/>
                <w:szCs w:val="22"/>
                <w:lang w:val="en-US"/>
              </w:rPr>
              <w:t>Specifiers</w:t>
            </w:r>
          </w:p>
        </w:tc>
        <w:tc>
          <w:tcPr>
            <w:tcW w:w="2481" w:type="dxa"/>
            <w:shd w:val="clear" w:color="auto" w:fill="DEEAF6" w:themeFill="accent5" w:themeFillTint="33"/>
            <w:vAlign w:val="center"/>
            <w:hideMark/>
          </w:tcPr>
          <w:p w14:paraId="00F4CBD6" w14:textId="77777777" w:rsidR="00FB6B4D" w:rsidRPr="00FB6B4D" w:rsidRDefault="00FB6B4D" w:rsidP="00FB6B4D">
            <w:pPr>
              <w:spacing w:after="160" w:line="360" w:lineRule="auto"/>
              <w:jc w:val="center"/>
              <w:rPr>
                <w:sz w:val="20"/>
                <w:szCs w:val="22"/>
                <w:lang w:val="en-US"/>
              </w:rPr>
            </w:pPr>
            <w:r w:rsidRPr="00FB6B4D">
              <w:rPr>
                <w:sz w:val="20"/>
                <w:szCs w:val="22"/>
                <w:lang w:val="en-US"/>
              </w:rPr>
              <w:t>Nocturnal, Diurnal, Combined</w:t>
            </w:r>
          </w:p>
        </w:tc>
        <w:tc>
          <w:tcPr>
            <w:tcW w:w="2481" w:type="dxa"/>
            <w:shd w:val="clear" w:color="auto" w:fill="DEEAF6" w:themeFill="accent5" w:themeFillTint="33"/>
            <w:vAlign w:val="center"/>
            <w:hideMark/>
          </w:tcPr>
          <w:p w14:paraId="4A3C8B43" w14:textId="77777777" w:rsidR="00FB6B4D" w:rsidRPr="00FB6B4D" w:rsidRDefault="00FB6B4D" w:rsidP="00FB6B4D">
            <w:pPr>
              <w:spacing w:after="160" w:line="360" w:lineRule="auto"/>
              <w:jc w:val="center"/>
              <w:rPr>
                <w:sz w:val="20"/>
                <w:szCs w:val="22"/>
                <w:lang w:val="en-US"/>
              </w:rPr>
            </w:pPr>
            <w:r w:rsidRPr="00FB6B4D">
              <w:rPr>
                <w:sz w:val="20"/>
                <w:szCs w:val="22"/>
                <w:lang w:val="en-US"/>
              </w:rPr>
              <w:t>Nocturnal, Diurnal, Combined</w:t>
            </w:r>
          </w:p>
        </w:tc>
        <w:tc>
          <w:tcPr>
            <w:tcW w:w="2481" w:type="dxa"/>
            <w:shd w:val="clear" w:color="auto" w:fill="DEEAF6" w:themeFill="accent5" w:themeFillTint="33"/>
            <w:vAlign w:val="center"/>
            <w:hideMark/>
          </w:tcPr>
          <w:p w14:paraId="0FB75DDD" w14:textId="2B3DBE45" w:rsidR="00FB6B4D" w:rsidRPr="00FB6B4D" w:rsidRDefault="00854A13" w:rsidP="00FB6B4D">
            <w:pPr>
              <w:spacing w:after="160" w:line="360" w:lineRule="auto"/>
              <w:jc w:val="center"/>
              <w:rPr>
                <w:sz w:val="20"/>
                <w:szCs w:val="22"/>
                <w:lang w:val="en-US"/>
              </w:rPr>
            </w:pPr>
            <w:r>
              <w:rPr>
                <w:sz w:val="20"/>
                <w:szCs w:val="22"/>
                <w:lang w:val="en-US"/>
              </w:rPr>
              <w:t>Similarly</w:t>
            </w:r>
            <w:r w:rsidR="00FB6B4D" w:rsidRPr="00FB6B4D">
              <w:rPr>
                <w:sz w:val="20"/>
                <w:szCs w:val="22"/>
                <w:lang w:val="en-US"/>
              </w:rPr>
              <w:t xml:space="preserve">, but ICD-11 </w:t>
            </w:r>
            <w:proofErr w:type="spellStart"/>
            <w:r w:rsidR="00FB6B4D" w:rsidRPr="00FB6B4D">
              <w:rPr>
                <w:sz w:val="20"/>
                <w:szCs w:val="22"/>
                <w:lang w:val="en-US"/>
              </w:rPr>
              <w:t>emphasises</w:t>
            </w:r>
            <w:proofErr w:type="spellEnd"/>
            <w:r w:rsidR="00FB6B4D" w:rsidRPr="00FB6B4D">
              <w:rPr>
                <w:sz w:val="20"/>
                <w:szCs w:val="22"/>
                <w:lang w:val="en-US"/>
              </w:rPr>
              <w:t xml:space="preserve"> cultural tolerance</w:t>
            </w:r>
          </w:p>
        </w:tc>
      </w:tr>
      <w:tr w:rsidR="00FB6B4D" w:rsidRPr="00FB6B4D" w14:paraId="0693C976" w14:textId="77777777" w:rsidTr="00FB6B4D">
        <w:trPr>
          <w:jc w:val="center"/>
        </w:trPr>
        <w:tc>
          <w:tcPr>
            <w:tcW w:w="0" w:type="auto"/>
            <w:shd w:val="clear" w:color="auto" w:fill="DEEAF6" w:themeFill="accent5" w:themeFillTint="33"/>
            <w:vAlign w:val="center"/>
            <w:hideMark/>
          </w:tcPr>
          <w:p w14:paraId="628CCFF7" w14:textId="77777777" w:rsidR="00FB6B4D" w:rsidRPr="00FB6B4D" w:rsidRDefault="00FB6B4D" w:rsidP="00FB6B4D">
            <w:pPr>
              <w:spacing w:after="160" w:line="360" w:lineRule="auto"/>
              <w:jc w:val="center"/>
              <w:rPr>
                <w:b/>
                <w:bCs/>
                <w:sz w:val="20"/>
                <w:szCs w:val="22"/>
                <w:lang w:val="en-US"/>
              </w:rPr>
            </w:pPr>
            <w:r w:rsidRPr="00FB6B4D">
              <w:rPr>
                <w:b/>
                <w:bCs/>
                <w:sz w:val="20"/>
                <w:szCs w:val="22"/>
                <w:lang w:val="en-US"/>
              </w:rPr>
              <w:t>Exclusions</w:t>
            </w:r>
          </w:p>
        </w:tc>
        <w:tc>
          <w:tcPr>
            <w:tcW w:w="2481" w:type="dxa"/>
            <w:shd w:val="clear" w:color="auto" w:fill="DEEAF6" w:themeFill="accent5" w:themeFillTint="33"/>
            <w:vAlign w:val="center"/>
            <w:hideMark/>
          </w:tcPr>
          <w:p w14:paraId="4F13265F" w14:textId="77777777" w:rsidR="00FB6B4D" w:rsidRPr="00FB6B4D" w:rsidRDefault="00FB6B4D" w:rsidP="00FB6B4D">
            <w:pPr>
              <w:spacing w:after="160" w:line="360" w:lineRule="auto"/>
              <w:jc w:val="center"/>
              <w:rPr>
                <w:sz w:val="20"/>
                <w:szCs w:val="22"/>
                <w:lang w:val="en-US"/>
              </w:rPr>
            </w:pPr>
            <w:r w:rsidRPr="00FB6B4D">
              <w:rPr>
                <w:sz w:val="20"/>
                <w:szCs w:val="22"/>
                <w:lang w:val="en-US"/>
              </w:rPr>
              <w:t>Medical, neurological, or drug-related causes</w:t>
            </w:r>
          </w:p>
        </w:tc>
        <w:tc>
          <w:tcPr>
            <w:tcW w:w="2481" w:type="dxa"/>
            <w:shd w:val="clear" w:color="auto" w:fill="DEEAF6" w:themeFill="accent5" w:themeFillTint="33"/>
            <w:vAlign w:val="center"/>
            <w:hideMark/>
          </w:tcPr>
          <w:p w14:paraId="2CB3FD14" w14:textId="77777777" w:rsidR="00FB6B4D" w:rsidRPr="00FB6B4D" w:rsidRDefault="00FB6B4D" w:rsidP="00FB6B4D">
            <w:pPr>
              <w:spacing w:after="160" w:line="360" w:lineRule="auto"/>
              <w:jc w:val="center"/>
              <w:rPr>
                <w:sz w:val="20"/>
                <w:szCs w:val="22"/>
                <w:lang w:val="en-US"/>
              </w:rPr>
            </w:pPr>
            <w:r w:rsidRPr="00FB6B4D">
              <w:rPr>
                <w:sz w:val="20"/>
                <w:szCs w:val="22"/>
                <w:lang w:val="en-US"/>
              </w:rPr>
              <w:t>Medical conditions</w:t>
            </w:r>
          </w:p>
        </w:tc>
        <w:tc>
          <w:tcPr>
            <w:tcW w:w="2481" w:type="dxa"/>
            <w:shd w:val="clear" w:color="auto" w:fill="DEEAF6" w:themeFill="accent5" w:themeFillTint="33"/>
            <w:vAlign w:val="center"/>
            <w:hideMark/>
          </w:tcPr>
          <w:p w14:paraId="1000B7B1" w14:textId="77777777" w:rsidR="00FB6B4D" w:rsidRPr="00FB6B4D" w:rsidRDefault="00FB6B4D" w:rsidP="00FB6B4D">
            <w:pPr>
              <w:spacing w:after="160" w:line="360" w:lineRule="auto"/>
              <w:jc w:val="center"/>
              <w:rPr>
                <w:sz w:val="20"/>
                <w:szCs w:val="22"/>
                <w:lang w:val="en-US"/>
              </w:rPr>
            </w:pPr>
            <w:r w:rsidRPr="00FB6B4D">
              <w:rPr>
                <w:sz w:val="20"/>
                <w:szCs w:val="22"/>
                <w:lang w:val="en-US"/>
              </w:rPr>
              <w:t>ICD-11 adds developmental exceptions</w:t>
            </w:r>
          </w:p>
        </w:tc>
      </w:tr>
      <w:tr w:rsidR="00FB6B4D" w:rsidRPr="00FB6B4D" w14:paraId="4FA5014E" w14:textId="77777777" w:rsidTr="00FB6B4D">
        <w:trPr>
          <w:jc w:val="center"/>
        </w:trPr>
        <w:tc>
          <w:tcPr>
            <w:tcW w:w="0" w:type="auto"/>
            <w:shd w:val="clear" w:color="auto" w:fill="DEEAF6" w:themeFill="accent5" w:themeFillTint="33"/>
            <w:vAlign w:val="center"/>
            <w:hideMark/>
          </w:tcPr>
          <w:p w14:paraId="6EA46445" w14:textId="77777777" w:rsidR="00FB6B4D" w:rsidRPr="00FB6B4D" w:rsidRDefault="00FB6B4D" w:rsidP="00FB6B4D">
            <w:pPr>
              <w:spacing w:after="160" w:line="360" w:lineRule="auto"/>
              <w:jc w:val="center"/>
              <w:rPr>
                <w:b/>
                <w:bCs/>
                <w:sz w:val="20"/>
                <w:szCs w:val="22"/>
                <w:lang w:val="en-US"/>
              </w:rPr>
            </w:pPr>
            <w:r w:rsidRPr="00FB6B4D">
              <w:rPr>
                <w:b/>
                <w:bCs/>
                <w:sz w:val="20"/>
                <w:szCs w:val="22"/>
                <w:lang w:val="en-US"/>
              </w:rPr>
              <w:lastRenderedPageBreak/>
              <w:t>Language</w:t>
            </w:r>
          </w:p>
        </w:tc>
        <w:tc>
          <w:tcPr>
            <w:tcW w:w="2481" w:type="dxa"/>
            <w:shd w:val="clear" w:color="auto" w:fill="DEEAF6" w:themeFill="accent5" w:themeFillTint="33"/>
            <w:vAlign w:val="center"/>
            <w:hideMark/>
          </w:tcPr>
          <w:p w14:paraId="33A791F2" w14:textId="77777777" w:rsidR="00FB6B4D" w:rsidRPr="00FB6B4D" w:rsidRDefault="00FB6B4D" w:rsidP="00FB6B4D">
            <w:pPr>
              <w:spacing w:after="160" w:line="360" w:lineRule="auto"/>
              <w:jc w:val="center"/>
              <w:rPr>
                <w:sz w:val="20"/>
                <w:szCs w:val="22"/>
                <w:lang w:val="en-US"/>
              </w:rPr>
            </w:pPr>
            <w:r w:rsidRPr="00FB6B4D">
              <w:rPr>
                <w:sz w:val="20"/>
                <w:szCs w:val="22"/>
                <w:lang w:val="en-US"/>
              </w:rPr>
              <w:t>“Disorder” or “Functional Enuresis”</w:t>
            </w:r>
          </w:p>
        </w:tc>
        <w:tc>
          <w:tcPr>
            <w:tcW w:w="2481" w:type="dxa"/>
            <w:shd w:val="clear" w:color="auto" w:fill="DEEAF6" w:themeFill="accent5" w:themeFillTint="33"/>
            <w:vAlign w:val="center"/>
            <w:hideMark/>
          </w:tcPr>
          <w:p w14:paraId="3E96B387" w14:textId="77777777" w:rsidR="00FB6B4D" w:rsidRPr="00FB6B4D" w:rsidRDefault="00FB6B4D" w:rsidP="00FB6B4D">
            <w:pPr>
              <w:spacing w:after="160" w:line="360" w:lineRule="auto"/>
              <w:jc w:val="center"/>
              <w:rPr>
                <w:sz w:val="20"/>
                <w:szCs w:val="22"/>
                <w:lang w:val="en-US"/>
              </w:rPr>
            </w:pPr>
            <w:r w:rsidRPr="00FB6B4D">
              <w:rPr>
                <w:sz w:val="20"/>
                <w:szCs w:val="22"/>
                <w:lang w:val="en-US"/>
              </w:rPr>
              <w:t>“Disorder”</w:t>
            </w:r>
          </w:p>
        </w:tc>
        <w:tc>
          <w:tcPr>
            <w:tcW w:w="2481" w:type="dxa"/>
            <w:shd w:val="clear" w:color="auto" w:fill="DEEAF6" w:themeFill="accent5" w:themeFillTint="33"/>
            <w:vAlign w:val="center"/>
            <w:hideMark/>
          </w:tcPr>
          <w:p w14:paraId="367207E1" w14:textId="77777777" w:rsidR="00FB6B4D" w:rsidRPr="00FB6B4D" w:rsidRDefault="00FB6B4D" w:rsidP="00FB6B4D">
            <w:pPr>
              <w:spacing w:after="160" w:line="360" w:lineRule="auto"/>
              <w:jc w:val="center"/>
              <w:rPr>
                <w:sz w:val="20"/>
                <w:szCs w:val="22"/>
                <w:lang w:val="en-US"/>
              </w:rPr>
            </w:pPr>
            <w:r w:rsidRPr="00FB6B4D">
              <w:rPr>
                <w:sz w:val="20"/>
                <w:szCs w:val="22"/>
                <w:lang w:val="en-US"/>
              </w:rPr>
              <w:t>ICD-11 encourages non-</w:t>
            </w:r>
            <w:proofErr w:type="spellStart"/>
            <w:r w:rsidRPr="00FB6B4D">
              <w:rPr>
                <w:sz w:val="20"/>
                <w:szCs w:val="22"/>
                <w:lang w:val="en-US"/>
              </w:rPr>
              <w:t>pathologising</w:t>
            </w:r>
            <w:proofErr w:type="spellEnd"/>
            <w:r w:rsidRPr="00FB6B4D">
              <w:rPr>
                <w:sz w:val="20"/>
                <w:szCs w:val="22"/>
                <w:lang w:val="en-US"/>
              </w:rPr>
              <w:t xml:space="preserve"> phrasing</w:t>
            </w:r>
          </w:p>
        </w:tc>
      </w:tr>
    </w:tbl>
    <w:p w14:paraId="3FA8EC04" w14:textId="73A5D2EC" w:rsidR="00E229E6" w:rsidRPr="00FB6B4D" w:rsidRDefault="00E229E6" w:rsidP="00E229E6">
      <w:pPr>
        <w:spacing w:line="360" w:lineRule="auto"/>
        <w:jc w:val="both"/>
        <w:rPr>
          <w:lang w:val="en-US"/>
        </w:rPr>
      </w:pPr>
    </w:p>
    <w:p w14:paraId="4EE3081F" w14:textId="241592DB" w:rsidR="00B7120C" w:rsidRPr="00C77C03" w:rsidRDefault="00E229E6" w:rsidP="00E229E6">
      <w:pPr>
        <w:pStyle w:val="Heading1"/>
        <w:numPr>
          <w:ilvl w:val="0"/>
          <w:numId w:val="1"/>
        </w:numPr>
        <w:spacing w:line="360" w:lineRule="auto"/>
        <w:jc w:val="both"/>
        <w:rPr>
          <w:rFonts w:ascii="Arial" w:hAnsi="Arial" w:cs="Arial"/>
          <w:b/>
          <w:bCs/>
          <w:color w:val="auto"/>
          <w:sz w:val="32"/>
          <w:szCs w:val="32"/>
        </w:rPr>
      </w:pPr>
      <w:bookmarkStart w:id="2" w:name="_Toc211776022"/>
      <w:r w:rsidRPr="00C77C03">
        <w:rPr>
          <w:rFonts w:ascii="Arial" w:hAnsi="Arial" w:cs="Arial"/>
          <w:b/>
          <w:bCs/>
          <w:color w:val="auto"/>
          <w:sz w:val="32"/>
          <w:szCs w:val="32"/>
        </w:rPr>
        <w:t>Treatment and Rehabilitation</w:t>
      </w:r>
      <w:r w:rsidR="00FB6B4D">
        <w:rPr>
          <w:rFonts w:ascii="Arial" w:hAnsi="Arial" w:cs="Arial"/>
          <w:b/>
          <w:bCs/>
          <w:color w:val="auto"/>
          <w:sz w:val="32"/>
          <w:szCs w:val="32"/>
        </w:rPr>
        <w:t xml:space="preserve"> </w:t>
      </w:r>
      <w:r w:rsidR="00FB6B4D" w:rsidRPr="00FB6B4D">
        <w:rPr>
          <w:rFonts w:ascii="Arial" w:hAnsi="Arial" w:cs="Arial"/>
          <w:b/>
          <w:bCs/>
          <w:color w:val="auto"/>
          <w:sz w:val="32"/>
          <w:szCs w:val="32"/>
        </w:rPr>
        <w:t>Approaches</w:t>
      </w:r>
      <w:bookmarkEnd w:id="2"/>
      <w:r w:rsidR="00FB6B4D" w:rsidRPr="00FB6B4D">
        <w:rPr>
          <w:rFonts w:ascii="Arial" w:hAnsi="Arial" w:cs="Arial"/>
          <w:b/>
          <w:bCs/>
          <w:color w:val="auto"/>
          <w:sz w:val="32"/>
          <w:szCs w:val="32"/>
        </w:rPr>
        <w:t xml:space="preserve"> </w:t>
      </w:r>
    </w:p>
    <w:p w14:paraId="1C036646" w14:textId="39DCFFF3" w:rsidR="007447C2" w:rsidRDefault="00854A13" w:rsidP="00E229E6">
      <w:pPr>
        <w:spacing w:line="360" w:lineRule="auto"/>
        <w:jc w:val="both"/>
      </w:pPr>
      <w:r>
        <w:t>Enuresis treatment has shifted its focus from punitive behavioural correction methods to evidence-based multidimensional care, which combines behavioural, pharmacological,</w:t>
      </w:r>
      <w:r w:rsidR="007447C2" w:rsidRPr="007447C2">
        <w:t xml:space="preserve"> and family-based interventions. In both clinical and community settings, behavioural therapies are the first-line therapy, which is in line with the recommendations of the NICE Clinical Guideline CG111 (</w:t>
      </w:r>
      <w:r w:rsidR="00627ADE">
        <w:rPr>
          <w:rFonts w:cs="Arial"/>
          <w:szCs w:val="22"/>
          <w:lang w:val="en-US"/>
        </w:rPr>
        <w:t>NICE UK, 2010)</w:t>
      </w:r>
      <w:r w:rsidR="007447C2" w:rsidRPr="007447C2">
        <w:t>. Urine alarm therapy, which commonly goes along with bladder training, trains a child to wake up when wetness is detected, and eventually learn to control the bladder as a result of classical conditioning</w:t>
      </w:r>
      <w:r w:rsidR="0066168D">
        <w:t xml:space="preserve"> (</w:t>
      </w:r>
      <w:r w:rsidR="0066168D" w:rsidRPr="007875B7">
        <w:rPr>
          <w:rFonts w:cs="Arial"/>
          <w:szCs w:val="22"/>
        </w:rPr>
        <w:t>Wilson</w:t>
      </w:r>
      <w:r w:rsidR="0066168D">
        <w:rPr>
          <w:rFonts w:cs="Arial"/>
          <w:szCs w:val="22"/>
        </w:rPr>
        <w:t xml:space="preserve"> </w:t>
      </w:r>
      <w:r w:rsidR="0066168D" w:rsidRPr="007875B7">
        <w:rPr>
          <w:rFonts w:cs="Arial"/>
          <w:szCs w:val="22"/>
        </w:rPr>
        <w:t>and Doddy, 2024</w:t>
      </w:r>
      <w:r w:rsidR="0066168D">
        <w:rPr>
          <w:rFonts w:cs="Arial"/>
          <w:szCs w:val="22"/>
        </w:rPr>
        <w:t>)</w:t>
      </w:r>
      <w:r w:rsidR="007447C2" w:rsidRPr="007447C2">
        <w:t xml:space="preserve">. </w:t>
      </w:r>
      <w:r w:rsidR="008645E5" w:rsidRPr="007875B7">
        <w:rPr>
          <w:rFonts w:cs="Arial"/>
          <w:szCs w:val="22"/>
        </w:rPr>
        <w:t xml:space="preserve">Soo and Bayne </w:t>
      </w:r>
      <w:r w:rsidR="008645E5">
        <w:rPr>
          <w:rFonts w:cs="Arial"/>
          <w:szCs w:val="22"/>
        </w:rPr>
        <w:t>(</w:t>
      </w:r>
      <w:r w:rsidR="008645E5" w:rsidRPr="007875B7">
        <w:rPr>
          <w:rFonts w:cs="Arial"/>
          <w:szCs w:val="22"/>
        </w:rPr>
        <w:t>2024</w:t>
      </w:r>
      <w:r w:rsidR="007447C2" w:rsidRPr="007447C2">
        <w:t xml:space="preserve">) </w:t>
      </w:r>
      <w:r w:rsidR="008645E5" w:rsidRPr="007447C2">
        <w:t>indicate</w:t>
      </w:r>
      <w:r w:rsidR="007447C2" w:rsidRPr="007447C2">
        <w:t xml:space="preserve"> </w:t>
      </w:r>
      <w:r>
        <w:t>long-term success rates, but relapses occur frequently when reinforcement is administered</w:t>
      </w:r>
      <w:r w:rsidR="007447C2" w:rsidRPr="007447C2">
        <w:t xml:space="preserve"> too soon. Some methods</w:t>
      </w:r>
      <w:r>
        <w:t>, such as positive reinforcement like reward charts, have proven effective for short-term behavioural compliance. Still, parental consistency is often needed,</w:t>
      </w:r>
      <w:r w:rsidR="007447C2" w:rsidRPr="007447C2">
        <w:t xml:space="preserve"> which might not be achievable in high-stress families</w:t>
      </w:r>
      <w:r w:rsidR="00324B32">
        <w:t xml:space="preserve"> (</w:t>
      </w:r>
      <w:r w:rsidR="00324B32" w:rsidRPr="007875B7">
        <w:rPr>
          <w:rFonts w:cs="Arial"/>
          <w:szCs w:val="22"/>
          <w:lang w:val="en-US"/>
        </w:rPr>
        <w:t>Huang</w:t>
      </w:r>
      <w:r w:rsidR="00324B32">
        <w:rPr>
          <w:rFonts w:cs="Arial"/>
          <w:szCs w:val="22"/>
          <w:lang w:val="en-US"/>
        </w:rPr>
        <w:t xml:space="preserve"> et al., 2022)</w:t>
      </w:r>
      <w:r w:rsidR="007447C2" w:rsidRPr="007447C2">
        <w:t>.</w:t>
      </w:r>
    </w:p>
    <w:p w14:paraId="781D5B96" w14:textId="0B91E958" w:rsidR="007447C2" w:rsidRDefault="00854A13" w:rsidP="00E229E6">
      <w:pPr>
        <w:spacing w:line="360" w:lineRule="auto"/>
        <w:jc w:val="both"/>
      </w:pPr>
      <w:r>
        <w:t>Pharmacological treatment is used</w:t>
      </w:r>
      <w:r w:rsidR="007447C2" w:rsidRPr="007447C2">
        <w:t xml:space="preserve"> in cases that are hard to treat </w:t>
      </w:r>
      <w:r>
        <w:t>with</w:t>
      </w:r>
      <w:r w:rsidR="007447C2" w:rsidRPr="007447C2">
        <w:t xml:space="preserve"> behavioural intervention. Desmopressin is an analogue of vasopressin</w:t>
      </w:r>
      <w:r>
        <w:t>,</w:t>
      </w:r>
      <w:r w:rsidR="007447C2" w:rsidRPr="007447C2">
        <w:t xml:space="preserve"> </w:t>
      </w:r>
      <w:r>
        <w:t>used to lower nocturnal urine production and rapidly alleviate symptoms</w:t>
      </w:r>
      <w:r w:rsidR="00362D1D">
        <w:t xml:space="preserve"> (</w:t>
      </w:r>
      <w:proofErr w:type="spellStart"/>
      <w:r w:rsidR="00362D1D" w:rsidRPr="007875B7">
        <w:rPr>
          <w:rFonts w:cs="Arial"/>
          <w:szCs w:val="22"/>
        </w:rPr>
        <w:t>Kamperis</w:t>
      </w:r>
      <w:proofErr w:type="spellEnd"/>
      <w:r w:rsidR="00362D1D" w:rsidRPr="007875B7">
        <w:rPr>
          <w:rFonts w:cs="Arial"/>
          <w:szCs w:val="22"/>
        </w:rPr>
        <w:t>, 2021)</w:t>
      </w:r>
      <w:r w:rsidR="007447C2" w:rsidRPr="007447C2">
        <w:t xml:space="preserve">. Nevertheless, its effectiveness wanes with the discontinuation of treatment, and the rates of relapses are over </w:t>
      </w:r>
      <w:r w:rsidR="006D2D3B" w:rsidRPr="006D2D3B">
        <w:t xml:space="preserve">56 % vs. 32.1 </w:t>
      </w:r>
      <w:r w:rsidR="007447C2" w:rsidRPr="007447C2">
        <w:t>% (</w:t>
      </w:r>
      <w:r w:rsidR="00363155" w:rsidRPr="007875B7">
        <w:rPr>
          <w:rFonts w:cs="Arial"/>
          <w:szCs w:val="22"/>
        </w:rPr>
        <w:t>Topalovic</w:t>
      </w:r>
      <w:r w:rsidR="00363155">
        <w:rPr>
          <w:rFonts w:cs="Arial"/>
          <w:szCs w:val="22"/>
        </w:rPr>
        <w:t xml:space="preserve"> et al., 2025</w:t>
      </w:r>
      <w:r w:rsidR="007447C2" w:rsidRPr="007447C2">
        <w:t>). Tricyclic antidepressants, including imipramine</w:t>
      </w:r>
      <w:r>
        <w:t>,</w:t>
      </w:r>
      <w:r w:rsidR="007447C2" w:rsidRPr="007447C2">
        <w:t xml:space="preserve"> are sometimes used to control cases of refractory, although they address the ethical and safety concerns of cardiotoxicity and risk of overdose in children</w:t>
      </w:r>
      <w:r w:rsidR="007E58BD">
        <w:t xml:space="preserve"> (</w:t>
      </w:r>
      <w:r w:rsidR="007E58BD" w:rsidRPr="009A2FCF">
        <w:rPr>
          <w:rFonts w:cs="Arial"/>
          <w:szCs w:val="22"/>
        </w:rPr>
        <w:t>Haque</w:t>
      </w:r>
      <w:r w:rsidR="007E58BD">
        <w:rPr>
          <w:rFonts w:cs="Arial"/>
          <w:szCs w:val="22"/>
        </w:rPr>
        <w:t xml:space="preserve"> et al., 2024)</w:t>
      </w:r>
      <w:r w:rsidR="007447C2" w:rsidRPr="007447C2">
        <w:t>. Pharmacotherapy is, therefore, considered a transitional supplement and not a permanent solution. Psychological and family-based interventions are a necessary component of rehabilitation, especially in cases of Enuresis being combined with anxiety, attention-deficit symptoms or family stress</w:t>
      </w:r>
      <w:r w:rsidR="00887145">
        <w:t xml:space="preserve"> (</w:t>
      </w:r>
      <w:r w:rsidR="00887145" w:rsidRPr="009A2FCF">
        <w:rPr>
          <w:rFonts w:cs="Arial"/>
          <w:szCs w:val="22"/>
        </w:rPr>
        <w:t>Castillo</w:t>
      </w:r>
      <w:r w:rsidR="00887145">
        <w:rPr>
          <w:rFonts w:cs="Arial"/>
          <w:szCs w:val="22"/>
        </w:rPr>
        <w:t xml:space="preserve"> </w:t>
      </w:r>
      <w:r w:rsidR="00887145" w:rsidRPr="009A2FCF">
        <w:rPr>
          <w:rFonts w:cs="Arial"/>
          <w:szCs w:val="22"/>
        </w:rPr>
        <w:t>and Pham, 2024</w:t>
      </w:r>
      <w:r w:rsidR="00887145">
        <w:rPr>
          <w:rFonts w:cs="Arial"/>
          <w:szCs w:val="22"/>
        </w:rPr>
        <w:t>)</w:t>
      </w:r>
      <w:r w:rsidR="007447C2" w:rsidRPr="007447C2">
        <w:t>. Parental psychoeducation and cognitive-behavioural therapy (CBT) are reported to decrease the level of shame and improve the rate of treatment adherence (</w:t>
      </w:r>
      <w:r w:rsidR="00570E0A" w:rsidRPr="009A2FCF">
        <w:rPr>
          <w:rFonts w:cs="Arial"/>
          <w:szCs w:val="22"/>
        </w:rPr>
        <w:t>Walter</w:t>
      </w:r>
      <w:r w:rsidR="00570E0A">
        <w:rPr>
          <w:rFonts w:cs="Arial"/>
          <w:szCs w:val="22"/>
        </w:rPr>
        <w:t xml:space="preserve"> </w:t>
      </w:r>
      <w:r w:rsidR="007447C2" w:rsidRPr="007447C2">
        <w:t>et al., 202</w:t>
      </w:r>
      <w:r w:rsidR="00570E0A">
        <w:t>4</w:t>
      </w:r>
      <w:r w:rsidR="007447C2" w:rsidRPr="007447C2">
        <w:t xml:space="preserve">). Moreover, NHS Community Paediatric Continence Services and </w:t>
      </w:r>
      <w:r>
        <w:t>school-based continence programmes facilitate a rehabilitative approach to dignity, education,</w:t>
      </w:r>
      <w:r w:rsidR="007447C2" w:rsidRPr="007447C2">
        <w:t xml:space="preserve"> and social reintegration</w:t>
      </w:r>
      <w:r w:rsidR="00940A37" w:rsidRPr="00940A37">
        <w:t> (Trust, 2025)</w:t>
      </w:r>
      <w:r w:rsidR="007447C2" w:rsidRPr="007447C2">
        <w:t>.</w:t>
      </w:r>
    </w:p>
    <w:p w14:paraId="1E42783A" w14:textId="50CD9A3A" w:rsidR="00E229E6" w:rsidRPr="002D18E2" w:rsidRDefault="007447C2" w:rsidP="00E229E6">
      <w:pPr>
        <w:spacing w:line="360" w:lineRule="auto"/>
        <w:jc w:val="both"/>
        <w:rPr>
          <w:lang w:val="en-US"/>
        </w:rPr>
      </w:pPr>
      <w:r w:rsidRPr="007447C2">
        <w:t>These initiatives are outlined in Table 2 (Appendix)</w:t>
      </w:r>
      <w:r w:rsidR="00854A13">
        <w:t>, which displays the incorporation of medical, educational,</w:t>
      </w:r>
      <w:r w:rsidRPr="007447C2">
        <w:t xml:space="preserve"> and psychosocial elements in the UK services on the national and charitable platform. </w:t>
      </w:r>
      <w:r w:rsidR="00854A13">
        <w:lastRenderedPageBreak/>
        <w:t>Despite</w:t>
      </w:r>
      <w:r w:rsidRPr="007447C2">
        <w:t xml:space="preserve"> these interventions, there are still </w:t>
      </w:r>
      <w:r w:rsidR="00854A13">
        <w:t>significant</w:t>
      </w:r>
      <w:r w:rsidRPr="007447C2">
        <w:t xml:space="preserve"> limitations. The demand </w:t>
      </w:r>
      <w:r w:rsidR="00854A13">
        <w:t>for behavioural therapy is still uneven around the regions, especially outside of</w:t>
      </w:r>
      <w:r w:rsidRPr="007447C2">
        <w:t xml:space="preserve"> England. Limited follow-up after the treatment and stigma</w:t>
      </w:r>
      <w:r w:rsidR="00854A13">
        <w:t>, as well as parental guilt,</w:t>
      </w:r>
      <w:r w:rsidRPr="007447C2">
        <w:t xml:space="preserve"> tend to delay help-seeking and relapse as a consequence</w:t>
      </w:r>
      <w:r w:rsidR="00494ED3">
        <w:t xml:space="preserve"> (</w:t>
      </w:r>
      <w:proofErr w:type="spellStart"/>
      <w:r w:rsidR="00494ED3" w:rsidRPr="009A2FCF">
        <w:rPr>
          <w:rFonts w:cs="Arial"/>
          <w:szCs w:val="22"/>
        </w:rPr>
        <w:t>Karamaria</w:t>
      </w:r>
      <w:proofErr w:type="spellEnd"/>
      <w:r w:rsidR="00494ED3">
        <w:rPr>
          <w:rFonts w:cs="Arial"/>
          <w:szCs w:val="22"/>
        </w:rPr>
        <w:t xml:space="preserve"> et al., 2024)</w:t>
      </w:r>
      <w:r w:rsidRPr="007447C2">
        <w:t>. Thus, the most effective type of treatment is when the interventions are holistic (i.e. behavioural conditioning, family engagement, and psychosocial support) rather than medicalised.</w:t>
      </w:r>
    </w:p>
    <w:p w14:paraId="6D2C227A" w14:textId="5E84D9D4" w:rsidR="00E229E6" w:rsidRPr="00C77C03" w:rsidRDefault="00E229E6" w:rsidP="00E229E6">
      <w:pPr>
        <w:pStyle w:val="Heading1"/>
        <w:numPr>
          <w:ilvl w:val="0"/>
          <w:numId w:val="1"/>
        </w:numPr>
        <w:spacing w:line="360" w:lineRule="auto"/>
        <w:jc w:val="both"/>
        <w:rPr>
          <w:rFonts w:ascii="Arial" w:hAnsi="Arial" w:cs="Arial"/>
          <w:b/>
          <w:bCs/>
          <w:color w:val="auto"/>
          <w:sz w:val="32"/>
          <w:szCs w:val="32"/>
        </w:rPr>
      </w:pPr>
      <w:bookmarkStart w:id="3" w:name="_Toc211776023"/>
      <w:r w:rsidRPr="00C77C03">
        <w:rPr>
          <w:rFonts w:ascii="Arial" w:hAnsi="Arial" w:cs="Arial"/>
          <w:b/>
          <w:bCs/>
          <w:color w:val="auto"/>
          <w:sz w:val="32"/>
          <w:szCs w:val="32"/>
        </w:rPr>
        <w:t>Current Debates and Emerging Issues</w:t>
      </w:r>
      <w:bookmarkEnd w:id="3"/>
    </w:p>
    <w:p w14:paraId="4F425B77" w14:textId="476F1009" w:rsidR="00E21872" w:rsidRDefault="004D5943" w:rsidP="00A97048">
      <w:pPr>
        <w:spacing w:line="360" w:lineRule="auto"/>
        <w:jc w:val="both"/>
      </w:pPr>
      <w:r>
        <w:t>R</w:t>
      </w:r>
      <w:r w:rsidRPr="004D5943">
        <w:t xml:space="preserve">ecent discussions regarding Enuresis focus on whether it should be classified as a mental and behavioural disorder or it should be rehabilitated as a developmental regulation disorder. The proponents of the latter note that the behavioural framing of the ICD-11 poses a threat of </w:t>
      </w:r>
      <w:proofErr w:type="spellStart"/>
      <w:r w:rsidRPr="004D5943">
        <w:t>pathologising</w:t>
      </w:r>
      <w:proofErr w:type="spellEnd"/>
      <w:r w:rsidRPr="004D5943">
        <w:t xml:space="preserve"> a maturational delay prevalent at the beginning of childhood (</w:t>
      </w:r>
      <w:proofErr w:type="spellStart"/>
      <w:r w:rsidR="00CB2FE5" w:rsidRPr="009A2FCF">
        <w:rPr>
          <w:rFonts w:cs="Arial"/>
          <w:szCs w:val="22"/>
        </w:rPr>
        <w:t>Garralda</w:t>
      </w:r>
      <w:proofErr w:type="spellEnd"/>
      <w:r w:rsidR="00CB2FE5">
        <w:rPr>
          <w:rFonts w:cs="Arial"/>
          <w:szCs w:val="22"/>
        </w:rPr>
        <w:t xml:space="preserve"> </w:t>
      </w:r>
      <w:r w:rsidR="00CB2FE5" w:rsidRPr="009A2FCF">
        <w:rPr>
          <w:rFonts w:cs="Arial"/>
          <w:szCs w:val="22"/>
        </w:rPr>
        <w:t xml:space="preserve">and </w:t>
      </w:r>
      <w:proofErr w:type="spellStart"/>
      <w:r w:rsidR="00CB2FE5" w:rsidRPr="009A2FCF">
        <w:rPr>
          <w:rFonts w:cs="Arial"/>
          <w:szCs w:val="22"/>
        </w:rPr>
        <w:t>Tyrer</w:t>
      </w:r>
      <w:proofErr w:type="spellEnd"/>
      <w:r w:rsidR="00CB2FE5" w:rsidRPr="009A2FCF">
        <w:rPr>
          <w:rFonts w:cs="Arial"/>
          <w:szCs w:val="22"/>
        </w:rPr>
        <w:t>,</w:t>
      </w:r>
      <w:r w:rsidR="00CB2FE5">
        <w:rPr>
          <w:rFonts w:cs="Arial"/>
          <w:szCs w:val="22"/>
        </w:rPr>
        <w:t xml:space="preserve"> </w:t>
      </w:r>
      <w:r w:rsidR="00CB2FE5" w:rsidRPr="009A2FCF">
        <w:rPr>
          <w:rFonts w:cs="Arial"/>
          <w:szCs w:val="22"/>
        </w:rPr>
        <w:t>2023</w:t>
      </w:r>
      <w:r w:rsidRPr="004D5943">
        <w:t>). On the other hand, some believe that it should be included in the group of behavioural disorders having steadily correlated enuretic behaviour and stress regulation and emotional control systems (</w:t>
      </w:r>
      <w:r w:rsidR="00D52673" w:rsidRPr="009A2FCF">
        <w:rPr>
          <w:rFonts w:cs="Arial"/>
          <w:szCs w:val="22"/>
        </w:rPr>
        <w:t>Eliezer</w:t>
      </w:r>
      <w:r w:rsidR="00D52673">
        <w:rPr>
          <w:rFonts w:cs="Arial"/>
          <w:szCs w:val="22"/>
        </w:rPr>
        <w:t xml:space="preserve"> et al.</w:t>
      </w:r>
      <w:r w:rsidRPr="004D5943">
        <w:t>, 202</w:t>
      </w:r>
      <w:r w:rsidR="00801F9A">
        <w:t>3</w:t>
      </w:r>
      <w:r w:rsidRPr="004D5943">
        <w:t>). The tension indicates some general issues in developmental psychiatry concerning the boundary between behavioural immaturity and clinical dysfunction.</w:t>
      </w:r>
    </w:p>
    <w:p w14:paraId="34D106F4" w14:textId="38338FB6" w:rsidR="00A97048" w:rsidRPr="00A97048" w:rsidRDefault="004D5943" w:rsidP="00A97048">
      <w:pPr>
        <w:spacing w:line="360" w:lineRule="auto"/>
        <w:jc w:val="both"/>
        <w:rPr>
          <w:lang w:val="en-US"/>
        </w:rPr>
      </w:pPr>
      <w:r w:rsidRPr="004D5943">
        <w:t>According to neurobiological viewpoints, Enuresis is caused by the maturation of the central nervous system</w:t>
      </w:r>
      <w:r w:rsidR="00854A13">
        <w:t>,</w:t>
      </w:r>
      <w:r w:rsidRPr="004D5943">
        <w:t xml:space="preserve"> especially the brain-bladder signalling pathway</w:t>
      </w:r>
      <w:r w:rsidR="001A23DF">
        <w:t xml:space="preserve"> (</w:t>
      </w:r>
      <w:r w:rsidR="001A23DF" w:rsidRPr="009A2FCF">
        <w:rPr>
          <w:rFonts w:cs="Arial"/>
          <w:szCs w:val="22"/>
        </w:rPr>
        <w:t>Halász</w:t>
      </w:r>
      <w:r w:rsidR="001A23DF">
        <w:rPr>
          <w:rFonts w:cs="Arial"/>
          <w:szCs w:val="22"/>
        </w:rPr>
        <w:t xml:space="preserve"> </w:t>
      </w:r>
      <w:r w:rsidR="001A23DF" w:rsidRPr="009A2FCF">
        <w:rPr>
          <w:rFonts w:cs="Arial"/>
          <w:szCs w:val="22"/>
        </w:rPr>
        <w:t>and Szűcs, 2025</w:t>
      </w:r>
      <w:r w:rsidR="001A23DF">
        <w:rPr>
          <w:rFonts w:cs="Arial"/>
          <w:szCs w:val="22"/>
        </w:rPr>
        <w:t>)</w:t>
      </w:r>
      <w:r w:rsidRPr="004D5943">
        <w:t>. Nocturnal enuresis has been associated with poor arousal and inhibitory mechanisms, which place it as a lag in neurodevelopment as opposed to a disorder in itself (</w:t>
      </w:r>
      <w:r w:rsidR="00974992" w:rsidRPr="009A2FCF">
        <w:rPr>
          <w:rFonts w:cs="Arial"/>
          <w:szCs w:val="22"/>
        </w:rPr>
        <w:t>Dang</w:t>
      </w:r>
      <w:r w:rsidR="00974992">
        <w:rPr>
          <w:rFonts w:cs="Arial"/>
          <w:szCs w:val="22"/>
        </w:rPr>
        <w:t xml:space="preserve"> </w:t>
      </w:r>
      <w:r w:rsidR="00974992" w:rsidRPr="009A2FCF">
        <w:rPr>
          <w:rFonts w:cs="Arial"/>
          <w:szCs w:val="22"/>
        </w:rPr>
        <w:t>and Tang, 2021</w:t>
      </w:r>
      <w:r w:rsidRPr="004D5943">
        <w:t>). On the contrary, psychosocial theorists focus on family dynamics, stress, and trauma as the fundamental provoking factors</w:t>
      </w:r>
      <w:r w:rsidR="00272B57">
        <w:t xml:space="preserve"> (</w:t>
      </w:r>
      <w:proofErr w:type="spellStart"/>
      <w:r w:rsidR="00272B57" w:rsidRPr="009A2FCF">
        <w:rPr>
          <w:rFonts w:cs="Arial"/>
          <w:szCs w:val="22"/>
        </w:rPr>
        <w:t>Behilak</w:t>
      </w:r>
      <w:proofErr w:type="spellEnd"/>
      <w:r w:rsidR="00272B57">
        <w:rPr>
          <w:rFonts w:cs="Arial"/>
          <w:szCs w:val="22"/>
        </w:rPr>
        <w:t xml:space="preserve"> </w:t>
      </w:r>
      <w:r w:rsidR="00272B57" w:rsidRPr="009A2FCF">
        <w:rPr>
          <w:rFonts w:cs="Arial"/>
          <w:szCs w:val="22"/>
        </w:rPr>
        <w:t>and Ahmed, 2023</w:t>
      </w:r>
      <w:r w:rsidR="00272B57">
        <w:rPr>
          <w:rFonts w:cs="Arial"/>
          <w:szCs w:val="22"/>
        </w:rPr>
        <w:t>)</w:t>
      </w:r>
      <w:r w:rsidRPr="004D5943">
        <w:t xml:space="preserve">. According to </w:t>
      </w:r>
      <w:r w:rsidR="002B1894" w:rsidRPr="009A2FCF">
        <w:rPr>
          <w:rFonts w:cs="Arial"/>
          <w:szCs w:val="22"/>
        </w:rPr>
        <w:t>Warne</w:t>
      </w:r>
      <w:r w:rsidR="002B1894">
        <w:rPr>
          <w:rFonts w:cs="Arial"/>
          <w:szCs w:val="22"/>
        </w:rPr>
        <w:t xml:space="preserve"> </w:t>
      </w:r>
      <w:r w:rsidRPr="004D5943">
        <w:t xml:space="preserve">et al. (2022), </w:t>
      </w:r>
      <w:r w:rsidR="00854A13">
        <w:t>adverse</w:t>
      </w:r>
      <w:r w:rsidRPr="004D5943">
        <w:t xml:space="preserve"> childhood experiences and irregular parenting are strongly linked to relapse, which implies that Enuresis is </w:t>
      </w:r>
      <w:r w:rsidR="00854A13">
        <w:t xml:space="preserve">an environmental response as well </w:t>
      </w:r>
      <w:r w:rsidRPr="004D5943">
        <w:t>as a physiological one.</w:t>
      </w:r>
    </w:p>
    <w:p w14:paraId="24F3E029" w14:textId="5BAD06BA" w:rsidR="00764422" w:rsidRDefault="00764422" w:rsidP="00E229E6">
      <w:pPr>
        <w:spacing w:line="360" w:lineRule="auto"/>
        <w:jc w:val="both"/>
      </w:pPr>
      <w:r w:rsidRPr="00764422">
        <w:t xml:space="preserve">Diagnosis is also hindered by gender and cultural prejudices. There is a higher rate of calling a disorder in boys and a tendency to attribute </w:t>
      </w:r>
      <w:r w:rsidR="00854A13">
        <w:t>the symptoms of the day to anxiety or behaviour resistance in girls because of an ingrained gender stereotype in</w:t>
      </w:r>
      <w:r w:rsidRPr="00764422">
        <w:t xml:space="preserve"> child psychiatry</w:t>
      </w:r>
      <w:r w:rsidR="00484559">
        <w:t xml:space="preserve"> (</w:t>
      </w:r>
      <w:r w:rsidR="00484559" w:rsidRPr="009A2FCF">
        <w:rPr>
          <w:rFonts w:cs="Arial"/>
          <w:szCs w:val="22"/>
        </w:rPr>
        <w:t>Pole</w:t>
      </w:r>
      <w:r w:rsidR="00484559">
        <w:rPr>
          <w:rFonts w:cs="Arial"/>
          <w:szCs w:val="22"/>
        </w:rPr>
        <w:t xml:space="preserve"> et al., 2022)</w:t>
      </w:r>
      <w:r w:rsidRPr="00764422">
        <w:t xml:space="preserve">. Toilet training expectations are also culturally conditioned; in one culture, what is considered pathological can be </w:t>
      </w:r>
      <w:r w:rsidR="00854A13">
        <w:t>regarded as</w:t>
      </w:r>
      <w:r w:rsidRPr="00764422">
        <w:t xml:space="preserve"> normal development in another culture.</w:t>
      </w:r>
    </w:p>
    <w:p w14:paraId="67802158" w14:textId="39ACC720" w:rsidR="00764422" w:rsidRDefault="00764422" w:rsidP="00E229E6">
      <w:pPr>
        <w:spacing w:line="360" w:lineRule="auto"/>
        <w:jc w:val="both"/>
      </w:pPr>
      <w:r w:rsidRPr="00764422">
        <w:t xml:space="preserve">There are ethical issues regarding the use of psychotropic medication, e.g. imipramine, </w:t>
      </w:r>
      <w:r w:rsidR="00854A13">
        <w:t>for an absolute</w:t>
      </w:r>
      <w:r w:rsidRPr="00764422">
        <w:t xml:space="preserve"> behavioural problem</w:t>
      </w:r>
      <w:r w:rsidR="007E1B75">
        <w:t xml:space="preserve"> (</w:t>
      </w:r>
      <w:r w:rsidR="007E1B75" w:rsidRPr="009A2FCF">
        <w:rPr>
          <w:rFonts w:cs="Arial"/>
          <w:szCs w:val="22"/>
          <w:lang w:val="en-US"/>
        </w:rPr>
        <w:t>Mello</w:t>
      </w:r>
      <w:r w:rsidR="007E1B75">
        <w:rPr>
          <w:rFonts w:cs="Arial"/>
          <w:szCs w:val="22"/>
          <w:lang w:val="en-US"/>
        </w:rPr>
        <w:t xml:space="preserve"> et al., 2023)</w:t>
      </w:r>
      <w:r w:rsidRPr="00764422">
        <w:t xml:space="preserve">. There is uncertainty in the efficacy of </w:t>
      </w:r>
      <w:r w:rsidRPr="00764422">
        <w:lastRenderedPageBreak/>
        <w:t xml:space="preserve">medicating kids as an Enuresis therapy due to the concern </w:t>
      </w:r>
      <w:r w:rsidR="00854A13">
        <w:t xml:space="preserve">that </w:t>
      </w:r>
      <w:r w:rsidRPr="00764422">
        <w:t xml:space="preserve">it may represent a sign of clinical necessity or parental coercion </w:t>
      </w:r>
      <w:r w:rsidR="00854A13">
        <w:t>to fix the symptom quickly</w:t>
      </w:r>
      <w:r w:rsidRPr="00764422">
        <w:t xml:space="preserve">. The neurodiversity movement has also highlighted the pathologisation of Enuresis and questioned it as a temporary deviation in the developmental schedules as opposed to a condition that </w:t>
      </w:r>
      <w:r w:rsidR="00854A13">
        <w:t>requires</w:t>
      </w:r>
      <w:r w:rsidRPr="00764422">
        <w:t xml:space="preserve"> medicalisation to be termed a medical condition</w:t>
      </w:r>
      <w:r w:rsidR="00112084">
        <w:t xml:space="preserve"> (</w:t>
      </w:r>
      <w:r w:rsidR="00112084" w:rsidRPr="009A2FCF">
        <w:rPr>
          <w:rFonts w:cs="Arial"/>
          <w:szCs w:val="22"/>
        </w:rPr>
        <w:t>Illingworth, 2021)</w:t>
      </w:r>
      <w:r w:rsidRPr="00764422">
        <w:t>.</w:t>
      </w:r>
    </w:p>
    <w:p w14:paraId="24478AF6" w14:textId="3FE9E706" w:rsidR="00764422" w:rsidRDefault="00764422" w:rsidP="00E229E6">
      <w:pPr>
        <w:spacing w:line="360" w:lineRule="auto"/>
        <w:jc w:val="both"/>
      </w:pPr>
      <w:r w:rsidRPr="00764422">
        <w:t xml:space="preserve">Policy efforts in the UK are more in line with international standards, including </w:t>
      </w:r>
      <w:r w:rsidR="00854A13">
        <w:t>those</w:t>
      </w:r>
      <w:r w:rsidRPr="00764422">
        <w:t xml:space="preserve"> of the WHO in its Mental Health Action Plan (2023-2030), which focuses on </w:t>
      </w:r>
      <w:r w:rsidR="00854A13">
        <w:t>avoiding the use of stigmatising terminologies and adopting</w:t>
      </w:r>
      <w:r w:rsidRPr="00764422">
        <w:t xml:space="preserve"> dignity-oriented child care</w:t>
      </w:r>
      <w:r w:rsidR="00CD657E" w:rsidRPr="00CD657E">
        <w:t> (World Health Organization, 2021)</w:t>
      </w:r>
      <w:r w:rsidRPr="00764422">
        <w:t xml:space="preserve">. </w:t>
      </w:r>
      <w:r w:rsidR="003D2D3E" w:rsidRPr="008C13B9">
        <w:rPr>
          <w:rFonts w:cs="Arial"/>
          <w:szCs w:val="22"/>
        </w:rPr>
        <w:t>Alford</w:t>
      </w:r>
      <w:r w:rsidR="003D2D3E">
        <w:rPr>
          <w:rFonts w:cs="Arial"/>
          <w:szCs w:val="22"/>
        </w:rPr>
        <w:t xml:space="preserve"> </w:t>
      </w:r>
      <w:r w:rsidR="003D2D3E" w:rsidRPr="008C13B9">
        <w:rPr>
          <w:rFonts w:cs="Arial"/>
          <w:szCs w:val="22"/>
        </w:rPr>
        <w:t>(2025</w:t>
      </w:r>
      <w:r w:rsidRPr="00764422">
        <w:t xml:space="preserve">) </w:t>
      </w:r>
      <w:r w:rsidR="003D2D3E">
        <w:t>argue</w:t>
      </w:r>
      <w:r w:rsidRPr="00764422">
        <w:t>, however, that even as many rhetorical efforts have been made to become more progressive, clinical practice continues to become skewed toward medicalisation as opposed to developmental understanding.</w:t>
      </w:r>
    </w:p>
    <w:p w14:paraId="1CF0C540" w14:textId="5A7A0166" w:rsidR="00892956" w:rsidRPr="00764422" w:rsidRDefault="00764422" w:rsidP="00E229E6">
      <w:pPr>
        <w:spacing w:line="360" w:lineRule="auto"/>
        <w:jc w:val="both"/>
      </w:pPr>
      <w:r w:rsidRPr="00764422">
        <w:t>To address the professional practice, these discussions highlight the importance of integrated care channels that will combine the fields of paediatrics, psychology, and social work. Disjointed treatment models may also lead to ignoring a combination of neurological, emotional, and social factors. The most ethically and clinically sustainable Enuresis management path in the UK is a holistic family-centred</w:t>
      </w:r>
      <w:r w:rsidR="00854A13">
        <w:t>,</w:t>
      </w:r>
      <w:r w:rsidRPr="00764422">
        <w:t xml:space="preserve"> culturally sensitive approach</w:t>
      </w:r>
      <w:r w:rsidR="00A97048" w:rsidRPr="00A97048">
        <w:rPr>
          <w:lang w:val="en-US"/>
        </w:rPr>
        <w:t>.</w:t>
      </w:r>
    </w:p>
    <w:p w14:paraId="37A7A8B7" w14:textId="77777777" w:rsidR="00E229E6" w:rsidRPr="00C77C03" w:rsidRDefault="00E229E6" w:rsidP="00E229E6">
      <w:pPr>
        <w:pStyle w:val="Heading1"/>
        <w:numPr>
          <w:ilvl w:val="0"/>
          <w:numId w:val="1"/>
        </w:numPr>
        <w:spacing w:line="360" w:lineRule="auto"/>
        <w:jc w:val="both"/>
        <w:rPr>
          <w:rFonts w:ascii="Arial" w:hAnsi="Arial" w:cs="Arial"/>
          <w:b/>
          <w:bCs/>
          <w:color w:val="auto"/>
          <w:sz w:val="32"/>
          <w:szCs w:val="32"/>
        </w:rPr>
      </w:pPr>
      <w:bookmarkStart w:id="4" w:name="_Toc211776024"/>
      <w:r w:rsidRPr="00C77C03">
        <w:rPr>
          <w:rFonts w:ascii="Arial" w:hAnsi="Arial" w:cs="Arial"/>
          <w:b/>
          <w:bCs/>
          <w:color w:val="auto"/>
          <w:sz w:val="32"/>
          <w:szCs w:val="32"/>
        </w:rPr>
        <w:t>Recommendations</w:t>
      </w:r>
      <w:bookmarkEnd w:id="4"/>
    </w:p>
    <w:p w14:paraId="2860CDFA" w14:textId="4CE78D46" w:rsidR="00112EB9" w:rsidRPr="00112EB9" w:rsidRDefault="00755D6B" w:rsidP="00E229E6">
      <w:pPr>
        <w:spacing w:line="360" w:lineRule="auto"/>
        <w:jc w:val="both"/>
        <w:rPr>
          <w:lang w:val="en-US"/>
        </w:rPr>
      </w:pPr>
      <w:r w:rsidRPr="00755D6B">
        <w:t>As a means of improving clinical accuracy and lessening stigma, it is suggested that Enuresis be re-coded in the next version of the ICD-11 to be a developmental continence disorder as opposed to a purely behavioural disorder. This would more accurately represent existing neurodevelopmental research</w:t>
      </w:r>
      <w:r w:rsidR="00854A13">
        <w:t>, which indicates that delayed development of bladder control is due to central nervous system maturation,</w:t>
      </w:r>
      <w:r w:rsidRPr="00755D6B">
        <w:t xml:space="preserve"> and </w:t>
      </w:r>
      <w:r w:rsidR="00311379">
        <w:t xml:space="preserve">would </w:t>
      </w:r>
      <w:r w:rsidRPr="00755D6B">
        <w:t>eliminate the moralising nature usually resulting in parental blame</w:t>
      </w:r>
      <w:r w:rsidR="00BD4A98">
        <w:t xml:space="preserve"> (</w:t>
      </w:r>
      <w:r w:rsidR="00BD4A98" w:rsidRPr="008C13B9">
        <w:rPr>
          <w:rFonts w:cs="Arial"/>
          <w:szCs w:val="22"/>
        </w:rPr>
        <w:t>Smit and Bakker, 2021</w:t>
      </w:r>
      <w:r w:rsidR="00BD4A98">
        <w:rPr>
          <w:rFonts w:cs="Arial"/>
          <w:szCs w:val="22"/>
        </w:rPr>
        <w:t>)</w:t>
      </w:r>
      <w:r w:rsidRPr="00755D6B">
        <w:t xml:space="preserve">. Second, the NHS continence pathways need to </w:t>
      </w:r>
      <w:r w:rsidR="00854A13">
        <w:t>consider psychological screening of stress, trauma and family conflict</w:t>
      </w:r>
      <w:r w:rsidR="000F4149">
        <w:t xml:space="preserve"> (</w:t>
      </w:r>
      <w:r w:rsidR="000F4149" w:rsidRPr="008C13B9">
        <w:rPr>
          <w:rFonts w:cs="Arial"/>
          <w:szCs w:val="22"/>
        </w:rPr>
        <w:t>Yates, 2021)</w:t>
      </w:r>
      <w:r w:rsidR="00854A13">
        <w:t>;</w:t>
      </w:r>
      <w:r w:rsidRPr="00755D6B">
        <w:t xml:space="preserve"> these psychosocial conditions often co-exist with nocturnal Enuresis. </w:t>
      </w:r>
      <w:r w:rsidR="0053162E" w:rsidRPr="0053162E">
        <w:t xml:space="preserve">ERIC's </w:t>
      </w:r>
      <w:r w:rsidRPr="0053162E">
        <w:t>Child Continence Pathway (</w:t>
      </w:r>
      <w:r w:rsidR="0053162E" w:rsidRPr="0053162E">
        <w:t xml:space="preserve">ERIC, </w:t>
      </w:r>
      <w:r w:rsidR="0053162E" w:rsidRPr="008C13B9">
        <w:rPr>
          <w:lang w:val="en-US"/>
        </w:rPr>
        <w:t>2022</w:t>
      </w:r>
      <w:r w:rsidRPr="0053162E">
        <w:t xml:space="preserve">) is an example of an effective model of integrating mental health assessment in the care of the </w:t>
      </w:r>
      <w:proofErr w:type="spellStart"/>
      <w:r w:rsidRPr="0053162E">
        <w:t>continuent</w:t>
      </w:r>
      <w:proofErr w:type="spellEnd"/>
      <w:r w:rsidRPr="0053162E">
        <w:t>. Lastly, the establishment of more Integrat</w:t>
      </w:r>
      <w:r w:rsidRPr="00755D6B">
        <w:t>ed Care System (ICS)-based continence clinics throughout the UK would advance the equity of access and decrease the delay in the treatment, which is in line with the NHS Long Term Plan (</w:t>
      </w:r>
      <w:r w:rsidR="002B3B9B" w:rsidRPr="002B3B9B">
        <w:t>NHS England, 2019</w:t>
      </w:r>
      <w:r w:rsidRPr="00755D6B">
        <w:t xml:space="preserve">) and the Children and Young People Mental Health Green Paper </w:t>
      </w:r>
      <w:r w:rsidR="00FB5257" w:rsidRPr="00FB5257">
        <w:t>(Department of Health and Department of Education, 2017</w:t>
      </w:r>
      <w:r w:rsidRPr="00755D6B">
        <w:t>), all of which propose early and holistic child-related intervention</w:t>
      </w:r>
      <w:r w:rsidR="00112EB9" w:rsidRPr="00112EB9">
        <w:rPr>
          <w:lang w:val="en-US"/>
        </w:rPr>
        <w:t>.</w:t>
      </w:r>
    </w:p>
    <w:p w14:paraId="57EBBC71" w14:textId="55E7C61A" w:rsidR="00E229E6" w:rsidRPr="00C77C03" w:rsidRDefault="00E229E6" w:rsidP="00E229E6">
      <w:pPr>
        <w:pStyle w:val="Heading1"/>
        <w:numPr>
          <w:ilvl w:val="0"/>
          <w:numId w:val="1"/>
        </w:numPr>
        <w:spacing w:line="360" w:lineRule="auto"/>
        <w:jc w:val="both"/>
        <w:rPr>
          <w:rFonts w:ascii="Arial" w:hAnsi="Arial" w:cs="Arial"/>
          <w:b/>
          <w:bCs/>
          <w:color w:val="auto"/>
          <w:sz w:val="32"/>
          <w:szCs w:val="32"/>
        </w:rPr>
      </w:pPr>
      <w:bookmarkStart w:id="5" w:name="_Toc211776025"/>
      <w:r w:rsidRPr="00C77C03">
        <w:rPr>
          <w:rFonts w:ascii="Arial" w:hAnsi="Arial" w:cs="Arial"/>
          <w:b/>
          <w:bCs/>
          <w:color w:val="auto"/>
          <w:sz w:val="32"/>
          <w:szCs w:val="32"/>
        </w:rPr>
        <w:lastRenderedPageBreak/>
        <w:t>Conclusion</w:t>
      </w:r>
      <w:bookmarkEnd w:id="5"/>
      <w:r w:rsidRPr="00C77C03">
        <w:rPr>
          <w:rFonts w:ascii="Arial" w:hAnsi="Arial" w:cs="Arial"/>
          <w:b/>
          <w:bCs/>
          <w:color w:val="auto"/>
          <w:sz w:val="32"/>
          <w:szCs w:val="32"/>
        </w:rPr>
        <w:t xml:space="preserve"> </w:t>
      </w:r>
    </w:p>
    <w:p w14:paraId="138CF38F" w14:textId="54638389" w:rsidR="00E229E6" w:rsidRPr="00BF6639" w:rsidRDefault="00755D6B" w:rsidP="00BF6639">
      <w:pPr>
        <w:spacing w:line="360" w:lineRule="auto"/>
        <w:jc w:val="both"/>
      </w:pPr>
      <w:r w:rsidRPr="00755D6B">
        <w:t xml:space="preserve">Enuresis is a complicated condition that straddles the boundaries between behavioural, developmental and psychosocial realms. Although ICD-11 is more comprehensive, the current controversy </w:t>
      </w:r>
      <w:r w:rsidR="00311379">
        <w:t>highlights the need for</w:t>
      </w:r>
      <w:r w:rsidRPr="00755D6B">
        <w:t xml:space="preserve"> better delimitation of diagnoses and cultural sensitivity. There is continued evidence of multidisciplinary and family-centred solutions, which involve the combination of behavioural, medical, and psychological care, as opposed to pharmacological treatment only. The revised NICE guidelines and NHS services on continence can close existing gaps in access and diagnosis in the UK context. Finally, it is essential to </w:t>
      </w:r>
      <w:r w:rsidR="00311379">
        <w:t>reduce the level of stigma and enhance integrated early interventions that will lead to better results and improve the ability to support</w:t>
      </w:r>
      <w:r w:rsidRPr="00755D6B">
        <w:t xml:space="preserve"> the dignity of the families of affected children</w:t>
      </w:r>
      <w:r w:rsidR="00327AA9" w:rsidRPr="00327AA9">
        <w:t>.</w:t>
      </w:r>
    </w:p>
    <w:p w14:paraId="588F8B64" w14:textId="77777777" w:rsidR="000949EA" w:rsidRDefault="000949EA">
      <w:pPr>
        <w:rPr>
          <w:rFonts w:cs="Arial"/>
          <w:b/>
          <w:bCs/>
          <w:sz w:val="32"/>
          <w:szCs w:val="32"/>
        </w:rPr>
      </w:pPr>
      <w:r>
        <w:rPr>
          <w:rFonts w:cs="Arial"/>
          <w:b/>
          <w:bCs/>
          <w:sz w:val="32"/>
          <w:szCs w:val="32"/>
        </w:rPr>
        <w:br w:type="page"/>
      </w:r>
    </w:p>
    <w:p w14:paraId="431A44DC" w14:textId="5332A277" w:rsidR="00E229E6" w:rsidRDefault="00E229E6" w:rsidP="00A9060C">
      <w:pPr>
        <w:pStyle w:val="Heading1"/>
        <w:spacing w:line="360" w:lineRule="auto"/>
        <w:jc w:val="both"/>
        <w:rPr>
          <w:rFonts w:ascii="Arial" w:hAnsi="Arial" w:cs="Arial"/>
          <w:b/>
          <w:bCs/>
          <w:color w:val="auto"/>
          <w:sz w:val="32"/>
          <w:szCs w:val="32"/>
        </w:rPr>
      </w:pPr>
      <w:bookmarkStart w:id="6" w:name="_Toc211776026"/>
      <w:r w:rsidRPr="00C77C03">
        <w:rPr>
          <w:rFonts w:ascii="Arial" w:hAnsi="Arial" w:cs="Arial"/>
          <w:b/>
          <w:bCs/>
          <w:color w:val="auto"/>
          <w:sz w:val="32"/>
          <w:szCs w:val="32"/>
        </w:rPr>
        <w:lastRenderedPageBreak/>
        <w:t>References</w:t>
      </w:r>
      <w:bookmarkEnd w:id="6"/>
    </w:p>
    <w:p w14:paraId="29AB099A" w14:textId="77777777" w:rsidR="00E36152" w:rsidRDefault="00E36152" w:rsidP="00E36152">
      <w:pPr>
        <w:spacing w:after="0" w:line="360" w:lineRule="auto"/>
        <w:jc w:val="both"/>
        <w:rPr>
          <w:rFonts w:cs="Arial"/>
          <w:szCs w:val="22"/>
          <w:lang w:val="en-US"/>
        </w:rPr>
      </w:pPr>
      <w:r w:rsidRPr="00E25F6B">
        <w:rPr>
          <w:rFonts w:cs="Arial"/>
          <w:szCs w:val="22"/>
          <w:lang w:val="en-US"/>
        </w:rPr>
        <w:t xml:space="preserve">Adisu, M.A., Habtie, T.E., Munie, M.A., Bizuayehu, M.A., Zemariam, A.B. and </w:t>
      </w:r>
      <w:proofErr w:type="spellStart"/>
      <w:r w:rsidRPr="00E25F6B">
        <w:rPr>
          <w:rFonts w:cs="Arial"/>
          <w:szCs w:val="22"/>
          <w:lang w:val="en-US"/>
        </w:rPr>
        <w:t>Derso</w:t>
      </w:r>
      <w:proofErr w:type="spellEnd"/>
      <w:r w:rsidRPr="00E25F6B">
        <w:rPr>
          <w:rFonts w:cs="Arial"/>
          <w:szCs w:val="22"/>
          <w:lang w:val="en-US"/>
        </w:rPr>
        <w:t>, Y.A. (2025). Global prevalence of nocturnal enuresis and associated factors among children and adolescents: a systematic review and meta-analysis. </w:t>
      </w:r>
      <w:r w:rsidRPr="00E25F6B">
        <w:rPr>
          <w:rFonts w:cs="Arial"/>
          <w:i/>
          <w:iCs/>
          <w:szCs w:val="22"/>
          <w:lang w:val="en-US"/>
        </w:rPr>
        <w:t>Child and Adolescent Psychiatry and Mental Health</w:t>
      </w:r>
      <w:r w:rsidRPr="00E25F6B">
        <w:rPr>
          <w:rFonts w:cs="Arial"/>
          <w:szCs w:val="22"/>
          <w:lang w:val="en-US"/>
        </w:rPr>
        <w:t xml:space="preserve">, 19(1). </w:t>
      </w:r>
      <w:proofErr w:type="spellStart"/>
      <w:r w:rsidRPr="00E25F6B">
        <w:rPr>
          <w:rFonts w:cs="Arial"/>
          <w:szCs w:val="22"/>
          <w:lang w:val="en-US"/>
        </w:rPr>
        <w:t>doi:https</w:t>
      </w:r>
      <w:proofErr w:type="spellEnd"/>
      <w:r w:rsidRPr="00E25F6B">
        <w:rPr>
          <w:rFonts w:cs="Arial"/>
          <w:szCs w:val="22"/>
          <w:lang w:val="en-US"/>
        </w:rPr>
        <w:t>://doi.org/10.1186/s13034-025-00880-x.</w:t>
      </w:r>
    </w:p>
    <w:p w14:paraId="219C109F" w14:textId="77777777" w:rsidR="00E36152" w:rsidRDefault="00E36152" w:rsidP="00E36152">
      <w:pPr>
        <w:spacing w:after="0" w:line="360" w:lineRule="auto"/>
        <w:jc w:val="both"/>
        <w:rPr>
          <w:rFonts w:cs="Arial"/>
          <w:szCs w:val="22"/>
        </w:rPr>
      </w:pPr>
      <w:r w:rsidRPr="008C13B9">
        <w:rPr>
          <w:rFonts w:cs="Arial"/>
          <w:szCs w:val="22"/>
        </w:rPr>
        <w:t>Alford, L. (2025). Medicalisation, development and adult power: Exploring the contributions of the medical system to child disenfranchisement in theory and society. </w:t>
      </w:r>
      <w:r w:rsidRPr="008C13B9">
        <w:rPr>
          <w:rFonts w:cs="Arial"/>
          <w:i/>
          <w:iCs/>
          <w:szCs w:val="22"/>
        </w:rPr>
        <w:t>Children &amp; Society</w:t>
      </w:r>
      <w:r w:rsidRPr="008C13B9">
        <w:rPr>
          <w:rFonts w:cs="Arial"/>
          <w:szCs w:val="22"/>
        </w:rPr>
        <w:t>, </w:t>
      </w:r>
      <w:r w:rsidRPr="008C13B9">
        <w:rPr>
          <w:rFonts w:cs="Arial"/>
          <w:i/>
          <w:iCs/>
          <w:szCs w:val="22"/>
        </w:rPr>
        <w:t>39</w:t>
      </w:r>
      <w:r w:rsidRPr="008C13B9">
        <w:rPr>
          <w:rFonts w:cs="Arial"/>
          <w:szCs w:val="22"/>
        </w:rPr>
        <w:t xml:space="preserve">(2), </w:t>
      </w:r>
      <w:r>
        <w:rPr>
          <w:rFonts w:cs="Arial"/>
          <w:szCs w:val="22"/>
        </w:rPr>
        <w:t>pp.</w:t>
      </w:r>
      <w:r w:rsidRPr="008C13B9">
        <w:rPr>
          <w:rFonts w:cs="Arial"/>
          <w:szCs w:val="22"/>
        </w:rPr>
        <w:t>402-422.</w:t>
      </w:r>
    </w:p>
    <w:p w14:paraId="7B3655A9" w14:textId="77777777" w:rsidR="00E36152" w:rsidRPr="00E25F6B" w:rsidRDefault="00E36152" w:rsidP="00E36152">
      <w:pPr>
        <w:spacing w:after="0" w:line="360" w:lineRule="auto"/>
        <w:jc w:val="both"/>
        <w:rPr>
          <w:rFonts w:cs="Arial"/>
          <w:szCs w:val="22"/>
          <w:lang w:val="en-US"/>
        </w:rPr>
      </w:pPr>
      <w:r w:rsidRPr="007875B7">
        <w:rPr>
          <w:rFonts w:cs="Arial"/>
          <w:szCs w:val="22"/>
        </w:rPr>
        <w:t xml:space="preserve">Ata, S., Yener, S. and </w:t>
      </w:r>
      <w:proofErr w:type="spellStart"/>
      <w:r w:rsidRPr="007875B7">
        <w:rPr>
          <w:rFonts w:cs="Arial"/>
          <w:szCs w:val="22"/>
        </w:rPr>
        <w:t>Hacıhamdioğlu</w:t>
      </w:r>
      <w:proofErr w:type="spellEnd"/>
      <w:r w:rsidRPr="007875B7">
        <w:rPr>
          <w:rFonts w:cs="Arial"/>
          <w:szCs w:val="22"/>
        </w:rPr>
        <w:t xml:space="preserve">, D.Ö. </w:t>
      </w:r>
      <w:r>
        <w:rPr>
          <w:rFonts w:cs="Arial"/>
          <w:szCs w:val="22"/>
        </w:rPr>
        <w:t>(</w:t>
      </w:r>
      <w:r w:rsidRPr="007875B7">
        <w:rPr>
          <w:rFonts w:cs="Arial"/>
          <w:szCs w:val="22"/>
        </w:rPr>
        <w:t>2025</w:t>
      </w:r>
      <w:r>
        <w:rPr>
          <w:rFonts w:cs="Arial"/>
          <w:szCs w:val="22"/>
        </w:rPr>
        <w:t>)</w:t>
      </w:r>
      <w:r w:rsidRPr="007875B7">
        <w:rPr>
          <w:rFonts w:cs="Arial"/>
          <w:szCs w:val="22"/>
        </w:rPr>
        <w:t xml:space="preserve">. A pilot single </w:t>
      </w:r>
      <w:proofErr w:type="spellStart"/>
      <w:r w:rsidRPr="007875B7">
        <w:rPr>
          <w:rFonts w:cs="Arial"/>
          <w:szCs w:val="22"/>
        </w:rPr>
        <w:t>center</w:t>
      </w:r>
      <w:proofErr w:type="spellEnd"/>
      <w:r w:rsidRPr="007875B7">
        <w:rPr>
          <w:rFonts w:cs="Arial"/>
          <w:szCs w:val="22"/>
        </w:rPr>
        <w:t xml:space="preserve"> study in children with enuresis; exploring frequency and </w:t>
      </w:r>
      <w:proofErr w:type="spellStart"/>
      <w:r w:rsidRPr="007875B7">
        <w:rPr>
          <w:rFonts w:cs="Arial"/>
          <w:szCs w:val="22"/>
        </w:rPr>
        <w:t>charecteristics</w:t>
      </w:r>
      <w:proofErr w:type="spellEnd"/>
      <w:r w:rsidRPr="007875B7">
        <w:rPr>
          <w:rFonts w:cs="Arial"/>
          <w:szCs w:val="22"/>
        </w:rPr>
        <w:t xml:space="preserve"> of monosymptomatic and non-monosymptomatic nocturnal enuresis. </w:t>
      </w:r>
      <w:r w:rsidRPr="007875B7">
        <w:rPr>
          <w:rFonts w:cs="Arial"/>
          <w:i/>
          <w:iCs/>
          <w:szCs w:val="22"/>
        </w:rPr>
        <w:t>BMC urology</w:t>
      </w:r>
      <w:r w:rsidRPr="007875B7">
        <w:rPr>
          <w:rFonts w:cs="Arial"/>
          <w:szCs w:val="22"/>
        </w:rPr>
        <w:t>, </w:t>
      </w:r>
      <w:r w:rsidRPr="007875B7">
        <w:rPr>
          <w:rFonts w:cs="Arial"/>
          <w:i/>
          <w:iCs/>
          <w:szCs w:val="22"/>
        </w:rPr>
        <w:t>25</w:t>
      </w:r>
      <w:r w:rsidRPr="007875B7">
        <w:rPr>
          <w:rFonts w:cs="Arial"/>
          <w:szCs w:val="22"/>
        </w:rPr>
        <w:t>(1), p.195.</w:t>
      </w:r>
    </w:p>
    <w:p w14:paraId="6E81338C" w14:textId="77777777" w:rsidR="00E36152" w:rsidRDefault="00E36152" w:rsidP="00E36152">
      <w:pPr>
        <w:spacing w:after="0" w:line="360" w:lineRule="auto"/>
        <w:jc w:val="both"/>
        <w:rPr>
          <w:rFonts w:cs="Arial"/>
          <w:szCs w:val="22"/>
        </w:rPr>
      </w:pPr>
      <w:r w:rsidRPr="009A2FCF">
        <w:rPr>
          <w:rFonts w:cs="Arial"/>
          <w:szCs w:val="22"/>
        </w:rPr>
        <w:t xml:space="preserve">Behilak, S. and Ahmed, A. </w:t>
      </w:r>
      <w:r>
        <w:rPr>
          <w:rFonts w:cs="Arial"/>
          <w:szCs w:val="22"/>
        </w:rPr>
        <w:t>(</w:t>
      </w:r>
      <w:r w:rsidRPr="009A2FCF">
        <w:rPr>
          <w:rFonts w:cs="Arial"/>
          <w:szCs w:val="22"/>
        </w:rPr>
        <w:t>2023</w:t>
      </w:r>
      <w:r>
        <w:rPr>
          <w:rFonts w:cs="Arial"/>
          <w:szCs w:val="22"/>
        </w:rPr>
        <w:t>)</w:t>
      </w:r>
      <w:r w:rsidRPr="009A2FCF">
        <w:rPr>
          <w:rFonts w:cs="Arial"/>
          <w:szCs w:val="22"/>
        </w:rPr>
        <w:t>. Early Childhood Psycho-trauma and Psychological Immunity among Children with Nocturnal Enuresis. </w:t>
      </w:r>
      <w:r w:rsidRPr="009A2FCF">
        <w:rPr>
          <w:rFonts w:cs="Arial"/>
          <w:i/>
          <w:iCs/>
          <w:szCs w:val="22"/>
        </w:rPr>
        <w:t>Egyptian Journal of Health Care</w:t>
      </w:r>
      <w:r w:rsidRPr="009A2FCF">
        <w:rPr>
          <w:rFonts w:cs="Arial"/>
          <w:szCs w:val="22"/>
        </w:rPr>
        <w:t>, </w:t>
      </w:r>
      <w:r w:rsidRPr="009A2FCF">
        <w:rPr>
          <w:rFonts w:cs="Arial"/>
          <w:i/>
          <w:iCs/>
          <w:szCs w:val="22"/>
        </w:rPr>
        <w:t>14</w:t>
      </w:r>
      <w:r w:rsidRPr="009A2FCF">
        <w:rPr>
          <w:rFonts w:cs="Arial"/>
          <w:szCs w:val="22"/>
        </w:rPr>
        <w:t>(1), pp.611-623.</w:t>
      </w:r>
    </w:p>
    <w:p w14:paraId="6DA36523" w14:textId="77777777" w:rsidR="00E36152" w:rsidRDefault="00E36152" w:rsidP="00E36152">
      <w:pPr>
        <w:spacing w:after="0" w:line="360" w:lineRule="auto"/>
        <w:jc w:val="both"/>
        <w:rPr>
          <w:rFonts w:cs="Arial"/>
          <w:szCs w:val="22"/>
          <w:lang w:val="en-US"/>
        </w:rPr>
      </w:pPr>
      <w:r w:rsidRPr="007875B7">
        <w:rPr>
          <w:rFonts w:cs="Arial"/>
          <w:szCs w:val="22"/>
          <w:lang w:val="en-US"/>
        </w:rPr>
        <w:t xml:space="preserve">Caldwell, P. and </w:t>
      </w:r>
      <w:proofErr w:type="spellStart"/>
      <w:r w:rsidRPr="007875B7">
        <w:rPr>
          <w:rFonts w:cs="Arial"/>
          <w:szCs w:val="22"/>
          <w:lang w:val="en-US"/>
        </w:rPr>
        <w:t>Gontard</w:t>
      </w:r>
      <w:proofErr w:type="spellEnd"/>
      <w:r w:rsidRPr="007875B7">
        <w:rPr>
          <w:rFonts w:cs="Arial"/>
          <w:szCs w:val="22"/>
          <w:lang w:val="en-US"/>
        </w:rPr>
        <w:t>, A. von (2017). Enuresis. </w:t>
      </w:r>
      <w:r w:rsidRPr="007875B7">
        <w:rPr>
          <w:rFonts w:cs="Arial"/>
          <w:i/>
          <w:iCs/>
          <w:szCs w:val="22"/>
          <w:lang w:val="en-US"/>
        </w:rPr>
        <w:t>Springer eBooks</w:t>
      </w:r>
      <w:r w:rsidRPr="007875B7">
        <w:rPr>
          <w:rFonts w:cs="Arial"/>
          <w:szCs w:val="22"/>
          <w:lang w:val="en-US"/>
        </w:rPr>
        <w:t xml:space="preserve">, pp.453–465. </w:t>
      </w:r>
      <w:proofErr w:type="spellStart"/>
      <w:r w:rsidRPr="007875B7">
        <w:rPr>
          <w:rFonts w:cs="Arial"/>
          <w:szCs w:val="22"/>
          <w:lang w:val="en-US"/>
        </w:rPr>
        <w:t>doi:https</w:t>
      </w:r>
      <w:proofErr w:type="spellEnd"/>
      <w:r w:rsidRPr="007875B7">
        <w:rPr>
          <w:rFonts w:cs="Arial"/>
          <w:szCs w:val="22"/>
          <w:lang w:val="en-US"/>
        </w:rPr>
        <w:t>://doi.org/10.1007/978-3-319-57196-6_23.</w:t>
      </w:r>
    </w:p>
    <w:p w14:paraId="306BE37B" w14:textId="77777777" w:rsidR="00E36152" w:rsidRDefault="00E36152" w:rsidP="00E36152">
      <w:pPr>
        <w:spacing w:after="0" w:line="360" w:lineRule="auto"/>
        <w:jc w:val="both"/>
        <w:rPr>
          <w:rFonts w:cs="Arial"/>
          <w:szCs w:val="22"/>
        </w:rPr>
      </w:pPr>
      <w:r w:rsidRPr="007875B7">
        <w:rPr>
          <w:rFonts w:cs="Arial"/>
          <w:szCs w:val="22"/>
        </w:rPr>
        <w:t xml:space="preserve">Castillo, J. and Pham, S. </w:t>
      </w:r>
      <w:r>
        <w:rPr>
          <w:rFonts w:cs="Arial"/>
          <w:szCs w:val="22"/>
        </w:rPr>
        <w:t>(</w:t>
      </w:r>
      <w:r w:rsidRPr="007875B7">
        <w:rPr>
          <w:rFonts w:cs="Arial"/>
          <w:szCs w:val="22"/>
        </w:rPr>
        <w:t>2024</w:t>
      </w:r>
      <w:r>
        <w:rPr>
          <w:rFonts w:cs="Arial"/>
          <w:szCs w:val="22"/>
        </w:rPr>
        <w:t>)</w:t>
      </w:r>
      <w:r w:rsidRPr="007875B7">
        <w:rPr>
          <w:rFonts w:cs="Arial"/>
          <w:szCs w:val="22"/>
        </w:rPr>
        <w:t>. Enuresis and psychological concerns in a foster care population. </w:t>
      </w:r>
      <w:r w:rsidRPr="007875B7">
        <w:rPr>
          <w:rFonts w:cs="Arial"/>
          <w:i/>
          <w:iCs/>
          <w:szCs w:val="22"/>
        </w:rPr>
        <w:t>Psychological Trauma: Theory, Research, Practice, and Policy</w:t>
      </w:r>
      <w:r w:rsidRPr="007875B7">
        <w:rPr>
          <w:rFonts w:cs="Arial"/>
          <w:szCs w:val="22"/>
        </w:rPr>
        <w:t>, </w:t>
      </w:r>
      <w:r w:rsidRPr="007875B7">
        <w:rPr>
          <w:rFonts w:cs="Arial"/>
          <w:i/>
          <w:iCs/>
          <w:szCs w:val="22"/>
        </w:rPr>
        <w:t>16</w:t>
      </w:r>
      <w:r w:rsidRPr="007875B7">
        <w:rPr>
          <w:rFonts w:cs="Arial"/>
          <w:szCs w:val="22"/>
        </w:rPr>
        <w:t>(S1), p.S39.</w:t>
      </w:r>
    </w:p>
    <w:p w14:paraId="2063A169" w14:textId="77777777" w:rsidR="00E36152" w:rsidRDefault="00E36152" w:rsidP="00E36152">
      <w:pPr>
        <w:spacing w:after="0" w:line="360" w:lineRule="auto"/>
        <w:jc w:val="both"/>
        <w:rPr>
          <w:rFonts w:cs="Arial"/>
          <w:szCs w:val="22"/>
        </w:rPr>
      </w:pPr>
      <w:r w:rsidRPr="009A2FCF">
        <w:rPr>
          <w:rFonts w:cs="Arial"/>
          <w:szCs w:val="22"/>
        </w:rPr>
        <w:t xml:space="preserve">Dang, J. and Tang, Z. </w:t>
      </w:r>
      <w:r>
        <w:rPr>
          <w:rFonts w:cs="Arial"/>
          <w:szCs w:val="22"/>
        </w:rPr>
        <w:t>(</w:t>
      </w:r>
      <w:r w:rsidRPr="009A2FCF">
        <w:rPr>
          <w:rFonts w:cs="Arial"/>
          <w:szCs w:val="22"/>
        </w:rPr>
        <w:t>2021</w:t>
      </w:r>
      <w:r>
        <w:rPr>
          <w:rFonts w:cs="Arial"/>
          <w:szCs w:val="22"/>
        </w:rPr>
        <w:t>)</w:t>
      </w:r>
      <w:r w:rsidRPr="009A2FCF">
        <w:rPr>
          <w:rFonts w:cs="Arial"/>
          <w:szCs w:val="22"/>
        </w:rPr>
        <w:t>. Pathogenesis and brain functional imaging in nocturnal enuresis: a review. </w:t>
      </w:r>
      <w:r w:rsidRPr="009A2FCF">
        <w:rPr>
          <w:rFonts w:cs="Arial"/>
          <w:i/>
          <w:iCs/>
          <w:szCs w:val="22"/>
        </w:rPr>
        <w:t>Experimental Biology and Medicine</w:t>
      </w:r>
      <w:r w:rsidRPr="009A2FCF">
        <w:rPr>
          <w:rFonts w:cs="Arial"/>
          <w:szCs w:val="22"/>
        </w:rPr>
        <w:t>, </w:t>
      </w:r>
      <w:r w:rsidRPr="009A2FCF">
        <w:rPr>
          <w:rFonts w:cs="Arial"/>
          <w:i/>
          <w:iCs/>
          <w:szCs w:val="22"/>
        </w:rPr>
        <w:t>246</w:t>
      </w:r>
      <w:r w:rsidRPr="009A2FCF">
        <w:rPr>
          <w:rFonts w:cs="Arial"/>
          <w:szCs w:val="22"/>
        </w:rPr>
        <w:t>(13), pp.1483-1490.</w:t>
      </w:r>
    </w:p>
    <w:p w14:paraId="2933EB6C" w14:textId="77777777" w:rsidR="00E36152" w:rsidRDefault="00E36152" w:rsidP="00E36152">
      <w:pPr>
        <w:spacing w:after="0" w:line="360" w:lineRule="auto"/>
        <w:jc w:val="both"/>
        <w:rPr>
          <w:rFonts w:cs="Arial"/>
          <w:szCs w:val="22"/>
          <w:lang w:val="en-US"/>
        </w:rPr>
      </w:pPr>
      <w:r w:rsidRPr="008C13B9">
        <w:rPr>
          <w:rFonts w:cs="Arial"/>
          <w:szCs w:val="22"/>
          <w:lang w:val="en-US"/>
        </w:rPr>
        <w:t>Department of Health and Department of Education (2017). </w:t>
      </w:r>
      <w:r w:rsidRPr="008C13B9">
        <w:rPr>
          <w:rFonts w:cs="Arial"/>
          <w:i/>
          <w:iCs/>
          <w:szCs w:val="22"/>
          <w:lang w:val="en-US"/>
        </w:rPr>
        <w:t>Transforming Children and Young People’s Mental Health Provision: a Green Paper</w:t>
      </w:r>
      <w:r w:rsidRPr="008C13B9">
        <w:rPr>
          <w:rFonts w:cs="Arial"/>
          <w:szCs w:val="22"/>
          <w:lang w:val="en-US"/>
        </w:rPr>
        <w:t xml:space="preserve">. [online] Available at: </w:t>
      </w:r>
      <w:hyperlink r:id="rId11" w:history="1">
        <w:r w:rsidRPr="008C13B9">
          <w:rPr>
            <w:rStyle w:val="Hyperlink"/>
            <w:rFonts w:cs="Arial"/>
            <w:szCs w:val="22"/>
            <w:lang w:val="en-US"/>
          </w:rPr>
          <w:t>https://assets.publishing.service.gov.uk/media/5a823518e5274a2e87dc1b56/Transforming_children_and_young_people_s_mental_health_provision.pdf</w:t>
        </w:r>
      </w:hyperlink>
      <w:r>
        <w:rPr>
          <w:rFonts w:cs="Arial"/>
          <w:szCs w:val="22"/>
          <w:lang w:val="en-US"/>
        </w:rPr>
        <w:t xml:space="preserve"> </w:t>
      </w:r>
      <w:r w:rsidRPr="009A2FCF">
        <w:rPr>
          <w:rFonts w:cs="Arial"/>
          <w:szCs w:val="22"/>
          <w:lang w:val="en-US"/>
        </w:rPr>
        <w:t>[Accessed 19 Oct. 2025].</w:t>
      </w:r>
    </w:p>
    <w:p w14:paraId="47DB6381" w14:textId="77777777" w:rsidR="00E36152" w:rsidRDefault="00E36152" w:rsidP="00E36152">
      <w:pPr>
        <w:spacing w:after="0" w:line="360" w:lineRule="auto"/>
        <w:jc w:val="both"/>
        <w:rPr>
          <w:rFonts w:cs="Arial"/>
          <w:szCs w:val="22"/>
        </w:rPr>
      </w:pPr>
      <w:r w:rsidRPr="009A2FCF">
        <w:rPr>
          <w:rFonts w:cs="Arial"/>
          <w:szCs w:val="22"/>
        </w:rPr>
        <w:t xml:space="preserve">Eliezer, D.D., Lam, C., Smith, A., Coomarasamy, J.M., </w:t>
      </w:r>
      <w:proofErr w:type="spellStart"/>
      <w:r w:rsidRPr="009A2FCF">
        <w:rPr>
          <w:rFonts w:cs="Arial"/>
          <w:szCs w:val="22"/>
        </w:rPr>
        <w:t>Samnakay</w:t>
      </w:r>
      <w:proofErr w:type="spellEnd"/>
      <w:r w:rsidRPr="009A2FCF">
        <w:rPr>
          <w:rFonts w:cs="Arial"/>
          <w:szCs w:val="22"/>
        </w:rPr>
        <w:t xml:space="preserve">, N., Starkey, M.R. and Deshpande, A.V. </w:t>
      </w:r>
      <w:r>
        <w:rPr>
          <w:rFonts w:cs="Arial"/>
          <w:szCs w:val="22"/>
        </w:rPr>
        <w:t>(</w:t>
      </w:r>
      <w:r w:rsidRPr="009A2FCF">
        <w:rPr>
          <w:rFonts w:cs="Arial"/>
          <w:szCs w:val="22"/>
        </w:rPr>
        <w:t>2023</w:t>
      </w:r>
      <w:r>
        <w:rPr>
          <w:rFonts w:cs="Arial"/>
          <w:szCs w:val="22"/>
        </w:rPr>
        <w:t>)</w:t>
      </w:r>
      <w:r w:rsidRPr="009A2FCF">
        <w:rPr>
          <w:rFonts w:cs="Arial"/>
          <w:szCs w:val="22"/>
        </w:rPr>
        <w:t>. Optimising the management of children with concomitant bladder dysfunction and behavioural disorders. </w:t>
      </w:r>
      <w:r w:rsidRPr="009A2FCF">
        <w:rPr>
          <w:rFonts w:cs="Arial"/>
          <w:i/>
          <w:iCs/>
          <w:szCs w:val="22"/>
        </w:rPr>
        <w:t>European Child &amp; Adolescent Psychiatry</w:t>
      </w:r>
      <w:r w:rsidRPr="009A2FCF">
        <w:rPr>
          <w:rFonts w:cs="Arial"/>
          <w:szCs w:val="22"/>
        </w:rPr>
        <w:t>, </w:t>
      </w:r>
      <w:r w:rsidRPr="009A2FCF">
        <w:rPr>
          <w:rFonts w:cs="Arial"/>
          <w:i/>
          <w:iCs/>
          <w:szCs w:val="22"/>
        </w:rPr>
        <w:t>32</w:t>
      </w:r>
      <w:r w:rsidRPr="009A2FCF">
        <w:rPr>
          <w:rFonts w:cs="Arial"/>
          <w:szCs w:val="22"/>
        </w:rPr>
        <w:t>(10), pp.1989-1999.</w:t>
      </w:r>
    </w:p>
    <w:p w14:paraId="46851A77" w14:textId="77777777" w:rsidR="00E36152" w:rsidRDefault="00E36152" w:rsidP="00E36152">
      <w:pPr>
        <w:spacing w:after="0" w:line="360" w:lineRule="auto"/>
        <w:jc w:val="both"/>
        <w:rPr>
          <w:rFonts w:cs="Arial"/>
          <w:szCs w:val="22"/>
          <w:lang w:val="en-US"/>
        </w:rPr>
      </w:pPr>
      <w:r>
        <w:rPr>
          <w:rFonts w:cs="Arial"/>
          <w:szCs w:val="22"/>
          <w:lang w:val="en-US"/>
        </w:rPr>
        <w:t>ERIC</w:t>
      </w:r>
      <w:r w:rsidRPr="008C13B9">
        <w:rPr>
          <w:rFonts w:cs="Arial"/>
          <w:szCs w:val="22"/>
          <w:lang w:val="en-US"/>
        </w:rPr>
        <w:t xml:space="preserve"> (2022). </w:t>
      </w:r>
      <w:r w:rsidRPr="008C13B9">
        <w:rPr>
          <w:rFonts w:cs="Arial"/>
          <w:i/>
          <w:iCs/>
          <w:szCs w:val="22"/>
          <w:lang w:val="en-US"/>
        </w:rPr>
        <w:t>Children’s Continence Pathway - ERIC</w:t>
      </w:r>
      <w:r w:rsidRPr="008C13B9">
        <w:rPr>
          <w:rFonts w:cs="Arial"/>
          <w:szCs w:val="22"/>
          <w:lang w:val="en-US"/>
        </w:rPr>
        <w:t xml:space="preserve">. [online] Available at: </w:t>
      </w:r>
      <w:hyperlink r:id="rId12" w:history="1">
        <w:r w:rsidRPr="008C13B9">
          <w:rPr>
            <w:rStyle w:val="Hyperlink"/>
            <w:rFonts w:cs="Arial"/>
            <w:szCs w:val="22"/>
            <w:lang w:val="en-US"/>
          </w:rPr>
          <w:t>https://eric.org.uk/childrens-continence-pathway/</w:t>
        </w:r>
      </w:hyperlink>
      <w:r>
        <w:rPr>
          <w:rFonts w:cs="Arial"/>
          <w:szCs w:val="22"/>
          <w:lang w:val="en-US"/>
        </w:rPr>
        <w:t xml:space="preserve"> </w:t>
      </w:r>
      <w:r w:rsidRPr="009A2FCF">
        <w:rPr>
          <w:rFonts w:cs="Arial"/>
          <w:szCs w:val="22"/>
          <w:lang w:val="en-US"/>
        </w:rPr>
        <w:t>[Accessed 19 Oct. 2025].</w:t>
      </w:r>
    </w:p>
    <w:p w14:paraId="7B550F75" w14:textId="77777777" w:rsidR="00E36152" w:rsidRDefault="00E36152" w:rsidP="00E36152">
      <w:pPr>
        <w:spacing w:after="0" w:line="360" w:lineRule="auto"/>
        <w:jc w:val="both"/>
        <w:rPr>
          <w:rFonts w:cs="Arial"/>
          <w:szCs w:val="22"/>
        </w:rPr>
      </w:pPr>
      <w:proofErr w:type="spellStart"/>
      <w:r w:rsidRPr="009A2FCF">
        <w:rPr>
          <w:rFonts w:cs="Arial"/>
          <w:szCs w:val="22"/>
        </w:rPr>
        <w:t>Garralda</w:t>
      </w:r>
      <w:proofErr w:type="spellEnd"/>
      <w:r w:rsidRPr="009A2FCF">
        <w:rPr>
          <w:rFonts w:cs="Arial"/>
          <w:szCs w:val="22"/>
        </w:rPr>
        <w:t xml:space="preserve">, M.E. and </w:t>
      </w:r>
      <w:proofErr w:type="spellStart"/>
      <w:r w:rsidRPr="009A2FCF">
        <w:rPr>
          <w:rFonts w:cs="Arial"/>
          <w:szCs w:val="22"/>
        </w:rPr>
        <w:t>Tyrer</w:t>
      </w:r>
      <w:proofErr w:type="spellEnd"/>
      <w:r w:rsidRPr="009A2FCF">
        <w:rPr>
          <w:rFonts w:cs="Arial"/>
          <w:szCs w:val="22"/>
        </w:rPr>
        <w:t xml:space="preserve">, P. </w:t>
      </w:r>
      <w:r>
        <w:rPr>
          <w:rFonts w:cs="Arial"/>
          <w:szCs w:val="22"/>
        </w:rPr>
        <w:t>(</w:t>
      </w:r>
      <w:r w:rsidRPr="009A2FCF">
        <w:rPr>
          <w:rFonts w:cs="Arial"/>
          <w:szCs w:val="22"/>
        </w:rPr>
        <w:t>2023</w:t>
      </w:r>
      <w:r>
        <w:rPr>
          <w:rFonts w:cs="Arial"/>
          <w:szCs w:val="22"/>
        </w:rPr>
        <w:t>)</w:t>
      </w:r>
      <w:r w:rsidRPr="009A2FCF">
        <w:rPr>
          <w:rFonts w:cs="Arial"/>
          <w:szCs w:val="22"/>
        </w:rPr>
        <w:t>. Child and adolescent psychiatric disorders. </w:t>
      </w:r>
      <w:r w:rsidRPr="009A2FCF">
        <w:rPr>
          <w:rFonts w:cs="Arial"/>
          <w:i/>
          <w:iCs/>
          <w:szCs w:val="22"/>
        </w:rPr>
        <w:t>Making Sense of the ICD-11: For Mental Health Professionals</w:t>
      </w:r>
      <w:r w:rsidRPr="009A2FCF">
        <w:rPr>
          <w:rFonts w:cs="Arial"/>
          <w:szCs w:val="22"/>
        </w:rPr>
        <w:t>, pp.86-96.</w:t>
      </w:r>
    </w:p>
    <w:p w14:paraId="093EFF9B" w14:textId="77777777" w:rsidR="00E36152" w:rsidRDefault="00E36152" w:rsidP="00E36152">
      <w:pPr>
        <w:spacing w:after="0" w:line="360" w:lineRule="auto"/>
        <w:jc w:val="both"/>
        <w:rPr>
          <w:rFonts w:cs="Arial"/>
          <w:szCs w:val="22"/>
        </w:rPr>
      </w:pPr>
      <w:r w:rsidRPr="009A2FCF">
        <w:rPr>
          <w:rFonts w:cs="Arial"/>
          <w:szCs w:val="22"/>
        </w:rPr>
        <w:t xml:space="preserve">Halász, P. and Szűcs, A. </w:t>
      </w:r>
      <w:r>
        <w:rPr>
          <w:rFonts w:cs="Arial"/>
          <w:szCs w:val="22"/>
        </w:rPr>
        <w:t>(</w:t>
      </w:r>
      <w:r w:rsidRPr="009A2FCF">
        <w:rPr>
          <w:rFonts w:cs="Arial"/>
          <w:szCs w:val="22"/>
        </w:rPr>
        <w:t>2025</w:t>
      </w:r>
      <w:r>
        <w:rPr>
          <w:rFonts w:cs="Arial"/>
          <w:szCs w:val="22"/>
        </w:rPr>
        <w:t>)</w:t>
      </w:r>
      <w:r w:rsidRPr="009A2FCF">
        <w:rPr>
          <w:rFonts w:cs="Arial"/>
          <w:szCs w:val="22"/>
        </w:rPr>
        <w:t xml:space="preserve">. Disorders of arousals and sleep-related </w:t>
      </w:r>
      <w:proofErr w:type="spellStart"/>
      <w:r w:rsidRPr="009A2FCF">
        <w:rPr>
          <w:rFonts w:cs="Arial"/>
          <w:szCs w:val="22"/>
        </w:rPr>
        <w:t>hypermotor</w:t>
      </w:r>
      <w:proofErr w:type="spellEnd"/>
      <w:r w:rsidRPr="009A2FCF">
        <w:rPr>
          <w:rFonts w:cs="Arial"/>
          <w:szCs w:val="22"/>
        </w:rPr>
        <w:t xml:space="preserve"> epilepsy are interrelated. Some new viewpoints. </w:t>
      </w:r>
      <w:r w:rsidRPr="009A2FCF">
        <w:rPr>
          <w:rFonts w:cs="Arial"/>
          <w:i/>
          <w:iCs/>
          <w:szCs w:val="22"/>
        </w:rPr>
        <w:t>Seizure: European Journal of Epilepsy</w:t>
      </w:r>
      <w:r w:rsidRPr="009A2FCF">
        <w:rPr>
          <w:rFonts w:cs="Arial"/>
          <w:szCs w:val="22"/>
        </w:rPr>
        <w:t>.</w:t>
      </w:r>
    </w:p>
    <w:p w14:paraId="50E099C6" w14:textId="77777777" w:rsidR="00E36152" w:rsidRDefault="00E36152" w:rsidP="00E36152">
      <w:pPr>
        <w:spacing w:after="0" w:line="360" w:lineRule="auto"/>
        <w:jc w:val="both"/>
        <w:rPr>
          <w:rFonts w:cs="Arial"/>
          <w:szCs w:val="22"/>
        </w:rPr>
      </w:pPr>
      <w:r w:rsidRPr="009A2FCF">
        <w:rPr>
          <w:rFonts w:cs="Arial"/>
          <w:szCs w:val="22"/>
        </w:rPr>
        <w:lastRenderedPageBreak/>
        <w:t xml:space="preserve">Haque, M.N., Nargis, S., Azad, M.A.K., Islam, M.T. and Mohammad, A. </w:t>
      </w:r>
      <w:r>
        <w:rPr>
          <w:rFonts w:cs="Arial"/>
          <w:szCs w:val="22"/>
        </w:rPr>
        <w:t>(</w:t>
      </w:r>
      <w:r w:rsidRPr="009A2FCF">
        <w:rPr>
          <w:rFonts w:cs="Arial"/>
          <w:szCs w:val="22"/>
        </w:rPr>
        <w:t>2024</w:t>
      </w:r>
      <w:r>
        <w:rPr>
          <w:rFonts w:cs="Arial"/>
          <w:szCs w:val="22"/>
        </w:rPr>
        <w:t>)</w:t>
      </w:r>
      <w:r w:rsidRPr="009A2FCF">
        <w:rPr>
          <w:rFonts w:cs="Arial"/>
          <w:szCs w:val="22"/>
        </w:rPr>
        <w:t>. A Comparative Study of Imipramine and Tolterodine for the Treatment of Children with Primary Nocturnal Enuresis. </w:t>
      </w:r>
      <w:r w:rsidRPr="009A2FCF">
        <w:rPr>
          <w:rFonts w:cs="Arial"/>
          <w:i/>
          <w:iCs/>
          <w:szCs w:val="22"/>
        </w:rPr>
        <w:t>Sch J App Med Sci</w:t>
      </w:r>
      <w:r w:rsidRPr="009A2FCF">
        <w:rPr>
          <w:rFonts w:cs="Arial"/>
          <w:szCs w:val="22"/>
        </w:rPr>
        <w:t>, </w:t>
      </w:r>
      <w:r w:rsidRPr="009A2FCF">
        <w:rPr>
          <w:rFonts w:cs="Arial"/>
          <w:i/>
          <w:iCs/>
          <w:szCs w:val="22"/>
        </w:rPr>
        <w:t>11</w:t>
      </w:r>
      <w:r w:rsidRPr="009A2FCF">
        <w:rPr>
          <w:rFonts w:cs="Arial"/>
          <w:szCs w:val="22"/>
        </w:rPr>
        <w:t>, pp.1645-1651.</w:t>
      </w:r>
    </w:p>
    <w:p w14:paraId="5378312C" w14:textId="77777777" w:rsidR="00E36152" w:rsidRDefault="00E36152" w:rsidP="00E36152">
      <w:pPr>
        <w:spacing w:after="0" w:line="360" w:lineRule="auto"/>
        <w:jc w:val="both"/>
        <w:rPr>
          <w:rFonts w:cs="Arial"/>
          <w:szCs w:val="22"/>
          <w:lang w:val="en-US"/>
        </w:rPr>
      </w:pPr>
      <w:r w:rsidRPr="007875B7">
        <w:rPr>
          <w:rFonts w:cs="Arial"/>
          <w:szCs w:val="22"/>
          <w:lang w:val="en-US"/>
        </w:rPr>
        <w:t xml:space="preserve">Huang, W.J., Liang, Y.Y., Yang, Q. and Ma, X. </w:t>
      </w:r>
      <w:r>
        <w:rPr>
          <w:rFonts w:cs="Arial"/>
          <w:szCs w:val="22"/>
          <w:lang w:val="en-US"/>
        </w:rPr>
        <w:t>(</w:t>
      </w:r>
      <w:r w:rsidRPr="007875B7">
        <w:rPr>
          <w:rFonts w:cs="Arial"/>
          <w:szCs w:val="22"/>
          <w:lang w:val="en-US"/>
        </w:rPr>
        <w:t>2022</w:t>
      </w:r>
      <w:r>
        <w:rPr>
          <w:rFonts w:cs="Arial"/>
          <w:szCs w:val="22"/>
          <w:lang w:val="en-US"/>
        </w:rPr>
        <w:t>)</w:t>
      </w:r>
      <w:r w:rsidRPr="007875B7">
        <w:rPr>
          <w:rFonts w:cs="Arial"/>
          <w:szCs w:val="22"/>
          <w:lang w:val="en-US"/>
        </w:rPr>
        <w:t>. Nocturnal enuresis in children: Parents' perspectives. Nursing open, 9(5), pp.2335-2341.</w:t>
      </w:r>
    </w:p>
    <w:p w14:paraId="45034292" w14:textId="77777777" w:rsidR="00E36152" w:rsidRDefault="00E36152" w:rsidP="00E36152">
      <w:pPr>
        <w:spacing w:after="0" w:line="360" w:lineRule="auto"/>
        <w:jc w:val="both"/>
        <w:rPr>
          <w:rFonts w:cs="Arial"/>
          <w:szCs w:val="22"/>
        </w:rPr>
      </w:pPr>
      <w:r w:rsidRPr="009A2FCF">
        <w:rPr>
          <w:rFonts w:cs="Arial"/>
          <w:szCs w:val="22"/>
        </w:rPr>
        <w:t>Illingworth, R. S. (2021). </w:t>
      </w:r>
      <w:r w:rsidRPr="009A2FCF">
        <w:rPr>
          <w:rFonts w:cs="Arial"/>
          <w:i/>
          <w:iCs/>
          <w:szCs w:val="22"/>
        </w:rPr>
        <w:t>The Normal Child-E-Book: Normal and Abnormal</w:t>
      </w:r>
      <w:r w:rsidRPr="009A2FCF">
        <w:rPr>
          <w:rFonts w:cs="Arial"/>
          <w:szCs w:val="22"/>
        </w:rPr>
        <w:t>. Elsevier Health Sciences.</w:t>
      </w:r>
    </w:p>
    <w:p w14:paraId="291DAFDC" w14:textId="77777777" w:rsidR="00E36152" w:rsidRDefault="00E36152" w:rsidP="00E36152">
      <w:pPr>
        <w:spacing w:after="0" w:line="360" w:lineRule="auto"/>
        <w:jc w:val="both"/>
        <w:rPr>
          <w:rFonts w:cs="Arial"/>
          <w:szCs w:val="22"/>
        </w:rPr>
      </w:pPr>
      <w:proofErr w:type="spellStart"/>
      <w:r w:rsidRPr="007875B7">
        <w:rPr>
          <w:rFonts w:cs="Arial"/>
          <w:szCs w:val="22"/>
        </w:rPr>
        <w:t>Kamperis</w:t>
      </w:r>
      <w:proofErr w:type="spellEnd"/>
      <w:r w:rsidRPr="007875B7">
        <w:rPr>
          <w:rFonts w:cs="Arial"/>
          <w:szCs w:val="22"/>
        </w:rPr>
        <w:t>, K. (2021). Nocturnal enuresis in children: The role of arginine–vasopressin. </w:t>
      </w:r>
      <w:r w:rsidRPr="007875B7">
        <w:rPr>
          <w:rFonts w:cs="Arial"/>
          <w:i/>
          <w:iCs/>
          <w:szCs w:val="22"/>
        </w:rPr>
        <w:t>Handbook of clinical neurology</w:t>
      </w:r>
      <w:r w:rsidRPr="007875B7">
        <w:rPr>
          <w:rFonts w:cs="Arial"/>
          <w:szCs w:val="22"/>
        </w:rPr>
        <w:t>, </w:t>
      </w:r>
      <w:r w:rsidRPr="007875B7">
        <w:rPr>
          <w:rFonts w:cs="Arial"/>
          <w:i/>
          <w:iCs/>
          <w:szCs w:val="22"/>
        </w:rPr>
        <w:t>181</w:t>
      </w:r>
      <w:r w:rsidRPr="007875B7">
        <w:rPr>
          <w:rFonts w:cs="Arial"/>
          <w:szCs w:val="22"/>
        </w:rPr>
        <w:t xml:space="preserve">, </w:t>
      </w:r>
      <w:r>
        <w:rPr>
          <w:rFonts w:cs="Arial"/>
          <w:szCs w:val="22"/>
        </w:rPr>
        <w:t>pp.</w:t>
      </w:r>
      <w:r w:rsidRPr="007875B7">
        <w:rPr>
          <w:rFonts w:cs="Arial"/>
          <w:szCs w:val="22"/>
        </w:rPr>
        <w:t>289-297.</w:t>
      </w:r>
    </w:p>
    <w:p w14:paraId="72F05612" w14:textId="77777777" w:rsidR="00E36152" w:rsidRDefault="00E36152" w:rsidP="00E36152">
      <w:pPr>
        <w:spacing w:after="0" w:line="360" w:lineRule="auto"/>
        <w:jc w:val="both"/>
        <w:rPr>
          <w:rFonts w:cs="Arial"/>
          <w:szCs w:val="22"/>
        </w:rPr>
      </w:pPr>
      <w:proofErr w:type="spellStart"/>
      <w:r w:rsidRPr="009A2FCF">
        <w:rPr>
          <w:rFonts w:cs="Arial"/>
          <w:szCs w:val="22"/>
        </w:rPr>
        <w:t>Karamaria</w:t>
      </w:r>
      <w:proofErr w:type="spellEnd"/>
      <w:r w:rsidRPr="009A2FCF">
        <w:rPr>
          <w:rFonts w:cs="Arial"/>
          <w:szCs w:val="22"/>
        </w:rPr>
        <w:t xml:space="preserve">, S., Mauel, R., Van den Ende, M., Oosterlinck, A., </w:t>
      </w:r>
      <w:proofErr w:type="spellStart"/>
      <w:r w:rsidRPr="009A2FCF">
        <w:rPr>
          <w:rFonts w:cs="Arial"/>
          <w:szCs w:val="22"/>
        </w:rPr>
        <w:t>Verheye</w:t>
      </w:r>
      <w:proofErr w:type="spellEnd"/>
      <w:r w:rsidRPr="009A2FCF">
        <w:rPr>
          <w:rFonts w:cs="Arial"/>
          <w:szCs w:val="22"/>
        </w:rPr>
        <w:t xml:space="preserve">, A., De Bruyne, E., </w:t>
      </w:r>
      <w:proofErr w:type="spellStart"/>
      <w:r w:rsidRPr="009A2FCF">
        <w:rPr>
          <w:rFonts w:cs="Arial"/>
          <w:szCs w:val="22"/>
        </w:rPr>
        <w:t>Degrauewe</w:t>
      </w:r>
      <w:proofErr w:type="spellEnd"/>
      <w:r w:rsidRPr="009A2FCF">
        <w:rPr>
          <w:rFonts w:cs="Arial"/>
          <w:szCs w:val="22"/>
        </w:rPr>
        <w:t xml:space="preserve">, E., Dhondt, K., </w:t>
      </w:r>
      <w:proofErr w:type="spellStart"/>
      <w:r w:rsidRPr="009A2FCF">
        <w:rPr>
          <w:rFonts w:cs="Arial"/>
          <w:szCs w:val="22"/>
        </w:rPr>
        <w:t>Dossche</w:t>
      </w:r>
      <w:proofErr w:type="spellEnd"/>
      <w:r w:rsidRPr="009A2FCF">
        <w:rPr>
          <w:rFonts w:cs="Arial"/>
          <w:szCs w:val="22"/>
        </w:rPr>
        <w:t>, L., Raes, A. and Renson, C.</w:t>
      </w:r>
      <w:r>
        <w:rPr>
          <w:rFonts w:cs="Arial"/>
          <w:szCs w:val="22"/>
        </w:rPr>
        <w:t xml:space="preserve"> (</w:t>
      </w:r>
      <w:r w:rsidRPr="009A2FCF">
        <w:rPr>
          <w:rFonts w:cs="Arial"/>
          <w:szCs w:val="22"/>
        </w:rPr>
        <w:t>2024</w:t>
      </w:r>
      <w:r>
        <w:rPr>
          <w:rFonts w:cs="Arial"/>
          <w:szCs w:val="22"/>
        </w:rPr>
        <w:t>)</w:t>
      </w:r>
      <w:r w:rsidRPr="009A2FCF">
        <w:rPr>
          <w:rFonts w:cs="Arial"/>
          <w:szCs w:val="22"/>
        </w:rPr>
        <w:t>. Transition in enuresis patients: Identifying the gaps and opportunities for the future. </w:t>
      </w:r>
      <w:proofErr w:type="spellStart"/>
      <w:r w:rsidRPr="009A2FCF">
        <w:rPr>
          <w:rFonts w:cs="Arial"/>
          <w:i/>
          <w:iCs/>
          <w:szCs w:val="22"/>
        </w:rPr>
        <w:t>Neurourology</w:t>
      </w:r>
      <w:proofErr w:type="spellEnd"/>
      <w:r w:rsidRPr="009A2FCF">
        <w:rPr>
          <w:rFonts w:cs="Arial"/>
          <w:i/>
          <w:iCs/>
          <w:szCs w:val="22"/>
        </w:rPr>
        <w:t xml:space="preserve"> and Urodynamics</w:t>
      </w:r>
      <w:r w:rsidRPr="009A2FCF">
        <w:rPr>
          <w:rFonts w:cs="Arial"/>
          <w:szCs w:val="22"/>
        </w:rPr>
        <w:t>, </w:t>
      </w:r>
      <w:r w:rsidRPr="009A2FCF">
        <w:rPr>
          <w:rFonts w:cs="Arial"/>
          <w:i/>
          <w:iCs/>
          <w:szCs w:val="22"/>
        </w:rPr>
        <w:t>43</w:t>
      </w:r>
      <w:r w:rsidRPr="009A2FCF">
        <w:rPr>
          <w:rFonts w:cs="Arial"/>
          <w:szCs w:val="22"/>
        </w:rPr>
        <w:t>(5), pp.1118-1126.</w:t>
      </w:r>
    </w:p>
    <w:p w14:paraId="0922F7DD" w14:textId="77777777" w:rsidR="00E36152" w:rsidRDefault="00E36152" w:rsidP="00E36152">
      <w:pPr>
        <w:spacing w:after="0" w:line="360" w:lineRule="auto"/>
        <w:jc w:val="both"/>
        <w:rPr>
          <w:rFonts w:cs="Arial"/>
          <w:szCs w:val="22"/>
          <w:lang w:val="en-US"/>
        </w:rPr>
      </w:pPr>
      <w:r w:rsidRPr="009A2FCF">
        <w:rPr>
          <w:rFonts w:cs="Arial"/>
          <w:szCs w:val="22"/>
          <w:lang w:val="en-US"/>
        </w:rPr>
        <w:t xml:space="preserve">Mello, M.F., Locali, R.F., Araujo, R.M., Reis, J.N., </w:t>
      </w:r>
      <w:proofErr w:type="spellStart"/>
      <w:r w:rsidRPr="009A2FCF">
        <w:rPr>
          <w:rFonts w:cs="Arial"/>
          <w:szCs w:val="22"/>
          <w:lang w:val="en-US"/>
        </w:rPr>
        <w:t>Saiovici</w:t>
      </w:r>
      <w:proofErr w:type="spellEnd"/>
      <w:r w:rsidRPr="009A2FCF">
        <w:rPr>
          <w:rFonts w:cs="Arial"/>
          <w:szCs w:val="22"/>
          <w:lang w:val="en-US"/>
        </w:rPr>
        <w:t>, S., Mello, L.F. and Rocha, F.E.T.</w:t>
      </w:r>
      <w:r>
        <w:rPr>
          <w:rFonts w:cs="Arial"/>
          <w:szCs w:val="22"/>
          <w:lang w:val="en-US"/>
        </w:rPr>
        <w:t xml:space="preserve"> (</w:t>
      </w:r>
      <w:r w:rsidRPr="009A2FCF">
        <w:rPr>
          <w:rFonts w:cs="Arial"/>
          <w:szCs w:val="22"/>
          <w:lang w:val="en-US"/>
        </w:rPr>
        <w:t>2023</w:t>
      </w:r>
      <w:r>
        <w:rPr>
          <w:rFonts w:cs="Arial"/>
          <w:szCs w:val="22"/>
          <w:lang w:val="en-US"/>
        </w:rPr>
        <w:t>)</w:t>
      </w:r>
      <w:r w:rsidRPr="009A2FCF">
        <w:rPr>
          <w:rFonts w:cs="Arial"/>
          <w:szCs w:val="22"/>
          <w:lang w:val="en-US"/>
        </w:rPr>
        <w:t>. A prospective and randomized study comparing the use of alarms, desmopressin and imipramine in the treatment of monosymptomatic nocturnal enuresis. Journal of Pediatric Urology, 19(3), pp.241-246.</w:t>
      </w:r>
    </w:p>
    <w:p w14:paraId="1D8B8E90" w14:textId="77777777" w:rsidR="00E36152" w:rsidRDefault="00E36152" w:rsidP="00E36152">
      <w:pPr>
        <w:spacing w:after="0" w:line="360" w:lineRule="auto"/>
        <w:jc w:val="both"/>
        <w:rPr>
          <w:rFonts w:cs="Arial"/>
          <w:szCs w:val="22"/>
        </w:rPr>
      </w:pPr>
      <w:proofErr w:type="spellStart"/>
      <w:r w:rsidRPr="007875B7">
        <w:rPr>
          <w:rFonts w:cs="Arial"/>
          <w:szCs w:val="22"/>
        </w:rPr>
        <w:t>Motaharifard</w:t>
      </w:r>
      <w:proofErr w:type="spellEnd"/>
      <w:r w:rsidRPr="007875B7">
        <w:rPr>
          <w:rFonts w:cs="Arial"/>
          <w:szCs w:val="22"/>
        </w:rPr>
        <w:t xml:space="preserve">, M.S. and </w:t>
      </w:r>
      <w:proofErr w:type="spellStart"/>
      <w:r w:rsidRPr="007875B7">
        <w:rPr>
          <w:rFonts w:cs="Arial"/>
          <w:szCs w:val="22"/>
        </w:rPr>
        <w:t>Mohkam</w:t>
      </w:r>
      <w:proofErr w:type="spellEnd"/>
      <w:r w:rsidRPr="007875B7">
        <w:rPr>
          <w:rFonts w:cs="Arial"/>
          <w:szCs w:val="22"/>
        </w:rPr>
        <w:t xml:space="preserve">, M. </w:t>
      </w:r>
      <w:r>
        <w:rPr>
          <w:rFonts w:cs="Arial"/>
          <w:szCs w:val="22"/>
        </w:rPr>
        <w:t>(</w:t>
      </w:r>
      <w:r w:rsidRPr="007875B7">
        <w:rPr>
          <w:rFonts w:cs="Arial"/>
          <w:szCs w:val="22"/>
        </w:rPr>
        <w:t>2022</w:t>
      </w:r>
      <w:r>
        <w:rPr>
          <w:rFonts w:cs="Arial"/>
          <w:szCs w:val="22"/>
        </w:rPr>
        <w:t>)</w:t>
      </w:r>
      <w:r w:rsidRPr="007875B7">
        <w:rPr>
          <w:rFonts w:cs="Arial"/>
          <w:szCs w:val="22"/>
        </w:rPr>
        <w:t>. Traditional, Complementary, and Alternative Medicine in Nocturnal Enuresis in Children. </w:t>
      </w:r>
      <w:r w:rsidRPr="007875B7">
        <w:rPr>
          <w:rFonts w:cs="Arial"/>
          <w:i/>
          <w:iCs/>
          <w:szCs w:val="22"/>
        </w:rPr>
        <w:t xml:space="preserve">Journal of </w:t>
      </w:r>
      <w:proofErr w:type="spellStart"/>
      <w:r w:rsidRPr="007875B7">
        <w:rPr>
          <w:rFonts w:cs="Arial"/>
          <w:i/>
          <w:iCs/>
          <w:szCs w:val="22"/>
        </w:rPr>
        <w:t>Pediatrics</w:t>
      </w:r>
      <w:proofErr w:type="spellEnd"/>
      <w:r w:rsidRPr="007875B7">
        <w:rPr>
          <w:rFonts w:cs="Arial"/>
          <w:i/>
          <w:iCs/>
          <w:szCs w:val="22"/>
        </w:rPr>
        <w:t xml:space="preserve"> Review</w:t>
      </w:r>
      <w:r w:rsidRPr="007875B7">
        <w:rPr>
          <w:rFonts w:cs="Arial"/>
          <w:szCs w:val="22"/>
        </w:rPr>
        <w:t>, </w:t>
      </w:r>
      <w:r w:rsidRPr="007875B7">
        <w:rPr>
          <w:rFonts w:cs="Arial"/>
          <w:i/>
          <w:iCs/>
          <w:szCs w:val="22"/>
        </w:rPr>
        <w:t>10</w:t>
      </w:r>
      <w:r w:rsidRPr="007875B7">
        <w:rPr>
          <w:rFonts w:cs="Arial"/>
          <w:szCs w:val="22"/>
        </w:rPr>
        <w:t>(1), pp.47-56.</w:t>
      </w:r>
    </w:p>
    <w:p w14:paraId="0DE8E369" w14:textId="77777777" w:rsidR="00E36152" w:rsidRDefault="00E36152" w:rsidP="00E36152">
      <w:pPr>
        <w:spacing w:after="0" w:line="360" w:lineRule="auto"/>
        <w:jc w:val="both"/>
        <w:rPr>
          <w:rFonts w:cs="Arial"/>
          <w:szCs w:val="22"/>
          <w:lang w:val="en-US"/>
        </w:rPr>
      </w:pPr>
      <w:r w:rsidRPr="008C13B9">
        <w:rPr>
          <w:rFonts w:cs="Arial"/>
          <w:szCs w:val="22"/>
          <w:lang w:val="en-US"/>
        </w:rPr>
        <w:t>NHS England (2019). </w:t>
      </w:r>
      <w:r w:rsidRPr="008C13B9">
        <w:rPr>
          <w:rFonts w:cs="Arial"/>
          <w:i/>
          <w:iCs/>
          <w:szCs w:val="22"/>
          <w:lang w:val="en-US"/>
        </w:rPr>
        <w:t>NHS Long Term Plan</w:t>
      </w:r>
      <w:r w:rsidRPr="008C13B9">
        <w:rPr>
          <w:rFonts w:cs="Arial"/>
          <w:szCs w:val="22"/>
          <w:lang w:val="en-US"/>
        </w:rPr>
        <w:t xml:space="preserve">. [online] NHS England. Available at: </w:t>
      </w:r>
      <w:hyperlink r:id="rId13" w:history="1">
        <w:r w:rsidRPr="008C13B9">
          <w:rPr>
            <w:rStyle w:val="Hyperlink"/>
            <w:rFonts w:cs="Arial"/>
            <w:szCs w:val="22"/>
            <w:lang w:val="en-US"/>
          </w:rPr>
          <w:t>https://www.longtermplan.nhs.uk/</w:t>
        </w:r>
      </w:hyperlink>
      <w:r>
        <w:rPr>
          <w:rFonts w:cs="Arial"/>
          <w:szCs w:val="22"/>
          <w:lang w:val="en-US"/>
        </w:rPr>
        <w:t xml:space="preserve"> </w:t>
      </w:r>
      <w:r w:rsidRPr="009A2FCF">
        <w:rPr>
          <w:rFonts w:cs="Arial"/>
          <w:szCs w:val="22"/>
          <w:lang w:val="en-US"/>
        </w:rPr>
        <w:t>[Accessed 19 Oct. 2025].</w:t>
      </w:r>
    </w:p>
    <w:p w14:paraId="3A68F65B" w14:textId="77777777" w:rsidR="00E36152" w:rsidRDefault="00E36152" w:rsidP="00E36152">
      <w:pPr>
        <w:spacing w:after="0" w:line="360" w:lineRule="auto"/>
        <w:jc w:val="both"/>
        <w:rPr>
          <w:rFonts w:cs="Arial"/>
          <w:szCs w:val="22"/>
          <w:lang w:val="en-US"/>
        </w:rPr>
      </w:pPr>
      <w:r>
        <w:rPr>
          <w:rFonts w:cs="Arial"/>
          <w:szCs w:val="22"/>
          <w:lang w:val="en-US"/>
        </w:rPr>
        <w:t>NICE UK</w:t>
      </w:r>
      <w:r w:rsidRPr="007875B7">
        <w:rPr>
          <w:rFonts w:cs="Arial"/>
          <w:szCs w:val="22"/>
          <w:lang w:val="en-US"/>
        </w:rPr>
        <w:t xml:space="preserve"> (</w:t>
      </w:r>
      <w:r>
        <w:rPr>
          <w:rFonts w:cs="Arial"/>
          <w:szCs w:val="22"/>
          <w:lang w:val="en-US"/>
        </w:rPr>
        <w:t>2010).</w:t>
      </w:r>
      <w:r w:rsidRPr="007875B7">
        <w:rPr>
          <w:rFonts w:cs="Arial"/>
          <w:szCs w:val="22"/>
          <w:lang w:val="en-US"/>
        </w:rPr>
        <w:t> </w:t>
      </w:r>
      <w:r w:rsidRPr="007875B7">
        <w:rPr>
          <w:rFonts w:cs="Arial"/>
          <w:i/>
          <w:iCs/>
          <w:szCs w:val="22"/>
          <w:lang w:val="en-US"/>
        </w:rPr>
        <w:t>Overview | Bedwetting in under 19s | Guidance | NICE</w:t>
      </w:r>
      <w:r w:rsidRPr="007875B7">
        <w:rPr>
          <w:rFonts w:cs="Arial"/>
          <w:szCs w:val="22"/>
          <w:lang w:val="en-US"/>
        </w:rPr>
        <w:t xml:space="preserve">. [online] Available at: </w:t>
      </w:r>
      <w:hyperlink r:id="rId14" w:history="1">
        <w:r w:rsidRPr="007875B7">
          <w:rPr>
            <w:rStyle w:val="Hyperlink"/>
            <w:rFonts w:cs="Arial"/>
            <w:szCs w:val="22"/>
            <w:lang w:val="en-US"/>
          </w:rPr>
          <w:t>https://www.nice.org.uk/guidance/cg111</w:t>
        </w:r>
      </w:hyperlink>
      <w:r>
        <w:rPr>
          <w:rFonts w:cs="Arial"/>
          <w:szCs w:val="22"/>
          <w:lang w:val="en-US"/>
        </w:rPr>
        <w:t xml:space="preserve"> </w:t>
      </w:r>
      <w:r w:rsidRPr="00E25F6B">
        <w:rPr>
          <w:rFonts w:cs="Arial"/>
          <w:szCs w:val="22"/>
          <w:lang w:val="en-US"/>
        </w:rPr>
        <w:t>[Accessed 19 Oct. 2025].</w:t>
      </w:r>
    </w:p>
    <w:p w14:paraId="67BFD846" w14:textId="77777777" w:rsidR="00E36152" w:rsidRDefault="00E36152" w:rsidP="00E36152">
      <w:pPr>
        <w:spacing w:after="0" w:line="360" w:lineRule="auto"/>
        <w:jc w:val="both"/>
        <w:rPr>
          <w:rFonts w:cs="Arial"/>
          <w:szCs w:val="22"/>
        </w:rPr>
      </w:pPr>
      <w:r w:rsidRPr="009A2FCF">
        <w:rPr>
          <w:rFonts w:cs="Arial"/>
          <w:szCs w:val="22"/>
        </w:rPr>
        <w:t xml:space="preserve">Pole, R., </w:t>
      </w:r>
      <w:proofErr w:type="spellStart"/>
      <w:r w:rsidRPr="009A2FCF">
        <w:rPr>
          <w:rFonts w:cs="Arial"/>
          <w:szCs w:val="22"/>
        </w:rPr>
        <w:t>Vankar</w:t>
      </w:r>
      <w:proofErr w:type="spellEnd"/>
      <w:r w:rsidRPr="009A2FCF">
        <w:rPr>
          <w:rFonts w:cs="Arial"/>
          <w:szCs w:val="22"/>
        </w:rPr>
        <w:t xml:space="preserve">, G.K. and </w:t>
      </w:r>
      <w:proofErr w:type="spellStart"/>
      <w:r w:rsidRPr="009A2FCF">
        <w:rPr>
          <w:rFonts w:cs="Arial"/>
          <w:szCs w:val="22"/>
        </w:rPr>
        <w:t>Ghogare</w:t>
      </w:r>
      <w:proofErr w:type="spellEnd"/>
      <w:r w:rsidRPr="009A2FCF">
        <w:rPr>
          <w:rFonts w:cs="Arial"/>
          <w:szCs w:val="22"/>
        </w:rPr>
        <w:t xml:space="preserve">, A.S. </w:t>
      </w:r>
      <w:r>
        <w:rPr>
          <w:rFonts w:cs="Arial"/>
          <w:szCs w:val="22"/>
        </w:rPr>
        <w:t>(</w:t>
      </w:r>
      <w:r w:rsidRPr="009A2FCF">
        <w:rPr>
          <w:rFonts w:cs="Arial"/>
          <w:szCs w:val="22"/>
        </w:rPr>
        <w:t>2022</w:t>
      </w:r>
      <w:r>
        <w:rPr>
          <w:rFonts w:cs="Arial"/>
          <w:szCs w:val="22"/>
        </w:rPr>
        <w:t>)</w:t>
      </w:r>
      <w:r w:rsidRPr="009A2FCF">
        <w:rPr>
          <w:rFonts w:cs="Arial"/>
          <w:szCs w:val="22"/>
        </w:rPr>
        <w:t>. A clinical review of enuresis and its associated psychiatric comorbidities. </w:t>
      </w:r>
      <w:r w:rsidRPr="009A2FCF">
        <w:rPr>
          <w:rFonts w:cs="Arial"/>
          <w:i/>
          <w:iCs/>
          <w:szCs w:val="22"/>
        </w:rPr>
        <w:t>Annals of Indian Psychiatry</w:t>
      </w:r>
      <w:r w:rsidRPr="009A2FCF">
        <w:rPr>
          <w:rFonts w:cs="Arial"/>
          <w:szCs w:val="22"/>
        </w:rPr>
        <w:t>, </w:t>
      </w:r>
      <w:r w:rsidRPr="009A2FCF">
        <w:rPr>
          <w:rFonts w:cs="Arial"/>
          <w:i/>
          <w:iCs/>
          <w:szCs w:val="22"/>
        </w:rPr>
        <w:t>6</w:t>
      </w:r>
      <w:r w:rsidRPr="009A2FCF">
        <w:rPr>
          <w:rFonts w:cs="Arial"/>
          <w:szCs w:val="22"/>
        </w:rPr>
        <w:t>(1), pp.4-14.</w:t>
      </w:r>
    </w:p>
    <w:p w14:paraId="2C0CBF4A" w14:textId="77777777" w:rsidR="00E36152" w:rsidRDefault="00E36152" w:rsidP="00E36152">
      <w:pPr>
        <w:spacing w:after="0" w:line="360" w:lineRule="auto"/>
        <w:jc w:val="both"/>
        <w:rPr>
          <w:rFonts w:cs="Arial"/>
          <w:szCs w:val="22"/>
        </w:rPr>
      </w:pPr>
      <w:r w:rsidRPr="008C13B9">
        <w:rPr>
          <w:rFonts w:cs="Arial"/>
          <w:szCs w:val="22"/>
        </w:rPr>
        <w:t xml:space="preserve">Smit, M. and Bakker, N. </w:t>
      </w:r>
      <w:r>
        <w:rPr>
          <w:rFonts w:cs="Arial"/>
          <w:szCs w:val="22"/>
        </w:rPr>
        <w:t>(</w:t>
      </w:r>
      <w:r w:rsidRPr="008C13B9">
        <w:rPr>
          <w:rFonts w:cs="Arial"/>
          <w:szCs w:val="22"/>
        </w:rPr>
        <w:t>2021</w:t>
      </w:r>
      <w:r>
        <w:rPr>
          <w:rFonts w:cs="Arial"/>
          <w:szCs w:val="22"/>
        </w:rPr>
        <w:t>)</w:t>
      </w:r>
      <w:r w:rsidRPr="008C13B9">
        <w:rPr>
          <w:rFonts w:cs="Arial"/>
          <w:szCs w:val="22"/>
        </w:rPr>
        <w:t xml:space="preserve">. From defence mechanism to insufficient bladder control: Dutch experts on enuresis </w:t>
      </w:r>
      <w:proofErr w:type="spellStart"/>
      <w:r w:rsidRPr="008C13B9">
        <w:rPr>
          <w:rFonts w:cs="Arial"/>
          <w:szCs w:val="22"/>
        </w:rPr>
        <w:t>nocturna</w:t>
      </w:r>
      <w:proofErr w:type="spellEnd"/>
      <w:r w:rsidRPr="008C13B9">
        <w:rPr>
          <w:rFonts w:cs="Arial"/>
          <w:szCs w:val="22"/>
        </w:rPr>
        <w:t xml:space="preserve"> in an age of developing child sciences (c. 1950-1990). </w:t>
      </w:r>
      <w:r w:rsidRPr="008C13B9">
        <w:rPr>
          <w:rFonts w:cs="Arial"/>
          <w:i/>
          <w:iCs/>
          <w:szCs w:val="22"/>
        </w:rPr>
        <w:t>History of Education</w:t>
      </w:r>
      <w:r w:rsidRPr="008C13B9">
        <w:rPr>
          <w:rFonts w:cs="Arial"/>
          <w:szCs w:val="22"/>
        </w:rPr>
        <w:t>, </w:t>
      </w:r>
      <w:r w:rsidRPr="008C13B9">
        <w:rPr>
          <w:rFonts w:cs="Arial"/>
          <w:i/>
          <w:iCs/>
          <w:szCs w:val="22"/>
        </w:rPr>
        <w:t>50</w:t>
      </w:r>
      <w:r w:rsidRPr="008C13B9">
        <w:rPr>
          <w:rFonts w:cs="Arial"/>
          <w:szCs w:val="22"/>
        </w:rPr>
        <w:t>(3), pp.413-427.</w:t>
      </w:r>
    </w:p>
    <w:p w14:paraId="00133B00" w14:textId="77777777" w:rsidR="00E36152" w:rsidRDefault="00E36152" w:rsidP="00E36152">
      <w:pPr>
        <w:spacing w:after="0" w:line="360" w:lineRule="auto"/>
        <w:jc w:val="both"/>
        <w:rPr>
          <w:rFonts w:cs="Arial"/>
          <w:szCs w:val="22"/>
        </w:rPr>
      </w:pPr>
      <w:r w:rsidRPr="007875B7">
        <w:rPr>
          <w:rFonts w:cs="Arial"/>
          <w:szCs w:val="22"/>
        </w:rPr>
        <w:t xml:space="preserve">Soo, E. and Bayne, A. </w:t>
      </w:r>
      <w:r>
        <w:rPr>
          <w:rFonts w:cs="Arial"/>
          <w:szCs w:val="22"/>
        </w:rPr>
        <w:t>(</w:t>
      </w:r>
      <w:r w:rsidRPr="007875B7">
        <w:rPr>
          <w:rFonts w:cs="Arial"/>
          <w:szCs w:val="22"/>
        </w:rPr>
        <w:t>2024</w:t>
      </w:r>
      <w:r>
        <w:rPr>
          <w:rFonts w:cs="Arial"/>
          <w:szCs w:val="22"/>
        </w:rPr>
        <w:t>)</w:t>
      </w:r>
      <w:r w:rsidRPr="007875B7">
        <w:rPr>
          <w:rFonts w:cs="Arial"/>
          <w:szCs w:val="22"/>
        </w:rPr>
        <w:t>. Advancements in treatment options for primary nocturnal enuresis. </w:t>
      </w:r>
      <w:r w:rsidRPr="007875B7">
        <w:rPr>
          <w:rFonts w:cs="Arial"/>
          <w:i/>
          <w:iCs/>
          <w:szCs w:val="22"/>
        </w:rPr>
        <w:t xml:space="preserve">Current Treatment Options in </w:t>
      </w:r>
      <w:proofErr w:type="spellStart"/>
      <w:r w:rsidRPr="007875B7">
        <w:rPr>
          <w:rFonts w:cs="Arial"/>
          <w:i/>
          <w:iCs/>
          <w:szCs w:val="22"/>
        </w:rPr>
        <w:t>Pediatrics</w:t>
      </w:r>
      <w:proofErr w:type="spellEnd"/>
      <w:r w:rsidRPr="007875B7">
        <w:rPr>
          <w:rFonts w:cs="Arial"/>
          <w:szCs w:val="22"/>
        </w:rPr>
        <w:t>, </w:t>
      </w:r>
      <w:r w:rsidRPr="007875B7">
        <w:rPr>
          <w:rFonts w:cs="Arial"/>
          <w:i/>
          <w:iCs/>
          <w:szCs w:val="22"/>
        </w:rPr>
        <w:t>11</w:t>
      </w:r>
      <w:r w:rsidRPr="007875B7">
        <w:rPr>
          <w:rFonts w:cs="Arial"/>
          <w:szCs w:val="22"/>
        </w:rPr>
        <w:t>(1), p.2.</w:t>
      </w:r>
    </w:p>
    <w:p w14:paraId="7CCB1C8E" w14:textId="77777777" w:rsidR="00E36152" w:rsidRPr="00E25F6B" w:rsidRDefault="00E36152" w:rsidP="00E36152">
      <w:pPr>
        <w:spacing w:after="0" w:line="360" w:lineRule="auto"/>
        <w:jc w:val="both"/>
        <w:rPr>
          <w:rFonts w:cs="Arial"/>
          <w:szCs w:val="22"/>
          <w:lang w:val="en-US"/>
        </w:rPr>
      </w:pPr>
      <w:r w:rsidRPr="00E25F6B">
        <w:rPr>
          <w:rFonts w:cs="Arial"/>
          <w:szCs w:val="22"/>
        </w:rPr>
        <w:t xml:space="preserve">Thomas, K.A. and Quittner, A.W. </w:t>
      </w:r>
      <w:r>
        <w:rPr>
          <w:rFonts w:cs="Arial"/>
          <w:szCs w:val="22"/>
        </w:rPr>
        <w:t>(</w:t>
      </w:r>
      <w:r w:rsidRPr="00E25F6B">
        <w:rPr>
          <w:rFonts w:cs="Arial"/>
          <w:szCs w:val="22"/>
        </w:rPr>
        <w:t>2023</w:t>
      </w:r>
      <w:r>
        <w:rPr>
          <w:rFonts w:cs="Arial"/>
          <w:szCs w:val="22"/>
        </w:rPr>
        <w:t>)</w:t>
      </w:r>
      <w:r w:rsidRPr="00E25F6B">
        <w:rPr>
          <w:rFonts w:cs="Arial"/>
          <w:szCs w:val="22"/>
        </w:rPr>
        <w:t>. ELIMINATION DISORDERS: A DEVELOPMENTAL SYSTEMS. </w:t>
      </w:r>
      <w:r w:rsidRPr="00E25F6B">
        <w:rPr>
          <w:rFonts w:cs="Arial"/>
          <w:i/>
          <w:iCs/>
          <w:szCs w:val="22"/>
        </w:rPr>
        <w:t>DSM-5-TR® and Family Systems</w:t>
      </w:r>
      <w:r w:rsidRPr="00E25F6B">
        <w:rPr>
          <w:rFonts w:cs="Arial"/>
          <w:szCs w:val="22"/>
        </w:rPr>
        <w:t>, p.305.</w:t>
      </w:r>
    </w:p>
    <w:p w14:paraId="17135E37" w14:textId="77777777" w:rsidR="00E36152" w:rsidRDefault="00E36152" w:rsidP="00E36152">
      <w:pPr>
        <w:spacing w:after="0" w:line="360" w:lineRule="auto"/>
        <w:jc w:val="both"/>
        <w:rPr>
          <w:rFonts w:cs="Arial"/>
          <w:szCs w:val="22"/>
        </w:rPr>
      </w:pPr>
      <w:r w:rsidRPr="007875B7">
        <w:rPr>
          <w:rFonts w:cs="Arial"/>
          <w:szCs w:val="22"/>
        </w:rPr>
        <w:lastRenderedPageBreak/>
        <w:t xml:space="preserve">Topalovic, D., </w:t>
      </w:r>
      <w:proofErr w:type="spellStart"/>
      <w:r w:rsidRPr="007875B7">
        <w:rPr>
          <w:rFonts w:cs="Arial"/>
          <w:szCs w:val="22"/>
        </w:rPr>
        <w:t>Lazovic</w:t>
      </w:r>
      <w:proofErr w:type="spellEnd"/>
      <w:r w:rsidRPr="007875B7">
        <w:rPr>
          <w:rFonts w:cs="Arial"/>
          <w:szCs w:val="22"/>
        </w:rPr>
        <w:t xml:space="preserve">, J.M., </w:t>
      </w:r>
      <w:proofErr w:type="spellStart"/>
      <w:r w:rsidRPr="007875B7">
        <w:rPr>
          <w:rFonts w:cs="Arial"/>
          <w:szCs w:val="22"/>
        </w:rPr>
        <w:t>Trifunovic</w:t>
      </w:r>
      <w:proofErr w:type="spellEnd"/>
      <w:r w:rsidRPr="007875B7">
        <w:rPr>
          <w:rFonts w:cs="Arial"/>
          <w:szCs w:val="22"/>
        </w:rPr>
        <w:t xml:space="preserve">, B., Filipovic, I., Jovic, M., Mihajlovic, S. and </w:t>
      </w:r>
      <w:proofErr w:type="spellStart"/>
      <w:r w:rsidRPr="007875B7">
        <w:rPr>
          <w:rFonts w:cs="Arial"/>
          <w:szCs w:val="22"/>
        </w:rPr>
        <w:t>Milivojevic</w:t>
      </w:r>
      <w:proofErr w:type="spellEnd"/>
      <w:r w:rsidRPr="007875B7">
        <w:rPr>
          <w:rFonts w:cs="Arial"/>
          <w:szCs w:val="22"/>
        </w:rPr>
        <w:t xml:space="preserve">, S. </w:t>
      </w:r>
      <w:r>
        <w:rPr>
          <w:rFonts w:cs="Arial"/>
          <w:szCs w:val="22"/>
        </w:rPr>
        <w:t>(</w:t>
      </w:r>
      <w:r w:rsidRPr="007875B7">
        <w:rPr>
          <w:rFonts w:cs="Arial"/>
          <w:szCs w:val="22"/>
        </w:rPr>
        <w:t>2025</w:t>
      </w:r>
      <w:r>
        <w:rPr>
          <w:rFonts w:cs="Arial"/>
          <w:szCs w:val="22"/>
        </w:rPr>
        <w:t>)</w:t>
      </w:r>
      <w:r w:rsidRPr="007875B7">
        <w:rPr>
          <w:rFonts w:cs="Arial"/>
          <w:szCs w:val="22"/>
        </w:rPr>
        <w:t xml:space="preserve">. Predictive factors for relapse in </w:t>
      </w:r>
      <w:proofErr w:type="spellStart"/>
      <w:r w:rsidRPr="007875B7">
        <w:rPr>
          <w:rFonts w:cs="Arial"/>
          <w:szCs w:val="22"/>
        </w:rPr>
        <w:t>pediatric</w:t>
      </w:r>
      <w:proofErr w:type="spellEnd"/>
      <w:r w:rsidRPr="007875B7">
        <w:rPr>
          <w:rFonts w:cs="Arial"/>
          <w:szCs w:val="22"/>
        </w:rPr>
        <w:t xml:space="preserve"> patients with primary monosymptomatic nocturnal enuresis treated with the desmopressin oral </w:t>
      </w:r>
      <w:proofErr w:type="spellStart"/>
      <w:r w:rsidRPr="007875B7">
        <w:rPr>
          <w:rFonts w:cs="Arial"/>
          <w:szCs w:val="22"/>
        </w:rPr>
        <w:t>lyophilisate</w:t>
      </w:r>
      <w:proofErr w:type="spellEnd"/>
      <w:r w:rsidRPr="007875B7">
        <w:rPr>
          <w:rFonts w:cs="Arial"/>
          <w:szCs w:val="22"/>
        </w:rPr>
        <w:t>. </w:t>
      </w:r>
      <w:r w:rsidRPr="007875B7">
        <w:rPr>
          <w:rFonts w:cs="Arial"/>
          <w:i/>
          <w:iCs/>
          <w:szCs w:val="22"/>
        </w:rPr>
        <w:t xml:space="preserve">Journal of </w:t>
      </w:r>
      <w:proofErr w:type="spellStart"/>
      <w:r w:rsidRPr="007875B7">
        <w:rPr>
          <w:rFonts w:cs="Arial"/>
          <w:i/>
          <w:iCs/>
          <w:szCs w:val="22"/>
        </w:rPr>
        <w:t>Pediatric</w:t>
      </w:r>
      <w:proofErr w:type="spellEnd"/>
      <w:r w:rsidRPr="007875B7">
        <w:rPr>
          <w:rFonts w:cs="Arial"/>
          <w:i/>
          <w:iCs/>
          <w:szCs w:val="22"/>
        </w:rPr>
        <w:t xml:space="preserve"> Urology</w:t>
      </w:r>
      <w:r w:rsidRPr="007875B7">
        <w:rPr>
          <w:rFonts w:cs="Arial"/>
          <w:szCs w:val="22"/>
        </w:rPr>
        <w:t>.</w:t>
      </w:r>
    </w:p>
    <w:p w14:paraId="5D121103" w14:textId="77777777" w:rsidR="00E36152" w:rsidRDefault="00E36152" w:rsidP="00E36152">
      <w:pPr>
        <w:spacing w:after="0" w:line="360" w:lineRule="auto"/>
        <w:jc w:val="both"/>
        <w:rPr>
          <w:rFonts w:cs="Arial"/>
          <w:szCs w:val="22"/>
          <w:lang w:val="en-US"/>
        </w:rPr>
      </w:pPr>
      <w:r w:rsidRPr="009A2FCF">
        <w:rPr>
          <w:rFonts w:cs="Arial"/>
          <w:szCs w:val="22"/>
          <w:lang w:val="en-US"/>
        </w:rPr>
        <w:t>Trust, F. (2025). </w:t>
      </w:r>
      <w:r w:rsidRPr="009A2FCF">
        <w:rPr>
          <w:rFonts w:cs="Arial"/>
          <w:i/>
          <w:iCs/>
          <w:szCs w:val="22"/>
          <w:lang w:val="en-US"/>
        </w:rPr>
        <w:t xml:space="preserve">Community </w:t>
      </w:r>
      <w:proofErr w:type="spellStart"/>
      <w:r w:rsidRPr="009A2FCF">
        <w:rPr>
          <w:rFonts w:cs="Arial"/>
          <w:i/>
          <w:iCs/>
          <w:szCs w:val="22"/>
          <w:lang w:val="en-US"/>
        </w:rPr>
        <w:t>paediatric</w:t>
      </w:r>
      <w:proofErr w:type="spellEnd"/>
      <w:r w:rsidRPr="009A2FCF">
        <w:rPr>
          <w:rFonts w:cs="Arial"/>
          <w:i/>
          <w:iCs/>
          <w:szCs w:val="22"/>
          <w:lang w:val="en-US"/>
        </w:rPr>
        <w:t xml:space="preserve"> continence service</w:t>
      </w:r>
      <w:r w:rsidRPr="009A2FCF">
        <w:rPr>
          <w:rFonts w:cs="Arial"/>
          <w:szCs w:val="22"/>
          <w:lang w:val="en-US"/>
        </w:rPr>
        <w:t xml:space="preserve">. [online] NELFT NHS Foundation Trust. Available at: </w:t>
      </w:r>
      <w:hyperlink r:id="rId15" w:history="1">
        <w:r w:rsidRPr="009A2FCF">
          <w:rPr>
            <w:rStyle w:val="Hyperlink"/>
            <w:rFonts w:cs="Arial"/>
            <w:szCs w:val="22"/>
            <w:lang w:val="en-US"/>
          </w:rPr>
          <w:t>https://www.nelft.nhs.uk/services-bdhvrb-community-paediatric-continence/</w:t>
        </w:r>
      </w:hyperlink>
      <w:r>
        <w:rPr>
          <w:rFonts w:cs="Arial"/>
          <w:szCs w:val="22"/>
          <w:lang w:val="en-US"/>
        </w:rPr>
        <w:t xml:space="preserve"> </w:t>
      </w:r>
      <w:r w:rsidRPr="009A2FCF">
        <w:rPr>
          <w:rFonts w:cs="Arial"/>
          <w:szCs w:val="22"/>
          <w:lang w:val="en-US"/>
        </w:rPr>
        <w:t>[Accessed 19 Oct. 2025].</w:t>
      </w:r>
    </w:p>
    <w:p w14:paraId="1923804D" w14:textId="77777777" w:rsidR="00E36152" w:rsidRDefault="00E36152" w:rsidP="00E36152">
      <w:pPr>
        <w:spacing w:after="0" w:line="360" w:lineRule="auto"/>
        <w:jc w:val="both"/>
        <w:rPr>
          <w:rFonts w:cs="Arial"/>
          <w:szCs w:val="22"/>
          <w:lang w:val="en-US"/>
        </w:rPr>
      </w:pPr>
      <w:r w:rsidRPr="009A2FCF">
        <w:rPr>
          <w:rFonts w:cs="Arial"/>
          <w:szCs w:val="22"/>
        </w:rPr>
        <w:t xml:space="preserve">Walter, D., Matthias, E.K., </w:t>
      </w:r>
      <w:proofErr w:type="spellStart"/>
      <w:r w:rsidRPr="009A2FCF">
        <w:rPr>
          <w:rFonts w:cs="Arial"/>
          <w:szCs w:val="22"/>
        </w:rPr>
        <w:t>Thye</w:t>
      </w:r>
      <w:proofErr w:type="spellEnd"/>
      <w:r w:rsidRPr="009A2FCF">
        <w:rPr>
          <w:rFonts w:cs="Arial"/>
          <w:szCs w:val="22"/>
        </w:rPr>
        <w:t xml:space="preserve">, T., Dachs, L., Meininger, L., </w:t>
      </w:r>
      <w:proofErr w:type="spellStart"/>
      <w:r w:rsidRPr="009A2FCF">
        <w:rPr>
          <w:rFonts w:cs="Arial"/>
          <w:szCs w:val="22"/>
        </w:rPr>
        <w:t>Woitecki</w:t>
      </w:r>
      <w:proofErr w:type="spellEnd"/>
      <w:r w:rsidRPr="009A2FCF">
        <w:rPr>
          <w:rFonts w:cs="Arial"/>
          <w:szCs w:val="22"/>
        </w:rPr>
        <w:t xml:space="preserve">, K., Goertz-Dorten, A. and </w:t>
      </w:r>
      <w:proofErr w:type="spellStart"/>
      <w:r w:rsidRPr="009A2FCF">
        <w:rPr>
          <w:rFonts w:cs="Arial"/>
          <w:szCs w:val="22"/>
        </w:rPr>
        <w:t>Doepfner</w:t>
      </w:r>
      <w:proofErr w:type="spellEnd"/>
      <w:r w:rsidRPr="009A2FCF">
        <w:rPr>
          <w:rFonts w:cs="Arial"/>
          <w:szCs w:val="22"/>
        </w:rPr>
        <w:t xml:space="preserve">, M. </w:t>
      </w:r>
      <w:r>
        <w:rPr>
          <w:rFonts w:cs="Arial"/>
          <w:szCs w:val="22"/>
        </w:rPr>
        <w:t>(</w:t>
      </w:r>
      <w:r w:rsidRPr="009A2FCF">
        <w:rPr>
          <w:rFonts w:cs="Arial"/>
          <w:szCs w:val="22"/>
        </w:rPr>
        <w:t>2024</w:t>
      </w:r>
      <w:r>
        <w:rPr>
          <w:rFonts w:cs="Arial"/>
          <w:szCs w:val="22"/>
        </w:rPr>
        <w:t>)</w:t>
      </w:r>
      <w:r w:rsidRPr="009A2FCF">
        <w:rPr>
          <w:rFonts w:cs="Arial"/>
          <w:szCs w:val="22"/>
        </w:rPr>
        <w:t>. Effectiveness of Usual-Care Cognitive-Behavioral Therapy for Children and Adolescents with Nonorganic Enuresis and Comorbid Mental Disorders. </w:t>
      </w:r>
      <w:r w:rsidRPr="009A2FCF">
        <w:rPr>
          <w:rFonts w:cs="Arial"/>
          <w:i/>
          <w:iCs/>
          <w:szCs w:val="22"/>
        </w:rPr>
        <w:t>Evidence-Based Practice in Child and Adolescent Mental Health</w:t>
      </w:r>
      <w:r w:rsidRPr="009A2FCF">
        <w:rPr>
          <w:rFonts w:cs="Arial"/>
          <w:szCs w:val="22"/>
        </w:rPr>
        <w:t>, pp.1-14.</w:t>
      </w:r>
    </w:p>
    <w:p w14:paraId="01FDC625" w14:textId="77777777" w:rsidR="00E36152" w:rsidRDefault="00E36152" w:rsidP="00E36152">
      <w:pPr>
        <w:spacing w:after="0" w:line="360" w:lineRule="auto"/>
        <w:jc w:val="both"/>
        <w:rPr>
          <w:rFonts w:cs="Arial"/>
          <w:szCs w:val="22"/>
        </w:rPr>
      </w:pPr>
      <w:r w:rsidRPr="009A2FCF">
        <w:rPr>
          <w:rFonts w:cs="Arial"/>
          <w:szCs w:val="22"/>
        </w:rPr>
        <w:t xml:space="preserve">Warne, N., Heron, J., </w:t>
      </w:r>
      <w:proofErr w:type="spellStart"/>
      <w:r w:rsidRPr="009A2FCF">
        <w:rPr>
          <w:rFonts w:cs="Arial"/>
          <w:szCs w:val="22"/>
        </w:rPr>
        <w:t>Gontard</w:t>
      </w:r>
      <w:proofErr w:type="spellEnd"/>
      <w:r w:rsidRPr="009A2FCF">
        <w:rPr>
          <w:rFonts w:cs="Arial"/>
          <w:szCs w:val="22"/>
        </w:rPr>
        <w:t xml:space="preserve">, A. and </w:t>
      </w:r>
      <w:proofErr w:type="spellStart"/>
      <w:r w:rsidRPr="009A2FCF">
        <w:rPr>
          <w:rFonts w:cs="Arial"/>
          <w:szCs w:val="22"/>
        </w:rPr>
        <w:t>Joinson</w:t>
      </w:r>
      <w:proofErr w:type="spellEnd"/>
      <w:r w:rsidRPr="009A2FCF">
        <w:rPr>
          <w:rFonts w:cs="Arial"/>
          <w:szCs w:val="22"/>
        </w:rPr>
        <w:t xml:space="preserve">, C. </w:t>
      </w:r>
      <w:r>
        <w:rPr>
          <w:rFonts w:cs="Arial"/>
          <w:szCs w:val="22"/>
        </w:rPr>
        <w:t>(</w:t>
      </w:r>
      <w:r w:rsidRPr="009A2FCF">
        <w:rPr>
          <w:rFonts w:cs="Arial"/>
          <w:szCs w:val="22"/>
        </w:rPr>
        <w:t>2022</w:t>
      </w:r>
      <w:r>
        <w:rPr>
          <w:rFonts w:cs="Arial"/>
          <w:szCs w:val="22"/>
        </w:rPr>
        <w:t>)</w:t>
      </w:r>
      <w:r w:rsidRPr="009A2FCF">
        <w:rPr>
          <w:rFonts w:cs="Arial"/>
          <w:szCs w:val="22"/>
        </w:rPr>
        <w:t>. Mental health problems, stressful life events and relapse in urinary incontinence in primary school-age childhood: A prospective cohort study. </w:t>
      </w:r>
      <w:proofErr w:type="spellStart"/>
      <w:r w:rsidRPr="009A2FCF">
        <w:rPr>
          <w:rFonts w:cs="Arial"/>
          <w:i/>
          <w:iCs/>
          <w:szCs w:val="22"/>
        </w:rPr>
        <w:t>medRxiv</w:t>
      </w:r>
      <w:proofErr w:type="spellEnd"/>
      <w:r w:rsidRPr="009A2FCF">
        <w:rPr>
          <w:rFonts w:cs="Arial"/>
          <w:szCs w:val="22"/>
        </w:rPr>
        <w:t>, pp.2022-08.</w:t>
      </w:r>
    </w:p>
    <w:p w14:paraId="7FA72772" w14:textId="77777777" w:rsidR="00E36152" w:rsidRDefault="00E36152" w:rsidP="00E36152">
      <w:pPr>
        <w:spacing w:after="0" w:line="360" w:lineRule="auto"/>
        <w:jc w:val="both"/>
        <w:rPr>
          <w:rFonts w:cs="Arial"/>
          <w:szCs w:val="22"/>
        </w:rPr>
      </w:pPr>
      <w:r w:rsidRPr="00E25F6B">
        <w:rPr>
          <w:rFonts w:cs="Arial"/>
          <w:szCs w:val="22"/>
        </w:rPr>
        <w:t xml:space="preserve">Warne, N., Heron, J., von </w:t>
      </w:r>
      <w:proofErr w:type="spellStart"/>
      <w:r w:rsidRPr="00E25F6B">
        <w:rPr>
          <w:rFonts w:cs="Arial"/>
          <w:szCs w:val="22"/>
        </w:rPr>
        <w:t>Gontard</w:t>
      </w:r>
      <w:proofErr w:type="spellEnd"/>
      <w:r w:rsidRPr="00E25F6B">
        <w:rPr>
          <w:rFonts w:cs="Arial"/>
          <w:szCs w:val="22"/>
        </w:rPr>
        <w:t xml:space="preserve">, A. and </w:t>
      </w:r>
      <w:proofErr w:type="spellStart"/>
      <w:r w:rsidRPr="00E25F6B">
        <w:rPr>
          <w:rFonts w:cs="Arial"/>
          <w:szCs w:val="22"/>
        </w:rPr>
        <w:t>Joinson</w:t>
      </w:r>
      <w:proofErr w:type="spellEnd"/>
      <w:r w:rsidRPr="00E25F6B">
        <w:rPr>
          <w:rFonts w:cs="Arial"/>
          <w:szCs w:val="22"/>
        </w:rPr>
        <w:t xml:space="preserve">, C. </w:t>
      </w:r>
      <w:r>
        <w:rPr>
          <w:rFonts w:cs="Arial"/>
          <w:szCs w:val="22"/>
        </w:rPr>
        <w:t>(</w:t>
      </w:r>
      <w:r w:rsidRPr="00E25F6B">
        <w:rPr>
          <w:rFonts w:cs="Arial"/>
          <w:szCs w:val="22"/>
        </w:rPr>
        <w:t>2024</w:t>
      </w:r>
      <w:r>
        <w:rPr>
          <w:rFonts w:cs="Arial"/>
          <w:szCs w:val="22"/>
        </w:rPr>
        <w:t>)</w:t>
      </w:r>
      <w:r w:rsidRPr="00E25F6B">
        <w:rPr>
          <w:rFonts w:cs="Arial"/>
          <w:szCs w:val="22"/>
        </w:rPr>
        <w:t>. Mental health problems, stressful life events and new-onset urinary incontinence in primary school-age children: a prospective cohort study. </w:t>
      </w:r>
      <w:r w:rsidRPr="00E25F6B">
        <w:rPr>
          <w:rFonts w:cs="Arial"/>
          <w:i/>
          <w:iCs/>
          <w:szCs w:val="22"/>
        </w:rPr>
        <w:t>European Child &amp; Adolescent Psychiatry</w:t>
      </w:r>
      <w:r w:rsidRPr="00E25F6B">
        <w:rPr>
          <w:rFonts w:cs="Arial"/>
          <w:szCs w:val="22"/>
        </w:rPr>
        <w:t>, </w:t>
      </w:r>
      <w:r w:rsidRPr="00E25F6B">
        <w:rPr>
          <w:rFonts w:cs="Arial"/>
          <w:i/>
          <w:iCs/>
          <w:szCs w:val="22"/>
        </w:rPr>
        <w:t>33</w:t>
      </w:r>
      <w:r w:rsidRPr="00E25F6B">
        <w:rPr>
          <w:rFonts w:cs="Arial"/>
          <w:szCs w:val="22"/>
        </w:rPr>
        <w:t>(3), pp.871-879.</w:t>
      </w:r>
    </w:p>
    <w:p w14:paraId="19F72339" w14:textId="77777777" w:rsidR="005F0ECB" w:rsidRDefault="00E36152" w:rsidP="005F0ECB">
      <w:pPr>
        <w:spacing w:after="0" w:line="360" w:lineRule="auto"/>
        <w:jc w:val="both"/>
        <w:rPr>
          <w:rFonts w:cs="Arial"/>
          <w:szCs w:val="22"/>
          <w:lang w:val="en-US"/>
        </w:rPr>
      </w:pPr>
      <w:r w:rsidRPr="008C13B9">
        <w:rPr>
          <w:rFonts w:cs="Arial"/>
          <w:szCs w:val="22"/>
          <w:lang w:val="en-US"/>
        </w:rPr>
        <w:t>WHO (2025). </w:t>
      </w:r>
      <w:r w:rsidRPr="008C13B9">
        <w:rPr>
          <w:rFonts w:cs="Arial"/>
          <w:i/>
          <w:iCs/>
          <w:szCs w:val="22"/>
          <w:lang w:val="en-US"/>
        </w:rPr>
        <w:t>ICD-11 for Mortality and Morbidity Statistics-6C00 Enuresis</w:t>
      </w:r>
      <w:r w:rsidRPr="008C13B9">
        <w:rPr>
          <w:rFonts w:cs="Arial"/>
          <w:szCs w:val="22"/>
          <w:lang w:val="en-US"/>
        </w:rPr>
        <w:t xml:space="preserve">. [online] Available at: </w:t>
      </w:r>
      <w:hyperlink r:id="rId16" w:anchor="1157749237" w:history="1">
        <w:r w:rsidRPr="008C13B9">
          <w:rPr>
            <w:rStyle w:val="Hyperlink"/>
            <w:rFonts w:cs="Arial"/>
            <w:szCs w:val="22"/>
            <w:lang w:val="en-US"/>
          </w:rPr>
          <w:t>https://icd.who.int/browse/2025-01/mms/en#1157749237</w:t>
        </w:r>
      </w:hyperlink>
      <w:r w:rsidRPr="008C13B9">
        <w:rPr>
          <w:rFonts w:cs="Arial"/>
          <w:szCs w:val="22"/>
          <w:lang w:val="en-US"/>
        </w:rPr>
        <w:t xml:space="preserve"> [Accessed 19 Oct. 2025].</w:t>
      </w:r>
    </w:p>
    <w:p w14:paraId="2481355F" w14:textId="5B139990" w:rsidR="00E36152" w:rsidRDefault="00E36152" w:rsidP="005F0ECB">
      <w:pPr>
        <w:spacing w:after="0" w:line="360" w:lineRule="auto"/>
        <w:jc w:val="both"/>
        <w:rPr>
          <w:rFonts w:cs="Arial"/>
          <w:szCs w:val="22"/>
          <w:lang w:val="en-US"/>
        </w:rPr>
      </w:pPr>
      <w:r w:rsidRPr="00E25F6B">
        <w:rPr>
          <w:rFonts w:cs="Arial"/>
          <w:szCs w:val="22"/>
          <w:lang w:val="en-US"/>
        </w:rPr>
        <w:t>WHO (202</w:t>
      </w:r>
      <w:r>
        <w:rPr>
          <w:rFonts w:cs="Arial"/>
          <w:szCs w:val="22"/>
          <w:lang w:val="en-US"/>
        </w:rPr>
        <w:t>5a</w:t>
      </w:r>
      <w:r w:rsidRPr="00E25F6B">
        <w:rPr>
          <w:rFonts w:cs="Arial"/>
          <w:szCs w:val="22"/>
          <w:lang w:val="en-US"/>
        </w:rPr>
        <w:t>). </w:t>
      </w:r>
      <w:r w:rsidRPr="00E25F6B">
        <w:rPr>
          <w:rFonts w:cs="Arial"/>
          <w:i/>
          <w:iCs/>
          <w:szCs w:val="22"/>
          <w:lang w:val="en-US"/>
        </w:rPr>
        <w:t>ICD-11 for Mortality and Morbidity Statistics-</w:t>
      </w:r>
      <w:r w:rsidRPr="00E25F6B">
        <w:rPr>
          <w:rFonts w:cs="Arial"/>
          <w:i/>
          <w:iCs/>
          <w:szCs w:val="22"/>
        </w:rPr>
        <w:t>Elimination disorders</w:t>
      </w:r>
      <w:r w:rsidRPr="00E25F6B">
        <w:rPr>
          <w:rFonts w:cs="Arial"/>
          <w:szCs w:val="22"/>
          <w:lang w:val="en-US"/>
        </w:rPr>
        <w:t xml:space="preserve">. [online] Available at: </w:t>
      </w:r>
      <w:hyperlink r:id="rId17" w:anchor="1884115764" w:history="1">
        <w:r w:rsidRPr="00E25F6B">
          <w:rPr>
            <w:rStyle w:val="Hyperlink"/>
            <w:rFonts w:cs="Arial"/>
            <w:szCs w:val="22"/>
            <w:lang w:val="en-US"/>
          </w:rPr>
          <w:t>https://icd.who.int/browse/2025-01/mms/en#1884115764</w:t>
        </w:r>
      </w:hyperlink>
      <w:r>
        <w:rPr>
          <w:rFonts w:cs="Arial"/>
          <w:szCs w:val="22"/>
          <w:lang w:val="en-US"/>
        </w:rPr>
        <w:t xml:space="preserve"> </w:t>
      </w:r>
      <w:r w:rsidRPr="00E25F6B">
        <w:rPr>
          <w:rFonts w:cs="Arial"/>
          <w:szCs w:val="22"/>
          <w:lang w:val="en-US"/>
        </w:rPr>
        <w:t>[Accessed 19 Oct. 2025].</w:t>
      </w:r>
    </w:p>
    <w:p w14:paraId="0BE94DB0" w14:textId="77777777" w:rsidR="00E36152" w:rsidRDefault="00E36152" w:rsidP="005F0ECB">
      <w:pPr>
        <w:spacing w:after="0" w:line="360" w:lineRule="auto"/>
        <w:jc w:val="both"/>
        <w:rPr>
          <w:rFonts w:cs="Arial"/>
          <w:szCs w:val="22"/>
        </w:rPr>
      </w:pPr>
      <w:r w:rsidRPr="007875B7">
        <w:rPr>
          <w:rFonts w:cs="Arial"/>
          <w:szCs w:val="22"/>
        </w:rPr>
        <w:t xml:space="preserve">Wilson, J.S. and Doddy, G. </w:t>
      </w:r>
      <w:r>
        <w:rPr>
          <w:rFonts w:cs="Arial"/>
          <w:szCs w:val="22"/>
        </w:rPr>
        <w:t>(</w:t>
      </w:r>
      <w:r w:rsidRPr="007875B7">
        <w:rPr>
          <w:rFonts w:cs="Arial"/>
          <w:szCs w:val="22"/>
        </w:rPr>
        <w:t>2024</w:t>
      </w:r>
      <w:r>
        <w:rPr>
          <w:rFonts w:cs="Arial"/>
          <w:szCs w:val="22"/>
        </w:rPr>
        <w:t>)</w:t>
      </w:r>
      <w:r w:rsidRPr="007875B7">
        <w:rPr>
          <w:rFonts w:cs="Arial"/>
          <w:szCs w:val="22"/>
        </w:rPr>
        <w:t>. Alarm therapy for nocturnal enuresis in children: A literature review. </w:t>
      </w:r>
      <w:r w:rsidRPr="007875B7">
        <w:rPr>
          <w:rFonts w:cs="Arial"/>
          <w:i/>
          <w:iCs/>
          <w:szCs w:val="22"/>
        </w:rPr>
        <w:t>International Journal of Urological Nursing</w:t>
      </w:r>
      <w:r w:rsidRPr="007875B7">
        <w:rPr>
          <w:rFonts w:cs="Arial"/>
          <w:szCs w:val="22"/>
        </w:rPr>
        <w:t>, </w:t>
      </w:r>
      <w:r w:rsidRPr="007875B7">
        <w:rPr>
          <w:rFonts w:cs="Arial"/>
          <w:i/>
          <w:iCs/>
          <w:szCs w:val="22"/>
        </w:rPr>
        <w:t>18</w:t>
      </w:r>
      <w:r w:rsidRPr="007875B7">
        <w:rPr>
          <w:rFonts w:cs="Arial"/>
          <w:szCs w:val="22"/>
        </w:rPr>
        <w:t>(1), p.e12385.</w:t>
      </w:r>
    </w:p>
    <w:p w14:paraId="10561A0E" w14:textId="77777777" w:rsidR="00E36152" w:rsidRDefault="00E36152" w:rsidP="00E36152">
      <w:pPr>
        <w:spacing w:after="0" w:line="360" w:lineRule="auto"/>
        <w:jc w:val="both"/>
        <w:rPr>
          <w:rFonts w:cs="Arial"/>
          <w:szCs w:val="22"/>
          <w:lang w:val="en-US"/>
        </w:rPr>
      </w:pPr>
      <w:r w:rsidRPr="008C13B9">
        <w:rPr>
          <w:rFonts w:cs="Arial"/>
          <w:szCs w:val="22"/>
          <w:lang w:val="en-US"/>
        </w:rPr>
        <w:t>World Health Organization (2021). </w:t>
      </w:r>
      <w:r w:rsidRPr="008C13B9">
        <w:rPr>
          <w:rFonts w:cs="Arial"/>
          <w:i/>
          <w:iCs/>
          <w:szCs w:val="22"/>
          <w:lang w:val="en-US"/>
        </w:rPr>
        <w:t>Comprehensive Mental Health Action Plan 2013 - 2030</w:t>
      </w:r>
      <w:r w:rsidRPr="008C13B9">
        <w:rPr>
          <w:rFonts w:cs="Arial"/>
          <w:szCs w:val="22"/>
          <w:lang w:val="en-US"/>
        </w:rPr>
        <w:t xml:space="preserve">. [online] www.who.int. Available at: </w:t>
      </w:r>
      <w:hyperlink r:id="rId18" w:history="1">
        <w:r w:rsidRPr="008C13B9">
          <w:rPr>
            <w:rStyle w:val="Hyperlink"/>
            <w:rFonts w:cs="Arial"/>
            <w:szCs w:val="22"/>
            <w:lang w:val="en-US"/>
          </w:rPr>
          <w:t>https://www.who.int/publications/i/item/9789240031029</w:t>
        </w:r>
      </w:hyperlink>
      <w:r>
        <w:rPr>
          <w:rFonts w:cs="Arial"/>
          <w:szCs w:val="22"/>
          <w:lang w:val="en-US"/>
        </w:rPr>
        <w:t xml:space="preserve"> </w:t>
      </w:r>
      <w:r w:rsidRPr="009A2FCF">
        <w:rPr>
          <w:rFonts w:cs="Arial"/>
          <w:szCs w:val="22"/>
          <w:lang w:val="en-US"/>
        </w:rPr>
        <w:t>[Accessed 19 Oct. 2025].</w:t>
      </w:r>
    </w:p>
    <w:p w14:paraId="523238A4" w14:textId="77777777" w:rsidR="00E36152" w:rsidRDefault="00E36152" w:rsidP="00E36152">
      <w:pPr>
        <w:spacing w:after="0" w:line="360" w:lineRule="auto"/>
        <w:jc w:val="both"/>
        <w:rPr>
          <w:rFonts w:cs="Arial"/>
          <w:szCs w:val="22"/>
        </w:rPr>
      </w:pPr>
      <w:r w:rsidRPr="00E25F6B">
        <w:rPr>
          <w:rFonts w:cs="Arial"/>
          <w:szCs w:val="22"/>
          <w:lang w:val="en-US"/>
        </w:rPr>
        <w:t>‌</w:t>
      </w:r>
      <w:r w:rsidRPr="00E25F6B">
        <w:rPr>
          <w:rFonts w:cs="Arial"/>
          <w:szCs w:val="22"/>
        </w:rPr>
        <w:t>World Health Organization. (2024). </w:t>
      </w:r>
      <w:r w:rsidRPr="00E25F6B">
        <w:rPr>
          <w:rFonts w:cs="Arial"/>
          <w:i/>
          <w:iCs/>
          <w:szCs w:val="22"/>
        </w:rPr>
        <w:t>Clinical descriptions and diagnostic requirements for ICD-11 mental, behavioural and neurodevelopmental disorders</w:t>
      </w:r>
      <w:r w:rsidRPr="00E25F6B">
        <w:rPr>
          <w:rFonts w:cs="Arial"/>
          <w:szCs w:val="22"/>
        </w:rPr>
        <w:t>. World Health Organization.</w:t>
      </w:r>
    </w:p>
    <w:p w14:paraId="6BB3D633" w14:textId="77777777" w:rsidR="00E36152" w:rsidRDefault="00E36152" w:rsidP="00E36152">
      <w:pPr>
        <w:spacing w:after="0" w:line="360" w:lineRule="auto"/>
        <w:jc w:val="both"/>
        <w:rPr>
          <w:rFonts w:cs="Arial"/>
          <w:szCs w:val="22"/>
        </w:rPr>
      </w:pPr>
      <w:r w:rsidRPr="007875B7">
        <w:rPr>
          <w:rFonts w:cs="Arial"/>
          <w:szCs w:val="22"/>
        </w:rPr>
        <w:t>Wright, A. J. (2022). Deliberate context-driven conceptualization in psychological assessment. </w:t>
      </w:r>
      <w:r w:rsidRPr="007875B7">
        <w:rPr>
          <w:rFonts w:cs="Arial"/>
          <w:i/>
          <w:iCs/>
          <w:szCs w:val="22"/>
        </w:rPr>
        <w:t>Journal of Personality Assessment</w:t>
      </w:r>
      <w:r w:rsidRPr="007875B7">
        <w:rPr>
          <w:rFonts w:cs="Arial"/>
          <w:szCs w:val="22"/>
        </w:rPr>
        <w:t>, </w:t>
      </w:r>
      <w:r w:rsidRPr="007875B7">
        <w:rPr>
          <w:rFonts w:cs="Arial"/>
          <w:i/>
          <w:iCs/>
          <w:szCs w:val="22"/>
        </w:rPr>
        <w:t>104</w:t>
      </w:r>
      <w:r w:rsidRPr="007875B7">
        <w:rPr>
          <w:rFonts w:cs="Arial"/>
          <w:szCs w:val="22"/>
        </w:rPr>
        <w:t xml:space="preserve">(5), </w:t>
      </w:r>
      <w:r>
        <w:rPr>
          <w:rFonts w:cs="Arial"/>
          <w:szCs w:val="22"/>
        </w:rPr>
        <w:t>pp.</w:t>
      </w:r>
      <w:r w:rsidRPr="007875B7">
        <w:rPr>
          <w:rFonts w:cs="Arial"/>
          <w:szCs w:val="22"/>
        </w:rPr>
        <w:t>700-709.</w:t>
      </w:r>
    </w:p>
    <w:p w14:paraId="5982BD0D" w14:textId="1D46AD9F" w:rsidR="00A80562" w:rsidRPr="006305F3" w:rsidRDefault="00E36152" w:rsidP="006305F3">
      <w:pPr>
        <w:spacing w:after="0" w:line="360" w:lineRule="auto"/>
        <w:jc w:val="both"/>
        <w:rPr>
          <w:rFonts w:cs="Arial"/>
          <w:szCs w:val="22"/>
        </w:rPr>
      </w:pPr>
      <w:r w:rsidRPr="008C13B9">
        <w:rPr>
          <w:rFonts w:cs="Arial"/>
          <w:szCs w:val="22"/>
        </w:rPr>
        <w:t>Yates, A. (2021). Part 2: Continence assessment and investigations. </w:t>
      </w:r>
      <w:r w:rsidRPr="008C13B9">
        <w:rPr>
          <w:rFonts w:cs="Arial"/>
          <w:i/>
          <w:iCs/>
          <w:szCs w:val="22"/>
        </w:rPr>
        <w:t>Journal of Community Nursing</w:t>
      </w:r>
      <w:r w:rsidRPr="008C13B9">
        <w:rPr>
          <w:rFonts w:cs="Arial"/>
          <w:szCs w:val="22"/>
        </w:rPr>
        <w:t>, </w:t>
      </w:r>
      <w:r w:rsidRPr="008C13B9">
        <w:rPr>
          <w:rFonts w:cs="Arial"/>
          <w:i/>
          <w:iCs/>
          <w:szCs w:val="22"/>
        </w:rPr>
        <w:t>35</w:t>
      </w:r>
      <w:r w:rsidRPr="008C13B9">
        <w:rPr>
          <w:rFonts w:cs="Arial"/>
          <w:szCs w:val="22"/>
        </w:rPr>
        <w:t>(2), pp.30-37.</w:t>
      </w:r>
    </w:p>
    <w:p w14:paraId="5E8A20CA" w14:textId="598EE20C" w:rsidR="00E16389" w:rsidRDefault="00E16389" w:rsidP="00A80562">
      <w:pPr>
        <w:pStyle w:val="Heading1"/>
        <w:spacing w:line="360" w:lineRule="auto"/>
        <w:rPr>
          <w:rFonts w:ascii="Arial" w:hAnsi="Arial" w:cs="Arial"/>
          <w:b/>
          <w:bCs/>
          <w:color w:val="auto"/>
          <w:sz w:val="32"/>
          <w:szCs w:val="32"/>
        </w:rPr>
      </w:pPr>
      <w:bookmarkStart w:id="7" w:name="_Toc211776027"/>
      <w:r w:rsidRPr="00C77C03">
        <w:rPr>
          <w:rFonts w:ascii="Arial" w:hAnsi="Arial" w:cs="Arial"/>
          <w:b/>
          <w:bCs/>
          <w:color w:val="auto"/>
          <w:sz w:val="32"/>
          <w:szCs w:val="32"/>
        </w:rPr>
        <w:lastRenderedPageBreak/>
        <w:t>Appendix</w:t>
      </w:r>
      <w:bookmarkEnd w:id="7"/>
    </w:p>
    <w:p w14:paraId="6C59425B" w14:textId="15F63F85" w:rsidR="00A50B09" w:rsidRPr="00A50B09" w:rsidRDefault="00A50B09" w:rsidP="00A50B09">
      <w:pPr>
        <w:pStyle w:val="Caption"/>
        <w:keepNext/>
        <w:jc w:val="center"/>
        <w:rPr>
          <w:b/>
          <w:bCs/>
          <w:i w:val="0"/>
          <w:iCs w:val="0"/>
          <w:color w:val="auto"/>
        </w:rPr>
      </w:pPr>
      <w:r w:rsidRPr="00A50B09">
        <w:rPr>
          <w:b/>
          <w:bCs/>
          <w:i w:val="0"/>
          <w:iCs w:val="0"/>
          <w:color w:val="auto"/>
        </w:rPr>
        <w:t xml:space="preserve">Table </w:t>
      </w:r>
      <w:r w:rsidRPr="00A50B09">
        <w:rPr>
          <w:b/>
          <w:bCs/>
          <w:i w:val="0"/>
          <w:iCs w:val="0"/>
          <w:color w:val="auto"/>
        </w:rPr>
        <w:fldChar w:fldCharType="begin"/>
      </w:r>
      <w:r w:rsidRPr="00A50B09">
        <w:rPr>
          <w:b/>
          <w:bCs/>
          <w:i w:val="0"/>
          <w:iCs w:val="0"/>
          <w:color w:val="auto"/>
        </w:rPr>
        <w:instrText xml:space="preserve"> SEQ Table \* ARABIC </w:instrText>
      </w:r>
      <w:r w:rsidRPr="00A50B09">
        <w:rPr>
          <w:b/>
          <w:bCs/>
          <w:i w:val="0"/>
          <w:iCs w:val="0"/>
          <w:color w:val="auto"/>
        </w:rPr>
        <w:fldChar w:fldCharType="separate"/>
      </w:r>
      <w:r w:rsidRPr="00A50B09">
        <w:rPr>
          <w:b/>
          <w:bCs/>
          <w:i w:val="0"/>
          <w:iCs w:val="0"/>
          <w:noProof/>
          <w:color w:val="auto"/>
        </w:rPr>
        <w:t>2</w:t>
      </w:r>
      <w:r w:rsidRPr="00A50B09">
        <w:rPr>
          <w:b/>
          <w:bCs/>
          <w:i w:val="0"/>
          <w:iCs w:val="0"/>
          <w:color w:val="auto"/>
        </w:rPr>
        <w:fldChar w:fldCharType="end"/>
      </w:r>
      <w:r w:rsidRPr="00A50B09">
        <w:rPr>
          <w:b/>
          <w:bCs/>
          <w:i w:val="0"/>
          <w:iCs w:val="0"/>
          <w:color w:val="auto"/>
        </w:rPr>
        <w:t xml:space="preserve">: </w:t>
      </w:r>
      <w:r w:rsidRPr="002D18E2">
        <w:rPr>
          <w:b/>
          <w:bCs/>
          <w:i w:val="0"/>
          <w:iCs w:val="0"/>
          <w:color w:val="auto"/>
          <w:lang w:val="en-US"/>
        </w:rPr>
        <w:t>UK Treatment and Rehabilitation Initiatives for Enuresis</w:t>
      </w:r>
    </w:p>
    <w:tbl>
      <w:tblPr>
        <w:tblStyle w:val="TableGrid"/>
        <w:tblW w:w="0" w:type="auto"/>
        <w:jc w:val="center"/>
        <w:shd w:val="clear" w:color="auto" w:fill="DEEAF6" w:themeFill="accent5" w:themeFillTint="33"/>
        <w:tblLook w:val="04A0" w:firstRow="1" w:lastRow="0" w:firstColumn="1" w:lastColumn="0" w:noHBand="0" w:noVBand="1"/>
      </w:tblPr>
      <w:tblGrid>
        <w:gridCol w:w="2040"/>
        <w:gridCol w:w="1054"/>
        <w:gridCol w:w="2037"/>
        <w:gridCol w:w="1759"/>
        <w:gridCol w:w="2460"/>
      </w:tblGrid>
      <w:tr w:rsidR="00A50B09" w:rsidRPr="002D18E2" w14:paraId="007385E5" w14:textId="77777777" w:rsidTr="00326F47">
        <w:trPr>
          <w:jc w:val="center"/>
        </w:trPr>
        <w:tc>
          <w:tcPr>
            <w:tcW w:w="0" w:type="auto"/>
            <w:shd w:val="clear" w:color="auto" w:fill="DEEAF6" w:themeFill="accent5" w:themeFillTint="33"/>
            <w:vAlign w:val="center"/>
            <w:hideMark/>
          </w:tcPr>
          <w:p w14:paraId="2F7B767F" w14:textId="77777777" w:rsidR="00A50B09" w:rsidRPr="002D18E2" w:rsidRDefault="00A50B09" w:rsidP="00A50B09">
            <w:pPr>
              <w:spacing w:after="160" w:line="360" w:lineRule="auto"/>
              <w:jc w:val="center"/>
              <w:rPr>
                <w:b/>
                <w:bCs/>
                <w:sz w:val="20"/>
                <w:szCs w:val="22"/>
                <w:lang w:val="en-US"/>
              </w:rPr>
            </w:pPr>
            <w:r w:rsidRPr="002D18E2">
              <w:rPr>
                <w:b/>
                <w:bCs/>
                <w:sz w:val="20"/>
                <w:szCs w:val="22"/>
                <w:lang w:val="en-US"/>
              </w:rPr>
              <w:t>Initiative/Policy</w:t>
            </w:r>
          </w:p>
        </w:tc>
        <w:tc>
          <w:tcPr>
            <w:tcW w:w="0" w:type="auto"/>
            <w:shd w:val="clear" w:color="auto" w:fill="DEEAF6" w:themeFill="accent5" w:themeFillTint="33"/>
            <w:vAlign w:val="center"/>
            <w:hideMark/>
          </w:tcPr>
          <w:p w14:paraId="2E7DA2C1" w14:textId="77777777" w:rsidR="00A50B09" w:rsidRPr="002D18E2" w:rsidRDefault="00A50B09" w:rsidP="00A50B09">
            <w:pPr>
              <w:spacing w:after="160" w:line="360" w:lineRule="auto"/>
              <w:jc w:val="center"/>
              <w:rPr>
                <w:b/>
                <w:bCs/>
                <w:sz w:val="20"/>
                <w:szCs w:val="22"/>
                <w:lang w:val="en-US"/>
              </w:rPr>
            </w:pPr>
            <w:r w:rsidRPr="002D18E2">
              <w:rPr>
                <w:b/>
                <w:bCs/>
                <w:sz w:val="20"/>
                <w:szCs w:val="22"/>
                <w:lang w:val="en-US"/>
              </w:rPr>
              <w:t>Lead Body</w:t>
            </w:r>
          </w:p>
        </w:tc>
        <w:tc>
          <w:tcPr>
            <w:tcW w:w="0" w:type="auto"/>
            <w:shd w:val="clear" w:color="auto" w:fill="DEEAF6" w:themeFill="accent5" w:themeFillTint="33"/>
            <w:vAlign w:val="center"/>
            <w:hideMark/>
          </w:tcPr>
          <w:p w14:paraId="24D99DEE" w14:textId="77777777" w:rsidR="00A50B09" w:rsidRPr="002D18E2" w:rsidRDefault="00A50B09" w:rsidP="00A50B09">
            <w:pPr>
              <w:spacing w:after="160" w:line="360" w:lineRule="auto"/>
              <w:jc w:val="center"/>
              <w:rPr>
                <w:b/>
                <w:bCs/>
                <w:sz w:val="20"/>
                <w:szCs w:val="22"/>
                <w:lang w:val="en-US"/>
              </w:rPr>
            </w:pPr>
            <w:r w:rsidRPr="002D18E2">
              <w:rPr>
                <w:b/>
                <w:bCs/>
                <w:sz w:val="20"/>
                <w:szCs w:val="22"/>
                <w:lang w:val="en-US"/>
              </w:rPr>
              <w:t>Approach</w:t>
            </w:r>
          </w:p>
        </w:tc>
        <w:tc>
          <w:tcPr>
            <w:tcW w:w="0" w:type="auto"/>
            <w:shd w:val="clear" w:color="auto" w:fill="DEEAF6" w:themeFill="accent5" w:themeFillTint="33"/>
            <w:vAlign w:val="center"/>
            <w:hideMark/>
          </w:tcPr>
          <w:p w14:paraId="4B8C88CE" w14:textId="77777777" w:rsidR="00A50B09" w:rsidRPr="002D18E2" w:rsidRDefault="00A50B09" w:rsidP="00A50B09">
            <w:pPr>
              <w:spacing w:after="160" w:line="360" w:lineRule="auto"/>
              <w:jc w:val="center"/>
              <w:rPr>
                <w:b/>
                <w:bCs/>
                <w:sz w:val="20"/>
                <w:szCs w:val="22"/>
                <w:lang w:val="en-US"/>
              </w:rPr>
            </w:pPr>
            <w:r w:rsidRPr="002D18E2">
              <w:rPr>
                <w:b/>
                <w:bCs/>
                <w:sz w:val="20"/>
                <w:szCs w:val="22"/>
                <w:lang w:val="en-US"/>
              </w:rPr>
              <w:t>Key Focus</w:t>
            </w:r>
          </w:p>
        </w:tc>
        <w:tc>
          <w:tcPr>
            <w:tcW w:w="0" w:type="auto"/>
            <w:shd w:val="clear" w:color="auto" w:fill="DEEAF6" w:themeFill="accent5" w:themeFillTint="33"/>
            <w:vAlign w:val="center"/>
            <w:hideMark/>
          </w:tcPr>
          <w:p w14:paraId="69691C67" w14:textId="77777777" w:rsidR="00A50B09" w:rsidRPr="002D18E2" w:rsidRDefault="00A50B09" w:rsidP="00A50B09">
            <w:pPr>
              <w:spacing w:after="160" w:line="360" w:lineRule="auto"/>
              <w:jc w:val="center"/>
              <w:rPr>
                <w:b/>
                <w:bCs/>
                <w:sz w:val="20"/>
                <w:szCs w:val="22"/>
                <w:lang w:val="en-US"/>
              </w:rPr>
            </w:pPr>
            <w:r w:rsidRPr="002D18E2">
              <w:rPr>
                <w:b/>
                <w:bCs/>
                <w:sz w:val="20"/>
                <w:szCs w:val="22"/>
                <w:lang w:val="en-US"/>
              </w:rPr>
              <w:t>Evaluation/Outcome</w:t>
            </w:r>
          </w:p>
        </w:tc>
      </w:tr>
      <w:tr w:rsidR="00A50B09" w:rsidRPr="002D18E2" w14:paraId="44DC4D69" w14:textId="77777777" w:rsidTr="00326F47">
        <w:trPr>
          <w:jc w:val="center"/>
        </w:trPr>
        <w:tc>
          <w:tcPr>
            <w:tcW w:w="0" w:type="auto"/>
            <w:shd w:val="clear" w:color="auto" w:fill="DEEAF6" w:themeFill="accent5" w:themeFillTint="33"/>
            <w:vAlign w:val="center"/>
            <w:hideMark/>
          </w:tcPr>
          <w:p w14:paraId="6AE459F0" w14:textId="77777777" w:rsidR="00A50B09" w:rsidRPr="002D18E2" w:rsidRDefault="00A50B09" w:rsidP="00A50B09">
            <w:pPr>
              <w:spacing w:after="160" w:line="360" w:lineRule="auto"/>
              <w:jc w:val="center"/>
              <w:rPr>
                <w:sz w:val="20"/>
                <w:szCs w:val="22"/>
                <w:lang w:val="en-US"/>
              </w:rPr>
            </w:pPr>
            <w:r w:rsidRPr="002D18E2">
              <w:rPr>
                <w:sz w:val="20"/>
                <w:szCs w:val="22"/>
                <w:lang w:val="en-US"/>
              </w:rPr>
              <w:t>NICE Clinical Guideline CG111 (2010)</w:t>
            </w:r>
          </w:p>
        </w:tc>
        <w:tc>
          <w:tcPr>
            <w:tcW w:w="0" w:type="auto"/>
            <w:shd w:val="clear" w:color="auto" w:fill="DEEAF6" w:themeFill="accent5" w:themeFillTint="33"/>
            <w:vAlign w:val="center"/>
            <w:hideMark/>
          </w:tcPr>
          <w:p w14:paraId="555B2B6C" w14:textId="77777777" w:rsidR="00A50B09" w:rsidRPr="002D18E2" w:rsidRDefault="00A50B09" w:rsidP="00A50B09">
            <w:pPr>
              <w:spacing w:after="160" w:line="360" w:lineRule="auto"/>
              <w:jc w:val="center"/>
              <w:rPr>
                <w:sz w:val="20"/>
                <w:szCs w:val="22"/>
                <w:lang w:val="en-US"/>
              </w:rPr>
            </w:pPr>
            <w:r w:rsidRPr="002D18E2">
              <w:rPr>
                <w:sz w:val="20"/>
                <w:szCs w:val="22"/>
                <w:lang w:val="en-US"/>
              </w:rPr>
              <w:t>NHS England</w:t>
            </w:r>
          </w:p>
        </w:tc>
        <w:tc>
          <w:tcPr>
            <w:tcW w:w="0" w:type="auto"/>
            <w:shd w:val="clear" w:color="auto" w:fill="DEEAF6" w:themeFill="accent5" w:themeFillTint="33"/>
            <w:vAlign w:val="center"/>
            <w:hideMark/>
          </w:tcPr>
          <w:p w14:paraId="259DAE85" w14:textId="77777777" w:rsidR="00A50B09" w:rsidRPr="002D18E2" w:rsidRDefault="00A50B09" w:rsidP="00A50B09">
            <w:pPr>
              <w:spacing w:after="160" w:line="360" w:lineRule="auto"/>
              <w:jc w:val="center"/>
              <w:rPr>
                <w:sz w:val="20"/>
                <w:szCs w:val="22"/>
                <w:lang w:val="en-US"/>
              </w:rPr>
            </w:pPr>
            <w:proofErr w:type="spellStart"/>
            <w:r w:rsidRPr="002D18E2">
              <w:rPr>
                <w:sz w:val="20"/>
                <w:szCs w:val="22"/>
                <w:lang w:val="en-US"/>
              </w:rPr>
              <w:t>Behavioural</w:t>
            </w:r>
            <w:proofErr w:type="spellEnd"/>
            <w:r w:rsidRPr="002D18E2">
              <w:rPr>
                <w:sz w:val="20"/>
                <w:szCs w:val="22"/>
                <w:lang w:val="en-US"/>
              </w:rPr>
              <w:t xml:space="preserve"> and pharmacological</w:t>
            </w:r>
          </w:p>
        </w:tc>
        <w:tc>
          <w:tcPr>
            <w:tcW w:w="0" w:type="auto"/>
            <w:shd w:val="clear" w:color="auto" w:fill="DEEAF6" w:themeFill="accent5" w:themeFillTint="33"/>
            <w:vAlign w:val="center"/>
            <w:hideMark/>
          </w:tcPr>
          <w:p w14:paraId="2D3CE774" w14:textId="77777777" w:rsidR="00A50B09" w:rsidRPr="002D18E2" w:rsidRDefault="00A50B09" w:rsidP="00A50B09">
            <w:pPr>
              <w:spacing w:after="160" w:line="360" w:lineRule="auto"/>
              <w:jc w:val="center"/>
              <w:rPr>
                <w:sz w:val="20"/>
                <w:szCs w:val="22"/>
                <w:lang w:val="en-US"/>
              </w:rPr>
            </w:pPr>
            <w:r w:rsidRPr="002D18E2">
              <w:rPr>
                <w:sz w:val="20"/>
                <w:szCs w:val="22"/>
                <w:lang w:val="en-US"/>
              </w:rPr>
              <w:t>Family-</w:t>
            </w:r>
            <w:proofErr w:type="spellStart"/>
            <w:r w:rsidRPr="002D18E2">
              <w:rPr>
                <w:sz w:val="20"/>
                <w:szCs w:val="22"/>
                <w:lang w:val="en-US"/>
              </w:rPr>
              <w:t>centred</w:t>
            </w:r>
            <w:proofErr w:type="spellEnd"/>
            <w:r w:rsidRPr="002D18E2">
              <w:rPr>
                <w:sz w:val="20"/>
                <w:szCs w:val="22"/>
                <w:lang w:val="en-US"/>
              </w:rPr>
              <w:t xml:space="preserve"> management</w:t>
            </w:r>
          </w:p>
        </w:tc>
        <w:tc>
          <w:tcPr>
            <w:tcW w:w="0" w:type="auto"/>
            <w:shd w:val="clear" w:color="auto" w:fill="DEEAF6" w:themeFill="accent5" w:themeFillTint="33"/>
            <w:vAlign w:val="center"/>
            <w:hideMark/>
          </w:tcPr>
          <w:p w14:paraId="14881D64" w14:textId="77777777" w:rsidR="00A50B09" w:rsidRPr="002D18E2" w:rsidRDefault="00A50B09" w:rsidP="00A50B09">
            <w:pPr>
              <w:spacing w:after="160" w:line="360" w:lineRule="auto"/>
              <w:jc w:val="center"/>
              <w:rPr>
                <w:sz w:val="20"/>
                <w:szCs w:val="22"/>
                <w:lang w:val="en-US"/>
              </w:rPr>
            </w:pPr>
            <w:r w:rsidRPr="002D18E2">
              <w:rPr>
                <w:sz w:val="20"/>
                <w:szCs w:val="22"/>
                <w:lang w:val="en-US"/>
              </w:rPr>
              <w:t>Improved continence but limited relapse follow-up</w:t>
            </w:r>
          </w:p>
        </w:tc>
      </w:tr>
      <w:tr w:rsidR="00A50B09" w:rsidRPr="002D18E2" w14:paraId="35CC5ED7" w14:textId="77777777" w:rsidTr="00326F47">
        <w:trPr>
          <w:jc w:val="center"/>
        </w:trPr>
        <w:tc>
          <w:tcPr>
            <w:tcW w:w="0" w:type="auto"/>
            <w:shd w:val="clear" w:color="auto" w:fill="DEEAF6" w:themeFill="accent5" w:themeFillTint="33"/>
            <w:vAlign w:val="center"/>
            <w:hideMark/>
          </w:tcPr>
          <w:p w14:paraId="529284F1" w14:textId="77777777" w:rsidR="00A50B09" w:rsidRPr="002D18E2" w:rsidRDefault="00A50B09" w:rsidP="00A50B09">
            <w:pPr>
              <w:spacing w:after="160" w:line="360" w:lineRule="auto"/>
              <w:jc w:val="center"/>
              <w:rPr>
                <w:sz w:val="20"/>
                <w:szCs w:val="22"/>
                <w:lang w:val="en-US"/>
              </w:rPr>
            </w:pPr>
            <w:r w:rsidRPr="002D18E2">
              <w:rPr>
                <w:sz w:val="20"/>
                <w:szCs w:val="22"/>
                <w:lang w:val="en-US"/>
              </w:rPr>
              <w:t>ERIC (The Children’s Bowel and Bladder Charity)</w:t>
            </w:r>
          </w:p>
        </w:tc>
        <w:tc>
          <w:tcPr>
            <w:tcW w:w="0" w:type="auto"/>
            <w:shd w:val="clear" w:color="auto" w:fill="DEEAF6" w:themeFill="accent5" w:themeFillTint="33"/>
            <w:vAlign w:val="center"/>
            <w:hideMark/>
          </w:tcPr>
          <w:p w14:paraId="5A02FC8C" w14:textId="77777777" w:rsidR="00A50B09" w:rsidRPr="002D18E2" w:rsidRDefault="00A50B09" w:rsidP="00A50B09">
            <w:pPr>
              <w:spacing w:after="160" w:line="360" w:lineRule="auto"/>
              <w:jc w:val="center"/>
              <w:rPr>
                <w:sz w:val="20"/>
                <w:szCs w:val="22"/>
                <w:lang w:val="en-US"/>
              </w:rPr>
            </w:pPr>
            <w:r w:rsidRPr="002D18E2">
              <w:rPr>
                <w:sz w:val="20"/>
                <w:szCs w:val="22"/>
                <w:lang w:val="en-US"/>
              </w:rPr>
              <w:t>Non-profit</w:t>
            </w:r>
          </w:p>
        </w:tc>
        <w:tc>
          <w:tcPr>
            <w:tcW w:w="0" w:type="auto"/>
            <w:shd w:val="clear" w:color="auto" w:fill="DEEAF6" w:themeFill="accent5" w:themeFillTint="33"/>
            <w:vAlign w:val="center"/>
            <w:hideMark/>
          </w:tcPr>
          <w:p w14:paraId="3F9F6F62" w14:textId="77777777" w:rsidR="00A50B09" w:rsidRPr="002D18E2" w:rsidRDefault="00A50B09" w:rsidP="00A50B09">
            <w:pPr>
              <w:spacing w:after="160" w:line="360" w:lineRule="auto"/>
              <w:jc w:val="center"/>
              <w:rPr>
                <w:sz w:val="20"/>
                <w:szCs w:val="22"/>
                <w:lang w:val="en-US"/>
              </w:rPr>
            </w:pPr>
            <w:r w:rsidRPr="002D18E2">
              <w:rPr>
                <w:sz w:val="20"/>
                <w:szCs w:val="22"/>
                <w:lang w:val="en-US"/>
              </w:rPr>
              <w:t>Psychoeducation and school-based support</w:t>
            </w:r>
          </w:p>
        </w:tc>
        <w:tc>
          <w:tcPr>
            <w:tcW w:w="0" w:type="auto"/>
            <w:shd w:val="clear" w:color="auto" w:fill="DEEAF6" w:themeFill="accent5" w:themeFillTint="33"/>
            <w:vAlign w:val="center"/>
            <w:hideMark/>
          </w:tcPr>
          <w:p w14:paraId="6280EB59" w14:textId="77777777" w:rsidR="00A50B09" w:rsidRPr="002D18E2" w:rsidRDefault="00A50B09" w:rsidP="00A50B09">
            <w:pPr>
              <w:spacing w:after="160" w:line="360" w:lineRule="auto"/>
              <w:jc w:val="center"/>
              <w:rPr>
                <w:sz w:val="20"/>
                <w:szCs w:val="22"/>
                <w:lang w:val="en-US"/>
              </w:rPr>
            </w:pPr>
            <w:r w:rsidRPr="002D18E2">
              <w:rPr>
                <w:sz w:val="20"/>
                <w:szCs w:val="22"/>
                <w:lang w:val="en-US"/>
              </w:rPr>
              <w:t xml:space="preserve">Reducing stigma and </w:t>
            </w:r>
            <w:proofErr w:type="spellStart"/>
            <w:r w:rsidRPr="002D18E2">
              <w:rPr>
                <w:sz w:val="20"/>
                <w:szCs w:val="22"/>
                <w:lang w:val="en-US"/>
              </w:rPr>
              <w:t>normalising</w:t>
            </w:r>
            <w:proofErr w:type="spellEnd"/>
            <w:r w:rsidRPr="002D18E2">
              <w:rPr>
                <w:sz w:val="20"/>
                <w:szCs w:val="22"/>
                <w:lang w:val="en-US"/>
              </w:rPr>
              <w:t xml:space="preserve"> help-seeking</w:t>
            </w:r>
          </w:p>
        </w:tc>
        <w:tc>
          <w:tcPr>
            <w:tcW w:w="0" w:type="auto"/>
            <w:shd w:val="clear" w:color="auto" w:fill="DEEAF6" w:themeFill="accent5" w:themeFillTint="33"/>
            <w:vAlign w:val="center"/>
            <w:hideMark/>
          </w:tcPr>
          <w:p w14:paraId="06D1B2FE" w14:textId="77777777" w:rsidR="00A50B09" w:rsidRPr="002D18E2" w:rsidRDefault="00A50B09" w:rsidP="00A50B09">
            <w:pPr>
              <w:spacing w:after="160" w:line="360" w:lineRule="auto"/>
              <w:jc w:val="center"/>
              <w:rPr>
                <w:sz w:val="20"/>
                <w:szCs w:val="22"/>
                <w:lang w:val="en-US"/>
              </w:rPr>
            </w:pPr>
            <w:r w:rsidRPr="002D18E2">
              <w:rPr>
                <w:sz w:val="20"/>
                <w:szCs w:val="22"/>
                <w:lang w:val="en-US"/>
              </w:rPr>
              <w:t>Increases parental engagement</w:t>
            </w:r>
          </w:p>
        </w:tc>
      </w:tr>
      <w:tr w:rsidR="00A50B09" w:rsidRPr="002D18E2" w14:paraId="6432C167" w14:textId="77777777" w:rsidTr="00326F47">
        <w:trPr>
          <w:jc w:val="center"/>
        </w:trPr>
        <w:tc>
          <w:tcPr>
            <w:tcW w:w="0" w:type="auto"/>
            <w:shd w:val="clear" w:color="auto" w:fill="DEEAF6" w:themeFill="accent5" w:themeFillTint="33"/>
            <w:vAlign w:val="center"/>
            <w:hideMark/>
          </w:tcPr>
          <w:p w14:paraId="7C5F2A28" w14:textId="77777777" w:rsidR="00A50B09" w:rsidRPr="002D18E2" w:rsidRDefault="00A50B09" w:rsidP="00A50B09">
            <w:pPr>
              <w:spacing w:after="160" w:line="360" w:lineRule="auto"/>
              <w:jc w:val="center"/>
              <w:rPr>
                <w:sz w:val="20"/>
                <w:szCs w:val="22"/>
                <w:lang w:val="en-US"/>
              </w:rPr>
            </w:pPr>
            <w:r w:rsidRPr="002D18E2">
              <w:rPr>
                <w:sz w:val="20"/>
                <w:szCs w:val="22"/>
                <w:lang w:val="en-US"/>
              </w:rPr>
              <w:t xml:space="preserve">NHS Community </w:t>
            </w:r>
            <w:proofErr w:type="spellStart"/>
            <w:r w:rsidRPr="002D18E2">
              <w:rPr>
                <w:sz w:val="20"/>
                <w:szCs w:val="22"/>
                <w:lang w:val="en-US"/>
              </w:rPr>
              <w:t>Paediatric</w:t>
            </w:r>
            <w:proofErr w:type="spellEnd"/>
            <w:r w:rsidRPr="002D18E2">
              <w:rPr>
                <w:sz w:val="20"/>
                <w:szCs w:val="22"/>
                <w:lang w:val="en-US"/>
              </w:rPr>
              <w:t xml:space="preserve"> Continence Services</w:t>
            </w:r>
          </w:p>
        </w:tc>
        <w:tc>
          <w:tcPr>
            <w:tcW w:w="0" w:type="auto"/>
            <w:shd w:val="clear" w:color="auto" w:fill="DEEAF6" w:themeFill="accent5" w:themeFillTint="33"/>
            <w:vAlign w:val="center"/>
            <w:hideMark/>
          </w:tcPr>
          <w:p w14:paraId="69E12861" w14:textId="77777777" w:rsidR="00A50B09" w:rsidRPr="002D18E2" w:rsidRDefault="00A50B09" w:rsidP="00A50B09">
            <w:pPr>
              <w:spacing w:after="160" w:line="360" w:lineRule="auto"/>
              <w:jc w:val="center"/>
              <w:rPr>
                <w:sz w:val="20"/>
                <w:szCs w:val="22"/>
                <w:lang w:val="en-US"/>
              </w:rPr>
            </w:pPr>
            <w:r w:rsidRPr="002D18E2">
              <w:rPr>
                <w:sz w:val="20"/>
                <w:szCs w:val="22"/>
                <w:lang w:val="en-US"/>
              </w:rPr>
              <w:t>Local NHS Trusts</w:t>
            </w:r>
          </w:p>
        </w:tc>
        <w:tc>
          <w:tcPr>
            <w:tcW w:w="0" w:type="auto"/>
            <w:shd w:val="clear" w:color="auto" w:fill="DEEAF6" w:themeFill="accent5" w:themeFillTint="33"/>
            <w:vAlign w:val="center"/>
            <w:hideMark/>
          </w:tcPr>
          <w:p w14:paraId="7DD70825" w14:textId="77777777" w:rsidR="00A50B09" w:rsidRPr="002D18E2" w:rsidRDefault="00A50B09" w:rsidP="00A50B09">
            <w:pPr>
              <w:spacing w:after="160" w:line="360" w:lineRule="auto"/>
              <w:jc w:val="center"/>
              <w:rPr>
                <w:sz w:val="20"/>
                <w:szCs w:val="22"/>
                <w:lang w:val="en-US"/>
              </w:rPr>
            </w:pPr>
            <w:r w:rsidRPr="002D18E2">
              <w:rPr>
                <w:sz w:val="20"/>
                <w:szCs w:val="22"/>
                <w:lang w:val="en-US"/>
              </w:rPr>
              <w:t>Multi-agency continence clinics</w:t>
            </w:r>
          </w:p>
        </w:tc>
        <w:tc>
          <w:tcPr>
            <w:tcW w:w="0" w:type="auto"/>
            <w:shd w:val="clear" w:color="auto" w:fill="DEEAF6" w:themeFill="accent5" w:themeFillTint="33"/>
            <w:vAlign w:val="center"/>
            <w:hideMark/>
          </w:tcPr>
          <w:p w14:paraId="3D607DC2" w14:textId="77777777" w:rsidR="00A50B09" w:rsidRPr="002D18E2" w:rsidRDefault="00A50B09" w:rsidP="00A50B09">
            <w:pPr>
              <w:spacing w:after="160" w:line="360" w:lineRule="auto"/>
              <w:jc w:val="center"/>
              <w:rPr>
                <w:sz w:val="20"/>
                <w:szCs w:val="22"/>
                <w:lang w:val="en-US"/>
              </w:rPr>
            </w:pPr>
            <w:r w:rsidRPr="002D18E2">
              <w:rPr>
                <w:sz w:val="20"/>
                <w:szCs w:val="22"/>
                <w:lang w:val="en-US"/>
              </w:rPr>
              <w:t>Early intervention, holistic care</w:t>
            </w:r>
          </w:p>
        </w:tc>
        <w:tc>
          <w:tcPr>
            <w:tcW w:w="0" w:type="auto"/>
            <w:shd w:val="clear" w:color="auto" w:fill="DEEAF6" w:themeFill="accent5" w:themeFillTint="33"/>
            <w:vAlign w:val="center"/>
            <w:hideMark/>
          </w:tcPr>
          <w:p w14:paraId="39C5614E" w14:textId="7C999882" w:rsidR="00A50B09" w:rsidRPr="002D18E2" w:rsidRDefault="00A50B09" w:rsidP="00A50B09">
            <w:pPr>
              <w:spacing w:after="160" w:line="360" w:lineRule="auto"/>
              <w:jc w:val="center"/>
              <w:rPr>
                <w:sz w:val="20"/>
                <w:szCs w:val="22"/>
                <w:lang w:val="en-US"/>
              </w:rPr>
            </w:pPr>
            <w:r w:rsidRPr="002D18E2">
              <w:rPr>
                <w:sz w:val="20"/>
                <w:szCs w:val="22"/>
                <w:lang w:val="en-US"/>
              </w:rPr>
              <w:t xml:space="preserve">Uneven service provision across </w:t>
            </w:r>
            <w:r w:rsidR="00311379">
              <w:rPr>
                <w:sz w:val="20"/>
                <w:szCs w:val="22"/>
                <w:lang w:val="en-US"/>
              </w:rPr>
              <w:t xml:space="preserve">the </w:t>
            </w:r>
            <w:r w:rsidRPr="002D18E2">
              <w:rPr>
                <w:sz w:val="20"/>
                <w:szCs w:val="22"/>
                <w:lang w:val="en-US"/>
              </w:rPr>
              <w:t>UK</w:t>
            </w:r>
          </w:p>
        </w:tc>
      </w:tr>
    </w:tbl>
    <w:p w14:paraId="768D8D87" w14:textId="77777777" w:rsidR="00A50B09" w:rsidRPr="00A50B09" w:rsidRDefault="00A50B09" w:rsidP="00A50B09">
      <w:pPr>
        <w:rPr>
          <w:lang w:val="en-US"/>
        </w:rPr>
      </w:pPr>
    </w:p>
    <w:p w14:paraId="346F8791" w14:textId="77777777" w:rsidR="00BB5E87" w:rsidRDefault="00BB5E87" w:rsidP="00A80562"/>
    <w:sectPr w:rsidR="00BB5E87" w:rsidSect="00E229E6">
      <w:footerReference w:type="default" r:id="rId19"/>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4FDDE" w14:textId="77777777" w:rsidR="004E7542" w:rsidRPr="00C77C03" w:rsidRDefault="004E7542" w:rsidP="00E229E6">
      <w:pPr>
        <w:spacing w:after="0" w:line="240" w:lineRule="auto"/>
      </w:pPr>
      <w:r w:rsidRPr="00C77C03">
        <w:separator/>
      </w:r>
    </w:p>
  </w:endnote>
  <w:endnote w:type="continuationSeparator" w:id="0">
    <w:p w14:paraId="3370352A" w14:textId="77777777" w:rsidR="004E7542" w:rsidRPr="00C77C03" w:rsidRDefault="004E7542" w:rsidP="00E229E6">
      <w:pPr>
        <w:spacing w:after="0" w:line="240" w:lineRule="auto"/>
      </w:pPr>
      <w:r w:rsidRPr="00C77C0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3551432"/>
      <w:docPartObj>
        <w:docPartGallery w:val="Page Numbers (Bottom of Page)"/>
        <w:docPartUnique/>
      </w:docPartObj>
    </w:sdtPr>
    <w:sdtEndPr/>
    <w:sdtContent>
      <w:p w14:paraId="1BFD4BD0" w14:textId="21AEE2AF" w:rsidR="00E229E6" w:rsidRPr="00C77C03" w:rsidRDefault="00E229E6">
        <w:pPr>
          <w:pStyle w:val="Footer"/>
          <w:jc w:val="center"/>
        </w:pPr>
        <w:r w:rsidRPr="00C77C03">
          <w:fldChar w:fldCharType="begin"/>
        </w:r>
        <w:r w:rsidRPr="00C77C03">
          <w:instrText xml:space="preserve"> PAGE   \* MERGEFORMAT </w:instrText>
        </w:r>
        <w:r w:rsidRPr="00C77C03">
          <w:fldChar w:fldCharType="separate"/>
        </w:r>
        <w:r w:rsidRPr="00C77C03">
          <w:t>2</w:t>
        </w:r>
        <w:r w:rsidRPr="00C77C03">
          <w:fldChar w:fldCharType="end"/>
        </w:r>
      </w:p>
    </w:sdtContent>
  </w:sdt>
  <w:p w14:paraId="669F6C5B" w14:textId="77777777" w:rsidR="00E229E6" w:rsidRPr="00C77C03" w:rsidRDefault="00E229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E79F6" w14:textId="77777777" w:rsidR="004E7542" w:rsidRPr="00C77C03" w:rsidRDefault="004E7542" w:rsidP="00E229E6">
      <w:pPr>
        <w:spacing w:after="0" w:line="240" w:lineRule="auto"/>
      </w:pPr>
      <w:r w:rsidRPr="00C77C03">
        <w:separator/>
      </w:r>
    </w:p>
  </w:footnote>
  <w:footnote w:type="continuationSeparator" w:id="0">
    <w:p w14:paraId="2B816959" w14:textId="77777777" w:rsidR="004E7542" w:rsidRPr="00C77C03" w:rsidRDefault="004E7542" w:rsidP="00E229E6">
      <w:pPr>
        <w:spacing w:after="0" w:line="240" w:lineRule="auto"/>
      </w:pPr>
      <w:r w:rsidRPr="00C77C0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70B68"/>
    <w:multiLevelType w:val="hybridMultilevel"/>
    <w:tmpl w:val="9580D67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188"/>
    <w:rsid w:val="000013F3"/>
    <w:rsid w:val="000019CC"/>
    <w:rsid w:val="00007DD1"/>
    <w:rsid w:val="00017818"/>
    <w:rsid w:val="00023145"/>
    <w:rsid w:val="000245D4"/>
    <w:rsid w:val="00030410"/>
    <w:rsid w:val="000346DA"/>
    <w:rsid w:val="00042951"/>
    <w:rsid w:val="00057F7E"/>
    <w:rsid w:val="0006062D"/>
    <w:rsid w:val="0007319F"/>
    <w:rsid w:val="00076DC7"/>
    <w:rsid w:val="000773E5"/>
    <w:rsid w:val="000812D8"/>
    <w:rsid w:val="000815EB"/>
    <w:rsid w:val="00082A61"/>
    <w:rsid w:val="00085BEC"/>
    <w:rsid w:val="00090CAF"/>
    <w:rsid w:val="00091933"/>
    <w:rsid w:val="0009279A"/>
    <w:rsid w:val="000949EA"/>
    <w:rsid w:val="000E0470"/>
    <w:rsid w:val="000E5164"/>
    <w:rsid w:val="000E5AB5"/>
    <w:rsid w:val="000F4149"/>
    <w:rsid w:val="00106613"/>
    <w:rsid w:val="00112084"/>
    <w:rsid w:val="00112EB9"/>
    <w:rsid w:val="0011727C"/>
    <w:rsid w:val="0012282E"/>
    <w:rsid w:val="00141124"/>
    <w:rsid w:val="001434E6"/>
    <w:rsid w:val="00150C09"/>
    <w:rsid w:val="00151DB9"/>
    <w:rsid w:val="00163BBA"/>
    <w:rsid w:val="0017453D"/>
    <w:rsid w:val="00174DB1"/>
    <w:rsid w:val="001762D1"/>
    <w:rsid w:val="00192877"/>
    <w:rsid w:val="00196E41"/>
    <w:rsid w:val="001A039F"/>
    <w:rsid w:val="001A1133"/>
    <w:rsid w:val="001A1ADA"/>
    <w:rsid w:val="001A23DF"/>
    <w:rsid w:val="001A24F5"/>
    <w:rsid w:val="001B7101"/>
    <w:rsid w:val="001B7881"/>
    <w:rsid w:val="001D1059"/>
    <w:rsid w:val="001D3EC1"/>
    <w:rsid w:val="001D76EE"/>
    <w:rsid w:val="001E01E9"/>
    <w:rsid w:val="001F3058"/>
    <w:rsid w:val="002118E7"/>
    <w:rsid w:val="002351E4"/>
    <w:rsid w:val="002513A7"/>
    <w:rsid w:val="00272B57"/>
    <w:rsid w:val="002A0E82"/>
    <w:rsid w:val="002B0DF5"/>
    <w:rsid w:val="002B1894"/>
    <w:rsid w:val="002B3B9B"/>
    <w:rsid w:val="002C763F"/>
    <w:rsid w:val="002D1536"/>
    <w:rsid w:val="002D18E2"/>
    <w:rsid w:val="002D50B5"/>
    <w:rsid w:val="002D755E"/>
    <w:rsid w:val="002F0D96"/>
    <w:rsid w:val="00302FB6"/>
    <w:rsid w:val="00306730"/>
    <w:rsid w:val="00311379"/>
    <w:rsid w:val="00313818"/>
    <w:rsid w:val="00315C29"/>
    <w:rsid w:val="00324B32"/>
    <w:rsid w:val="00327AA9"/>
    <w:rsid w:val="00336732"/>
    <w:rsid w:val="00343125"/>
    <w:rsid w:val="003509DB"/>
    <w:rsid w:val="00352772"/>
    <w:rsid w:val="00352F37"/>
    <w:rsid w:val="00362D1D"/>
    <w:rsid w:val="00363155"/>
    <w:rsid w:val="00370097"/>
    <w:rsid w:val="003B754D"/>
    <w:rsid w:val="003B7DFD"/>
    <w:rsid w:val="003C4D7F"/>
    <w:rsid w:val="003C64C7"/>
    <w:rsid w:val="003C76C9"/>
    <w:rsid w:val="003D27F1"/>
    <w:rsid w:val="003D2D3E"/>
    <w:rsid w:val="003D6D89"/>
    <w:rsid w:val="003E090F"/>
    <w:rsid w:val="003E097D"/>
    <w:rsid w:val="003F13CB"/>
    <w:rsid w:val="003F7AD1"/>
    <w:rsid w:val="00401E37"/>
    <w:rsid w:val="00420340"/>
    <w:rsid w:val="0043592F"/>
    <w:rsid w:val="00480871"/>
    <w:rsid w:val="00484559"/>
    <w:rsid w:val="00491BA9"/>
    <w:rsid w:val="00494ED3"/>
    <w:rsid w:val="004B24D0"/>
    <w:rsid w:val="004C7BC0"/>
    <w:rsid w:val="004D5943"/>
    <w:rsid w:val="004D7FC8"/>
    <w:rsid w:val="004E0306"/>
    <w:rsid w:val="004E0B70"/>
    <w:rsid w:val="004E4177"/>
    <w:rsid w:val="004E6C22"/>
    <w:rsid w:val="004E7542"/>
    <w:rsid w:val="004E7991"/>
    <w:rsid w:val="005123F4"/>
    <w:rsid w:val="0051367B"/>
    <w:rsid w:val="00513F32"/>
    <w:rsid w:val="005175A6"/>
    <w:rsid w:val="005268C6"/>
    <w:rsid w:val="0053162E"/>
    <w:rsid w:val="005442D7"/>
    <w:rsid w:val="00545EEB"/>
    <w:rsid w:val="00570E0A"/>
    <w:rsid w:val="00582C54"/>
    <w:rsid w:val="005856CF"/>
    <w:rsid w:val="00591475"/>
    <w:rsid w:val="005C2A49"/>
    <w:rsid w:val="005D0777"/>
    <w:rsid w:val="005D687D"/>
    <w:rsid w:val="005E38A6"/>
    <w:rsid w:val="005F0ECB"/>
    <w:rsid w:val="005F63A7"/>
    <w:rsid w:val="0061012B"/>
    <w:rsid w:val="00624472"/>
    <w:rsid w:val="006268CD"/>
    <w:rsid w:val="00627ADE"/>
    <w:rsid w:val="006305F3"/>
    <w:rsid w:val="00640F4D"/>
    <w:rsid w:val="00641675"/>
    <w:rsid w:val="00656AAE"/>
    <w:rsid w:val="0066168D"/>
    <w:rsid w:val="0066511C"/>
    <w:rsid w:val="00674B93"/>
    <w:rsid w:val="00683282"/>
    <w:rsid w:val="00683358"/>
    <w:rsid w:val="00696D14"/>
    <w:rsid w:val="006B1083"/>
    <w:rsid w:val="006B6265"/>
    <w:rsid w:val="006D2D3B"/>
    <w:rsid w:val="006D6839"/>
    <w:rsid w:val="006E4950"/>
    <w:rsid w:val="00711ADA"/>
    <w:rsid w:val="00712AF8"/>
    <w:rsid w:val="00727B67"/>
    <w:rsid w:val="00727EC0"/>
    <w:rsid w:val="007360F6"/>
    <w:rsid w:val="007362DD"/>
    <w:rsid w:val="007447C2"/>
    <w:rsid w:val="00755D6B"/>
    <w:rsid w:val="00755DF5"/>
    <w:rsid w:val="00763763"/>
    <w:rsid w:val="00764422"/>
    <w:rsid w:val="007728B0"/>
    <w:rsid w:val="00774EEF"/>
    <w:rsid w:val="007805F5"/>
    <w:rsid w:val="00791B22"/>
    <w:rsid w:val="00792A0B"/>
    <w:rsid w:val="0079325F"/>
    <w:rsid w:val="00796840"/>
    <w:rsid w:val="007A1898"/>
    <w:rsid w:val="007A5448"/>
    <w:rsid w:val="007A5D52"/>
    <w:rsid w:val="007B0754"/>
    <w:rsid w:val="007B07A7"/>
    <w:rsid w:val="007C6753"/>
    <w:rsid w:val="007D4E00"/>
    <w:rsid w:val="007E1B75"/>
    <w:rsid w:val="007E58BD"/>
    <w:rsid w:val="007F2D81"/>
    <w:rsid w:val="007F4AF8"/>
    <w:rsid w:val="00800126"/>
    <w:rsid w:val="0080043F"/>
    <w:rsid w:val="00801F9A"/>
    <w:rsid w:val="00803123"/>
    <w:rsid w:val="0080313F"/>
    <w:rsid w:val="00814E97"/>
    <w:rsid w:val="00817724"/>
    <w:rsid w:val="00833553"/>
    <w:rsid w:val="00837E55"/>
    <w:rsid w:val="00847AD1"/>
    <w:rsid w:val="008521E1"/>
    <w:rsid w:val="00853BFD"/>
    <w:rsid w:val="00854A13"/>
    <w:rsid w:val="008616BD"/>
    <w:rsid w:val="008645E5"/>
    <w:rsid w:val="008777D3"/>
    <w:rsid w:val="008812F6"/>
    <w:rsid w:val="008839EF"/>
    <w:rsid w:val="00887145"/>
    <w:rsid w:val="00891C67"/>
    <w:rsid w:val="00892956"/>
    <w:rsid w:val="00895069"/>
    <w:rsid w:val="008A6740"/>
    <w:rsid w:val="008B1628"/>
    <w:rsid w:val="008B5699"/>
    <w:rsid w:val="008E5A47"/>
    <w:rsid w:val="008F037C"/>
    <w:rsid w:val="008F2D36"/>
    <w:rsid w:val="00924CAC"/>
    <w:rsid w:val="00927CBD"/>
    <w:rsid w:val="0093153A"/>
    <w:rsid w:val="0093307A"/>
    <w:rsid w:val="00934AD6"/>
    <w:rsid w:val="00940A37"/>
    <w:rsid w:val="0094576F"/>
    <w:rsid w:val="00946DE4"/>
    <w:rsid w:val="0095216C"/>
    <w:rsid w:val="009627BC"/>
    <w:rsid w:val="00966D28"/>
    <w:rsid w:val="00966F7A"/>
    <w:rsid w:val="00974992"/>
    <w:rsid w:val="009839BA"/>
    <w:rsid w:val="009A55AA"/>
    <w:rsid w:val="009B0103"/>
    <w:rsid w:val="009B0E3B"/>
    <w:rsid w:val="009D10A3"/>
    <w:rsid w:val="009D4420"/>
    <w:rsid w:val="009E3820"/>
    <w:rsid w:val="009E4BFC"/>
    <w:rsid w:val="009E51EE"/>
    <w:rsid w:val="009F0EAA"/>
    <w:rsid w:val="009F60F7"/>
    <w:rsid w:val="00A15332"/>
    <w:rsid w:val="00A171F2"/>
    <w:rsid w:val="00A2123A"/>
    <w:rsid w:val="00A2562E"/>
    <w:rsid w:val="00A25A7A"/>
    <w:rsid w:val="00A26679"/>
    <w:rsid w:val="00A415C9"/>
    <w:rsid w:val="00A47420"/>
    <w:rsid w:val="00A50B09"/>
    <w:rsid w:val="00A50DE7"/>
    <w:rsid w:val="00A65256"/>
    <w:rsid w:val="00A80562"/>
    <w:rsid w:val="00A87E30"/>
    <w:rsid w:val="00A9060C"/>
    <w:rsid w:val="00A93E2F"/>
    <w:rsid w:val="00A94593"/>
    <w:rsid w:val="00A97048"/>
    <w:rsid w:val="00AB15DD"/>
    <w:rsid w:val="00AB2B88"/>
    <w:rsid w:val="00AB5689"/>
    <w:rsid w:val="00AC0ADA"/>
    <w:rsid w:val="00AC4092"/>
    <w:rsid w:val="00AC4D92"/>
    <w:rsid w:val="00AE287C"/>
    <w:rsid w:val="00B00872"/>
    <w:rsid w:val="00B05928"/>
    <w:rsid w:val="00B118B2"/>
    <w:rsid w:val="00B3424F"/>
    <w:rsid w:val="00B665D3"/>
    <w:rsid w:val="00B7120C"/>
    <w:rsid w:val="00B72D20"/>
    <w:rsid w:val="00B72DA8"/>
    <w:rsid w:val="00B859B7"/>
    <w:rsid w:val="00BA1188"/>
    <w:rsid w:val="00BB5E87"/>
    <w:rsid w:val="00BC25D1"/>
    <w:rsid w:val="00BD0E35"/>
    <w:rsid w:val="00BD468D"/>
    <w:rsid w:val="00BD47DD"/>
    <w:rsid w:val="00BD4A98"/>
    <w:rsid w:val="00BE1D6D"/>
    <w:rsid w:val="00BF09A8"/>
    <w:rsid w:val="00BF6639"/>
    <w:rsid w:val="00C01656"/>
    <w:rsid w:val="00C04B71"/>
    <w:rsid w:val="00C11E81"/>
    <w:rsid w:val="00C1499A"/>
    <w:rsid w:val="00C21963"/>
    <w:rsid w:val="00C31543"/>
    <w:rsid w:val="00C413EC"/>
    <w:rsid w:val="00C44944"/>
    <w:rsid w:val="00C45A8D"/>
    <w:rsid w:val="00C52101"/>
    <w:rsid w:val="00C54BE5"/>
    <w:rsid w:val="00C641DB"/>
    <w:rsid w:val="00C74C81"/>
    <w:rsid w:val="00C77C03"/>
    <w:rsid w:val="00C86D1D"/>
    <w:rsid w:val="00C95470"/>
    <w:rsid w:val="00CA5B7C"/>
    <w:rsid w:val="00CB2FE5"/>
    <w:rsid w:val="00CB48D2"/>
    <w:rsid w:val="00CB4CF3"/>
    <w:rsid w:val="00CD3C24"/>
    <w:rsid w:val="00CD657E"/>
    <w:rsid w:val="00CF0F22"/>
    <w:rsid w:val="00CF480F"/>
    <w:rsid w:val="00CF66F1"/>
    <w:rsid w:val="00D07063"/>
    <w:rsid w:val="00D100FC"/>
    <w:rsid w:val="00D25846"/>
    <w:rsid w:val="00D357F3"/>
    <w:rsid w:val="00D376F6"/>
    <w:rsid w:val="00D37F54"/>
    <w:rsid w:val="00D5166E"/>
    <w:rsid w:val="00D52673"/>
    <w:rsid w:val="00D6384D"/>
    <w:rsid w:val="00D6546E"/>
    <w:rsid w:val="00D7285A"/>
    <w:rsid w:val="00D7346F"/>
    <w:rsid w:val="00D73E99"/>
    <w:rsid w:val="00D76D3D"/>
    <w:rsid w:val="00D77BEA"/>
    <w:rsid w:val="00D83F50"/>
    <w:rsid w:val="00D8526A"/>
    <w:rsid w:val="00D86E37"/>
    <w:rsid w:val="00D90298"/>
    <w:rsid w:val="00D90861"/>
    <w:rsid w:val="00D934B8"/>
    <w:rsid w:val="00D93B7E"/>
    <w:rsid w:val="00D957FB"/>
    <w:rsid w:val="00DA1398"/>
    <w:rsid w:val="00DA1616"/>
    <w:rsid w:val="00DA1719"/>
    <w:rsid w:val="00DA3E31"/>
    <w:rsid w:val="00DA4A7F"/>
    <w:rsid w:val="00DA4B18"/>
    <w:rsid w:val="00DA6054"/>
    <w:rsid w:val="00DB3CA2"/>
    <w:rsid w:val="00DB7A0E"/>
    <w:rsid w:val="00DC1B50"/>
    <w:rsid w:val="00DC2E30"/>
    <w:rsid w:val="00DD0A29"/>
    <w:rsid w:val="00DD0F15"/>
    <w:rsid w:val="00DD32D4"/>
    <w:rsid w:val="00DE42CA"/>
    <w:rsid w:val="00DE6A1E"/>
    <w:rsid w:val="00DF17B9"/>
    <w:rsid w:val="00E121CD"/>
    <w:rsid w:val="00E15A3C"/>
    <w:rsid w:val="00E16389"/>
    <w:rsid w:val="00E21872"/>
    <w:rsid w:val="00E229E6"/>
    <w:rsid w:val="00E24776"/>
    <w:rsid w:val="00E36152"/>
    <w:rsid w:val="00E44EB6"/>
    <w:rsid w:val="00E51CE6"/>
    <w:rsid w:val="00E60ACC"/>
    <w:rsid w:val="00E72CF3"/>
    <w:rsid w:val="00EA0384"/>
    <w:rsid w:val="00EB0EB4"/>
    <w:rsid w:val="00EB42F8"/>
    <w:rsid w:val="00EB5B81"/>
    <w:rsid w:val="00EE42EB"/>
    <w:rsid w:val="00EF6E58"/>
    <w:rsid w:val="00F003A2"/>
    <w:rsid w:val="00F133A4"/>
    <w:rsid w:val="00F20B2F"/>
    <w:rsid w:val="00F24AE7"/>
    <w:rsid w:val="00F32301"/>
    <w:rsid w:val="00F343D7"/>
    <w:rsid w:val="00F40039"/>
    <w:rsid w:val="00F50444"/>
    <w:rsid w:val="00F5526E"/>
    <w:rsid w:val="00F8360F"/>
    <w:rsid w:val="00F951D6"/>
    <w:rsid w:val="00FA38CB"/>
    <w:rsid w:val="00FB0974"/>
    <w:rsid w:val="00FB47DD"/>
    <w:rsid w:val="00FB5257"/>
    <w:rsid w:val="00FB6B4D"/>
    <w:rsid w:val="00FC2942"/>
    <w:rsid w:val="00FD0562"/>
    <w:rsid w:val="00FD47B0"/>
    <w:rsid w:val="00FD52B6"/>
    <w:rsid w:val="00FD7333"/>
    <w:rsid w:val="00FF55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6C2C16"/>
  <w15:chartTrackingRefBased/>
  <w15:docId w15:val="{429E497B-1DB4-4283-A451-77E189214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ajorEastAsia" w:hAnsi="Arial"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A1188"/>
    <w:pPr>
      <w:keepNext/>
      <w:keepLines/>
      <w:spacing w:before="360" w:after="80"/>
      <w:outlineLvl w:val="0"/>
    </w:pPr>
    <w:rPr>
      <w:rFonts w:asciiTheme="majorHAnsi"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A1188"/>
    <w:pPr>
      <w:keepNext/>
      <w:keepLines/>
      <w:spacing w:before="160" w:after="80"/>
      <w:outlineLvl w:val="1"/>
    </w:pPr>
    <w:rPr>
      <w:rFonts w:asciiTheme="majorHAnsi"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A1188"/>
    <w:pPr>
      <w:keepNext/>
      <w:keepLines/>
      <w:spacing w:before="160" w:after="80"/>
      <w:outlineLvl w:val="2"/>
    </w:pPr>
    <w:rPr>
      <w:rFonts w:asciiTheme="minorHAnsi"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1188"/>
    <w:pPr>
      <w:keepNext/>
      <w:keepLines/>
      <w:spacing w:before="80" w:after="40"/>
      <w:outlineLvl w:val="3"/>
    </w:pPr>
    <w:rPr>
      <w:rFonts w:asciiTheme="minorHAnsi"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A1188"/>
    <w:pPr>
      <w:keepNext/>
      <w:keepLines/>
      <w:spacing w:before="80" w:after="40"/>
      <w:outlineLvl w:val="4"/>
    </w:pPr>
    <w:rPr>
      <w:rFonts w:asciiTheme="minorHAnsi"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A1188"/>
    <w:pPr>
      <w:keepNext/>
      <w:keepLines/>
      <w:spacing w:before="40" w:after="0"/>
      <w:outlineLvl w:val="5"/>
    </w:pPr>
    <w:rPr>
      <w:rFonts w:asciiTheme="minorHAnsi"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A1188"/>
    <w:pPr>
      <w:keepNext/>
      <w:keepLines/>
      <w:spacing w:before="40" w:after="0"/>
      <w:outlineLvl w:val="6"/>
    </w:pPr>
    <w:rPr>
      <w:rFonts w:asciiTheme="minorHAnsi"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A1188"/>
    <w:pPr>
      <w:keepNext/>
      <w:keepLines/>
      <w:spacing w:after="0"/>
      <w:outlineLvl w:val="7"/>
    </w:pPr>
    <w:rPr>
      <w:rFonts w:asciiTheme="minorHAnsi"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A1188"/>
    <w:pPr>
      <w:keepNext/>
      <w:keepLines/>
      <w:spacing w:after="0"/>
      <w:outlineLvl w:val="8"/>
    </w:pPr>
    <w:rPr>
      <w:rFonts w:asciiTheme="minorHAnsi"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188"/>
    <w:rPr>
      <w:rFonts w:asciiTheme="majorHAnsi"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BA1188"/>
    <w:rPr>
      <w:rFonts w:asciiTheme="majorHAnsi"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BA1188"/>
    <w:rPr>
      <w:rFonts w:asciiTheme="minorHAnsi"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A1188"/>
    <w:rPr>
      <w:rFonts w:asciiTheme="minorHAnsi"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A1188"/>
    <w:rPr>
      <w:rFonts w:asciiTheme="minorHAnsi"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BA1188"/>
    <w:rPr>
      <w:rFonts w:asciiTheme="minorHAnsi"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A1188"/>
    <w:rPr>
      <w:rFonts w:asciiTheme="minorHAnsi"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BA1188"/>
    <w:rPr>
      <w:rFonts w:asciiTheme="minorHAnsi"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A1188"/>
    <w:rPr>
      <w:rFonts w:asciiTheme="minorHAnsi" w:hAnsiTheme="minorHAnsi" w:cstheme="majorBidi"/>
      <w:color w:val="272727" w:themeColor="text1" w:themeTint="D8"/>
      <w:lang w:val="en-GB"/>
    </w:rPr>
  </w:style>
  <w:style w:type="paragraph" w:styleId="Title">
    <w:name w:val="Title"/>
    <w:basedOn w:val="Normal"/>
    <w:next w:val="Normal"/>
    <w:link w:val="TitleChar"/>
    <w:uiPriority w:val="10"/>
    <w:qFormat/>
    <w:rsid w:val="00BA1188"/>
    <w:pPr>
      <w:spacing w:after="80" w:line="240" w:lineRule="auto"/>
      <w:contextualSpacing/>
    </w:pPr>
    <w:rPr>
      <w:rFonts w:asciiTheme="majorHAnsi" w:hAnsiTheme="majorHAnsi" w:cstheme="majorBidi"/>
      <w:spacing w:val="-10"/>
      <w:kern w:val="28"/>
      <w:sz w:val="56"/>
      <w:szCs w:val="56"/>
    </w:rPr>
  </w:style>
  <w:style w:type="character" w:customStyle="1" w:styleId="TitleChar">
    <w:name w:val="Title Char"/>
    <w:basedOn w:val="DefaultParagraphFont"/>
    <w:link w:val="Title"/>
    <w:uiPriority w:val="10"/>
    <w:rsid w:val="00BA1188"/>
    <w:rPr>
      <w:rFonts w:asciiTheme="majorHAnsi"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A1188"/>
    <w:pPr>
      <w:numPr>
        <w:ilvl w:val="1"/>
      </w:numPr>
    </w:pPr>
    <w:rPr>
      <w:rFonts w:asciiTheme="minorHAnsi"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1188"/>
    <w:rPr>
      <w:rFonts w:asciiTheme="minorHAnsi"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A1188"/>
    <w:pPr>
      <w:spacing w:before="160"/>
      <w:jc w:val="center"/>
    </w:pPr>
    <w:rPr>
      <w:i/>
      <w:iCs/>
      <w:color w:val="404040" w:themeColor="text1" w:themeTint="BF"/>
    </w:rPr>
  </w:style>
  <w:style w:type="character" w:customStyle="1" w:styleId="QuoteChar">
    <w:name w:val="Quote Char"/>
    <w:basedOn w:val="DefaultParagraphFont"/>
    <w:link w:val="Quote"/>
    <w:uiPriority w:val="29"/>
    <w:rsid w:val="00BA1188"/>
    <w:rPr>
      <w:i/>
      <w:iCs/>
      <w:color w:val="404040" w:themeColor="text1" w:themeTint="BF"/>
      <w:lang w:val="en-GB"/>
    </w:rPr>
  </w:style>
  <w:style w:type="paragraph" w:styleId="ListParagraph">
    <w:name w:val="List Paragraph"/>
    <w:basedOn w:val="Normal"/>
    <w:uiPriority w:val="34"/>
    <w:qFormat/>
    <w:rsid w:val="00BA1188"/>
    <w:pPr>
      <w:ind w:left="720"/>
      <w:contextualSpacing/>
    </w:pPr>
  </w:style>
  <w:style w:type="character" w:styleId="IntenseEmphasis">
    <w:name w:val="Intense Emphasis"/>
    <w:basedOn w:val="DefaultParagraphFont"/>
    <w:uiPriority w:val="21"/>
    <w:qFormat/>
    <w:rsid w:val="00BA1188"/>
    <w:rPr>
      <w:i/>
      <w:iCs/>
      <w:color w:val="2F5496" w:themeColor="accent1" w:themeShade="BF"/>
    </w:rPr>
  </w:style>
  <w:style w:type="paragraph" w:styleId="IntenseQuote">
    <w:name w:val="Intense Quote"/>
    <w:basedOn w:val="Normal"/>
    <w:next w:val="Normal"/>
    <w:link w:val="IntenseQuoteChar"/>
    <w:uiPriority w:val="30"/>
    <w:qFormat/>
    <w:rsid w:val="00BA11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1188"/>
    <w:rPr>
      <w:i/>
      <w:iCs/>
      <w:color w:val="2F5496" w:themeColor="accent1" w:themeShade="BF"/>
      <w:lang w:val="en-GB"/>
    </w:rPr>
  </w:style>
  <w:style w:type="character" w:styleId="IntenseReference">
    <w:name w:val="Intense Reference"/>
    <w:basedOn w:val="DefaultParagraphFont"/>
    <w:uiPriority w:val="32"/>
    <w:qFormat/>
    <w:rsid w:val="00BA1188"/>
    <w:rPr>
      <w:b/>
      <w:bCs/>
      <w:smallCaps/>
      <w:color w:val="2F5496" w:themeColor="accent1" w:themeShade="BF"/>
      <w:spacing w:val="5"/>
    </w:rPr>
  </w:style>
  <w:style w:type="table" w:styleId="TableGrid">
    <w:name w:val="Table Grid"/>
    <w:basedOn w:val="TableNormal"/>
    <w:uiPriority w:val="39"/>
    <w:rsid w:val="00665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229E6"/>
    <w:pPr>
      <w:spacing w:after="0" w:line="240" w:lineRule="auto"/>
    </w:pPr>
  </w:style>
  <w:style w:type="paragraph" w:styleId="TOCHeading">
    <w:name w:val="TOC Heading"/>
    <w:basedOn w:val="Heading1"/>
    <w:next w:val="Normal"/>
    <w:uiPriority w:val="39"/>
    <w:unhideWhenUsed/>
    <w:qFormat/>
    <w:rsid w:val="00E229E6"/>
    <w:pPr>
      <w:spacing w:before="240" w:after="0" w:line="259" w:lineRule="auto"/>
      <w:outlineLvl w:val="9"/>
    </w:pPr>
    <w:rPr>
      <w:kern w:val="0"/>
      <w:sz w:val="32"/>
      <w:szCs w:val="32"/>
      <w:lang w:eastAsia="en-US"/>
      <w14:ligatures w14:val="none"/>
    </w:rPr>
  </w:style>
  <w:style w:type="paragraph" w:styleId="TOC1">
    <w:name w:val="toc 1"/>
    <w:basedOn w:val="Normal"/>
    <w:next w:val="Normal"/>
    <w:autoRedefine/>
    <w:uiPriority w:val="39"/>
    <w:unhideWhenUsed/>
    <w:rsid w:val="00E229E6"/>
    <w:pPr>
      <w:spacing w:after="100"/>
    </w:pPr>
  </w:style>
  <w:style w:type="character" w:styleId="Hyperlink">
    <w:name w:val="Hyperlink"/>
    <w:basedOn w:val="DefaultParagraphFont"/>
    <w:uiPriority w:val="99"/>
    <w:unhideWhenUsed/>
    <w:rsid w:val="00E229E6"/>
    <w:rPr>
      <w:color w:val="0563C1" w:themeColor="hyperlink"/>
      <w:u w:val="single"/>
    </w:rPr>
  </w:style>
  <w:style w:type="paragraph" w:styleId="Header">
    <w:name w:val="header"/>
    <w:basedOn w:val="Normal"/>
    <w:link w:val="HeaderChar"/>
    <w:uiPriority w:val="99"/>
    <w:unhideWhenUsed/>
    <w:rsid w:val="00E229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29E6"/>
  </w:style>
  <w:style w:type="paragraph" w:styleId="Footer">
    <w:name w:val="footer"/>
    <w:basedOn w:val="Normal"/>
    <w:link w:val="FooterChar"/>
    <w:uiPriority w:val="99"/>
    <w:unhideWhenUsed/>
    <w:rsid w:val="00E229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29E6"/>
  </w:style>
  <w:style w:type="paragraph" w:styleId="NormalWeb">
    <w:name w:val="Normal (Web)"/>
    <w:basedOn w:val="Normal"/>
    <w:uiPriority w:val="99"/>
    <w:semiHidden/>
    <w:unhideWhenUsed/>
    <w:rsid w:val="00FA38CB"/>
    <w:rPr>
      <w:rFonts w:ascii="Times New Roman" w:hAnsi="Times New Roman" w:cs="Times New Roman"/>
      <w:sz w:val="24"/>
    </w:rPr>
  </w:style>
  <w:style w:type="paragraph" w:styleId="Caption">
    <w:name w:val="caption"/>
    <w:basedOn w:val="Normal"/>
    <w:next w:val="Normal"/>
    <w:uiPriority w:val="35"/>
    <w:unhideWhenUsed/>
    <w:qFormat/>
    <w:rsid w:val="006D683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906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ngtermplan.nhs.uk/" TargetMode="External"/><Relationship Id="rId18" Type="http://schemas.openxmlformats.org/officeDocument/2006/relationships/hyperlink" Target="https://www.who.int/publications/i/item/9789240031029"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ric.org.uk/childrens-continence-pathway/" TargetMode="External"/><Relationship Id="rId17" Type="http://schemas.openxmlformats.org/officeDocument/2006/relationships/hyperlink" Target="https://icd.who.int/browse/2025-01/mms/en" TargetMode="External"/><Relationship Id="rId2" Type="http://schemas.openxmlformats.org/officeDocument/2006/relationships/numbering" Target="numbering.xml"/><Relationship Id="rId16" Type="http://schemas.openxmlformats.org/officeDocument/2006/relationships/hyperlink" Target="https://icd.who.int/browse/2025-01/mms/e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5a823518e5274a2e87dc1b56/Transforming_children_and_young_people_s_mental_health_provision.pdf" TargetMode="External"/><Relationship Id="rId5" Type="http://schemas.openxmlformats.org/officeDocument/2006/relationships/webSettings" Target="webSettings.xml"/><Relationship Id="rId15" Type="http://schemas.openxmlformats.org/officeDocument/2006/relationships/hyperlink" Target="https://www.nelft.nhs.uk/services-bdhvrb-community-paediatric-continence/"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ice.org.uk/guidance/cg1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DA7A62-4B66-4D4C-B7C7-046894A35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13</Pages>
  <Words>3015</Words>
  <Characters>20510</Characters>
  <Application>Microsoft Office Word</Application>
  <DocSecurity>0</DocSecurity>
  <Lines>402</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222</cp:revision>
  <dcterms:created xsi:type="dcterms:W3CDTF">2025-10-13T11:05:00Z</dcterms:created>
  <dcterms:modified xsi:type="dcterms:W3CDTF">2025-10-19T12:12:00Z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06085ca2-3787-40c3-b3d9-c623f3f92bfc</vt:lpwstr>
  </property>
</Properties>
</file>