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0DBD301F" w14:textId="77777777" w:rsidR="00A20D81" w:rsidRDefault="00AE7C83">
      <w:pPr>
        <w:spacing w:after="308" w:line="259" w:lineRule="auto"/>
        <w:ind w:left="0" w:firstLine="0"/>
        <w:jc w:val="center"/>
      </w:pPr>
      <w:r>
        <w:rPr>
          <w:rFonts w:cs="Arial"/>
          <w:b/>
        </w:rPr>
        <w:t xml:space="preserve">Name: </w:t>
      </w:r>
      <w:r>
        <w:t>Rifat Rashid</w:t>
      </w:r>
      <w:r>
        <w:rPr>
          <w:rFonts w:ascii="Aptos" w:eastAsia="Aptos" w:hAnsi="Aptos" w:cs="Aptos"/>
          <w:sz w:val="24"/>
        </w:rPr>
        <w:t xml:space="preserve"> </w:t>
      </w:r>
    </w:p>
    <w:p w14:paraId="2DEBC84A" w14:textId="77777777" w:rsidR="00A20D81" w:rsidRDefault="00AE7C83">
      <w:pPr>
        <w:spacing w:after="309" w:line="259" w:lineRule="auto"/>
        <w:ind w:left="12" w:right="0"/>
        <w:jc w:val="center"/>
      </w:pPr>
      <w:r>
        <w:rPr>
          <w:rFonts w:cs="Arial"/>
          <w:b/>
        </w:rPr>
        <w:t xml:space="preserve">Student number: </w:t>
      </w:r>
      <w:r>
        <w:t>2427566</w:t>
      </w:r>
      <w:r>
        <w:rPr>
          <w:rFonts w:ascii="Aptos" w:eastAsia="Aptos" w:hAnsi="Aptos" w:cs="Aptos"/>
          <w:sz w:val="24"/>
        </w:rPr>
        <w:t xml:space="preserve"> </w:t>
      </w:r>
    </w:p>
    <w:p w14:paraId="496F8D1C" w14:textId="77777777" w:rsidR="00A20D81" w:rsidRDefault="00AE7C83">
      <w:pPr>
        <w:spacing w:after="309" w:line="259" w:lineRule="auto"/>
        <w:ind w:left="12" w:right="5"/>
        <w:jc w:val="center"/>
      </w:pPr>
      <w:r>
        <w:rPr>
          <w:rFonts w:cs="Arial"/>
          <w:b/>
        </w:rPr>
        <w:t xml:space="preserve">Module Code: </w:t>
      </w:r>
      <w:r>
        <w:t>BMHP5016</w:t>
      </w:r>
      <w:r>
        <w:rPr>
          <w:rFonts w:ascii="Aptos" w:eastAsia="Aptos" w:hAnsi="Aptos" w:cs="Aptos"/>
          <w:sz w:val="24"/>
        </w:rPr>
        <w:t xml:space="preserve"> </w:t>
      </w:r>
    </w:p>
    <w:p w14:paraId="578536EC" w14:textId="77777777" w:rsidR="00A20D81" w:rsidRDefault="00AE7C83">
      <w:pPr>
        <w:spacing w:after="309" w:line="259" w:lineRule="auto"/>
        <w:ind w:left="0" w:right="1624" w:firstLine="0"/>
        <w:jc w:val="right"/>
      </w:pPr>
      <w:r>
        <w:rPr>
          <w:rFonts w:cs="Arial"/>
          <w:b/>
        </w:rPr>
        <w:t xml:space="preserve">Module Title: </w:t>
      </w:r>
      <w:r>
        <w:t>Principles of Health and Social Care Practice</w:t>
      </w:r>
      <w:r>
        <w:rPr>
          <w:rFonts w:ascii="Aptos" w:eastAsia="Aptos" w:hAnsi="Aptos" w:cs="Aptos"/>
          <w:sz w:val="24"/>
        </w:rPr>
        <w:t xml:space="preserve"> </w:t>
      </w:r>
    </w:p>
    <w:p w14:paraId="2C98EE14" w14:textId="77777777" w:rsidR="00A20D81" w:rsidRDefault="00AE7C83">
      <w:pPr>
        <w:spacing w:after="240" w:line="259" w:lineRule="auto"/>
        <w:ind w:left="0" w:right="1483" w:firstLine="0"/>
        <w:jc w:val="right"/>
      </w:pPr>
      <w:r>
        <w:rPr>
          <w:rFonts w:cs="Arial"/>
          <w:b/>
        </w:rPr>
        <w:t xml:space="preserve">Assignment Title: Component 2: </w:t>
      </w:r>
      <w:r>
        <w:t>Written Assignment Report</w:t>
      </w:r>
      <w:r>
        <w:rPr>
          <w:rFonts w:ascii="Aptos" w:eastAsia="Aptos" w:hAnsi="Aptos" w:cs="Aptos"/>
          <w:sz w:val="24"/>
        </w:rPr>
        <w:t xml:space="preserve"> </w:t>
      </w:r>
    </w:p>
    <w:p w14:paraId="01F22FCA" w14:textId="77777777" w:rsidR="00A20D81" w:rsidRDefault="00AE7C83">
      <w:pPr>
        <w:spacing w:after="267" w:line="259" w:lineRule="auto"/>
        <w:ind w:left="57" w:right="0" w:firstLine="0"/>
        <w:jc w:val="center"/>
      </w:pPr>
      <w:r>
        <w:rPr>
          <w:rFonts w:cs="Arial"/>
          <w:b/>
        </w:rPr>
        <w:t xml:space="preserve"> </w:t>
      </w:r>
    </w:p>
    <w:p w14:paraId="4320068A" w14:textId="77777777" w:rsidR="00A20D81" w:rsidRDefault="00AE7C83">
      <w:pPr>
        <w:spacing w:after="267" w:line="259" w:lineRule="auto"/>
        <w:ind w:left="0" w:right="0" w:firstLine="0"/>
      </w:pPr>
      <w:r>
        <w:rPr>
          <w:rFonts w:cs="Arial"/>
          <w:b/>
        </w:rPr>
        <w:t xml:space="preserve"> </w:t>
      </w:r>
    </w:p>
    <w:p w14:paraId="3EA7B1C7" w14:textId="77777777" w:rsidR="00A20D81" w:rsidRDefault="00AE7C83">
      <w:pPr>
        <w:spacing w:after="267" w:line="259" w:lineRule="auto"/>
        <w:ind w:left="0" w:right="0" w:firstLine="0"/>
      </w:pPr>
      <w:r>
        <w:rPr>
          <w:rFonts w:cs="Arial"/>
          <w:b/>
        </w:rPr>
        <w:t xml:space="preserve"> </w:t>
      </w:r>
    </w:p>
    <w:p w14:paraId="425C0160" w14:textId="77777777" w:rsidR="00A20D81" w:rsidRDefault="00AE7C83">
      <w:pPr>
        <w:spacing w:after="267" w:line="259" w:lineRule="auto"/>
        <w:ind w:left="0" w:right="0" w:firstLine="0"/>
      </w:pPr>
      <w:r>
        <w:rPr>
          <w:rFonts w:cs="Arial"/>
          <w:b/>
        </w:rPr>
        <w:t xml:space="preserve"> </w:t>
      </w:r>
    </w:p>
    <w:p w14:paraId="5EAD90CC" w14:textId="77777777" w:rsidR="00A20D81" w:rsidRDefault="00AE7C83">
      <w:pPr>
        <w:spacing w:after="267" w:line="259" w:lineRule="auto"/>
        <w:ind w:left="0" w:right="0" w:firstLine="0"/>
      </w:pPr>
      <w:r>
        <w:rPr>
          <w:rFonts w:cs="Arial"/>
          <w:b/>
        </w:rPr>
        <w:t xml:space="preserve"> </w:t>
      </w:r>
    </w:p>
    <w:p w14:paraId="4398C28B" w14:textId="77777777" w:rsidR="00A20D81" w:rsidRDefault="00AE7C83">
      <w:pPr>
        <w:spacing w:after="267" w:line="259" w:lineRule="auto"/>
        <w:ind w:left="0" w:right="0" w:firstLine="0"/>
      </w:pPr>
      <w:r>
        <w:rPr>
          <w:rFonts w:cs="Arial"/>
          <w:b/>
        </w:rPr>
        <w:t xml:space="preserve"> </w:t>
      </w:r>
    </w:p>
    <w:p w14:paraId="566C1F91" w14:textId="77777777" w:rsidR="00A20D81" w:rsidRDefault="00AE7C83">
      <w:pPr>
        <w:spacing w:after="267" w:line="259" w:lineRule="auto"/>
        <w:ind w:left="0" w:right="0" w:firstLine="0"/>
      </w:pPr>
      <w:r>
        <w:rPr>
          <w:rFonts w:cs="Arial"/>
          <w:b/>
        </w:rPr>
        <w:t xml:space="preserve"> </w:t>
      </w:r>
    </w:p>
    <w:p w14:paraId="0D03EC0C" w14:textId="77777777" w:rsidR="00A20D81" w:rsidRDefault="00AE7C83">
      <w:pPr>
        <w:spacing w:after="267" w:line="259" w:lineRule="auto"/>
        <w:ind w:left="0" w:right="0" w:firstLine="0"/>
      </w:pPr>
      <w:r>
        <w:rPr>
          <w:rFonts w:cs="Arial"/>
          <w:b/>
        </w:rPr>
        <w:t xml:space="preserve"> </w:t>
      </w:r>
    </w:p>
    <w:p w14:paraId="6A835130" w14:textId="77777777" w:rsidR="00A20D81" w:rsidRDefault="00AE7C83">
      <w:pPr>
        <w:spacing w:after="267" w:line="259" w:lineRule="auto"/>
        <w:ind w:left="0" w:right="0" w:firstLine="0"/>
      </w:pPr>
      <w:r>
        <w:rPr>
          <w:rFonts w:cs="Arial"/>
          <w:b/>
        </w:rPr>
        <w:t xml:space="preserve"> </w:t>
      </w:r>
    </w:p>
    <w:p w14:paraId="4ACE8D8E" w14:textId="77777777" w:rsidR="00A20D81" w:rsidRDefault="00AE7C83">
      <w:pPr>
        <w:spacing w:after="262" w:line="259" w:lineRule="auto"/>
        <w:ind w:left="0" w:right="0" w:firstLine="0"/>
      </w:pPr>
      <w:r>
        <w:rPr>
          <w:rFonts w:cs="Arial"/>
          <w:b/>
        </w:rPr>
        <w:t xml:space="preserve"> </w:t>
      </w:r>
    </w:p>
    <w:p w14:paraId="711968BC" w14:textId="77777777" w:rsidR="00A20D81" w:rsidRDefault="00AE7C83">
      <w:pPr>
        <w:spacing w:after="267" w:line="259" w:lineRule="auto"/>
        <w:ind w:left="0" w:right="0" w:firstLine="0"/>
      </w:pPr>
      <w:r>
        <w:rPr>
          <w:rFonts w:cs="Arial"/>
          <w:b/>
        </w:rPr>
        <w:t xml:space="preserve"> </w:t>
      </w:r>
    </w:p>
    <w:p w14:paraId="76D3E091" w14:textId="77777777" w:rsidR="00A20D81" w:rsidRDefault="00AE7C83">
      <w:pPr>
        <w:spacing w:after="267" w:line="259" w:lineRule="auto"/>
        <w:ind w:left="0" w:right="0" w:firstLine="0"/>
      </w:pPr>
      <w:r>
        <w:rPr>
          <w:rFonts w:cs="Arial"/>
          <w:b/>
        </w:rPr>
        <w:t xml:space="preserve"> </w:t>
      </w:r>
    </w:p>
    <w:p w14:paraId="395B06A6" w14:textId="77777777" w:rsidR="00A20D81" w:rsidRDefault="00AE7C83">
      <w:pPr>
        <w:spacing w:after="267" w:line="259" w:lineRule="auto"/>
        <w:ind w:left="0" w:right="0" w:firstLine="0"/>
      </w:pPr>
      <w:r>
        <w:rPr>
          <w:rFonts w:cs="Arial"/>
          <w:b/>
        </w:rPr>
        <w:t xml:space="preserve"> </w:t>
      </w:r>
    </w:p>
    <w:p w14:paraId="741ADE66" w14:textId="77777777" w:rsidR="00A20D81" w:rsidRDefault="00AE7C83">
      <w:pPr>
        <w:spacing w:after="267" w:line="259" w:lineRule="auto"/>
        <w:ind w:left="0" w:right="0" w:firstLine="0"/>
      </w:pPr>
      <w:r>
        <w:rPr>
          <w:rFonts w:cs="Arial"/>
          <w:b/>
        </w:rPr>
        <w:t xml:space="preserve"> </w:t>
      </w:r>
    </w:p>
    <w:p w14:paraId="45D2F5ED" w14:textId="77777777" w:rsidR="00A20D81" w:rsidRDefault="00AE7C83">
      <w:pPr>
        <w:spacing w:after="267" w:line="259" w:lineRule="auto"/>
        <w:ind w:left="0" w:right="0" w:firstLine="0"/>
      </w:pPr>
      <w:r>
        <w:rPr>
          <w:rFonts w:cs="Arial"/>
          <w:b/>
        </w:rPr>
        <w:t xml:space="preserve"> </w:t>
      </w:r>
    </w:p>
    <w:p w14:paraId="49315D23" w14:textId="77777777" w:rsidR="00A20D81" w:rsidRDefault="00AE7C83">
      <w:pPr>
        <w:spacing w:after="267" w:line="259" w:lineRule="auto"/>
        <w:ind w:left="0" w:right="0" w:firstLine="0"/>
      </w:pPr>
      <w:r>
        <w:rPr>
          <w:rFonts w:cs="Arial"/>
          <w:b/>
        </w:rPr>
        <w:t xml:space="preserve"> </w:t>
      </w:r>
    </w:p>
    <w:p w14:paraId="05CEF1F8" w14:textId="77777777" w:rsidR="00A20D81" w:rsidRDefault="00AE7C83">
      <w:pPr>
        <w:spacing w:after="267" w:line="259" w:lineRule="auto"/>
        <w:ind w:left="0" w:right="0" w:firstLine="0"/>
      </w:pPr>
      <w:r>
        <w:rPr>
          <w:rFonts w:cs="Arial"/>
          <w:b/>
        </w:rPr>
        <w:t xml:space="preserve"> </w:t>
      </w:r>
    </w:p>
    <w:p w14:paraId="6F2559EF" w14:textId="77777777" w:rsidR="00A20D81" w:rsidRDefault="00AE7C83">
      <w:pPr>
        <w:spacing w:after="267" w:line="259" w:lineRule="auto"/>
        <w:ind w:left="0" w:right="0" w:firstLine="0"/>
      </w:pPr>
      <w:r>
        <w:rPr>
          <w:rFonts w:cs="Arial"/>
          <w:b/>
        </w:rPr>
        <w:t xml:space="preserve"> </w:t>
      </w:r>
    </w:p>
    <w:p w14:paraId="06F8116D" w14:textId="77777777" w:rsidR="00A20D81" w:rsidRDefault="00AE7C83">
      <w:pPr>
        <w:spacing w:after="262" w:line="259" w:lineRule="auto"/>
        <w:ind w:left="0" w:right="0" w:firstLine="0"/>
      </w:pPr>
      <w:r>
        <w:rPr>
          <w:rFonts w:cs="Arial"/>
          <w:b/>
        </w:rPr>
        <w:t xml:space="preserve"> </w:t>
      </w:r>
    </w:p>
    <w:p w14:paraId="75C12FC7" w14:textId="77777777" w:rsidR="00A20D81" w:rsidRDefault="00AE7C83">
      <w:pPr>
        <w:spacing w:after="0" w:line="259" w:lineRule="auto"/>
        <w:ind w:left="0" w:right="0" w:firstLine="0"/>
      </w:pPr>
      <w:r>
        <w:rPr>
          <w:rFonts w:cs="Arial"/>
          <w:b/>
        </w:rPr>
        <w:t xml:space="preserve"> </w:t>
      </w:r>
    </w:p>
    <w:p w14:paraId="0F52D371" w14:textId="77777777" w:rsidR="00A20D81" w:rsidRDefault="00AE7C83">
      <w:pPr>
        <w:spacing w:after="160" w:line="361" w:lineRule="auto"/>
        <w:ind w:left="-5" w:right="0"/>
      </w:pPr>
      <w:r>
        <w:rPr>
          <w:rFonts w:cs="Arial"/>
          <w:b/>
          <w:u w:val="single" w:color="000000"/>
        </w:rPr>
        <w:lastRenderedPageBreak/>
        <w:t>Evaluation of Person-Centred Care and Partnership Working within Health and Social</w:t>
      </w:r>
      <w:r>
        <w:rPr>
          <w:rFonts w:cs="Arial"/>
          <w:b/>
        </w:rPr>
        <w:t xml:space="preserve"> </w:t>
      </w:r>
      <w:r>
        <w:rPr>
          <w:rFonts w:cs="Arial"/>
          <w:b/>
          <w:u w:val="single" w:color="000000"/>
        </w:rPr>
        <w:t>Care</w:t>
      </w:r>
      <w:r>
        <w:rPr>
          <w:rFonts w:cs="Arial"/>
          <w:b/>
        </w:rPr>
        <w:t xml:space="preserve"> </w:t>
      </w:r>
    </w:p>
    <w:p w14:paraId="778649F9" w14:textId="77777777" w:rsidR="00A20D81" w:rsidRDefault="00AE7C83">
      <w:pPr>
        <w:pStyle w:val="Heading1"/>
        <w:ind w:left="-5"/>
      </w:pPr>
      <w:r>
        <w:t>Introduction</w:t>
      </w:r>
      <w:r>
        <w:rPr>
          <w:u w:val="none"/>
        </w:rPr>
        <w:t xml:space="preserve">  </w:t>
      </w:r>
    </w:p>
    <w:p w14:paraId="75D0D0F0" w14:textId="77777777" w:rsidR="00A20D81" w:rsidRDefault="00AE7C83">
      <w:pPr>
        <w:ind w:left="-5" w:right="3"/>
      </w:pPr>
      <w:r>
        <w:t>Person-</w:t>
      </w:r>
      <w:r>
        <w:t>centred care (PCC) and partnership working (PW) are central principles underpinning contemporary health and social care practice in the United Kingdom. Increasingly complex healthcare needs, an ageing population and the prevalence of longterm conditions require professionals to deliver coordinated care that recognises individuals as active participants in decisions about their own health and wellbeing. Rather than focusing solely on medical treatment, person-</w:t>
      </w:r>
      <w:r>
        <w:t xml:space="preserve">centred care promotes dignity, respect, independence and shared decision-making, ensuring that care reflects each individual's values, preferences and personal circumstances. Partnership working complements this approach by encouraging collaboration between health professionals, social care providers, service users, carers and wider agencies to deliver integrated, high-quality care. </w:t>
      </w:r>
    </w:p>
    <w:p w14:paraId="66EC6E36" w14:textId="77777777" w:rsidR="00A20D81" w:rsidRDefault="00AE7C83">
      <w:pPr>
        <w:ind w:left="-5" w:right="3"/>
      </w:pPr>
      <w:r>
        <w:t>This report critically evaluates person-</w:t>
      </w:r>
      <w:r>
        <w:t xml:space="preserve">centred care and partnership working by examining their benefits and limitations, analysing a theoretical model underpinning person-centred practice, exploring ethical principles, evaluating partnership working within dementia care, reviewing relevant UK legislation and policy, and providing recommendations for future development within health and social care services. </w:t>
      </w:r>
    </w:p>
    <w:p w14:paraId="174D0488" w14:textId="77777777" w:rsidR="00A20D81" w:rsidRDefault="00AE7C83">
      <w:pPr>
        <w:spacing w:after="267" w:line="259" w:lineRule="auto"/>
        <w:ind w:left="0" w:right="0" w:firstLine="0"/>
      </w:pPr>
      <w:r>
        <w:t xml:space="preserve"> </w:t>
      </w:r>
    </w:p>
    <w:p w14:paraId="00B39300" w14:textId="77777777" w:rsidR="00A20D81" w:rsidRDefault="00AE7C83">
      <w:pPr>
        <w:pStyle w:val="Heading1"/>
        <w:ind w:left="-5"/>
      </w:pPr>
      <w:r>
        <w:t xml:space="preserve"> Person-Centred Care: Definition, Benefits and Limitations</w:t>
      </w:r>
      <w:r>
        <w:rPr>
          <w:u w:val="none"/>
        </w:rPr>
        <w:t xml:space="preserve">  </w:t>
      </w:r>
    </w:p>
    <w:p w14:paraId="041B2652" w14:textId="77777777" w:rsidR="00A20D81" w:rsidRDefault="00AE7C83">
      <w:pPr>
        <w:ind w:left="-5" w:right="3"/>
      </w:pPr>
      <w:r>
        <w:t>Person-</w:t>
      </w:r>
      <w:r>
        <w:t>centred care is an approach that places the individual at the centre of every aspect of care planning, delivery and evaluation. Rather than viewing people through the lens of illness or disability, PCC recognises that every individual has unique experiences, preferences, beliefs and goals that should influence decisions regarding their care. The Health Foundation (2016) describes person-</w:t>
      </w:r>
      <w:r>
        <w:t xml:space="preserve">centred care as supporting people to develop the knowledge, confidence and skills to manage their health while ensuring professionals work collaboratively with them to make informed decisions. This represents a shift away from traditional paternalistic models of healthcare, where professionals were primarily responsible for making treatment decisions on behalf of patients. </w:t>
      </w:r>
    </w:p>
    <w:p w14:paraId="2099B790" w14:textId="77777777" w:rsidR="00A20D81" w:rsidRDefault="00AE7C83">
      <w:pPr>
        <w:ind w:left="-5" w:right="3"/>
      </w:pPr>
      <w:r>
        <w:t>A major strength of person-</w:t>
      </w:r>
      <w:r>
        <w:t xml:space="preserve">centred care is its ability to promote autonomy by enabling individuals to participate actively in decisions affecting their lives. Respecting personal choice increases independence, strengthens therapeutic relationships and often improves adherence to treatment because individuals are more likely to engage with care plans they </w:t>
      </w:r>
      <w:r>
        <w:lastRenderedPageBreak/>
        <w:t xml:space="preserve">have helped develop (Entwistle and Watt, 2013). PCC also enhances psychological </w:t>
      </w:r>
      <w:r>
        <w:t xml:space="preserve">wellbeing by recognising emotional, cultural and social needs alongside physical health. This holistic approach has been associated with improved patient satisfaction, greater trust in healthcare professionals and better long-term health outcomes (NICE, 2021). </w:t>
      </w:r>
    </w:p>
    <w:p w14:paraId="4423CEE4" w14:textId="77777777" w:rsidR="00A20D81" w:rsidRDefault="00AE7C83">
      <w:pPr>
        <w:ind w:left="-5" w:right="3"/>
      </w:pPr>
      <w:r>
        <w:t>From an organisational perspective, person-</w:t>
      </w:r>
      <w:r>
        <w:t xml:space="preserve">centred care can improve service quality through stronger communication, reduced complaints and more effective use of resources. Collaborative care planning may reduce unnecessary hospital admissions by identifying concerns earlier and ensuring interventions reflect individual circumstances rather than adopting a standardised approach. Furthermore, recognising diversity supports equality and reduces discrimination by ensuring care is tailored to each person's cultural, religious and personal identity. </w:t>
      </w:r>
    </w:p>
    <w:p w14:paraId="2CC4CC2C" w14:textId="77777777" w:rsidR="00A20D81" w:rsidRDefault="00AE7C83">
      <w:pPr>
        <w:ind w:left="-5" w:right="3"/>
      </w:pPr>
      <w:r>
        <w:t xml:space="preserve">Despite these advantages, implementing person-centred care consistently remains challenging. Workforce shortages, increasing demand and financial pressures frequently limit the time available for meaningful communication, making personalised care difficult </w:t>
      </w:r>
      <w:r>
        <w:t>to achieve. Professionals may also experience ethical dilemmas when an individual's preferences conflict with clinical recommendations or safety concerns. For example, respecting a person's autonomous decision may increase the risk of harm, requiring practitioners to balance individual rights with their professional duty of care. Additionally, delivering person-centred care to individuals with advanced cognitive impairment may require complex best-interest decision-</w:t>
      </w:r>
      <w:r>
        <w:t xml:space="preserve">making under the Mental Capacity Act 2005. Consequently, although PCC is widely recognised as best practice, successful implementation depends upon adequate resources, organisational commitment and appropriately trained professionals. </w:t>
      </w:r>
    </w:p>
    <w:p w14:paraId="14D96CDC" w14:textId="77777777" w:rsidR="00A20D81" w:rsidRDefault="00AE7C83">
      <w:pPr>
        <w:spacing w:after="331" w:line="259" w:lineRule="auto"/>
        <w:ind w:left="-5" w:right="0"/>
      </w:pPr>
      <w:r>
        <w:rPr>
          <w:rFonts w:cs="Arial"/>
          <w:b/>
          <w:u w:val="single" w:color="000000"/>
        </w:rPr>
        <w:t>Critical Evaluation of a Theory Underpinning Person-Centred Care</w:t>
      </w:r>
      <w:r>
        <w:rPr>
          <w:rFonts w:cs="Arial"/>
          <w:b/>
        </w:rPr>
        <w:t xml:space="preserve"> </w:t>
      </w:r>
    </w:p>
    <w:p w14:paraId="7431E23A" w14:textId="77777777" w:rsidR="00A20D81" w:rsidRDefault="00AE7C83">
      <w:pPr>
        <w:pStyle w:val="Heading1"/>
        <w:spacing w:after="240"/>
        <w:ind w:left="-5"/>
      </w:pPr>
      <w:r>
        <w:t>Kitwood's Person-Centred Care Model</w:t>
      </w:r>
      <w:r>
        <w:rPr>
          <w:rFonts w:ascii="Aptos" w:eastAsia="Aptos" w:hAnsi="Aptos" w:cs="Aptos"/>
          <w:b w:val="0"/>
          <w:sz w:val="24"/>
          <w:u w:val="none"/>
        </w:rPr>
        <w:t xml:space="preserve"> </w:t>
      </w:r>
    </w:p>
    <w:p w14:paraId="38C0AEA7" w14:textId="77777777" w:rsidR="00A20D81" w:rsidRDefault="00AE7C83">
      <w:pPr>
        <w:ind w:left="-5" w:right="3"/>
      </w:pPr>
      <w:r>
        <w:t>Tom Kitwood's Person-Centred Care Model is one of the most influential theories underpinning person-</w:t>
      </w:r>
      <w:r>
        <w:t xml:space="preserve">centred practice, particularly within dementia care. Kitwood (1997) challenged the traditional biomedical model, which focused primarily on cognitive decline and physical symptoms, arguing that people living with dementia should be recognised as individuals with unique identities, emotions and life experiences rather than being defined by their diagnosis. Central to the model is the concept of </w:t>
      </w:r>
      <w:r>
        <w:rPr>
          <w:rFonts w:cs="Arial"/>
          <w:b/>
        </w:rPr>
        <w:t>personhood</w:t>
      </w:r>
      <w:r>
        <w:t xml:space="preserve">, which emphasises that every individual has inherent value and should be treated with dignity, respect and compassion regardless of illness or disability. Kitwood also identified five psychological </w:t>
      </w:r>
      <w:r>
        <w:lastRenderedPageBreak/>
        <w:t>needs</w:t>
      </w:r>
      <w:r>
        <w:rPr>
          <w:rFonts w:cs="Arial"/>
        </w:rPr>
        <w:t>—</w:t>
      </w:r>
      <w:r>
        <w:t>comfort, attachment, inclusion, occupation and identity</w:t>
      </w:r>
      <w:r>
        <w:rPr>
          <w:rFonts w:cs="Arial"/>
        </w:rPr>
        <w:t>—</w:t>
      </w:r>
      <w:r>
        <w:t>which should be met to support wellbeing and maintain quality of life.</w:t>
      </w:r>
      <w:r>
        <w:rPr>
          <w:rFonts w:ascii="Aptos" w:eastAsia="Aptos" w:hAnsi="Aptos" w:cs="Aptos"/>
          <w:sz w:val="24"/>
        </w:rPr>
        <w:t xml:space="preserve"> </w:t>
      </w:r>
    </w:p>
    <w:p w14:paraId="52F8FF94" w14:textId="77777777" w:rsidR="00A20D81" w:rsidRDefault="00AE7C83">
      <w:pPr>
        <w:ind w:left="-5" w:right="3"/>
      </w:pPr>
      <w:r>
        <w:t>A major strength of Kitwood's model is that it aligns closely with the principles of person</w:t>
      </w:r>
      <w:r>
        <w:t>centred care by encouraging healthcare professionals to build meaningful relationships and involve individuals in decisions about their care wherever possible. Understanding a person's life history, preferences and routines enables professionals to deliver more personalised support, which has been associated with reduced distress, improved wellbeing and fewer behavioural symptoms in people living with dementia (Brooker, 2007). The model has therefore had a significant influence on UK dementia strategies and</w:t>
      </w:r>
      <w:r>
        <w:t xml:space="preserve"> care standards.</w:t>
      </w:r>
      <w:r>
        <w:t xml:space="preserve"> </w:t>
      </w:r>
    </w:p>
    <w:p w14:paraId="3571B279" w14:textId="77777777" w:rsidR="00A20D81" w:rsidRDefault="00AE7C83">
      <w:pPr>
        <w:ind w:left="-5" w:right="3"/>
      </w:pPr>
      <w:r>
        <w:t>However, the model also has limitations. Delivering genuinely person-centred care requires sufficient staffing, time and organisational support, all of which can be restricted by financial pressures and increasing service demand. In busy hospital wards or under-</w:t>
      </w:r>
      <w:r>
        <w:t xml:space="preserve">resourced care settings, professionals may struggle to gather detailed information about each individual's background or provide personalised interventions. Furthermore, the model focuses primarily on interpersonal relationships and gives less attention to wider systemic issues, such as workforce shortages, inequalities in service provision and organisational culture, which can limit its implementation. </w:t>
      </w:r>
    </w:p>
    <w:p w14:paraId="65D8A066" w14:textId="77777777" w:rsidR="00A20D81" w:rsidRDefault="00AE7C83">
      <w:pPr>
        <w:ind w:left="-5" w:right="3"/>
      </w:pPr>
      <w:r>
        <w:t>Overall, Kitwood's model provides a strong theoretical foundation for person-</w:t>
      </w:r>
      <w:r>
        <w:t xml:space="preserve">centred care by promoting dignity, individuality and holistic support. However, its effectiveness depends on healthcare organisations providing the resources, training and leadership required to translate its principles into everyday practice. </w:t>
      </w:r>
    </w:p>
    <w:p w14:paraId="428E5E18" w14:textId="77777777" w:rsidR="00A20D81" w:rsidRDefault="00AE7C83">
      <w:pPr>
        <w:spacing w:after="267" w:line="259" w:lineRule="auto"/>
        <w:ind w:left="0" w:right="0" w:firstLine="0"/>
      </w:pPr>
      <w:r>
        <w:t xml:space="preserve"> </w:t>
      </w:r>
    </w:p>
    <w:p w14:paraId="6ABC8DEA" w14:textId="77777777" w:rsidR="00A20D81" w:rsidRDefault="00AE7C83">
      <w:pPr>
        <w:pStyle w:val="Heading1"/>
        <w:ind w:left="-5"/>
      </w:pPr>
      <w:r>
        <w:t>Ethical Fundamentals of Health and Social Care</w:t>
      </w:r>
      <w:r>
        <w:rPr>
          <w:u w:val="none"/>
        </w:rPr>
        <w:t xml:space="preserve"> </w:t>
      </w:r>
    </w:p>
    <w:p w14:paraId="5E9D49FC" w14:textId="77777777" w:rsidR="00A20D81" w:rsidRDefault="00AE7C83">
      <w:pPr>
        <w:ind w:left="-5" w:right="3"/>
      </w:pPr>
      <w:r>
        <w:t>Ethical principles underpin all aspects of health and social care practice and are essential for delivering both person-</w:t>
      </w:r>
      <w:r>
        <w:t xml:space="preserve">centred care and effective partnership working. They provide professionals with a framework for making decisions that protect the rights, dignity and wellbeing of individuals while ensuring care is delivered fairly and safely. </w:t>
      </w:r>
    </w:p>
    <w:p w14:paraId="532C2BAD" w14:textId="77777777" w:rsidR="00A20D81" w:rsidRDefault="00AE7C83">
      <w:pPr>
        <w:ind w:left="-5" w:right="3"/>
      </w:pPr>
      <w:r>
        <w:t>The principle of autonomy requires practitioners to respect an individual's right to make informed decisions about their own care. Within person-centred care, this is achieved through shared decision-</w:t>
      </w:r>
      <w:r>
        <w:t xml:space="preserve">making, informed consent and recognising each person's preferences and values (Beauchamp and Childress, 2019). Respecting autonomy promotes </w:t>
      </w:r>
      <w:r>
        <w:lastRenderedPageBreak/>
        <w:t xml:space="preserve">independence but can also create ethical dilemmas when individuals choose options that professionals believe may place them at risk. </w:t>
      </w:r>
    </w:p>
    <w:p w14:paraId="60947199" w14:textId="77777777" w:rsidR="00A20D81" w:rsidRDefault="00AE7C83">
      <w:pPr>
        <w:spacing w:after="160" w:line="359" w:lineRule="auto"/>
        <w:ind w:left="-5" w:right="144"/>
        <w:jc w:val="both"/>
      </w:pPr>
      <w:r>
        <w:t>Beneficence requires healthcare professionals to act in the best interests of those receiving care by promoting wellbeing and improving health outcomes. This is balanced by non</w:t>
      </w:r>
      <w:r>
        <w:t xml:space="preserve">maleficence, which requires practitioners to avoid causing harm. Professionals must therefore carefully consider the benefits and potential risks of interventions while ensuring that decisions remain evidence-based and proportionate. </w:t>
      </w:r>
    </w:p>
    <w:p w14:paraId="39D6EE0C" w14:textId="77777777" w:rsidR="00A20D81" w:rsidRDefault="00AE7C83">
      <w:pPr>
        <w:ind w:left="-5" w:right="3"/>
      </w:pPr>
      <w:r>
        <w:t xml:space="preserve">The principle of justice focuses on fairness and equality, ensuring individuals receive equitable access to healthcare regardless of age, disability, ethnicity, gender or socioeconomic background. This aligns with the Equality Act 2010, which protects individuals from discrimination and promotes inclusive practice. </w:t>
      </w:r>
    </w:p>
    <w:p w14:paraId="057718AE" w14:textId="77777777" w:rsidR="00A20D81" w:rsidRDefault="00AE7C83">
      <w:pPr>
        <w:ind w:left="-5" w:right="3"/>
      </w:pPr>
      <w:r>
        <w:t xml:space="preserve">Confidentiality and respect for privacy are equally important ethical responsibilities. Professionals must protect sensitive personal information while sharing relevant details appropriately to support safe and coordinated care in accordance with the Data Protection Act 2018 and UK GDPR. Upholding these ethical principles strengthens trust between professionals and service users, enabling effective partnership working while ensuring care remains compassionate, respectful and person centred. </w:t>
      </w:r>
    </w:p>
    <w:p w14:paraId="44FA8847" w14:textId="77777777" w:rsidR="00A20D81" w:rsidRDefault="00AE7C83">
      <w:pPr>
        <w:pStyle w:val="Heading1"/>
        <w:ind w:left="-5"/>
      </w:pPr>
      <w:r>
        <w:t>Evaluation of Partnership Working in Health and Social Care</w:t>
      </w:r>
      <w:r>
        <w:rPr>
          <w:u w:val="none"/>
        </w:rPr>
        <w:t xml:space="preserve">  </w:t>
      </w:r>
    </w:p>
    <w:p w14:paraId="5A4AE70E" w14:textId="77777777" w:rsidR="00A20D81" w:rsidRDefault="00AE7C83">
      <w:pPr>
        <w:ind w:left="-5" w:right="3"/>
      </w:pPr>
      <w:r>
        <w:t>Partnership working is the process of health and social care professionals, organisations, service users and carers working collaboratively to achieve shared goals and improve outcomes. As individuals increasingly present with complex physical, psychological and social needs, effective partnership working has become essential for delivering integrated, person-</w:t>
      </w:r>
      <w:r>
        <w:t xml:space="preserve">centred care. Rather than professionals working independently, partnership working encourages the sharing of knowledge, skills and responsibilities to ensure care is coordinated and responsive to the needs of the individual. </w:t>
      </w:r>
    </w:p>
    <w:p w14:paraId="068EE712" w14:textId="77777777" w:rsidR="00A20D81" w:rsidRDefault="00AE7C83">
      <w:pPr>
        <w:ind w:left="-5" w:right="3"/>
      </w:pPr>
      <w:r>
        <w:t>One of the key strengths of partnership working is its ability to improve communication and continuity of care. When professionals share information appropriately and work towards common objectives, individuals are less likely to experience fragmented services or repeated assessments. Collaborative decision-</w:t>
      </w:r>
      <w:r>
        <w:t xml:space="preserve">making also allows professionals to draw upon a wider range of expertise, leading to more holistic care plans that address medical, emotional and social needs simultaneously (The King's Fund, 2022). Importantly, partnership working strengthens person-centred care by involving service users and their families in decisions, ensuring care reflects individual preferences rather than professional assumptions. </w:t>
      </w:r>
    </w:p>
    <w:p w14:paraId="33434EFE" w14:textId="77777777" w:rsidR="00A20D81" w:rsidRDefault="00AE7C83">
      <w:pPr>
        <w:ind w:left="-5" w:right="3"/>
      </w:pPr>
      <w:r>
        <w:lastRenderedPageBreak/>
        <w:t>Despite these advantages, partnership working is not without challenges. Differences in organisational structures, funding arrangements and professional priorities can create barriers to effective collaboration. Communication failures remain one of the most significant causes of poor care coordination and have been highlighted in several high-</w:t>
      </w:r>
      <w:r>
        <w:t xml:space="preserve">profile safeguarding reviews. In addition, workforce shortages and increasing service pressures may reduce opportunities for multidisciplinary meetings and collaborative planning. </w:t>
      </w:r>
    </w:p>
    <w:p w14:paraId="383A3B9E" w14:textId="77777777" w:rsidR="00A20D81" w:rsidRDefault="00AE7C83">
      <w:pPr>
        <w:ind w:left="-5" w:right="3"/>
      </w:pPr>
      <w:r>
        <w:t xml:space="preserve">Consequently, although partnership working is widely promoted through UK policy, its effectiveness depends upon strong leadership, mutual respect between professionals and systems that support timely information sharing. </w:t>
      </w:r>
    </w:p>
    <w:p w14:paraId="2D0DF1F8" w14:textId="77777777" w:rsidR="00A20D81" w:rsidRDefault="00AE7C83">
      <w:pPr>
        <w:spacing w:after="267" w:line="259" w:lineRule="auto"/>
        <w:ind w:left="0" w:right="0" w:firstLine="0"/>
      </w:pPr>
      <w:r>
        <w:t xml:space="preserve"> </w:t>
      </w:r>
    </w:p>
    <w:p w14:paraId="0B087B35" w14:textId="77777777" w:rsidR="00A20D81" w:rsidRDefault="00AE7C83">
      <w:pPr>
        <w:pStyle w:val="Heading1"/>
        <w:ind w:left="-5"/>
      </w:pPr>
      <w:r>
        <w:t>Application of Partnership Working in Dementia Care</w:t>
      </w:r>
      <w:r>
        <w:rPr>
          <w:u w:val="none"/>
        </w:rPr>
        <w:t xml:space="preserve">  </w:t>
      </w:r>
    </w:p>
    <w:p w14:paraId="5F6B5800" w14:textId="77777777" w:rsidR="00A20D81" w:rsidRDefault="00AE7C83">
      <w:pPr>
        <w:ind w:left="-5" w:right="3"/>
      </w:pPr>
      <w:r>
        <w:t>Dementia care provides an effective example of how partnership working and person</w:t>
      </w:r>
      <w:r>
        <w:t xml:space="preserve">centred care operate together in practice. As dementia affects cognitive, emotional, physical and social functioning, individuals often require support from a multidisciplinary team (MDT) that may include general practitioners, nurses, occupational therapists, social workers, physiotherapists, pharmacists and family carers. Each professional contributes specialist knowledge while working collaboratively to meet the individual's changing needs. </w:t>
      </w:r>
    </w:p>
    <w:p w14:paraId="341BD73C" w14:textId="77777777" w:rsidR="00A20D81" w:rsidRDefault="00AE7C83">
      <w:pPr>
        <w:ind w:left="-5" w:right="3"/>
      </w:pPr>
      <w:r>
        <w:t>Person-</w:t>
      </w:r>
      <w:r>
        <w:t>centred care is reflected through personalised care planning that considers the individual's life history, preferences, cultural background and daily routines. For example, an occupational therapist may recommend adaptations to support independence within the home, while community nurses monitor physical health and medication. Social workers coordinate community services and safeguarding responsibilities, whereas family members provide valuable insight into the person's usual behaviours, communication metho</w:t>
      </w:r>
      <w:r>
        <w:t>ds and preferences. Combining professional expertise with family knowledge enables more individualised and effective care.</w:t>
      </w:r>
      <w:r>
        <w:t xml:space="preserve"> </w:t>
      </w:r>
    </w:p>
    <w:p w14:paraId="2B1CED78" w14:textId="77777777" w:rsidR="00A20D81" w:rsidRDefault="00AE7C83">
      <w:pPr>
        <w:ind w:left="-5" w:right="3"/>
      </w:pPr>
      <w:r>
        <w:t xml:space="preserve">However, successful partnership working depends upon clear communication and effective information sharing. Professionals must balance confidentiality with the need to exchange relevant information to ensure safe and coordinated care. The Mental Capacity Act 2005 also plays an important role when individuals are unable to make certain decisions independently, requiring professionals to work collaboratively with families while acting in the person's best interests. </w:t>
      </w:r>
    </w:p>
    <w:p w14:paraId="0FCED1D0" w14:textId="77777777" w:rsidR="00A20D81" w:rsidRDefault="00AE7C83">
      <w:pPr>
        <w:ind w:left="-5" w:right="3"/>
      </w:pPr>
      <w:r>
        <w:t xml:space="preserve">Overall, dementia care demonstrates how partnership working enhances person-centred care by promoting coordinated, holistic support that protects dignity, independence and quality of life. However, its success remains dependent on sufficient staffing, effective leadership and collaborative organisational cultures that prioritise integrated care. </w:t>
      </w:r>
    </w:p>
    <w:p w14:paraId="0C53DB67" w14:textId="77777777" w:rsidR="00A20D81" w:rsidRDefault="00AE7C83">
      <w:pPr>
        <w:pStyle w:val="Heading1"/>
        <w:ind w:left="-5"/>
      </w:pPr>
      <w:r>
        <w:t>Relevant Policy and Legislation Relating to Person-Centred Care and Partnership</w:t>
      </w:r>
      <w:r>
        <w:rPr>
          <w:u w:val="none"/>
        </w:rPr>
        <w:t xml:space="preserve"> </w:t>
      </w:r>
      <w:r>
        <w:t>Working</w:t>
      </w:r>
      <w:r>
        <w:rPr>
          <w:u w:val="none"/>
        </w:rPr>
        <w:t xml:space="preserve">  </w:t>
      </w:r>
    </w:p>
    <w:p w14:paraId="0814B2CC" w14:textId="77777777" w:rsidR="00A20D81" w:rsidRDefault="00AE7C83">
      <w:pPr>
        <w:ind w:left="-5" w:right="3"/>
      </w:pPr>
      <w:r>
        <w:t>UK health and social care policy strongly promotes person-</w:t>
      </w:r>
      <w:r>
        <w:t xml:space="preserve">centred care and partnership working as essential components of high-quality service delivery. The Care Act 2014 places individual wellbeing at the centre of adult social care, requiring local authorities to promote independence, involve individuals in care planning and work collaboratively with partner organisations to meet eligible care needs. The Act also emphasises safeguarding responsibilities and the importance of integrating health and social care services to improve outcomes. </w:t>
      </w:r>
    </w:p>
    <w:p w14:paraId="1D1BEE50" w14:textId="77777777" w:rsidR="00A20D81" w:rsidRDefault="00AE7C83">
      <w:pPr>
        <w:spacing w:after="160" w:line="359" w:lineRule="auto"/>
        <w:ind w:left="-5" w:right="461"/>
        <w:jc w:val="both"/>
      </w:pPr>
      <w:r>
        <w:t xml:space="preserve">The Health and Care Act 2022 further strengthened partnership working through the introduction of Integrated Care Systems (ICSs), encouraging NHS organisations, local authorities and voluntary sector providers to work together when planning and delivering services. This aims to reduce fragmentation, improve communication and provide more coordinated care across organisational boundaries. </w:t>
      </w:r>
    </w:p>
    <w:p w14:paraId="5392415D" w14:textId="77777777" w:rsidR="00A20D81" w:rsidRDefault="00AE7C83">
      <w:pPr>
        <w:ind w:left="-5" w:right="3"/>
      </w:pPr>
      <w:r>
        <w:t>The Mental Capacity Act 2005 supports person-centred practice by establishing a legal framework for decision-</w:t>
      </w:r>
      <w:r>
        <w:t xml:space="preserve">making when individuals lack capacity. It requires professionals to presume capacity unless proven otherwise and to make decisions in the person's best interests while considering their wishes, feelings and values wherever possible. </w:t>
      </w:r>
    </w:p>
    <w:p w14:paraId="2CE25F82" w14:textId="77777777" w:rsidR="00A20D81" w:rsidRDefault="00AE7C83">
      <w:pPr>
        <w:ind w:left="-5" w:right="3"/>
      </w:pPr>
      <w:r>
        <w:t xml:space="preserve">The Equality Act 2010 and the Human Rights Act 1998 reinforce the ethical principles of fairness, dignity and respect by protecting individuals from discrimination and ensuring that everyone receives equitable access to health and social care services. Alongside these, the Data Protection Act 2018 and UK GDPR enable appropriate information sharing between professionals while safeguarding confidential personal information. </w:t>
      </w:r>
    </w:p>
    <w:p w14:paraId="0376C616" w14:textId="77777777" w:rsidR="00A20D81" w:rsidRDefault="00AE7C83">
      <w:pPr>
        <w:spacing w:after="160" w:line="359" w:lineRule="auto"/>
        <w:ind w:left="-5" w:right="144"/>
        <w:jc w:val="both"/>
      </w:pPr>
      <w:r>
        <w:t xml:space="preserve">Collectively, this legislation provides the legal and ethical framework that supports the delivery of person-centred care and effective partnership working throughout UK health and social care services. </w:t>
      </w:r>
    </w:p>
    <w:p w14:paraId="7E99F4E2" w14:textId="77777777" w:rsidR="00A20D81" w:rsidRDefault="00AE7C83">
      <w:pPr>
        <w:spacing w:after="267" w:line="259" w:lineRule="auto"/>
        <w:ind w:left="0" w:right="0" w:firstLine="0"/>
      </w:pPr>
      <w:r>
        <w:t xml:space="preserve"> </w:t>
      </w:r>
    </w:p>
    <w:p w14:paraId="73547976" w14:textId="77777777" w:rsidR="00A20D81" w:rsidRDefault="00AE7C83">
      <w:pPr>
        <w:pStyle w:val="Heading1"/>
        <w:ind w:left="-5"/>
      </w:pPr>
      <w:r>
        <w:t xml:space="preserve"> Recommendations for Future Development</w:t>
      </w:r>
      <w:r>
        <w:rPr>
          <w:u w:val="none"/>
        </w:rPr>
        <w:t xml:space="preserve">  </w:t>
      </w:r>
    </w:p>
    <w:p w14:paraId="0AC48B59" w14:textId="77777777" w:rsidR="00A20D81" w:rsidRDefault="00AE7C83">
      <w:pPr>
        <w:ind w:left="-5" w:right="3"/>
      </w:pPr>
      <w:r>
        <w:t>Although significant progress has been made, further improvements are required to strengthen person-</w:t>
      </w:r>
      <w:r>
        <w:t>centred care and partnership working across the UK. Organisations should continue investing in workforce development to ensure professionals possess the communication, leadership and collaborative skills required for integrated practice. Improved digital information-sharing systems would enhance communication between agencies while reducing duplication of care. Greater involvement of service users and carers in service design could further strengthen person-</w:t>
      </w:r>
      <w:r>
        <w:t xml:space="preserve">centred approaches, while sustained government investment is essential to address workforce shortages and resource pressures that continue to limit the consistent implementation of both PCC and partnership working. </w:t>
      </w:r>
    </w:p>
    <w:p w14:paraId="312282F7" w14:textId="77777777" w:rsidR="00A20D81" w:rsidRDefault="00AE7C83">
      <w:pPr>
        <w:pStyle w:val="Heading1"/>
        <w:ind w:left="-5"/>
      </w:pPr>
      <w:r>
        <w:t>Conclusion</w:t>
      </w:r>
      <w:r>
        <w:rPr>
          <w:u w:val="none"/>
        </w:rPr>
        <w:t xml:space="preserve">  </w:t>
      </w:r>
    </w:p>
    <w:p w14:paraId="140708F6" w14:textId="77777777" w:rsidR="00A20D81" w:rsidRDefault="00AE7C83">
      <w:pPr>
        <w:ind w:left="-5" w:right="3"/>
      </w:pPr>
      <w:r>
        <w:t>Person-</w:t>
      </w:r>
      <w:r>
        <w:t>centred care and partnership working are fundamental to delivering safe, effective and compassionate health and social care. Together they promote holistic care by recognising individuals as active partners while encouraging collaboration between professionals, organisations and families. Kitwood's Person-</w:t>
      </w:r>
      <w:r>
        <w:t>Centred Care Model provides a valuable theoretical foundation by emphasising dignity, individuality and meaningful relationships, although its implementation is influenced by organisational resources and workforce capacity. Ethical principles and UK legislation further support these approaches by protecting individual rights, promoting equality and encouraging integrated service delivery. Despite ongoing challenges relating to communication, funding and staffing, both person</w:t>
      </w:r>
      <w:r>
        <w:t xml:space="preserve">centred care and partnership working remain central to improving health outcomes and service quality. Continued investment in collaborative practice, workforce development and integrated care systems will be essential to meet the changing needs of the UK population. </w:t>
      </w:r>
    </w:p>
    <w:p w14:paraId="6CEF86ED" w14:textId="77777777" w:rsidR="00A20D81" w:rsidRDefault="00AE7C83">
      <w:pPr>
        <w:spacing w:after="267" w:line="259" w:lineRule="auto"/>
        <w:ind w:left="0" w:right="0" w:firstLine="0"/>
      </w:pPr>
      <w:r>
        <w:t xml:space="preserve"> </w:t>
      </w:r>
    </w:p>
    <w:p w14:paraId="3C182FD4" w14:textId="77777777" w:rsidR="00A20D81" w:rsidRDefault="00AE7C83">
      <w:pPr>
        <w:spacing w:after="262" w:line="259" w:lineRule="auto"/>
        <w:ind w:left="0" w:right="0" w:firstLine="0"/>
      </w:pPr>
      <w:r>
        <w:t xml:space="preserve"> </w:t>
      </w:r>
    </w:p>
    <w:p w14:paraId="06EFA9EB" w14:textId="77777777" w:rsidR="00A20D81" w:rsidRDefault="00AE7C83">
      <w:pPr>
        <w:spacing w:after="267" w:line="259" w:lineRule="auto"/>
        <w:ind w:left="0" w:right="0" w:firstLine="0"/>
      </w:pPr>
      <w:r>
        <w:t xml:space="preserve"> </w:t>
      </w:r>
    </w:p>
    <w:p w14:paraId="33563DF1" w14:textId="77777777" w:rsidR="00A20D81" w:rsidRDefault="00AE7C83">
      <w:pPr>
        <w:spacing w:after="267" w:line="259" w:lineRule="auto"/>
        <w:ind w:left="0" w:right="0" w:firstLine="0"/>
      </w:pPr>
      <w:r>
        <w:t xml:space="preserve"> </w:t>
      </w:r>
    </w:p>
    <w:p w14:paraId="0E93086B" w14:textId="77777777" w:rsidR="00A20D81" w:rsidRDefault="00AE7C83">
      <w:pPr>
        <w:spacing w:after="267" w:line="259" w:lineRule="auto"/>
        <w:ind w:left="0" w:right="0" w:firstLine="0"/>
      </w:pPr>
      <w:r>
        <w:t xml:space="preserve"> </w:t>
      </w:r>
    </w:p>
    <w:p w14:paraId="39B69763" w14:textId="77777777" w:rsidR="00A20D81" w:rsidRDefault="00AE7C83">
      <w:pPr>
        <w:spacing w:after="267" w:line="259" w:lineRule="auto"/>
        <w:ind w:left="0" w:right="0" w:firstLine="0"/>
      </w:pPr>
      <w:r>
        <w:t xml:space="preserve"> </w:t>
      </w:r>
    </w:p>
    <w:p w14:paraId="2CDA7261" w14:textId="77777777" w:rsidR="00A20D81" w:rsidRDefault="00AE7C83">
      <w:pPr>
        <w:spacing w:after="267" w:line="259" w:lineRule="auto"/>
        <w:ind w:left="0" w:right="0" w:firstLine="0"/>
      </w:pPr>
      <w:r>
        <w:t xml:space="preserve"> </w:t>
      </w:r>
    </w:p>
    <w:p w14:paraId="5362BCAB" w14:textId="77777777" w:rsidR="00A20D81" w:rsidRDefault="00AE7C83">
      <w:pPr>
        <w:spacing w:after="267" w:line="259" w:lineRule="auto"/>
        <w:ind w:left="0" w:right="0" w:firstLine="0"/>
      </w:pPr>
      <w:r>
        <w:t xml:space="preserve"> </w:t>
      </w:r>
    </w:p>
    <w:p w14:paraId="0DECC643" w14:textId="77777777" w:rsidR="00A20D81" w:rsidRDefault="00AE7C83">
      <w:pPr>
        <w:spacing w:after="267" w:line="259" w:lineRule="auto"/>
        <w:ind w:left="0" w:right="0" w:firstLine="0"/>
      </w:pPr>
      <w:r>
        <w:t xml:space="preserve"> </w:t>
      </w:r>
    </w:p>
    <w:p w14:paraId="4F7EBF85" w14:textId="77777777" w:rsidR="00A20D81" w:rsidRDefault="00AE7C83">
      <w:pPr>
        <w:spacing w:after="267" w:line="259" w:lineRule="auto"/>
        <w:ind w:left="0" w:right="0" w:firstLine="0"/>
      </w:pPr>
      <w:r>
        <w:t xml:space="preserve"> </w:t>
      </w:r>
    </w:p>
    <w:p w14:paraId="4C864096" w14:textId="77777777" w:rsidR="00A20D81" w:rsidRDefault="00AE7C83">
      <w:pPr>
        <w:spacing w:after="262" w:line="259" w:lineRule="auto"/>
        <w:ind w:left="0" w:right="0" w:firstLine="0"/>
      </w:pPr>
      <w:r>
        <w:t xml:space="preserve"> </w:t>
      </w:r>
    </w:p>
    <w:p w14:paraId="55688A37" w14:textId="77777777" w:rsidR="00A20D81" w:rsidRDefault="00AE7C83">
      <w:pPr>
        <w:spacing w:after="267" w:line="259" w:lineRule="auto"/>
        <w:ind w:left="0" w:right="0" w:firstLine="0"/>
      </w:pPr>
      <w:r>
        <w:t xml:space="preserve"> </w:t>
      </w:r>
    </w:p>
    <w:p w14:paraId="268B4403" w14:textId="77777777" w:rsidR="00A20D81" w:rsidRDefault="00AE7C83">
      <w:pPr>
        <w:spacing w:after="267" w:line="259" w:lineRule="auto"/>
        <w:ind w:left="0" w:right="0" w:firstLine="0"/>
      </w:pPr>
      <w:r>
        <w:rPr>
          <w:rFonts w:cs="Arial"/>
          <w:b/>
        </w:rPr>
        <w:t xml:space="preserve"> </w:t>
      </w:r>
    </w:p>
    <w:p w14:paraId="47BCED5F" w14:textId="77777777" w:rsidR="00A20D81" w:rsidRDefault="00AE7C83">
      <w:pPr>
        <w:spacing w:after="267" w:line="259" w:lineRule="auto"/>
        <w:ind w:left="0" w:right="0" w:firstLine="0"/>
      </w:pPr>
      <w:r>
        <w:rPr>
          <w:rFonts w:cs="Arial"/>
          <w:b/>
        </w:rPr>
        <w:t xml:space="preserve"> </w:t>
      </w:r>
    </w:p>
    <w:p w14:paraId="35EB3DE3" w14:textId="77777777" w:rsidR="00A20D81" w:rsidRDefault="00AE7C83">
      <w:pPr>
        <w:spacing w:after="267" w:line="259" w:lineRule="auto"/>
        <w:ind w:left="0" w:right="0" w:firstLine="0"/>
      </w:pPr>
      <w:r>
        <w:rPr>
          <w:rFonts w:cs="Arial"/>
          <w:b/>
        </w:rPr>
        <w:t xml:space="preserve"> </w:t>
      </w:r>
    </w:p>
    <w:p w14:paraId="1CB20848" w14:textId="77777777" w:rsidR="00A20D81" w:rsidRDefault="00AE7C83">
      <w:pPr>
        <w:spacing w:after="0" w:line="259" w:lineRule="auto"/>
        <w:ind w:left="0" w:right="0" w:firstLine="0"/>
      </w:pPr>
      <w:r>
        <w:rPr>
          <w:rFonts w:cs="Arial"/>
          <w:b/>
        </w:rPr>
        <w:t xml:space="preserve"> </w:t>
      </w:r>
    </w:p>
    <w:p w14:paraId="74F46B53" w14:textId="77777777" w:rsidR="00A20D81" w:rsidRDefault="00AE7C83">
      <w:pPr>
        <w:pStyle w:val="Heading1"/>
        <w:ind w:left="-5"/>
      </w:pPr>
      <w:r>
        <w:t>Harvard Reference List</w:t>
      </w:r>
      <w:r>
        <w:rPr>
          <w:u w:val="none"/>
        </w:rPr>
        <w:t xml:space="preserve"> </w:t>
      </w:r>
    </w:p>
    <w:p w14:paraId="5FC63FB1" w14:textId="77777777" w:rsidR="00A20D81" w:rsidRDefault="00AE7C83">
      <w:pPr>
        <w:spacing w:after="119"/>
        <w:ind w:left="-5" w:right="3"/>
      </w:pPr>
      <w:r>
        <w:t xml:space="preserve">Beauchamp, T.L. and Childress, J.F. (2019) </w:t>
      </w:r>
      <w:r>
        <w:rPr>
          <w:rFonts w:cs="Arial"/>
          <w:i/>
        </w:rPr>
        <w:t>Principles of Biomedical Ethics</w:t>
      </w:r>
      <w:r>
        <w:t>. 8th edn. New York: Oxford University Press.</w:t>
      </w:r>
      <w:r>
        <w:rPr>
          <w:rFonts w:ascii="Aptos" w:eastAsia="Aptos" w:hAnsi="Aptos" w:cs="Aptos"/>
          <w:sz w:val="24"/>
        </w:rPr>
        <w:t xml:space="preserve"> </w:t>
      </w:r>
    </w:p>
    <w:p w14:paraId="538662C2" w14:textId="77777777" w:rsidR="00A20D81" w:rsidRDefault="00AE7C83">
      <w:pPr>
        <w:spacing w:after="114"/>
        <w:ind w:left="-5" w:right="3"/>
      </w:pPr>
      <w:r>
        <w:t xml:space="preserve">Brooker, D. (2007) </w:t>
      </w:r>
      <w:r>
        <w:rPr>
          <w:rFonts w:cs="Arial"/>
          <w:i/>
        </w:rPr>
        <w:t>Person-</w:t>
      </w:r>
      <w:r>
        <w:rPr>
          <w:rFonts w:cs="Arial"/>
          <w:i/>
        </w:rPr>
        <w:t>Centred Dementia Care: Making Services Better</w:t>
      </w:r>
      <w:r>
        <w:t>. London: Jessica Kingsley Publishers.</w:t>
      </w:r>
      <w:r>
        <w:rPr>
          <w:rFonts w:ascii="Aptos" w:eastAsia="Aptos" w:hAnsi="Aptos" w:cs="Aptos"/>
          <w:sz w:val="24"/>
        </w:rPr>
        <w:t xml:space="preserve"> </w:t>
      </w:r>
    </w:p>
    <w:p w14:paraId="6587972C" w14:textId="77777777" w:rsidR="00A20D81" w:rsidRDefault="00AE7C83">
      <w:pPr>
        <w:spacing w:after="116" w:line="365" w:lineRule="auto"/>
        <w:ind w:left="0" w:right="0" w:firstLine="0"/>
      </w:pPr>
      <w:r>
        <w:t xml:space="preserve">Department of Health (2012) </w:t>
      </w:r>
      <w:r>
        <w:rPr>
          <w:rFonts w:cs="Arial"/>
          <w:i/>
        </w:rPr>
        <w:t>The Power of Information: Putting All of Us in Control of the Health and Care Information We Need</w:t>
      </w:r>
      <w:r>
        <w:t>. London: Department of Health.</w:t>
      </w:r>
      <w:r>
        <w:rPr>
          <w:rFonts w:ascii="Aptos" w:eastAsia="Aptos" w:hAnsi="Aptos" w:cs="Aptos"/>
          <w:sz w:val="24"/>
        </w:rPr>
        <w:t xml:space="preserve"> </w:t>
      </w:r>
    </w:p>
    <w:p w14:paraId="1DBF6600" w14:textId="77777777" w:rsidR="00A20D81" w:rsidRDefault="00AE7C83">
      <w:pPr>
        <w:spacing w:after="118"/>
        <w:ind w:left="-5" w:right="3"/>
      </w:pPr>
      <w:r>
        <w:t xml:space="preserve">Entwistle, V.A. and Watt, I.S. (2013) 'Treating patients as persons: A capabilities approach to support delivery of person-centred care', </w:t>
      </w:r>
      <w:r>
        <w:rPr>
          <w:rFonts w:cs="Arial"/>
          <w:i/>
        </w:rPr>
        <w:t>The American Journal of Bioethics</w:t>
      </w:r>
      <w:r>
        <w:t>, 13(8), pp. 29</w:t>
      </w:r>
      <w:r>
        <w:rPr>
          <w:rFonts w:cs="Arial"/>
        </w:rPr>
        <w:t xml:space="preserve">– </w:t>
      </w:r>
      <w:r>
        <w:t>39.</w:t>
      </w:r>
      <w:r>
        <w:rPr>
          <w:rFonts w:ascii="Aptos" w:eastAsia="Aptos" w:hAnsi="Aptos" w:cs="Aptos"/>
          <w:sz w:val="24"/>
        </w:rPr>
        <w:t xml:space="preserve"> </w:t>
      </w:r>
    </w:p>
    <w:p w14:paraId="52B8E0DF" w14:textId="77777777" w:rsidR="00A20D81" w:rsidRDefault="00AE7C83">
      <w:pPr>
        <w:spacing w:after="119"/>
        <w:ind w:left="-5" w:right="3"/>
      </w:pPr>
      <w:r>
        <w:t xml:space="preserve">Health Foundation (2016) </w:t>
      </w:r>
      <w:r>
        <w:rPr>
          <w:rFonts w:cs="Arial"/>
          <w:i/>
        </w:rPr>
        <w:t>Person-Centred Care Made Simple</w:t>
      </w:r>
      <w:r>
        <w:t>. London: The Health Foundation.</w:t>
      </w:r>
      <w:r>
        <w:rPr>
          <w:rFonts w:ascii="Aptos" w:eastAsia="Aptos" w:hAnsi="Aptos" w:cs="Aptos"/>
          <w:sz w:val="24"/>
        </w:rPr>
        <w:t xml:space="preserve"> </w:t>
      </w:r>
    </w:p>
    <w:p w14:paraId="1997A0CF" w14:textId="77777777" w:rsidR="00A20D81" w:rsidRDefault="00AE7C83">
      <w:pPr>
        <w:spacing w:after="119"/>
        <w:ind w:left="-5" w:right="3"/>
      </w:pPr>
      <w:r>
        <w:t xml:space="preserve">Kitwood, T. (1997) </w:t>
      </w:r>
      <w:r>
        <w:rPr>
          <w:rFonts w:cs="Arial"/>
          <w:i/>
        </w:rPr>
        <w:t>Dementia Reconsidered: The Person Comes First</w:t>
      </w:r>
      <w:r>
        <w:t>. Buckingham: Open University Press.</w:t>
      </w:r>
      <w:r>
        <w:rPr>
          <w:rFonts w:ascii="Aptos" w:eastAsia="Aptos" w:hAnsi="Aptos" w:cs="Aptos"/>
          <w:sz w:val="24"/>
        </w:rPr>
        <w:t xml:space="preserve"> </w:t>
      </w:r>
    </w:p>
    <w:p w14:paraId="6900D7D9" w14:textId="77777777" w:rsidR="00A20D81" w:rsidRDefault="00AE7C83">
      <w:pPr>
        <w:spacing w:after="185"/>
        <w:ind w:left="-5" w:right="3"/>
      </w:pPr>
      <w:r>
        <w:t xml:space="preserve">National Institute for Health and Care Excellence (NICE) (2021) </w:t>
      </w:r>
      <w:r>
        <w:rPr>
          <w:rFonts w:cs="Arial"/>
          <w:i/>
        </w:rPr>
        <w:t>Shared Decision Making (NG197)</w:t>
      </w:r>
      <w:r>
        <w:t>. London: NICE.</w:t>
      </w:r>
      <w:r>
        <w:rPr>
          <w:rFonts w:ascii="Aptos" w:eastAsia="Aptos" w:hAnsi="Aptos" w:cs="Aptos"/>
          <w:sz w:val="24"/>
        </w:rPr>
        <w:t xml:space="preserve"> </w:t>
      </w:r>
    </w:p>
    <w:p w14:paraId="606597F1" w14:textId="77777777" w:rsidR="00A20D81" w:rsidRDefault="00AE7C83">
      <w:pPr>
        <w:spacing w:after="310" w:line="259" w:lineRule="auto"/>
        <w:ind w:left="-5" w:right="3"/>
      </w:pPr>
      <w:r>
        <w:t xml:space="preserve">The King's Fund (2022) </w:t>
      </w:r>
      <w:r>
        <w:rPr>
          <w:rFonts w:cs="Arial"/>
          <w:i/>
        </w:rPr>
        <w:t>Integrated Care Systems Explained</w:t>
      </w:r>
      <w:r>
        <w:t>. London: The King's Fund.</w:t>
      </w:r>
      <w:r>
        <w:rPr>
          <w:rFonts w:ascii="Aptos" w:eastAsia="Aptos" w:hAnsi="Aptos" w:cs="Aptos"/>
          <w:sz w:val="24"/>
        </w:rPr>
        <w:t xml:space="preserve"> </w:t>
      </w:r>
    </w:p>
    <w:p w14:paraId="3482D8E9" w14:textId="77777777" w:rsidR="00A20D81" w:rsidRDefault="00AE7C83">
      <w:pPr>
        <w:spacing w:after="309" w:line="259" w:lineRule="auto"/>
        <w:ind w:left="-5" w:right="3"/>
      </w:pPr>
      <w:r>
        <w:t xml:space="preserve">UK Government (1998) </w:t>
      </w:r>
      <w:r>
        <w:rPr>
          <w:rFonts w:cs="Arial"/>
          <w:i/>
        </w:rPr>
        <w:t>Human Rights Act 1998</w:t>
      </w:r>
      <w:r>
        <w:t>. London: The Stationery Office.</w:t>
      </w:r>
      <w:r>
        <w:rPr>
          <w:rFonts w:ascii="Aptos" w:eastAsia="Aptos" w:hAnsi="Aptos" w:cs="Aptos"/>
          <w:sz w:val="24"/>
        </w:rPr>
        <w:t xml:space="preserve"> </w:t>
      </w:r>
    </w:p>
    <w:p w14:paraId="1AC82CC0" w14:textId="77777777" w:rsidR="00A20D81" w:rsidRDefault="00AE7C83">
      <w:pPr>
        <w:spacing w:after="309" w:line="259" w:lineRule="auto"/>
        <w:ind w:left="-5" w:right="3"/>
      </w:pPr>
      <w:r>
        <w:t xml:space="preserve">UK Government (2005) </w:t>
      </w:r>
      <w:r>
        <w:rPr>
          <w:rFonts w:cs="Arial"/>
          <w:i/>
        </w:rPr>
        <w:t>Mental Capacity Act 2005</w:t>
      </w:r>
      <w:r>
        <w:t>. London: The Stationery Office.</w:t>
      </w:r>
      <w:r>
        <w:rPr>
          <w:rFonts w:ascii="Aptos" w:eastAsia="Aptos" w:hAnsi="Aptos" w:cs="Aptos"/>
          <w:sz w:val="24"/>
        </w:rPr>
        <w:t xml:space="preserve"> </w:t>
      </w:r>
    </w:p>
    <w:p w14:paraId="0C698DE1" w14:textId="77777777" w:rsidR="00A20D81" w:rsidRDefault="00AE7C83">
      <w:pPr>
        <w:spacing w:after="310" w:line="259" w:lineRule="auto"/>
        <w:ind w:left="-5" w:right="3"/>
      </w:pPr>
      <w:r>
        <w:t xml:space="preserve">UK Government (2010) </w:t>
      </w:r>
      <w:r>
        <w:rPr>
          <w:rFonts w:cs="Arial"/>
          <w:i/>
        </w:rPr>
        <w:t>Equality Act 2010</w:t>
      </w:r>
      <w:r>
        <w:t>. London: The Stationery Office.</w:t>
      </w:r>
      <w:r>
        <w:rPr>
          <w:rFonts w:ascii="Aptos" w:eastAsia="Aptos" w:hAnsi="Aptos" w:cs="Aptos"/>
          <w:sz w:val="24"/>
        </w:rPr>
        <w:t xml:space="preserve"> </w:t>
      </w:r>
    </w:p>
    <w:p w14:paraId="4874B932" w14:textId="77777777" w:rsidR="00A20D81" w:rsidRDefault="00AE7C83">
      <w:pPr>
        <w:spacing w:after="309" w:line="259" w:lineRule="auto"/>
        <w:ind w:left="-5" w:right="3"/>
      </w:pPr>
      <w:r>
        <w:t xml:space="preserve">UK Government (2014) </w:t>
      </w:r>
      <w:r>
        <w:rPr>
          <w:rFonts w:cs="Arial"/>
          <w:i/>
        </w:rPr>
        <w:t>Care Act 2014</w:t>
      </w:r>
      <w:r>
        <w:t>. London: The Stationery Office.</w:t>
      </w:r>
      <w:r>
        <w:rPr>
          <w:rFonts w:ascii="Aptos" w:eastAsia="Aptos" w:hAnsi="Aptos" w:cs="Aptos"/>
          <w:sz w:val="24"/>
        </w:rPr>
        <w:t xml:space="preserve"> </w:t>
      </w:r>
    </w:p>
    <w:p w14:paraId="40F17F71" w14:textId="77777777" w:rsidR="00A20D81" w:rsidRDefault="00AE7C83">
      <w:pPr>
        <w:spacing w:after="309" w:line="259" w:lineRule="auto"/>
        <w:ind w:left="-5" w:right="3"/>
      </w:pPr>
      <w:r>
        <w:t xml:space="preserve">UK Government (2018) </w:t>
      </w:r>
      <w:r>
        <w:rPr>
          <w:rFonts w:cs="Arial"/>
          <w:i/>
        </w:rPr>
        <w:t>Data Protection Act 2018</w:t>
      </w:r>
      <w:r>
        <w:t>. London: The Stationery Office.</w:t>
      </w:r>
      <w:r>
        <w:rPr>
          <w:rFonts w:ascii="Aptos" w:eastAsia="Aptos" w:hAnsi="Aptos" w:cs="Aptos"/>
          <w:sz w:val="24"/>
        </w:rPr>
        <w:t xml:space="preserve"> </w:t>
      </w:r>
    </w:p>
    <w:p w14:paraId="0BB2E872" w14:textId="77777777" w:rsidR="00A20D81" w:rsidRDefault="00AE7C83">
      <w:pPr>
        <w:spacing w:after="259" w:line="259" w:lineRule="auto"/>
        <w:ind w:left="-5" w:right="3"/>
      </w:pPr>
      <w:r>
        <w:t xml:space="preserve">UK Government (2022) </w:t>
      </w:r>
      <w:r>
        <w:rPr>
          <w:rFonts w:cs="Arial"/>
          <w:i/>
        </w:rPr>
        <w:t>Health and Care Act 2022</w:t>
      </w:r>
      <w:r>
        <w:t>. London: The Stationery Office.</w:t>
      </w:r>
      <w:r>
        <w:rPr>
          <w:rFonts w:ascii="Aptos" w:eastAsia="Aptos" w:hAnsi="Aptos" w:cs="Aptos"/>
          <w:sz w:val="24"/>
        </w:rPr>
        <w:t xml:space="preserve"> </w:t>
      </w:r>
    </w:p>
    <w:p w14:paraId="698C2172" w14:textId="77777777" w:rsidR="00A20D81" w:rsidRDefault="00AE7C83">
      <w:pPr>
        <w:spacing w:after="0" w:line="259" w:lineRule="auto"/>
        <w:ind w:left="0" w:right="0" w:firstLine="0"/>
      </w:pPr>
      <w:r>
        <w:rPr>
          <w:rFonts w:ascii="Aptos" w:eastAsia="Aptos" w:hAnsi="Aptos" w:cs="Aptos"/>
          <w:sz w:val="24"/>
        </w:rPr>
        <w:t xml:space="preserve"> </w:t>
      </w:r>
    </w:p>
    <w:sectPr w:rsidR="00A20D81">
      <w:pgSz w:w="11905" w:h="16840"/>
      <w:pgMar w:top="1489" w:right="1436" w:bottom="1499" w:left="1441"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web"/>
  <w:zoom w:percent="100"/>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D81"/>
    <w:rsid w:val="00A20D81"/>
    <w:rsid w:val="00AE7C83"/>
    <w:rsid w:val="00D843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F97D0A5"/>
  <w15:docId w15:val="{C4E1BF7A-5799-274D-97D2-61D4F992B5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57" w:line="362" w:lineRule="auto"/>
      <w:ind w:left="10" w:right="4" w:hanging="10"/>
    </w:pPr>
    <w:rPr>
      <w:rFonts w:ascii="Arial" w:eastAsia="Arial" w:hAnsi="Arial" w:cs="Times New Roman"/>
      <w:color w:val="000000"/>
      <w:sz w:val="22"/>
      <w:lang w:val="en" w:eastAsia="en"/>
    </w:rPr>
  </w:style>
  <w:style w:type="paragraph" w:styleId="Heading1">
    <w:name w:val="heading 1"/>
    <w:next w:val="Normal"/>
    <w:link w:val="Heading1Char"/>
    <w:uiPriority w:val="9"/>
    <w:qFormat/>
    <w:pPr>
      <w:keepNext/>
      <w:keepLines/>
      <w:spacing w:after="264" w:line="259" w:lineRule="auto"/>
      <w:ind w:left="10" w:hanging="10"/>
      <w:outlineLvl w:val="0"/>
    </w:pPr>
    <w:rPr>
      <w:rFonts w:ascii="Arial" w:eastAsia="Arial" w:hAnsi="Arial" w:cs="Arial"/>
      <w:b/>
      <w:color w:val="000000"/>
      <w:sz w:val="22"/>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000000"/>
      <w:sz w:val="22"/>
      <w:u w:val="single"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2813</Words>
  <Characters>16037</Characters>
  <Application>Microsoft Office Word</Application>
  <DocSecurity>0</DocSecurity>
  <Lines>133</Lines>
  <Paragraphs>37</Paragraphs>
  <ScaleCrop>false</ScaleCrop>
  <Company/>
  <LinksUpToDate>false</LinksUpToDate>
  <CharactersWithSpaces>18813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Arzu Mustafa</dc:creator>
  <cp:keywords/>
  <cp:lastModifiedBy>Rifat Rashid</cp:lastModifiedBy>
  <cp:revision>2</cp:revision>
  <dcterms:created xsi:type="dcterms:W3CDTF">2026-08-02T03:08:00Z</dcterms:created>
  <dcterms:modified xsi:type="dcterms:W3CDTF">2026-08-02T03:08:00Z</dcterms:modified>
</cp:coreProperties>
</file>