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7582DAC8" w14:textId="381015E1" w:rsidR="00EF79E8" w:rsidRDefault="00EF79E8"/>
    <w:p w14:paraId="5C242FE1" w14:textId="734DAE17" w:rsidR="00EF79E8" w:rsidRDefault="00EF79E8"/>
    <w:p w14:paraId="574F3B2A" w14:textId="77777777" w:rsidR="00EF79E8" w:rsidRDefault="00EF79E8" w:rsidP="00EF79E8">
      <w:pPr>
        <w:jc w:val="center"/>
        <w:rPr>
          <w:u w:val="single"/>
        </w:rPr>
      </w:pPr>
      <w:r w:rsidRPr="00C81BF2">
        <w:rPr>
          <w:u w:val="single"/>
        </w:rPr>
        <w:t>Portfolio of Study Skills</w:t>
      </w:r>
    </w:p>
    <w:p w14:paraId="159D8DF5" w14:textId="77777777" w:rsidR="00EF79E8" w:rsidRDefault="00EF79E8" w:rsidP="00EF79E8">
      <w:pPr>
        <w:rPr>
          <w:u w:val="single"/>
        </w:rPr>
      </w:pPr>
      <w:r>
        <w:rPr>
          <w:u w:val="single"/>
        </w:rPr>
        <w:t>Part 1</w:t>
      </w:r>
    </w:p>
    <w:p w14:paraId="585B9F5C" w14:textId="77777777" w:rsidR="00EF79E8" w:rsidRDefault="00EF79E8" w:rsidP="00EF79E8">
      <w:pPr>
        <w:spacing w:line="360" w:lineRule="auto"/>
      </w:pPr>
    </w:p>
    <w:p w14:paraId="4DFD5E78" w14:textId="77777777" w:rsidR="00EF79E8" w:rsidRDefault="00EF79E8" w:rsidP="00EF79E8">
      <w:pPr>
        <w:spacing w:line="360" w:lineRule="auto"/>
      </w:pPr>
      <w:r>
        <w:t>In Iceland and other Scandinavian countries, it is believed that it is important that children play outdoors. In a recent study in Icelandic government policies, it is stated that playing outdoors is advantageous to a child’s wellbeing. School curriculum guidelines put an emphasis on outdoor learning to be beneficial for children to focus on a healthy lifestyle and be educated on the natural world (</w:t>
      </w:r>
      <w:proofErr w:type="spellStart"/>
      <w:r>
        <w:t>Norodahl</w:t>
      </w:r>
      <w:proofErr w:type="spellEnd"/>
      <w:r>
        <w:t xml:space="preserve"> and </w:t>
      </w:r>
      <w:proofErr w:type="spellStart"/>
      <w:r>
        <w:t>Johannesson</w:t>
      </w:r>
      <w:proofErr w:type="spellEnd"/>
      <w:r>
        <w:t xml:space="preserve"> 2013).</w:t>
      </w:r>
    </w:p>
    <w:p w14:paraId="0C1DF777" w14:textId="654CD7AF" w:rsidR="00EF79E8" w:rsidRDefault="00EF79E8" w:rsidP="00EF79E8">
      <w:pPr>
        <w:spacing w:line="360" w:lineRule="auto"/>
      </w:pPr>
      <w:r>
        <w:t xml:space="preserve">The importance on outdoor learning is long standing in Icelandic traditions for children aged between one and six years old, they play outdoors every day. However, children aged between six and sixteen are limited to outdoor play at beak times. We do not know what resources are implemented by teachers during their outside learning lessons, although it is possible that this may differ depending on the school and the teacher. Nonetheless, in Iceland it is indicated that schools and teachers are adopting the outdoor learning environment in schools more now than previously. In </w:t>
      </w:r>
      <w:proofErr w:type="spellStart"/>
      <w:r>
        <w:t>Rejkjavik</w:t>
      </w:r>
      <w:proofErr w:type="spellEnd"/>
      <w:r>
        <w:t>, the capital of Iceland, 70% of schools declare that they utilise outdoor space for education regularly (</w:t>
      </w:r>
      <w:proofErr w:type="spellStart"/>
      <w:r>
        <w:t>Oladottir</w:t>
      </w:r>
      <w:proofErr w:type="spellEnd"/>
      <w:r>
        <w:t xml:space="preserve"> 2008).</w:t>
      </w:r>
    </w:p>
    <w:p w14:paraId="74AB49D9" w14:textId="77777777" w:rsidR="00EF79E8" w:rsidRDefault="00EF79E8" w:rsidP="00EF79E8"/>
    <w:p w14:paraId="6A3CFDD2" w14:textId="77777777" w:rsidR="00EF79E8" w:rsidRPr="00CE1BE8" w:rsidRDefault="00EF79E8" w:rsidP="00EF79E8">
      <w:pPr>
        <w:spacing w:after="100" w:afterAutospacing="1" w:line="240" w:lineRule="auto"/>
        <w:outlineLvl w:val="1"/>
        <w:rPr>
          <w:rFonts w:ascii="Times New Roman" w:eastAsia="Times New Roman" w:hAnsi="Times New Roman" w:cs="Times New Roman"/>
          <w:color w:val="000000"/>
          <w:sz w:val="36"/>
          <w:szCs w:val="36"/>
        </w:rPr>
      </w:pPr>
      <w:r w:rsidRPr="00CE1BE8">
        <w:rPr>
          <w:rFonts w:ascii="Times New Roman" w:eastAsia="Times New Roman" w:hAnsi="Times New Roman" w:cs="Times New Roman"/>
          <w:color w:val="000000"/>
          <w:sz w:val="36"/>
          <w:szCs w:val="36"/>
        </w:rPr>
        <w:t>References</w:t>
      </w:r>
    </w:p>
    <w:p w14:paraId="40E24206" w14:textId="77777777" w:rsidR="00EF79E8" w:rsidRPr="00CE1BE8" w:rsidRDefault="00EF79E8" w:rsidP="00EF79E8">
      <w:pPr>
        <w:spacing w:after="180" w:line="240" w:lineRule="auto"/>
        <w:ind w:left="450" w:hanging="450"/>
        <w:rPr>
          <w:rFonts w:ascii="Times New Roman" w:eastAsia="Times New Roman" w:hAnsi="Times New Roman" w:cs="Times New Roman"/>
          <w:color w:val="000000"/>
          <w:sz w:val="27"/>
          <w:szCs w:val="27"/>
        </w:rPr>
      </w:pPr>
      <w:proofErr w:type="spellStart"/>
      <w:r>
        <w:rPr>
          <w:rFonts w:ascii="Times New Roman" w:eastAsia="Times New Roman" w:hAnsi="Times New Roman" w:cs="Times New Roman"/>
          <w:color w:val="000000"/>
          <w:sz w:val="27"/>
          <w:szCs w:val="27"/>
        </w:rPr>
        <w:t>Noradahl</w:t>
      </w:r>
      <w:proofErr w:type="spellEnd"/>
      <w:r>
        <w:rPr>
          <w:rFonts w:ascii="Times New Roman" w:eastAsia="Times New Roman" w:hAnsi="Times New Roman" w:cs="Times New Roman"/>
          <w:color w:val="000000"/>
          <w:sz w:val="27"/>
          <w:szCs w:val="27"/>
        </w:rPr>
        <w:t xml:space="preserve"> and </w:t>
      </w:r>
      <w:proofErr w:type="spellStart"/>
      <w:r>
        <w:rPr>
          <w:rFonts w:ascii="Times New Roman" w:eastAsia="Times New Roman" w:hAnsi="Times New Roman" w:cs="Times New Roman"/>
          <w:color w:val="000000"/>
          <w:sz w:val="27"/>
          <w:szCs w:val="27"/>
        </w:rPr>
        <w:t>J</w:t>
      </w:r>
      <w:r w:rsidRPr="00CE1BE8">
        <w:rPr>
          <w:rFonts w:ascii="Times New Roman" w:eastAsia="Times New Roman" w:hAnsi="Times New Roman" w:cs="Times New Roman"/>
          <w:color w:val="000000"/>
          <w:sz w:val="27"/>
          <w:szCs w:val="27"/>
        </w:rPr>
        <w:t>ohannesson</w:t>
      </w:r>
      <w:proofErr w:type="spellEnd"/>
      <w:r w:rsidRPr="00CE1BE8">
        <w:rPr>
          <w:rFonts w:ascii="Times New Roman" w:eastAsia="Times New Roman" w:hAnsi="Times New Roman" w:cs="Times New Roman"/>
          <w:color w:val="000000"/>
          <w:sz w:val="27"/>
          <w:szCs w:val="27"/>
        </w:rPr>
        <w:t xml:space="preserve"> (2014). </w:t>
      </w:r>
      <w:r w:rsidRPr="00CE1BE8">
        <w:rPr>
          <w:rFonts w:ascii="Times New Roman" w:eastAsia="Times New Roman" w:hAnsi="Times New Roman" w:cs="Times New Roman"/>
          <w:i/>
          <w:iCs/>
          <w:color w:val="000000"/>
          <w:sz w:val="27"/>
          <w:szCs w:val="27"/>
        </w:rPr>
        <w:t>International Journal of Primary, Elementary and Early Years Education</w:t>
      </w:r>
      <w:r w:rsidRPr="00CE1BE8">
        <w:rPr>
          <w:rFonts w:ascii="Times New Roman" w:eastAsia="Times New Roman" w:hAnsi="Times New Roman" w:cs="Times New Roman"/>
          <w:color w:val="000000"/>
          <w:sz w:val="27"/>
          <w:szCs w:val="27"/>
        </w:rPr>
        <w:t>, 44, pp.391-406.</w:t>
      </w:r>
    </w:p>
    <w:p w14:paraId="430BA6C3" w14:textId="77777777" w:rsidR="00EF79E8" w:rsidRPr="00CE1BE8" w:rsidRDefault="00EF79E8" w:rsidP="00EF79E8">
      <w:pPr>
        <w:spacing w:after="180" w:line="240" w:lineRule="auto"/>
        <w:ind w:left="450" w:hanging="450"/>
        <w:rPr>
          <w:rFonts w:ascii="Times New Roman" w:eastAsia="Times New Roman" w:hAnsi="Times New Roman" w:cs="Times New Roman"/>
          <w:color w:val="000000"/>
          <w:sz w:val="27"/>
          <w:szCs w:val="27"/>
        </w:rPr>
      </w:pPr>
      <w:proofErr w:type="spellStart"/>
      <w:r>
        <w:rPr>
          <w:rFonts w:ascii="Times New Roman" w:eastAsia="Times New Roman" w:hAnsi="Times New Roman" w:cs="Times New Roman"/>
          <w:color w:val="000000"/>
          <w:sz w:val="27"/>
          <w:szCs w:val="27"/>
        </w:rPr>
        <w:t>O</w:t>
      </w:r>
      <w:r w:rsidRPr="00CE1BE8">
        <w:rPr>
          <w:rFonts w:ascii="Times New Roman" w:eastAsia="Times New Roman" w:hAnsi="Times New Roman" w:cs="Times New Roman"/>
          <w:color w:val="000000"/>
          <w:sz w:val="27"/>
          <w:szCs w:val="27"/>
        </w:rPr>
        <w:t>ladottir</w:t>
      </w:r>
      <w:proofErr w:type="spellEnd"/>
      <w:r w:rsidRPr="00CE1BE8">
        <w:rPr>
          <w:rFonts w:ascii="Times New Roman" w:eastAsia="Times New Roman" w:hAnsi="Times New Roman" w:cs="Times New Roman"/>
          <w:color w:val="000000"/>
          <w:sz w:val="27"/>
          <w:szCs w:val="27"/>
        </w:rPr>
        <w:t xml:space="preserve"> (2008). </w:t>
      </w:r>
      <w:r w:rsidRPr="00CE1BE8">
        <w:rPr>
          <w:rFonts w:ascii="Times New Roman" w:eastAsia="Times New Roman" w:hAnsi="Times New Roman" w:cs="Times New Roman"/>
          <w:i/>
          <w:iCs/>
          <w:color w:val="000000"/>
          <w:sz w:val="27"/>
          <w:szCs w:val="27"/>
        </w:rPr>
        <w:t>International Journal of Primary, Elementary and Early Years Education</w:t>
      </w:r>
      <w:r w:rsidRPr="00CE1BE8">
        <w:rPr>
          <w:rFonts w:ascii="Times New Roman" w:eastAsia="Times New Roman" w:hAnsi="Times New Roman" w:cs="Times New Roman"/>
          <w:color w:val="000000"/>
          <w:sz w:val="27"/>
          <w:szCs w:val="27"/>
        </w:rPr>
        <w:t>, 44, pp.391-406.</w:t>
      </w:r>
    </w:p>
    <w:p w14:paraId="310964BA" w14:textId="77777777" w:rsidR="00EF79E8" w:rsidRDefault="00EF79E8" w:rsidP="00EF79E8">
      <w:pPr>
        <w:rPr>
          <w:u w:val="single"/>
        </w:rPr>
      </w:pPr>
    </w:p>
    <w:p w14:paraId="5069FDE6" w14:textId="77777777" w:rsidR="00EF79E8" w:rsidRDefault="00EF79E8" w:rsidP="00EF79E8">
      <w:pPr>
        <w:rPr>
          <w:u w:val="single"/>
        </w:rPr>
      </w:pPr>
    </w:p>
    <w:p w14:paraId="0D3E4197" w14:textId="77777777" w:rsidR="00EF79E8" w:rsidRDefault="00EF79E8" w:rsidP="00EF79E8">
      <w:pPr>
        <w:rPr>
          <w:u w:val="single"/>
        </w:rPr>
      </w:pPr>
    </w:p>
    <w:p w14:paraId="2866F9F3" w14:textId="77777777" w:rsidR="00EF79E8" w:rsidRDefault="00EF79E8" w:rsidP="00EF79E8">
      <w:pPr>
        <w:rPr>
          <w:u w:val="single"/>
        </w:rPr>
      </w:pPr>
    </w:p>
    <w:p w14:paraId="118FACAE" w14:textId="77777777" w:rsidR="00EF79E8" w:rsidRDefault="00EF79E8" w:rsidP="00EF79E8">
      <w:pPr>
        <w:rPr>
          <w:u w:val="single"/>
        </w:rPr>
      </w:pPr>
    </w:p>
    <w:p w14:paraId="4FE05B0A" w14:textId="77777777" w:rsidR="00EF79E8" w:rsidRDefault="00EF79E8" w:rsidP="00EF79E8">
      <w:pPr>
        <w:rPr>
          <w:u w:val="single"/>
        </w:rPr>
      </w:pPr>
    </w:p>
    <w:p w14:paraId="6D116193" w14:textId="77777777" w:rsidR="00EF79E8" w:rsidRDefault="00EF79E8" w:rsidP="00EF79E8">
      <w:pPr>
        <w:rPr>
          <w:u w:val="single"/>
        </w:rPr>
      </w:pPr>
    </w:p>
    <w:p w14:paraId="4ED94787" w14:textId="77777777" w:rsidR="00EF79E8" w:rsidRDefault="00EF79E8" w:rsidP="00EF79E8">
      <w:pPr>
        <w:rPr>
          <w:u w:val="single"/>
        </w:rPr>
      </w:pPr>
    </w:p>
    <w:p w14:paraId="0099DB17" w14:textId="77777777" w:rsidR="00EF79E8" w:rsidRDefault="00EF79E8" w:rsidP="00EF79E8">
      <w:pPr>
        <w:rPr>
          <w:u w:val="single"/>
        </w:rPr>
      </w:pPr>
      <w:r w:rsidRPr="00D91773">
        <w:rPr>
          <w:u w:val="single"/>
        </w:rPr>
        <w:t>Part 2</w:t>
      </w:r>
    </w:p>
    <w:p w14:paraId="2976BB0D" w14:textId="77777777" w:rsidR="00EF79E8" w:rsidRDefault="00EF79E8" w:rsidP="00EF79E8">
      <w:r>
        <w:t>According to Murray and O’Brien (2006), the Forest School Network</w:t>
      </w:r>
    </w:p>
    <w:p w14:paraId="4AF2B651" w14:textId="77777777" w:rsidR="00EF79E8" w:rsidRDefault="00EF79E8" w:rsidP="00EF79E8">
      <w:pPr>
        <w:spacing w:line="240" w:lineRule="auto"/>
        <w:ind w:left="567" w:right="567"/>
        <w:jc w:val="center"/>
      </w:pPr>
      <w:r>
        <w:t xml:space="preserve">Is an inspirational process that offers children, young people and adults, regular opportunities to achieve and develop confidence and </w:t>
      </w:r>
      <w:proofErr w:type="spellStart"/>
      <w:r>
        <w:t>self esteem</w:t>
      </w:r>
      <w:proofErr w:type="spellEnd"/>
      <w:r>
        <w:t xml:space="preserve"> through hands-on learning in a woodland </w:t>
      </w:r>
      <w:proofErr w:type="gramStart"/>
      <w:r>
        <w:t>environment.</w:t>
      </w:r>
      <w:proofErr w:type="gramEnd"/>
    </w:p>
    <w:p w14:paraId="5C49298A" w14:textId="77777777" w:rsidR="00EF79E8" w:rsidRDefault="00EF79E8" w:rsidP="00EF79E8">
      <w:pPr>
        <w:spacing w:line="360" w:lineRule="auto"/>
      </w:pPr>
      <w:r>
        <w:t>There is concern that children do not get the opportunity to spend time outdoors in woodlands or ‘green’ settings, unlike their parents did.  “Contact with the outdoors is often limited for many children in modern society” (Murray and O’Brien 2006).</w:t>
      </w:r>
    </w:p>
    <w:p w14:paraId="7DCB68B3" w14:textId="77777777" w:rsidR="00EF79E8" w:rsidRDefault="00EF79E8" w:rsidP="00EF79E8">
      <w:pPr>
        <w:spacing w:line="240" w:lineRule="auto"/>
      </w:pPr>
      <w:r>
        <w:t>Evidently, if you do not spend quality time outdoors as a child, you are less likely to as an adult.</w:t>
      </w:r>
    </w:p>
    <w:p w14:paraId="7F7C857F" w14:textId="1772337C" w:rsidR="00EF79E8" w:rsidRDefault="00EF79E8" w:rsidP="00EF79E8">
      <w:pPr>
        <w:spacing w:line="360" w:lineRule="auto"/>
      </w:pPr>
      <w:r>
        <w:t xml:space="preserve">“The frequency of childhood visits to woodlands is the single most important predictor of how often people visit woodlands as </w:t>
      </w:r>
      <w:proofErr w:type="gramStart"/>
      <w:r>
        <w:t>adults”(</w:t>
      </w:r>
      <w:proofErr w:type="gramEnd"/>
      <w:r>
        <w:t>Ward Thompson .C.</w:t>
      </w:r>
      <w:r>
        <w:t xml:space="preserve"> </w:t>
      </w:r>
      <w:r w:rsidRPr="00EF79E8">
        <w:rPr>
          <w:i/>
        </w:rPr>
        <w:t>et al</w:t>
      </w:r>
      <w:r>
        <w:t xml:space="preserve"> 2004).</w:t>
      </w:r>
    </w:p>
    <w:p w14:paraId="671A5DAF" w14:textId="77777777" w:rsidR="00EF79E8" w:rsidRDefault="00EF79E8" w:rsidP="00EF79E8">
      <w:pPr>
        <w:spacing w:line="360" w:lineRule="auto"/>
      </w:pPr>
      <w:r>
        <w:t>In the “Outdoor Learning Handbook” (2009) the Welsh Assembly Government encourages teachers “to make the most of using the outdoor environment for effective learning”.</w:t>
      </w:r>
    </w:p>
    <w:p w14:paraId="7988E8D9" w14:textId="77777777" w:rsidR="00EF79E8" w:rsidRDefault="00EF79E8" w:rsidP="00EF79E8">
      <w:pPr>
        <w:spacing w:line="240" w:lineRule="auto"/>
      </w:pPr>
    </w:p>
    <w:p w14:paraId="1459CAB7" w14:textId="77777777" w:rsidR="00EF79E8" w:rsidRPr="00B010D4" w:rsidRDefault="00EF79E8" w:rsidP="00EF79E8">
      <w:pPr>
        <w:pStyle w:val="Heading2"/>
        <w:spacing w:before="0" w:beforeAutospacing="0"/>
        <w:rPr>
          <w:b w:val="0"/>
          <w:bCs w:val="0"/>
          <w:color w:val="000000"/>
        </w:rPr>
      </w:pPr>
      <w:r>
        <w:t xml:space="preserve"> </w:t>
      </w:r>
      <w:r w:rsidRPr="00B010D4">
        <w:rPr>
          <w:b w:val="0"/>
          <w:bCs w:val="0"/>
          <w:color w:val="000000"/>
        </w:rPr>
        <w:t>References</w:t>
      </w:r>
    </w:p>
    <w:p w14:paraId="53C287F3" w14:textId="77777777" w:rsidR="00EF79E8" w:rsidRPr="00B010D4" w:rsidRDefault="00EF79E8" w:rsidP="00EF79E8">
      <w:pPr>
        <w:spacing w:after="163" w:line="240" w:lineRule="auto"/>
        <w:ind w:left="408" w:hanging="408"/>
        <w:rPr>
          <w:rFonts w:ascii="Times New Roman" w:eastAsia="Times New Roman" w:hAnsi="Times New Roman" w:cs="Times New Roman"/>
          <w:color w:val="000000"/>
          <w:sz w:val="27"/>
          <w:szCs w:val="27"/>
        </w:rPr>
      </w:pPr>
      <w:r w:rsidRPr="00B010D4">
        <w:rPr>
          <w:rFonts w:ascii="Times New Roman" w:eastAsia="Times New Roman" w:hAnsi="Times New Roman" w:cs="Times New Roman"/>
          <w:color w:val="000000"/>
          <w:sz w:val="27"/>
          <w:szCs w:val="27"/>
        </w:rPr>
        <w:t>Murray and O'Brien (2006). </w:t>
      </w:r>
      <w:r w:rsidRPr="00B010D4">
        <w:rPr>
          <w:rFonts w:ascii="Times New Roman" w:eastAsia="Times New Roman" w:hAnsi="Times New Roman" w:cs="Times New Roman"/>
          <w:i/>
          <w:iCs/>
          <w:color w:val="000000"/>
          <w:sz w:val="27"/>
          <w:szCs w:val="27"/>
        </w:rPr>
        <w:t>A marvellous opportunity for children to learn</w:t>
      </w:r>
      <w:r w:rsidRPr="00B010D4">
        <w:rPr>
          <w:rFonts w:ascii="Times New Roman" w:eastAsia="Times New Roman" w:hAnsi="Times New Roman" w:cs="Times New Roman"/>
          <w:color w:val="000000"/>
          <w:sz w:val="27"/>
          <w:szCs w:val="27"/>
        </w:rPr>
        <w:t>.</w:t>
      </w:r>
    </w:p>
    <w:p w14:paraId="68E65B54" w14:textId="4C82DB75" w:rsidR="00EF79E8" w:rsidRPr="00B010D4" w:rsidRDefault="00EF79E8" w:rsidP="00EF79E8">
      <w:pPr>
        <w:spacing w:after="163" w:line="240" w:lineRule="auto"/>
        <w:ind w:left="408" w:hanging="408"/>
        <w:rPr>
          <w:rFonts w:ascii="Times New Roman" w:eastAsia="Times New Roman" w:hAnsi="Times New Roman" w:cs="Times New Roman"/>
          <w:color w:val="000000"/>
          <w:sz w:val="27"/>
          <w:szCs w:val="27"/>
        </w:rPr>
      </w:pPr>
      <w:r w:rsidRPr="00B010D4">
        <w:rPr>
          <w:rFonts w:ascii="Times New Roman" w:eastAsia="Times New Roman" w:hAnsi="Times New Roman" w:cs="Times New Roman"/>
          <w:color w:val="000000"/>
          <w:sz w:val="27"/>
          <w:szCs w:val="27"/>
        </w:rPr>
        <w:t>Ward Thompson</w:t>
      </w:r>
      <w:r w:rsidRPr="00EF79E8">
        <w:rPr>
          <w:rFonts w:ascii="Times New Roman" w:eastAsia="Times New Roman" w:hAnsi="Times New Roman" w:cs="Times New Roman"/>
          <w:i/>
          <w:color w:val="000000"/>
          <w:sz w:val="27"/>
          <w:szCs w:val="27"/>
        </w:rPr>
        <w:t xml:space="preserve">, </w:t>
      </w:r>
      <w:r w:rsidRPr="00EF79E8">
        <w:rPr>
          <w:rFonts w:ascii="Times New Roman" w:eastAsia="Times New Roman" w:hAnsi="Times New Roman" w:cs="Times New Roman"/>
          <w:i/>
          <w:color w:val="000000"/>
          <w:sz w:val="27"/>
          <w:szCs w:val="27"/>
        </w:rPr>
        <w:t>et al</w:t>
      </w:r>
      <w:r w:rsidRPr="00B010D4">
        <w:rPr>
          <w:rFonts w:ascii="Times New Roman" w:eastAsia="Times New Roman" w:hAnsi="Times New Roman" w:cs="Times New Roman"/>
          <w:color w:val="000000"/>
          <w:sz w:val="27"/>
          <w:szCs w:val="27"/>
        </w:rPr>
        <w:t xml:space="preserve"> (2004). </w:t>
      </w:r>
      <w:r w:rsidRPr="00B010D4">
        <w:rPr>
          <w:rFonts w:ascii="Times New Roman" w:eastAsia="Times New Roman" w:hAnsi="Times New Roman" w:cs="Times New Roman"/>
          <w:i/>
          <w:iCs/>
          <w:color w:val="000000"/>
          <w:sz w:val="27"/>
          <w:szCs w:val="27"/>
        </w:rPr>
        <w:t>Open Space and Social Inclusion</w:t>
      </w:r>
      <w:r w:rsidRPr="00B010D4">
        <w:rPr>
          <w:rFonts w:ascii="Times New Roman" w:eastAsia="Times New Roman" w:hAnsi="Times New Roman" w:cs="Times New Roman"/>
          <w:color w:val="000000"/>
          <w:sz w:val="27"/>
          <w:szCs w:val="27"/>
        </w:rPr>
        <w:t>.</w:t>
      </w:r>
    </w:p>
    <w:p w14:paraId="684A8E7D" w14:textId="77777777" w:rsidR="00EF79E8" w:rsidRDefault="00EF79E8" w:rsidP="00EF79E8">
      <w:pPr>
        <w:spacing w:after="163" w:line="240" w:lineRule="auto"/>
        <w:ind w:left="408" w:hanging="408"/>
        <w:rPr>
          <w:rFonts w:ascii="Times New Roman" w:eastAsia="Times New Roman" w:hAnsi="Times New Roman" w:cs="Times New Roman"/>
          <w:color w:val="000000"/>
          <w:sz w:val="27"/>
          <w:szCs w:val="27"/>
        </w:rPr>
      </w:pPr>
      <w:r w:rsidRPr="00B010D4">
        <w:rPr>
          <w:rFonts w:ascii="Times New Roman" w:eastAsia="Times New Roman" w:hAnsi="Times New Roman" w:cs="Times New Roman"/>
          <w:color w:val="000000"/>
          <w:sz w:val="27"/>
          <w:szCs w:val="27"/>
        </w:rPr>
        <w:t>Welsh Assembly Government (2009). </w:t>
      </w:r>
      <w:r w:rsidRPr="00B010D4">
        <w:rPr>
          <w:rFonts w:ascii="Times New Roman" w:eastAsia="Times New Roman" w:hAnsi="Times New Roman" w:cs="Times New Roman"/>
          <w:i/>
          <w:iCs/>
          <w:color w:val="000000"/>
          <w:sz w:val="27"/>
          <w:szCs w:val="27"/>
        </w:rPr>
        <w:t>Outdoor Learning Handbook</w:t>
      </w:r>
      <w:r w:rsidRPr="00B010D4">
        <w:rPr>
          <w:rFonts w:ascii="Times New Roman" w:eastAsia="Times New Roman" w:hAnsi="Times New Roman" w:cs="Times New Roman"/>
          <w:color w:val="000000"/>
          <w:sz w:val="27"/>
          <w:szCs w:val="27"/>
        </w:rPr>
        <w:t>. Cardiff.</w:t>
      </w:r>
    </w:p>
    <w:p w14:paraId="76ED739A" w14:textId="77777777" w:rsidR="00EF79E8" w:rsidRDefault="00EF79E8" w:rsidP="00EF79E8">
      <w:pPr>
        <w:rPr>
          <w:u w:val="single"/>
        </w:rPr>
      </w:pPr>
    </w:p>
    <w:p w14:paraId="4B822950" w14:textId="77777777" w:rsidR="00EF79E8" w:rsidRDefault="00EF79E8" w:rsidP="00EF79E8">
      <w:pPr>
        <w:rPr>
          <w:u w:val="single"/>
        </w:rPr>
      </w:pPr>
    </w:p>
    <w:p w14:paraId="1BE0798C" w14:textId="77777777" w:rsidR="00EF79E8" w:rsidRDefault="00EF79E8" w:rsidP="00EF79E8">
      <w:pPr>
        <w:rPr>
          <w:u w:val="single"/>
        </w:rPr>
      </w:pPr>
    </w:p>
    <w:p w14:paraId="5E559705" w14:textId="77777777" w:rsidR="00EF79E8" w:rsidRDefault="00EF79E8" w:rsidP="00EF79E8">
      <w:pPr>
        <w:rPr>
          <w:u w:val="single"/>
        </w:rPr>
      </w:pPr>
    </w:p>
    <w:p w14:paraId="5EC8BF36" w14:textId="77777777" w:rsidR="00EF79E8" w:rsidRDefault="00EF79E8" w:rsidP="00EF79E8">
      <w:pPr>
        <w:rPr>
          <w:u w:val="single"/>
        </w:rPr>
      </w:pPr>
    </w:p>
    <w:p w14:paraId="2FA2385B" w14:textId="77777777" w:rsidR="00EF79E8" w:rsidRDefault="00EF79E8" w:rsidP="00EF79E8">
      <w:pPr>
        <w:rPr>
          <w:u w:val="single"/>
        </w:rPr>
      </w:pPr>
    </w:p>
    <w:p w14:paraId="54CF6302" w14:textId="77777777" w:rsidR="00EF79E8" w:rsidRDefault="00EF79E8" w:rsidP="00EF79E8">
      <w:pPr>
        <w:rPr>
          <w:u w:val="single"/>
        </w:rPr>
      </w:pPr>
    </w:p>
    <w:p w14:paraId="755EB3FB" w14:textId="77777777" w:rsidR="00EF79E8" w:rsidRDefault="00EF79E8" w:rsidP="00EF79E8">
      <w:pPr>
        <w:rPr>
          <w:u w:val="single"/>
        </w:rPr>
      </w:pPr>
    </w:p>
    <w:p w14:paraId="1A20EBD3" w14:textId="77777777" w:rsidR="00EF79E8" w:rsidRDefault="00EF79E8" w:rsidP="00EF79E8">
      <w:pPr>
        <w:rPr>
          <w:u w:val="single"/>
        </w:rPr>
      </w:pPr>
    </w:p>
    <w:p w14:paraId="356FA7FF" w14:textId="77777777" w:rsidR="00EF79E8" w:rsidRDefault="00EF79E8" w:rsidP="00EF79E8">
      <w:pPr>
        <w:rPr>
          <w:u w:val="single"/>
        </w:rPr>
      </w:pPr>
    </w:p>
    <w:p w14:paraId="0E3E8A90" w14:textId="77777777" w:rsidR="00EF79E8" w:rsidRDefault="00EF79E8" w:rsidP="00EF79E8">
      <w:pPr>
        <w:rPr>
          <w:u w:val="single"/>
        </w:rPr>
      </w:pPr>
    </w:p>
    <w:p w14:paraId="5E3F1AE4" w14:textId="77777777" w:rsidR="00EF79E8" w:rsidRDefault="00EF79E8" w:rsidP="00EF79E8">
      <w:pPr>
        <w:rPr>
          <w:u w:val="single"/>
        </w:rPr>
      </w:pPr>
    </w:p>
    <w:p w14:paraId="4BDB559E" w14:textId="10566A77" w:rsidR="00EF79E8" w:rsidRDefault="00EF79E8" w:rsidP="00EF79E8">
      <w:pPr>
        <w:rPr>
          <w:u w:val="single"/>
        </w:rPr>
      </w:pPr>
      <w:bookmarkStart w:id="0" w:name="_GoBack"/>
      <w:bookmarkEnd w:id="0"/>
      <w:r w:rsidRPr="00394189">
        <w:rPr>
          <w:u w:val="single"/>
        </w:rPr>
        <w:lastRenderedPageBreak/>
        <w:t>Part 2b</w:t>
      </w:r>
    </w:p>
    <w:p w14:paraId="38707E0B" w14:textId="77777777" w:rsidR="00EF79E8" w:rsidRDefault="00EF79E8" w:rsidP="00EF79E8">
      <w:pPr>
        <w:spacing w:line="360" w:lineRule="auto"/>
      </w:pPr>
      <w:r>
        <w:t>It is important to avoid plagiarism in academic writing by acknowledging the source of your information. Not doing so could result in disciplinary action.</w:t>
      </w:r>
    </w:p>
    <w:p w14:paraId="4EA03833" w14:textId="0C8998A7" w:rsidR="00EF79E8" w:rsidRDefault="00EF79E8" w:rsidP="00EF79E8">
      <w:pPr>
        <w:spacing w:line="360" w:lineRule="auto"/>
      </w:pPr>
      <w:r>
        <w:t>When using a direct quote</w:t>
      </w:r>
      <w:r>
        <w:t>,</w:t>
      </w:r>
      <w:r>
        <w:t xml:space="preserve"> it is necessary to reference to avoid plagiarism. You may paraphrase a quote and not have to reference it because you have used your own words.</w:t>
      </w:r>
    </w:p>
    <w:p w14:paraId="7398CBF3" w14:textId="2BDD7815" w:rsidR="00EF79E8" w:rsidRDefault="00EF79E8" w:rsidP="00EF79E8">
      <w:pPr>
        <w:spacing w:line="360" w:lineRule="auto"/>
      </w:pPr>
      <w:r>
        <w:t xml:space="preserve">I believe Wikipedia may be a useful source of information, although you must </w:t>
      </w:r>
      <w:r>
        <w:t>take into consideration</w:t>
      </w:r>
      <w:r>
        <w:t xml:space="preserve"> that not all the information is </w:t>
      </w:r>
      <w:proofErr w:type="gramStart"/>
      <w:r>
        <w:t>accurate</w:t>
      </w:r>
      <w:proofErr w:type="gramEnd"/>
      <w:r>
        <w:t xml:space="preserve"> and you may need to back up the source with evidence.</w:t>
      </w:r>
    </w:p>
    <w:p w14:paraId="47D517CC" w14:textId="4BE6F087" w:rsidR="00EF79E8" w:rsidRDefault="00EF79E8" w:rsidP="00EF79E8">
      <w:r>
        <w:t xml:space="preserve">When presenting a long </w:t>
      </w:r>
      <w:proofErr w:type="gramStart"/>
      <w:r>
        <w:t>quotation</w:t>
      </w:r>
      <w:proofErr w:type="gramEnd"/>
      <w:r>
        <w:t xml:space="preserve"> you must</w:t>
      </w:r>
      <w:r>
        <w:t>,</w:t>
      </w:r>
    </w:p>
    <w:p w14:paraId="54FEC3F3" w14:textId="77777777" w:rsidR="00EF79E8" w:rsidRDefault="00EF79E8" w:rsidP="00EF79E8">
      <w:pPr>
        <w:pStyle w:val="ListParagraph"/>
        <w:numPr>
          <w:ilvl w:val="0"/>
          <w:numId w:val="1"/>
        </w:numPr>
        <w:spacing w:line="240" w:lineRule="auto"/>
        <w:jc w:val="both"/>
      </w:pPr>
      <w:r>
        <w:t>Enter as a separate paragraph</w:t>
      </w:r>
    </w:p>
    <w:p w14:paraId="4CB02F1F" w14:textId="77777777" w:rsidR="00EF79E8" w:rsidRDefault="00EF79E8" w:rsidP="00EF79E8">
      <w:pPr>
        <w:pStyle w:val="ListParagraph"/>
        <w:numPr>
          <w:ilvl w:val="0"/>
          <w:numId w:val="1"/>
        </w:numPr>
        <w:spacing w:line="240" w:lineRule="auto"/>
        <w:jc w:val="both"/>
      </w:pPr>
      <w:r>
        <w:t>Indent the paragraph</w:t>
      </w:r>
    </w:p>
    <w:p w14:paraId="1E0C9D0B" w14:textId="77777777" w:rsidR="00EF79E8" w:rsidRDefault="00EF79E8" w:rsidP="00EF79E8">
      <w:pPr>
        <w:pStyle w:val="ListParagraph"/>
        <w:numPr>
          <w:ilvl w:val="0"/>
          <w:numId w:val="1"/>
        </w:numPr>
        <w:spacing w:line="240" w:lineRule="auto"/>
        <w:jc w:val="both"/>
      </w:pPr>
      <w:r>
        <w:t>Quotation marks are not necessary</w:t>
      </w:r>
    </w:p>
    <w:p w14:paraId="64F16E3C" w14:textId="77777777" w:rsidR="00EF79E8" w:rsidRDefault="00EF79E8" w:rsidP="00EF79E8">
      <w:pPr>
        <w:pStyle w:val="ListParagraph"/>
        <w:numPr>
          <w:ilvl w:val="0"/>
          <w:numId w:val="1"/>
        </w:numPr>
        <w:spacing w:line="240" w:lineRule="auto"/>
        <w:jc w:val="both"/>
      </w:pPr>
      <w:r>
        <w:t>Follow with the in-text citation</w:t>
      </w:r>
    </w:p>
    <w:p w14:paraId="1D1ED954" w14:textId="77777777" w:rsidR="00EF79E8" w:rsidRDefault="00EF79E8" w:rsidP="00EF79E8">
      <w:pPr>
        <w:spacing w:line="240" w:lineRule="auto"/>
        <w:ind w:left="2160"/>
        <w:jc w:val="both"/>
      </w:pPr>
      <w:r>
        <w:t>Harvard referencing handbook (2018)</w:t>
      </w:r>
    </w:p>
    <w:p w14:paraId="438423B6" w14:textId="75C16FC1" w:rsidR="00EF79E8" w:rsidRDefault="00EF79E8" w:rsidP="00EF79E8">
      <w:pPr>
        <w:pStyle w:val="ListParagraph"/>
        <w:spacing w:line="360" w:lineRule="auto"/>
        <w:ind w:left="0"/>
        <w:jc w:val="both"/>
      </w:pPr>
      <w:r>
        <w:t>To begin research for an academic assignment it may be prudent to search for sources for your information. Useful sources of information could be books, websites, you</w:t>
      </w:r>
      <w:r>
        <w:t xml:space="preserve"> </w:t>
      </w:r>
      <w:r>
        <w:t>tube, journals, reports and friends.</w:t>
      </w:r>
    </w:p>
    <w:p w14:paraId="3F5ADFCC" w14:textId="77777777" w:rsidR="00EF79E8" w:rsidRDefault="00EF79E8" w:rsidP="00EF79E8">
      <w:pPr>
        <w:pStyle w:val="ListParagraph"/>
        <w:spacing w:line="240" w:lineRule="auto"/>
        <w:ind w:left="0"/>
        <w:jc w:val="both"/>
      </w:pPr>
    </w:p>
    <w:p w14:paraId="1C48776B" w14:textId="77777777" w:rsidR="00EF79E8" w:rsidRDefault="00EF79E8" w:rsidP="00EF79E8">
      <w:pPr>
        <w:pStyle w:val="ListParagraph"/>
        <w:spacing w:line="240" w:lineRule="auto"/>
        <w:ind w:left="0"/>
        <w:jc w:val="both"/>
      </w:pPr>
    </w:p>
    <w:p w14:paraId="231A0356" w14:textId="77777777" w:rsidR="00EF79E8" w:rsidRDefault="00EF79E8" w:rsidP="00EF79E8">
      <w:pPr>
        <w:pStyle w:val="ListParagraph"/>
        <w:spacing w:line="240" w:lineRule="auto"/>
        <w:ind w:left="0"/>
        <w:jc w:val="both"/>
      </w:pPr>
    </w:p>
    <w:p w14:paraId="37FECE50" w14:textId="77777777" w:rsidR="00EF79E8" w:rsidRDefault="00EF79E8" w:rsidP="00EF79E8">
      <w:pPr>
        <w:pStyle w:val="ListParagraph"/>
        <w:spacing w:line="240" w:lineRule="auto"/>
        <w:ind w:left="0"/>
        <w:jc w:val="both"/>
      </w:pPr>
    </w:p>
    <w:p w14:paraId="453DA542" w14:textId="77777777" w:rsidR="00EF79E8" w:rsidRPr="00394189" w:rsidRDefault="00EF79E8" w:rsidP="00EF79E8">
      <w:pPr>
        <w:shd w:val="clear" w:color="auto" w:fill="FFFFFF"/>
        <w:spacing w:before="100" w:beforeAutospacing="1" w:after="100" w:afterAutospacing="1" w:line="240" w:lineRule="auto"/>
        <w:ind w:right="75"/>
        <w:outlineLvl w:val="1"/>
        <w:rPr>
          <w:rFonts w:ascii="Open Sans" w:eastAsia="Times New Roman" w:hAnsi="Open Sans" w:cs="Arial"/>
          <w:b/>
          <w:bCs/>
          <w:color w:val="000000"/>
          <w:sz w:val="36"/>
          <w:szCs w:val="36"/>
          <w:lang w:val="en" w:eastAsia="en-GB"/>
        </w:rPr>
      </w:pPr>
      <w:r w:rsidRPr="00394189">
        <w:rPr>
          <w:rFonts w:ascii="Open Sans" w:eastAsia="Times New Roman" w:hAnsi="Open Sans" w:cs="Arial"/>
          <w:b/>
          <w:bCs/>
          <w:color w:val="000000"/>
          <w:sz w:val="36"/>
          <w:szCs w:val="36"/>
          <w:lang w:val="en" w:eastAsia="en-GB"/>
        </w:rPr>
        <w:t>References</w:t>
      </w:r>
    </w:p>
    <w:p w14:paraId="68F9B8C7" w14:textId="77777777" w:rsidR="00EF79E8" w:rsidRPr="00394189" w:rsidRDefault="00EF79E8" w:rsidP="00EF79E8">
      <w:pPr>
        <w:shd w:val="clear" w:color="auto" w:fill="FFFFFF"/>
        <w:spacing w:before="300" w:after="300" w:line="240" w:lineRule="auto"/>
        <w:ind w:right="75"/>
        <w:rPr>
          <w:rFonts w:ascii="Open Sans" w:eastAsia="Times New Roman" w:hAnsi="Open Sans" w:cs="Arial"/>
          <w:color w:val="000000"/>
          <w:sz w:val="24"/>
          <w:szCs w:val="24"/>
          <w:lang w:val="en" w:eastAsia="en-GB"/>
        </w:rPr>
      </w:pPr>
      <w:r w:rsidRPr="00394189">
        <w:rPr>
          <w:rFonts w:ascii="Open Sans" w:eastAsia="Times New Roman" w:hAnsi="Open Sans" w:cs="Arial"/>
          <w:color w:val="000000"/>
          <w:sz w:val="24"/>
          <w:szCs w:val="24"/>
          <w:lang w:val="en" w:eastAsia="en-GB"/>
        </w:rPr>
        <w:t>Harvard refer</w:t>
      </w:r>
      <w:r>
        <w:rPr>
          <w:rFonts w:ascii="Open Sans" w:eastAsia="Times New Roman" w:hAnsi="Open Sans" w:cs="Arial"/>
          <w:color w:val="000000"/>
          <w:sz w:val="24"/>
          <w:szCs w:val="24"/>
          <w:lang w:val="en" w:eastAsia="en-GB"/>
        </w:rPr>
        <w:t>e</w:t>
      </w:r>
      <w:r w:rsidRPr="00394189">
        <w:rPr>
          <w:rFonts w:ascii="Open Sans" w:eastAsia="Times New Roman" w:hAnsi="Open Sans" w:cs="Arial"/>
          <w:color w:val="000000"/>
          <w:sz w:val="24"/>
          <w:szCs w:val="24"/>
          <w:lang w:val="en" w:eastAsia="en-GB"/>
        </w:rPr>
        <w:t xml:space="preserve">ncing handbook. (2018). </w:t>
      </w:r>
    </w:p>
    <w:p w14:paraId="061CA304" w14:textId="13A69145" w:rsidR="00EF79E8" w:rsidRDefault="00EF79E8"/>
    <w:p w14:paraId="781FBC1C" w14:textId="74807947" w:rsidR="00EF79E8" w:rsidRDefault="00EF79E8"/>
    <w:p w14:paraId="7FB9836A" w14:textId="0AF365A2" w:rsidR="00EF79E8" w:rsidRDefault="00EF79E8"/>
    <w:p w14:paraId="368EAF86" w14:textId="1AF07FF3" w:rsidR="00EF79E8" w:rsidRDefault="00EF79E8"/>
    <w:p w14:paraId="17693FB5" w14:textId="3BBDBF99" w:rsidR="00EF79E8" w:rsidRDefault="00EF79E8"/>
    <w:p w14:paraId="2D73F80D" w14:textId="54FFC325" w:rsidR="00EF79E8" w:rsidRDefault="00EF79E8"/>
    <w:p w14:paraId="72EE33A9" w14:textId="3740D6B4" w:rsidR="00EF79E8" w:rsidRDefault="00EF79E8"/>
    <w:p w14:paraId="4D79780E" w14:textId="47FF818F" w:rsidR="00EF79E8" w:rsidRDefault="00EF79E8"/>
    <w:p w14:paraId="301A27F0" w14:textId="77777777" w:rsidR="00EF79E8" w:rsidRDefault="00EF79E8"/>
    <w:p w14:paraId="67EAB6EC" w14:textId="3E08E18B" w:rsidR="00EF79E8" w:rsidRDefault="00EF79E8">
      <w:r>
        <w:lastRenderedPageBreak/>
        <w:t>Part 3</w:t>
      </w:r>
    </w:p>
    <w:p w14:paraId="4F2CA66B" w14:textId="77777777" w:rsidR="00EF79E8" w:rsidRDefault="00EF79E8"/>
    <w:p w14:paraId="0CC0656E" w14:textId="24C11120" w:rsidR="001D7EA9" w:rsidRDefault="001D7EA9">
      <w:r>
        <w:t>A Critical Review</w:t>
      </w:r>
    </w:p>
    <w:p w14:paraId="1DBAB086" w14:textId="1E12CB7D" w:rsidR="001D7EA9" w:rsidRDefault="001D7EA9"/>
    <w:p w14:paraId="45C4E72E" w14:textId="23764601" w:rsidR="001D7EA9" w:rsidRDefault="001D7EA9" w:rsidP="00F7499C">
      <w:pPr>
        <w:spacing w:line="360" w:lineRule="auto"/>
      </w:pPr>
      <w:r>
        <w:t>The article “Teaching Assistants’ Experience of Inclusive Education” by Suzanne Mackenzie is based on research examining the role of teaching assistants working with children with special educational needs. The intention of the article is to</w:t>
      </w:r>
      <w:r w:rsidR="00022271">
        <w:t xml:space="preserve"> examine the experience and</w:t>
      </w:r>
      <w:r>
        <w:t xml:space="preserve"> scrutinise the strain on teaching assistants working in inclusion.</w:t>
      </w:r>
      <w:r w:rsidR="00022271">
        <w:t xml:space="preserve"> </w:t>
      </w:r>
      <w:r>
        <w:t>The article gives a clear insight of the challenges TA</w:t>
      </w:r>
      <w:r w:rsidR="00022271">
        <w:t>s</w:t>
      </w:r>
      <w:r>
        <w:t xml:space="preserve"> face in their </w:t>
      </w:r>
      <w:r w:rsidR="00022271">
        <w:t xml:space="preserve">role </w:t>
      </w:r>
      <w:proofErr w:type="gramStart"/>
      <w:r w:rsidR="00022271">
        <w:t>on a daily basis</w:t>
      </w:r>
      <w:proofErr w:type="gramEnd"/>
      <w:r>
        <w:t>. It also examines the positions of TAs working in mainstream education supporting children with medical, special educational and behavioural needs</w:t>
      </w:r>
      <w:r w:rsidR="00022271">
        <w:t>;</w:t>
      </w:r>
      <w:r>
        <w:t xml:space="preserve"> Mackenzie’s intention is to highlight the strain between TAs and the system policies. Five T</w:t>
      </w:r>
      <w:r w:rsidR="00022271">
        <w:t>A</w:t>
      </w:r>
      <w:r>
        <w:t>s, all with different backgrounds and reasons for working in inclusive education</w:t>
      </w:r>
      <w:r w:rsidR="00022271">
        <w:t>,</w:t>
      </w:r>
      <w:r>
        <w:t xml:space="preserve"> were interviewed by Mackenzie</w:t>
      </w:r>
      <w:r w:rsidR="00022271">
        <w:t>;</w:t>
      </w:r>
      <w:r>
        <w:t xml:space="preserve"> </w:t>
      </w:r>
      <w:r w:rsidR="00022271">
        <w:t>e</w:t>
      </w:r>
      <w:r>
        <w:t>ach one describes the different challenges they face, either with the behaviour or needs of the children and the teaching staff</w:t>
      </w:r>
      <w:r w:rsidR="00022271">
        <w:t xml:space="preserve">. </w:t>
      </w:r>
      <w:r>
        <w:t>One teaching assistant in the Early Years sector is convinced that the burden that teachers</w:t>
      </w:r>
      <w:r w:rsidR="00F7499C">
        <w:t xml:space="preserve"> encounter is a major factor in the poor standards in the classroom. </w:t>
      </w:r>
    </w:p>
    <w:p w14:paraId="531FB36C" w14:textId="707D08B1" w:rsidR="00F7499C" w:rsidRDefault="00F7499C" w:rsidP="00F7499C">
      <w:pPr>
        <w:ind w:left="567" w:right="567"/>
      </w:pPr>
      <w:r>
        <w:t>“A lot of teachers, especially in this country feel so much pressure to h</w:t>
      </w:r>
      <w:r w:rsidR="009A43A3">
        <w:t>i</w:t>
      </w:r>
      <w:r>
        <w:t>t those league tables and prove that they are doing all these things that they think, ‘I haven’t got time to deal with the SEN children’”. Jill, as cited by Mackenzie (20</w:t>
      </w:r>
      <w:r w:rsidR="00D44AB8">
        <w:t>1</w:t>
      </w:r>
      <w:r>
        <w:t>1).</w:t>
      </w:r>
    </w:p>
    <w:p w14:paraId="32C8D62C" w14:textId="14629B9D" w:rsidR="00B70502" w:rsidRDefault="00F7499C" w:rsidP="00B70502">
      <w:pPr>
        <w:spacing w:line="360" w:lineRule="auto"/>
      </w:pPr>
      <w:r>
        <w:t xml:space="preserve">On balance, the TAs found their jobs rewarding, but shared the same view that inclusion in education had its flaws and that more adequate training should be given. Una, a teaching assistant in Essex </w:t>
      </w:r>
      <w:r w:rsidR="00022271">
        <w:t>with 9 years’ experience,</w:t>
      </w:r>
      <w:r>
        <w:t xml:space="preserve"> describes how the “issues with children</w:t>
      </w:r>
      <w:r w:rsidR="00D44AB8">
        <w:t>’</w:t>
      </w:r>
      <w:r>
        <w:t>s behaviour makes her</w:t>
      </w:r>
      <w:r w:rsidR="00D44AB8">
        <w:t xml:space="preserve"> job more challenging”</w:t>
      </w:r>
      <w:r w:rsidR="00022271">
        <w:t>. Despite this, she claims she “loves” her job even though the pupils can drive her “around the twist”.</w:t>
      </w:r>
      <w:r w:rsidR="00D44AB8">
        <w:t xml:space="preserve"> Una, as cited by Mackenzie (2011).</w:t>
      </w:r>
      <w:r w:rsidR="00022271">
        <w:t xml:space="preserve"> </w:t>
      </w:r>
      <w:r w:rsidR="00B70502">
        <w:t xml:space="preserve">Overall, </w:t>
      </w:r>
      <w:r w:rsidR="00F7317B">
        <w:t>it is clear the TAs interviewed felt Inclusion in Education Policies needed to be addressed for inclusion to be successful and avoid tensions and ambiguity.</w:t>
      </w:r>
    </w:p>
    <w:p w14:paraId="28917567" w14:textId="60B7B30E" w:rsidR="009E25BC" w:rsidRDefault="005D0FFA" w:rsidP="00B70502">
      <w:pPr>
        <w:spacing w:line="360" w:lineRule="auto"/>
      </w:pPr>
      <w:r>
        <w:t xml:space="preserve">The structure of the article </w:t>
      </w:r>
      <w:r w:rsidR="00ED2557">
        <w:t>has been</w:t>
      </w:r>
      <w:r>
        <w:t xml:space="preserve"> done in deliberate man</w:t>
      </w:r>
      <w:r w:rsidR="000D7AA2">
        <w:t>ner</w:t>
      </w:r>
      <w:r>
        <w:t xml:space="preserve"> to engage the reader</w:t>
      </w:r>
      <w:r w:rsidR="003D716C">
        <w:t xml:space="preserve"> to the negative points raised. </w:t>
      </w:r>
      <w:r w:rsidR="00F7317B">
        <w:t xml:space="preserve">The introduction of this article addresses the topic and draws focus to “tensions and contradictions”. Mackenzie (2011). The policy context explains the need for teaching assistants. In 2000 the DCSF made a National Curriculum Statutory Inclusion Statement which resulted in the increased need for teaching assistants working in mainstream and special schools. Mackenzie highlights the increase of over 100,000 TAs in just a decade in English schools. </w:t>
      </w:r>
      <w:r>
        <w:t>The voice of the TA is a lengthy piece which suggests Mackenzie’s focus is on the TAs and not necessarily the policies and legislations</w:t>
      </w:r>
      <w:r w:rsidR="00ED5A5E">
        <w:t xml:space="preserve">. Throughout the writer is attempting to persuade the reader that inclusion in education is not working </w:t>
      </w:r>
      <w:proofErr w:type="gramStart"/>
      <w:r w:rsidR="00ED5A5E">
        <w:t>o</w:t>
      </w:r>
      <w:r w:rsidR="00862FA9">
        <w:t xml:space="preserve">n </w:t>
      </w:r>
      <w:r w:rsidR="000D7AA2">
        <w:t>the</w:t>
      </w:r>
      <w:r w:rsidR="00862FA9">
        <w:t xml:space="preserve"> </w:t>
      </w:r>
      <w:r w:rsidR="00ED5A5E">
        <w:t>whole</w:t>
      </w:r>
      <w:proofErr w:type="gramEnd"/>
      <w:r w:rsidR="00ED5A5E">
        <w:t>.</w:t>
      </w:r>
      <w:r w:rsidR="000D7AA2">
        <w:t xml:space="preserve"> Jane began working as a teaching assistant supporting a child returning </w:t>
      </w:r>
      <w:r w:rsidR="000D7AA2">
        <w:lastRenderedPageBreak/>
        <w:t>to school after illness, she says that one of the most uncomfortable aspects of her job is “her relationship with others”. She was especially concerned with the “stupid politics” Jane, as cited by Mackenzie (2007)</w:t>
      </w:r>
      <w:r w:rsidR="008F7226">
        <w:t>.</w:t>
      </w:r>
      <w:r w:rsidR="00ED5A5E">
        <w:t xml:space="preserve"> Mackenzie’s study collaborates with </w:t>
      </w:r>
      <w:r w:rsidR="009E25BC">
        <w:t>that of Sikes et al (2007).</w:t>
      </w:r>
    </w:p>
    <w:p w14:paraId="6047D05C" w14:textId="70B9D969" w:rsidR="009E25BC" w:rsidRDefault="009E25BC" w:rsidP="009E25BC">
      <w:pPr>
        <w:spacing w:line="240" w:lineRule="auto"/>
        <w:ind w:left="567" w:right="567"/>
      </w:pPr>
      <w:r>
        <w:t>In England, teachers and teachers’ assistants are required to implement inclusion but, in the absence of any universal definition of what the term means, the way in which they enact it varies depending on their understanding of this concept.</w:t>
      </w:r>
    </w:p>
    <w:p w14:paraId="2FC917A6" w14:textId="3661E1F2" w:rsidR="009E25BC" w:rsidRDefault="009E25BC" w:rsidP="00B70502">
      <w:pPr>
        <w:spacing w:line="360" w:lineRule="auto"/>
      </w:pPr>
      <w:r>
        <w:t xml:space="preserve">                                                                                                                                    Sikes et al (2007).</w:t>
      </w:r>
    </w:p>
    <w:p w14:paraId="678BDD05" w14:textId="77777777" w:rsidR="00093FFC" w:rsidRDefault="00ED5A5E" w:rsidP="00B70502">
      <w:pPr>
        <w:spacing w:line="360" w:lineRule="auto"/>
      </w:pPr>
      <w:r>
        <w:t xml:space="preserve"> However, Mackenzie found that she did not receive any positive feedback unlike </w:t>
      </w:r>
      <w:proofErr w:type="spellStart"/>
      <w:r>
        <w:t>Devecchi</w:t>
      </w:r>
      <w:proofErr w:type="spellEnd"/>
      <w:r>
        <w:t xml:space="preserve"> and Rouse’s (2010) study</w:t>
      </w:r>
      <w:r w:rsidR="009A43A3">
        <w:t xml:space="preserve">, claiming </w:t>
      </w:r>
      <w:r w:rsidR="00DB633D">
        <w:t>“collaborative practices were established to support children with SEN” (</w:t>
      </w:r>
      <w:proofErr w:type="spellStart"/>
      <w:r w:rsidR="00DB633D">
        <w:t>Devecchi</w:t>
      </w:r>
      <w:proofErr w:type="spellEnd"/>
      <w:r w:rsidR="00DB633D">
        <w:t xml:space="preserve"> and Rouse 2010).</w:t>
      </w:r>
      <w:r>
        <w:t xml:space="preserve"> Following on from that</w:t>
      </w:r>
      <w:r w:rsidR="00DB633D">
        <w:t xml:space="preserve">, in the </w:t>
      </w:r>
      <w:r>
        <w:t>methodology we discover that all teaching assistants work in schools in east London. Interviews included focus groups as well as individuals of varied professions. Out of all interviewed 13 were teaching assistants, Mackenzie states that she “tried to apply a general overarching criterion for the selection of the stories” (Mackenzie 2011) this mirrors her own definition of what she finds interesting and significant. Ethical issues are raised about the privacy of the focus groups. In this study it is revealed that numerous interviewees were acquaintances</w:t>
      </w:r>
      <w:r w:rsidR="00235DF8">
        <w:t>;</w:t>
      </w:r>
      <w:r>
        <w:t xml:space="preserve"> </w:t>
      </w:r>
      <w:r w:rsidR="009A43A3">
        <w:t>t</w:t>
      </w:r>
      <w:r>
        <w:t>his could imply that the information received is bias. The finding</w:t>
      </w:r>
      <w:r w:rsidR="003E30FA">
        <w:t xml:space="preserve">s </w:t>
      </w:r>
      <w:r>
        <w:t>section gives us the background information of the five featured teaching assistants</w:t>
      </w:r>
      <w:r w:rsidR="009A43A3">
        <w:t>; w</w:t>
      </w:r>
      <w:r>
        <w:t xml:space="preserve">e learn about their issues within the workplace and reasons for working in SEN. </w:t>
      </w:r>
      <w:r w:rsidR="003E30FA">
        <w:t xml:space="preserve">Angela found her role “isolating” and “physically and emotionally demanding” (Angela, as cited by Mackenzie 2011). </w:t>
      </w:r>
      <w:r w:rsidR="00A66BA1">
        <w:t>In general, I believe the research has had a negative outcome, suggesting that teachers working</w:t>
      </w:r>
      <w:r w:rsidR="00862FA9">
        <w:t xml:space="preserve"> in</w:t>
      </w:r>
      <w:r w:rsidR="00A66BA1">
        <w:t xml:space="preserve"> </w:t>
      </w:r>
      <w:r w:rsidR="00862FA9">
        <w:t>mainstream schools are finding it difficult to “include” children with SEN; “Teachers were sometimes negative and un co-operative about including children with special educational needs”</w:t>
      </w:r>
      <w:r w:rsidR="00E92EA7">
        <w:t xml:space="preserve"> </w:t>
      </w:r>
      <w:r w:rsidR="00862FA9">
        <w:t>(Moira, as cited by Mackenzie 2001).</w:t>
      </w:r>
      <w:r w:rsidR="00E92EA7">
        <w:t xml:space="preserve"> Repeatedly, this article</w:t>
      </w:r>
      <w:r w:rsidR="005279B7">
        <w:t xml:space="preserve"> </w:t>
      </w:r>
      <w:r w:rsidR="00E92EA7">
        <w:t>draw</w:t>
      </w:r>
      <w:r w:rsidR="005279B7">
        <w:t>s</w:t>
      </w:r>
      <w:r w:rsidR="00E92EA7">
        <w:t xml:space="preserve"> on the negative aspects of inclusion in education</w:t>
      </w:r>
      <w:r w:rsidR="00075DEA">
        <w:t xml:space="preserve">; the confusing facet of SEN </w:t>
      </w:r>
      <w:r w:rsidR="007A1A79">
        <w:t>without a logical and direct system.</w:t>
      </w:r>
    </w:p>
    <w:p w14:paraId="49B9427E" w14:textId="73FEF116" w:rsidR="00F7317B" w:rsidRDefault="00E93874" w:rsidP="00B70502">
      <w:pPr>
        <w:spacing w:line="360" w:lineRule="auto"/>
      </w:pPr>
      <w:r>
        <w:t xml:space="preserve"> This article is misleading and invalid, the conclusion that inclusion in education has i</w:t>
      </w:r>
      <w:r w:rsidR="00093FFC">
        <w:t>t</w:t>
      </w:r>
      <w:r>
        <w:t xml:space="preserve">s flaws is </w:t>
      </w:r>
      <w:r w:rsidR="00093FFC">
        <w:t>un reliable with the research that has been undertaken. In my experience as a teaching assistant in a mainstream school, I believe that inclusion in education does work</w:t>
      </w:r>
      <w:r w:rsidR="00956BE4">
        <w:t>; the</w:t>
      </w:r>
      <w:r w:rsidR="00093FFC">
        <w:t xml:space="preserve"> teachers</w:t>
      </w:r>
      <w:r w:rsidR="00956BE4">
        <w:t xml:space="preserve"> I work with</w:t>
      </w:r>
      <w:r w:rsidR="00093FFC">
        <w:t xml:space="preserve"> do their utmost to “include” all pupils in lessons</w:t>
      </w:r>
      <w:r w:rsidR="005A0A9B">
        <w:t xml:space="preserve"> where possible </w:t>
      </w:r>
      <w:r w:rsidR="00093FFC">
        <w:t>and are very grateful for the assistance they receive from a TA in their lessons</w:t>
      </w:r>
      <w:r w:rsidR="00956BE4">
        <w:t>.</w:t>
      </w:r>
      <w:r w:rsidR="00093FFC">
        <w:t xml:space="preserve"> There is never any ambiguity with</w:t>
      </w:r>
      <w:r w:rsidR="00956BE4">
        <w:t>in</w:t>
      </w:r>
      <w:r w:rsidR="00093FFC">
        <w:t xml:space="preserve"> the SEN department</w:t>
      </w:r>
      <w:r w:rsidR="00103401">
        <w:t>, in fact there is an Inclusion briefing once a week</w:t>
      </w:r>
      <w:r w:rsidR="008C6742">
        <w:t xml:space="preserve"> to keep teachers</w:t>
      </w:r>
      <w:r w:rsidR="00956BE4">
        <w:t xml:space="preserve"> and support staff</w:t>
      </w:r>
      <w:r w:rsidR="008C6742">
        <w:t xml:space="preserve"> updated on SEN practices. </w:t>
      </w:r>
      <w:r w:rsidR="009F09F6">
        <w:t xml:space="preserve">This assists with the implementation of differentiation and inclusion </w:t>
      </w:r>
      <w:r w:rsidR="00391C23">
        <w:t>of all pupils in lessons, whether medical, behavioural or special educational needs. Therefore, allowing the development of social skills, teamwork and strengthening self confidence which benefits the children and their parents.</w:t>
      </w:r>
    </w:p>
    <w:p w14:paraId="62EC0058" w14:textId="77777777" w:rsidR="00C31E33" w:rsidRDefault="00C31E33" w:rsidP="00C31E33">
      <w:pPr>
        <w:shd w:val="clear" w:color="auto" w:fill="FFFFFF"/>
        <w:spacing w:before="100" w:beforeAutospacing="1" w:after="100" w:afterAutospacing="1" w:line="240" w:lineRule="auto"/>
        <w:outlineLvl w:val="1"/>
        <w:rPr>
          <w:rFonts w:ascii="Open Sans" w:eastAsia="Times New Roman" w:hAnsi="Open Sans" w:cs="Arial"/>
          <w:b/>
          <w:bCs/>
          <w:color w:val="000000"/>
          <w:sz w:val="36"/>
          <w:szCs w:val="36"/>
          <w:lang w:val="en" w:eastAsia="en-GB"/>
        </w:rPr>
      </w:pPr>
      <w:r>
        <w:rPr>
          <w:rFonts w:ascii="Open Sans" w:eastAsia="Times New Roman" w:hAnsi="Open Sans" w:cs="Arial"/>
          <w:b/>
          <w:bCs/>
          <w:color w:val="000000"/>
          <w:sz w:val="36"/>
          <w:szCs w:val="36"/>
          <w:lang w:val="en" w:eastAsia="en-GB"/>
        </w:rPr>
        <w:lastRenderedPageBreak/>
        <w:t xml:space="preserve"> </w:t>
      </w:r>
    </w:p>
    <w:p w14:paraId="4EBC2EFD" w14:textId="114D70C5" w:rsidR="00C31E33" w:rsidRPr="00C31E33" w:rsidRDefault="00C31E33" w:rsidP="00C31E33">
      <w:pPr>
        <w:shd w:val="clear" w:color="auto" w:fill="FFFFFF"/>
        <w:spacing w:before="100" w:beforeAutospacing="1" w:after="100" w:afterAutospacing="1" w:line="240" w:lineRule="auto"/>
        <w:outlineLvl w:val="1"/>
        <w:rPr>
          <w:rFonts w:ascii="Open Sans" w:eastAsia="Times New Roman" w:hAnsi="Open Sans" w:cs="Arial"/>
          <w:b/>
          <w:bCs/>
          <w:color w:val="000000"/>
          <w:sz w:val="36"/>
          <w:szCs w:val="36"/>
          <w:lang w:val="en" w:eastAsia="en-GB"/>
        </w:rPr>
      </w:pPr>
      <w:r w:rsidRPr="00C31E33">
        <w:rPr>
          <w:rFonts w:ascii="Open Sans" w:eastAsia="Times New Roman" w:hAnsi="Open Sans" w:cs="Arial"/>
          <w:b/>
          <w:bCs/>
          <w:color w:val="000000"/>
          <w:sz w:val="36"/>
          <w:szCs w:val="36"/>
          <w:lang w:val="en" w:eastAsia="en-GB"/>
        </w:rPr>
        <w:t>References</w:t>
      </w:r>
    </w:p>
    <w:p w14:paraId="24637DE0" w14:textId="77777777" w:rsidR="00C31E33" w:rsidRPr="00C31E33" w:rsidRDefault="00C31E33" w:rsidP="00C31E33">
      <w:pPr>
        <w:shd w:val="clear" w:color="auto" w:fill="FFFFFF"/>
        <w:spacing w:after="150" w:line="240" w:lineRule="auto"/>
        <w:rPr>
          <w:rFonts w:ascii="Open Sans" w:eastAsia="Times New Roman" w:hAnsi="Open Sans" w:cs="Arial"/>
          <w:color w:val="000000"/>
          <w:sz w:val="24"/>
          <w:szCs w:val="24"/>
          <w:lang w:val="en" w:eastAsia="en-GB"/>
        </w:rPr>
      </w:pPr>
      <w:r w:rsidRPr="00C31E33">
        <w:rPr>
          <w:rFonts w:ascii="Open Sans" w:eastAsia="Times New Roman" w:hAnsi="Open Sans" w:cs="Arial"/>
          <w:color w:val="000000"/>
          <w:sz w:val="24"/>
          <w:szCs w:val="24"/>
          <w:lang w:val="en" w:eastAsia="en-GB"/>
        </w:rPr>
        <w:t xml:space="preserve">DEVECCHI, C. and ROUSE, M. (2010). An exploration of the features of effective collaboration between teachers and teaching assistants in secondary schools. </w:t>
      </w:r>
      <w:r w:rsidRPr="00C31E33">
        <w:rPr>
          <w:rFonts w:ascii="Open Sans" w:eastAsia="Times New Roman" w:hAnsi="Open Sans" w:cs="Arial"/>
          <w:i/>
          <w:iCs/>
          <w:color w:val="000000"/>
          <w:sz w:val="24"/>
          <w:szCs w:val="24"/>
          <w:lang w:val="en" w:eastAsia="en-GB"/>
        </w:rPr>
        <w:t>Support for Learning</w:t>
      </w:r>
      <w:r w:rsidRPr="00C31E33">
        <w:rPr>
          <w:rFonts w:ascii="Open Sans" w:eastAsia="Times New Roman" w:hAnsi="Open Sans" w:cs="Arial"/>
          <w:color w:val="000000"/>
          <w:sz w:val="24"/>
          <w:szCs w:val="24"/>
          <w:lang w:val="en" w:eastAsia="en-GB"/>
        </w:rPr>
        <w:t>, 25(2), pp.91-99.</w:t>
      </w:r>
    </w:p>
    <w:p w14:paraId="17E0BC51" w14:textId="77777777" w:rsidR="00C31E33" w:rsidRPr="00C31E33" w:rsidRDefault="00C31E33" w:rsidP="00C31E33">
      <w:pPr>
        <w:shd w:val="clear" w:color="auto" w:fill="FFFFFF"/>
        <w:spacing w:after="150" w:line="240" w:lineRule="auto"/>
        <w:rPr>
          <w:rFonts w:ascii="Open Sans" w:eastAsia="Times New Roman" w:hAnsi="Open Sans" w:cs="Arial"/>
          <w:color w:val="000000"/>
          <w:sz w:val="24"/>
          <w:szCs w:val="24"/>
          <w:lang w:val="en" w:eastAsia="en-GB"/>
        </w:rPr>
      </w:pPr>
      <w:r w:rsidRPr="00C31E33">
        <w:rPr>
          <w:rFonts w:ascii="Open Sans" w:eastAsia="Times New Roman" w:hAnsi="Open Sans" w:cs="Arial"/>
          <w:color w:val="000000"/>
          <w:sz w:val="24"/>
          <w:szCs w:val="24"/>
          <w:lang w:val="en" w:eastAsia="en-GB"/>
        </w:rPr>
        <w:t>MACKENZIE, S. (2011). ‘Yes, but</w:t>
      </w:r>
      <w:r w:rsidRPr="00C31E33">
        <w:rPr>
          <w:rFonts w:ascii="Open Sans" w:eastAsia="Times New Roman" w:hAnsi="Open Sans" w:cs="Arial"/>
          <w:color w:val="000000"/>
          <w:sz w:val="24"/>
          <w:szCs w:val="24"/>
          <w:lang w:val="en" w:eastAsia="en-GB"/>
        </w:rPr>
        <w:t> </w:t>
      </w:r>
      <w:r w:rsidRPr="00C31E33">
        <w:rPr>
          <w:rFonts w:ascii="Open Sans" w:eastAsia="Times New Roman" w:hAnsi="Open Sans" w:cs="Arial"/>
          <w:color w:val="000000"/>
          <w:sz w:val="24"/>
          <w:szCs w:val="24"/>
          <w:lang w:val="en" w:eastAsia="en-GB"/>
        </w:rPr>
        <w:t>.</w:t>
      </w:r>
      <w:r w:rsidRPr="00C31E33">
        <w:rPr>
          <w:rFonts w:ascii="Open Sans" w:eastAsia="Times New Roman" w:hAnsi="Open Sans" w:cs="Arial"/>
          <w:color w:val="000000"/>
          <w:sz w:val="24"/>
          <w:szCs w:val="24"/>
          <w:lang w:val="en" w:eastAsia="en-GB"/>
        </w:rPr>
        <w:t> </w:t>
      </w:r>
      <w:r w:rsidRPr="00C31E33">
        <w:rPr>
          <w:rFonts w:ascii="Open Sans" w:eastAsia="Times New Roman" w:hAnsi="Open Sans" w:cs="Arial"/>
          <w:color w:val="000000"/>
          <w:sz w:val="24"/>
          <w:szCs w:val="24"/>
          <w:lang w:val="en" w:eastAsia="en-GB"/>
        </w:rPr>
        <w:t>.</w:t>
      </w:r>
      <w:r w:rsidRPr="00C31E33">
        <w:rPr>
          <w:rFonts w:ascii="Open Sans" w:eastAsia="Times New Roman" w:hAnsi="Open Sans" w:cs="Arial"/>
          <w:color w:val="000000"/>
          <w:sz w:val="24"/>
          <w:szCs w:val="24"/>
          <w:lang w:val="en" w:eastAsia="en-GB"/>
        </w:rPr>
        <w:t> </w:t>
      </w:r>
      <w:r w:rsidRPr="00C31E33">
        <w:rPr>
          <w:rFonts w:ascii="Open Sans" w:eastAsia="Times New Roman" w:hAnsi="Open Sans" w:cs="Arial"/>
          <w:color w:val="000000"/>
          <w:sz w:val="24"/>
          <w:szCs w:val="24"/>
          <w:lang w:val="en" w:eastAsia="en-GB"/>
        </w:rPr>
        <w:t xml:space="preserve">.’: rhetoric, reality and resistance in teaching assistants' experiences of inclusive education. </w:t>
      </w:r>
      <w:r w:rsidRPr="00C31E33">
        <w:rPr>
          <w:rFonts w:ascii="Open Sans" w:eastAsia="Times New Roman" w:hAnsi="Open Sans" w:cs="Arial"/>
          <w:i/>
          <w:iCs/>
          <w:color w:val="000000"/>
          <w:sz w:val="24"/>
          <w:szCs w:val="24"/>
          <w:lang w:val="en" w:eastAsia="en-GB"/>
        </w:rPr>
        <w:t>Support for Learning</w:t>
      </w:r>
      <w:r w:rsidRPr="00C31E33">
        <w:rPr>
          <w:rFonts w:ascii="Open Sans" w:eastAsia="Times New Roman" w:hAnsi="Open Sans" w:cs="Arial"/>
          <w:color w:val="000000"/>
          <w:sz w:val="24"/>
          <w:szCs w:val="24"/>
          <w:lang w:val="en" w:eastAsia="en-GB"/>
        </w:rPr>
        <w:t>, 26(2), pp.64-71.</w:t>
      </w:r>
    </w:p>
    <w:p w14:paraId="23A51CE9" w14:textId="77777777" w:rsidR="00C31E33" w:rsidRPr="00C31E33" w:rsidRDefault="00C31E33" w:rsidP="00C31E33">
      <w:pPr>
        <w:shd w:val="clear" w:color="auto" w:fill="FFFFFF"/>
        <w:spacing w:line="240" w:lineRule="auto"/>
        <w:rPr>
          <w:rFonts w:ascii="Open Sans" w:eastAsia="Times New Roman" w:hAnsi="Open Sans" w:cs="Arial"/>
          <w:color w:val="000000"/>
          <w:sz w:val="24"/>
          <w:szCs w:val="24"/>
          <w:lang w:val="en" w:eastAsia="en-GB"/>
        </w:rPr>
      </w:pPr>
      <w:r w:rsidRPr="00C31E33">
        <w:rPr>
          <w:rFonts w:ascii="Open Sans" w:eastAsia="Times New Roman" w:hAnsi="Open Sans" w:cs="Arial"/>
          <w:color w:val="000000"/>
          <w:sz w:val="24"/>
          <w:szCs w:val="24"/>
          <w:lang w:val="en" w:eastAsia="en-GB"/>
        </w:rPr>
        <w:t xml:space="preserve">Sikes, P., Lawson, H. and Parker, M. (2007). Voices on: teachers and teaching assistants talk about inclusion. </w:t>
      </w:r>
      <w:r w:rsidRPr="00C31E33">
        <w:rPr>
          <w:rFonts w:ascii="Open Sans" w:eastAsia="Times New Roman" w:hAnsi="Open Sans" w:cs="Arial"/>
          <w:i/>
          <w:iCs/>
          <w:color w:val="000000"/>
          <w:sz w:val="24"/>
          <w:szCs w:val="24"/>
          <w:lang w:val="en" w:eastAsia="en-GB"/>
        </w:rPr>
        <w:t>International Journal of Inclusive Education</w:t>
      </w:r>
      <w:r w:rsidRPr="00C31E33">
        <w:rPr>
          <w:rFonts w:ascii="Open Sans" w:eastAsia="Times New Roman" w:hAnsi="Open Sans" w:cs="Arial"/>
          <w:color w:val="000000"/>
          <w:sz w:val="24"/>
          <w:szCs w:val="24"/>
          <w:lang w:val="en" w:eastAsia="en-GB"/>
        </w:rPr>
        <w:t>, 11(3), pp.355-370.</w:t>
      </w:r>
    </w:p>
    <w:p w14:paraId="7E43CD29" w14:textId="77777777" w:rsidR="00F7317B" w:rsidRDefault="00F7317B" w:rsidP="00B70502">
      <w:pPr>
        <w:spacing w:line="360" w:lineRule="auto"/>
      </w:pPr>
    </w:p>
    <w:sectPr w:rsidR="00F7317B">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Open Sans">
    <w:altName w:val="Segoe UI"/>
    <w:charset w:val="00"/>
    <w:family w:val="auto"/>
    <w:pitch w:val="default"/>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7402CF2"/>
    <w:multiLevelType w:val="hybridMultilevel"/>
    <w:tmpl w:val="FAECCFD0"/>
    <w:lvl w:ilvl="0" w:tplc="08090001">
      <w:start w:val="1"/>
      <w:numFmt w:val="bullet"/>
      <w:lvlText w:val=""/>
      <w:lvlJc w:val="left"/>
      <w:pPr>
        <w:ind w:left="1080" w:hanging="360"/>
      </w:pPr>
      <w:rPr>
        <w:rFonts w:ascii="Symbol" w:hAnsi="Symbol" w:hint="default"/>
      </w:rPr>
    </w:lvl>
    <w:lvl w:ilvl="1" w:tplc="08090003" w:tentative="1">
      <w:start w:val="1"/>
      <w:numFmt w:val="bullet"/>
      <w:lvlText w:val="o"/>
      <w:lvlJc w:val="left"/>
      <w:pPr>
        <w:ind w:left="1800" w:hanging="360"/>
      </w:pPr>
      <w:rPr>
        <w:rFonts w:ascii="Courier New" w:hAnsi="Courier New" w:cs="Courier New" w:hint="default"/>
      </w:rPr>
    </w:lvl>
    <w:lvl w:ilvl="2" w:tplc="08090005" w:tentative="1">
      <w:start w:val="1"/>
      <w:numFmt w:val="bullet"/>
      <w:lvlText w:val=""/>
      <w:lvlJc w:val="left"/>
      <w:pPr>
        <w:ind w:left="2520" w:hanging="360"/>
      </w:pPr>
      <w:rPr>
        <w:rFonts w:ascii="Wingdings" w:hAnsi="Wingdings" w:hint="default"/>
      </w:rPr>
    </w:lvl>
    <w:lvl w:ilvl="3" w:tplc="08090001" w:tentative="1">
      <w:start w:val="1"/>
      <w:numFmt w:val="bullet"/>
      <w:lvlText w:val=""/>
      <w:lvlJc w:val="left"/>
      <w:pPr>
        <w:ind w:left="3240" w:hanging="360"/>
      </w:pPr>
      <w:rPr>
        <w:rFonts w:ascii="Symbol" w:hAnsi="Symbol" w:hint="default"/>
      </w:rPr>
    </w:lvl>
    <w:lvl w:ilvl="4" w:tplc="08090003" w:tentative="1">
      <w:start w:val="1"/>
      <w:numFmt w:val="bullet"/>
      <w:lvlText w:val="o"/>
      <w:lvlJc w:val="left"/>
      <w:pPr>
        <w:ind w:left="3960" w:hanging="360"/>
      </w:pPr>
      <w:rPr>
        <w:rFonts w:ascii="Courier New" w:hAnsi="Courier New" w:cs="Courier New" w:hint="default"/>
      </w:rPr>
    </w:lvl>
    <w:lvl w:ilvl="5" w:tplc="08090005" w:tentative="1">
      <w:start w:val="1"/>
      <w:numFmt w:val="bullet"/>
      <w:lvlText w:val=""/>
      <w:lvlJc w:val="left"/>
      <w:pPr>
        <w:ind w:left="4680" w:hanging="360"/>
      </w:pPr>
      <w:rPr>
        <w:rFonts w:ascii="Wingdings" w:hAnsi="Wingdings" w:hint="default"/>
      </w:rPr>
    </w:lvl>
    <w:lvl w:ilvl="6" w:tplc="08090001" w:tentative="1">
      <w:start w:val="1"/>
      <w:numFmt w:val="bullet"/>
      <w:lvlText w:val=""/>
      <w:lvlJc w:val="left"/>
      <w:pPr>
        <w:ind w:left="5400" w:hanging="360"/>
      </w:pPr>
      <w:rPr>
        <w:rFonts w:ascii="Symbol" w:hAnsi="Symbol" w:hint="default"/>
      </w:rPr>
    </w:lvl>
    <w:lvl w:ilvl="7" w:tplc="08090003" w:tentative="1">
      <w:start w:val="1"/>
      <w:numFmt w:val="bullet"/>
      <w:lvlText w:val="o"/>
      <w:lvlJc w:val="left"/>
      <w:pPr>
        <w:ind w:left="6120" w:hanging="360"/>
      </w:pPr>
      <w:rPr>
        <w:rFonts w:ascii="Courier New" w:hAnsi="Courier New" w:cs="Courier New" w:hint="default"/>
      </w:rPr>
    </w:lvl>
    <w:lvl w:ilvl="8" w:tplc="08090005" w:tentative="1">
      <w:start w:val="1"/>
      <w:numFmt w:val="bullet"/>
      <w:lvlText w:val=""/>
      <w:lvlJc w:val="left"/>
      <w:pPr>
        <w:ind w:left="6840" w:hanging="360"/>
      </w:pPr>
      <w:rPr>
        <w:rFonts w:ascii="Wingdings" w:hAnsi="Wingdings" w:hint="default"/>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1D7EA9"/>
    <w:rsid w:val="000217E4"/>
    <w:rsid w:val="00022271"/>
    <w:rsid w:val="00075DEA"/>
    <w:rsid w:val="00093FFC"/>
    <w:rsid w:val="000D7AA2"/>
    <w:rsid w:val="00103401"/>
    <w:rsid w:val="001D7EA9"/>
    <w:rsid w:val="00235DF8"/>
    <w:rsid w:val="002B0098"/>
    <w:rsid w:val="00391C23"/>
    <w:rsid w:val="00396ACD"/>
    <w:rsid w:val="003D716C"/>
    <w:rsid w:val="003E30FA"/>
    <w:rsid w:val="005279B7"/>
    <w:rsid w:val="005A0A9B"/>
    <w:rsid w:val="005B0EDF"/>
    <w:rsid w:val="005D0FFA"/>
    <w:rsid w:val="006A738F"/>
    <w:rsid w:val="007A1A79"/>
    <w:rsid w:val="00862FA9"/>
    <w:rsid w:val="008664D4"/>
    <w:rsid w:val="008C6742"/>
    <w:rsid w:val="008F7226"/>
    <w:rsid w:val="00956BE4"/>
    <w:rsid w:val="009A43A3"/>
    <w:rsid w:val="009E25BC"/>
    <w:rsid w:val="009F09F6"/>
    <w:rsid w:val="00A11EC3"/>
    <w:rsid w:val="00A62193"/>
    <w:rsid w:val="00A636A6"/>
    <w:rsid w:val="00A66BA1"/>
    <w:rsid w:val="00A82505"/>
    <w:rsid w:val="00AE4159"/>
    <w:rsid w:val="00B54D3A"/>
    <w:rsid w:val="00B70502"/>
    <w:rsid w:val="00BA0B92"/>
    <w:rsid w:val="00C31E33"/>
    <w:rsid w:val="00CF6AE6"/>
    <w:rsid w:val="00D44AB8"/>
    <w:rsid w:val="00DB633D"/>
    <w:rsid w:val="00DE3E2D"/>
    <w:rsid w:val="00E86728"/>
    <w:rsid w:val="00E92EA7"/>
    <w:rsid w:val="00E93874"/>
    <w:rsid w:val="00ED2557"/>
    <w:rsid w:val="00ED5A5E"/>
    <w:rsid w:val="00EF79E8"/>
    <w:rsid w:val="00F7317B"/>
    <w:rsid w:val="00F7499C"/>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F584310"/>
  <w15:chartTrackingRefBased/>
  <w15:docId w15:val="{62208326-0B6D-49A5-99D6-7A84C2678B1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link w:val="Heading2Char"/>
    <w:uiPriority w:val="9"/>
    <w:qFormat/>
    <w:rsid w:val="00C31E33"/>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E86728"/>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E86728"/>
    <w:rPr>
      <w:rFonts w:ascii="Segoe UI" w:hAnsi="Segoe UI" w:cs="Segoe UI"/>
      <w:sz w:val="18"/>
      <w:szCs w:val="18"/>
    </w:rPr>
  </w:style>
  <w:style w:type="character" w:customStyle="1" w:styleId="Heading2Char">
    <w:name w:val="Heading 2 Char"/>
    <w:basedOn w:val="DefaultParagraphFont"/>
    <w:link w:val="Heading2"/>
    <w:uiPriority w:val="9"/>
    <w:rsid w:val="00C31E33"/>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C31E33"/>
    <w:pPr>
      <w:spacing w:after="150" w:line="240" w:lineRule="auto"/>
    </w:pPr>
    <w:rPr>
      <w:rFonts w:ascii="Times New Roman" w:eastAsia="Times New Roman" w:hAnsi="Times New Roman" w:cs="Times New Roman"/>
      <w:sz w:val="24"/>
      <w:szCs w:val="24"/>
      <w:lang w:eastAsia="en-GB"/>
    </w:rPr>
  </w:style>
  <w:style w:type="paragraph" w:styleId="ListParagraph">
    <w:name w:val="List Paragraph"/>
    <w:basedOn w:val="Normal"/>
    <w:uiPriority w:val="34"/>
    <w:qFormat/>
    <w:rsid w:val="00EF79E8"/>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838030516">
      <w:bodyDiv w:val="1"/>
      <w:marLeft w:val="0"/>
      <w:marRight w:val="0"/>
      <w:marTop w:val="0"/>
      <w:marBottom w:val="0"/>
      <w:divBdr>
        <w:top w:val="none" w:sz="0" w:space="0" w:color="auto"/>
        <w:left w:val="none" w:sz="0" w:space="0" w:color="auto"/>
        <w:bottom w:val="none" w:sz="0" w:space="0" w:color="auto"/>
        <w:right w:val="none" w:sz="0" w:space="0" w:color="auto"/>
      </w:divBdr>
      <w:divsChild>
        <w:div w:id="1424692775">
          <w:marLeft w:val="0"/>
          <w:marRight w:val="0"/>
          <w:marTop w:val="0"/>
          <w:marBottom w:val="0"/>
          <w:divBdr>
            <w:top w:val="none" w:sz="0" w:space="0" w:color="auto"/>
            <w:left w:val="none" w:sz="0" w:space="0" w:color="auto"/>
            <w:bottom w:val="none" w:sz="0" w:space="0" w:color="auto"/>
            <w:right w:val="none" w:sz="0" w:space="0" w:color="auto"/>
          </w:divBdr>
          <w:divsChild>
            <w:div w:id="1308247137">
              <w:marLeft w:val="0"/>
              <w:marRight w:val="0"/>
              <w:marTop w:val="0"/>
              <w:marBottom w:val="0"/>
              <w:divBdr>
                <w:top w:val="none" w:sz="0" w:space="0" w:color="auto"/>
                <w:left w:val="none" w:sz="0" w:space="0" w:color="auto"/>
                <w:bottom w:val="none" w:sz="0" w:space="0" w:color="auto"/>
                <w:right w:val="none" w:sz="0" w:space="0" w:color="auto"/>
              </w:divBdr>
              <w:divsChild>
                <w:div w:id="1267467893">
                  <w:marLeft w:val="-225"/>
                  <w:marRight w:val="-225"/>
                  <w:marTop w:val="0"/>
                  <w:marBottom w:val="0"/>
                  <w:divBdr>
                    <w:top w:val="none" w:sz="0" w:space="0" w:color="auto"/>
                    <w:left w:val="none" w:sz="0" w:space="0" w:color="auto"/>
                    <w:bottom w:val="none" w:sz="0" w:space="0" w:color="auto"/>
                    <w:right w:val="none" w:sz="0" w:space="0" w:color="auto"/>
                  </w:divBdr>
                  <w:divsChild>
                    <w:div w:id="294721683">
                      <w:marLeft w:val="0"/>
                      <w:marRight w:val="0"/>
                      <w:marTop w:val="0"/>
                      <w:marBottom w:val="0"/>
                      <w:divBdr>
                        <w:top w:val="none" w:sz="0" w:space="0" w:color="auto"/>
                        <w:left w:val="none" w:sz="0" w:space="0" w:color="auto"/>
                        <w:bottom w:val="none" w:sz="0" w:space="0" w:color="auto"/>
                        <w:right w:val="none" w:sz="0" w:space="0" w:color="auto"/>
                      </w:divBdr>
                      <w:divsChild>
                        <w:div w:id="261493261">
                          <w:marLeft w:val="0"/>
                          <w:marRight w:val="0"/>
                          <w:marTop w:val="0"/>
                          <w:marBottom w:val="0"/>
                          <w:divBdr>
                            <w:top w:val="none" w:sz="0" w:space="0" w:color="auto"/>
                            <w:left w:val="none" w:sz="0" w:space="0" w:color="auto"/>
                            <w:bottom w:val="none" w:sz="0" w:space="0" w:color="auto"/>
                            <w:right w:val="none" w:sz="0" w:space="0" w:color="auto"/>
                          </w:divBdr>
                          <w:divsChild>
                            <w:div w:id="1221862092">
                              <w:marLeft w:val="0"/>
                              <w:marRight w:val="0"/>
                              <w:marTop w:val="0"/>
                              <w:marBottom w:val="0"/>
                              <w:divBdr>
                                <w:top w:val="none" w:sz="0" w:space="0" w:color="auto"/>
                                <w:left w:val="none" w:sz="0" w:space="0" w:color="auto"/>
                                <w:bottom w:val="none" w:sz="0" w:space="0" w:color="auto"/>
                                <w:right w:val="none" w:sz="0" w:space="0" w:color="auto"/>
                              </w:divBdr>
                              <w:divsChild>
                                <w:div w:id="939752629">
                                  <w:marLeft w:val="300"/>
                                  <w:marRight w:val="300"/>
                                  <w:marTop w:val="300"/>
                                  <w:marBottom w:val="300"/>
                                  <w:divBdr>
                                    <w:top w:val="single" w:sz="6" w:space="31" w:color="D4D4D4"/>
                                    <w:left w:val="single" w:sz="6" w:space="31" w:color="D4D4D4"/>
                                    <w:bottom w:val="single" w:sz="6" w:space="31" w:color="D4D4D4"/>
                                    <w:right w:val="single" w:sz="6" w:space="31" w:color="D4D4D4"/>
                                  </w:divBdr>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9572ED61</Template>
  <TotalTime>1</TotalTime>
  <Pages>6</Pages>
  <Words>1528</Words>
  <Characters>8715</Characters>
  <Application>Microsoft Office Word</Application>
  <DocSecurity>0</DocSecurity>
  <Lines>72</Lines>
  <Paragraphs>20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10223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Sarah Hill</dc:creator>
  <cp:keywords/>
  <dc:description/>
  <cp:lastModifiedBy>Sarah Hill</cp:lastModifiedBy>
  <cp:revision>2</cp:revision>
  <cp:lastPrinted>2018-10-24T14:57:00Z</cp:lastPrinted>
  <dcterms:created xsi:type="dcterms:W3CDTF">2018-10-25T10:44:00Z</dcterms:created>
  <dcterms:modified xsi:type="dcterms:W3CDTF">2018-10-25T10:44:00Z</dcterms:modified>
</cp:coreProperties>
</file>