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D64E8" w14:textId="0D33659D" w:rsidR="00AF5F1F" w:rsidRDefault="00AF5F1F" w:rsidP="00AF5F1F">
      <w:pPr>
        <w:jc w:val="center"/>
      </w:pPr>
      <w:r>
        <w:t>Name: Aliya Kausar</w:t>
      </w:r>
    </w:p>
    <w:p w14:paraId="57228F95" w14:textId="2E4A55D8" w:rsidR="00AF5F1F" w:rsidRDefault="00AF5F1F" w:rsidP="00AF5F1F">
      <w:pPr>
        <w:jc w:val="center"/>
      </w:pPr>
      <w:r>
        <w:t>Student: 2543584</w:t>
      </w:r>
    </w:p>
    <w:p w14:paraId="04BF1083" w14:textId="0D86D6E1" w:rsidR="00AF5F1F" w:rsidRDefault="00AF5F1F" w:rsidP="00AF5F1F">
      <w:pPr>
        <w:jc w:val="center"/>
      </w:pPr>
      <w:r>
        <w:t>Module: Introduction To Health &amp; Social Care</w:t>
      </w:r>
    </w:p>
    <w:p w14:paraId="670E650F" w14:textId="03B5E153" w:rsidR="00AF5F1F" w:rsidRDefault="00AF5F1F" w:rsidP="00AF5F1F">
      <w:pPr>
        <w:tabs>
          <w:tab w:val="left" w:pos="2244"/>
        </w:tabs>
        <w:jc w:val="center"/>
      </w:pPr>
      <w:r>
        <w:t>Module Code: LCHS 4003</w:t>
      </w:r>
    </w:p>
    <w:p w14:paraId="6789EC14" w14:textId="025FD9BA" w:rsidR="00AF5F1F" w:rsidRDefault="00AF5F1F" w:rsidP="00AF5F1F">
      <w:pPr>
        <w:jc w:val="center"/>
      </w:pPr>
      <w:r>
        <w:t>Lecture: Emmanuel Asante</w:t>
      </w:r>
    </w:p>
    <w:p w14:paraId="3FD90159" w14:textId="77777777" w:rsidR="00AF5F1F" w:rsidRDefault="00AF5F1F" w:rsidP="00AF5F1F">
      <w:pPr>
        <w:jc w:val="center"/>
      </w:pPr>
    </w:p>
    <w:p w14:paraId="6CF8211A" w14:textId="77777777" w:rsidR="00AF5F1F" w:rsidRDefault="00AF5F1F" w:rsidP="00AF5F1F">
      <w:pPr>
        <w:jc w:val="center"/>
      </w:pPr>
    </w:p>
    <w:p w14:paraId="4EBB36E5" w14:textId="77777777" w:rsidR="00AF5F1F" w:rsidRDefault="00AF5F1F" w:rsidP="00AF5F1F">
      <w:pPr>
        <w:jc w:val="center"/>
      </w:pPr>
    </w:p>
    <w:p w14:paraId="0A9B40A3" w14:textId="77777777" w:rsidR="00AF5F1F" w:rsidRDefault="00AF5F1F" w:rsidP="00AF5F1F">
      <w:pPr>
        <w:jc w:val="center"/>
      </w:pPr>
    </w:p>
    <w:p w14:paraId="2AB78CED" w14:textId="77777777" w:rsidR="00AF5F1F" w:rsidRDefault="00AF5F1F" w:rsidP="00AF5F1F">
      <w:pPr>
        <w:jc w:val="center"/>
      </w:pPr>
    </w:p>
    <w:p w14:paraId="2688B1B6" w14:textId="77777777" w:rsidR="00AF5F1F" w:rsidRDefault="00AF5F1F" w:rsidP="00AF5F1F">
      <w:pPr>
        <w:jc w:val="center"/>
      </w:pPr>
    </w:p>
    <w:p w14:paraId="27B80C2E" w14:textId="77777777" w:rsidR="00AF5F1F" w:rsidRDefault="00AF5F1F" w:rsidP="00AF5F1F">
      <w:pPr>
        <w:jc w:val="center"/>
      </w:pPr>
    </w:p>
    <w:p w14:paraId="5F6198A0" w14:textId="77777777" w:rsidR="00AF5F1F" w:rsidRDefault="00AF5F1F" w:rsidP="00AF5F1F">
      <w:pPr>
        <w:jc w:val="center"/>
      </w:pPr>
    </w:p>
    <w:p w14:paraId="477D973F" w14:textId="77777777" w:rsidR="00AF5F1F" w:rsidRDefault="00AF5F1F" w:rsidP="00AF5F1F">
      <w:pPr>
        <w:jc w:val="center"/>
      </w:pPr>
    </w:p>
    <w:p w14:paraId="46598AF7" w14:textId="77777777" w:rsidR="00AF5F1F" w:rsidRDefault="00AF5F1F" w:rsidP="00AF5F1F">
      <w:pPr>
        <w:jc w:val="center"/>
      </w:pPr>
    </w:p>
    <w:p w14:paraId="2E3DACBB" w14:textId="77777777" w:rsidR="00AF5F1F" w:rsidRDefault="00AF5F1F" w:rsidP="00AF5F1F">
      <w:pPr>
        <w:jc w:val="center"/>
      </w:pPr>
    </w:p>
    <w:p w14:paraId="3526855C" w14:textId="77777777" w:rsidR="00AF5F1F" w:rsidRDefault="00AF5F1F" w:rsidP="00AF5F1F">
      <w:pPr>
        <w:jc w:val="center"/>
      </w:pPr>
    </w:p>
    <w:p w14:paraId="4E3D41D2" w14:textId="77777777" w:rsidR="00AF5F1F" w:rsidRDefault="00AF5F1F" w:rsidP="00AF5F1F">
      <w:pPr>
        <w:jc w:val="center"/>
      </w:pPr>
    </w:p>
    <w:p w14:paraId="3740F612" w14:textId="77777777" w:rsidR="00AF5F1F" w:rsidRDefault="00AF5F1F" w:rsidP="00AF5F1F">
      <w:pPr>
        <w:jc w:val="center"/>
      </w:pPr>
    </w:p>
    <w:p w14:paraId="1FAFA258" w14:textId="77777777" w:rsidR="00AF5F1F" w:rsidRDefault="00AF5F1F" w:rsidP="00AF5F1F">
      <w:pPr>
        <w:jc w:val="center"/>
      </w:pPr>
    </w:p>
    <w:p w14:paraId="37976EFB" w14:textId="77777777" w:rsidR="00AF5F1F" w:rsidRDefault="00AF5F1F" w:rsidP="00AF5F1F">
      <w:pPr>
        <w:jc w:val="center"/>
      </w:pPr>
    </w:p>
    <w:p w14:paraId="7B3732BB" w14:textId="77777777" w:rsidR="00AF5F1F" w:rsidRDefault="00AF5F1F" w:rsidP="00AF5F1F">
      <w:pPr>
        <w:jc w:val="center"/>
      </w:pPr>
    </w:p>
    <w:p w14:paraId="5CE0F7AA" w14:textId="77777777" w:rsidR="00AF5F1F" w:rsidRDefault="00AF5F1F" w:rsidP="00AF5F1F">
      <w:pPr>
        <w:jc w:val="center"/>
      </w:pPr>
    </w:p>
    <w:p w14:paraId="79583BF6" w14:textId="77777777" w:rsidR="00AF5F1F" w:rsidRDefault="00AF5F1F" w:rsidP="00AF5F1F">
      <w:pPr>
        <w:jc w:val="center"/>
      </w:pPr>
    </w:p>
    <w:p w14:paraId="4E70D66A" w14:textId="77777777" w:rsidR="00AF5F1F" w:rsidRDefault="00AF5F1F" w:rsidP="00AF5F1F">
      <w:pPr>
        <w:jc w:val="center"/>
      </w:pPr>
    </w:p>
    <w:p w14:paraId="46D79C34" w14:textId="77777777" w:rsidR="00AF5F1F" w:rsidRDefault="00AF5F1F" w:rsidP="00AF5F1F">
      <w:pPr>
        <w:jc w:val="center"/>
      </w:pPr>
    </w:p>
    <w:p w14:paraId="3264D3E4" w14:textId="77777777" w:rsidR="00AF5F1F" w:rsidRDefault="00AF5F1F" w:rsidP="00AF5F1F">
      <w:pPr>
        <w:jc w:val="center"/>
      </w:pPr>
    </w:p>
    <w:p w14:paraId="64E023FD" w14:textId="77777777" w:rsidR="00AF5F1F" w:rsidRDefault="00AF5F1F" w:rsidP="00AF5F1F">
      <w:pPr>
        <w:jc w:val="center"/>
      </w:pPr>
    </w:p>
    <w:p w14:paraId="5BF68BD5"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lastRenderedPageBreak/>
        <w:t>Task 1</w:t>
      </w:r>
    </w:p>
    <w:p w14:paraId="1C5F560E"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 xml:space="preserve">To: Councillor Anne-Marie Sonko, Cabinet Member for Adult Social Care and Health, Warwickshire County Council  </w:t>
      </w:r>
    </w:p>
    <w:p w14:paraId="10750B3D"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 xml:space="preserve">From: Health and Social Care Student  </w:t>
      </w:r>
    </w:p>
    <w:p w14:paraId="753CE6D1"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 xml:space="preserve">Date: 07 October 2026  </w:t>
      </w:r>
    </w:p>
    <w:p w14:paraId="3C6FE0F4"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Subject: Improving Access to Community Mental Health Services in Nuneaton</w:t>
      </w:r>
    </w:p>
    <w:p w14:paraId="2B15C23D"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Introduction</w:t>
      </w:r>
    </w:p>
    <w:p w14:paraId="7CC97094"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People with mental health issues can stay in their own homes and communities with the help of community mental health services. Counselling, psychological treatments, community psychiatric nursing, crisis support, recovery programs, and help with daily life are some examples of these services. They are crucial because mental health issues can have an impact on a person's independence, relationships, work, education, and physical health.</w:t>
      </w:r>
    </w:p>
    <w:p w14:paraId="56F0D679"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 xml:space="preserve">One issue that </w:t>
      </w:r>
      <w:proofErr w:type="gramStart"/>
      <w:r>
        <w:rPr>
          <w:rFonts w:ascii="Times New Roman" w:eastAsia="Times New Roman" w:hAnsi="Times New Roman" w:cs="Times New Roman"/>
          <w:sz w:val="20"/>
        </w:rPr>
        <w:t>has to</w:t>
      </w:r>
      <w:proofErr w:type="gramEnd"/>
      <w:r>
        <w:rPr>
          <w:rFonts w:ascii="Times New Roman" w:eastAsia="Times New Roman" w:hAnsi="Times New Roman" w:cs="Times New Roman"/>
          <w:sz w:val="20"/>
        </w:rPr>
        <w:t xml:space="preserve"> be looked upon in Nuneaton is the lack of readily available community mental health services. Individuals may have trouble receiving appropriate local help or timely assessments. Through collaboration, early intervention, and more effective use of already-existing community resources, this paper suggests expanding access to community services.</w:t>
      </w:r>
    </w:p>
    <w:p w14:paraId="7060D1C5"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An essential legislative basis for adult social care in England is provided by the Care Act of 2014. Local governments are required by Section 1 to support individual well-being, which includes relationships, mental and emotional health, and control over day-to-day activities. Local governments are required under Section 2 to take action to stop or postpone the emergence of care and support requirements (Great Britain, 2014). These obligations bolster the argument for easily available, proactive community services.</w:t>
      </w:r>
    </w:p>
    <w:p w14:paraId="4D5C6F65"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Impact of the Issue on the Community</w:t>
      </w:r>
    </w:p>
    <w:p w14:paraId="6E2A670E"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Individuals, families, and the larger society may suffer greatly from limited access to mental health services. Individuals with anxiety, depression, or more complicated mental health issues may find it difficult to go about their daily lives, keep a job, and engage in social activities. Some people may experience a decrease in their well-being or become lonely in the absence of appropriate assistance.</w:t>
      </w:r>
    </w:p>
    <w:p w14:paraId="6BC07D78"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Supporting family members without enough professional help can also cause stress for families and unpaid carers. Their personal connections, income, and health may all be impacted. If problems are not addressed right once, they may worsen and require hospitalisation or crisis care.</w:t>
      </w:r>
    </w:p>
    <w:p w14:paraId="529A4853"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The NHS England Community Mental Health Framework (2019) advocates integrated, person-centred provision to support those with severe mental health needs within community settings (NHS England and NHS Improvement, 2019). This approach is especially pertinent to Nuneaton, where effective support must address not only clinical symptoms but also wider determinants: housing, employment, interpersonal relationships, and social inclusion.</w:t>
      </w:r>
    </w:p>
    <w:p w14:paraId="03D56901"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However, service expansion necessitates careful planning. Assessment of demand, staffing capacity, and available funding is required prior to determining the precise scale of local provision shortfalls. Centring the experiences of service users and carers would further facilitate identification of the most pressing gaps.</w:t>
      </w:r>
    </w:p>
    <w:p w14:paraId="2D29FE77"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Recommended Response</w:t>
      </w:r>
    </w:p>
    <w:p w14:paraId="3F13F06D"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It is recommended that Warwickshire County Council collaborate with Coventry and Warwickshire Partnership NHS Trust, local voluntary sector organisations, general practitioners, and individuals with lived experience to enhance community mental health provision.</w:t>
      </w:r>
    </w:p>
    <w:p w14:paraId="7AFB4D3A"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lastRenderedPageBreak/>
        <w:t>The council should gather data on waiting times, referrals, unmet need, and service user experiences. Public consultation must engage residents, families, and carers. This will enable decision‑makers to identify neighbourhoods and groups encountering the most significant access barriers.</w:t>
      </w:r>
    </w:p>
    <w:p w14:paraId="15CE9CCA"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The council and NHS partners should enhance access to community‑based advice, counselling, wellbeing initiatives, and targeted psychological support. Robust referral pathways will facilitate timely, appropriate intervention before needs escalate. Early action may improve wellbeing and mitigate unnecessary demand on emergency services, though its effectiveness must be monitored rather than presumed.</w:t>
      </w:r>
    </w:p>
    <w:p w14:paraId="3261A875"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Mental health practitioners should collaborate with social workers, housing providers, employment advisers, and voluntary sector bodies. A coordinated framework enables concurrent addressing of multiple interconnected challenges. The Care Act 2014 advances preventative practice and directs local authorities to leverage available services and resources when designing support (Great Britain, 2014).</w:t>
      </w:r>
    </w:p>
    <w:p w14:paraId="67885762"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Individuals experiencing mental health difficulties should be involved in service design and evaluation. Flexible appointments, accessible information, interpretation provision, and diverse contact channels can enhance access for those facing practical or communication barriers.</w:t>
      </w:r>
    </w:p>
    <w:p w14:paraId="748D445B"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The council and its partners should monitor waiting times, service‑user feedback, referral outcomes, and access inequalities. Resource allocation must be responsive to identified need, with regular progress review.</w:t>
      </w:r>
    </w:p>
    <w:p w14:paraId="6A845DA1"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Conclusion</w:t>
      </w:r>
    </w:p>
    <w:p w14:paraId="7308CC04"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Community mental health services foster independence, emotional wellbeing, and civic participation among residents. A local assessment in Nuneaton must identify provision shortfalls and disproportionately affected groups. Warwickshire County Council should collaborate with NHS providers and voluntary organisations to reinforce prevention, early intervention, and integrated care.</w:t>
      </w:r>
    </w:p>
    <w:p w14:paraId="3387B030"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The Care Act 2014 establishes a statutory basis for advancing wellbeing and preventing or postponing the onset of care and support needs. Through resident engagement, evidence‑based service planning, and outcome monitoring, the council can progress toward more accessible, person‑centred community mental health provision.</w:t>
      </w:r>
    </w:p>
    <w:p w14:paraId="777EE924" w14:textId="77777777" w:rsidR="00AF5F1F" w:rsidRDefault="00AF5F1F" w:rsidP="00AF5F1F">
      <w:pPr>
        <w:spacing w:after="200" w:line="276" w:lineRule="auto"/>
        <w:rPr>
          <w:rFonts w:ascii="Times New Roman" w:eastAsia="Times New Roman" w:hAnsi="Times New Roman" w:cs="Times New Roman"/>
          <w:sz w:val="20"/>
        </w:rPr>
      </w:pPr>
    </w:p>
    <w:p w14:paraId="5AC303C3" w14:textId="77777777" w:rsidR="00AF5F1F" w:rsidRDefault="00AF5F1F" w:rsidP="00AF5F1F">
      <w:pPr>
        <w:spacing w:after="200" w:line="276" w:lineRule="auto"/>
        <w:rPr>
          <w:rFonts w:ascii="Times New Roman" w:eastAsia="Times New Roman" w:hAnsi="Times New Roman" w:cs="Times New Roman"/>
          <w:sz w:val="20"/>
        </w:rPr>
      </w:pPr>
    </w:p>
    <w:p w14:paraId="49A89CCD" w14:textId="77777777" w:rsidR="00AF5F1F" w:rsidRDefault="00AF5F1F" w:rsidP="00AF5F1F">
      <w:pPr>
        <w:spacing w:after="200" w:line="276" w:lineRule="auto"/>
        <w:rPr>
          <w:rFonts w:ascii="Times New Roman" w:eastAsia="Times New Roman" w:hAnsi="Times New Roman" w:cs="Times New Roman"/>
          <w:sz w:val="20"/>
        </w:rPr>
      </w:pPr>
    </w:p>
    <w:p w14:paraId="6164B23C" w14:textId="77777777" w:rsidR="00AF5F1F" w:rsidRDefault="00AF5F1F" w:rsidP="00AF5F1F">
      <w:pPr>
        <w:spacing w:after="200" w:line="276" w:lineRule="auto"/>
        <w:rPr>
          <w:rFonts w:ascii="Times New Roman" w:eastAsia="Times New Roman" w:hAnsi="Times New Roman" w:cs="Times New Roman"/>
          <w:sz w:val="20"/>
        </w:rPr>
      </w:pPr>
    </w:p>
    <w:p w14:paraId="4F07A9E9" w14:textId="77777777" w:rsidR="00AF5F1F" w:rsidRDefault="00AF5F1F" w:rsidP="00AF5F1F">
      <w:pPr>
        <w:spacing w:after="200" w:line="276" w:lineRule="auto"/>
        <w:rPr>
          <w:rFonts w:ascii="Times New Roman" w:eastAsia="Times New Roman" w:hAnsi="Times New Roman" w:cs="Times New Roman"/>
          <w:sz w:val="20"/>
        </w:rPr>
      </w:pPr>
    </w:p>
    <w:p w14:paraId="5EB087D6" w14:textId="77777777" w:rsidR="00AF5F1F" w:rsidRDefault="00AF5F1F" w:rsidP="00AF5F1F">
      <w:pPr>
        <w:spacing w:after="200" w:line="276" w:lineRule="auto"/>
        <w:rPr>
          <w:rFonts w:ascii="Times New Roman" w:eastAsia="Times New Roman" w:hAnsi="Times New Roman" w:cs="Times New Roman"/>
          <w:sz w:val="20"/>
        </w:rPr>
      </w:pPr>
    </w:p>
    <w:p w14:paraId="0F02511C" w14:textId="77777777" w:rsidR="00AF5F1F" w:rsidRDefault="00AF5F1F" w:rsidP="00AF5F1F">
      <w:pPr>
        <w:spacing w:after="200" w:line="276" w:lineRule="auto"/>
        <w:rPr>
          <w:rFonts w:ascii="Times New Roman" w:eastAsia="Times New Roman" w:hAnsi="Times New Roman" w:cs="Times New Roman"/>
          <w:sz w:val="20"/>
        </w:rPr>
      </w:pPr>
    </w:p>
    <w:p w14:paraId="5F3343FE" w14:textId="77777777" w:rsidR="00AF5F1F" w:rsidRDefault="00AF5F1F" w:rsidP="00AF5F1F">
      <w:pPr>
        <w:spacing w:after="200" w:line="276" w:lineRule="auto"/>
        <w:rPr>
          <w:rFonts w:ascii="Times New Roman" w:eastAsia="Times New Roman" w:hAnsi="Times New Roman" w:cs="Times New Roman"/>
          <w:sz w:val="20"/>
        </w:rPr>
      </w:pPr>
    </w:p>
    <w:p w14:paraId="23BD1C46" w14:textId="77777777" w:rsidR="00AF5F1F" w:rsidRDefault="00AF5F1F" w:rsidP="00AF5F1F">
      <w:pPr>
        <w:spacing w:after="200" w:line="276" w:lineRule="auto"/>
        <w:rPr>
          <w:rFonts w:ascii="Times New Roman" w:eastAsia="Times New Roman" w:hAnsi="Times New Roman" w:cs="Times New Roman"/>
          <w:sz w:val="20"/>
        </w:rPr>
      </w:pPr>
    </w:p>
    <w:p w14:paraId="64943BD6" w14:textId="77777777" w:rsidR="00AF5F1F" w:rsidRDefault="00AF5F1F" w:rsidP="00AF5F1F">
      <w:pPr>
        <w:spacing w:after="200" w:line="276" w:lineRule="auto"/>
        <w:rPr>
          <w:rFonts w:ascii="Times New Roman" w:eastAsia="Times New Roman" w:hAnsi="Times New Roman" w:cs="Times New Roman"/>
          <w:sz w:val="20"/>
        </w:rPr>
      </w:pPr>
    </w:p>
    <w:p w14:paraId="25C87901" w14:textId="77777777" w:rsidR="00AF5F1F" w:rsidRDefault="00AF5F1F" w:rsidP="00AF5F1F">
      <w:pPr>
        <w:spacing w:after="200" w:line="276" w:lineRule="auto"/>
        <w:rPr>
          <w:rFonts w:ascii="Times New Roman" w:eastAsia="Times New Roman" w:hAnsi="Times New Roman" w:cs="Times New Roman"/>
          <w:sz w:val="20"/>
        </w:rPr>
      </w:pPr>
    </w:p>
    <w:p w14:paraId="3DBED302" w14:textId="77777777" w:rsidR="00AF5F1F" w:rsidRDefault="00AF5F1F" w:rsidP="00AF5F1F">
      <w:pPr>
        <w:spacing w:after="200" w:line="276" w:lineRule="auto"/>
        <w:rPr>
          <w:rFonts w:ascii="Times New Roman" w:eastAsia="Times New Roman" w:hAnsi="Times New Roman" w:cs="Times New Roman"/>
          <w:sz w:val="20"/>
        </w:rPr>
      </w:pPr>
    </w:p>
    <w:p w14:paraId="16D6E34C" w14:textId="5ED21D6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lastRenderedPageBreak/>
        <w:t>Task 2</w:t>
      </w:r>
    </w:p>
    <w:p w14:paraId="4CDA9C79"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 xml:space="preserve">Introduction </w:t>
      </w:r>
    </w:p>
    <w:p w14:paraId="79B19AD5"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 xml:space="preserve">Community antenatal midwifery services provide essential care and guidance to pregnant women throughout pregnancy. Midwives support women by monitoring their health, assessing </w:t>
      </w:r>
      <w:proofErr w:type="spellStart"/>
      <w:r>
        <w:rPr>
          <w:rFonts w:ascii="Times New Roman" w:eastAsia="Times New Roman" w:hAnsi="Times New Roman" w:cs="Times New Roman"/>
          <w:sz w:val="20"/>
        </w:rPr>
        <w:t>fetal</w:t>
      </w:r>
      <w:proofErr w:type="spellEnd"/>
      <w:r>
        <w:rPr>
          <w:rFonts w:ascii="Times New Roman" w:eastAsia="Times New Roman" w:hAnsi="Times New Roman" w:cs="Times New Roman"/>
          <w:sz w:val="20"/>
        </w:rPr>
        <w:t xml:space="preserve"> development, delivering health education and identifying potential complications. This essay examines the historical development of community antenatal midwifery services, evaluates their current provision and discusses their significance in enhancing the quality of life of women and their families.</w:t>
      </w:r>
    </w:p>
    <w:p w14:paraId="2D8DC528" w14:textId="77777777" w:rsidR="00AF5F1F" w:rsidRDefault="00AF5F1F" w:rsidP="00AF5F1F">
      <w:pPr>
        <w:spacing w:after="200" w:line="276" w:lineRule="auto"/>
        <w:rPr>
          <w:rFonts w:ascii="Times New Roman" w:eastAsia="Times New Roman" w:hAnsi="Times New Roman" w:cs="Times New Roman"/>
          <w:sz w:val="20"/>
        </w:rPr>
      </w:pPr>
    </w:p>
    <w:p w14:paraId="32D15909"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Historical Development of Midwifery Services</w:t>
      </w:r>
    </w:p>
    <w:p w14:paraId="24518F61"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Midwifery has a long-standing history in the United Kingdom. Traditionally, childbirth predominantly occurred at home, with women supported by experienced birth attendants and community midwives. However, advances in training, professional regulation and medical knowledge gradually transformed the provision of maternity care.</w:t>
      </w:r>
    </w:p>
    <w:p w14:paraId="67F63F4C"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A significant milestone was the Midwives Act 1902, which introduced formal regulation of midwifery in England and Wales. This legislation helped establish professional standards, improve midwives’ training and strengthen accountability. Over time, antenatal care became increasingly structured, with greater emphasis on monitoring maternal health and identifying potential risks during pregnancy.</w:t>
      </w:r>
    </w:p>
    <w:p w14:paraId="6CE73640"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The establishment of the National Health Service (NHS) in 1948 marked another significant development, expanding access to healthcare, including maternity services. In the following decades, maternity care increasingly integrated community-based support with hospital-based medical services.</w:t>
      </w:r>
    </w:p>
    <w:p w14:paraId="7D1927D0"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In 1993, the report Changing Childbirth advocated a more woman-centred approach to maternity care, emphasising choice, continuity and women’s involvement in decisions regarding pregnancy and childbirth (Department of Health, 1993). More recently, Better Births, published in 2016, promoted safer, personalised maternity services and greater continuity of care (NHS England, 2016). These developments demonstrate a gradual transition from traditional birth assistance towards professional, evidence-based and person-centred maternity care.</w:t>
      </w:r>
    </w:p>
    <w:p w14:paraId="49194C6D" w14:textId="77777777" w:rsidR="00AF5F1F" w:rsidRDefault="00AF5F1F" w:rsidP="00AF5F1F">
      <w:pPr>
        <w:spacing w:after="200" w:line="276" w:lineRule="auto"/>
        <w:rPr>
          <w:rFonts w:ascii="Times New Roman" w:eastAsia="Times New Roman" w:hAnsi="Times New Roman" w:cs="Times New Roman"/>
          <w:sz w:val="20"/>
        </w:rPr>
      </w:pPr>
    </w:p>
    <w:p w14:paraId="6A95C0CB"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How Community Antenatal Midwifery Services Function Today</w:t>
      </w:r>
    </w:p>
    <w:p w14:paraId="0E122BBA"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Today, community antenatal midwives provide care in settings such as GP surgeries, health centres, community clinics and, where appropriate, women’s homes. They collaborate with other healthcare professionals, including GPs, obstetricians, health visitors and specialist teams, to ensure coordinated and comprehensive maternity care.</w:t>
      </w:r>
    </w:p>
    <w:p w14:paraId="6A243B56"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The National Institute for Health and Care Excellence (NICE, 2021) recommends that pregnant women are offered their first antenatal appointment, known as the booking appointment, by 10 weeks of pregnancy. During this appointment, the midwife discusses the woman’s medical and obstetric history, general health, medications and any social or emotional concerns. Blood tests and available screening options are also explained.</w:t>
      </w:r>
    </w:p>
    <w:p w14:paraId="0B053800"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 xml:space="preserve">Throughout pregnancy, midwives conduct regular appointments to monitor maternal health and </w:t>
      </w:r>
      <w:proofErr w:type="spellStart"/>
      <w:r>
        <w:rPr>
          <w:rFonts w:ascii="Times New Roman" w:eastAsia="Times New Roman" w:hAnsi="Times New Roman" w:cs="Times New Roman"/>
          <w:sz w:val="20"/>
        </w:rPr>
        <w:t>fetal</w:t>
      </w:r>
      <w:proofErr w:type="spellEnd"/>
      <w:r>
        <w:rPr>
          <w:rFonts w:ascii="Times New Roman" w:eastAsia="Times New Roman" w:hAnsi="Times New Roman" w:cs="Times New Roman"/>
          <w:sz w:val="20"/>
        </w:rPr>
        <w:t xml:space="preserve"> development. These may involve checking blood pressure, arranging investigations, assessing </w:t>
      </w:r>
      <w:proofErr w:type="spellStart"/>
      <w:r>
        <w:rPr>
          <w:rFonts w:ascii="Times New Roman" w:eastAsia="Times New Roman" w:hAnsi="Times New Roman" w:cs="Times New Roman"/>
          <w:sz w:val="20"/>
        </w:rPr>
        <w:t>fetal</w:t>
      </w:r>
      <w:proofErr w:type="spellEnd"/>
      <w:r>
        <w:rPr>
          <w:rFonts w:ascii="Times New Roman" w:eastAsia="Times New Roman" w:hAnsi="Times New Roman" w:cs="Times New Roman"/>
          <w:sz w:val="20"/>
        </w:rPr>
        <w:t xml:space="preserve"> growth and identifying signs that require further medical assessment. Midwives also provide guidance on nutrition, supplements, smoking, alcohol, physical activity and preparation for childbirth.</w:t>
      </w:r>
    </w:p>
    <w:p w14:paraId="6241FEBC"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 xml:space="preserve">A key strength of community antenatal care is its focus on prevention. Early identification of potential complications enables women to receive additional monitoring or specialist treatment when necessary. NICE </w:t>
      </w:r>
      <w:r>
        <w:rPr>
          <w:rFonts w:ascii="Times New Roman" w:eastAsia="Times New Roman" w:hAnsi="Times New Roman" w:cs="Times New Roman"/>
          <w:sz w:val="20"/>
        </w:rPr>
        <w:lastRenderedPageBreak/>
        <w:t>(2021) also recommends tailoring care to each woman’s medical, social and emotional needs. Information should be provided in accessible formats, with interpreting services available where required.</w:t>
      </w:r>
    </w:p>
    <w:p w14:paraId="18D66EFB"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However, community antenatal services face several challenges, including staff shortages, limited appointment availability and transport difficulties. NICE (2021) highlights inequalities in timely access to booking appointments among different population groups. Women experiencing poverty, language barriers or housing instability may face additional difficulties accessing appropriate antenatal care.</w:t>
      </w:r>
    </w:p>
    <w:p w14:paraId="756C503F"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Another challenge is maintaining continuity of care, particularly when women see different midwives at successive appointments. Continuity can foster trust and strengthen relationships; however, achieving this requires adequate staffing and effective service organisation. Therefore, although community antenatal services provide essential support, their effectiveness depends on sufficient resources, effective communication and equitable access to care.</w:t>
      </w:r>
    </w:p>
    <w:p w14:paraId="574F8283" w14:textId="77777777" w:rsidR="00AF5F1F" w:rsidRDefault="00AF5F1F" w:rsidP="00AF5F1F">
      <w:pPr>
        <w:spacing w:after="200" w:line="276" w:lineRule="auto"/>
        <w:rPr>
          <w:rFonts w:ascii="Times New Roman" w:eastAsia="Times New Roman" w:hAnsi="Times New Roman" w:cs="Times New Roman"/>
          <w:sz w:val="20"/>
        </w:rPr>
      </w:pPr>
    </w:p>
    <w:p w14:paraId="204EBE93"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Importance for Service Users' Quality of Life</w:t>
      </w:r>
    </w:p>
    <w:p w14:paraId="07F1BEDC"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Community antenatal midwifery can enhance quality of life by promoting physical health, emotional well-being and informed decision-making. Regular appointments provide opportunities for women to discuss concerns and understand the changes associated with pregnancy. Clear information also helps women prepare for labour, childbirth and caring for their newborn.</w:t>
      </w:r>
    </w:p>
    <w:p w14:paraId="6033ACE6"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Early identification of health concerns can improve safety by enabling timely assessment and treatment. Midwives can sensitively address mental health, domestic abuse and social difficulties, supporting women to access appropriate services. With the woman’s consent, referrals and effective communication between professionals can promote coordinated and comprehensive care.</w:t>
      </w:r>
    </w:p>
    <w:p w14:paraId="397CEF7D"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Community services may also offer greater convenience than hospital-based appointments, particularly for women living far from hospitals or managing caring responsibilities. Involving women in decisions about their care can strengthen confidence and promote feelings of respect. NICE (2021) recommends involving partners according to the woman’s preferences, while recognising that she remains central to decisions about her care.</w:t>
      </w:r>
    </w:p>
    <w:p w14:paraId="08FC5286"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However, these benefits are not experienced equally by all women. Long waiting times, limited appointment availability and communication barriers may compromise care quality. Services should therefore be evaluated using women’s feedback, access data and clinical outcomes. Improving accessibility and continuity of care would help ensure that more women and their families benefit from antenatal support.</w:t>
      </w:r>
    </w:p>
    <w:p w14:paraId="52F6966D" w14:textId="77777777" w:rsidR="00AF5F1F" w:rsidRDefault="00AF5F1F" w:rsidP="00AF5F1F">
      <w:pPr>
        <w:spacing w:after="200" w:line="276" w:lineRule="auto"/>
        <w:rPr>
          <w:rFonts w:ascii="Times New Roman" w:eastAsia="Times New Roman" w:hAnsi="Times New Roman" w:cs="Times New Roman"/>
          <w:sz w:val="20"/>
        </w:rPr>
      </w:pPr>
    </w:p>
    <w:p w14:paraId="58F5B2D5"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Conclusion</w:t>
      </w:r>
    </w:p>
    <w:p w14:paraId="64DA6A0C"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Community antenatal midwifery services have evolved from traditional birth assistance into a regulated and professional component of modern healthcare. Historical developments, including the Midwives Act 1902, the establishment of the NHS and contemporary policies promoting personalised maternity care, have significantly shaped their evolution.</w:t>
      </w:r>
    </w:p>
    <w:p w14:paraId="2A2331F1"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Today, midwives support women through health monitoring, education, screening and the early identification of potential complications. These services can enhance safety, confidence and emotional well-being. However, inequalities in access and staffing pressures remain significant challenges. Improving continuity, communication and accessibility would enable community antenatal midwifery services to deliver safer, more equitable and person-centred care for women and their families.</w:t>
      </w:r>
    </w:p>
    <w:p w14:paraId="233FAD64" w14:textId="77777777" w:rsidR="00AF5F1F" w:rsidRDefault="00AF5F1F" w:rsidP="00AF5F1F">
      <w:pPr>
        <w:spacing w:after="200" w:line="276" w:lineRule="auto"/>
        <w:rPr>
          <w:rFonts w:ascii="Times New Roman" w:eastAsia="Times New Roman" w:hAnsi="Times New Roman" w:cs="Times New Roman"/>
          <w:sz w:val="20"/>
        </w:rPr>
      </w:pPr>
    </w:p>
    <w:p w14:paraId="5CEB89B4" w14:textId="77777777" w:rsidR="00AF5F1F" w:rsidRDefault="00AF5F1F" w:rsidP="00AF5F1F">
      <w:pPr>
        <w:spacing w:after="200" w:line="276" w:lineRule="auto"/>
        <w:rPr>
          <w:rFonts w:ascii="Times New Roman" w:eastAsia="Times New Roman" w:hAnsi="Times New Roman" w:cs="Times New Roman"/>
          <w:sz w:val="20"/>
        </w:rPr>
      </w:pPr>
    </w:p>
    <w:p w14:paraId="6E0206F7" w14:textId="77777777" w:rsidR="00AF5F1F" w:rsidRDefault="00AF5F1F" w:rsidP="00AF5F1F">
      <w:pPr>
        <w:spacing w:after="200" w:line="276" w:lineRule="auto"/>
        <w:rPr>
          <w:rFonts w:ascii="Times New Roman" w:eastAsia="Times New Roman" w:hAnsi="Times New Roman" w:cs="Times New Roman"/>
          <w:sz w:val="20"/>
        </w:rPr>
      </w:pPr>
    </w:p>
    <w:p w14:paraId="7CB06E5B"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Reference List:</w:t>
      </w:r>
    </w:p>
    <w:p w14:paraId="17868B8D"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 xml:space="preserve">Great Britain (2014) Care Act 2014, Part 1, sections 1–2. Available at: </w:t>
      </w:r>
      <w:hyperlink r:id="rId4">
        <w:r>
          <w:rPr>
            <w:rFonts w:ascii="Times New Roman" w:eastAsia="Times New Roman" w:hAnsi="Times New Roman" w:cs="Times New Roman"/>
            <w:color w:val="0000FF"/>
            <w:sz w:val="20"/>
            <w:u w:val="single"/>
          </w:rPr>
          <w:t>https://www.legislation.gov.uk/ukpga/2014/23/part/1</w:t>
        </w:r>
      </w:hyperlink>
      <w:r>
        <w:rPr>
          <w:rFonts w:ascii="Times New Roman" w:eastAsia="Times New Roman" w:hAnsi="Times New Roman" w:cs="Times New Roman"/>
          <w:sz w:val="20"/>
        </w:rPr>
        <w:t xml:space="preserve"> (Accessed: 08 October 2026).</w:t>
      </w:r>
    </w:p>
    <w:p w14:paraId="1FA468AE"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 xml:space="preserve">NHS England and NHS Improvement (2019) The Community Mental Health Framework for Adults and Older Adults. Available at: </w:t>
      </w:r>
      <w:hyperlink r:id="rId5">
        <w:r>
          <w:rPr>
            <w:rFonts w:ascii="Times New Roman" w:eastAsia="Times New Roman" w:hAnsi="Times New Roman" w:cs="Times New Roman"/>
            <w:color w:val="0000FF"/>
            <w:sz w:val="20"/>
            <w:u w:val="single"/>
          </w:rPr>
          <w:t>https://www.england.nhs.uk/publication/the-community-mental-health-framework-for-adults-and-older-adults/</w:t>
        </w:r>
      </w:hyperlink>
      <w:r>
        <w:rPr>
          <w:rFonts w:ascii="Times New Roman" w:eastAsia="Times New Roman" w:hAnsi="Times New Roman" w:cs="Times New Roman"/>
          <w:sz w:val="20"/>
        </w:rPr>
        <w:t xml:space="preserve"> (Accessed: 08 October 2026).</w:t>
      </w:r>
    </w:p>
    <w:p w14:paraId="76C02C7B" w14:textId="0E363CCE"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 xml:space="preserve">Warwickshire County Council (2026) Warwickshire County Council confirms Cabinet for 2026–27. Available at: </w:t>
      </w:r>
      <w:hyperlink r:id="rId6">
        <w:r>
          <w:rPr>
            <w:rFonts w:ascii="Times New Roman" w:eastAsia="Times New Roman" w:hAnsi="Times New Roman" w:cs="Times New Roman"/>
            <w:color w:val="0000FF"/>
            <w:sz w:val="20"/>
            <w:u w:val="single"/>
          </w:rPr>
          <w:t>https://www.warwickshire.gov.uk/news/article/7653/warwickshire-county-council-confirms-cabinet-for-2026%E2%80%9327</w:t>
        </w:r>
      </w:hyperlink>
      <w:r>
        <w:rPr>
          <w:rFonts w:ascii="Times New Roman" w:eastAsia="Times New Roman" w:hAnsi="Times New Roman" w:cs="Times New Roman"/>
          <w:sz w:val="20"/>
        </w:rPr>
        <w:t xml:space="preserve"> (Accessed: 09 October 2026).</w:t>
      </w:r>
    </w:p>
    <w:p w14:paraId="71C2034D"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Department of Health (1993) Changing Childbirth: Report of the Expert Maternity Group. London: HMSO.</w:t>
      </w:r>
    </w:p>
    <w:p w14:paraId="3B059A0F"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 xml:space="preserve">NHS England (2016) National Maternity Review: Better Births — Improving Outcomes of Maternity Services in England. Available at: </w:t>
      </w:r>
      <w:hyperlink r:id="rId7">
        <w:r>
          <w:rPr>
            <w:rFonts w:ascii="Times New Roman" w:eastAsia="Times New Roman" w:hAnsi="Times New Roman" w:cs="Times New Roman"/>
            <w:color w:val="0000FF"/>
            <w:sz w:val="20"/>
            <w:u w:val="single"/>
          </w:rPr>
          <w:t>https://www.england.nhs.uk/mat-transformation/</w:t>
        </w:r>
      </w:hyperlink>
      <w:r>
        <w:rPr>
          <w:rFonts w:ascii="Times New Roman" w:eastAsia="Times New Roman" w:hAnsi="Times New Roman" w:cs="Times New Roman"/>
          <w:sz w:val="20"/>
        </w:rPr>
        <w:t xml:space="preserve"> (Accessed: 11 October 2026).</w:t>
      </w:r>
    </w:p>
    <w:p w14:paraId="60F3F94E"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 xml:space="preserve">National Institute for Health and Care Excellence (NICE) (2021) Antenatal care. NICE guideline NG201. Available at: </w:t>
      </w:r>
      <w:hyperlink r:id="rId8">
        <w:r>
          <w:rPr>
            <w:rFonts w:ascii="Times New Roman" w:eastAsia="Times New Roman" w:hAnsi="Times New Roman" w:cs="Times New Roman"/>
            <w:color w:val="0000FF"/>
            <w:sz w:val="20"/>
            <w:u w:val="single"/>
          </w:rPr>
          <w:t>https://www.nice.org.uk/guidance/ng201</w:t>
        </w:r>
      </w:hyperlink>
      <w:r>
        <w:rPr>
          <w:rFonts w:ascii="Times New Roman" w:eastAsia="Times New Roman" w:hAnsi="Times New Roman" w:cs="Times New Roman"/>
          <w:sz w:val="20"/>
        </w:rPr>
        <w:t xml:space="preserve"> (Accessed: 11 October 2026).</w:t>
      </w:r>
    </w:p>
    <w:p w14:paraId="0AB00699" w14:textId="77777777" w:rsidR="00AF5F1F" w:rsidRDefault="00AF5F1F" w:rsidP="00AF5F1F">
      <w:pPr>
        <w:spacing w:after="200" w:line="276" w:lineRule="auto"/>
        <w:rPr>
          <w:rFonts w:ascii="Times New Roman" w:eastAsia="Times New Roman" w:hAnsi="Times New Roman" w:cs="Times New Roman"/>
          <w:sz w:val="20"/>
        </w:rPr>
      </w:pPr>
      <w:r>
        <w:rPr>
          <w:rFonts w:ascii="Times New Roman" w:eastAsia="Times New Roman" w:hAnsi="Times New Roman" w:cs="Times New Roman"/>
          <w:sz w:val="20"/>
        </w:rPr>
        <w:t>Great Britain (1902) Midwives Act 1902. London: HMSO.</w:t>
      </w:r>
    </w:p>
    <w:p w14:paraId="52673203" w14:textId="77777777" w:rsidR="00AF5F1F" w:rsidRDefault="00AF5F1F" w:rsidP="00AF5F1F">
      <w:pPr>
        <w:jc w:val="center"/>
      </w:pPr>
    </w:p>
    <w:p w14:paraId="4F20160D" w14:textId="77777777" w:rsidR="00AF5F1F" w:rsidRDefault="00AF5F1F" w:rsidP="00AF5F1F">
      <w:pPr>
        <w:jc w:val="center"/>
      </w:pPr>
    </w:p>
    <w:p w14:paraId="5AE6973E" w14:textId="77777777" w:rsidR="00AF5F1F" w:rsidRDefault="00AF5F1F" w:rsidP="00AF5F1F">
      <w:pPr>
        <w:jc w:val="center"/>
      </w:pPr>
    </w:p>
    <w:p w14:paraId="04D6B87D" w14:textId="77777777" w:rsidR="00AF5F1F" w:rsidRDefault="00AF5F1F" w:rsidP="00AF5F1F">
      <w:pPr>
        <w:jc w:val="center"/>
      </w:pPr>
    </w:p>
    <w:p w14:paraId="3D08655C" w14:textId="77777777" w:rsidR="00AF5F1F" w:rsidRDefault="00AF5F1F" w:rsidP="00AF5F1F">
      <w:pPr>
        <w:jc w:val="center"/>
      </w:pPr>
    </w:p>
    <w:p w14:paraId="5DCB864A" w14:textId="77777777" w:rsidR="00AF5F1F" w:rsidRDefault="00AF5F1F" w:rsidP="00AF5F1F">
      <w:pPr>
        <w:jc w:val="center"/>
      </w:pPr>
    </w:p>
    <w:p w14:paraId="65B87CE3" w14:textId="77777777" w:rsidR="00AF5F1F" w:rsidRDefault="00AF5F1F" w:rsidP="00AF5F1F">
      <w:pPr>
        <w:jc w:val="center"/>
      </w:pPr>
    </w:p>
    <w:p w14:paraId="0A18CEBB" w14:textId="77777777" w:rsidR="00AF5F1F" w:rsidRDefault="00AF5F1F" w:rsidP="00AF5F1F">
      <w:pPr>
        <w:jc w:val="center"/>
      </w:pPr>
    </w:p>
    <w:p w14:paraId="7260D2A9" w14:textId="77777777" w:rsidR="00AF5F1F" w:rsidRDefault="00AF5F1F" w:rsidP="00AF5F1F">
      <w:pPr>
        <w:jc w:val="center"/>
      </w:pPr>
    </w:p>
    <w:p w14:paraId="1E5CD4BF" w14:textId="77777777" w:rsidR="00AF5F1F" w:rsidRDefault="00AF5F1F" w:rsidP="00AF5F1F">
      <w:pPr>
        <w:jc w:val="center"/>
      </w:pPr>
    </w:p>
    <w:p w14:paraId="29892E04" w14:textId="77777777" w:rsidR="00AF5F1F" w:rsidRDefault="00AF5F1F" w:rsidP="00AF5F1F">
      <w:pPr>
        <w:jc w:val="center"/>
      </w:pPr>
    </w:p>
    <w:p w14:paraId="2095F801" w14:textId="77777777" w:rsidR="00AF5F1F" w:rsidRDefault="00AF5F1F" w:rsidP="00AF5F1F">
      <w:pPr>
        <w:jc w:val="center"/>
      </w:pPr>
    </w:p>
    <w:p w14:paraId="2CA9397F" w14:textId="77777777" w:rsidR="00AF5F1F" w:rsidRDefault="00AF5F1F" w:rsidP="00AF5F1F">
      <w:pPr>
        <w:jc w:val="center"/>
      </w:pPr>
    </w:p>
    <w:p w14:paraId="33C7588B" w14:textId="77777777" w:rsidR="00AF5F1F" w:rsidRDefault="00AF5F1F" w:rsidP="00AF5F1F">
      <w:pPr>
        <w:jc w:val="center"/>
      </w:pPr>
    </w:p>
    <w:p w14:paraId="6F221FE1" w14:textId="77777777" w:rsidR="00AF5F1F" w:rsidRDefault="00AF5F1F" w:rsidP="00AF5F1F">
      <w:pPr>
        <w:jc w:val="center"/>
      </w:pPr>
    </w:p>
    <w:p w14:paraId="2E7A0175" w14:textId="77777777" w:rsidR="00AF5F1F" w:rsidRDefault="00AF5F1F" w:rsidP="00AF5F1F"/>
    <w:sectPr w:rsidR="00AF5F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F1F"/>
    <w:rsid w:val="00983E52"/>
    <w:rsid w:val="00AF5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C2615"/>
  <w15:chartTrackingRefBased/>
  <w15:docId w15:val="{A7944D2E-10B5-9140-A8B0-359C2B4BF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F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5F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5F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5F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5F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5F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5F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5F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5F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5F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5F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5F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5F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5F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5F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5F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5F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5F1F"/>
    <w:rPr>
      <w:rFonts w:eastAsiaTheme="majorEastAsia" w:cstheme="majorBidi"/>
      <w:color w:val="272727" w:themeColor="text1" w:themeTint="D8"/>
    </w:rPr>
  </w:style>
  <w:style w:type="paragraph" w:styleId="Title">
    <w:name w:val="Title"/>
    <w:basedOn w:val="Normal"/>
    <w:next w:val="Normal"/>
    <w:link w:val="TitleChar"/>
    <w:uiPriority w:val="10"/>
    <w:qFormat/>
    <w:rsid w:val="00AF5F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5F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5F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5F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5F1F"/>
    <w:pPr>
      <w:spacing w:before="160"/>
      <w:jc w:val="center"/>
    </w:pPr>
    <w:rPr>
      <w:i/>
      <w:iCs/>
      <w:color w:val="404040" w:themeColor="text1" w:themeTint="BF"/>
    </w:rPr>
  </w:style>
  <w:style w:type="character" w:customStyle="1" w:styleId="QuoteChar">
    <w:name w:val="Quote Char"/>
    <w:basedOn w:val="DefaultParagraphFont"/>
    <w:link w:val="Quote"/>
    <w:uiPriority w:val="29"/>
    <w:rsid w:val="00AF5F1F"/>
    <w:rPr>
      <w:i/>
      <w:iCs/>
      <w:color w:val="404040" w:themeColor="text1" w:themeTint="BF"/>
    </w:rPr>
  </w:style>
  <w:style w:type="paragraph" w:styleId="ListParagraph">
    <w:name w:val="List Paragraph"/>
    <w:basedOn w:val="Normal"/>
    <w:uiPriority w:val="34"/>
    <w:qFormat/>
    <w:rsid w:val="00AF5F1F"/>
    <w:pPr>
      <w:ind w:left="720"/>
      <w:contextualSpacing/>
    </w:pPr>
  </w:style>
  <w:style w:type="character" w:styleId="IntenseEmphasis">
    <w:name w:val="Intense Emphasis"/>
    <w:basedOn w:val="DefaultParagraphFont"/>
    <w:uiPriority w:val="21"/>
    <w:qFormat/>
    <w:rsid w:val="00AF5F1F"/>
    <w:rPr>
      <w:i/>
      <w:iCs/>
      <w:color w:val="0F4761" w:themeColor="accent1" w:themeShade="BF"/>
    </w:rPr>
  </w:style>
  <w:style w:type="paragraph" w:styleId="IntenseQuote">
    <w:name w:val="Intense Quote"/>
    <w:basedOn w:val="Normal"/>
    <w:next w:val="Normal"/>
    <w:link w:val="IntenseQuoteChar"/>
    <w:uiPriority w:val="30"/>
    <w:qFormat/>
    <w:rsid w:val="00AF5F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5F1F"/>
    <w:rPr>
      <w:i/>
      <w:iCs/>
      <w:color w:val="0F4761" w:themeColor="accent1" w:themeShade="BF"/>
    </w:rPr>
  </w:style>
  <w:style w:type="character" w:styleId="IntenseReference">
    <w:name w:val="Intense Reference"/>
    <w:basedOn w:val="DefaultParagraphFont"/>
    <w:uiPriority w:val="32"/>
    <w:qFormat/>
    <w:rsid w:val="00AF5F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guidance/ng201" TargetMode="External"/><Relationship Id="rId3" Type="http://schemas.openxmlformats.org/officeDocument/2006/relationships/webSettings" Target="webSettings.xml"/><Relationship Id="rId7" Type="http://schemas.openxmlformats.org/officeDocument/2006/relationships/hyperlink" Target="https://www.england.nhs.uk/mat-transform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arwickshire.gov.uk/news/article/7653/warwickshire-county-council-confirms-cabinet-for-2026%E2%80%9327" TargetMode="External"/><Relationship Id="rId5" Type="http://schemas.openxmlformats.org/officeDocument/2006/relationships/hyperlink" Target="https://www.england.nhs.uk/publication/the-community-mental-health-framework-for-adults-and-older-adults/" TargetMode="External"/><Relationship Id="rId10" Type="http://schemas.openxmlformats.org/officeDocument/2006/relationships/theme" Target="theme/theme1.xml"/><Relationship Id="rId4" Type="http://schemas.openxmlformats.org/officeDocument/2006/relationships/hyperlink" Target="https://www.legislation.gov.uk/ukpga/2014/23/part/1"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26</TotalTime>
  <Pages>6</Pages>
  <Words>2174</Words>
  <Characters>12394</Characters>
  <Application>Microsoft Office Word</Application>
  <DocSecurity>0</DocSecurity>
  <Lines>103</Lines>
  <Paragraphs>29</Paragraphs>
  <ScaleCrop>false</ScaleCrop>
  <Company/>
  <LinksUpToDate>false</LinksUpToDate>
  <CharactersWithSpaces>14539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Fezhan Aziz</dc:creator>
  <cp:keywords/>
  <dc:description/>
  <cp:lastModifiedBy>Fezhan Aziz</cp:lastModifiedBy>
  <cp:revision>1</cp:revision>
  <dcterms:created xsi:type="dcterms:W3CDTF">2026-10-18T20:10:00Z</dcterms:created>
  <dcterms:modified xsi:type="dcterms:W3CDTF">2026-10-19T08:31:00Z</dcterms:modified>
</cp:coreProperties>
</file>