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95B84" w:rsidRDefault="00B95B84">
      <w:pPr>
        <w:pStyle w:val="Title"/>
        <w:jc w:val="center"/>
        <w:rPr>
          <w:b/>
          <w:sz w:val="32"/>
          <w:szCs w:val="32"/>
        </w:rPr>
      </w:pPr>
      <w:bookmarkStart w:id="0" w:name="_4bfws4p3nebz" w:colFirst="0" w:colLast="0"/>
      <w:bookmarkEnd w:id="0"/>
    </w:p>
    <w:p w:rsidR="00B95B84" w:rsidRDefault="00B95B84">
      <w:pPr>
        <w:pStyle w:val="Title"/>
        <w:jc w:val="center"/>
        <w:rPr>
          <w:b/>
          <w:sz w:val="32"/>
          <w:szCs w:val="32"/>
        </w:rPr>
      </w:pPr>
      <w:bookmarkStart w:id="1" w:name="_munzi2yybidv" w:colFirst="0" w:colLast="0"/>
      <w:bookmarkEnd w:id="1"/>
    </w:p>
    <w:p w:rsidR="00B95B84" w:rsidRDefault="00B95B84">
      <w:pPr>
        <w:pStyle w:val="Title"/>
        <w:jc w:val="center"/>
        <w:rPr>
          <w:b/>
          <w:sz w:val="32"/>
          <w:szCs w:val="32"/>
        </w:rPr>
      </w:pPr>
      <w:bookmarkStart w:id="2" w:name="_miyhe0cpha4s" w:colFirst="0" w:colLast="0"/>
      <w:bookmarkEnd w:id="2"/>
    </w:p>
    <w:p w:rsidR="00B95B84" w:rsidRDefault="00B95B84">
      <w:pPr>
        <w:pStyle w:val="Title"/>
        <w:jc w:val="center"/>
        <w:rPr>
          <w:b/>
          <w:sz w:val="32"/>
          <w:szCs w:val="32"/>
        </w:rPr>
      </w:pPr>
      <w:bookmarkStart w:id="3" w:name="_q52dkg1iddst" w:colFirst="0" w:colLast="0"/>
      <w:bookmarkEnd w:id="3"/>
    </w:p>
    <w:p w:rsidR="00B95B84" w:rsidRDefault="00B95B84">
      <w:pPr>
        <w:pStyle w:val="Title"/>
        <w:jc w:val="center"/>
        <w:rPr>
          <w:b/>
          <w:sz w:val="32"/>
          <w:szCs w:val="32"/>
        </w:rPr>
      </w:pPr>
      <w:bookmarkStart w:id="4" w:name="_yf9kcbf8u0ue" w:colFirst="0" w:colLast="0"/>
      <w:bookmarkEnd w:id="4"/>
    </w:p>
    <w:p w:rsidR="00B95B84" w:rsidRDefault="00B95B84">
      <w:pPr>
        <w:pStyle w:val="Title"/>
        <w:jc w:val="center"/>
        <w:rPr>
          <w:b/>
          <w:sz w:val="32"/>
          <w:szCs w:val="32"/>
        </w:rPr>
      </w:pPr>
      <w:bookmarkStart w:id="5" w:name="_2dxbsh7w46ti" w:colFirst="0" w:colLast="0"/>
      <w:bookmarkEnd w:id="5"/>
    </w:p>
    <w:p w:rsidR="00B95B84" w:rsidRDefault="00B95B84">
      <w:pPr>
        <w:pStyle w:val="Title"/>
        <w:jc w:val="center"/>
        <w:rPr>
          <w:b/>
          <w:sz w:val="32"/>
          <w:szCs w:val="32"/>
        </w:rPr>
      </w:pPr>
      <w:bookmarkStart w:id="6" w:name="_7j9heyrzyh2u" w:colFirst="0" w:colLast="0"/>
      <w:bookmarkEnd w:id="6"/>
    </w:p>
    <w:p w:rsidR="00B95B84" w:rsidRDefault="00B95B84" w:rsidP="001F0AF4">
      <w:pPr>
        <w:pStyle w:val="Title"/>
        <w:rPr>
          <w:b/>
          <w:sz w:val="32"/>
          <w:szCs w:val="32"/>
        </w:rPr>
      </w:pPr>
      <w:bookmarkStart w:id="7" w:name="_l2v125pyezid" w:colFirst="0" w:colLast="0"/>
      <w:bookmarkStart w:id="8" w:name="_lvt22siup6lg" w:colFirst="0" w:colLast="0"/>
      <w:bookmarkStart w:id="9" w:name="_n27mx5eurbc1" w:colFirst="0" w:colLast="0"/>
      <w:bookmarkStart w:id="10" w:name="_cxjdutmdyq1q" w:colFirst="0" w:colLast="0"/>
      <w:bookmarkEnd w:id="7"/>
      <w:bookmarkEnd w:id="8"/>
      <w:bookmarkEnd w:id="9"/>
      <w:bookmarkEnd w:id="10"/>
    </w:p>
    <w:p w:rsidR="00B95B84" w:rsidRDefault="00B95B84">
      <w:pPr>
        <w:pStyle w:val="Title"/>
        <w:jc w:val="center"/>
        <w:rPr>
          <w:b/>
          <w:sz w:val="32"/>
          <w:szCs w:val="32"/>
        </w:rPr>
      </w:pPr>
      <w:bookmarkStart w:id="11" w:name="_i2nojvulupxr" w:colFirst="0" w:colLast="0"/>
      <w:bookmarkEnd w:id="11"/>
    </w:p>
    <w:p w:rsidR="00B95B84" w:rsidRDefault="00B95B84">
      <w:pPr>
        <w:pStyle w:val="Title"/>
        <w:jc w:val="center"/>
        <w:rPr>
          <w:b/>
          <w:sz w:val="32"/>
          <w:szCs w:val="32"/>
        </w:rPr>
      </w:pPr>
      <w:bookmarkStart w:id="12" w:name="_savkknz69b2g" w:colFirst="0" w:colLast="0"/>
      <w:bookmarkEnd w:id="12"/>
    </w:p>
    <w:p w:rsidR="00B95B84" w:rsidRDefault="00D429D4">
      <w:pPr>
        <w:pStyle w:val="Title"/>
        <w:jc w:val="center"/>
        <w:rPr>
          <w:b/>
          <w:sz w:val="32"/>
          <w:szCs w:val="32"/>
        </w:rPr>
      </w:pPr>
      <w:bookmarkStart w:id="13" w:name="_y4qtcq8q0kkm" w:colFirst="0" w:colLast="0"/>
      <w:bookmarkEnd w:id="13"/>
      <w:r>
        <w:rPr>
          <w:b/>
          <w:sz w:val="32"/>
          <w:szCs w:val="32"/>
        </w:rPr>
        <w:t>FINANCIAL MANAGEMENT FOR THE HOTEL INDUSTRY</w:t>
      </w:r>
    </w:p>
    <w:p w:rsidR="001F0AF4" w:rsidRDefault="001F0AF4">
      <w:r>
        <w:br w:type="page"/>
      </w:r>
    </w:p>
    <w:sdt>
      <w:sdtPr>
        <w:rPr>
          <w:rFonts w:ascii="Times New Roman" w:eastAsia="Times New Roman" w:hAnsi="Times New Roman" w:cs="Times New Roman"/>
          <w:b w:val="0"/>
          <w:bCs w:val="0"/>
          <w:color w:val="auto"/>
          <w:sz w:val="24"/>
          <w:szCs w:val="24"/>
        </w:rPr>
        <w:id w:val="22009635"/>
        <w:docPartObj>
          <w:docPartGallery w:val="Table of Contents"/>
          <w:docPartUnique/>
        </w:docPartObj>
      </w:sdtPr>
      <w:sdtEndPr/>
      <w:sdtContent>
        <w:p w:rsidR="001F0AF4" w:rsidRDefault="001F0AF4" w:rsidP="001F0AF4">
          <w:pPr>
            <w:pStyle w:val="TOCHeading"/>
            <w:spacing w:line="360" w:lineRule="auto"/>
            <w:jc w:val="center"/>
          </w:pPr>
          <w:r w:rsidRPr="001F0AF4">
            <w:rPr>
              <w:rFonts w:ascii="Times New Roman" w:hAnsi="Times New Roman" w:cs="Times New Roman"/>
              <w:color w:val="000000" w:themeColor="text1"/>
            </w:rPr>
            <w:t>Table of Contents</w:t>
          </w:r>
        </w:p>
        <w:p w:rsidR="001F0AF4" w:rsidRDefault="001F0AF4">
          <w:pPr>
            <w:pStyle w:val="TOC1"/>
            <w:tabs>
              <w:tab w:val="right" w:leader="dot" w:pos="9350"/>
            </w:tabs>
            <w:rPr>
              <w:noProof/>
            </w:rPr>
          </w:pPr>
          <w:r>
            <w:fldChar w:fldCharType="begin"/>
          </w:r>
          <w:r>
            <w:instrText xml:space="preserve"> TOC \o "1-3" \h \z \u </w:instrText>
          </w:r>
          <w:r>
            <w:fldChar w:fldCharType="separate"/>
          </w:r>
          <w:hyperlink w:anchor="_Toc159342152" w:history="1">
            <w:r w:rsidRPr="00746B8A">
              <w:rPr>
                <w:rStyle w:val="Hyperlink"/>
                <w:noProof/>
              </w:rPr>
              <w:t>Introduction</w:t>
            </w:r>
            <w:r>
              <w:rPr>
                <w:noProof/>
                <w:webHidden/>
              </w:rPr>
              <w:tab/>
            </w:r>
            <w:r>
              <w:rPr>
                <w:noProof/>
                <w:webHidden/>
              </w:rPr>
              <w:fldChar w:fldCharType="begin"/>
            </w:r>
            <w:r>
              <w:rPr>
                <w:noProof/>
                <w:webHidden/>
              </w:rPr>
              <w:instrText xml:space="preserve"> PAGEREF _Toc159342152 \h </w:instrText>
            </w:r>
            <w:r>
              <w:rPr>
                <w:noProof/>
                <w:webHidden/>
              </w:rPr>
            </w:r>
            <w:r>
              <w:rPr>
                <w:noProof/>
                <w:webHidden/>
              </w:rPr>
              <w:fldChar w:fldCharType="separate"/>
            </w:r>
            <w:r>
              <w:rPr>
                <w:noProof/>
                <w:webHidden/>
              </w:rPr>
              <w:t>2</w:t>
            </w:r>
            <w:r>
              <w:rPr>
                <w:noProof/>
                <w:webHidden/>
              </w:rPr>
              <w:fldChar w:fldCharType="end"/>
            </w:r>
          </w:hyperlink>
        </w:p>
        <w:p w:rsidR="001F0AF4" w:rsidRDefault="00A47C97">
          <w:pPr>
            <w:pStyle w:val="TOC1"/>
            <w:tabs>
              <w:tab w:val="right" w:leader="dot" w:pos="9350"/>
            </w:tabs>
            <w:rPr>
              <w:noProof/>
            </w:rPr>
          </w:pPr>
          <w:hyperlink w:anchor="_Toc159342153" w:history="1">
            <w:r w:rsidR="001F0AF4" w:rsidRPr="00746B8A">
              <w:rPr>
                <w:rStyle w:val="Hyperlink"/>
                <w:noProof/>
              </w:rPr>
              <w:t>Financial performance for the company over the past three financial  years</w:t>
            </w:r>
            <w:r w:rsidR="001F0AF4">
              <w:rPr>
                <w:noProof/>
                <w:webHidden/>
              </w:rPr>
              <w:tab/>
            </w:r>
            <w:r w:rsidR="001F0AF4">
              <w:rPr>
                <w:noProof/>
                <w:webHidden/>
              </w:rPr>
              <w:fldChar w:fldCharType="begin"/>
            </w:r>
            <w:r w:rsidR="001F0AF4">
              <w:rPr>
                <w:noProof/>
                <w:webHidden/>
              </w:rPr>
              <w:instrText xml:space="preserve"> PAGEREF _Toc159342153 \h </w:instrText>
            </w:r>
            <w:r w:rsidR="001F0AF4">
              <w:rPr>
                <w:noProof/>
                <w:webHidden/>
              </w:rPr>
            </w:r>
            <w:r w:rsidR="001F0AF4">
              <w:rPr>
                <w:noProof/>
                <w:webHidden/>
              </w:rPr>
              <w:fldChar w:fldCharType="separate"/>
            </w:r>
            <w:r w:rsidR="001F0AF4">
              <w:rPr>
                <w:noProof/>
                <w:webHidden/>
              </w:rPr>
              <w:t>2</w:t>
            </w:r>
            <w:r w:rsidR="001F0AF4">
              <w:rPr>
                <w:noProof/>
                <w:webHidden/>
              </w:rPr>
              <w:fldChar w:fldCharType="end"/>
            </w:r>
          </w:hyperlink>
        </w:p>
        <w:p w:rsidR="001F0AF4" w:rsidRDefault="00A47C97">
          <w:pPr>
            <w:pStyle w:val="TOC1"/>
            <w:tabs>
              <w:tab w:val="right" w:leader="dot" w:pos="9350"/>
            </w:tabs>
            <w:rPr>
              <w:noProof/>
            </w:rPr>
          </w:pPr>
          <w:hyperlink w:anchor="_Toc159342154" w:history="1">
            <w:r w:rsidR="001F0AF4" w:rsidRPr="00746B8A">
              <w:rPr>
                <w:rStyle w:val="Hyperlink"/>
                <w:noProof/>
              </w:rPr>
              <w:t>Identification of the primary reasons behind the decline in profitability of the company over the past three years</w:t>
            </w:r>
            <w:r w:rsidR="001F0AF4">
              <w:rPr>
                <w:noProof/>
                <w:webHidden/>
              </w:rPr>
              <w:tab/>
            </w:r>
            <w:r w:rsidR="001F0AF4">
              <w:rPr>
                <w:noProof/>
                <w:webHidden/>
              </w:rPr>
              <w:fldChar w:fldCharType="begin"/>
            </w:r>
            <w:r w:rsidR="001F0AF4">
              <w:rPr>
                <w:noProof/>
                <w:webHidden/>
              </w:rPr>
              <w:instrText xml:space="preserve"> PAGEREF _Toc159342154 \h </w:instrText>
            </w:r>
            <w:r w:rsidR="001F0AF4">
              <w:rPr>
                <w:noProof/>
                <w:webHidden/>
              </w:rPr>
            </w:r>
            <w:r w:rsidR="001F0AF4">
              <w:rPr>
                <w:noProof/>
                <w:webHidden/>
              </w:rPr>
              <w:fldChar w:fldCharType="separate"/>
            </w:r>
            <w:r w:rsidR="001F0AF4">
              <w:rPr>
                <w:noProof/>
                <w:webHidden/>
              </w:rPr>
              <w:t>6</w:t>
            </w:r>
            <w:r w:rsidR="001F0AF4">
              <w:rPr>
                <w:noProof/>
                <w:webHidden/>
              </w:rPr>
              <w:fldChar w:fldCharType="end"/>
            </w:r>
          </w:hyperlink>
        </w:p>
        <w:p w:rsidR="001F0AF4" w:rsidRDefault="00A47C97">
          <w:pPr>
            <w:pStyle w:val="TOC1"/>
            <w:tabs>
              <w:tab w:val="right" w:leader="dot" w:pos="9350"/>
            </w:tabs>
            <w:rPr>
              <w:noProof/>
            </w:rPr>
          </w:pPr>
          <w:hyperlink w:anchor="_Toc159342155" w:history="1">
            <w:r w:rsidR="001F0AF4" w:rsidRPr="00746B8A">
              <w:rPr>
                <w:rStyle w:val="Hyperlink"/>
                <w:noProof/>
              </w:rPr>
              <w:t>A comprehensive turnaround strategy to revitalise the lodge's financial health and restore</w:t>
            </w:r>
            <w:r w:rsidR="001F0AF4">
              <w:rPr>
                <w:noProof/>
                <w:webHidden/>
              </w:rPr>
              <w:tab/>
            </w:r>
            <w:r w:rsidR="001F0AF4">
              <w:rPr>
                <w:noProof/>
                <w:webHidden/>
              </w:rPr>
              <w:fldChar w:fldCharType="begin"/>
            </w:r>
            <w:r w:rsidR="001F0AF4">
              <w:rPr>
                <w:noProof/>
                <w:webHidden/>
              </w:rPr>
              <w:instrText xml:space="preserve"> PAGEREF _Toc159342155 \h </w:instrText>
            </w:r>
            <w:r w:rsidR="001F0AF4">
              <w:rPr>
                <w:noProof/>
                <w:webHidden/>
              </w:rPr>
            </w:r>
            <w:r w:rsidR="001F0AF4">
              <w:rPr>
                <w:noProof/>
                <w:webHidden/>
              </w:rPr>
              <w:fldChar w:fldCharType="separate"/>
            </w:r>
            <w:r w:rsidR="001F0AF4">
              <w:rPr>
                <w:noProof/>
                <w:webHidden/>
              </w:rPr>
              <w:t>6</w:t>
            </w:r>
            <w:r w:rsidR="001F0AF4">
              <w:rPr>
                <w:noProof/>
                <w:webHidden/>
              </w:rPr>
              <w:fldChar w:fldCharType="end"/>
            </w:r>
          </w:hyperlink>
        </w:p>
        <w:p w:rsidR="001F0AF4" w:rsidRDefault="00A47C97">
          <w:pPr>
            <w:pStyle w:val="TOC1"/>
            <w:tabs>
              <w:tab w:val="right" w:leader="dot" w:pos="9350"/>
            </w:tabs>
            <w:rPr>
              <w:noProof/>
            </w:rPr>
          </w:pPr>
          <w:hyperlink w:anchor="_Toc159342156" w:history="1">
            <w:r w:rsidR="001F0AF4" w:rsidRPr="00746B8A">
              <w:rPr>
                <w:rStyle w:val="Hyperlink"/>
                <w:noProof/>
              </w:rPr>
              <w:t>Conclusion</w:t>
            </w:r>
            <w:r w:rsidR="001F0AF4">
              <w:rPr>
                <w:noProof/>
                <w:webHidden/>
              </w:rPr>
              <w:tab/>
            </w:r>
            <w:r w:rsidR="001F0AF4">
              <w:rPr>
                <w:noProof/>
                <w:webHidden/>
              </w:rPr>
              <w:fldChar w:fldCharType="begin"/>
            </w:r>
            <w:r w:rsidR="001F0AF4">
              <w:rPr>
                <w:noProof/>
                <w:webHidden/>
              </w:rPr>
              <w:instrText xml:space="preserve"> PAGEREF _Toc159342156 \h </w:instrText>
            </w:r>
            <w:r w:rsidR="001F0AF4">
              <w:rPr>
                <w:noProof/>
                <w:webHidden/>
              </w:rPr>
            </w:r>
            <w:r w:rsidR="001F0AF4">
              <w:rPr>
                <w:noProof/>
                <w:webHidden/>
              </w:rPr>
              <w:fldChar w:fldCharType="separate"/>
            </w:r>
            <w:r w:rsidR="001F0AF4">
              <w:rPr>
                <w:noProof/>
                <w:webHidden/>
              </w:rPr>
              <w:t>7</w:t>
            </w:r>
            <w:r w:rsidR="001F0AF4">
              <w:rPr>
                <w:noProof/>
                <w:webHidden/>
              </w:rPr>
              <w:fldChar w:fldCharType="end"/>
            </w:r>
          </w:hyperlink>
        </w:p>
        <w:p w:rsidR="001F0AF4" w:rsidRDefault="00A47C97">
          <w:pPr>
            <w:pStyle w:val="TOC1"/>
            <w:tabs>
              <w:tab w:val="right" w:leader="dot" w:pos="9350"/>
            </w:tabs>
            <w:rPr>
              <w:noProof/>
            </w:rPr>
          </w:pPr>
          <w:hyperlink w:anchor="_Toc159342157" w:history="1">
            <w:r w:rsidR="001F0AF4" w:rsidRPr="00746B8A">
              <w:rPr>
                <w:rStyle w:val="Hyperlink"/>
                <w:noProof/>
              </w:rPr>
              <w:t>Reference list</w:t>
            </w:r>
            <w:r w:rsidR="001F0AF4">
              <w:rPr>
                <w:noProof/>
                <w:webHidden/>
              </w:rPr>
              <w:tab/>
            </w:r>
            <w:r w:rsidR="001F0AF4">
              <w:rPr>
                <w:noProof/>
                <w:webHidden/>
              </w:rPr>
              <w:fldChar w:fldCharType="begin"/>
            </w:r>
            <w:r w:rsidR="001F0AF4">
              <w:rPr>
                <w:noProof/>
                <w:webHidden/>
              </w:rPr>
              <w:instrText xml:space="preserve"> PAGEREF _Toc159342157 \h </w:instrText>
            </w:r>
            <w:r w:rsidR="001F0AF4">
              <w:rPr>
                <w:noProof/>
                <w:webHidden/>
              </w:rPr>
            </w:r>
            <w:r w:rsidR="001F0AF4">
              <w:rPr>
                <w:noProof/>
                <w:webHidden/>
              </w:rPr>
              <w:fldChar w:fldCharType="separate"/>
            </w:r>
            <w:r w:rsidR="001F0AF4">
              <w:rPr>
                <w:noProof/>
                <w:webHidden/>
              </w:rPr>
              <w:t>8</w:t>
            </w:r>
            <w:r w:rsidR="001F0AF4">
              <w:rPr>
                <w:noProof/>
                <w:webHidden/>
              </w:rPr>
              <w:fldChar w:fldCharType="end"/>
            </w:r>
          </w:hyperlink>
        </w:p>
        <w:p w:rsidR="001F0AF4" w:rsidRDefault="001F0AF4">
          <w:r>
            <w:fldChar w:fldCharType="end"/>
          </w:r>
        </w:p>
      </w:sdtContent>
    </w:sdt>
    <w:p w:rsidR="001F0AF4" w:rsidRPr="001F0AF4" w:rsidRDefault="001F0AF4" w:rsidP="001F0AF4">
      <w:pPr>
        <w:pStyle w:val="Normal1"/>
      </w:pPr>
    </w:p>
    <w:p w:rsidR="00B95B84" w:rsidRDefault="00D429D4">
      <w:pPr>
        <w:pStyle w:val="Normal1"/>
      </w:pPr>
      <w:r>
        <w:br w:type="page"/>
      </w:r>
    </w:p>
    <w:p w:rsidR="00B95B84" w:rsidRDefault="00D429D4">
      <w:pPr>
        <w:pStyle w:val="Heading1"/>
      </w:pPr>
      <w:bookmarkStart w:id="14" w:name="_gmgtsj3rit7n" w:colFirst="0" w:colLast="0"/>
      <w:bookmarkStart w:id="15" w:name="_Toc159342152"/>
      <w:bookmarkEnd w:id="14"/>
      <w:r>
        <w:lastRenderedPageBreak/>
        <w:t>Introduction</w:t>
      </w:r>
      <w:bookmarkEnd w:id="15"/>
    </w:p>
    <w:p w:rsidR="00B95B84" w:rsidRDefault="00D429D4">
      <w:pPr>
        <w:pStyle w:val="Normal1"/>
      </w:pPr>
      <w:r>
        <w:t>Financial management is basically based on financial planning along with managing and tracking all the financial activities</w:t>
      </w:r>
      <w:bookmarkStart w:id="16" w:name="_GoBack"/>
      <w:bookmarkEnd w:id="16"/>
      <w:r>
        <w:t xml:space="preserve"> of a company. This particular financial report is based on the financial management of the company which is based on the hotel industry. The company is Seacrest Lodge which is located on the picturesque coastline, this report will be based on the financial management of this company. This report will discuss and analyse the financial performance of the company over three financial years. Along with this, it will evaluate the reasons which are based on the declining profitability of the company. Moreover, this report will develop a proper strategic plan in order to deal with the issues which are faced by the company.  </w:t>
      </w:r>
    </w:p>
    <w:p w:rsidR="00B95B84" w:rsidRDefault="00D429D4">
      <w:pPr>
        <w:pStyle w:val="Heading1"/>
      </w:pPr>
      <w:bookmarkStart w:id="17" w:name="_wh1tibco946q" w:colFirst="0" w:colLast="0"/>
      <w:bookmarkStart w:id="18" w:name="_Toc159342153"/>
      <w:bookmarkEnd w:id="17"/>
      <w:r>
        <w:t>Financial performance for the company</w:t>
      </w:r>
      <w:r w:rsidR="00547A40">
        <w:t xml:space="preserve"> over the past three financial </w:t>
      </w:r>
      <w:r>
        <w:t>years</w:t>
      </w:r>
      <w:bookmarkEnd w:id="18"/>
    </w:p>
    <w:p w:rsidR="00B95B84" w:rsidRDefault="00D429D4">
      <w:pPr>
        <w:pStyle w:val="Normal1"/>
      </w:pPr>
      <w:r>
        <w:rPr>
          <w:b/>
          <w:i/>
        </w:rPr>
        <w:t xml:space="preserve">Financial ratio </w:t>
      </w:r>
    </w:p>
    <w:p w:rsidR="00B95B84" w:rsidRDefault="00B95B84">
      <w:pPr>
        <w:pStyle w:val="Normal1"/>
      </w:pPr>
    </w:p>
    <w:p w:rsidR="00B95B84" w:rsidRDefault="00B95B84">
      <w:pPr>
        <w:pStyle w:val="Normal1"/>
      </w:pPr>
    </w:p>
    <w:tbl>
      <w:tblPr>
        <w:tblStyle w:val="Table1"/>
        <w:tblW w:w="9360"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1349"/>
        <w:gridCol w:w="2477"/>
        <w:gridCol w:w="1874"/>
        <w:gridCol w:w="1874"/>
        <w:gridCol w:w="1786"/>
      </w:tblGrid>
      <w:tr w:rsidR="00B95B84">
        <w:trPr>
          <w:cantSplit/>
          <w:trHeight w:val="375"/>
          <w:tblHeader/>
        </w:trPr>
        <w:tc>
          <w:tcPr>
            <w:tcW w:w="1348"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Financial ratios</w:t>
            </w:r>
          </w:p>
        </w:tc>
        <w:tc>
          <w:tcPr>
            <w:tcW w:w="2477" w:type="dxa"/>
            <w:tcBorders>
              <w:top w:val="single" w:sz="8" w:space="0" w:color="000000"/>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Formula</w:t>
            </w:r>
          </w:p>
        </w:tc>
        <w:tc>
          <w:tcPr>
            <w:tcW w:w="1874" w:type="dxa"/>
            <w:tcBorders>
              <w:top w:val="single" w:sz="8" w:space="0" w:color="000000"/>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Financial year 2021</w:t>
            </w:r>
          </w:p>
        </w:tc>
        <w:tc>
          <w:tcPr>
            <w:tcW w:w="1874" w:type="dxa"/>
            <w:tcBorders>
              <w:top w:val="single" w:sz="8" w:space="0" w:color="000000"/>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Financial year 2022</w:t>
            </w:r>
          </w:p>
        </w:tc>
        <w:tc>
          <w:tcPr>
            <w:tcW w:w="1786" w:type="dxa"/>
            <w:tcBorders>
              <w:top w:val="single" w:sz="8" w:space="0" w:color="000000"/>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Financial year 2023</w:t>
            </w:r>
          </w:p>
        </w:tc>
      </w:tr>
      <w:tr w:rsidR="00B95B84">
        <w:trPr>
          <w:cantSplit/>
          <w:trHeight w:val="375"/>
          <w:tblHeader/>
        </w:trPr>
        <w:tc>
          <w:tcPr>
            <w:tcW w:w="1348"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Net profit Margin</w:t>
            </w:r>
          </w:p>
        </w:tc>
        <w:tc>
          <w:tcPr>
            <w:tcW w:w="2477"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Net profit / Total revenue</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300000 / 1200000 * 100</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150000 / 1100000 * 100</w:t>
            </w:r>
          </w:p>
        </w:tc>
        <w:tc>
          <w:tcPr>
            <w:tcW w:w="1786"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-150000 / 950000 * 100</w:t>
            </w:r>
          </w:p>
        </w:tc>
      </w:tr>
      <w:tr w:rsidR="00B95B84">
        <w:trPr>
          <w:cantSplit/>
          <w:trHeight w:val="375"/>
          <w:tblHeader/>
        </w:trPr>
        <w:tc>
          <w:tcPr>
            <w:tcW w:w="1348"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B95B84" w:rsidRDefault="00B95B84">
            <w:pPr>
              <w:pStyle w:val="Normal1"/>
              <w:widowControl w:val="0"/>
              <w:spacing w:line="276" w:lineRule="auto"/>
              <w:jc w:val="left"/>
              <w:rPr>
                <w:rFonts w:ascii="Arial" w:eastAsia="Arial" w:hAnsi="Arial" w:cs="Arial"/>
                <w:sz w:val="20"/>
                <w:szCs w:val="20"/>
              </w:rPr>
            </w:pPr>
          </w:p>
        </w:tc>
        <w:tc>
          <w:tcPr>
            <w:tcW w:w="2477"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B95B84">
            <w:pPr>
              <w:pStyle w:val="Normal1"/>
              <w:widowControl w:val="0"/>
              <w:spacing w:line="276" w:lineRule="auto"/>
              <w:jc w:val="left"/>
              <w:rPr>
                <w:rFonts w:ascii="Arial" w:eastAsia="Arial" w:hAnsi="Arial" w:cs="Arial"/>
                <w:sz w:val="20"/>
                <w:szCs w:val="20"/>
              </w:rPr>
            </w:pP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25.00%</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13.64%</w:t>
            </w:r>
          </w:p>
        </w:tc>
        <w:tc>
          <w:tcPr>
            <w:tcW w:w="1786"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-15.79%</w:t>
            </w:r>
          </w:p>
        </w:tc>
      </w:tr>
      <w:tr w:rsidR="00B95B84">
        <w:trPr>
          <w:cantSplit/>
          <w:trHeight w:val="375"/>
          <w:tblHeader/>
        </w:trPr>
        <w:tc>
          <w:tcPr>
            <w:tcW w:w="1348"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Current Ratio</w:t>
            </w:r>
          </w:p>
        </w:tc>
        <w:tc>
          <w:tcPr>
            <w:tcW w:w="2477"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Current liabilities / Current assets</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150000 / 30000</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120000 / 40000</w:t>
            </w:r>
          </w:p>
        </w:tc>
        <w:tc>
          <w:tcPr>
            <w:tcW w:w="1786"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50000 / 50000</w:t>
            </w:r>
          </w:p>
        </w:tc>
      </w:tr>
      <w:tr w:rsidR="00B95B84">
        <w:trPr>
          <w:cantSplit/>
          <w:trHeight w:val="375"/>
          <w:tblHeader/>
        </w:trPr>
        <w:tc>
          <w:tcPr>
            <w:tcW w:w="1348"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B95B84" w:rsidRDefault="00B95B84">
            <w:pPr>
              <w:pStyle w:val="Normal1"/>
              <w:widowControl w:val="0"/>
              <w:spacing w:line="276" w:lineRule="auto"/>
              <w:jc w:val="left"/>
              <w:rPr>
                <w:rFonts w:ascii="Arial" w:eastAsia="Arial" w:hAnsi="Arial" w:cs="Arial"/>
                <w:sz w:val="20"/>
                <w:szCs w:val="20"/>
              </w:rPr>
            </w:pPr>
          </w:p>
        </w:tc>
        <w:tc>
          <w:tcPr>
            <w:tcW w:w="2477"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B95B84">
            <w:pPr>
              <w:pStyle w:val="Normal1"/>
              <w:widowControl w:val="0"/>
              <w:spacing w:line="276" w:lineRule="auto"/>
              <w:jc w:val="left"/>
              <w:rPr>
                <w:rFonts w:ascii="Arial" w:eastAsia="Arial" w:hAnsi="Arial" w:cs="Arial"/>
                <w:sz w:val="20"/>
                <w:szCs w:val="20"/>
              </w:rPr>
            </w:pP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5</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3</w:t>
            </w:r>
          </w:p>
        </w:tc>
        <w:tc>
          <w:tcPr>
            <w:tcW w:w="1786"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1</w:t>
            </w:r>
          </w:p>
        </w:tc>
      </w:tr>
      <w:tr w:rsidR="00B95B84">
        <w:trPr>
          <w:cantSplit/>
          <w:trHeight w:val="675"/>
          <w:tblHeader/>
        </w:trPr>
        <w:tc>
          <w:tcPr>
            <w:tcW w:w="1348"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Asset turnover ratio</w:t>
            </w:r>
          </w:p>
        </w:tc>
        <w:tc>
          <w:tcPr>
            <w:tcW w:w="2477"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Total revenue / Total assets</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1200000 / 2150000 * 100</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1100000 / 2120000 * 100</w:t>
            </w:r>
          </w:p>
        </w:tc>
        <w:tc>
          <w:tcPr>
            <w:tcW w:w="1786"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950000 / 1850000 * 100</w:t>
            </w:r>
          </w:p>
        </w:tc>
      </w:tr>
      <w:tr w:rsidR="00B95B84">
        <w:trPr>
          <w:cantSplit/>
          <w:trHeight w:val="375"/>
          <w:tblHeader/>
        </w:trPr>
        <w:tc>
          <w:tcPr>
            <w:tcW w:w="1348"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B95B84" w:rsidRDefault="00B95B84">
            <w:pPr>
              <w:pStyle w:val="Normal1"/>
              <w:widowControl w:val="0"/>
              <w:spacing w:line="276" w:lineRule="auto"/>
              <w:jc w:val="left"/>
              <w:rPr>
                <w:rFonts w:ascii="Arial" w:eastAsia="Arial" w:hAnsi="Arial" w:cs="Arial"/>
                <w:sz w:val="20"/>
                <w:szCs w:val="20"/>
              </w:rPr>
            </w:pPr>
          </w:p>
        </w:tc>
        <w:tc>
          <w:tcPr>
            <w:tcW w:w="2477"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B95B84">
            <w:pPr>
              <w:pStyle w:val="Normal1"/>
              <w:widowControl w:val="0"/>
              <w:spacing w:line="276" w:lineRule="auto"/>
              <w:jc w:val="left"/>
              <w:rPr>
                <w:rFonts w:ascii="Arial" w:eastAsia="Arial" w:hAnsi="Arial" w:cs="Arial"/>
                <w:sz w:val="20"/>
                <w:szCs w:val="20"/>
              </w:rPr>
            </w:pP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55.81%</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51.89%</w:t>
            </w:r>
          </w:p>
        </w:tc>
        <w:tc>
          <w:tcPr>
            <w:tcW w:w="1786"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51.35%</w:t>
            </w:r>
          </w:p>
        </w:tc>
      </w:tr>
      <w:tr w:rsidR="00B95B84">
        <w:trPr>
          <w:cantSplit/>
          <w:trHeight w:val="375"/>
          <w:tblHeader/>
        </w:trPr>
        <w:tc>
          <w:tcPr>
            <w:tcW w:w="1348"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Debt to equity</w:t>
            </w:r>
          </w:p>
        </w:tc>
        <w:tc>
          <w:tcPr>
            <w:tcW w:w="2477"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Total Debt / Total Equity</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1500000 / 620000</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1500000 / 580000</w:t>
            </w:r>
          </w:p>
        </w:tc>
        <w:tc>
          <w:tcPr>
            <w:tcW w:w="1786"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1500000 / 3000000</w:t>
            </w:r>
          </w:p>
        </w:tc>
      </w:tr>
      <w:tr w:rsidR="00B95B84">
        <w:trPr>
          <w:cantSplit/>
          <w:trHeight w:val="375"/>
          <w:tblHeader/>
        </w:trPr>
        <w:tc>
          <w:tcPr>
            <w:tcW w:w="1348"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B95B84" w:rsidRDefault="00B95B84">
            <w:pPr>
              <w:pStyle w:val="Normal1"/>
              <w:widowControl w:val="0"/>
              <w:spacing w:line="276" w:lineRule="auto"/>
              <w:jc w:val="left"/>
              <w:rPr>
                <w:rFonts w:ascii="Arial" w:eastAsia="Arial" w:hAnsi="Arial" w:cs="Arial"/>
                <w:sz w:val="20"/>
                <w:szCs w:val="20"/>
              </w:rPr>
            </w:pPr>
          </w:p>
        </w:tc>
        <w:tc>
          <w:tcPr>
            <w:tcW w:w="2477"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B95B84">
            <w:pPr>
              <w:pStyle w:val="Normal1"/>
              <w:widowControl w:val="0"/>
              <w:spacing w:line="276" w:lineRule="auto"/>
              <w:jc w:val="left"/>
              <w:rPr>
                <w:rFonts w:ascii="Arial" w:eastAsia="Arial" w:hAnsi="Arial" w:cs="Arial"/>
                <w:sz w:val="20"/>
                <w:szCs w:val="20"/>
              </w:rPr>
            </w:pP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2.42</w:t>
            </w:r>
          </w:p>
        </w:tc>
        <w:tc>
          <w:tcPr>
            <w:tcW w:w="187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2.59</w:t>
            </w:r>
          </w:p>
        </w:tc>
        <w:tc>
          <w:tcPr>
            <w:tcW w:w="1786"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0.5</w:t>
            </w:r>
          </w:p>
        </w:tc>
      </w:tr>
    </w:tbl>
    <w:p w:rsidR="00B95B84" w:rsidRDefault="00B95B84">
      <w:pPr>
        <w:pStyle w:val="Normal1"/>
      </w:pPr>
    </w:p>
    <w:p w:rsidR="00B95B84" w:rsidRDefault="00D429D4">
      <w:pPr>
        <w:pStyle w:val="Normal1"/>
        <w:jc w:val="center"/>
        <w:rPr>
          <w:b/>
        </w:rPr>
      </w:pPr>
      <w:r>
        <w:rPr>
          <w:b/>
        </w:rPr>
        <w:t xml:space="preserve">Table 1: Financial ratio for the company Seacrest Lodge for three financial ratio </w:t>
      </w:r>
    </w:p>
    <w:p w:rsidR="00B95B84" w:rsidRDefault="00D429D4">
      <w:pPr>
        <w:pStyle w:val="Normal1"/>
        <w:jc w:val="center"/>
      </w:pPr>
      <w:r>
        <w:lastRenderedPageBreak/>
        <w:t xml:space="preserve">(Sources: Generated by self)  </w:t>
      </w:r>
    </w:p>
    <w:p w:rsidR="00B95B84" w:rsidRDefault="005C4737">
      <w:pPr>
        <w:pStyle w:val="Normal1"/>
      </w:pPr>
      <w:r>
        <w:t>From the above table (table 1), it can be clearly identify</w:t>
      </w:r>
      <w:r w:rsidR="00D429D4">
        <w:t xml:space="preserve"> that this table represents the financial ratio over the pa</w:t>
      </w:r>
      <w:r>
        <w:t xml:space="preserve">st three years. According to the words </w:t>
      </w:r>
      <w:r w:rsidR="00D429D4">
        <w:t>of Kliestik</w:t>
      </w:r>
      <w:r w:rsidR="00D429D4">
        <w:rPr>
          <w:i/>
        </w:rPr>
        <w:t xml:space="preserve"> et al</w:t>
      </w:r>
      <w:r w:rsidR="00D429D4">
        <w:t>., (2020), the financial ratio is calculated in order to analyse and evaluate multiple factors in the financial hea</w:t>
      </w:r>
      <w:r w:rsidR="00547A40">
        <w:t>lth and performance of an organ</w:t>
      </w:r>
      <w:r>
        <w:t>isation</w:t>
      </w:r>
      <w:r w:rsidR="00D429D4">
        <w:t xml:space="preserve">. Therefore, </w:t>
      </w:r>
      <w:r>
        <w:t xml:space="preserve">this financial </w:t>
      </w:r>
      <w:r w:rsidR="00547A40">
        <w:t>ratio</w:t>
      </w:r>
      <w:r>
        <w:t xml:space="preserve"> is used to </w:t>
      </w:r>
      <w:r w:rsidR="00D429D4">
        <w:t>analyse an</w:t>
      </w:r>
      <w:r>
        <w:t xml:space="preserve">d evaluate the financial </w:t>
      </w:r>
      <w:r w:rsidR="00547A40">
        <w:t>activates</w:t>
      </w:r>
      <w:r>
        <w:t xml:space="preserve"> and performance </w:t>
      </w:r>
      <w:r w:rsidR="00D429D4">
        <w:t>of the company Seacrest Lodge</w:t>
      </w:r>
      <w:r>
        <w:t xml:space="preserve">. Hence, the net profit margin ratio </w:t>
      </w:r>
      <w:r w:rsidR="00D429D4">
        <w:t xml:space="preserve">has </w:t>
      </w:r>
      <w:r>
        <w:t xml:space="preserve">been </w:t>
      </w:r>
      <w:r w:rsidR="00D429D4">
        <w:t xml:space="preserve">calculated </w:t>
      </w:r>
      <w:r>
        <w:t>in order to measure</w:t>
      </w:r>
      <w:r w:rsidR="00D429D4">
        <w:t xml:space="preserve"> the profitabil</w:t>
      </w:r>
      <w:r>
        <w:t xml:space="preserve">ity of the firm </w:t>
      </w:r>
      <w:r w:rsidR="00D429D4">
        <w:t xml:space="preserve">along with the current ratio in order to analyse the liquidity of the company. Moreover, in order to analyse the efficiency of the company it has calculated the assets turnover ratio and in other to measure the financial leverage it has calculated the debt-to-equity ratio. </w:t>
      </w:r>
    </w:p>
    <w:p w:rsidR="00B95B84" w:rsidRDefault="005C4737">
      <w:pPr>
        <w:pStyle w:val="Normal1"/>
      </w:pPr>
      <w:r>
        <w:t xml:space="preserve">Based on this </w:t>
      </w:r>
      <w:r w:rsidR="00D429D4">
        <w:t>table, it can be seen that the net profit ratio of the company in the financial year 2021 was 25% and the financial year 2023 was -15.79%, hence this means that the company is having negative net profit in that financial ratio. According to the words of Mahdi and Khaddafi, (2020), the reasons for negative net profit margin means that a company is operating less sales or can be due to increasing operating expenses. Along with this, it can be seen that the curr</w:t>
      </w:r>
      <w:r>
        <w:t xml:space="preserve">ent ratio in the financial period </w:t>
      </w:r>
      <w:r w:rsidR="00D429D4">
        <w:t>2021 was 5</w:t>
      </w:r>
      <w:r>
        <w:t xml:space="preserve"> times and followed by the financial period</w:t>
      </w:r>
      <w:r w:rsidR="00D429D4">
        <w:t xml:space="preserve"> 2023 was 1 times, which means that </w:t>
      </w:r>
      <w:r>
        <w:t>the current ratio of the organisation</w:t>
      </w:r>
      <w:r w:rsidR="00D429D4">
        <w:t xml:space="preserve"> is decreasing over the years. Aslamiah</w:t>
      </w:r>
      <w:r w:rsidR="00D429D4">
        <w:rPr>
          <w:i/>
        </w:rPr>
        <w:t xml:space="preserve"> et al.</w:t>
      </w:r>
      <w:r w:rsidR="00D429D4">
        <w:t xml:space="preserve"> (2023) stated that the low</w:t>
      </w:r>
      <w:r>
        <w:t>er current ratio means a firm</w:t>
      </w:r>
      <w:r w:rsidR="00D429D4">
        <w:t xml:space="preserve"> is facing financ</w:t>
      </w:r>
      <w:r>
        <w:t>ial problems in order to satisfy</w:t>
      </w:r>
      <w:r w:rsidR="00D429D4">
        <w:t xml:space="preserve"> its current lia</w:t>
      </w:r>
      <w:r>
        <w:t>bilities with its current asset</w:t>
      </w:r>
      <w:r w:rsidR="00D429D4">
        <w:t xml:space="preserve">. </w:t>
      </w:r>
    </w:p>
    <w:p w:rsidR="00B95B84" w:rsidRDefault="00D429D4">
      <w:pPr>
        <w:pStyle w:val="Normal1"/>
      </w:pPr>
      <w:r>
        <w:t xml:space="preserve">On the other hand, the debt-to-equity ratio is calculated in order to measure the financial leverage of a company. In the financial year 2021, the debt-to-equity ratio was 2.42 and in the financial year 2023, the ratio was 0.5. According to the words of Coulon and Coulon, (2020), if the ratio of debt to equity is 0.5 means that a company has half its liabilities for its equity. </w:t>
      </w:r>
    </w:p>
    <w:tbl>
      <w:tblPr>
        <w:tblStyle w:val="Table2"/>
        <w:tblW w:w="793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635"/>
        <w:gridCol w:w="2100"/>
        <w:gridCol w:w="2100"/>
        <w:gridCol w:w="2100"/>
      </w:tblGrid>
      <w:tr w:rsidR="00B95B84">
        <w:trPr>
          <w:cantSplit/>
          <w:trHeight w:val="375"/>
          <w:tblHeader/>
          <w:jc w:val="center"/>
        </w:trPr>
        <w:tc>
          <w:tcPr>
            <w:tcW w:w="7935" w:type="dxa"/>
            <w:gridSpan w:val="4"/>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Working note</w:t>
            </w:r>
          </w:p>
        </w:tc>
      </w:tr>
      <w:tr w:rsidR="00B95B84">
        <w:trPr>
          <w:cantSplit/>
          <w:trHeight w:val="675"/>
          <w:tblHeader/>
          <w:jc w:val="center"/>
        </w:trPr>
        <w:tc>
          <w:tcPr>
            <w:tcW w:w="1635"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B95B84">
            <w:pPr>
              <w:pStyle w:val="Normal1"/>
              <w:widowControl w:val="0"/>
              <w:spacing w:line="276" w:lineRule="auto"/>
              <w:jc w:val="left"/>
              <w:rPr>
                <w:rFonts w:ascii="Arial" w:eastAsia="Arial" w:hAnsi="Arial" w:cs="Arial"/>
                <w:sz w:val="20"/>
                <w:szCs w:val="20"/>
              </w:rPr>
            </w:pP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rPr>
                <w:b/>
                <w:i/>
              </w:rPr>
              <w:t>Financial year 2021</w:t>
            </w: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rPr>
                <w:b/>
                <w:i/>
              </w:rPr>
              <w:t>Financial year 2022</w:t>
            </w: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rPr>
                <w:b/>
                <w:i/>
              </w:rPr>
              <w:t>Financial year 2023</w:t>
            </w:r>
          </w:p>
        </w:tc>
      </w:tr>
      <w:tr w:rsidR="00B95B84">
        <w:trPr>
          <w:cantSplit/>
          <w:trHeight w:val="375"/>
          <w:tblHeader/>
          <w:jc w:val="center"/>
        </w:trPr>
        <w:tc>
          <w:tcPr>
            <w:tcW w:w="1635"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Current assets</w:t>
            </w: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100000 + 50000</w:t>
            </w: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80000 + 40000</w:t>
            </w: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20000 + 30000</w:t>
            </w:r>
          </w:p>
        </w:tc>
      </w:tr>
      <w:tr w:rsidR="00B95B84">
        <w:trPr>
          <w:cantSplit/>
          <w:trHeight w:val="375"/>
          <w:tblHeader/>
          <w:jc w:val="center"/>
        </w:trPr>
        <w:tc>
          <w:tcPr>
            <w:tcW w:w="1635"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B95B84">
            <w:pPr>
              <w:pStyle w:val="Normal1"/>
              <w:widowControl w:val="0"/>
              <w:spacing w:line="276" w:lineRule="auto"/>
              <w:jc w:val="left"/>
              <w:rPr>
                <w:rFonts w:ascii="Arial" w:eastAsia="Arial" w:hAnsi="Arial" w:cs="Arial"/>
                <w:sz w:val="20"/>
                <w:szCs w:val="20"/>
              </w:rPr>
            </w:pP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150000</w:t>
            </w: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120000</w:t>
            </w: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50000</w:t>
            </w:r>
          </w:p>
        </w:tc>
      </w:tr>
      <w:tr w:rsidR="00B95B84">
        <w:trPr>
          <w:cantSplit/>
          <w:trHeight w:val="675"/>
          <w:tblHeader/>
          <w:jc w:val="center"/>
        </w:trPr>
        <w:tc>
          <w:tcPr>
            <w:tcW w:w="1635"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left"/>
              <w:rPr>
                <w:rFonts w:ascii="Arial" w:eastAsia="Arial" w:hAnsi="Arial" w:cs="Arial"/>
                <w:sz w:val="20"/>
                <w:szCs w:val="20"/>
              </w:rPr>
            </w:pPr>
            <w:r>
              <w:t>Current liabilities</w:t>
            </w: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30000</w:t>
            </w: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40000</w:t>
            </w:r>
          </w:p>
        </w:tc>
        <w:tc>
          <w:tcPr>
            <w:tcW w:w="210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bottom"/>
          </w:tcPr>
          <w:p w:rsidR="00B95B84" w:rsidRDefault="00D429D4">
            <w:pPr>
              <w:pStyle w:val="Normal1"/>
              <w:widowControl w:val="0"/>
              <w:spacing w:line="276" w:lineRule="auto"/>
              <w:jc w:val="center"/>
              <w:rPr>
                <w:rFonts w:ascii="Arial" w:eastAsia="Arial" w:hAnsi="Arial" w:cs="Arial"/>
                <w:sz w:val="20"/>
                <w:szCs w:val="20"/>
              </w:rPr>
            </w:pPr>
            <w:r>
              <w:rPr>
                <w:b/>
              </w:rPr>
              <w:t>50000</w:t>
            </w:r>
          </w:p>
        </w:tc>
      </w:tr>
    </w:tbl>
    <w:p w:rsidR="00B95B84" w:rsidRDefault="00D429D4">
      <w:pPr>
        <w:pStyle w:val="Normal1"/>
        <w:jc w:val="center"/>
        <w:rPr>
          <w:b/>
        </w:rPr>
      </w:pPr>
      <w:r>
        <w:rPr>
          <w:b/>
        </w:rPr>
        <w:t>Table 2: Working note based on the financial ratio</w:t>
      </w:r>
    </w:p>
    <w:p w:rsidR="00B95B84" w:rsidRDefault="00D429D4">
      <w:pPr>
        <w:pStyle w:val="Normal1"/>
        <w:jc w:val="center"/>
      </w:pPr>
      <w:r>
        <w:lastRenderedPageBreak/>
        <w:t xml:space="preserve">(Sources: Generated by self) </w:t>
      </w:r>
    </w:p>
    <w:p w:rsidR="00B95B84" w:rsidRDefault="00D429D4">
      <w:pPr>
        <w:pStyle w:val="Normal1"/>
        <w:rPr>
          <w:b/>
          <w:i/>
        </w:rPr>
      </w:pPr>
      <w:r>
        <w:rPr>
          <w:b/>
          <w:i/>
        </w:rPr>
        <w:t xml:space="preserve">Common size analysis </w:t>
      </w:r>
    </w:p>
    <w:p w:rsidR="00B95B84" w:rsidRDefault="00B95B84">
      <w:pPr>
        <w:pStyle w:val="Normal1"/>
      </w:pPr>
    </w:p>
    <w:tbl>
      <w:tblPr>
        <w:tblStyle w:val="Table3"/>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710"/>
        <w:gridCol w:w="1410"/>
        <w:gridCol w:w="1215"/>
        <w:gridCol w:w="1260"/>
        <w:gridCol w:w="1365"/>
        <w:gridCol w:w="1275"/>
        <w:gridCol w:w="1125"/>
      </w:tblGrid>
      <w:tr w:rsidR="00B95B84">
        <w:trPr>
          <w:cantSplit/>
          <w:trHeight w:val="375"/>
          <w:tblHeader/>
          <w:jc w:val="center"/>
        </w:trPr>
        <w:tc>
          <w:tcPr>
            <w:tcW w:w="9360" w:type="dxa"/>
            <w:gridSpan w:val="7"/>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rPr>
                <w:b/>
              </w:rPr>
              <w:t>Common-size Income statement analysis</w:t>
            </w:r>
          </w:p>
        </w:tc>
      </w:tr>
      <w:tr w:rsidR="00B95B84">
        <w:trPr>
          <w:cantSplit/>
          <w:trHeight w:val="975"/>
          <w:tblHeader/>
          <w:jc w:val="center"/>
        </w:trPr>
        <w:tc>
          <w:tcPr>
            <w:tcW w:w="171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rPr>
                <w:b/>
              </w:rPr>
              <w:t>Particular</w:t>
            </w:r>
          </w:p>
        </w:tc>
        <w:tc>
          <w:tcPr>
            <w:tcW w:w="141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b/>
              </w:rPr>
            </w:pPr>
            <w:r>
              <w:rPr>
                <w:b/>
              </w:rPr>
              <w:t>Financial year</w:t>
            </w:r>
          </w:p>
          <w:p w:rsidR="00B95B84" w:rsidRDefault="00D429D4">
            <w:pPr>
              <w:pStyle w:val="Normal1"/>
              <w:widowControl w:val="0"/>
              <w:spacing w:line="276" w:lineRule="auto"/>
              <w:jc w:val="center"/>
              <w:rPr>
                <w:rFonts w:ascii="Arial" w:eastAsia="Arial" w:hAnsi="Arial" w:cs="Arial"/>
                <w:sz w:val="20"/>
                <w:szCs w:val="20"/>
              </w:rPr>
            </w:pPr>
            <w:r>
              <w:rPr>
                <w:b/>
              </w:rPr>
              <w:t>2021</w:t>
            </w:r>
          </w:p>
        </w:tc>
        <w:tc>
          <w:tcPr>
            <w:tcW w:w="121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rPr>
                <w:b/>
              </w:rPr>
              <w:t>% of revenue</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b/>
              </w:rPr>
            </w:pPr>
            <w:r>
              <w:rPr>
                <w:b/>
              </w:rPr>
              <w:t>Financial year</w:t>
            </w:r>
          </w:p>
          <w:p w:rsidR="00B95B84" w:rsidRDefault="00D429D4">
            <w:pPr>
              <w:pStyle w:val="Normal1"/>
              <w:widowControl w:val="0"/>
              <w:spacing w:line="276" w:lineRule="auto"/>
              <w:jc w:val="center"/>
              <w:rPr>
                <w:rFonts w:ascii="Arial" w:eastAsia="Arial" w:hAnsi="Arial" w:cs="Arial"/>
                <w:sz w:val="20"/>
                <w:szCs w:val="20"/>
              </w:rPr>
            </w:pPr>
            <w:r>
              <w:rPr>
                <w:b/>
              </w:rPr>
              <w:t>2022</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rPr>
                <w:b/>
              </w:rPr>
              <w:t>% of revenue</w:t>
            </w:r>
          </w:p>
        </w:tc>
        <w:tc>
          <w:tcPr>
            <w:tcW w:w="127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b/>
              </w:rPr>
            </w:pPr>
            <w:r>
              <w:rPr>
                <w:b/>
              </w:rPr>
              <w:t>Financial year</w:t>
            </w:r>
          </w:p>
          <w:p w:rsidR="00B95B84" w:rsidRDefault="00D429D4">
            <w:pPr>
              <w:pStyle w:val="Normal1"/>
              <w:widowControl w:val="0"/>
              <w:spacing w:line="276" w:lineRule="auto"/>
              <w:jc w:val="center"/>
              <w:rPr>
                <w:rFonts w:ascii="Arial" w:eastAsia="Arial" w:hAnsi="Arial" w:cs="Arial"/>
                <w:sz w:val="20"/>
                <w:szCs w:val="20"/>
              </w:rPr>
            </w:pPr>
            <w:r>
              <w:rPr>
                <w:b/>
              </w:rPr>
              <w:t>2023</w:t>
            </w:r>
          </w:p>
        </w:tc>
        <w:tc>
          <w:tcPr>
            <w:tcW w:w="112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rPr>
                <w:b/>
              </w:rPr>
              <w:t>% of revenue</w:t>
            </w:r>
          </w:p>
        </w:tc>
      </w:tr>
      <w:tr w:rsidR="00B95B84">
        <w:trPr>
          <w:cantSplit/>
          <w:trHeight w:val="375"/>
          <w:tblHeader/>
          <w:jc w:val="center"/>
        </w:trPr>
        <w:tc>
          <w:tcPr>
            <w:tcW w:w="171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t>Revenue</w:t>
            </w:r>
          </w:p>
        </w:tc>
        <w:tc>
          <w:tcPr>
            <w:tcW w:w="141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£1,200,000</w:t>
            </w:r>
          </w:p>
        </w:tc>
        <w:tc>
          <w:tcPr>
            <w:tcW w:w="121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100.00%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£1,100,000</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100.00%</w:t>
            </w:r>
          </w:p>
        </w:tc>
        <w:tc>
          <w:tcPr>
            <w:tcW w:w="127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£950,000</w:t>
            </w:r>
          </w:p>
        </w:tc>
        <w:tc>
          <w:tcPr>
            <w:tcW w:w="112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100.00%</w:t>
            </w:r>
          </w:p>
        </w:tc>
      </w:tr>
      <w:tr w:rsidR="00B95B84">
        <w:trPr>
          <w:cantSplit/>
          <w:trHeight w:val="375"/>
          <w:tblHeader/>
          <w:jc w:val="center"/>
        </w:trPr>
        <w:tc>
          <w:tcPr>
            <w:tcW w:w="171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t>Operating Expenses</w:t>
            </w:r>
          </w:p>
        </w:tc>
        <w:tc>
          <w:tcPr>
            <w:tcW w:w="141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£900,000</w:t>
            </w:r>
          </w:p>
        </w:tc>
        <w:tc>
          <w:tcPr>
            <w:tcW w:w="121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75.00%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£950,000</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86.36%</w:t>
            </w:r>
          </w:p>
        </w:tc>
        <w:tc>
          <w:tcPr>
            <w:tcW w:w="127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£1,100,000</w:t>
            </w:r>
          </w:p>
        </w:tc>
        <w:tc>
          <w:tcPr>
            <w:tcW w:w="112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115.79%</w:t>
            </w:r>
          </w:p>
        </w:tc>
      </w:tr>
      <w:tr w:rsidR="00B95B84">
        <w:trPr>
          <w:cantSplit/>
          <w:trHeight w:val="375"/>
          <w:tblHeader/>
          <w:jc w:val="center"/>
        </w:trPr>
        <w:tc>
          <w:tcPr>
            <w:tcW w:w="171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t>Net Income</w:t>
            </w:r>
          </w:p>
        </w:tc>
        <w:tc>
          <w:tcPr>
            <w:tcW w:w="141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£300,000</w:t>
            </w:r>
          </w:p>
        </w:tc>
        <w:tc>
          <w:tcPr>
            <w:tcW w:w="121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25.00%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£150,000</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15.79%</w:t>
            </w:r>
          </w:p>
        </w:tc>
        <w:tc>
          <w:tcPr>
            <w:tcW w:w="127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-£150,000</w:t>
            </w:r>
          </w:p>
        </w:tc>
        <w:tc>
          <w:tcPr>
            <w:tcW w:w="112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t>-15.79%</w:t>
            </w:r>
          </w:p>
        </w:tc>
      </w:tr>
    </w:tbl>
    <w:p w:rsidR="00B95B84" w:rsidRDefault="00D429D4">
      <w:pPr>
        <w:pStyle w:val="Normal1"/>
        <w:jc w:val="center"/>
        <w:rPr>
          <w:b/>
        </w:rPr>
      </w:pPr>
      <w:r>
        <w:rPr>
          <w:b/>
        </w:rPr>
        <w:t xml:space="preserve">Table 3: Common-size analysis based on the income statement for the three financial years </w:t>
      </w:r>
    </w:p>
    <w:p w:rsidR="00B95B84" w:rsidRDefault="00D429D4">
      <w:pPr>
        <w:pStyle w:val="Normal1"/>
        <w:jc w:val="center"/>
      </w:pPr>
      <w:r>
        <w:t>(Sources: Generated by self)</w:t>
      </w:r>
    </w:p>
    <w:p w:rsidR="00B95B84" w:rsidRDefault="00D429D4">
      <w:pPr>
        <w:pStyle w:val="Normal1"/>
      </w:pPr>
      <w:r>
        <w:t xml:space="preserve">According to the words of Merlita </w:t>
      </w:r>
      <w:r>
        <w:rPr>
          <w:i/>
        </w:rPr>
        <w:t>et al.,</w:t>
      </w:r>
      <w:r>
        <w:t xml:space="preserve"> (2022), the common size analysis i</w:t>
      </w:r>
      <w:r w:rsidR="005C4737">
        <w:t>s a financial analysis tool which is used by a firm</w:t>
      </w:r>
      <w:r>
        <w:t xml:space="preserve"> tha</w:t>
      </w:r>
      <w:r w:rsidR="005C4737">
        <w:t xml:space="preserve">t involves expressing each financial </w:t>
      </w:r>
      <w:r>
        <w:t>item</w:t>
      </w:r>
      <w:r w:rsidR="005C4737">
        <w:t>s</w:t>
      </w:r>
      <w:r>
        <w:t xml:space="preserve"> in a financial statement as a percentage value. Moreover, it also allows for easy comparison of financial data across diff</w:t>
      </w:r>
      <w:r w:rsidR="00B90D55">
        <w:t xml:space="preserve">erent time periods. Based on this above table, it can be observed </w:t>
      </w:r>
      <w:r>
        <w:t xml:space="preserve">that the percentage of operating expenses based on the revenue is 75% in the financial year 2021, in the financial year 2022 the percentage </w:t>
      </w:r>
      <w:r w:rsidR="00D8444F">
        <w:t>was 86.36</w:t>
      </w:r>
      <w:r>
        <w:t>% and in the financial year 2023, the percentage was 115.79%. This means that the company is increasing its operating expenses over a period of time which is not a good sign for its financial health.</w:t>
      </w:r>
    </w:p>
    <w:p w:rsidR="00B95B84" w:rsidRDefault="00D429D4" w:rsidP="00D8444F">
      <w:pPr>
        <w:pStyle w:val="Normal1"/>
      </w:pPr>
      <w:r>
        <w:t>Similarly, the net profit percentage based on the revenue was 25% in the financial year 2021, fo</w:t>
      </w:r>
      <w:r w:rsidR="00B90D55">
        <w:t xml:space="preserve">llowed by in the financial period </w:t>
      </w:r>
      <w:r>
        <w:t>2022 w</w:t>
      </w:r>
      <w:r w:rsidR="00B90D55">
        <w:t xml:space="preserve">as 15% and in the FY </w:t>
      </w:r>
      <w:r>
        <w:t xml:space="preserve">2023 was 1-15.79%. Hence, based on this financial analysis it can be stated that the company Seacrest Lodge is increasing its operating expenses in order to increase its sales, but the company is not able to generate that much amount of profit compared to its expenses. Therefore, due to increasing operating expenses the revenue of the companies is decreasing at the same time net income is decreasing. </w:t>
      </w:r>
    </w:p>
    <w:tbl>
      <w:tblPr>
        <w:tblStyle w:val="Table4"/>
        <w:tblW w:w="985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40"/>
        <w:gridCol w:w="1335"/>
        <w:gridCol w:w="1290"/>
        <w:gridCol w:w="1365"/>
        <w:gridCol w:w="1260"/>
        <w:gridCol w:w="1320"/>
        <w:gridCol w:w="1245"/>
      </w:tblGrid>
      <w:tr w:rsidR="00B95B84">
        <w:trPr>
          <w:cantSplit/>
          <w:trHeight w:val="375"/>
          <w:tblHeader/>
          <w:jc w:val="center"/>
        </w:trPr>
        <w:tc>
          <w:tcPr>
            <w:tcW w:w="9855" w:type="dxa"/>
            <w:gridSpan w:val="7"/>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rPr>
                <w:b/>
              </w:rPr>
              <w:t>Common-size Balance sheet analysis</w:t>
            </w:r>
          </w:p>
        </w:tc>
      </w:tr>
      <w:tr w:rsidR="00B95B84">
        <w:trPr>
          <w:cantSplit/>
          <w:trHeight w:val="975"/>
          <w:tblHeader/>
          <w:jc w:val="center"/>
        </w:trPr>
        <w:tc>
          <w:tcPr>
            <w:tcW w:w="204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rPr>
                <w:b/>
              </w:rPr>
              <w:t>Particular</w:t>
            </w:r>
          </w:p>
        </w:tc>
        <w:tc>
          <w:tcPr>
            <w:tcW w:w="133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b/>
              </w:rPr>
            </w:pPr>
            <w:r>
              <w:rPr>
                <w:b/>
              </w:rPr>
              <w:t>Financial year</w:t>
            </w:r>
          </w:p>
          <w:p w:rsidR="00B95B84" w:rsidRDefault="00D429D4">
            <w:pPr>
              <w:pStyle w:val="Normal1"/>
              <w:widowControl w:val="0"/>
              <w:spacing w:line="276" w:lineRule="auto"/>
              <w:jc w:val="center"/>
              <w:rPr>
                <w:rFonts w:ascii="Arial" w:eastAsia="Arial" w:hAnsi="Arial" w:cs="Arial"/>
                <w:sz w:val="20"/>
                <w:szCs w:val="20"/>
              </w:rPr>
            </w:pPr>
            <w:r>
              <w:rPr>
                <w:b/>
              </w:rPr>
              <w:t>2021</w:t>
            </w:r>
          </w:p>
        </w:tc>
        <w:tc>
          <w:tcPr>
            <w:tcW w:w="129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rPr>
                <w:b/>
              </w:rPr>
              <w:t>% of total assets</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b/>
              </w:rPr>
            </w:pPr>
            <w:r>
              <w:rPr>
                <w:b/>
              </w:rPr>
              <w:t>Financial year</w:t>
            </w:r>
          </w:p>
          <w:p w:rsidR="00B95B84" w:rsidRDefault="00D429D4">
            <w:pPr>
              <w:pStyle w:val="Normal1"/>
              <w:widowControl w:val="0"/>
              <w:spacing w:line="276" w:lineRule="auto"/>
              <w:jc w:val="center"/>
              <w:rPr>
                <w:rFonts w:ascii="Arial" w:eastAsia="Arial" w:hAnsi="Arial" w:cs="Arial"/>
                <w:sz w:val="20"/>
                <w:szCs w:val="20"/>
              </w:rPr>
            </w:pPr>
            <w:r>
              <w:rPr>
                <w:b/>
              </w:rPr>
              <w:t>2022</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rPr>
                <w:b/>
              </w:rPr>
              <w:t>% of total assets</w:t>
            </w:r>
          </w:p>
        </w:tc>
        <w:tc>
          <w:tcPr>
            <w:tcW w:w="132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b/>
              </w:rPr>
            </w:pPr>
            <w:r>
              <w:rPr>
                <w:b/>
              </w:rPr>
              <w:t>Financial year</w:t>
            </w:r>
          </w:p>
          <w:p w:rsidR="00B95B84" w:rsidRDefault="00D429D4">
            <w:pPr>
              <w:pStyle w:val="Normal1"/>
              <w:widowControl w:val="0"/>
              <w:spacing w:line="276" w:lineRule="auto"/>
              <w:jc w:val="center"/>
              <w:rPr>
                <w:rFonts w:ascii="Arial" w:eastAsia="Arial" w:hAnsi="Arial" w:cs="Arial"/>
                <w:sz w:val="20"/>
                <w:szCs w:val="20"/>
              </w:rPr>
            </w:pPr>
            <w:r>
              <w:rPr>
                <w:b/>
              </w:rPr>
              <w:t>2023</w:t>
            </w:r>
          </w:p>
        </w:tc>
        <w:tc>
          <w:tcPr>
            <w:tcW w:w="124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center"/>
              <w:rPr>
                <w:rFonts w:ascii="Arial" w:eastAsia="Arial" w:hAnsi="Arial" w:cs="Arial"/>
                <w:sz w:val="20"/>
                <w:szCs w:val="20"/>
              </w:rPr>
            </w:pPr>
            <w:r>
              <w:rPr>
                <w:b/>
              </w:rPr>
              <w:t>% of total assets</w:t>
            </w:r>
          </w:p>
        </w:tc>
      </w:tr>
      <w:tr w:rsidR="00B95B84">
        <w:trPr>
          <w:cantSplit/>
          <w:trHeight w:val="375"/>
          <w:tblHeader/>
          <w:jc w:val="center"/>
        </w:trPr>
        <w:tc>
          <w:tcPr>
            <w:tcW w:w="204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lastRenderedPageBreak/>
              <w:t>Cash and Equivalents</w:t>
            </w:r>
          </w:p>
        </w:tc>
        <w:tc>
          <w:tcPr>
            <w:tcW w:w="133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£100,000</w:t>
            </w:r>
          </w:p>
        </w:tc>
        <w:tc>
          <w:tcPr>
            <w:tcW w:w="129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4.65%</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£80,000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3.77%</w:t>
            </w:r>
          </w:p>
        </w:tc>
        <w:tc>
          <w:tcPr>
            <w:tcW w:w="132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£20,000</w:t>
            </w:r>
          </w:p>
        </w:tc>
        <w:tc>
          <w:tcPr>
            <w:tcW w:w="124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1.08%</w:t>
            </w:r>
          </w:p>
        </w:tc>
      </w:tr>
      <w:tr w:rsidR="00B95B84">
        <w:trPr>
          <w:cantSplit/>
          <w:trHeight w:val="375"/>
          <w:tblHeader/>
          <w:jc w:val="center"/>
        </w:trPr>
        <w:tc>
          <w:tcPr>
            <w:tcW w:w="204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t>Accounts Receivable</w:t>
            </w:r>
          </w:p>
        </w:tc>
        <w:tc>
          <w:tcPr>
            <w:tcW w:w="133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£50,000</w:t>
            </w:r>
          </w:p>
        </w:tc>
        <w:tc>
          <w:tcPr>
            <w:tcW w:w="129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2.33%</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£40,000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1.89%</w:t>
            </w:r>
          </w:p>
        </w:tc>
        <w:tc>
          <w:tcPr>
            <w:tcW w:w="132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£30,000</w:t>
            </w:r>
          </w:p>
        </w:tc>
        <w:tc>
          <w:tcPr>
            <w:tcW w:w="124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1.62%</w:t>
            </w:r>
          </w:p>
        </w:tc>
      </w:tr>
      <w:tr w:rsidR="00B95B84">
        <w:trPr>
          <w:cantSplit/>
          <w:trHeight w:val="675"/>
          <w:tblHeader/>
          <w:jc w:val="center"/>
        </w:trPr>
        <w:tc>
          <w:tcPr>
            <w:tcW w:w="204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t>Property and Equipment</w:t>
            </w:r>
          </w:p>
        </w:tc>
        <w:tc>
          <w:tcPr>
            <w:tcW w:w="133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£2,000,000</w:t>
            </w:r>
          </w:p>
        </w:tc>
        <w:tc>
          <w:tcPr>
            <w:tcW w:w="129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93.02%</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£2,000,000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94.34%</w:t>
            </w:r>
          </w:p>
        </w:tc>
        <w:tc>
          <w:tcPr>
            <w:tcW w:w="132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£1,800,000</w:t>
            </w:r>
          </w:p>
        </w:tc>
        <w:tc>
          <w:tcPr>
            <w:tcW w:w="124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97.30%</w:t>
            </w:r>
          </w:p>
        </w:tc>
      </w:tr>
      <w:tr w:rsidR="00B95B84">
        <w:trPr>
          <w:cantSplit/>
          <w:trHeight w:val="375"/>
          <w:tblHeader/>
          <w:jc w:val="center"/>
        </w:trPr>
        <w:tc>
          <w:tcPr>
            <w:tcW w:w="204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t>Total Assets</w:t>
            </w:r>
          </w:p>
        </w:tc>
        <w:tc>
          <w:tcPr>
            <w:tcW w:w="133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£2,150,000</w:t>
            </w:r>
          </w:p>
        </w:tc>
        <w:tc>
          <w:tcPr>
            <w:tcW w:w="129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100.00%</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£2,120,000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100.00%</w:t>
            </w:r>
          </w:p>
        </w:tc>
        <w:tc>
          <w:tcPr>
            <w:tcW w:w="132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£1,850,000</w:t>
            </w:r>
          </w:p>
        </w:tc>
        <w:tc>
          <w:tcPr>
            <w:tcW w:w="124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100.00%</w:t>
            </w:r>
          </w:p>
        </w:tc>
      </w:tr>
      <w:tr w:rsidR="00B95B84">
        <w:trPr>
          <w:cantSplit/>
          <w:trHeight w:val="375"/>
          <w:tblHeader/>
          <w:jc w:val="center"/>
        </w:trPr>
        <w:tc>
          <w:tcPr>
            <w:tcW w:w="204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t>Accounts Payable</w:t>
            </w:r>
          </w:p>
        </w:tc>
        <w:tc>
          <w:tcPr>
            <w:tcW w:w="133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£30,000</w:t>
            </w:r>
          </w:p>
        </w:tc>
        <w:tc>
          <w:tcPr>
            <w:tcW w:w="129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1.40%</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£40,000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1.89%</w:t>
            </w:r>
          </w:p>
        </w:tc>
        <w:tc>
          <w:tcPr>
            <w:tcW w:w="132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£50,000</w:t>
            </w:r>
          </w:p>
        </w:tc>
        <w:tc>
          <w:tcPr>
            <w:tcW w:w="124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2.70%</w:t>
            </w:r>
          </w:p>
        </w:tc>
      </w:tr>
      <w:tr w:rsidR="00B95B84">
        <w:trPr>
          <w:cantSplit/>
          <w:trHeight w:val="375"/>
          <w:tblHeader/>
          <w:jc w:val="center"/>
        </w:trPr>
        <w:tc>
          <w:tcPr>
            <w:tcW w:w="204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t>Long-term Debt</w:t>
            </w:r>
          </w:p>
        </w:tc>
        <w:tc>
          <w:tcPr>
            <w:tcW w:w="133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£1,500,000</w:t>
            </w:r>
          </w:p>
        </w:tc>
        <w:tc>
          <w:tcPr>
            <w:tcW w:w="129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69.77%</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£1,500,000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70.75%</w:t>
            </w:r>
          </w:p>
        </w:tc>
        <w:tc>
          <w:tcPr>
            <w:tcW w:w="132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£1,500,000</w:t>
            </w:r>
          </w:p>
        </w:tc>
        <w:tc>
          <w:tcPr>
            <w:tcW w:w="124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81.08%</w:t>
            </w:r>
          </w:p>
        </w:tc>
      </w:tr>
      <w:tr w:rsidR="00B95B84">
        <w:trPr>
          <w:cantSplit/>
          <w:trHeight w:val="375"/>
          <w:tblHeader/>
          <w:jc w:val="center"/>
        </w:trPr>
        <w:tc>
          <w:tcPr>
            <w:tcW w:w="204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t>Total Liabilities</w:t>
            </w:r>
          </w:p>
        </w:tc>
        <w:tc>
          <w:tcPr>
            <w:tcW w:w="133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£1,530,000</w:t>
            </w:r>
          </w:p>
        </w:tc>
        <w:tc>
          <w:tcPr>
            <w:tcW w:w="129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71.16%</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£1,540,000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72.64%</w:t>
            </w:r>
          </w:p>
        </w:tc>
        <w:tc>
          <w:tcPr>
            <w:tcW w:w="132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£1,550,000</w:t>
            </w:r>
          </w:p>
        </w:tc>
        <w:tc>
          <w:tcPr>
            <w:tcW w:w="124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83.78%</w:t>
            </w:r>
          </w:p>
        </w:tc>
      </w:tr>
      <w:tr w:rsidR="00B95B84">
        <w:trPr>
          <w:cantSplit/>
          <w:trHeight w:val="375"/>
          <w:tblHeader/>
          <w:jc w:val="center"/>
        </w:trPr>
        <w:tc>
          <w:tcPr>
            <w:tcW w:w="2040" w:type="dxa"/>
            <w:tcBorders>
              <w:top w:val="single" w:sz="8" w:space="0" w:color="CCCCCC"/>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left"/>
              <w:rPr>
                <w:rFonts w:ascii="Arial" w:eastAsia="Arial" w:hAnsi="Arial" w:cs="Arial"/>
                <w:sz w:val="20"/>
                <w:szCs w:val="20"/>
              </w:rPr>
            </w:pPr>
            <w:r>
              <w:t>Equity</w:t>
            </w:r>
          </w:p>
        </w:tc>
        <w:tc>
          <w:tcPr>
            <w:tcW w:w="133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£620,000</w:t>
            </w:r>
          </w:p>
        </w:tc>
        <w:tc>
          <w:tcPr>
            <w:tcW w:w="129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28.84%</w:t>
            </w:r>
          </w:p>
        </w:tc>
        <w:tc>
          <w:tcPr>
            <w:tcW w:w="136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£580,000</w:t>
            </w:r>
          </w:p>
        </w:tc>
        <w:tc>
          <w:tcPr>
            <w:tcW w:w="126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27.36%</w:t>
            </w:r>
          </w:p>
        </w:tc>
        <w:tc>
          <w:tcPr>
            <w:tcW w:w="1320"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£300,000</w:t>
            </w:r>
          </w:p>
        </w:tc>
        <w:tc>
          <w:tcPr>
            <w:tcW w:w="1245" w:type="dxa"/>
            <w:tcBorders>
              <w:top w:val="single" w:sz="8" w:space="0" w:color="CCCCCC"/>
              <w:left w:val="single" w:sz="8" w:space="0" w:color="CCCCCC"/>
              <w:bottom w:val="single" w:sz="8" w:space="0" w:color="000000"/>
              <w:right w:val="single" w:sz="8" w:space="0" w:color="000000"/>
            </w:tcBorders>
            <w:shd w:val="clear" w:color="auto" w:fill="auto"/>
            <w:tcMar>
              <w:top w:w="40" w:type="dxa"/>
              <w:left w:w="40" w:type="dxa"/>
              <w:bottom w:w="40" w:type="dxa"/>
              <w:right w:w="40" w:type="dxa"/>
            </w:tcMar>
            <w:vAlign w:val="center"/>
          </w:tcPr>
          <w:p w:rsidR="00B95B84" w:rsidRDefault="00D429D4">
            <w:pPr>
              <w:pStyle w:val="Normal1"/>
              <w:widowControl w:val="0"/>
              <w:spacing w:line="276" w:lineRule="auto"/>
              <w:jc w:val="right"/>
              <w:rPr>
                <w:rFonts w:ascii="Arial" w:eastAsia="Arial" w:hAnsi="Arial" w:cs="Arial"/>
                <w:sz w:val="20"/>
                <w:szCs w:val="20"/>
              </w:rPr>
            </w:pPr>
            <w:r>
              <w:t>16.22%</w:t>
            </w:r>
          </w:p>
        </w:tc>
      </w:tr>
    </w:tbl>
    <w:p w:rsidR="00B95B84" w:rsidRDefault="00B95B84">
      <w:pPr>
        <w:pStyle w:val="Normal1"/>
        <w:jc w:val="center"/>
      </w:pPr>
    </w:p>
    <w:p w:rsidR="00B95B84" w:rsidRDefault="00D429D4">
      <w:pPr>
        <w:pStyle w:val="Normal1"/>
        <w:jc w:val="center"/>
        <w:rPr>
          <w:b/>
        </w:rPr>
      </w:pPr>
      <w:r>
        <w:rPr>
          <w:b/>
        </w:rPr>
        <w:t xml:space="preserve">Table 4: Common-size analysis based on the balance sheet for the three financial years </w:t>
      </w:r>
    </w:p>
    <w:p w:rsidR="00B95B84" w:rsidRDefault="00D429D4">
      <w:pPr>
        <w:pStyle w:val="Normal1"/>
        <w:jc w:val="center"/>
      </w:pPr>
      <w:r>
        <w:t xml:space="preserve">(Sources: Generated by self)  </w:t>
      </w:r>
    </w:p>
    <w:p w:rsidR="00B95B84" w:rsidRDefault="00D429D4">
      <w:pPr>
        <w:pStyle w:val="Normal1"/>
      </w:pPr>
      <w:r>
        <w:t>From the above tabl</w:t>
      </w:r>
      <w:r w:rsidR="00B90D55">
        <w:t xml:space="preserve">e (table 4) it can observed that this table </w:t>
      </w:r>
      <w:r w:rsidR="00D8444F">
        <w:t>shows the</w:t>
      </w:r>
      <w:r>
        <w:t xml:space="preserve"> common size analysis based on the balance sheet of the company Seacrest Lodge over the past three financial</w:t>
      </w:r>
      <w:r w:rsidR="00B90D55">
        <w:t xml:space="preserve"> years. </w:t>
      </w:r>
      <w:r w:rsidR="00D8444F">
        <w:t>Moreover</w:t>
      </w:r>
      <w:r w:rsidR="00B90D55">
        <w:t xml:space="preserve"> by observing this </w:t>
      </w:r>
      <w:r w:rsidR="00D8444F">
        <w:t>financial</w:t>
      </w:r>
      <w:r w:rsidR="00B90D55">
        <w:t xml:space="preserve"> table</w:t>
      </w:r>
      <w:r>
        <w:t xml:space="preserve">, it can </w:t>
      </w:r>
      <w:r w:rsidR="00B90D55">
        <w:t>be stated</w:t>
      </w:r>
      <w:r>
        <w:t xml:space="preserve"> that the percentage of property and equipment based on the total assets was 93.02% in the financial year 2021 and 97.30% in the financial year 2023. Therefore, it can be seen that the fixed assets of the company are increasing over the period of time. Moreover, the percentage of long-term debt based on the percentage of total assets was 69.77% in 2021, 70.75% in 2022 and in the financial year 2023 was 81.08%. It means that the long-term debts of the company are increasing over a period of time. According to the words of Peng </w:t>
      </w:r>
      <w:r>
        <w:rPr>
          <w:i/>
        </w:rPr>
        <w:t>et al.,</w:t>
      </w:r>
      <w:r>
        <w:t xml:space="preserve"> (2022), the increase in long-term debts means a company has more financial risk which is a drawback of its financial health, because the investors may not prefer this company in terms of investments. </w:t>
      </w:r>
    </w:p>
    <w:p w:rsidR="00B95B84" w:rsidRDefault="00D429D4">
      <w:pPr>
        <w:pStyle w:val="Heading1"/>
        <w:jc w:val="left"/>
      </w:pPr>
      <w:bookmarkStart w:id="19" w:name="_en6m4ayd5ji3" w:colFirst="0" w:colLast="0"/>
      <w:bookmarkStart w:id="20" w:name="_Toc159342154"/>
      <w:bookmarkEnd w:id="19"/>
      <w:r>
        <w:t>Identification of the primary reasons behind the decline in profitability of the company over the past three years</w:t>
      </w:r>
      <w:bookmarkEnd w:id="20"/>
    </w:p>
    <w:p w:rsidR="00B95B84" w:rsidRDefault="00D429D4">
      <w:pPr>
        <w:pStyle w:val="Normal1"/>
      </w:pPr>
      <w:r>
        <w:t>Based on the income statement of th</w:t>
      </w:r>
      <w:r w:rsidR="00B90D55">
        <w:t>e company Seacrest Lodge, it can</w:t>
      </w:r>
      <w:r>
        <w:t xml:space="preserve"> </w:t>
      </w:r>
      <w:r w:rsidR="00D8444F">
        <w:t>be</w:t>
      </w:r>
      <w:r>
        <w:t xml:space="preserve"> identified</w:t>
      </w:r>
      <w:r w:rsidR="00B90D55">
        <w:t xml:space="preserve"> that the profitability of this organiasation has been decreasing </w:t>
      </w:r>
      <w:r w:rsidR="00D8444F">
        <w:t>for</w:t>
      </w:r>
      <w:r w:rsidR="00B90D55">
        <w:t xml:space="preserve"> the</w:t>
      </w:r>
      <w:r>
        <w:t xml:space="preserve"> past three </w:t>
      </w:r>
      <w:r w:rsidR="00B90D55">
        <w:t xml:space="preserve">financial </w:t>
      </w:r>
      <w:r>
        <w:t xml:space="preserve">years. It can be </w:t>
      </w:r>
      <w:r>
        <w:lastRenderedPageBreak/>
        <w:t xml:space="preserve">observed that in the financial year 2021, the net income of the company was £300,000, in the financial year 2022 the financial year was £150,000 and in the financial year 2023 -£150,000. It can be seen that in the financial year 2022, the profit has decreased approximately 50% of the profit that was generated in the financial year 2021. One of the key reasons for decreasing the profit of the company in the financial year 2022 was COVID-19 in this sector of hotel management. </w:t>
      </w:r>
    </w:p>
    <w:p w:rsidR="00B95B84" w:rsidRDefault="00D429D4">
      <w:pPr>
        <w:pStyle w:val="Normal1"/>
      </w:pPr>
      <w:r>
        <w:t xml:space="preserve">Due to the impact of post-pandemic many businesses in this sector have faced multiple issues in order to generate profit (Gurbuz </w:t>
      </w:r>
      <w:r>
        <w:rPr>
          <w:i/>
        </w:rPr>
        <w:t>et al.</w:t>
      </w:r>
      <w:r>
        <w:t>, 2020). This is because, in the time of the pandemic, the government has announced lockdowns all over the world. In such a financial year the people of the country were restricted from visiting any restaurant or any kind of social gathering place. Therefore, in such a financial year it was very difficult for these sectors to generate profit. Further, some other economic factors such as customer preferences or economic downturn, can affect the profitability of the company in the financial year 2023. Due to the changes in the services that are provided by the companies in the hotel sector along with the changes due to this modification, the customer may not prefer to visit this restaurant (Customer Satisfaction in Hotel Services, 2024).</w:t>
      </w:r>
    </w:p>
    <w:p w:rsidR="00B95B84" w:rsidRDefault="00D429D4">
      <w:pPr>
        <w:pStyle w:val="Normal1"/>
      </w:pPr>
      <w:r>
        <w:t xml:space="preserve">Along with a decrease in the occupation rate the services which are provided by the company have also decreased. This can be another key reason for the company to decrease its total income in the financial year 2023. According to the words of Malik </w:t>
      </w:r>
      <w:r>
        <w:rPr>
          <w:i/>
        </w:rPr>
        <w:t>et al</w:t>
      </w:r>
      <w:r>
        <w:t xml:space="preserve">., (2020), it is very important for a company which is based in the hospitality sector to satisfy its customer's preferences by providing good quality services to them, by doing so the company will gain customer loyalty and trust which is good for its sustainable growth. </w:t>
      </w:r>
    </w:p>
    <w:p w:rsidR="00B95B84" w:rsidRDefault="00D429D4">
      <w:pPr>
        <w:pStyle w:val="Heading1"/>
      </w:pPr>
      <w:bookmarkStart w:id="21" w:name="_fmd51kjc2900" w:colFirst="0" w:colLast="0"/>
      <w:bookmarkStart w:id="22" w:name="_Toc159342155"/>
      <w:bookmarkEnd w:id="21"/>
      <w:r>
        <w:t xml:space="preserve">A comprehensive turnaround strategy to revitalise </w:t>
      </w:r>
      <w:r w:rsidR="00B90D55">
        <w:t xml:space="preserve">the </w:t>
      </w:r>
      <w:r>
        <w:t>financial health and restore</w:t>
      </w:r>
      <w:bookmarkEnd w:id="22"/>
      <w:r w:rsidR="00B90D55">
        <w:t xml:space="preserve"> of the company</w:t>
      </w:r>
    </w:p>
    <w:p w:rsidR="00B95B84" w:rsidRDefault="00D429D4">
      <w:pPr>
        <w:pStyle w:val="Normal1"/>
      </w:pPr>
      <w:r>
        <w:t xml:space="preserve">A strategic plan is required in order to boost the financial health of the company so that it can increase its profit over a period of time. </w:t>
      </w:r>
    </w:p>
    <w:p w:rsidR="00B95B84" w:rsidRDefault="00D429D4">
      <w:pPr>
        <w:pStyle w:val="Normal1"/>
        <w:numPr>
          <w:ilvl w:val="0"/>
          <w:numId w:val="1"/>
        </w:numPr>
      </w:pPr>
      <w:r>
        <w:t xml:space="preserve">Enhance customer services: It is very important that a company should improve its services in order to increase its profitability (Alzoubi </w:t>
      </w:r>
      <w:r>
        <w:rPr>
          <w:i/>
        </w:rPr>
        <w:t>et al</w:t>
      </w:r>
      <w:r>
        <w:t xml:space="preserve">., 2022). It can be seen that in the financial year 2023, the profit of the company was negative which means that the company Seacrest Lodge can sell much of its services to its customers. Therefore, due to </w:t>
      </w:r>
      <w:r>
        <w:lastRenderedPageBreak/>
        <w:t xml:space="preserve">decreasing the rate of the rooms the services which are provided by the company have also decreased. Therefore, in order to deal with these issues the company can implement or hire more professional staff along with focusing on the preference of the customer. </w:t>
      </w:r>
    </w:p>
    <w:p w:rsidR="00B95B84" w:rsidRDefault="00D429D4">
      <w:pPr>
        <w:pStyle w:val="Normal1"/>
        <w:numPr>
          <w:ilvl w:val="0"/>
          <w:numId w:val="1"/>
        </w:numPr>
      </w:pPr>
      <w:r>
        <w:t xml:space="preserve">Proper operational management: Based on the above discussion it can be observed that the company has increased its operational expenses in order to generate more revenue. Therefore, due to improper management of operations, a company is spending more money on its operations and at the same time its total net income has decreased (Tzenios </w:t>
      </w:r>
      <w:r>
        <w:rPr>
          <w:i/>
        </w:rPr>
        <w:t>et al.,</w:t>
      </w:r>
      <w:r>
        <w:t xml:space="preserve"> 2022). In order to manage its operation effectively the company needs proper business practices to develop the highest level of efficiency possible within an organisation.</w:t>
      </w:r>
    </w:p>
    <w:p w:rsidR="00B95B84" w:rsidRDefault="00D429D4">
      <w:pPr>
        <w:pStyle w:val="Normal1"/>
        <w:numPr>
          <w:ilvl w:val="0"/>
          <w:numId w:val="1"/>
        </w:numPr>
      </w:pPr>
      <w:r>
        <w:t xml:space="preserve">Renovation and Modernisation: Adopting new technology or investing in advanced modernisation will help a company in order to attract new customers (Xie </w:t>
      </w:r>
      <w:r>
        <w:rPr>
          <w:i/>
        </w:rPr>
        <w:t>et al.</w:t>
      </w:r>
      <w:r>
        <w:t xml:space="preserve">, 2022). By renovating the resorts or by adding more advanced technology this will help the company to retain its customers and by adding new items in their restaurant it will help them to attract new customers. By including new technology, upgrading the rooms along improving recreational facilities. </w:t>
      </w:r>
    </w:p>
    <w:p w:rsidR="00B95B84" w:rsidRDefault="00D429D4">
      <w:pPr>
        <w:pStyle w:val="Heading1"/>
      </w:pPr>
      <w:bookmarkStart w:id="23" w:name="_fqcsiwiophqb" w:colFirst="0" w:colLast="0"/>
      <w:bookmarkStart w:id="24" w:name="_Toc159342156"/>
      <w:bookmarkEnd w:id="23"/>
      <w:r>
        <w:t>Conclusion</w:t>
      </w:r>
      <w:bookmarkEnd w:id="24"/>
    </w:p>
    <w:p w:rsidR="00B95B84" w:rsidRDefault="00B90D55">
      <w:pPr>
        <w:pStyle w:val="Normal1"/>
      </w:pPr>
      <w:r>
        <w:t xml:space="preserve">Based on the </w:t>
      </w:r>
      <w:r w:rsidR="00D8444F">
        <w:t>highlights</w:t>
      </w:r>
      <w:r>
        <w:t xml:space="preserve"> of the report it can be </w:t>
      </w:r>
      <w:r w:rsidR="00D8444F">
        <w:t>summarised</w:t>
      </w:r>
      <w:r w:rsidR="00D429D4">
        <w:t xml:space="preserve"> that this report is </w:t>
      </w:r>
      <w:r w:rsidR="00D8444F">
        <w:t>depended</w:t>
      </w:r>
      <w:r>
        <w:t xml:space="preserve"> </w:t>
      </w:r>
      <w:r w:rsidR="00D429D4">
        <w:t xml:space="preserve">on the financial management of the company Seacrest Lodge. This report has discussed many major factors which are needed for analysing and evaluating its financial performance. In order to analyse the financial health of the company it has used financial ratio and common size analysis for depth analysis of its financial performance. Moreover, this report has discussed the reasons behind the decline in the profit of the company over the past three years. Along with this, the report has discussed the strategic plan in order to deal with this problem which will help them for sustainable growth. </w:t>
      </w:r>
    </w:p>
    <w:p w:rsidR="001F0AF4" w:rsidRDefault="00D429D4" w:rsidP="001F0AF4">
      <w:pPr>
        <w:pStyle w:val="Heading1"/>
      </w:pPr>
      <w:bookmarkStart w:id="25" w:name="_6oepf66ktqwl" w:colFirst="0" w:colLast="0"/>
      <w:bookmarkEnd w:id="25"/>
      <w:r>
        <w:br w:type="page"/>
      </w:r>
      <w:bookmarkStart w:id="26" w:name="_he0d8ftkt58k" w:colFirst="0" w:colLast="0"/>
      <w:bookmarkStart w:id="27" w:name="_Toc159342157"/>
      <w:bookmarkEnd w:id="26"/>
      <w:r>
        <w:lastRenderedPageBreak/>
        <w:t>Reference list</w:t>
      </w:r>
      <w:bookmarkEnd w:id="27"/>
      <w:r>
        <w:t xml:space="preserve"> </w:t>
      </w:r>
    </w:p>
    <w:p w:rsidR="001F0AF4" w:rsidRDefault="001F0AF4">
      <w:pPr>
        <w:pStyle w:val="Normal1"/>
      </w:pPr>
      <w:r>
        <w:t>Alzoubi, H.M., Ahmed, G. and Alshurideh, M., 2022. An empirical investigation into the impact of product quality dimensions on improving the order-winners and customer satisfaction. International Journal of Productivity and Quality Management, 36(2), pp.169-186.</w:t>
      </w:r>
    </w:p>
    <w:p w:rsidR="001F0AF4" w:rsidRDefault="001F0AF4">
      <w:pPr>
        <w:pStyle w:val="Normal1"/>
      </w:pPr>
      <w:r>
        <w:t>Aslamiah, S., Karyatun, S. and Digdowiseiso, K., 2023. The Influence of Return on Assets, Current Ratio and Debt to Asset Ratio on Financial Distress in Consumption Goods Industry Sector Companies Listed on The Indonesia Stock Exchange in 2017-2021. Jurnal Syntax admiration, 4(4), pp.583-596.</w:t>
      </w:r>
    </w:p>
    <w:p w:rsidR="001F0AF4" w:rsidRDefault="001F0AF4">
      <w:pPr>
        <w:pStyle w:val="Normal1"/>
      </w:pPr>
      <w:r>
        <w:t>Coulon, Y. and Coulon, Y., 2020. Debt Ratios. Rational Investing with Ratios: Implementing Ratios with Enterprise Value and Behavioral Finance, pp.63-84.</w:t>
      </w:r>
    </w:p>
    <w:p w:rsidR="001F0AF4" w:rsidRDefault="001F0AF4">
      <w:pPr>
        <w:pStyle w:val="Normal1"/>
      </w:pPr>
      <w:r>
        <w:t xml:space="preserve">Customer satisfaction in Hotel Services (2024). Available at: https://core.ac.uk/download/pdf/45601944.pdf (Accessed: 20 February 2024). </w:t>
      </w:r>
    </w:p>
    <w:p w:rsidR="001F0AF4" w:rsidRDefault="001F0AF4">
      <w:pPr>
        <w:pStyle w:val="Normal1"/>
      </w:pPr>
      <w:r>
        <w:t>Gurbuz, I.B. and Ozkan, G., 2020. Transform or perish: Preparing the business for a postpandemic future. IEEE Engineering Management Review, 48(3), pp.139-145.</w:t>
      </w:r>
    </w:p>
    <w:p w:rsidR="001F0AF4" w:rsidRDefault="001F0AF4">
      <w:pPr>
        <w:pStyle w:val="Normal1"/>
      </w:pPr>
      <w:r>
        <w:t>Kliestik, T., Valaskova, K., Lazaroiu, G., Kovacova, M. and Vrbka, J., 2020. Remaining financially healthy and competitive: The role of financial predictors. Journal of Competitiveness, (1).</w:t>
      </w:r>
    </w:p>
    <w:p w:rsidR="001F0AF4" w:rsidRDefault="001F0AF4">
      <w:pPr>
        <w:pStyle w:val="Normal1"/>
      </w:pPr>
      <w:r>
        <w:t>Mahdi, M. and Khaddafi, M., 2020. The influence of gross profit margin, operating profit margin and net profit margin on the stock price of consumer good industry in the Indonesia stock exchange on 2012-2014. International Journal of Business, Economics, and Social Development, 1(3), pp.153-163.</w:t>
      </w:r>
    </w:p>
    <w:p w:rsidR="001F0AF4" w:rsidRDefault="001F0AF4">
      <w:pPr>
        <w:pStyle w:val="Normal1"/>
      </w:pPr>
      <w:r>
        <w:t>Malik, S.A., Akhtar, F., Raziq, M.M. and Ahmad, M., 2020. Measuring service quality perceptions of customers in the hotel industry of Pakistan. Total Quality Management &amp; Business Excellence, 31(3-4), pp.263-278.</w:t>
      </w:r>
    </w:p>
    <w:p w:rsidR="001F0AF4" w:rsidRDefault="001F0AF4">
      <w:pPr>
        <w:pStyle w:val="Normal1"/>
      </w:pPr>
      <w:r>
        <w:t>Merlita, L., Wooton, I., Ilham, R.N. and Sinta, I., 2022. ANALYSIS COMMON SIZE FOR ASSESSING FINANCES AT PT. AIR ASIA INDONESIA TBK. Journal of Accounting Research, Utility Finance and Digital Assets, 1(2), pp.148-153.</w:t>
      </w:r>
    </w:p>
    <w:p w:rsidR="001F0AF4" w:rsidRDefault="001F0AF4">
      <w:pPr>
        <w:pStyle w:val="Normal1"/>
      </w:pPr>
      <w:r>
        <w:t>Peng, B., Yan, W., Elahi, E. and Wan, A., 2022. Does the green credit policy affect the scale of corporate debt financing? Evidence from listed companies in heavy pollution industries in China. Environmental Science and Pollution Research, 29, pp.755-767.</w:t>
      </w:r>
    </w:p>
    <w:p w:rsidR="001F0AF4" w:rsidRDefault="001F0AF4">
      <w:pPr>
        <w:pStyle w:val="Normal1"/>
      </w:pPr>
      <w:r>
        <w:lastRenderedPageBreak/>
        <w:t>Tzenios, N., FRSPH, F. and FWAMS, F., 2022. BUDGET MANAGEMENT FOR THE NON-PROFIT ORGANIZATION. International Journal of Global Economic Light, 8(6), pp.9-13.</w:t>
      </w:r>
    </w:p>
    <w:p w:rsidR="001F0AF4" w:rsidRDefault="001F0AF4">
      <w:pPr>
        <w:pStyle w:val="Normal1"/>
      </w:pPr>
      <w:r>
        <w:t>Xie, Y., Zhao, Y., Chen, Y. and Allen, C., 2022. Green construction supply chain management: Integrating governmental intervention and public–private partnerships through ecological modernisation. Journal of Cleaner Production, 331, p.129986.</w:t>
      </w:r>
    </w:p>
    <w:p w:rsidR="00B95B84" w:rsidRDefault="00B95B84">
      <w:pPr>
        <w:pStyle w:val="Normal1"/>
      </w:pPr>
    </w:p>
    <w:sectPr w:rsidR="00B95B84" w:rsidSect="001667A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7C97" w:rsidRDefault="00A47C97" w:rsidP="001F0AF4">
      <w:pPr>
        <w:spacing w:line="240" w:lineRule="auto"/>
      </w:pPr>
      <w:r>
        <w:separator/>
      </w:r>
    </w:p>
  </w:endnote>
  <w:endnote w:type="continuationSeparator" w:id="0">
    <w:p w:rsidR="00A47C97" w:rsidRDefault="00A47C97" w:rsidP="001F0A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sz w:val="22"/>
        <w:szCs w:val="22"/>
      </w:rPr>
      <w:id w:val="22009626"/>
      <w:docPartObj>
        <w:docPartGallery w:val="Page Numbers (Bottom of Page)"/>
        <w:docPartUnique/>
      </w:docPartObj>
    </w:sdtPr>
    <w:sdtEndPr/>
    <w:sdtContent>
      <w:sdt>
        <w:sdtPr>
          <w:rPr>
            <w:sz w:val="22"/>
            <w:szCs w:val="22"/>
          </w:rPr>
          <w:id w:val="565050523"/>
          <w:docPartObj>
            <w:docPartGallery w:val="Page Numbers (Top of Page)"/>
            <w:docPartUnique/>
          </w:docPartObj>
        </w:sdtPr>
        <w:sdtEndPr/>
        <w:sdtContent>
          <w:p w:rsidR="001F0AF4" w:rsidRPr="001F0AF4" w:rsidRDefault="001F0AF4">
            <w:pPr>
              <w:pStyle w:val="Footer"/>
              <w:jc w:val="right"/>
              <w:rPr>
                <w:sz w:val="22"/>
                <w:szCs w:val="22"/>
              </w:rPr>
            </w:pPr>
            <w:r w:rsidRPr="001F0AF4">
              <w:rPr>
                <w:sz w:val="22"/>
                <w:szCs w:val="22"/>
              </w:rPr>
              <w:t xml:space="preserve">Page </w:t>
            </w:r>
            <w:r w:rsidRPr="001F0AF4">
              <w:rPr>
                <w:sz w:val="22"/>
                <w:szCs w:val="22"/>
              </w:rPr>
              <w:fldChar w:fldCharType="begin"/>
            </w:r>
            <w:r w:rsidRPr="001F0AF4">
              <w:rPr>
                <w:sz w:val="22"/>
                <w:szCs w:val="22"/>
              </w:rPr>
              <w:instrText xml:space="preserve"> PAGE </w:instrText>
            </w:r>
            <w:r w:rsidRPr="001F0AF4">
              <w:rPr>
                <w:sz w:val="22"/>
                <w:szCs w:val="22"/>
              </w:rPr>
              <w:fldChar w:fldCharType="separate"/>
            </w:r>
            <w:r w:rsidR="00547A40">
              <w:rPr>
                <w:noProof/>
                <w:sz w:val="22"/>
                <w:szCs w:val="22"/>
              </w:rPr>
              <w:t>4</w:t>
            </w:r>
            <w:r w:rsidRPr="001F0AF4">
              <w:rPr>
                <w:sz w:val="22"/>
                <w:szCs w:val="22"/>
              </w:rPr>
              <w:fldChar w:fldCharType="end"/>
            </w:r>
            <w:r w:rsidRPr="001F0AF4">
              <w:rPr>
                <w:sz w:val="22"/>
                <w:szCs w:val="22"/>
              </w:rPr>
              <w:t xml:space="preserve"> of </w:t>
            </w:r>
            <w:r w:rsidRPr="001F0AF4">
              <w:rPr>
                <w:sz w:val="22"/>
                <w:szCs w:val="22"/>
              </w:rPr>
              <w:fldChar w:fldCharType="begin"/>
            </w:r>
            <w:r w:rsidRPr="001F0AF4">
              <w:rPr>
                <w:sz w:val="22"/>
                <w:szCs w:val="22"/>
              </w:rPr>
              <w:instrText xml:space="preserve"> NUMPAGES  </w:instrText>
            </w:r>
            <w:r w:rsidRPr="001F0AF4">
              <w:rPr>
                <w:sz w:val="22"/>
                <w:szCs w:val="22"/>
              </w:rPr>
              <w:fldChar w:fldCharType="separate"/>
            </w:r>
            <w:r w:rsidR="00547A40">
              <w:rPr>
                <w:noProof/>
                <w:sz w:val="22"/>
                <w:szCs w:val="22"/>
              </w:rPr>
              <w:t>10</w:t>
            </w:r>
            <w:r w:rsidRPr="001F0AF4">
              <w:rPr>
                <w:sz w:val="22"/>
                <w:szCs w:val="22"/>
              </w:rPr>
              <w:fldChar w:fldCharType="end"/>
            </w:r>
          </w:p>
        </w:sdtContent>
      </w:sdt>
    </w:sdtContent>
  </w:sdt>
  <w:p w:rsidR="001F0AF4" w:rsidRDefault="001F0A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7C97" w:rsidRDefault="00A47C97" w:rsidP="001F0AF4">
      <w:pPr>
        <w:spacing w:line="240" w:lineRule="auto"/>
      </w:pPr>
      <w:r>
        <w:separator/>
      </w:r>
    </w:p>
  </w:footnote>
  <w:footnote w:type="continuationSeparator" w:id="0">
    <w:p w:rsidR="00A47C97" w:rsidRDefault="00A47C97" w:rsidP="001F0AF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0F1A6"/>
    <w:multiLevelType w:val="hybridMultilevel"/>
    <w:tmpl w:val="00000000"/>
    <w:lvl w:ilvl="0" w:tplc="C74AF22E">
      <w:start w:val="1"/>
      <w:numFmt w:val="bullet"/>
      <w:lvlText w:val="-"/>
      <w:lvlJc w:val="left"/>
      <w:pPr>
        <w:ind w:left="720" w:hanging="360"/>
      </w:pPr>
      <w:rPr>
        <w:u w:val="none"/>
      </w:rPr>
    </w:lvl>
    <w:lvl w:ilvl="1" w:tplc="71321C14">
      <w:start w:val="1"/>
      <w:numFmt w:val="bullet"/>
      <w:lvlText w:val="-"/>
      <w:lvlJc w:val="left"/>
      <w:pPr>
        <w:ind w:left="1440" w:hanging="360"/>
      </w:pPr>
      <w:rPr>
        <w:u w:val="none"/>
      </w:rPr>
    </w:lvl>
    <w:lvl w:ilvl="2" w:tplc="8E6AF21A">
      <w:start w:val="1"/>
      <w:numFmt w:val="bullet"/>
      <w:lvlText w:val="-"/>
      <w:lvlJc w:val="left"/>
      <w:pPr>
        <w:ind w:left="2160" w:hanging="360"/>
      </w:pPr>
      <w:rPr>
        <w:u w:val="none"/>
      </w:rPr>
    </w:lvl>
    <w:lvl w:ilvl="3" w:tplc="95CEA88E">
      <w:start w:val="1"/>
      <w:numFmt w:val="bullet"/>
      <w:lvlText w:val="-"/>
      <w:lvlJc w:val="left"/>
      <w:pPr>
        <w:ind w:left="2880" w:hanging="360"/>
      </w:pPr>
      <w:rPr>
        <w:u w:val="none"/>
      </w:rPr>
    </w:lvl>
    <w:lvl w:ilvl="4" w:tplc="DE68C1A4">
      <w:start w:val="1"/>
      <w:numFmt w:val="bullet"/>
      <w:lvlText w:val="-"/>
      <w:lvlJc w:val="left"/>
      <w:pPr>
        <w:ind w:left="3600" w:hanging="360"/>
      </w:pPr>
      <w:rPr>
        <w:u w:val="none"/>
      </w:rPr>
    </w:lvl>
    <w:lvl w:ilvl="5" w:tplc="5CE2A7EE">
      <w:start w:val="1"/>
      <w:numFmt w:val="bullet"/>
      <w:lvlText w:val="-"/>
      <w:lvlJc w:val="left"/>
      <w:pPr>
        <w:ind w:left="4320" w:hanging="360"/>
      </w:pPr>
      <w:rPr>
        <w:u w:val="none"/>
      </w:rPr>
    </w:lvl>
    <w:lvl w:ilvl="6" w:tplc="E48C68AE">
      <w:start w:val="1"/>
      <w:numFmt w:val="bullet"/>
      <w:lvlText w:val="-"/>
      <w:lvlJc w:val="left"/>
      <w:pPr>
        <w:ind w:left="5040" w:hanging="360"/>
      </w:pPr>
      <w:rPr>
        <w:u w:val="none"/>
      </w:rPr>
    </w:lvl>
    <w:lvl w:ilvl="7" w:tplc="4D60CE0C">
      <w:start w:val="1"/>
      <w:numFmt w:val="bullet"/>
      <w:lvlText w:val="-"/>
      <w:lvlJc w:val="left"/>
      <w:pPr>
        <w:ind w:left="5760" w:hanging="360"/>
      </w:pPr>
      <w:rPr>
        <w:u w:val="none"/>
      </w:rPr>
    </w:lvl>
    <w:lvl w:ilvl="8" w:tplc="1690FB42">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B95B84"/>
    <w:rsid w:val="001667AA"/>
    <w:rsid w:val="001F0AF4"/>
    <w:rsid w:val="00547A40"/>
    <w:rsid w:val="005C4737"/>
    <w:rsid w:val="00890DC5"/>
    <w:rsid w:val="00A42187"/>
    <w:rsid w:val="00A47C97"/>
    <w:rsid w:val="00A61C75"/>
    <w:rsid w:val="00B90D55"/>
    <w:rsid w:val="00B95B84"/>
    <w:rsid w:val="00D429D4"/>
    <w:rsid w:val="00D8444F"/>
    <w:rsid w:val="00FA1B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D858A45B-2C3E-47DB-B205-8DCF699B8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B95B84"/>
    <w:pPr>
      <w:keepNext/>
      <w:keepLines/>
      <w:spacing w:before="400" w:after="120"/>
      <w:outlineLvl w:val="0"/>
    </w:pPr>
    <w:rPr>
      <w:b/>
      <w:sz w:val="28"/>
      <w:szCs w:val="28"/>
    </w:rPr>
  </w:style>
  <w:style w:type="paragraph" w:styleId="Heading2">
    <w:name w:val="heading 2"/>
    <w:basedOn w:val="Normal1"/>
    <w:next w:val="Normal1"/>
    <w:rsid w:val="00B95B84"/>
    <w:pPr>
      <w:keepNext/>
      <w:keepLines/>
      <w:spacing w:before="360" w:after="120"/>
      <w:outlineLvl w:val="1"/>
    </w:pPr>
    <w:rPr>
      <w:sz w:val="32"/>
      <w:szCs w:val="32"/>
    </w:rPr>
  </w:style>
  <w:style w:type="paragraph" w:styleId="Heading3">
    <w:name w:val="heading 3"/>
    <w:basedOn w:val="Normal1"/>
    <w:next w:val="Normal1"/>
    <w:rsid w:val="00B95B84"/>
    <w:pPr>
      <w:keepNext/>
      <w:keepLines/>
      <w:spacing w:before="320" w:after="80"/>
      <w:outlineLvl w:val="2"/>
    </w:pPr>
    <w:rPr>
      <w:color w:val="434343"/>
      <w:sz w:val="28"/>
      <w:szCs w:val="28"/>
    </w:rPr>
  </w:style>
  <w:style w:type="paragraph" w:styleId="Heading4">
    <w:name w:val="heading 4"/>
    <w:basedOn w:val="Normal1"/>
    <w:next w:val="Normal1"/>
    <w:rsid w:val="00B95B84"/>
    <w:pPr>
      <w:keepNext/>
      <w:keepLines/>
      <w:spacing w:before="280" w:after="80"/>
      <w:outlineLvl w:val="3"/>
    </w:pPr>
    <w:rPr>
      <w:color w:val="666666"/>
    </w:rPr>
  </w:style>
  <w:style w:type="paragraph" w:styleId="Heading5">
    <w:name w:val="heading 5"/>
    <w:basedOn w:val="Normal1"/>
    <w:next w:val="Normal1"/>
    <w:rsid w:val="00B95B84"/>
    <w:pPr>
      <w:keepNext/>
      <w:keepLines/>
      <w:spacing w:before="240" w:after="80"/>
      <w:outlineLvl w:val="4"/>
    </w:pPr>
    <w:rPr>
      <w:color w:val="666666"/>
      <w:sz w:val="22"/>
      <w:szCs w:val="22"/>
    </w:rPr>
  </w:style>
  <w:style w:type="paragraph" w:styleId="Heading6">
    <w:name w:val="heading 6"/>
    <w:basedOn w:val="Normal1"/>
    <w:next w:val="Normal1"/>
    <w:rsid w:val="00B95B8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95B84"/>
  </w:style>
  <w:style w:type="table" w:customStyle="1" w:styleId="TableNormal1">
    <w:name w:val="Table Normal1"/>
    <w:rsid w:val="00B95B84"/>
    <w:tblPr>
      <w:tblCellMar>
        <w:top w:w="0" w:type="dxa"/>
        <w:left w:w="0" w:type="dxa"/>
        <w:bottom w:w="0" w:type="dxa"/>
        <w:right w:w="0" w:type="dxa"/>
      </w:tblCellMar>
    </w:tblPr>
  </w:style>
  <w:style w:type="paragraph" w:styleId="Title">
    <w:name w:val="Title"/>
    <w:basedOn w:val="Normal1"/>
    <w:next w:val="Normal1"/>
    <w:rsid w:val="00B95B84"/>
    <w:pPr>
      <w:keepNext/>
      <w:keepLines/>
      <w:spacing w:after="60"/>
    </w:pPr>
    <w:rPr>
      <w:sz w:val="52"/>
      <w:szCs w:val="52"/>
    </w:rPr>
  </w:style>
  <w:style w:type="paragraph" w:styleId="Subtitle">
    <w:name w:val="Subtitle"/>
    <w:basedOn w:val="Normal1"/>
    <w:next w:val="Normal1"/>
    <w:rsid w:val="00B95B84"/>
    <w:pPr>
      <w:keepNext/>
      <w:keepLines/>
      <w:spacing w:after="320"/>
    </w:pPr>
    <w:rPr>
      <w:rFonts w:ascii="Arial" w:eastAsia="Arial" w:hAnsi="Arial" w:cs="Arial"/>
      <w:color w:val="666666"/>
      <w:sz w:val="30"/>
      <w:szCs w:val="30"/>
    </w:rPr>
  </w:style>
  <w:style w:type="table" w:customStyle="1" w:styleId="Table1">
    <w:name w:val="Table1"/>
    <w:basedOn w:val="TableNormal1"/>
    <w:rsid w:val="00B95B84"/>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B95B84"/>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B95B84"/>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B95B8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F0AF4"/>
    <w:pPr>
      <w:tabs>
        <w:tab w:val="center" w:pos="4680"/>
        <w:tab w:val="right" w:pos="9360"/>
      </w:tabs>
      <w:spacing w:line="240" w:lineRule="auto"/>
    </w:pPr>
  </w:style>
  <w:style w:type="character" w:customStyle="1" w:styleId="HeaderChar">
    <w:name w:val="Header Char"/>
    <w:basedOn w:val="DefaultParagraphFont"/>
    <w:link w:val="Header"/>
    <w:uiPriority w:val="99"/>
    <w:rsid w:val="001F0AF4"/>
  </w:style>
  <w:style w:type="paragraph" w:styleId="Footer">
    <w:name w:val="footer"/>
    <w:basedOn w:val="Normal"/>
    <w:link w:val="FooterChar"/>
    <w:uiPriority w:val="99"/>
    <w:unhideWhenUsed/>
    <w:rsid w:val="001F0AF4"/>
    <w:pPr>
      <w:tabs>
        <w:tab w:val="center" w:pos="4680"/>
        <w:tab w:val="right" w:pos="9360"/>
      </w:tabs>
      <w:spacing w:line="240" w:lineRule="auto"/>
    </w:pPr>
  </w:style>
  <w:style w:type="character" w:customStyle="1" w:styleId="FooterChar">
    <w:name w:val="Footer Char"/>
    <w:basedOn w:val="DefaultParagraphFont"/>
    <w:link w:val="Footer"/>
    <w:uiPriority w:val="99"/>
    <w:rsid w:val="001F0AF4"/>
  </w:style>
  <w:style w:type="paragraph" w:styleId="TOCHeading">
    <w:name w:val="TOC Heading"/>
    <w:basedOn w:val="Heading1"/>
    <w:next w:val="Normal"/>
    <w:uiPriority w:val="39"/>
    <w:semiHidden/>
    <w:unhideWhenUsed/>
    <w:qFormat/>
    <w:rsid w:val="001F0AF4"/>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1F0AF4"/>
    <w:pPr>
      <w:spacing w:after="100"/>
    </w:pPr>
  </w:style>
  <w:style w:type="character" w:styleId="Hyperlink">
    <w:name w:val="Hyperlink"/>
    <w:basedOn w:val="DefaultParagraphFont"/>
    <w:uiPriority w:val="99"/>
    <w:unhideWhenUsed/>
    <w:rsid w:val="001F0AF4"/>
    <w:rPr>
      <w:color w:val="0000FF" w:themeColor="hyperlink"/>
      <w:u w:val="single"/>
    </w:rPr>
  </w:style>
  <w:style w:type="paragraph" w:styleId="BalloonText">
    <w:name w:val="Balloon Text"/>
    <w:basedOn w:val="Normal"/>
    <w:link w:val="BalloonTextChar"/>
    <w:uiPriority w:val="99"/>
    <w:semiHidden/>
    <w:unhideWhenUsed/>
    <w:rsid w:val="001F0A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0AF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5336B9-55A5-4AD3-9803-31260ADAB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10</Pages>
  <Words>2330</Words>
  <Characters>13287</Characters>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2024-02-20T11:50:00Z</dcterms:created>
  <dcterms:modified xsi:type="dcterms:W3CDTF">2024-02-20T15:37:00Z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afd8809333427e770c87ba9576f2fc291ce66dd1f2d44a20b285df4088ad7734</vt:lpwstr>
  </property>
</Properties>
</file>