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3.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4.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5.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6.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7.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8.xml" ContentType="application/vnd.openxmlformats-officedocument.drawingml.chart+xml"/>
  <Override PartName="/word/charts/style7.xml" ContentType="application/vnd.ms-office.chartstyle+xml"/>
  <Override PartName="/word/charts/colors7.xml" ContentType="application/vnd.ms-office.chartcolorstyle+xml"/>
  <Override PartName="/word/drawings/drawing1.xml" ContentType="application/vnd.openxmlformats-officedocument.drawingml.chartshapes+xml"/>
  <Override PartName="/word/charts/chart9.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10.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1.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2.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3.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4.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5.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6.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7.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8.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9.xml" ContentType="application/vnd.openxmlformats-officedocument.drawingml.chart+xml"/>
  <Override PartName="/word/charts/style18.xml" ContentType="application/vnd.ms-office.chartstyle+xml"/>
  <Override PartName="/word/charts/colors18.xml" ContentType="application/vnd.ms-office.chartcolorstyle+xml"/>
  <Override PartName="/word/charts/chart20.xml" ContentType="application/vnd.openxmlformats-officedocument.drawingml.chart+xml"/>
  <Override PartName="/word/charts/style19.xml" ContentType="application/vnd.ms-office.chartstyle+xml"/>
  <Override PartName="/word/charts/colors19.xml" ContentType="application/vnd.ms-office.chartcolorstyle+xml"/>
  <Override PartName="/word/charts/chart21.xml" ContentType="application/vnd.openxmlformats-officedocument.drawingml.chart+xml"/>
  <Override PartName="/word/charts/style20.xml" ContentType="application/vnd.ms-office.chartstyle+xml"/>
  <Override PartName="/word/charts/colors20.xml" ContentType="application/vnd.ms-office.chartcolorstyle+xml"/>
  <Override PartName="/word/charts/chart22.xml" ContentType="application/vnd.openxmlformats-officedocument.drawingml.chart+xml"/>
  <Override PartName="/word/charts/style21.xml" ContentType="application/vnd.ms-office.chartstyle+xml"/>
  <Override PartName="/word/charts/colors21.xml" ContentType="application/vnd.ms-office.chartcolorstyle+xml"/>
  <Override PartName="/word/charts/chart23.xml" ContentType="application/vnd.openxmlformats-officedocument.drawingml.chart+xml"/>
  <Override PartName="/word/charts/style22.xml" ContentType="application/vnd.ms-office.chartstyle+xml"/>
  <Override PartName="/word/charts/colors22.xml" ContentType="application/vnd.ms-office.chartcolorstyle+xml"/>
  <Override PartName="/word/charts/chart24.xml" ContentType="application/vnd.openxmlformats-officedocument.drawingml.chart+xml"/>
  <Override PartName="/word/charts/style23.xml" ContentType="application/vnd.ms-office.chartstyle+xml"/>
  <Override PartName="/word/charts/colors23.xml" ContentType="application/vnd.ms-office.chartcolorstyle+xml"/>
  <Override PartName="/word/charts/chart25.xml" ContentType="application/vnd.openxmlformats-officedocument.drawingml.chart+xml"/>
  <Override PartName="/word/charts/style24.xml" ContentType="application/vnd.ms-office.chartstyle+xml"/>
  <Override PartName="/word/charts/colors24.xml" ContentType="application/vnd.ms-office.chartcolorstyle+xml"/>
  <Override PartName="/word/charts/chart26.xml" ContentType="application/vnd.openxmlformats-officedocument.drawingml.chart+xml"/>
  <Override PartName="/word/charts/style25.xml" ContentType="application/vnd.ms-office.chartstyle+xml"/>
  <Override PartName="/word/charts/colors25.xml" ContentType="application/vnd.ms-office.chartcolorstyle+xml"/>
  <Override PartName="/word/charts/chart27.xml" ContentType="application/vnd.openxmlformats-officedocument.drawingml.chart+xml"/>
  <Override PartName="/word/charts/style26.xml" ContentType="application/vnd.ms-office.chartstyle+xml"/>
  <Override PartName="/word/charts/colors26.xml" ContentType="application/vnd.ms-office.chartcolorstyle+xml"/>
  <Override PartName="/word/charts/chart28.xml" ContentType="application/vnd.openxmlformats-officedocument.drawingml.chart+xml"/>
  <Override PartName="/word/charts/style27.xml" ContentType="application/vnd.ms-office.chartstyle+xml"/>
  <Override PartName="/word/charts/colors27.xml" ContentType="application/vnd.ms-office.chartcolorstyle+xml"/>
  <Override PartName="/word/charts/chart29.xml" ContentType="application/vnd.openxmlformats-officedocument.drawingml.chart+xml"/>
  <Override PartName="/word/charts/style28.xml" ContentType="application/vnd.ms-office.chartstyle+xml"/>
  <Override PartName="/word/charts/colors28.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003896886"/>
        <w:docPartObj>
          <w:docPartGallery w:val="Cover Pages"/>
          <w:docPartUnique/>
        </w:docPartObj>
      </w:sdtPr>
      <w:sdtEndPr/>
      <w:sdtContent>
        <w:p w14:paraId="1252095D" w14:textId="12C211B7" w:rsidR="00916457" w:rsidRDefault="00482667">
          <w:r w:rsidRPr="00BC4BA1">
            <w:rPr>
              <w:noProof/>
              <w:lang w:eastAsia="en-GB"/>
            </w:rPr>
            <w:drawing>
              <wp:anchor distT="0" distB="0" distL="114300" distR="114300" simplePos="0" relativeHeight="251758592" behindDoc="0" locked="0" layoutInCell="1" allowOverlap="1" wp14:anchorId="09A5A908" wp14:editId="4987D135">
                <wp:simplePos x="0" y="0"/>
                <wp:positionH relativeFrom="margin">
                  <wp:align>center</wp:align>
                </wp:positionH>
                <wp:positionV relativeFrom="paragraph">
                  <wp:posOffset>0</wp:posOffset>
                </wp:positionV>
                <wp:extent cx="3947379" cy="1307465"/>
                <wp:effectExtent l="0" t="0" r="0" b="6985"/>
                <wp:wrapTopAndBottom/>
                <wp:docPr id="1" name="Picture 1" descr="C:\Users\Nigel\Pictures\Judith\2016\MBA Images\uwtsd-logo-bilingu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Nigel\Pictures\Judith\2016\MBA Images\uwtsd-logo-bilingual.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47379" cy="1307465"/>
                        </a:xfrm>
                        <a:prstGeom prst="rect">
                          <a:avLst/>
                        </a:prstGeom>
                        <a:noFill/>
                        <a:ln>
                          <a:noFill/>
                        </a:ln>
                      </pic:spPr>
                    </pic:pic>
                  </a:graphicData>
                </a:graphic>
                <wp14:sizeRelH relativeFrom="margin">
                  <wp14:pctWidth>0</wp14:pctWidth>
                </wp14:sizeRelH>
                <wp14:sizeRelV relativeFrom="margin">
                  <wp14:pctHeight>0</wp14:pctHeight>
                </wp14:sizeRelV>
              </wp:anchor>
            </w:drawing>
          </w:r>
        </w:p>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916457" w14:paraId="1082F558" w14:textId="77777777">
            <w:tc>
              <w:tcPr>
                <w:tcW w:w="7672" w:type="dxa"/>
                <w:tcMar>
                  <w:top w:w="216" w:type="dxa"/>
                  <w:left w:w="115" w:type="dxa"/>
                  <w:bottom w:w="216" w:type="dxa"/>
                  <w:right w:w="115" w:type="dxa"/>
                </w:tcMar>
              </w:tcPr>
              <w:p w14:paraId="703DDE38" w14:textId="323AF204" w:rsidR="00916457" w:rsidRPr="00AD4319" w:rsidRDefault="00AD4319" w:rsidP="00482667">
                <w:pPr>
                  <w:pStyle w:val="NoSpacing"/>
                  <w:tabs>
                    <w:tab w:val="left" w:pos="5880"/>
                  </w:tabs>
                  <w:rPr>
                    <w:b/>
                    <w:sz w:val="36"/>
                  </w:rPr>
                </w:pPr>
                <w:r w:rsidRPr="00AD4319">
                  <w:rPr>
                    <w:b/>
                    <w:sz w:val="36"/>
                  </w:rPr>
                  <w:t>MBA Dissertation 2018</w:t>
                </w:r>
                <w:r w:rsidR="00482667" w:rsidRPr="00AD4319">
                  <w:rPr>
                    <w:b/>
                    <w:sz w:val="36"/>
                  </w:rPr>
                  <w:tab/>
                </w:r>
              </w:p>
            </w:tc>
          </w:tr>
          <w:tr w:rsidR="00916457" w14:paraId="3E1E21BD" w14:textId="77777777">
            <w:tc>
              <w:tcPr>
                <w:tcW w:w="7672" w:type="dxa"/>
              </w:tcPr>
              <w:sdt>
                <w:sdtPr>
                  <w:rPr>
                    <w:sz w:val="48"/>
                  </w:rPr>
                  <w:alias w:val="Title"/>
                  <w:id w:val="13406919"/>
                  <w:placeholder>
                    <w:docPart w:val="5F49469F0FC445AABDA2E4D02FAFCA64"/>
                  </w:placeholder>
                  <w:dataBinding w:prefixMappings="xmlns:ns0='http://schemas.openxmlformats.org/package/2006/metadata/core-properties' xmlns:ns1='http://purl.org/dc/elements/1.1/'" w:xpath="/ns0:coreProperties[1]/ns1:title[1]" w:storeItemID="{6C3C8BC8-F283-45AE-878A-BAB7291924A1}"/>
                  <w:text/>
                </w:sdtPr>
                <w:sdtEndPr/>
                <w:sdtContent>
                  <w:p w14:paraId="0B0AF322" w14:textId="789C14A8" w:rsidR="00916457" w:rsidRPr="00482667" w:rsidRDefault="00482667">
                    <w:pPr>
                      <w:pStyle w:val="NoSpacing"/>
                      <w:spacing w:line="216" w:lineRule="auto"/>
                      <w:rPr>
                        <w:rFonts w:asciiTheme="majorHAnsi" w:eastAsiaTheme="majorEastAsia" w:hAnsiTheme="majorHAnsi" w:cstheme="majorBidi"/>
                        <w:sz w:val="36"/>
                        <w:szCs w:val="88"/>
                      </w:rPr>
                    </w:pPr>
                    <w:r w:rsidRPr="00AD4319">
                      <w:rPr>
                        <w:sz w:val="48"/>
                      </w:rPr>
                      <w:t>Corporate Social Responsibility reporting by the Global Gambling Industry: Commitment, initiatives and performance</w:t>
                    </w:r>
                    <w:r w:rsidR="00AD4319">
                      <w:rPr>
                        <w:sz w:val="48"/>
                      </w:rPr>
                      <w:t>.</w:t>
                    </w:r>
                  </w:p>
                </w:sdtContent>
              </w:sdt>
            </w:tc>
          </w:tr>
          <w:tr w:rsidR="00916457" w14:paraId="38402992" w14:textId="77777777">
            <w:tc>
              <w:tcPr>
                <w:tcW w:w="7672" w:type="dxa"/>
                <w:tcMar>
                  <w:top w:w="216" w:type="dxa"/>
                  <w:left w:w="115" w:type="dxa"/>
                  <w:bottom w:w="216" w:type="dxa"/>
                  <w:right w:w="115" w:type="dxa"/>
                </w:tcMar>
              </w:tcPr>
              <w:p w14:paraId="250126F4" w14:textId="25D7953F" w:rsidR="00916457" w:rsidRPr="00916457" w:rsidRDefault="00916457">
                <w:pPr>
                  <w:pStyle w:val="NoSpacing"/>
                  <w:rPr>
                    <w:sz w:val="24"/>
                  </w:rPr>
                </w:pP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916457" w14:paraId="11547DB0" w14:textId="77777777">
            <w:tc>
              <w:tcPr>
                <w:tcW w:w="7221" w:type="dxa"/>
                <w:tcMar>
                  <w:top w:w="216" w:type="dxa"/>
                  <w:left w:w="115" w:type="dxa"/>
                  <w:bottom w:w="216" w:type="dxa"/>
                  <w:right w:w="115" w:type="dxa"/>
                </w:tcMar>
              </w:tcPr>
              <w:sdt>
                <w:sdtPr>
                  <w:rPr>
                    <w:sz w:val="28"/>
                    <w:szCs w:val="28"/>
                  </w:rPr>
                  <w:alias w:val="Author"/>
                  <w:id w:val="13406928"/>
                  <w:placeholder>
                    <w:docPart w:val="500F2087580F4BBC84C306B46A265080"/>
                  </w:placeholder>
                  <w:dataBinding w:prefixMappings="xmlns:ns0='http://schemas.openxmlformats.org/package/2006/metadata/core-properties' xmlns:ns1='http://purl.org/dc/elements/1.1/'" w:xpath="/ns0:coreProperties[1]/ns1:creator[1]" w:storeItemID="{6C3C8BC8-F283-45AE-878A-BAB7291924A1}"/>
                  <w:text/>
                </w:sdtPr>
                <w:sdtEndPr/>
                <w:sdtContent>
                  <w:p w14:paraId="10879218" w14:textId="4FCEF4E9" w:rsidR="00916457" w:rsidRPr="00916457" w:rsidRDefault="00916457">
                    <w:pPr>
                      <w:pStyle w:val="NoSpacing"/>
                      <w:rPr>
                        <w:sz w:val="28"/>
                        <w:szCs w:val="28"/>
                      </w:rPr>
                    </w:pPr>
                    <w:r w:rsidRPr="00916457">
                      <w:rPr>
                        <w:sz w:val="28"/>
                        <w:szCs w:val="28"/>
                      </w:rPr>
                      <w:t>Matthew Millar</w:t>
                    </w:r>
                  </w:p>
                </w:sdtContent>
              </w:sdt>
              <w:p w14:paraId="3BFC6435" w14:textId="53292234" w:rsidR="00916457" w:rsidRPr="00916457" w:rsidRDefault="00AD4319">
                <w:pPr>
                  <w:pStyle w:val="NoSpacing"/>
                  <w:rPr>
                    <w:sz w:val="28"/>
                    <w:szCs w:val="28"/>
                  </w:rPr>
                </w:pPr>
                <w:r>
                  <w:rPr>
                    <w:sz w:val="28"/>
                    <w:szCs w:val="28"/>
                  </w:rPr>
                  <w:t>Student ID: 1703768</w:t>
                </w:r>
              </w:p>
              <w:p w14:paraId="5C9D15A7" w14:textId="77777777" w:rsidR="00916457" w:rsidRDefault="00916457">
                <w:pPr>
                  <w:pStyle w:val="NoSpacing"/>
                  <w:rPr>
                    <w:color w:val="4472C4" w:themeColor="accent1"/>
                  </w:rPr>
                </w:pPr>
              </w:p>
            </w:tc>
          </w:tr>
        </w:tbl>
        <w:p w14:paraId="252364EB" w14:textId="77777777" w:rsidR="007B68D2" w:rsidRDefault="00916457" w:rsidP="00482667">
          <w:pPr>
            <w:jc w:val="center"/>
          </w:pPr>
          <w:r>
            <w:br w:type="page"/>
          </w:r>
        </w:p>
        <w:p w14:paraId="5308C3F2" w14:textId="4ECA717D" w:rsidR="00916457" w:rsidRDefault="007B68D2" w:rsidP="007B68D2">
          <w:r>
            <w:lastRenderedPageBreak/>
            <w:t>Declaration Form</w:t>
          </w:r>
        </w:p>
      </w:sdtContent>
    </w:sdt>
    <w:sdt>
      <w:sdtPr>
        <w:rPr>
          <w:rFonts w:ascii="Arial" w:eastAsiaTheme="minorHAnsi" w:hAnsi="Arial" w:cs="Arial"/>
          <w:color w:val="auto"/>
          <w:sz w:val="22"/>
          <w:szCs w:val="22"/>
          <w:lang w:val="en-GB"/>
        </w:rPr>
        <w:id w:val="773905141"/>
        <w:docPartObj>
          <w:docPartGallery w:val="Table of Contents"/>
          <w:docPartUnique/>
        </w:docPartObj>
      </w:sdtPr>
      <w:sdtEndPr>
        <w:rPr>
          <w:b/>
          <w:bCs/>
          <w:noProof/>
        </w:rPr>
      </w:sdtEndPr>
      <w:sdtContent>
        <w:p w14:paraId="16379E94" w14:textId="35BFB85C" w:rsidR="00DF7255" w:rsidRPr="00851192" w:rsidRDefault="00DF7255">
          <w:pPr>
            <w:pStyle w:val="TOCHeading"/>
            <w:rPr>
              <w:rFonts w:ascii="Arial" w:hAnsi="Arial" w:cs="Arial"/>
              <w:b/>
              <w:color w:val="auto"/>
            </w:rPr>
          </w:pPr>
          <w:r w:rsidRPr="00851192">
            <w:rPr>
              <w:rFonts w:ascii="Arial" w:hAnsi="Arial" w:cs="Arial"/>
              <w:b/>
              <w:color w:val="auto"/>
            </w:rPr>
            <w:t>Contents</w:t>
          </w:r>
        </w:p>
        <w:p w14:paraId="57D2E48B" w14:textId="5665A7BC" w:rsidR="003708F8" w:rsidRPr="00851192" w:rsidRDefault="00DF7255">
          <w:pPr>
            <w:pStyle w:val="TOC1"/>
            <w:tabs>
              <w:tab w:val="right" w:leader="dot" w:pos="9016"/>
            </w:tabs>
            <w:rPr>
              <w:rFonts w:ascii="Arial" w:hAnsi="Arial" w:cs="Arial"/>
              <w:noProof/>
              <w:lang w:val="en-GB" w:eastAsia="en-GB"/>
            </w:rPr>
          </w:pPr>
          <w:r w:rsidRPr="00851192">
            <w:rPr>
              <w:rFonts w:ascii="Arial" w:hAnsi="Arial" w:cs="Arial"/>
              <w:b/>
              <w:bCs/>
              <w:noProof/>
            </w:rPr>
            <w:fldChar w:fldCharType="begin"/>
          </w:r>
          <w:r w:rsidRPr="00851192">
            <w:rPr>
              <w:rFonts w:ascii="Arial" w:hAnsi="Arial" w:cs="Arial"/>
              <w:b/>
              <w:bCs/>
              <w:noProof/>
            </w:rPr>
            <w:instrText xml:space="preserve"> TOC \o "1-3" \h \z \u </w:instrText>
          </w:r>
          <w:r w:rsidRPr="00851192">
            <w:rPr>
              <w:rFonts w:ascii="Arial" w:hAnsi="Arial" w:cs="Arial"/>
              <w:b/>
              <w:bCs/>
              <w:noProof/>
            </w:rPr>
            <w:fldChar w:fldCharType="separate"/>
          </w:r>
          <w:hyperlink w:anchor="_Toc526434201" w:history="1">
            <w:r w:rsidR="003708F8" w:rsidRPr="00851192">
              <w:rPr>
                <w:rStyle w:val="Hyperlink"/>
                <w:rFonts w:ascii="Arial" w:hAnsi="Arial" w:cs="Arial"/>
                <w:b/>
                <w:noProof/>
              </w:rPr>
              <w:t>List of Tables and Figures</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_Toc526434201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4</w:t>
            </w:r>
            <w:r w:rsidR="003708F8" w:rsidRPr="00851192">
              <w:rPr>
                <w:rFonts w:ascii="Arial" w:hAnsi="Arial" w:cs="Arial"/>
                <w:noProof/>
                <w:webHidden/>
              </w:rPr>
              <w:fldChar w:fldCharType="end"/>
            </w:r>
          </w:hyperlink>
        </w:p>
        <w:p w14:paraId="50969D89" w14:textId="4A10C434" w:rsidR="003708F8" w:rsidRPr="00851192" w:rsidRDefault="001D081F">
          <w:pPr>
            <w:pStyle w:val="TOC1"/>
            <w:tabs>
              <w:tab w:val="right" w:leader="dot" w:pos="9016"/>
            </w:tabs>
            <w:rPr>
              <w:rFonts w:ascii="Arial" w:hAnsi="Arial" w:cs="Arial"/>
              <w:noProof/>
              <w:lang w:val="en-GB" w:eastAsia="en-GB"/>
            </w:rPr>
          </w:pPr>
          <w:hyperlink w:anchor="_Toc526434202" w:history="1">
            <w:r w:rsidR="003708F8" w:rsidRPr="00851192">
              <w:rPr>
                <w:rStyle w:val="Hyperlink"/>
                <w:rFonts w:ascii="Arial" w:hAnsi="Arial" w:cs="Arial"/>
                <w:noProof/>
              </w:rPr>
              <w:t>Glossary of Abbreviations</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_Toc526434202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5</w:t>
            </w:r>
            <w:r w:rsidR="003708F8" w:rsidRPr="00851192">
              <w:rPr>
                <w:rFonts w:ascii="Arial" w:hAnsi="Arial" w:cs="Arial"/>
                <w:noProof/>
                <w:webHidden/>
              </w:rPr>
              <w:fldChar w:fldCharType="end"/>
            </w:r>
          </w:hyperlink>
        </w:p>
        <w:p w14:paraId="3D265FF8" w14:textId="59288BAC" w:rsidR="003708F8" w:rsidRPr="00851192" w:rsidRDefault="001D081F">
          <w:pPr>
            <w:pStyle w:val="TOC1"/>
            <w:tabs>
              <w:tab w:val="right" w:leader="dot" w:pos="9016"/>
            </w:tabs>
            <w:rPr>
              <w:rFonts w:ascii="Arial" w:hAnsi="Arial" w:cs="Arial"/>
              <w:noProof/>
              <w:lang w:val="en-GB" w:eastAsia="en-GB"/>
            </w:rPr>
          </w:pPr>
          <w:hyperlink w:anchor="_Toc526434203" w:history="1">
            <w:r w:rsidR="003708F8" w:rsidRPr="00851192">
              <w:rPr>
                <w:rStyle w:val="Hyperlink"/>
                <w:rFonts w:ascii="Arial" w:hAnsi="Arial" w:cs="Arial"/>
                <w:noProof/>
              </w:rPr>
              <w:t>Acknowledgements</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_Toc526434203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5</w:t>
            </w:r>
            <w:r w:rsidR="003708F8" w:rsidRPr="00851192">
              <w:rPr>
                <w:rFonts w:ascii="Arial" w:hAnsi="Arial" w:cs="Arial"/>
                <w:noProof/>
                <w:webHidden/>
              </w:rPr>
              <w:fldChar w:fldCharType="end"/>
            </w:r>
          </w:hyperlink>
        </w:p>
        <w:p w14:paraId="043C86B6" w14:textId="1CBCDD44" w:rsidR="003708F8" w:rsidRPr="00851192" w:rsidRDefault="001D081F">
          <w:pPr>
            <w:pStyle w:val="TOC1"/>
            <w:tabs>
              <w:tab w:val="right" w:leader="dot" w:pos="9016"/>
            </w:tabs>
            <w:rPr>
              <w:rFonts w:ascii="Arial" w:hAnsi="Arial" w:cs="Arial"/>
              <w:noProof/>
              <w:lang w:val="en-GB" w:eastAsia="en-GB"/>
            </w:rPr>
          </w:pPr>
          <w:hyperlink w:anchor="_Toc526434204" w:history="1">
            <w:r w:rsidR="003708F8" w:rsidRPr="00851192">
              <w:rPr>
                <w:rStyle w:val="Hyperlink"/>
                <w:rFonts w:ascii="Arial" w:hAnsi="Arial" w:cs="Arial"/>
                <w:b/>
                <w:noProof/>
              </w:rPr>
              <w:t>Abstract</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_Toc526434204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6</w:t>
            </w:r>
            <w:r w:rsidR="003708F8" w:rsidRPr="00851192">
              <w:rPr>
                <w:rFonts w:ascii="Arial" w:hAnsi="Arial" w:cs="Arial"/>
                <w:noProof/>
                <w:webHidden/>
              </w:rPr>
              <w:fldChar w:fldCharType="end"/>
            </w:r>
          </w:hyperlink>
        </w:p>
        <w:p w14:paraId="2108B0E3" w14:textId="51278F5A" w:rsidR="003708F8" w:rsidRPr="00851192" w:rsidRDefault="001D081F">
          <w:pPr>
            <w:pStyle w:val="TOC1"/>
            <w:tabs>
              <w:tab w:val="right" w:leader="dot" w:pos="9016"/>
            </w:tabs>
            <w:rPr>
              <w:rFonts w:ascii="Arial" w:hAnsi="Arial" w:cs="Arial"/>
              <w:noProof/>
              <w:lang w:val="en-GB" w:eastAsia="en-GB"/>
            </w:rPr>
          </w:pPr>
          <w:hyperlink w:anchor="_Toc526434205" w:history="1">
            <w:r w:rsidR="003708F8" w:rsidRPr="00851192">
              <w:rPr>
                <w:rStyle w:val="Hyperlink"/>
                <w:rFonts w:ascii="Arial" w:hAnsi="Arial" w:cs="Arial"/>
                <w:b/>
                <w:noProof/>
              </w:rPr>
              <w:t>Chapter One</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_Toc526434205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7</w:t>
            </w:r>
            <w:r w:rsidR="003708F8" w:rsidRPr="00851192">
              <w:rPr>
                <w:rFonts w:ascii="Arial" w:hAnsi="Arial" w:cs="Arial"/>
                <w:noProof/>
                <w:webHidden/>
              </w:rPr>
              <w:fldChar w:fldCharType="end"/>
            </w:r>
          </w:hyperlink>
        </w:p>
        <w:p w14:paraId="6576B3DA" w14:textId="69532960" w:rsidR="003708F8" w:rsidRPr="00851192" w:rsidRDefault="001D081F">
          <w:pPr>
            <w:pStyle w:val="TOC1"/>
            <w:tabs>
              <w:tab w:val="right" w:leader="dot" w:pos="9016"/>
            </w:tabs>
            <w:rPr>
              <w:rFonts w:ascii="Arial" w:hAnsi="Arial" w:cs="Arial"/>
              <w:noProof/>
              <w:lang w:val="en-GB" w:eastAsia="en-GB"/>
            </w:rPr>
          </w:pPr>
          <w:hyperlink w:anchor="_Toc526434206" w:history="1">
            <w:r w:rsidR="003708F8" w:rsidRPr="00851192">
              <w:rPr>
                <w:rStyle w:val="Hyperlink"/>
                <w:rFonts w:ascii="Arial" w:hAnsi="Arial" w:cs="Arial"/>
                <w:noProof/>
              </w:rPr>
              <w:t>1.1 Introduction</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_Toc526434206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7</w:t>
            </w:r>
            <w:r w:rsidR="003708F8" w:rsidRPr="00851192">
              <w:rPr>
                <w:rFonts w:ascii="Arial" w:hAnsi="Arial" w:cs="Arial"/>
                <w:noProof/>
                <w:webHidden/>
              </w:rPr>
              <w:fldChar w:fldCharType="end"/>
            </w:r>
          </w:hyperlink>
        </w:p>
        <w:p w14:paraId="15DEA5AA" w14:textId="556DED3D" w:rsidR="003708F8" w:rsidRPr="00851192" w:rsidRDefault="001D081F">
          <w:pPr>
            <w:pStyle w:val="TOC1"/>
            <w:tabs>
              <w:tab w:val="right" w:leader="dot" w:pos="9016"/>
            </w:tabs>
            <w:rPr>
              <w:rFonts w:ascii="Arial" w:hAnsi="Arial" w:cs="Arial"/>
              <w:noProof/>
              <w:lang w:val="en-GB" w:eastAsia="en-GB"/>
            </w:rPr>
          </w:pPr>
          <w:hyperlink w:anchor="_Toc526434207" w:history="1">
            <w:r w:rsidR="003708F8" w:rsidRPr="00851192">
              <w:rPr>
                <w:rStyle w:val="Hyperlink"/>
                <w:rFonts w:ascii="Arial" w:hAnsi="Arial" w:cs="Arial"/>
                <w:noProof/>
              </w:rPr>
              <w:t>1.2 Aims and Objectives</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_Toc526434207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7</w:t>
            </w:r>
            <w:r w:rsidR="003708F8" w:rsidRPr="00851192">
              <w:rPr>
                <w:rFonts w:ascii="Arial" w:hAnsi="Arial" w:cs="Arial"/>
                <w:noProof/>
                <w:webHidden/>
              </w:rPr>
              <w:fldChar w:fldCharType="end"/>
            </w:r>
          </w:hyperlink>
        </w:p>
        <w:p w14:paraId="19861AB7" w14:textId="18DFA357" w:rsidR="003708F8" w:rsidRPr="00851192" w:rsidRDefault="001D081F">
          <w:pPr>
            <w:pStyle w:val="TOC1"/>
            <w:tabs>
              <w:tab w:val="right" w:leader="dot" w:pos="9016"/>
            </w:tabs>
            <w:rPr>
              <w:rFonts w:ascii="Arial" w:hAnsi="Arial" w:cs="Arial"/>
              <w:noProof/>
              <w:lang w:val="en-GB" w:eastAsia="en-GB"/>
            </w:rPr>
          </w:pPr>
          <w:hyperlink w:anchor="_Toc526434208" w:history="1">
            <w:r w:rsidR="003708F8" w:rsidRPr="00851192">
              <w:rPr>
                <w:rStyle w:val="Hyperlink"/>
                <w:rFonts w:ascii="Arial" w:hAnsi="Arial" w:cs="Arial"/>
                <w:noProof/>
              </w:rPr>
              <w:t>1.3 Background to the industry</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_Toc526434208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7</w:t>
            </w:r>
            <w:r w:rsidR="003708F8" w:rsidRPr="00851192">
              <w:rPr>
                <w:rFonts w:ascii="Arial" w:hAnsi="Arial" w:cs="Arial"/>
                <w:noProof/>
                <w:webHidden/>
              </w:rPr>
              <w:fldChar w:fldCharType="end"/>
            </w:r>
          </w:hyperlink>
        </w:p>
        <w:p w14:paraId="48BB9B8C" w14:textId="30D99A66" w:rsidR="003708F8" w:rsidRPr="00851192" w:rsidRDefault="001D081F">
          <w:pPr>
            <w:pStyle w:val="TOC1"/>
            <w:tabs>
              <w:tab w:val="right" w:leader="dot" w:pos="9016"/>
            </w:tabs>
            <w:rPr>
              <w:rFonts w:ascii="Arial" w:hAnsi="Arial" w:cs="Arial"/>
              <w:noProof/>
              <w:lang w:val="en-GB" w:eastAsia="en-GB"/>
            </w:rPr>
          </w:pPr>
          <w:hyperlink w:anchor="_Toc526434209" w:history="1">
            <w:r w:rsidR="003708F8" w:rsidRPr="00851192">
              <w:rPr>
                <w:rStyle w:val="Hyperlink"/>
                <w:rFonts w:ascii="Arial" w:hAnsi="Arial" w:cs="Arial"/>
                <w:noProof/>
              </w:rPr>
              <w:t>1.4 Research Question</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_Toc526434209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10</w:t>
            </w:r>
            <w:r w:rsidR="003708F8" w:rsidRPr="00851192">
              <w:rPr>
                <w:rFonts w:ascii="Arial" w:hAnsi="Arial" w:cs="Arial"/>
                <w:noProof/>
                <w:webHidden/>
              </w:rPr>
              <w:fldChar w:fldCharType="end"/>
            </w:r>
          </w:hyperlink>
        </w:p>
        <w:p w14:paraId="604B251F" w14:textId="743CC509" w:rsidR="003708F8" w:rsidRPr="00851192" w:rsidRDefault="001D081F">
          <w:pPr>
            <w:pStyle w:val="TOC1"/>
            <w:tabs>
              <w:tab w:val="right" w:leader="dot" w:pos="9016"/>
            </w:tabs>
            <w:rPr>
              <w:rFonts w:ascii="Arial" w:hAnsi="Arial" w:cs="Arial"/>
              <w:noProof/>
              <w:lang w:val="en-GB" w:eastAsia="en-GB"/>
            </w:rPr>
          </w:pPr>
          <w:hyperlink w:anchor="_Toc526434210" w:history="1">
            <w:r w:rsidR="003708F8" w:rsidRPr="00851192">
              <w:rPr>
                <w:rStyle w:val="Hyperlink"/>
                <w:rFonts w:ascii="Arial" w:hAnsi="Arial" w:cs="Arial"/>
                <w:noProof/>
              </w:rPr>
              <w:t>1.5 Research Problem</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_Toc526434210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10</w:t>
            </w:r>
            <w:r w:rsidR="003708F8" w:rsidRPr="00851192">
              <w:rPr>
                <w:rFonts w:ascii="Arial" w:hAnsi="Arial" w:cs="Arial"/>
                <w:noProof/>
                <w:webHidden/>
              </w:rPr>
              <w:fldChar w:fldCharType="end"/>
            </w:r>
          </w:hyperlink>
        </w:p>
        <w:p w14:paraId="3DDBF93E" w14:textId="08C79165" w:rsidR="003708F8" w:rsidRPr="00851192" w:rsidRDefault="001D081F">
          <w:pPr>
            <w:pStyle w:val="TOC1"/>
            <w:tabs>
              <w:tab w:val="right" w:leader="dot" w:pos="9016"/>
            </w:tabs>
            <w:rPr>
              <w:rFonts w:ascii="Arial" w:hAnsi="Arial" w:cs="Arial"/>
              <w:noProof/>
              <w:lang w:val="en-GB" w:eastAsia="en-GB"/>
            </w:rPr>
          </w:pPr>
          <w:hyperlink w:anchor="_Toc526434211" w:history="1">
            <w:r w:rsidR="003708F8" w:rsidRPr="00851192">
              <w:rPr>
                <w:rStyle w:val="Hyperlink"/>
                <w:rFonts w:ascii="Arial" w:hAnsi="Arial" w:cs="Arial"/>
                <w:noProof/>
              </w:rPr>
              <w:t>1.6 Assumptions</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_Toc526434211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10</w:t>
            </w:r>
            <w:r w:rsidR="003708F8" w:rsidRPr="00851192">
              <w:rPr>
                <w:rFonts w:ascii="Arial" w:hAnsi="Arial" w:cs="Arial"/>
                <w:noProof/>
                <w:webHidden/>
              </w:rPr>
              <w:fldChar w:fldCharType="end"/>
            </w:r>
          </w:hyperlink>
        </w:p>
        <w:p w14:paraId="3AF59757" w14:textId="331B6053" w:rsidR="003708F8" w:rsidRPr="00851192" w:rsidRDefault="001D081F">
          <w:pPr>
            <w:pStyle w:val="TOC1"/>
            <w:tabs>
              <w:tab w:val="right" w:leader="dot" w:pos="9016"/>
            </w:tabs>
            <w:rPr>
              <w:rFonts w:ascii="Arial" w:hAnsi="Arial" w:cs="Arial"/>
              <w:noProof/>
              <w:lang w:val="en-GB" w:eastAsia="en-GB"/>
            </w:rPr>
          </w:pPr>
          <w:hyperlink w:anchor="_Toc526434212" w:history="1">
            <w:r w:rsidR="003708F8" w:rsidRPr="00851192">
              <w:rPr>
                <w:rStyle w:val="Hyperlink"/>
                <w:rFonts w:ascii="Arial" w:hAnsi="Arial" w:cs="Arial"/>
                <w:b/>
                <w:noProof/>
              </w:rPr>
              <w:t>Chapter Two</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_Toc526434212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12</w:t>
            </w:r>
            <w:r w:rsidR="003708F8" w:rsidRPr="00851192">
              <w:rPr>
                <w:rFonts w:ascii="Arial" w:hAnsi="Arial" w:cs="Arial"/>
                <w:noProof/>
                <w:webHidden/>
              </w:rPr>
              <w:fldChar w:fldCharType="end"/>
            </w:r>
          </w:hyperlink>
        </w:p>
        <w:p w14:paraId="7ABBB9F2" w14:textId="71C0D9A9" w:rsidR="003708F8" w:rsidRPr="00851192" w:rsidRDefault="001D081F">
          <w:pPr>
            <w:pStyle w:val="TOC1"/>
            <w:tabs>
              <w:tab w:val="right" w:leader="dot" w:pos="9016"/>
            </w:tabs>
            <w:rPr>
              <w:rFonts w:ascii="Arial" w:hAnsi="Arial" w:cs="Arial"/>
              <w:noProof/>
              <w:lang w:val="en-GB" w:eastAsia="en-GB"/>
            </w:rPr>
          </w:pPr>
          <w:hyperlink w:anchor="_Toc526434213" w:history="1">
            <w:r w:rsidR="003708F8" w:rsidRPr="00851192">
              <w:rPr>
                <w:rStyle w:val="Hyperlink"/>
                <w:rFonts w:ascii="Arial" w:hAnsi="Arial" w:cs="Arial"/>
                <w:noProof/>
              </w:rPr>
              <w:t>2.1 Introduction</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_Toc526434213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12</w:t>
            </w:r>
            <w:r w:rsidR="003708F8" w:rsidRPr="00851192">
              <w:rPr>
                <w:rFonts w:ascii="Arial" w:hAnsi="Arial" w:cs="Arial"/>
                <w:noProof/>
                <w:webHidden/>
              </w:rPr>
              <w:fldChar w:fldCharType="end"/>
            </w:r>
          </w:hyperlink>
        </w:p>
        <w:p w14:paraId="0ED974D9" w14:textId="327DBBB0" w:rsidR="003708F8" w:rsidRPr="00851192" w:rsidRDefault="001D081F">
          <w:pPr>
            <w:pStyle w:val="TOC1"/>
            <w:tabs>
              <w:tab w:val="right" w:leader="dot" w:pos="9016"/>
            </w:tabs>
            <w:rPr>
              <w:rFonts w:ascii="Arial" w:hAnsi="Arial" w:cs="Arial"/>
              <w:noProof/>
              <w:lang w:val="en-GB" w:eastAsia="en-GB"/>
            </w:rPr>
          </w:pPr>
          <w:hyperlink w:anchor="_Toc526434214" w:history="1">
            <w:r w:rsidR="003708F8" w:rsidRPr="00851192">
              <w:rPr>
                <w:rStyle w:val="Hyperlink"/>
                <w:rFonts w:ascii="Arial" w:hAnsi="Arial" w:cs="Arial"/>
                <w:noProof/>
              </w:rPr>
              <w:t>2.2 The Importance of Businesses being Responsible</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_Toc526434214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12</w:t>
            </w:r>
            <w:r w:rsidR="003708F8" w:rsidRPr="00851192">
              <w:rPr>
                <w:rFonts w:ascii="Arial" w:hAnsi="Arial" w:cs="Arial"/>
                <w:noProof/>
                <w:webHidden/>
              </w:rPr>
              <w:fldChar w:fldCharType="end"/>
            </w:r>
          </w:hyperlink>
        </w:p>
        <w:p w14:paraId="47646D17" w14:textId="4CFDB2A2" w:rsidR="003708F8" w:rsidRPr="00851192" w:rsidRDefault="001D081F">
          <w:pPr>
            <w:pStyle w:val="TOC1"/>
            <w:tabs>
              <w:tab w:val="right" w:leader="dot" w:pos="9016"/>
            </w:tabs>
            <w:rPr>
              <w:rFonts w:ascii="Arial" w:hAnsi="Arial" w:cs="Arial"/>
              <w:noProof/>
              <w:lang w:val="en-GB" w:eastAsia="en-GB"/>
            </w:rPr>
          </w:pPr>
          <w:hyperlink w:anchor="_Toc526434215" w:history="1">
            <w:r w:rsidR="003708F8" w:rsidRPr="00851192">
              <w:rPr>
                <w:rStyle w:val="Hyperlink"/>
                <w:rFonts w:ascii="Arial" w:hAnsi="Arial" w:cs="Arial"/>
                <w:noProof/>
              </w:rPr>
              <w:t>2.3 Corporate Social Responsibility Communication</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_Toc526434215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13</w:t>
            </w:r>
            <w:r w:rsidR="003708F8" w:rsidRPr="00851192">
              <w:rPr>
                <w:rFonts w:ascii="Arial" w:hAnsi="Arial" w:cs="Arial"/>
                <w:noProof/>
                <w:webHidden/>
              </w:rPr>
              <w:fldChar w:fldCharType="end"/>
            </w:r>
          </w:hyperlink>
        </w:p>
        <w:p w14:paraId="72B9F766" w14:textId="4401AFAE" w:rsidR="003708F8" w:rsidRPr="00851192" w:rsidRDefault="001D081F">
          <w:pPr>
            <w:pStyle w:val="TOC1"/>
            <w:tabs>
              <w:tab w:val="right" w:leader="dot" w:pos="9016"/>
            </w:tabs>
            <w:rPr>
              <w:rFonts w:ascii="Arial" w:hAnsi="Arial" w:cs="Arial"/>
              <w:noProof/>
              <w:lang w:val="en-GB" w:eastAsia="en-GB"/>
            </w:rPr>
          </w:pPr>
          <w:hyperlink w:anchor="_Toc526434216" w:history="1">
            <w:r w:rsidR="003708F8" w:rsidRPr="00851192">
              <w:rPr>
                <w:rStyle w:val="Hyperlink"/>
                <w:rFonts w:ascii="Arial" w:hAnsi="Arial" w:cs="Arial"/>
                <w:noProof/>
              </w:rPr>
              <w:t>2.4 A Good Global Citizen through CSR Communication</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_Toc526434216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13</w:t>
            </w:r>
            <w:r w:rsidR="003708F8" w:rsidRPr="00851192">
              <w:rPr>
                <w:rFonts w:ascii="Arial" w:hAnsi="Arial" w:cs="Arial"/>
                <w:noProof/>
                <w:webHidden/>
              </w:rPr>
              <w:fldChar w:fldCharType="end"/>
            </w:r>
          </w:hyperlink>
        </w:p>
        <w:p w14:paraId="63550168" w14:textId="2507D3C7" w:rsidR="003708F8" w:rsidRPr="00851192" w:rsidRDefault="001D081F">
          <w:pPr>
            <w:pStyle w:val="TOC1"/>
            <w:tabs>
              <w:tab w:val="right" w:leader="dot" w:pos="9016"/>
            </w:tabs>
            <w:rPr>
              <w:rFonts w:ascii="Arial" w:hAnsi="Arial" w:cs="Arial"/>
              <w:noProof/>
              <w:lang w:val="en-GB" w:eastAsia="en-GB"/>
            </w:rPr>
          </w:pPr>
          <w:hyperlink w:anchor="_Toc526434217" w:history="1">
            <w:r w:rsidR="003708F8" w:rsidRPr="00851192">
              <w:rPr>
                <w:rStyle w:val="Hyperlink"/>
                <w:rFonts w:ascii="Arial" w:hAnsi="Arial" w:cs="Arial"/>
                <w:noProof/>
              </w:rPr>
              <w:t>2.5 Dimensions of Corporate Social Responsibility</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_Toc526434217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14</w:t>
            </w:r>
            <w:r w:rsidR="003708F8" w:rsidRPr="00851192">
              <w:rPr>
                <w:rFonts w:ascii="Arial" w:hAnsi="Arial" w:cs="Arial"/>
                <w:noProof/>
                <w:webHidden/>
              </w:rPr>
              <w:fldChar w:fldCharType="end"/>
            </w:r>
          </w:hyperlink>
        </w:p>
        <w:p w14:paraId="4F23EEA3" w14:textId="70641789" w:rsidR="003708F8" w:rsidRPr="00851192" w:rsidRDefault="001D081F">
          <w:pPr>
            <w:pStyle w:val="TOC1"/>
            <w:tabs>
              <w:tab w:val="right" w:leader="dot" w:pos="9016"/>
            </w:tabs>
            <w:rPr>
              <w:rFonts w:ascii="Arial" w:hAnsi="Arial" w:cs="Arial"/>
              <w:noProof/>
              <w:lang w:val="en-GB" w:eastAsia="en-GB"/>
            </w:rPr>
          </w:pPr>
          <w:hyperlink w:anchor="_Toc526434218" w:history="1">
            <w:r w:rsidR="003708F8" w:rsidRPr="00851192">
              <w:rPr>
                <w:rStyle w:val="Hyperlink"/>
                <w:rFonts w:ascii="Arial" w:hAnsi="Arial" w:cs="Arial"/>
                <w:noProof/>
              </w:rPr>
              <w:t>2.6 Stakeholder Theory</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_Toc526434218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15</w:t>
            </w:r>
            <w:r w:rsidR="003708F8" w:rsidRPr="00851192">
              <w:rPr>
                <w:rFonts w:ascii="Arial" w:hAnsi="Arial" w:cs="Arial"/>
                <w:noProof/>
                <w:webHidden/>
              </w:rPr>
              <w:fldChar w:fldCharType="end"/>
            </w:r>
          </w:hyperlink>
        </w:p>
        <w:p w14:paraId="3086C6B9" w14:textId="2601CABD" w:rsidR="003708F8" w:rsidRPr="00851192" w:rsidRDefault="001D081F">
          <w:pPr>
            <w:pStyle w:val="TOC1"/>
            <w:tabs>
              <w:tab w:val="right" w:leader="dot" w:pos="9016"/>
            </w:tabs>
            <w:rPr>
              <w:rFonts w:ascii="Arial" w:hAnsi="Arial" w:cs="Arial"/>
              <w:noProof/>
              <w:lang w:val="en-GB" w:eastAsia="en-GB"/>
            </w:rPr>
          </w:pPr>
          <w:hyperlink w:anchor="_Toc526434219" w:history="1">
            <w:r w:rsidR="003708F8" w:rsidRPr="00851192">
              <w:rPr>
                <w:rStyle w:val="Hyperlink"/>
                <w:rFonts w:ascii="Arial" w:hAnsi="Arial" w:cs="Arial"/>
                <w:noProof/>
              </w:rPr>
              <w:t>2.7 CSR Communication: A tool to underline Corporate Identity</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_Toc526434219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18</w:t>
            </w:r>
            <w:r w:rsidR="003708F8" w:rsidRPr="00851192">
              <w:rPr>
                <w:rFonts w:ascii="Arial" w:hAnsi="Arial" w:cs="Arial"/>
                <w:noProof/>
                <w:webHidden/>
              </w:rPr>
              <w:fldChar w:fldCharType="end"/>
            </w:r>
          </w:hyperlink>
        </w:p>
        <w:p w14:paraId="3D826313" w14:textId="097A8E42" w:rsidR="003708F8" w:rsidRPr="00851192" w:rsidRDefault="001D081F">
          <w:pPr>
            <w:pStyle w:val="TOC1"/>
            <w:tabs>
              <w:tab w:val="right" w:leader="dot" w:pos="9016"/>
            </w:tabs>
            <w:rPr>
              <w:rFonts w:ascii="Arial" w:hAnsi="Arial" w:cs="Arial"/>
              <w:noProof/>
              <w:lang w:val="en-GB" w:eastAsia="en-GB"/>
            </w:rPr>
          </w:pPr>
          <w:hyperlink w:anchor="_Toc526434220" w:history="1">
            <w:r w:rsidR="003708F8" w:rsidRPr="00851192">
              <w:rPr>
                <w:rStyle w:val="Hyperlink"/>
                <w:rFonts w:ascii="Arial" w:hAnsi="Arial" w:cs="Arial"/>
                <w:noProof/>
              </w:rPr>
              <w:t>2.8 Managing Stakeholders’ through CSR Communication</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_Toc526434220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19</w:t>
            </w:r>
            <w:r w:rsidR="003708F8" w:rsidRPr="00851192">
              <w:rPr>
                <w:rFonts w:ascii="Arial" w:hAnsi="Arial" w:cs="Arial"/>
                <w:noProof/>
                <w:webHidden/>
              </w:rPr>
              <w:fldChar w:fldCharType="end"/>
            </w:r>
          </w:hyperlink>
        </w:p>
        <w:p w14:paraId="4E1FAEC3" w14:textId="1FFFDCD4" w:rsidR="003708F8" w:rsidRPr="00851192" w:rsidRDefault="001D081F">
          <w:pPr>
            <w:pStyle w:val="TOC1"/>
            <w:tabs>
              <w:tab w:val="right" w:leader="dot" w:pos="9016"/>
            </w:tabs>
            <w:rPr>
              <w:rFonts w:ascii="Arial" w:hAnsi="Arial" w:cs="Arial"/>
              <w:noProof/>
              <w:lang w:val="en-GB" w:eastAsia="en-GB"/>
            </w:rPr>
          </w:pPr>
          <w:hyperlink w:anchor="_Toc526434221" w:history="1">
            <w:r w:rsidR="003708F8" w:rsidRPr="00851192">
              <w:rPr>
                <w:rStyle w:val="Hyperlink"/>
                <w:rFonts w:ascii="Arial" w:hAnsi="Arial" w:cs="Arial"/>
                <w:noProof/>
              </w:rPr>
              <w:t>2.9 Corporate Social Responsibility Communication and Long-term Sustainability</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_Toc526434221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20</w:t>
            </w:r>
            <w:r w:rsidR="003708F8" w:rsidRPr="00851192">
              <w:rPr>
                <w:rFonts w:ascii="Arial" w:hAnsi="Arial" w:cs="Arial"/>
                <w:noProof/>
                <w:webHidden/>
              </w:rPr>
              <w:fldChar w:fldCharType="end"/>
            </w:r>
          </w:hyperlink>
        </w:p>
        <w:p w14:paraId="30804708" w14:textId="43DC9F1F" w:rsidR="003708F8" w:rsidRPr="00851192" w:rsidRDefault="001D081F">
          <w:pPr>
            <w:pStyle w:val="TOC1"/>
            <w:tabs>
              <w:tab w:val="right" w:leader="dot" w:pos="9016"/>
            </w:tabs>
            <w:rPr>
              <w:rFonts w:ascii="Arial" w:hAnsi="Arial" w:cs="Arial"/>
              <w:noProof/>
              <w:lang w:val="en-GB" w:eastAsia="en-GB"/>
            </w:rPr>
          </w:pPr>
          <w:hyperlink w:anchor="_Toc526434222" w:history="1">
            <w:r w:rsidR="003708F8" w:rsidRPr="00851192">
              <w:rPr>
                <w:rStyle w:val="Hyperlink"/>
                <w:rFonts w:ascii="Arial" w:hAnsi="Arial" w:cs="Arial"/>
                <w:noProof/>
              </w:rPr>
              <w:t>2.10 Importance of CSR Image to an Organisation</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_Toc526434222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21</w:t>
            </w:r>
            <w:r w:rsidR="003708F8" w:rsidRPr="00851192">
              <w:rPr>
                <w:rFonts w:ascii="Arial" w:hAnsi="Arial" w:cs="Arial"/>
                <w:noProof/>
                <w:webHidden/>
              </w:rPr>
              <w:fldChar w:fldCharType="end"/>
            </w:r>
          </w:hyperlink>
        </w:p>
        <w:p w14:paraId="4431CFBA" w14:textId="77B07887" w:rsidR="003708F8" w:rsidRPr="00851192" w:rsidRDefault="001D081F">
          <w:pPr>
            <w:pStyle w:val="TOC1"/>
            <w:tabs>
              <w:tab w:val="right" w:leader="dot" w:pos="9016"/>
            </w:tabs>
            <w:rPr>
              <w:rFonts w:ascii="Arial" w:hAnsi="Arial" w:cs="Arial"/>
              <w:noProof/>
              <w:lang w:val="en-GB" w:eastAsia="en-GB"/>
            </w:rPr>
          </w:pPr>
          <w:hyperlink w:anchor="_Toc526434223" w:history="1">
            <w:r w:rsidR="003708F8" w:rsidRPr="00851192">
              <w:rPr>
                <w:rStyle w:val="Hyperlink"/>
                <w:rFonts w:ascii="Arial" w:hAnsi="Arial" w:cs="Arial"/>
                <w:noProof/>
              </w:rPr>
              <w:t>2.11 Power of Stakeholders</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_Toc526434223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22</w:t>
            </w:r>
            <w:r w:rsidR="003708F8" w:rsidRPr="00851192">
              <w:rPr>
                <w:rFonts w:ascii="Arial" w:hAnsi="Arial" w:cs="Arial"/>
                <w:noProof/>
                <w:webHidden/>
              </w:rPr>
              <w:fldChar w:fldCharType="end"/>
            </w:r>
          </w:hyperlink>
        </w:p>
        <w:p w14:paraId="45FAF9E5" w14:textId="06E72136" w:rsidR="003708F8" w:rsidRPr="00851192" w:rsidRDefault="001D081F">
          <w:pPr>
            <w:pStyle w:val="TOC1"/>
            <w:tabs>
              <w:tab w:val="right" w:leader="dot" w:pos="9016"/>
            </w:tabs>
            <w:rPr>
              <w:rFonts w:ascii="Arial" w:hAnsi="Arial" w:cs="Arial"/>
              <w:noProof/>
              <w:lang w:val="en-GB" w:eastAsia="en-GB"/>
            </w:rPr>
          </w:pPr>
          <w:hyperlink w:anchor="_Toc526434224" w:history="1">
            <w:r w:rsidR="003708F8" w:rsidRPr="00851192">
              <w:rPr>
                <w:rStyle w:val="Hyperlink"/>
                <w:rFonts w:ascii="Arial" w:hAnsi="Arial" w:cs="Arial"/>
                <w:noProof/>
              </w:rPr>
              <w:t>2.12 A Conceptual Model for CSR Communication</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_Toc526434224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22</w:t>
            </w:r>
            <w:r w:rsidR="003708F8" w:rsidRPr="00851192">
              <w:rPr>
                <w:rFonts w:ascii="Arial" w:hAnsi="Arial" w:cs="Arial"/>
                <w:noProof/>
                <w:webHidden/>
              </w:rPr>
              <w:fldChar w:fldCharType="end"/>
            </w:r>
          </w:hyperlink>
        </w:p>
        <w:p w14:paraId="4851B28A" w14:textId="44C31A8C" w:rsidR="003708F8" w:rsidRPr="00851192" w:rsidRDefault="001D081F">
          <w:pPr>
            <w:pStyle w:val="TOC1"/>
            <w:tabs>
              <w:tab w:val="right" w:leader="dot" w:pos="9016"/>
            </w:tabs>
            <w:rPr>
              <w:rFonts w:ascii="Arial" w:hAnsi="Arial" w:cs="Arial"/>
              <w:noProof/>
              <w:lang w:val="en-GB" w:eastAsia="en-GB"/>
            </w:rPr>
          </w:pPr>
          <w:hyperlink w:anchor="_Toc526434225" w:history="1">
            <w:r w:rsidR="003708F8" w:rsidRPr="00851192">
              <w:rPr>
                <w:rStyle w:val="Hyperlink"/>
                <w:rFonts w:ascii="Arial" w:hAnsi="Arial" w:cs="Arial"/>
                <w:noProof/>
              </w:rPr>
              <w:t>2.13 A Conceptual and Integrated Paradigm of CSR and CSR Communication</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_Toc526434225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24</w:t>
            </w:r>
            <w:r w:rsidR="003708F8" w:rsidRPr="00851192">
              <w:rPr>
                <w:rFonts w:ascii="Arial" w:hAnsi="Arial" w:cs="Arial"/>
                <w:noProof/>
                <w:webHidden/>
              </w:rPr>
              <w:fldChar w:fldCharType="end"/>
            </w:r>
          </w:hyperlink>
        </w:p>
        <w:p w14:paraId="013B24A4" w14:textId="5994A2E2" w:rsidR="003708F8" w:rsidRPr="00851192" w:rsidRDefault="001D081F">
          <w:pPr>
            <w:pStyle w:val="TOC1"/>
            <w:tabs>
              <w:tab w:val="right" w:leader="dot" w:pos="9016"/>
            </w:tabs>
            <w:rPr>
              <w:rFonts w:ascii="Arial" w:hAnsi="Arial" w:cs="Arial"/>
              <w:noProof/>
              <w:lang w:val="en-GB" w:eastAsia="en-GB"/>
            </w:rPr>
          </w:pPr>
          <w:hyperlink w:anchor="_Toc526434226" w:history="1">
            <w:r w:rsidR="003708F8" w:rsidRPr="00851192">
              <w:rPr>
                <w:rStyle w:val="Hyperlink"/>
                <w:rFonts w:ascii="Arial" w:hAnsi="Arial" w:cs="Arial"/>
                <w:noProof/>
              </w:rPr>
              <w:t>2.14 Gap in the Literature</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_Toc526434226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25</w:t>
            </w:r>
            <w:r w:rsidR="003708F8" w:rsidRPr="00851192">
              <w:rPr>
                <w:rFonts w:ascii="Arial" w:hAnsi="Arial" w:cs="Arial"/>
                <w:noProof/>
                <w:webHidden/>
              </w:rPr>
              <w:fldChar w:fldCharType="end"/>
            </w:r>
          </w:hyperlink>
        </w:p>
        <w:p w14:paraId="54F94626" w14:textId="71421B53" w:rsidR="003708F8" w:rsidRPr="00851192" w:rsidRDefault="001D081F">
          <w:pPr>
            <w:pStyle w:val="TOC1"/>
            <w:tabs>
              <w:tab w:val="right" w:leader="dot" w:pos="9016"/>
            </w:tabs>
            <w:rPr>
              <w:rFonts w:ascii="Arial" w:hAnsi="Arial" w:cs="Arial"/>
              <w:noProof/>
              <w:lang w:val="en-GB" w:eastAsia="en-GB"/>
            </w:rPr>
          </w:pPr>
          <w:hyperlink w:anchor="_Toc526434227" w:history="1">
            <w:r w:rsidR="003708F8" w:rsidRPr="00851192">
              <w:rPr>
                <w:rStyle w:val="Hyperlink"/>
                <w:rFonts w:ascii="Arial" w:hAnsi="Arial" w:cs="Arial"/>
                <w:noProof/>
              </w:rPr>
              <w:t>2.15 Conclusion</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_Toc526434227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26</w:t>
            </w:r>
            <w:r w:rsidR="003708F8" w:rsidRPr="00851192">
              <w:rPr>
                <w:rFonts w:ascii="Arial" w:hAnsi="Arial" w:cs="Arial"/>
                <w:noProof/>
                <w:webHidden/>
              </w:rPr>
              <w:fldChar w:fldCharType="end"/>
            </w:r>
          </w:hyperlink>
        </w:p>
        <w:p w14:paraId="7A04FDD6" w14:textId="6576B653" w:rsidR="003708F8" w:rsidRPr="00851192" w:rsidRDefault="001D081F">
          <w:pPr>
            <w:pStyle w:val="TOC1"/>
            <w:tabs>
              <w:tab w:val="right" w:leader="dot" w:pos="9016"/>
            </w:tabs>
            <w:rPr>
              <w:rFonts w:ascii="Arial" w:hAnsi="Arial" w:cs="Arial"/>
              <w:noProof/>
              <w:lang w:val="en-GB" w:eastAsia="en-GB"/>
            </w:rPr>
          </w:pPr>
          <w:hyperlink w:anchor="_Toc526434228" w:history="1">
            <w:r w:rsidR="003708F8" w:rsidRPr="00851192">
              <w:rPr>
                <w:rStyle w:val="Hyperlink"/>
                <w:rFonts w:ascii="Arial" w:hAnsi="Arial" w:cs="Arial"/>
                <w:b/>
                <w:noProof/>
              </w:rPr>
              <w:t>Chapter Three</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_Toc526434228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28</w:t>
            </w:r>
            <w:r w:rsidR="003708F8" w:rsidRPr="00851192">
              <w:rPr>
                <w:rFonts w:ascii="Arial" w:hAnsi="Arial" w:cs="Arial"/>
                <w:noProof/>
                <w:webHidden/>
              </w:rPr>
              <w:fldChar w:fldCharType="end"/>
            </w:r>
          </w:hyperlink>
        </w:p>
        <w:p w14:paraId="2C8B04D6" w14:textId="6690C48A" w:rsidR="003708F8" w:rsidRPr="00851192" w:rsidRDefault="001D081F">
          <w:pPr>
            <w:pStyle w:val="TOC1"/>
            <w:tabs>
              <w:tab w:val="right" w:leader="dot" w:pos="9016"/>
            </w:tabs>
            <w:rPr>
              <w:rFonts w:ascii="Arial" w:hAnsi="Arial" w:cs="Arial"/>
              <w:noProof/>
              <w:lang w:val="en-GB" w:eastAsia="en-GB"/>
            </w:rPr>
          </w:pPr>
          <w:hyperlink w:anchor="_Toc526434229" w:history="1">
            <w:r w:rsidR="003708F8" w:rsidRPr="00851192">
              <w:rPr>
                <w:rStyle w:val="Hyperlink"/>
                <w:rFonts w:ascii="Arial" w:hAnsi="Arial" w:cs="Arial"/>
                <w:noProof/>
              </w:rPr>
              <w:t>3.1 Introduction</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_Toc526434229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28</w:t>
            </w:r>
            <w:r w:rsidR="003708F8" w:rsidRPr="00851192">
              <w:rPr>
                <w:rFonts w:ascii="Arial" w:hAnsi="Arial" w:cs="Arial"/>
                <w:noProof/>
                <w:webHidden/>
              </w:rPr>
              <w:fldChar w:fldCharType="end"/>
            </w:r>
          </w:hyperlink>
        </w:p>
        <w:p w14:paraId="6C455696" w14:textId="13B21DAE" w:rsidR="003708F8" w:rsidRPr="00851192" w:rsidRDefault="001D081F">
          <w:pPr>
            <w:pStyle w:val="TOC1"/>
            <w:tabs>
              <w:tab w:val="right" w:leader="dot" w:pos="9016"/>
            </w:tabs>
            <w:rPr>
              <w:rFonts w:ascii="Arial" w:hAnsi="Arial" w:cs="Arial"/>
              <w:noProof/>
              <w:lang w:val="en-GB" w:eastAsia="en-GB"/>
            </w:rPr>
          </w:pPr>
          <w:hyperlink w:anchor="_Toc526434230" w:history="1">
            <w:r w:rsidR="003708F8" w:rsidRPr="00851192">
              <w:rPr>
                <w:rStyle w:val="Hyperlink"/>
                <w:rFonts w:ascii="Arial" w:hAnsi="Arial" w:cs="Arial"/>
                <w:noProof/>
              </w:rPr>
              <w:t>3.2 Research Context</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_Toc526434230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28</w:t>
            </w:r>
            <w:r w:rsidR="003708F8" w:rsidRPr="00851192">
              <w:rPr>
                <w:rFonts w:ascii="Arial" w:hAnsi="Arial" w:cs="Arial"/>
                <w:noProof/>
                <w:webHidden/>
              </w:rPr>
              <w:fldChar w:fldCharType="end"/>
            </w:r>
          </w:hyperlink>
        </w:p>
        <w:p w14:paraId="3B17B852" w14:textId="6600B37E" w:rsidR="003708F8" w:rsidRPr="00851192" w:rsidRDefault="001D081F">
          <w:pPr>
            <w:pStyle w:val="TOC1"/>
            <w:tabs>
              <w:tab w:val="right" w:leader="dot" w:pos="9016"/>
            </w:tabs>
            <w:rPr>
              <w:rFonts w:ascii="Arial" w:hAnsi="Arial" w:cs="Arial"/>
              <w:noProof/>
              <w:lang w:val="en-GB" w:eastAsia="en-GB"/>
            </w:rPr>
          </w:pPr>
          <w:hyperlink w:anchor="_Toc526434231" w:history="1">
            <w:r w:rsidR="003708F8" w:rsidRPr="00851192">
              <w:rPr>
                <w:rStyle w:val="Hyperlink"/>
                <w:rFonts w:ascii="Arial" w:hAnsi="Arial" w:cs="Arial"/>
                <w:noProof/>
              </w:rPr>
              <w:t>3.3 Epistemology</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_Toc526434231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28</w:t>
            </w:r>
            <w:r w:rsidR="003708F8" w:rsidRPr="00851192">
              <w:rPr>
                <w:rFonts w:ascii="Arial" w:hAnsi="Arial" w:cs="Arial"/>
                <w:noProof/>
                <w:webHidden/>
              </w:rPr>
              <w:fldChar w:fldCharType="end"/>
            </w:r>
          </w:hyperlink>
        </w:p>
        <w:p w14:paraId="1806F723" w14:textId="7CBE2309" w:rsidR="003708F8" w:rsidRPr="00851192" w:rsidRDefault="001D081F">
          <w:pPr>
            <w:pStyle w:val="TOC1"/>
            <w:tabs>
              <w:tab w:val="right" w:leader="dot" w:pos="9016"/>
            </w:tabs>
            <w:rPr>
              <w:rFonts w:ascii="Arial" w:hAnsi="Arial" w:cs="Arial"/>
              <w:noProof/>
              <w:lang w:val="en-GB" w:eastAsia="en-GB"/>
            </w:rPr>
          </w:pPr>
          <w:hyperlink w:anchor="_Toc526434232" w:history="1">
            <w:r w:rsidR="003708F8" w:rsidRPr="00851192">
              <w:rPr>
                <w:rStyle w:val="Hyperlink"/>
                <w:rFonts w:ascii="Arial" w:hAnsi="Arial" w:cs="Arial"/>
                <w:noProof/>
              </w:rPr>
              <w:t>3.4 Theoretical Perspective</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_Toc526434232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29</w:t>
            </w:r>
            <w:r w:rsidR="003708F8" w:rsidRPr="00851192">
              <w:rPr>
                <w:rFonts w:ascii="Arial" w:hAnsi="Arial" w:cs="Arial"/>
                <w:noProof/>
                <w:webHidden/>
              </w:rPr>
              <w:fldChar w:fldCharType="end"/>
            </w:r>
          </w:hyperlink>
        </w:p>
        <w:p w14:paraId="5E43A8EB" w14:textId="3CBE81BC" w:rsidR="003708F8" w:rsidRPr="00851192" w:rsidRDefault="001D081F">
          <w:pPr>
            <w:pStyle w:val="TOC1"/>
            <w:tabs>
              <w:tab w:val="right" w:leader="dot" w:pos="9016"/>
            </w:tabs>
            <w:rPr>
              <w:rFonts w:ascii="Arial" w:hAnsi="Arial" w:cs="Arial"/>
              <w:noProof/>
              <w:lang w:val="en-GB" w:eastAsia="en-GB"/>
            </w:rPr>
          </w:pPr>
          <w:hyperlink w:anchor="_Toc526434233" w:history="1">
            <w:r w:rsidR="003708F8" w:rsidRPr="00851192">
              <w:rPr>
                <w:rStyle w:val="Hyperlink"/>
                <w:rFonts w:ascii="Arial" w:hAnsi="Arial" w:cs="Arial"/>
                <w:noProof/>
              </w:rPr>
              <w:t>3.5 Method</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_Toc526434233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30</w:t>
            </w:r>
            <w:r w:rsidR="003708F8" w:rsidRPr="00851192">
              <w:rPr>
                <w:rFonts w:ascii="Arial" w:hAnsi="Arial" w:cs="Arial"/>
                <w:noProof/>
                <w:webHidden/>
              </w:rPr>
              <w:fldChar w:fldCharType="end"/>
            </w:r>
          </w:hyperlink>
        </w:p>
        <w:p w14:paraId="64B429D8" w14:textId="25BFF3BD" w:rsidR="003708F8" w:rsidRPr="00851192" w:rsidRDefault="001D081F">
          <w:pPr>
            <w:pStyle w:val="TOC1"/>
            <w:tabs>
              <w:tab w:val="right" w:leader="dot" w:pos="9016"/>
            </w:tabs>
            <w:rPr>
              <w:rFonts w:ascii="Arial" w:hAnsi="Arial" w:cs="Arial"/>
              <w:noProof/>
              <w:lang w:val="en-GB" w:eastAsia="en-GB"/>
            </w:rPr>
          </w:pPr>
          <w:hyperlink w:anchor="_Toc526434234" w:history="1">
            <w:r w:rsidR="003708F8" w:rsidRPr="00851192">
              <w:rPr>
                <w:rStyle w:val="Hyperlink"/>
                <w:rFonts w:ascii="Arial" w:hAnsi="Arial" w:cs="Arial"/>
                <w:noProof/>
              </w:rPr>
              <w:t>3.6 Content Analysis</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_Toc526434234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32</w:t>
            </w:r>
            <w:r w:rsidR="003708F8" w:rsidRPr="00851192">
              <w:rPr>
                <w:rFonts w:ascii="Arial" w:hAnsi="Arial" w:cs="Arial"/>
                <w:noProof/>
                <w:webHidden/>
              </w:rPr>
              <w:fldChar w:fldCharType="end"/>
            </w:r>
          </w:hyperlink>
        </w:p>
        <w:p w14:paraId="6EB62193" w14:textId="5B6082A7" w:rsidR="003708F8" w:rsidRPr="00851192" w:rsidRDefault="001D081F">
          <w:pPr>
            <w:pStyle w:val="TOC1"/>
            <w:tabs>
              <w:tab w:val="right" w:leader="dot" w:pos="9016"/>
            </w:tabs>
            <w:rPr>
              <w:rFonts w:ascii="Arial" w:hAnsi="Arial" w:cs="Arial"/>
              <w:noProof/>
              <w:lang w:val="en-GB" w:eastAsia="en-GB"/>
            </w:rPr>
          </w:pPr>
          <w:hyperlink w:anchor="_Toc526434235" w:history="1">
            <w:r w:rsidR="003708F8" w:rsidRPr="00851192">
              <w:rPr>
                <w:rStyle w:val="Hyperlink"/>
                <w:rFonts w:ascii="Arial" w:hAnsi="Arial" w:cs="Arial"/>
                <w:noProof/>
              </w:rPr>
              <w:t>3.7 CSR Communication Consumer Survey</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_Toc526434235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32</w:t>
            </w:r>
            <w:r w:rsidR="003708F8" w:rsidRPr="00851192">
              <w:rPr>
                <w:rFonts w:ascii="Arial" w:hAnsi="Arial" w:cs="Arial"/>
                <w:noProof/>
                <w:webHidden/>
              </w:rPr>
              <w:fldChar w:fldCharType="end"/>
            </w:r>
          </w:hyperlink>
        </w:p>
        <w:p w14:paraId="5C330A00" w14:textId="6BAA1D2C" w:rsidR="003708F8" w:rsidRPr="00851192" w:rsidRDefault="001D081F">
          <w:pPr>
            <w:pStyle w:val="TOC1"/>
            <w:tabs>
              <w:tab w:val="right" w:leader="dot" w:pos="9016"/>
            </w:tabs>
            <w:rPr>
              <w:rFonts w:ascii="Arial" w:hAnsi="Arial" w:cs="Arial"/>
              <w:noProof/>
              <w:lang w:val="en-GB" w:eastAsia="en-GB"/>
            </w:rPr>
          </w:pPr>
          <w:hyperlink w:anchor="_Toc526434236" w:history="1">
            <w:r w:rsidR="003708F8" w:rsidRPr="00851192">
              <w:rPr>
                <w:rStyle w:val="Hyperlink"/>
                <w:rFonts w:ascii="Arial" w:hAnsi="Arial" w:cs="Arial"/>
                <w:noProof/>
              </w:rPr>
              <w:t>3.8 Reliability and Validity</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_Toc526434236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33</w:t>
            </w:r>
            <w:r w:rsidR="003708F8" w:rsidRPr="00851192">
              <w:rPr>
                <w:rFonts w:ascii="Arial" w:hAnsi="Arial" w:cs="Arial"/>
                <w:noProof/>
                <w:webHidden/>
              </w:rPr>
              <w:fldChar w:fldCharType="end"/>
            </w:r>
          </w:hyperlink>
        </w:p>
        <w:p w14:paraId="2D1376BF" w14:textId="612AC74A" w:rsidR="003708F8" w:rsidRPr="00851192" w:rsidRDefault="001D081F">
          <w:pPr>
            <w:pStyle w:val="TOC1"/>
            <w:tabs>
              <w:tab w:val="right" w:leader="dot" w:pos="9016"/>
            </w:tabs>
            <w:rPr>
              <w:rFonts w:ascii="Arial" w:hAnsi="Arial" w:cs="Arial"/>
              <w:noProof/>
              <w:lang w:val="en-GB" w:eastAsia="en-GB"/>
            </w:rPr>
          </w:pPr>
          <w:hyperlink w:anchor="_Toc526434237" w:history="1">
            <w:r w:rsidR="003708F8" w:rsidRPr="00851192">
              <w:rPr>
                <w:rStyle w:val="Hyperlink"/>
                <w:rFonts w:ascii="Arial" w:hAnsi="Arial" w:cs="Arial"/>
                <w:noProof/>
              </w:rPr>
              <w:t>3.9 Sampling</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_Toc526434237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33</w:t>
            </w:r>
            <w:r w:rsidR="003708F8" w:rsidRPr="00851192">
              <w:rPr>
                <w:rFonts w:ascii="Arial" w:hAnsi="Arial" w:cs="Arial"/>
                <w:noProof/>
                <w:webHidden/>
              </w:rPr>
              <w:fldChar w:fldCharType="end"/>
            </w:r>
          </w:hyperlink>
        </w:p>
        <w:p w14:paraId="5EBF4192" w14:textId="53B9571A" w:rsidR="003708F8" w:rsidRPr="00851192" w:rsidRDefault="001D081F">
          <w:pPr>
            <w:pStyle w:val="TOC1"/>
            <w:tabs>
              <w:tab w:val="right" w:leader="dot" w:pos="9016"/>
            </w:tabs>
            <w:rPr>
              <w:rFonts w:ascii="Arial" w:hAnsi="Arial" w:cs="Arial"/>
              <w:noProof/>
              <w:lang w:val="en-GB" w:eastAsia="en-GB"/>
            </w:rPr>
          </w:pPr>
          <w:hyperlink w:anchor="_Toc526434238" w:history="1">
            <w:r w:rsidR="003708F8" w:rsidRPr="00851192">
              <w:rPr>
                <w:rStyle w:val="Hyperlink"/>
                <w:rFonts w:ascii="Arial" w:hAnsi="Arial" w:cs="Arial"/>
                <w:noProof/>
              </w:rPr>
              <w:t>3.10 Delimitations</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_Toc526434238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34</w:t>
            </w:r>
            <w:r w:rsidR="003708F8" w:rsidRPr="00851192">
              <w:rPr>
                <w:rFonts w:ascii="Arial" w:hAnsi="Arial" w:cs="Arial"/>
                <w:noProof/>
                <w:webHidden/>
              </w:rPr>
              <w:fldChar w:fldCharType="end"/>
            </w:r>
          </w:hyperlink>
        </w:p>
        <w:p w14:paraId="6A43631D" w14:textId="74BC227B" w:rsidR="003708F8" w:rsidRPr="00851192" w:rsidRDefault="001D081F">
          <w:pPr>
            <w:pStyle w:val="TOC1"/>
            <w:tabs>
              <w:tab w:val="right" w:leader="dot" w:pos="9016"/>
            </w:tabs>
            <w:rPr>
              <w:rFonts w:ascii="Arial" w:hAnsi="Arial" w:cs="Arial"/>
              <w:noProof/>
              <w:lang w:val="en-GB" w:eastAsia="en-GB"/>
            </w:rPr>
          </w:pPr>
          <w:hyperlink w:anchor="_Toc526434239" w:history="1">
            <w:r w:rsidR="003708F8" w:rsidRPr="00851192">
              <w:rPr>
                <w:rStyle w:val="Hyperlink"/>
                <w:rFonts w:ascii="Arial" w:hAnsi="Arial" w:cs="Arial"/>
                <w:noProof/>
              </w:rPr>
              <w:t>3.11 Limitations of Methodology</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_Toc526434239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34</w:t>
            </w:r>
            <w:r w:rsidR="003708F8" w:rsidRPr="00851192">
              <w:rPr>
                <w:rFonts w:ascii="Arial" w:hAnsi="Arial" w:cs="Arial"/>
                <w:noProof/>
                <w:webHidden/>
              </w:rPr>
              <w:fldChar w:fldCharType="end"/>
            </w:r>
          </w:hyperlink>
        </w:p>
        <w:p w14:paraId="363E5103" w14:textId="7434DC80" w:rsidR="003708F8" w:rsidRPr="00851192" w:rsidRDefault="001D081F">
          <w:pPr>
            <w:pStyle w:val="TOC1"/>
            <w:tabs>
              <w:tab w:val="right" w:leader="dot" w:pos="9016"/>
            </w:tabs>
            <w:rPr>
              <w:rFonts w:ascii="Arial" w:hAnsi="Arial" w:cs="Arial"/>
              <w:noProof/>
              <w:lang w:val="en-GB" w:eastAsia="en-GB"/>
            </w:rPr>
          </w:pPr>
          <w:hyperlink w:anchor="_Toc526434240" w:history="1">
            <w:r w:rsidR="003708F8" w:rsidRPr="00851192">
              <w:rPr>
                <w:rStyle w:val="Hyperlink"/>
                <w:rFonts w:ascii="Arial" w:hAnsi="Arial" w:cs="Arial"/>
                <w:noProof/>
              </w:rPr>
              <w:t>3.12 Ethical Considerations</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_Toc526434240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34</w:t>
            </w:r>
            <w:r w:rsidR="003708F8" w:rsidRPr="00851192">
              <w:rPr>
                <w:rFonts w:ascii="Arial" w:hAnsi="Arial" w:cs="Arial"/>
                <w:noProof/>
                <w:webHidden/>
              </w:rPr>
              <w:fldChar w:fldCharType="end"/>
            </w:r>
          </w:hyperlink>
        </w:p>
        <w:p w14:paraId="0FB6B523" w14:textId="5D198FE0" w:rsidR="003708F8" w:rsidRPr="00851192" w:rsidRDefault="001D081F">
          <w:pPr>
            <w:pStyle w:val="TOC1"/>
            <w:tabs>
              <w:tab w:val="right" w:leader="dot" w:pos="9016"/>
            </w:tabs>
            <w:rPr>
              <w:rFonts w:ascii="Arial" w:hAnsi="Arial" w:cs="Arial"/>
              <w:noProof/>
              <w:lang w:val="en-GB" w:eastAsia="en-GB"/>
            </w:rPr>
          </w:pPr>
          <w:hyperlink w:anchor="_Toc526434241" w:history="1">
            <w:r w:rsidR="003708F8" w:rsidRPr="00851192">
              <w:rPr>
                <w:rStyle w:val="Hyperlink"/>
                <w:rFonts w:ascii="Arial" w:hAnsi="Arial" w:cs="Arial"/>
                <w:noProof/>
              </w:rPr>
              <w:t>3.13 Conclusion</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_Toc526434241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35</w:t>
            </w:r>
            <w:r w:rsidR="003708F8" w:rsidRPr="00851192">
              <w:rPr>
                <w:rFonts w:ascii="Arial" w:hAnsi="Arial" w:cs="Arial"/>
                <w:noProof/>
                <w:webHidden/>
              </w:rPr>
              <w:fldChar w:fldCharType="end"/>
            </w:r>
          </w:hyperlink>
        </w:p>
        <w:p w14:paraId="6F4FB968" w14:textId="1C453674" w:rsidR="003708F8" w:rsidRPr="00851192" w:rsidRDefault="001D081F">
          <w:pPr>
            <w:pStyle w:val="TOC1"/>
            <w:tabs>
              <w:tab w:val="right" w:leader="dot" w:pos="9016"/>
            </w:tabs>
            <w:rPr>
              <w:rFonts w:ascii="Arial" w:hAnsi="Arial" w:cs="Arial"/>
              <w:noProof/>
              <w:lang w:val="en-GB" w:eastAsia="en-GB"/>
            </w:rPr>
          </w:pPr>
          <w:hyperlink w:anchor="_Toc526434242" w:history="1">
            <w:r w:rsidR="003708F8" w:rsidRPr="00851192">
              <w:rPr>
                <w:rStyle w:val="Hyperlink"/>
                <w:rFonts w:ascii="Arial" w:hAnsi="Arial" w:cs="Arial"/>
                <w:b/>
                <w:noProof/>
              </w:rPr>
              <w:t>Chapter Four</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_Toc526434242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36</w:t>
            </w:r>
            <w:r w:rsidR="003708F8" w:rsidRPr="00851192">
              <w:rPr>
                <w:rFonts w:ascii="Arial" w:hAnsi="Arial" w:cs="Arial"/>
                <w:noProof/>
                <w:webHidden/>
              </w:rPr>
              <w:fldChar w:fldCharType="end"/>
            </w:r>
          </w:hyperlink>
        </w:p>
        <w:p w14:paraId="6088C5BD" w14:textId="420140E0" w:rsidR="003708F8" w:rsidRPr="00851192" w:rsidRDefault="001D081F">
          <w:pPr>
            <w:pStyle w:val="TOC1"/>
            <w:tabs>
              <w:tab w:val="right" w:leader="dot" w:pos="9016"/>
            </w:tabs>
            <w:rPr>
              <w:rFonts w:ascii="Arial" w:hAnsi="Arial" w:cs="Arial"/>
              <w:noProof/>
              <w:lang w:val="en-GB" w:eastAsia="en-GB"/>
            </w:rPr>
          </w:pPr>
          <w:hyperlink w:anchor="_Toc526434243" w:history="1">
            <w:r w:rsidR="003708F8" w:rsidRPr="00851192">
              <w:rPr>
                <w:rStyle w:val="Hyperlink"/>
                <w:rFonts w:ascii="Arial" w:hAnsi="Arial" w:cs="Arial"/>
                <w:noProof/>
              </w:rPr>
              <w:t>4.1 Introduction</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_Toc526434243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36</w:t>
            </w:r>
            <w:r w:rsidR="003708F8" w:rsidRPr="00851192">
              <w:rPr>
                <w:rFonts w:ascii="Arial" w:hAnsi="Arial" w:cs="Arial"/>
                <w:noProof/>
                <w:webHidden/>
              </w:rPr>
              <w:fldChar w:fldCharType="end"/>
            </w:r>
          </w:hyperlink>
        </w:p>
        <w:p w14:paraId="7A16C058" w14:textId="4128851F" w:rsidR="003708F8" w:rsidRPr="00851192" w:rsidRDefault="001D081F">
          <w:pPr>
            <w:pStyle w:val="TOC1"/>
            <w:tabs>
              <w:tab w:val="right" w:leader="dot" w:pos="9016"/>
            </w:tabs>
            <w:rPr>
              <w:rFonts w:ascii="Arial" w:hAnsi="Arial" w:cs="Arial"/>
              <w:noProof/>
              <w:lang w:val="en-GB" w:eastAsia="en-GB"/>
            </w:rPr>
          </w:pPr>
          <w:hyperlink w:anchor="_Toc526434244" w:history="1">
            <w:r w:rsidR="003708F8" w:rsidRPr="00851192">
              <w:rPr>
                <w:rStyle w:val="Hyperlink"/>
                <w:rFonts w:ascii="Arial" w:hAnsi="Arial" w:cs="Arial"/>
                <w:noProof/>
              </w:rPr>
              <w:t>4.2 Content Analysis</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_Toc526434244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36</w:t>
            </w:r>
            <w:r w:rsidR="003708F8" w:rsidRPr="00851192">
              <w:rPr>
                <w:rFonts w:ascii="Arial" w:hAnsi="Arial" w:cs="Arial"/>
                <w:noProof/>
                <w:webHidden/>
              </w:rPr>
              <w:fldChar w:fldCharType="end"/>
            </w:r>
          </w:hyperlink>
        </w:p>
        <w:p w14:paraId="55DDE442" w14:textId="44A253EF" w:rsidR="003708F8" w:rsidRPr="00851192" w:rsidRDefault="001D081F">
          <w:pPr>
            <w:pStyle w:val="TOC2"/>
            <w:tabs>
              <w:tab w:val="right" w:leader="dot" w:pos="9016"/>
            </w:tabs>
            <w:rPr>
              <w:rFonts w:ascii="Arial" w:hAnsi="Arial" w:cs="Arial"/>
              <w:noProof/>
              <w:lang w:val="en-GB" w:eastAsia="en-GB"/>
            </w:rPr>
          </w:pPr>
          <w:hyperlink w:anchor="_Toc526434245" w:history="1">
            <w:r w:rsidR="003708F8" w:rsidRPr="00851192">
              <w:rPr>
                <w:rStyle w:val="Hyperlink"/>
                <w:rFonts w:ascii="Arial" w:hAnsi="Arial" w:cs="Arial"/>
                <w:noProof/>
              </w:rPr>
              <w:t>4.2.1 Coding</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_Toc526434245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37</w:t>
            </w:r>
            <w:r w:rsidR="003708F8" w:rsidRPr="00851192">
              <w:rPr>
                <w:rFonts w:ascii="Arial" w:hAnsi="Arial" w:cs="Arial"/>
                <w:noProof/>
                <w:webHidden/>
              </w:rPr>
              <w:fldChar w:fldCharType="end"/>
            </w:r>
          </w:hyperlink>
        </w:p>
        <w:p w14:paraId="3C8A8E38" w14:textId="02FF08E0" w:rsidR="003708F8" w:rsidRPr="00851192" w:rsidRDefault="001D081F">
          <w:pPr>
            <w:pStyle w:val="TOC1"/>
            <w:tabs>
              <w:tab w:val="right" w:leader="dot" w:pos="9016"/>
            </w:tabs>
            <w:rPr>
              <w:rFonts w:ascii="Arial" w:hAnsi="Arial" w:cs="Arial"/>
              <w:noProof/>
              <w:lang w:val="en-GB" w:eastAsia="en-GB"/>
            </w:rPr>
          </w:pPr>
          <w:hyperlink w:anchor="_Toc526434246" w:history="1">
            <w:r w:rsidR="003708F8" w:rsidRPr="00851192">
              <w:rPr>
                <w:rStyle w:val="Hyperlink"/>
                <w:rFonts w:ascii="Arial" w:hAnsi="Arial" w:cs="Arial"/>
                <w:noProof/>
              </w:rPr>
              <w:t>4.4 Method of Evaluation</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_Toc526434246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38</w:t>
            </w:r>
            <w:r w:rsidR="003708F8" w:rsidRPr="00851192">
              <w:rPr>
                <w:rFonts w:ascii="Arial" w:hAnsi="Arial" w:cs="Arial"/>
                <w:noProof/>
                <w:webHidden/>
              </w:rPr>
              <w:fldChar w:fldCharType="end"/>
            </w:r>
          </w:hyperlink>
        </w:p>
        <w:p w14:paraId="2A7ED6CF" w14:textId="46188160" w:rsidR="003708F8" w:rsidRPr="00851192" w:rsidRDefault="001D081F">
          <w:pPr>
            <w:pStyle w:val="TOC1"/>
            <w:tabs>
              <w:tab w:val="right" w:leader="dot" w:pos="9016"/>
            </w:tabs>
            <w:rPr>
              <w:rFonts w:ascii="Arial" w:hAnsi="Arial" w:cs="Arial"/>
              <w:noProof/>
              <w:lang w:val="en-GB" w:eastAsia="en-GB"/>
            </w:rPr>
          </w:pPr>
          <w:hyperlink w:anchor="_Toc526434247" w:history="1">
            <w:r w:rsidR="003708F8" w:rsidRPr="00851192">
              <w:rPr>
                <w:rStyle w:val="Hyperlink"/>
                <w:rFonts w:ascii="Arial" w:hAnsi="Arial" w:cs="Arial"/>
                <w:noProof/>
              </w:rPr>
              <w:t>4.5 Content Analysis on Annual Reports</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_Toc526434247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38</w:t>
            </w:r>
            <w:r w:rsidR="003708F8" w:rsidRPr="00851192">
              <w:rPr>
                <w:rFonts w:ascii="Arial" w:hAnsi="Arial" w:cs="Arial"/>
                <w:noProof/>
                <w:webHidden/>
              </w:rPr>
              <w:fldChar w:fldCharType="end"/>
            </w:r>
          </w:hyperlink>
        </w:p>
        <w:p w14:paraId="5F037C38" w14:textId="3101A453" w:rsidR="003708F8" w:rsidRPr="00851192" w:rsidRDefault="001D081F">
          <w:pPr>
            <w:pStyle w:val="TOC2"/>
            <w:tabs>
              <w:tab w:val="right" w:leader="dot" w:pos="9016"/>
            </w:tabs>
            <w:rPr>
              <w:rFonts w:ascii="Arial" w:hAnsi="Arial" w:cs="Arial"/>
              <w:noProof/>
              <w:lang w:val="en-GB" w:eastAsia="en-GB"/>
            </w:rPr>
          </w:pPr>
          <w:hyperlink w:anchor="_Toc526434248" w:history="1">
            <w:r w:rsidR="003708F8" w:rsidRPr="00851192">
              <w:rPr>
                <w:rStyle w:val="Hyperlink"/>
                <w:rFonts w:ascii="Arial" w:hAnsi="Arial" w:cs="Arial"/>
                <w:noProof/>
              </w:rPr>
              <w:t>4.5.1 Key Findings from Content Analysis of Annual Reports</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_Toc526434248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41</w:t>
            </w:r>
            <w:r w:rsidR="003708F8" w:rsidRPr="00851192">
              <w:rPr>
                <w:rFonts w:ascii="Arial" w:hAnsi="Arial" w:cs="Arial"/>
                <w:noProof/>
                <w:webHidden/>
              </w:rPr>
              <w:fldChar w:fldCharType="end"/>
            </w:r>
          </w:hyperlink>
        </w:p>
        <w:p w14:paraId="23C152F4" w14:textId="63FD2603" w:rsidR="003708F8" w:rsidRPr="00851192" w:rsidRDefault="001D081F">
          <w:pPr>
            <w:pStyle w:val="TOC2"/>
            <w:tabs>
              <w:tab w:val="right" w:leader="dot" w:pos="9016"/>
            </w:tabs>
            <w:rPr>
              <w:rFonts w:ascii="Arial" w:hAnsi="Arial" w:cs="Arial"/>
              <w:noProof/>
              <w:lang w:val="en-GB" w:eastAsia="en-GB"/>
            </w:rPr>
          </w:pPr>
          <w:hyperlink w:anchor="_Toc526434249" w:history="1">
            <w:r w:rsidR="003708F8" w:rsidRPr="00851192">
              <w:rPr>
                <w:rStyle w:val="Hyperlink"/>
                <w:rFonts w:ascii="Arial" w:hAnsi="Arial" w:cs="Arial"/>
                <w:noProof/>
              </w:rPr>
              <w:t>4.5.2 Global Gambling Operator’s and Employees</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_Toc526434249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42</w:t>
            </w:r>
            <w:r w:rsidR="003708F8" w:rsidRPr="00851192">
              <w:rPr>
                <w:rFonts w:ascii="Arial" w:hAnsi="Arial" w:cs="Arial"/>
                <w:noProof/>
                <w:webHidden/>
              </w:rPr>
              <w:fldChar w:fldCharType="end"/>
            </w:r>
          </w:hyperlink>
        </w:p>
        <w:p w14:paraId="4A980F9D" w14:textId="1F31CCB7" w:rsidR="003708F8" w:rsidRPr="00851192" w:rsidRDefault="001D081F">
          <w:pPr>
            <w:pStyle w:val="TOC2"/>
            <w:tabs>
              <w:tab w:val="right" w:leader="dot" w:pos="9016"/>
            </w:tabs>
            <w:rPr>
              <w:rFonts w:ascii="Arial" w:hAnsi="Arial" w:cs="Arial"/>
              <w:noProof/>
              <w:lang w:val="en-GB" w:eastAsia="en-GB"/>
            </w:rPr>
          </w:pPr>
          <w:hyperlink w:anchor="_Toc526434250" w:history="1">
            <w:r w:rsidR="003708F8" w:rsidRPr="00851192">
              <w:rPr>
                <w:rStyle w:val="Hyperlink"/>
                <w:rFonts w:ascii="Arial" w:hAnsi="Arial" w:cs="Arial"/>
                <w:noProof/>
              </w:rPr>
              <w:t>4.5.3 Global Gambling Operator’s and Stakeholders</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_Toc526434250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42</w:t>
            </w:r>
            <w:r w:rsidR="003708F8" w:rsidRPr="00851192">
              <w:rPr>
                <w:rFonts w:ascii="Arial" w:hAnsi="Arial" w:cs="Arial"/>
                <w:noProof/>
                <w:webHidden/>
              </w:rPr>
              <w:fldChar w:fldCharType="end"/>
            </w:r>
          </w:hyperlink>
        </w:p>
        <w:p w14:paraId="469BE3FC" w14:textId="56185F75" w:rsidR="003708F8" w:rsidRPr="00851192" w:rsidRDefault="001D081F">
          <w:pPr>
            <w:pStyle w:val="TOC2"/>
            <w:tabs>
              <w:tab w:val="right" w:leader="dot" w:pos="9016"/>
            </w:tabs>
            <w:rPr>
              <w:rFonts w:ascii="Arial" w:hAnsi="Arial" w:cs="Arial"/>
              <w:noProof/>
              <w:lang w:val="en-GB" w:eastAsia="en-GB"/>
            </w:rPr>
          </w:pPr>
          <w:hyperlink w:anchor="_Toc526434251" w:history="1">
            <w:r w:rsidR="003708F8" w:rsidRPr="00851192">
              <w:rPr>
                <w:rStyle w:val="Hyperlink"/>
                <w:rFonts w:ascii="Arial" w:hAnsi="Arial" w:cs="Arial"/>
                <w:noProof/>
              </w:rPr>
              <w:t>4.5.4 Global Gambling Operator’s and Consumers</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_Toc526434251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42</w:t>
            </w:r>
            <w:r w:rsidR="003708F8" w:rsidRPr="00851192">
              <w:rPr>
                <w:rFonts w:ascii="Arial" w:hAnsi="Arial" w:cs="Arial"/>
                <w:noProof/>
                <w:webHidden/>
              </w:rPr>
              <w:fldChar w:fldCharType="end"/>
            </w:r>
          </w:hyperlink>
        </w:p>
        <w:p w14:paraId="65860E3D" w14:textId="59F45530" w:rsidR="003708F8" w:rsidRPr="00851192" w:rsidRDefault="001D081F">
          <w:pPr>
            <w:pStyle w:val="TOC2"/>
            <w:tabs>
              <w:tab w:val="right" w:leader="dot" w:pos="9016"/>
            </w:tabs>
            <w:rPr>
              <w:rFonts w:ascii="Arial" w:hAnsi="Arial" w:cs="Arial"/>
              <w:noProof/>
              <w:lang w:val="en-GB" w:eastAsia="en-GB"/>
            </w:rPr>
          </w:pPr>
          <w:hyperlink w:anchor="_Toc526434252" w:history="1">
            <w:r w:rsidR="003708F8" w:rsidRPr="00851192">
              <w:rPr>
                <w:rStyle w:val="Hyperlink"/>
                <w:rFonts w:ascii="Arial" w:hAnsi="Arial" w:cs="Arial"/>
                <w:noProof/>
              </w:rPr>
              <w:t>4.5.5 Global Gambling Operator’s and Environmental Factors</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_Toc526434252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43</w:t>
            </w:r>
            <w:r w:rsidR="003708F8" w:rsidRPr="00851192">
              <w:rPr>
                <w:rFonts w:ascii="Arial" w:hAnsi="Arial" w:cs="Arial"/>
                <w:noProof/>
                <w:webHidden/>
              </w:rPr>
              <w:fldChar w:fldCharType="end"/>
            </w:r>
          </w:hyperlink>
        </w:p>
        <w:p w14:paraId="62DD363D" w14:textId="0E303CE1" w:rsidR="003708F8" w:rsidRPr="00851192" w:rsidRDefault="001D081F">
          <w:pPr>
            <w:pStyle w:val="TOC2"/>
            <w:tabs>
              <w:tab w:val="right" w:leader="dot" w:pos="9016"/>
            </w:tabs>
            <w:rPr>
              <w:rFonts w:ascii="Arial" w:hAnsi="Arial" w:cs="Arial"/>
              <w:noProof/>
              <w:lang w:val="en-GB" w:eastAsia="en-GB"/>
            </w:rPr>
          </w:pPr>
          <w:hyperlink w:anchor="_Toc526434253" w:history="1">
            <w:r w:rsidR="003708F8" w:rsidRPr="00851192">
              <w:rPr>
                <w:rStyle w:val="Hyperlink"/>
                <w:rFonts w:ascii="Arial" w:hAnsi="Arial" w:cs="Arial"/>
                <w:noProof/>
              </w:rPr>
              <w:t>4.5.6 Global Gambling Operator’s and Communities</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_Toc526434253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43</w:t>
            </w:r>
            <w:r w:rsidR="003708F8" w:rsidRPr="00851192">
              <w:rPr>
                <w:rFonts w:ascii="Arial" w:hAnsi="Arial" w:cs="Arial"/>
                <w:noProof/>
                <w:webHidden/>
              </w:rPr>
              <w:fldChar w:fldCharType="end"/>
            </w:r>
          </w:hyperlink>
        </w:p>
        <w:p w14:paraId="5B76BA92" w14:textId="6BAAE980" w:rsidR="003708F8" w:rsidRPr="00851192" w:rsidRDefault="001D081F">
          <w:pPr>
            <w:pStyle w:val="TOC2"/>
            <w:tabs>
              <w:tab w:val="right" w:leader="dot" w:pos="9016"/>
            </w:tabs>
            <w:rPr>
              <w:rFonts w:ascii="Arial" w:hAnsi="Arial" w:cs="Arial"/>
              <w:noProof/>
              <w:lang w:val="en-GB" w:eastAsia="en-GB"/>
            </w:rPr>
          </w:pPr>
          <w:hyperlink w:anchor="_Toc526434254" w:history="1">
            <w:r w:rsidR="003708F8" w:rsidRPr="00851192">
              <w:rPr>
                <w:rStyle w:val="Hyperlink"/>
                <w:rFonts w:ascii="Arial" w:hAnsi="Arial" w:cs="Arial"/>
                <w:noProof/>
              </w:rPr>
              <w:t>4.5.7 Global Gambling Operator’s and Governments</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_Toc526434254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44</w:t>
            </w:r>
            <w:r w:rsidR="003708F8" w:rsidRPr="00851192">
              <w:rPr>
                <w:rFonts w:ascii="Arial" w:hAnsi="Arial" w:cs="Arial"/>
                <w:noProof/>
                <w:webHidden/>
              </w:rPr>
              <w:fldChar w:fldCharType="end"/>
            </w:r>
          </w:hyperlink>
        </w:p>
        <w:p w14:paraId="74E048E7" w14:textId="7CC36CE4" w:rsidR="003708F8" w:rsidRPr="00851192" w:rsidRDefault="001D081F">
          <w:pPr>
            <w:pStyle w:val="TOC1"/>
            <w:tabs>
              <w:tab w:val="right" w:leader="dot" w:pos="9016"/>
            </w:tabs>
            <w:rPr>
              <w:rFonts w:ascii="Arial" w:hAnsi="Arial" w:cs="Arial"/>
              <w:noProof/>
              <w:lang w:val="en-GB" w:eastAsia="en-GB"/>
            </w:rPr>
          </w:pPr>
          <w:hyperlink w:anchor="_Toc526434255" w:history="1">
            <w:r w:rsidR="003708F8" w:rsidRPr="00851192">
              <w:rPr>
                <w:rStyle w:val="Hyperlink"/>
                <w:rFonts w:ascii="Arial" w:hAnsi="Arial" w:cs="Arial"/>
                <w:noProof/>
              </w:rPr>
              <w:t>4.6 Key themes emerged from Qualitative Content Analysis of Annual Reports</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_Toc526434255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44</w:t>
            </w:r>
            <w:r w:rsidR="003708F8" w:rsidRPr="00851192">
              <w:rPr>
                <w:rFonts w:ascii="Arial" w:hAnsi="Arial" w:cs="Arial"/>
                <w:noProof/>
                <w:webHidden/>
              </w:rPr>
              <w:fldChar w:fldCharType="end"/>
            </w:r>
          </w:hyperlink>
        </w:p>
        <w:p w14:paraId="5B59CC43" w14:textId="182A75C5" w:rsidR="003708F8" w:rsidRPr="00851192" w:rsidRDefault="001D081F">
          <w:pPr>
            <w:pStyle w:val="TOC1"/>
            <w:tabs>
              <w:tab w:val="right" w:leader="dot" w:pos="9016"/>
            </w:tabs>
            <w:rPr>
              <w:rFonts w:ascii="Arial" w:hAnsi="Arial" w:cs="Arial"/>
              <w:noProof/>
              <w:lang w:val="en-GB" w:eastAsia="en-GB"/>
            </w:rPr>
          </w:pPr>
          <w:hyperlink w:anchor="_Toc526434256" w:history="1">
            <w:r w:rsidR="003708F8" w:rsidRPr="00851192">
              <w:rPr>
                <w:rStyle w:val="Hyperlink"/>
                <w:rFonts w:ascii="Arial" w:hAnsi="Arial" w:cs="Arial"/>
                <w:noProof/>
              </w:rPr>
              <w:t>4.7 Qualitative Content Analysis of Online Platforms</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_Toc526434256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45</w:t>
            </w:r>
            <w:r w:rsidR="003708F8" w:rsidRPr="00851192">
              <w:rPr>
                <w:rFonts w:ascii="Arial" w:hAnsi="Arial" w:cs="Arial"/>
                <w:noProof/>
                <w:webHidden/>
              </w:rPr>
              <w:fldChar w:fldCharType="end"/>
            </w:r>
          </w:hyperlink>
        </w:p>
        <w:p w14:paraId="1EFE1A68" w14:textId="60F58A7C" w:rsidR="003708F8" w:rsidRPr="00851192" w:rsidRDefault="001D081F">
          <w:pPr>
            <w:pStyle w:val="TOC2"/>
            <w:tabs>
              <w:tab w:val="right" w:leader="dot" w:pos="9016"/>
            </w:tabs>
            <w:rPr>
              <w:rFonts w:ascii="Arial" w:hAnsi="Arial" w:cs="Arial"/>
              <w:noProof/>
              <w:lang w:val="en-GB" w:eastAsia="en-GB"/>
            </w:rPr>
          </w:pPr>
          <w:hyperlink w:anchor="_Toc526434257" w:history="1">
            <w:r w:rsidR="003708F8" w:rsidRPr="00851192">
              <w:rPr>
                <w:rStyle w:val="Hyperlink"/>
                <w:rFonts w:ascii="Arial" w:hAnsi="Arial" w:cs="Arial"/>
                <w:noProof/>
              </w:rPr>
              <w:t>4.7.1 Key Findings</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_Toc526434257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46</w:t>
            </w:r>
            <w:r w:rsidR="003708F8" w:rsidRPr="00851192">
              <w:rPr>
                <w:rFonts w:ascii="Arial" w:hAnsi="Arial" w:cs="Arial"/>
                <w:noProof/>
                <w:webHidden/>
              </w:rPr>
              <w:fldChar w:fldCharType="end"/>
            </w:r>
          </w:hyperlink>
        </w:p>
        <w:p w14:paraId="1547C91F" w14:textId="5C4651B8" w:rsidR="003708F8" w:rsidRPr="00851192" w:rsidRDefault="001D081F">
          <w:pPr>
            <w:pStyle w:val="TOC2"/>
            <w:tabs>
              <w:tab w:val="right" w:leader="dot" w:pos="9016"/>
            </w:tabs>
            <w:rPr>
              <w:rFonts w:ascii="Arial" w:hAnsi="Arial" w:cs="Arial"/>
              <w:noProof/>
              <w:lang w:val="en-GB" w:eastAsia="en-GB"/>
            </w:rPr>
          </w:pPr>
          <w:hyperlink w:anchor="_Toc526434258" w:history="1">
            <w:r w:rsidR="003708F8" w:rsidRPr="00851192">
              <w:rPr>
                <w:rStyle w:val="Hyperlink"/>
                <w:rFonts w:ascii="Arial" w:hAnsi="Arial" w:cs="Arial"/>
                <w:noProof/>
              </w:rPr>
              <w:t>4.7.2 Responsible Gambling</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_Toc526434258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46</w:t>
            </w:r>
            <w:r w:rsidR="003708F8" w:rsidRPr="00851192">
              <w:rPr>
                <w:rFonts w:ascii="Arial" w:hAnsi="Arial" w:cs="Arial"/>
                <w:noProof/>
                <w:webHidden/>
              </w:rPr>
              <w:fldChar w:fldCharType="end"/>
            </w:r>
          </w:hyperlink>
        </w:p>
        <w:p w14:paraId="7DFB6CB8" w14:textId="4670CE5A" w:rsidR="003708F8" w:rsidRPr="00851192" w:rsidRDefault="001D081F">
          <w:pPr>
            <w:pStyle w:val="TOC2"/>
            <w:tabs>
              <w:tab w:val="right" w:leader="dot" w:pos="9016"/>
            </w:tabs>
            <w:rPr>
              <w:rFonts w:ascii="Arial" w:hAnsi="Arial" w:cs="Arial"/>
              <w:noProof/>
              <w:lang w:val="en-GB" w:eastAsia="en-GB"/>
            </w:rPr>
          </w:pPr>
          <w:hyperlink w:anchor="_Toc526434259" w:history="1">
            <w:r w:rsidR="003708F8" w:rsidRPr="00851192">
              <w:rPr>
                <w:rStyle w:val="Hyperlink"/>
                <w:rFonts w:ascii="Arial" w:hAnsi="Arial" w:cs="Arial"/>
                <w:noProof/>
              </w:rPr>
              <w:t>4.7.3 Fair Gaming</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_Toc526434259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47</w:t>
            </w:r>
            <w:r w:rsidR="003708F8" w:rsidRPr="00851192">
              <w:rPr>
                <w:rFonts w:ascii="Arial" w:hAnsi="Arial" w:cs="Arial"/>
                <w:noProof/>
                <w:webHidden/>
              </w:rPr>
              <w:fldChar w:fldCharType="end"/>
            </w:r>
          </w:hyperlink>
        </w:p>
        <w:p w14:paraId="3186D378" w14:textId="2C72FF94" w:rsidR="003708F8" w:rsidRPr="00851192" w:rsidRDefault="001D081F">
          <w:pPr>
            <w:pStyle w:val="TOC2"/>
            <w:tabs>
              <w:tab w:val="right" w:leader="dot" w:pos="9016"/>
            </w:tabs>
            <w:rPr>
              <w:rFonts w:ascii="Arial" w:hAnsi="Arial" w:cs="Arial"/>
              <w:noProof/>
              <w:lang w:val="en-GB" w:eastAsia="en-GB"/>
            </w:rPr>
          </w:pPr>
          <w:hyperlink w:anchor="_Toc526434260" w:history="1">
            <w:r w:rsidR="003708F8" w:rsidRPr="00851192">
              <w:rPr>
                <w:rStyle w:val="Hyperlink"/>
                <w:rFonts w:ascii="Arial" w:hAnsi="Arial" w:cs="Arial"/>
                <w:noProof/>
              </w:rPr>
              <w:t>4.7.4 Ethical and Responsible Statement</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_Toc526434260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47</w:t>
            </w:r>
            <w:r w:rsidR="003708F8" w:rsidRPr="00851192">
              <w:rPr>
                <w:rFonts w:ascii="Arial" w:hAnsi="Arial" w:cs="Arial"/>
                <w:noProof/>
                <w:webHidden/>
              </w:rPr>
              <w:fldChar w:fldCharType="end"/>
            </w:r>
          </w:hyperlink>
        </w:p>
        <w:p w14:paraId="1C6B698E" w14:textId="58EF61EB" w:rsidR="003708F8" w:rsidRPr="00851192" w:rsidRDefault="001D081F">
          <w:pPr>
            <w:pStyle w:val="TOC2"/>
            <w:tabs>
              <w:tab w:val="right" w:leader="dot" w:pos="9016"/>
            </w:tabs>
            <w:rPr>
              <w:rFonts w:ascii="Arial" w:hAnsi="Arial" w:cs="Arial"/>
              <w:noProof/>
              <w:lang w:val="en-GB" w:eastAsia="en-GB"/>
            </w:rPr>
          </w:pPr>
          <w:hyperlink w:anchor="_Toc526434261" w:history="1">
            <w:r w:rsidR="003708F8" w:rsidRPr="00851192">
              <w:rPr>
                <w:rStyle w:val="Hyperlink"/>
                <w:rFonts w:ascii="Arial" w:hAnsi="Arial" w:cs="Arial"/>
                <w:noProof/>
              </w:rPr>
              <w:t>4.7.5 Self-Exclusion Facility</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_Toc526434261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48</w:t>
            </w:r>
            <w:r w:rsidR="003708F8" w:rsidRPr="00851192">
              <w:rPr>
                <w:rFonts w:ascii="Arial" w:hAnsi="Arial" w:cs="Arial"/>
                <w:noProof/>
                <w:webHidden/>
              </w:rPr>
              <w:fldChar w:fldCharType="end"/>
            </w:r>
          </w:hyperlink>
        </w:p>
        <w:p w14:paraId="5FBD2096" w14:textId="4E237A15" w:rsidR="003708F8" w:rsidRPr="00851192" w:rsidRDefault="001D081F">
          <w:pPr>
            <w:pStyle w:val="TOC2"/>
            <w:tabs>
              <w:tab w:val="right" w:leader="dot" w:pos="9016"/>
            </w:tabs>
            <w:rPr>
              <w:rFonts w:ascii="Arial" w:hAnsi="Arial" w:cs="Arial"/>
              <w:noProof/>
              <w:lang w:val="en-GB" w:eastAsia="en-GB"/>
            </w:rPr>
          </w:pPr>
          <w:hyperlink w:anchor="_Toc526434262" w:history="1">
            <w:r w:rsidR="003708F8" w:rsidRPr="00851192">
              <w:rPr>
                <w:rStyle w:val="Hyperlink"/>
                <w:rFonts w:ascii="Arial" w:hAnsi="Arial" w:cs="Arial"/>
                <w:noProof/>
              </w:rPr>
              <w:t>4.7.6 Social Media Presence</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_Toc526434262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48</w:t>
            </w:r>
            <w:r w:rsidR="003708F8" w:rsidRPr="00851192">
              <w:rPr>
                <w:rFonts w:ascii="Arial" w:hAnsi="Arial" w:cs="Arial"/>
                <w:noProof/>
                <w:webHidden/>
              </w:rPr>
              <w:fldChar w:fldCharType="end"/>
            </w:r>
          </w:hyperlink>
        </w:p>
        <w:p w14:paraId="7597F693" w14:textId="4E8C2660" w:rsidR="003708F8" w:rsidRPr="00851192" w:rsidRDefault="001D081F">
          <w:pPr>
            <w:pStyle w:val="TOC2"/>
            <w:tabs>
              <w:tab w:val="right" w:leader="dot" w:pos="9016"/>
            </w:tabs>
            <w:rPr>
              <w:rFonts w:ascii="Arial" w:hAnsi="Arial" w:cs="Arial"/>
              <w:noProof/>
              <w:lang w:val="en-GB" w:eastAsia="en-GB"/>
            </w:rPr>
          </w:pPr>
          <w:hyperlink w:anchor="_Toc526434263" w:history="1">
            <w:r w:rsidR="003708F8" w:rsidRPr="00851192">
              <w:rPr>
                <w:rStyle w:val="Hyperlink"/>
                <w:rFonts w:ascii="Arial" w:hAnsi="Arial" w:cs="Arial"/>
                <w:noProof/>
              </w:rPr>
              <w:t>4.7.7 Age Verification</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_Toc526434263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48</w:t>
            </w:r>
            <w:r w:rsidR="003708F8" w:rsidRPr="00851192">
              <w:rPr>
                <w:rFonts w:ascii="Arial" w:hAnsi="Arial" w:cs="Arial"/>
                <w:noProof/>
                <w:webHidden/>
              </w:rPr>
              <w:fldChar w:fldCharType="end"/>
            </w:r>
          </w:hyperlink>
        </w:p>
        <w:p w14:paraId="61DB6EAB" w14:textId="45BF14C9" w:rsidR="003708F8" w:rsidRPr="00851192" w:rsidRDefault="001D081F">
          <w:pPr>
            <w:pStyle w:val="TOC2"/>
            <w:tabs>
              <w:tab w:val="right" w:leader="dot" w:pos="9016"/>
            </w:tabs>
            <w:rPr>
              <w:rFonts w:ascii="Arial" w:hAnsi="Arial" w:cs="Arial"/>
              <w:noProof/>
              <w:lang w:val="en-GB" w:eastAsia="en-GB"/>
            </w:rPr>
          </w:pPr>
          <w:hyperlink w:anchor="_Toc526434264" w:history="1">
            <w:r w:rsidR="003708F8" w:rsidRPr="00851192">
              <w:rPr>
                <w:rStyle w:val="Hyperlink"/>
                <w:rFonts w:ascii="Arial" w:hAnsi="Arial" w:cs="Arial"/>
                <w:noProof/>
              </w:rPr>
              <w:t>4.7.8 Technical Support</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_Toc526434264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48</w:t>
            </w:r>
            <w:r w:rsidR="003708F8" w:rsidRPr="00851192">
              <w:rPr>
                <w:rFonts w:ascii="Arial" w:hAnsi="Arial" w:cs="Arial"/>
                <w:noProof/>
                <w:webHidden/>
              </w:rPr>
              <w:fldChar w:fldCharType="end"/>
            </w:r>
          </w:hyperlink>
        </w:p>
        <w:p w14:paraId="3A318D55" w14:textId="6F1569E0" w:rsidR="003708F8" w:rsidRPr="00851192" w:rsidRDefault="001D081F">
          <w:pPr>
            <w:pStyle w:val="TOC2"/>
            <w:tabs>
              <w:tab w:val="right" w:leader="dot" w:pos="9016"/>
            </w:tabs>
            <w:rPr>
              <w:rFonts w:ascii="Arial" w:hAnsi="Arial" w:cs="Arial"/>
              <w:noProof/>
              <w:lang w:val="en-GB" w:eastAsia="en-GB"/>
            </w:rPr>
          </w:pPr>
          <w:hyperlink w:anchor="_Toc526434265" w:history="1">
            <w:r w:rsidR="003708F8" w:rsidRPr="00851192">
              <w:rPr>
                <w:rStyle w:val="Hyperlink"/>
                <w:rFonts w:ascii="Arial" w:hAnsi="Arial" w:cs="Arial"/>
                <w:noProof/>
              </w:rPr>
              <w:t>4.7.9 Promotional Gambling Advertisement</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_Toc526434265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49</w:t>
            </w:r>
            <w:r w:rsidR="003708F8" w:rsidRPr="00851192">
              <w:rPr>
                <w:rFonts w:ascii="Arial" w:hAnsi="Arial" w:cs="Arial"/>
                <w:noProof/>
                <w:webHidden/>
              </w:rPr>
              <w:fldChar w:fldCharType="end"/>
            </w:r>
          </w:hyperlink>
        </w:p>
        <w:p w14:paraId="1A07CF59" w14:textId="7BF6B6CC" w:rsidR="003708F8" w:rsidRPr="00851192" w:rsidRDefault="001D081F">
          <w:pPr>
            <w:pStyle w:val="TOC2"/>
            <w:tabs>
              <w:tab w:val="right" w:leader="dot" w:pos="9016"/>
            </w:tabs>
            <w:rPr>
              <w:rFonts w:ascii="Arial" w:hAnsi="Arial" w:cs="Arial"/>
              <w:noProof/>
              <w:lang w:val="en-GB" w:eastAsia="en-GB"/>
            </w:rPr>
          </w:pPr>
          <w:hyperlink w:anchor="_Toc526434266" w:history="1">
            <w:r w:rsidR="003708F8" w:rsidRPr="00851192">
              <w:rPr>
                <w:rStyle w:val="Hyperlink"/>
                <w:rFonts w:ascii="Arial" w:hAnsi="Arial" w:cs="Arial"/>
                <w:noProof/>
              </w:rPr>
              <w:t>4.7.10 Secure Transaction</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_Toc526434266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49</w:t>
            </w:r>
            <w:r w:rsidR="003708F8" w:rsidRPr="00851192">
              <w:rPr>
                <w:rFonts w:ascii="Arial" w:hAnsi="Arial" w:cs="Arial"/>
                <w:noProof/>
                <w:webHidden/>
              </w:rPr>
              <w:fldChar w:fldCharType="end"/>
            </w:r>
          </w:hyperlink>
        </w:p>
        <w:p w14:paraId="38AA382A" w14:textId="730BCF41" w:rsidR="003708F8" w:rsidRPr="00851192" w:rsidRDefault="001D081F">
          <w:pPr>
            <w:pStyle w:val="TOC2"/>
            <w:tabs>
              <w:tab w:val="right" w:leader="dot" w:pos="9016"/>
            </w:tabs>
            <w:rPr>
              <w:rFonts w:ascii="Arial" w:hAnsi="Arial" w:cs="Arial"/>
              <w:noProof/>
              <w:lang w:val="en-GB" w:eastAsia="en-GB"/>
            </w:rPr>
          </w:pPr>
          <w:hyperlink w:anchor="_Toc526434267" w:history="1">
            <w:r w:rsidR="003708F8" w:rsidRPr="00851192">
              <w:rPr>
                <w:rStyle w:val="Hyperlink"/>
                <w:rFonts w:ascii="Arial" w:hAnsi="Arial" w:cs="Arial"/>
                <w:noProof/>
              </w:rPr>
              <w:t>4.7.11 Money Balance Services</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_Toc526434267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49</w:t>
            </w:r>
            <w:r w:rsidR="003708F8" w:rsidRPr="00851192">
              <w:rPr>
                <w:rFonts w:ascii="Arial" w:hAnsi="Arial" w:cs="Arial"/>
                <w:noProof/>
                <w:webHidden/>
              </w:rPr>
              <w:fldChar w:fldCharType="end"/>
            </w:r>
          </w:hyperlink>
        </w:p>
        <w:p w14:paraId="75396AE3" w14:textId="2CCC1882" w:rsidR="003708F8" w:rsidRPr="00851192" w:rsidRDefault="001D081F">
          <w:pPr>
            <w:pStyle w:val="TOC2"/>
            <w:tabs>
              <w:tab w:val="right" w:leader="dot" w:pos="9016"/>
            </w:tabs>
            <w:rPr>
              <w:rFonts w:ascii="Arial" w:hAnsi="Arial" w:cs="Arial"/>
              <w:noProof/>
              <w:lang w:val="en-GB" w:eastAsia="en-GB"/>
            </w:rPr>
          </w:pPr>
          <w:hyperlink w:anchor="_Toc526434268" w:history="1">
            <w:r w:rsidR="003708F8" w:rsidRPr="00851192">
              <w:rPr>
                <w:rStyle w:val="Hyperlink"/>
                <w:rFonts w:ascii="Arial" w:hAnsi="Arial" w:cs="Arial"/>
                <w:noProof/>
              </w:rPr>
              <w:t>4.7.12 Clarity on Rules</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_Toc526434268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49</w:t>
            </w:r>
            <w:r w:rsidR="003708F8" w:rsidRPr="00851192">
              <w:rPr>
                <w:rFonts w:ascii="Arial" w:hAnsi="Arial" w:cs="Arial"/>
                <w:noProof/>
                <w:webHidden/>
              </w:rPr>
              <w:fldChar w:fldCharType="end"/>
            </w:r>
          </w:hyperlink>
        </w:p>
        <w:p w14:paraId="36C6792E" w14:textId="1F33467C" w:rsidR="003708F8" w:rsidRPr="00851192" w:rsidRDefault="001D081F">
          <w:pPr>
            <w:pStyle w:val="TOC1"/>
            <w:tabs>
              <w:tab w:val="right" w:leader="dot" w:pos="9016"/>
            </w:tabs>
            <w:rPr>
              <w:rFonts w:ascii="Arial" w:hAnsi="Arial" w:cs="Arial"/>
              <w:noProof/>
              <w:lang w:val="en-GB" w:eastAsia="en-GB"/>
            </w:rPr>
          </w:pPr>
          <w:hyperlink w:anchor="_Toc526434269" w:history="1">
            <w:r w:rsidR="003708F8" w:rsidRPr="00851192">
              <w:rPr>
                <w:rStyle w:val="Hyperlink"/>
                <w:rFonts w:ascii="Arial" w:hAnsi="Arial" w:cs="Arial"/>
                <w:noProof/>
              </w:rPr>
              <w:t>4.8 Key themes emerged from Content Analysis of Online Platforms</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_Toc526434269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50</w:t>
            </w:r>
            <w:r w:rsidR="003708F8" w:rsidRPr="00851192">
              <w:rPr>
                <w:rFonts w:ascii="Arial" w:hAnsi="Arial" w:cs="Arial"/>
                <w:noProof/>
                <w:webHidden/>
              </w:rPr>
              <w:fldChar w:fldCharType="end"/>
            </w:r>
          </w:hyperlink>
        </w:p>
        <w:p w14:paraId="7723B725" w14:textId="7BC06CF3" w:rsidR="003708F8" w:rsidRPr="00851192" w:rsidRDefault="001D081F">
          <w:pPr>
            <w:pStyle w:val="TOC1"/>
            <w:tabs>
              <w:tab w:val="right" w:leader="dot" w:pos="9016"/>
            </w:tabs>
            <w:rPr>
              <w:rFonts w:ascii="Arial" w:hAnsi="Arial" w:cs="Arial"/>
              <w:noProof/>
              <w:lang w:val="en-GB" w:eastAsia="en-GB"/>
            </w:rPr>
          </w:pPr>
          <w:hyperlink w:anchor="_Toc526434270" w:history="1">
            <w:r w:rsidR="003708F8" w:rsidRPr="00851192">
              <w:rPr>
                <w:rStyle w:val="Hyperlink"/>
                <w:rFonts w:ascii="Arial" w:hAnsi="Arial" w:cs="Arial"/>
                <w:noProof/>
              </w:rPr>
              <w:t>4.9 Analysis of Key Findings from Consumer CSR Communication Survey</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_Toc526434270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50</w:t>
            </w:r>
            <w:r w:rsidR="003708F8" w:rsidRPr="00851192">
              <w:rPr>
                <w:rFonts w:ascii="Arial" w:hAnsi="Arial" w:cs="Arial"/>
                <w:noProof/>
                <w:webHidden/>
              </w:rPr>
              <w:fldChar w:fldCharType="end"/>
            </w:r>
          </w:hyperlink>
        </w:p>
        <w:p w14:paraId="3035F3B0" w14:textId="4263CFEC" w:rsidR="003708F8" w:rsidRPr="00851192" w:rsidRDefault="001D081F">
          <w:pPr>
            <w:pStyle w:val="TOC1"/>
            <w:tabs>
              <w:tab w:val="right" w:leader="dot" w:pos="9016"/>
            </w:tabs>
            <w:rPr>
              <w:rFonts w:ascii="Arial" w:hAnsi="Arial" w:cs="Arial"/>
              <w:noProof/>
              <w:lang w:val="en-GB" w:eastAsia="en-GB"/>
            </w:rPr>
          </w:pPr>
          <w:hyperlink w:anchor="_Toc526434271" w:history="1">
            <w:r w:rsidR="003708F8" w:rsidRPr="00851192">
              <w:rPr>
                <w:rStyle w:val="Hyperlink"/>
                <w:rFonts w:ascii="Arial" w:hAnsi="Arial" w:cs="Arial"/>
                <w:noProof/>
              </w:rPr>
              <w:t>4.10 Conclusion</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_Toc526434271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65</w:t>
            </w:r>
            <w:r w:rsidR="003708F8" w:rsidRPr="00851192">
              <w:rPr>
                <w:rFonts w:ascii="Arial" w:hAnsi="Arial" w:cs="Arial"/>
                <w:noProof/>
                <w:webHidden/>
              </w:rPr>
              <w:fldChar w:fldCharType="end"/>
            </w:r>
          </w:hyperlink>
        </w:p>
        <w:p w14:paraId="20D27A7C" w14:textId="46696901" w:rsidR="003708F8" w:rsidRPr="00851192" w:rsidRDefault="001D081F">
          <w:pPr>
            <w:pStyle w:val="TOC1"/>
            <w:tabs>
              <w:tab w:val="right" w:leader="dot" w:pos="9016"/>
            </w:tabs>
            <w:rPr>
              <w:rFonts w:ascii="Arial" w:hAnsi="Arial" w:cs="Arial"/>
              <w:noProof/>
              <w:lang w:val="en-GB" w:eastAsia="en-GB"/>
            </w:rPr>
          </w:pPr>
          <w:hyperlink w:anchor="_Toc526434272" w:history="1">
            <w:r w:rsidR="003708F8" w:rsidRPr="00851192">
              <w:rPr>
                <w:rStyle w:val="Hyperlink"/>
                <w:rFonts w:ascii="Arial" w:hAnsi="Arial" w:cs="Arial"/>
                <w:b/>
                <w:noProof/>
              </w:rPr>
              <w:t>Chapter Five</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_Toc526434272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67</w:t>
            </w:r>
            <w:r w:rsidR="003708F8" w:rsidRPr="00851192">
              <w:rPr>
                <w:rFonts w:ascii="Arial" w:hAnsi="Arial" w:cs="Arial"/>
                <w:noProof/>
                <w:webHidden/>
              </w:rPr>
              <w:fldChar w:fldCharType="end"/>
            </w:r>
          </w:hyperlink>
        </w:p>
        <w:p w14:paraId="45B1AED4" w14:textId="455137B3" w:rsidR="003708F8" w:rsidRPr="00851192" w:rsidRDefault="001D081F">
          <w:pPr>
            <w:pStyle w:val="TOC1"/>
            <w:tabs>
              <w:tab w:val="right" w:leader="dot" w:pos="9016"/>
            </w:tabs>
            <w:rPr>
              <w:rFonts w:ascii="Arial" w:hAnsi="Arial" w:cs="Arial"/>
              <w:noProof/>
              <w:lang w:val="en-GB" w:eastAsia="en-GB"/>
            </w:rPr>
          </w:pPr>
          <w:hyperlink w:anchor="_Toc526434273" w:history="1">
            <w:r w:rsidR="003708F8" w:rsidRPr="00851192">
              <w:rPr>
                <w:rStyle w:val="Hyperlink"/>
                <w:rFonts w:ascii="Arial" w:hAnsi="Arial" w:cs="Arial"/>
                <w:noProof/>
              </w:rPr>
              <w:t>5.1 Introduction</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_Toc526434273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67</w:t>
            </w:r>
            <w:r w:rsidR="003708F8" w:rsidRPr="00851192">
              <w:rPr>
                <w:rFonts w:ascii="Arial" w:hAnsi="Arial" w:cs="Arial"/>
                <w:noProof/>
                <w:webHidden/>
              </w:rPr>
              <w:fldChar w:fldCharType="end"/>
            </w:r>
          </w:hyperlink>
        </w:p>
        <w:p w14:paraId="4C8CD54E" w14:textId="6E3D1264" w:rsidR="003708F8" w:rsidRPr="00851192" w:rsidRDefault="001D081F">
          <w:pPr>
            <w:pStyle w:val="TOC1"/>
            <w:tabs>
              <w:tab w:val="right" w:leader="dot" w:pos="9016"/>
            </w:tabs>
            <w:rPr>
              <w:rFonts w:ascii="Arial" w:hAnsi="Arial" w:cs="Arial"/>
              <w:noProof/>
              <w:lang w:val="en-GB" w:eastAsia="en-GB"/>
            </w:rPr>
          </w:pPr>
          <w:hyperlink w:anchor="_Toc526434274" w:history="1">
            <w:r w:rsidR="003708F8" w:rsidRPr="00851192">
              <w:rPr>
                <w:rStyle w:val="Hyperlink"/>
                <w:rFonts w:ascii="Arial" w:hAnsi="Arial" w:cs="Arial"/>
                <w:noProof/>
              </w:rPr>
              <w:t>5.2 Achievement of Objectives</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_Toc526434274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67</w:t>
            </w:r>
            <w:r w:rsidR="003708F8" w:rsidRPr="00851192">
              <w:rPr>
                <w:rFonts w:ascii="Arial" w:hAnsi="Arial" w:cs="Arial"/>
                <w:noProof/>
                <w:webHidden/>
              </w:rPr>
              <w:fldChar w:fldCharType="end"/>
            </w:r>
          </w:hyperlink>
        </w:p>
        <w:p w14:paraId="51DFE674" w14:textId="756C1B7B" w:rsidR="003708F8" w:rsidRPr="00851192" w:rsidRDefault="001D081F">
          <w:pPr>
            <w:pStyle w:val="TOC1"/>
            <w:tabs>
              <w:tab w:val="right" w:leader="dot" w:pos="9016"/>
            </w:tabs>
            <w:rPr>
              <w:rFonts w:ascii="Arial" w:hAnsi="Arial" w:cs="Arial"/>
              <w:noProof/>
              <w:lang w:val="en-GB" w:eastAsia="en-GB"/>
            </w:rPr>
          </w:pPr>
          <w:hyperlink w:anchor="_Toc526434275" w:history="1">
            <w:r w:rsidR="003708F8" w:rsidRPr="00851192">
              <w:rPr>
                <w:rStyle w:val="Hyperlink"/>
                <w:rFonts w:ascii="Arial" w:hAnsi="Arial" w:cs="Arial"/>
                <w:noProof/>
              </w:rPr>
              <w:t>5.3 Main Findings</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_Toc526434275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67</w:t>
            </w:r>
            <w:r w:rsidR="003708F8" w:rsidRPr="00851192">
              <w:rPr>
                <w:rFonts w:ascii="Arial" w:hAnsi="Arial" w:cs="Arial"/>
                <w:noProof/>
                <w:webHidden/>
              </w:rPr>
              <w:fldChar w:fldCharType="end"/>
            </w:r>
          </w:hyperlink>
        </w:p>
        <w:p w14:paraId="1598D72C" w14:textId="7A050176" w:rsidR="003708F8" w:rsidRPr="00851192" w:rsidRDefault="001D081F">
          <w:pPr>
            <w:pStyle w:val="TOC1"/>
            <w:tabs>
              <w:tab w:val="right" w:leader="dot" w:pos="9016"/>
            </w:tabs>
            <w:rPr>
              <w:rFonts w:ascii="Arial" w:hAnsi="Arial" w:cs="Arial"/>
              <w:noProof/>
              <w:lang w:val="en-GB" w:eastAsia="en-GB"/>
            </w:rPr>
          </w:pPr>
          <w:hyperlink w:anchor="_Toc526434276" w:history="1">
            <w:r w:rsidR="003708F8" w:rsidRPr="00851192">
              <w:rPr>
                <w:rStyle w:val="Hyperlink"/>
                <w:rFonts w:ascii="Arial" w:hAnsi="Arial" w:cs="Arial"/>
                <w:noProof/>
              </w:rPr>
              <w:t>5.4 Recommendations</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_Toc526434276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68</w:t>
            </w:r>
            <w:r w:rsidR="003708F8" w:rsidRPr="00851192">
              <w:rPr>
                <w:rFonts w:ascii="Arial" w:hAnsi="Arial" w:cs="Arial"/>
                <w:noProof/>
                <w:webHidden/>
              </w:rPr>
              <w:fldChar w:fldCharType="end"/>
            </w:r>
          </w:hyperlink>
        </w:p>
        <w:p w14:paraId="23835D19" w14:textId="4A8963E6" w:rsidR="003708F8" w:rsidRPr="00851192" w:rsidRDefault="001D081F">
          <w:pPr>
            <w:pStyle w:val="TOC1"/>
            <w:tabs>
              <w:tab w:val="right" w:leader="dot" w:pos="9016"/>
            </w:tabs>
            <w:rPr>
              <w:rFonts w:ascii="Arial" w:hAnsi="Arial" w:cs="Arial"/>
              <w:noProof/>
              <w:lang w:val="en-GB" w:eastAsia="en-GB"/>
            </w:rPr>
          </w:pPr>
          <w:hyperlink w:anchor="_Toc526434277" w:history="1">
            <w:r w:rsidR="003708F8" w:rsidRPr="00851192">
              <w:rPr>
                <w:rStyle w:val="Hyperlink"/>
                <w:rFonts w:ascii="Arial" w:hAnsi="Arial" w:cs="Arial"/>
                <w:noProof/>
              </w:rPr>
              <w:t>5.5 Limitations of the Study</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_Toc526434277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69</w:t>
            </w:r>
            <w:r w:rsidR="003708F8" w:rsidRPr="00851192">
              <w:rPr>
                <w:rFonts w:ascii="Arial" w:hAnsi="Arial" w:cs="Arial"/>
                <w:noProof/>
                <w:webHidden/>
              </w:rPr>
              <w:fldChar w:fldCharType="end"/>
            </w:r>
          </w:hyperlink>
        </w:p>
        <w:p w14:paraId="01973EB5" w14:textId="2CD1BA67" w:rsidR="003708F8" w:rsidRPr="00851192" w:rsidRDefault="001D081F">
          <w:pPr>
            <w:pStyle w:val="TOC1"/>
            <w:tabs>
              <w:tab w:val="right" w:leader="dot" w:pos="9016"/>
            </w:tabs>
            <w:rPr>
              <w:rFonts w:ascii="Arial" w:hAnsi="Arial" w:cs="Arial"/>
              <w:noProof/>
              <w:lang w:val="en-GB" w:eastAsia="en-GB"/>
            </w:rPr>
          </w:pPr>
          <w:hyperlink w:anchor="_Toc526434278" w:history="1">
            <w:r w:rsidR="003708F8" w:rsidRPr="00851192">
              <w:rPr>
                <w:rStyle w:val="Hyperlink"/>
                <w:rFonts w:ascii="Arial" w:hAnsi="Arial" w:cs="Arial"/>
                <w:noProof/>
              </w:rPr>
              <w:t>5.6 Conclusion</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_Toc526434278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69</w:t>
            </w:r>
            <w:r w:rsidR="003708F8" w:rsidRPr="00851192">
              <w:rPr>
                <w:rFonts w:ascii="Arial" w:hAnsi="Arial" w:cs="Arial"/>
                <w:noProof/>
                <w:webHidden/>
              </w:rPr>
              <w:fldChar w:fldCharType="end"/>
            </w:r>
          </w:hyperlink>
        </w:p>
        <w:p w14:paraId="224D6931" w14:textId="797F9B0A" w:rsidR="003708F8" w:rsidRPr="00851192" w:rsidRDefault="001D081F">
          <w:pPr>
            <w:pStyle w:val="TOC1"/>
            <w:tabs>
              <w:tab w:val="right" w:leader="dot" w:pos="9016"/>
            </w:tabs>
            <w:rPr>
              <w:rFonts w:ascii="Arial" w:hAnsi="Arial" w:cs="Arial"/>
              <w:noProof/>
              <w:lang w:val="en-GB" w:eastAsia="en-GB"/>
            </w:rPr>
          </w:pPr>
          <w:hyperlink w:anchor="_Toc526434279" w:history="1">
            <w:r w:rsidR="003708F8" w:rsidRPr="00851192">
              <w:rPr>
                <w:rStyle w:val="Hyperlink"/>
                <w:rFonts w:ascii="Arial" w:hAnsi="Arial" w:cs="Arial"/>
                <w:b/>
                <w:noProof/>
              </w:rPr>
              <w:t>6.0</w:t>
            </w:r>
            <w:r w:rsidR="003708F8" w:rsidRPr="00851192">
              <w:rPr>
                <w:rStyle w:val="Hyperlink"/>
                <w:rFonts w:ascii="Arial" w:eastAsiaTheme="minorHAnsi" w:hAnsi="Arial" w:cs="Arial"/>
                <w:b/>
                <w:noProof/>
                <w:lang w:val="en-GB"/>
              </w:rPr>
              <w:t xml:space="preserve"> </w:t>
            </w:r>
            <w:r w:rsidR="003708F8" w:rsidRPr="00851192">
              <w:rPr>
                <w:rStyle w:val="Hyperlink"/>
                <w:rFonts w:ascii="Arial" w:hAnsi="Arial" w:cs="Arial"/>
                <w:b/>
                <w:noProof/>
              </w:rPr>
              <w:t>Bibliography</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_Toc526434279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71</w:t>
            </w:r>
            <w:r w:rsidR="003708F8" w:rsidRPr="00851192">
              <w:rPr>
                <w:rFonts w:ascii="Arial" w:hAnsi="Arial" w:cs="Arial"/>
                <w:noProof/>
                <w:webHidden/>
              </w:rPr>
              <w:fldChar w:fldCharType="end"/>
            </w:r>
          </w:hyperlink>
        </w:p>
        <w:p w14:paraId="0EC94290" w14:textId="6BA52F2B" w:rsidR="003708F8" w:rsidRPr="00851192" w:rsidRDefault="001D081F">
          <w:pPr>
            <w:pStyle w:val="TOC1"/>
            <w:tabs>
              <w:tab w:val="right" w:leader="dot" w:pos="9016"/>
            </w:tabs>
            <w:rPr>
              <w:rFonts w:ascii="Arial" w:hAnsi="Arial" w:cs="Arial"/>
              <w:noProof/>
              <w:lang w:val="en-GB" w:eastAsia="en-GB"/>
            </w:rPr>
          </w:pPr>
          <w:hyperlink w:anchor="_Toc526434280" w:history="1">
            <w:r w:rsidR="003708F8" w:rsidRPr="00851192">
              <w:rPr>
                <w:rStyle w:val="Hyperlink"/>
                <w:rFonts w:ascii="Arial" w:hAnsi="Arial" w:cs="Arial"/>
                <w:b/>
                <w:noProof/>
              </w:rPr>
              <w:t>7.0 Appendices</w:t>
            </w:r>
            <w:r w:rsidR="003708F8" w:rsidRPr="00851192">
              <w:rPr>
                <w:rFonts w:ascii="Arial" w:hAnsi="Arial" w:cs="Arial"/>
                <w:noProof/>
                <w:webHidden/>
              </w:rPr>
              <w:tab/>
            </w:r>
            <w:r w:rsidR="003708F8" w:rsidRPr="00851192">
              <w:rPr>
                <w:rFonts w:ascii="Arial" w:hAnsi="Arial" w:cs="Arial"/>
                <w:noProof/>
                <w:webHidden/>
              </w:rPr>
              <w:fldChar w:fldCharType="begin"/>
            </w:r>
            <w:r w:rsidR="003708F8" w:rsidRPr="00851192">
              <w:rPr>
                <w:rFonts w:ascii="Arial" w:hAnsi="Arial" w:cs="Arial"/>
                <w:noProof/>
                <w:webHidden/>
              </w:rPr>
              <w:instrText xml:space="preserve"> PAGEREF _Toc526434280 \h </w:instrText>
            </w:r>
            <w:r w:rsidR="003708F8" w:rsidRPr="00851192">
              <w:rPr>
                <w:rFonts w:ascii="Arial" w:hAnsi="Arial" w:cs="Arial"/>
                <w:noProof/>
                <w:webHidden/>
              </w:rPr>
            </w:r>
            <w:r w:rsidR="003708F8" w:rsidRPr="00851192">
              <w:rPr>
                <w:rFonts w:ascii="Arial" w:hAnsi="Arial" w:cs="Arial"/>
                <w:noProof/>
                <w:webHidden/>
              </w:rPr>
              <w:fldChar w:fldCharType="separate"/>
            </w:r>
            <w:r w:rsidR="003708F8" w:rsidRPr="00851192">
              <w:rPr>
                <w:rFonts w:ascii="Arial" w:hAnsi="Arial" w:cs="Arial"/>
                <w:noProof/>
                <w:webHidden/>
              </w:rPr>
              <w:t>78</w:t>
            </w:r>
            <w:r w:rsidR="003708F8" w:rsidRPr="00851192">
              <w:rPr>
                <w:rFonts w:ascii="Arial" w:hAnsi="Arial" w:cs="Arial"/>
                <w:noProof/>
                <w:webHidden/>
              </w:rPr>
              <w:fldChar w:fldCharType="end"/>
            </w:r>
          </w:hyperlink>
        </w:p>
        <w:p w14:paraId="2BDEA30F" w14:textId="3A4DDAE2" w:rsidR="00916457" w:rsidRPr="00851192" w:rsidRDefault="00DF7255">
          <w:pPr>
            <w:rPr>
              <w:rFonts w:ascii="Arial" w:hAnsi="Arial" w:cs="Arial"/>
            </w:rPr>
          </w:pPr>
          <w:r w:rsidRPr="00851192">
            <w:rPr>
              <w:rFonts w:ascii="Arial" w:hAnsi="Arial" w:cs="Arial"/>
              <w:b/>
              <w:bCs/>
              <w:noProof/>
            </w:rPr>
            <w:fldChar w:fldCharType="end"/>
          </w:r>
        </w:p>
      </w:sdtContent>
    </w:sdt>
    <w:p w14:paraId="50929F2C" w14:textId="51B42E8F" w:rsidR="002A36B6" w:rsidRPr="00851192" w:rsidRDefault="002A36B6" w:rsidP="00DF7255">
      <w:pPr>
        <w:rPr>
          <w:rFonts w:ascii="Arial" w:hAnsi="Arial" w:cs="Arial"/>
          <w:b/>
          <w:sz w:val="32"/>
        </w:rPr>
      </w:pPr>
    </w:p>
    <w:p w14:paraId="086AF83F" w14:textId="0AC249A1" w:rsidR="005B72E4" w:rsidRPr="00851192" w:rsidRDefault="005B72E4" w:rsidP="00DF7255">
      <w:pPr>
        <w:rPr>
          <w:rFonts w:ascii="Arial" w:hAnsi="Arial" w:cs="Arial"/>
        </w:rPr>
      </w:pPr>
    </w:p>
    <w:p w14:paraId="5A8F5691" w14:textId="47F8D18A" w:rsidR="005B72E4" w:rsidRPr="00851192" w:rsidRDefault="005B72E4" w:rsidP="00DF7255">
      <w:pPr>
        <w:rPr>
          <w:rFonts w:ascii="Arial" w:hAnsi="Arial" w:cs="Arial"/>
        </w:rPr>
      </w:pPr>
    </w:p>
    <w:p w14:paraId="2F8B854F" w14:textId="1685E9F0" w:rsidR="005B72E4" w:rsidRPr="00851192" w:rsidRDefault="005B72E4" w:rsidP="00DF7255">
      <w:pPr>
        <w:rPr>
          <w:rFonts w:ascii="Arial" w:hAnsi="Arial" w:cs="Arial"/>
        </w:rPr>
      </w:pPr>
    </w:p>
    <w:p w14:paraId="2A6C658B" w14:textId="1B8058AB" w:rsidR="005B72E4" w:rsidRPr="00851192" w:rsidRDefault="005B72E4" w:rsidP="00DF7255">
      <w:pPr>
        <w:rPr>
          <w:rFonts w:ascii="Arial" w:hAnsi="Arial" w:cs="Arial"/>
        </w:rPr>
      </w:pPr>
    </w:p>
    <w:p w14:paraId="25D6636D" w14:textId="2CB11521" w:rsidR="005B72E4" w:rsidRPr="00851192" w:rsidRDefault="005B72E4" w:rsidP="00DF7255">
      <w:pPr>
        <w:rPr>
          <w:rFonts w:ascii="Arial" w:hAnsi="Arial" w:cs="Arial"/>
        </w:rPr>
      </w:pPr>
    </w:p>
    <w:p w14:paraId="2084663C" w14:textId="1252DE12" w:rsidR="005B72E4" w:rsidRPr="00851192" w:rsidRDefault="005B72E4" w:rsidP="00DF7255">
      <w:pPr>
        <w:rPr>
          <w:rFonts w:ascii="Arial" w:hAnsi="Arial" w:cs="Arial"/>
        </w:rPr>
      </w:pPr>
    </w:p>
    <w:p w14:paraId="101E1CF4" w14:textId="6E4969E5" w:rsidR="005B72E4" w:rsidRPr="00851192" w:rsidRDefault="005B72E4" w:rsidP="00DF7255">
      <w:pPr>
        <w:rPr>
          <w:rFonts w:ascii="Arial" w:hAnsi="Arial" w:cs="Arial"/>
        </w:rPr>
      </w:pPr>
    </w:p>
    <w:p w14:paraId="11706B4F" w14:textId="20D16595" w:rsidR="005B72E4" w:rsidRPr="00851192" w:rsidRDefault="005B72E4" w:rsidP="00DF7255">
      <w:pPr>
        <w:rPr>
          <w:rFonts w:ascii="Arial" w:hAnsi="Arial" w:cs="Arial"/>
        </w:rPr>
      </w:pPr>
    </w:p>
    <w:p w14:paraId="1C32BB3B" w14:textId="61457F74" w:rsidR="005B72E4" w:rsidRPr="00851192" w:rsidRDefault="005B72E4" w:rsidP="00DF7255">
      <w:pPr>
        <w:rPr>
          <w:rFonts w:ascii="Arial" w:hAnsi="Arial" w:cs="Arial"/>
        </w:rPr>
      </w:pPr>
    </w:p>
    <w:p w14:paraId="423767BF" w14:textId="6293E5B9" w:rsidR="005B72E4" w:rsidRPr="00851192" w:rsidRDefault="005B72E4" w:rsidP="00DF7255">
      <w:pPr>
        <w:rPr>
          <w:rFonts w:ascii="Arial" w:hAnsi="Arial" w:cs="Arial"/>
        </w:rPr>
      </w:pPr>
    </w:p>
    <w:p w14:paraId="5EE0D427" w14:textId="7237D639" w:rsidR="005B72E4" w:rsidRPr="00851192" w:rsidRDefault="005B72E4" w:rsidP="00DF7255">
      <w:pPr>
        <w:rPr>
          <w:rFonts w:ascii="Arial" w:hAnsi="Arial" w:cs="Arial"/>
        </w:rPr>
      </w:pPr>
    </w:p>
    <w:p w14:paraId="632244C9" w14:textId="34B5CB6E" w:rsidR="005B72E4" w:rsidRPr="00851192" w:rsidRDefault="005B72E4" w:rsidP="00DF7255">
      <w:pPr>
        <w:rPr>
          <w:rFonts w:ascii="Arial" w:hAnsi="Arial" w:cs="Arial"/>
        </w:rPr>
      </w:pPr>
    </w:p>
    <w:p w14:paraId="3D4A10D4" w14:textId="5D7474FF" w:rsidR="005B72E4" w:rsidRPr="00851192" w:rsidRDefault="005B72E4" w:rsidP="00DF7255">
      <w:pPr>
        <w:rPr>
          <w:rFonts w:ascii="Arial" w:hAnsi="Arial" w:cs="Arial"/>
        </w:rPr>
      </w:pPr>
    </w:p>
    <w:p w14:paraId="57B94EA0" w14:textId="7B0A30DB" w:rsidR="005B72E4" w:rsidRPr="00851192" w:rsidRDefault="005B72E4" w:rsidP="00DF7255">
      <w:pPr>
        <w:rPr>
          <w:rFonts w:ascii="Arial" w:hAnsi="Arial" w:cs="Arial"/>
        </w:rPr>
      </w:pPr>
    </w:p>
    <w:p w14:paraId="51012E81" w14:textId="3561E8E6" w:rsidR="005B72E4" w:rsidRPr="00851192" w:rsidRDefault="005B72E4" w:rsidP="00DF7255">
      <w:pPr>
        <w:rPr>
          <w:rFonts w:ascii="Arial" w:hAnsi="Arial" w:cs="Arial"/>
        </w:rPr>
      </w:pPr>
    </w:p>
    <w:p w14:paraId="083097D3" w14:textId="4B3D2C14" w:rsidR="005B72E4" w:rsidRPr="00851192" w:rsidRDefault="005B72E4" w:rsidP="00DF7255">
      <w:pPr>
        <w:rPr>
          <w:rFonts w:ascii="Arial" w:hAnsi="Arial" w:cs="Arial"/>
        </w:rPr>
      </w:pPr>
    </w:p>
    <w:p w14:paraId="04D0DE7A" w14:textId="433E2A97" w:rsidR="005B72E4" w:rsidRDefault="005B72E4" w:rsidP="00DF7255">
      <w:pPr>
        <w:rPr>
          <w:rFonts w:ascii="Arial" w:hAnsi="Arial" w:cs="Arial"/>
        </w:rPr>
      </w:pPr>
    </w:p>
    <w:p w14:paraId="42F4CC94" w14:textId="58F6DD22" w:rsidR="001D081F" w:rsidRDefault="001D081F" w:rsidP="00DF7255">
      <w:pPr>
        <w:rPr>
          <w:rFonts w:ascii="Arial" w:hAnsi="Arial" w:cs="Arial"/>
        </w:rPr>
      </w:pPr>
    </w:p>
    <w:p w14:paraId="118E43BC" w14:textId="699C697D" w:rsidR="001D081F" w:rsidRDefault="001D081F" w:rsidP="00DF7255">
      <w:pPr>
        <w:rPr>
          <w:rFonts w:ascii="Arial" w:hAnsi="Arial" w:cs="Arial"/>
        </w:rPr>
      </w:pPr>
    </w:p>
    <w:p w14:paraId="3087D958" w14:textId="77777777" w:rsidR="001D081F" w:rsidRPr="00851192" w:rsidRDefault="001D081F" w:rsidP="00DF7255">
      <w:pPr>
        <w:rPr>
          <w:rFonts w:ascii="Arial" w:hAnsi="Arial" w:cs="Arial"/>
        </w:rPr>
      </w:pPr>
    </w:p>
    <w:p w14:paraId="29A78268" w14:textId="1A42A67A" w:rsidR="005B72E4" w:rsidRPr="00851192" w:rsidRDefault="005B72E4" w:rsidP="00DF7255">
      <w:pPr>
        <w:rPr>
          <w:rFonts w:ascii="Arial" w:hAnsi="Arial" w:cs="Arial"/>
        </w:rPr>
      </w:pPr>
    </w:p>
    <w:p w14:paraId="69EEC722" w14:textId="77777777" w:rsidR="005B72E4" w:rsidRPr="00851192" w:rsidRDefault="005B72E4" w:rsidP="00DF7255">
      <w:pPr>
        <w:rPr>
          <w:rFonts w:ascii="Arial" w:hAnsi="Arial" w:cs="Arial"/>
        </w:rPr>
      </w:pPr>
    </w:p>
    <w:p w14:paraId="596B7A42" w14:textId="4A1971B0" w:rsidR="004006B9" w:rsidRPr="00851192" w:rsidRDefault="0057470C" w:rsidP="00227D25">
      <w:pPr>
        <w:pStyle w:val="Heading1"/>
        <w:rPr>
          <w:rFonts w:ascii="Arial" w:hAnsi="Arial" w:cs="Arial"/>
          <w:b/>
          <w:color w:val="auto"/>
        </w:rPr>
      </w:pPr>
      <w:bookmarkStart w:id="0" w:name="_Toc526434201"/>
      <w:r w:rsidRPr="00851192">
        <w:rPr>
          <w:rFonts w:ascii="Arial" w:hAnsi="Arial" w:cs="Arial"/>
          <w:b/>
          <w:color w:val="auto"/>
        </w:rPr>
        <w:lastRenderedPageBreak/>
        <w:t>List of Tables and Figures</w:t>
      </w:r>
      <w:bookmarkEnd w:id="0"/>
    </w:p>
    <w:p w14:paraId="4D2B5995" w14:textId="77777777" w:rsidR="008229D7" w:rsidRPr="00851192" w:rsidRDefault="008229D7" w:rsidP="008229D7">
      <w:pPr>
        <w:rPr>
          <w:rFonts w:ascii="Arial" w:hAnsi="Arial" w:cs="Arial"/>
          <w:lang w:val="en-US"/>
        </w:rPr>
      </w:pPr>
    </w:p>
    <w:tbl>
      <w:tblPr>
        <w:tblStyle w:val="TableGrid"/>
        <w:tblW w:w="9706" w:type="dxa"/>
        <w:tblLook w:val="04A0" w:firstRow="1" w:lastRow="0" w:firstColumn="1" w:lastColumn="0" w:noHBand="0" w:noVBand="1"/>
      </w:tblPr>
      <w:tblGrid>
        <w:gridCol w:w="1276"/>
        <w:gridCol w:w="7156"/>
        <w:gridCol w:w="1274"/>
      </w:tblGrid>
      <w:tr w:rsidR="0057470C" w:rsidRPr="00851192" w14:paraId="53240405" w14:textId="77777777" w:rsidTr="0057470C">
        <w:trPr>
          <w:trHeight w:val="331"/>
        </w:trPr>
        <w:tc>
          <w:tcPr>
            <w:tcW w:w="1287" w:type="dxa"/>
          </w:tcPr>
          <w:p w14:paraId="34FD160D" w14:textId="4BC90432" w:rsidR="0057470C" w:rsidRPr="00851192" w:rsidRDefault="0057470C">
            <w:pPr>
              <w:rPr>
                <w:rFonts w:ascii="Arial" w:hAnsi="Arial" w:cs="Arial"/>
                <w:b/>
                <w:sz w:val="28"/>
              </w:rPr>
            </w:pPr>
            <w:r w:rsidRPr="00851192">
              <w:rPr>
                <w:rFonts w:ascii="Arial" w:hAnsi="Arial" w:cs="Arial"/>
                <w:b/>
                <w:sz w:val="28"/>
              </w:rPr>
              <w:t>Figure</w:t>
            </w:r>
          </w:p>
        </w:tc>
        <w:tc>
          <w:tcPr>
            <w:tcW w:w="7452" w:type="dxa"/>
          </w:tcPr>
          <w:p w14:paraId="6C43C7DD" w14:textId="024E31CE" w:rsidR="0057470C" w:rsidRPr="00851192" w:rsidRDefault="0057470C">
            <w:pPr>
              <w:rPr>
                <w:rFonts w:ascii="Arial" w:hAnsi="Arial" w:cs="Arial"/>
                <w:b/>
                <w:sz w:val="28"/>
              </w:rPr>
            </w:pPr>
            <w:r w:rsidRPr="00851192">
              <w:rPr>
                <w:rFonts w:ascii="Arial" w:hAnsi="Arial" w:cs="Arial"/>
                <w:b/>
                <w:sz w:val="28"/>
              </w:rPr>
              <w:t>Title</w:t>
            </w:r>
          </w:p>
        </w:tc>
        <w:tc>
          <w:tcPr>
            <w:tcW w:w="967" w:type="dxa"/>
          </w:tcPr>
          <w:p w14:paraId="7F574CA3" w14:textId="767AB5CA" w:rsidR="0057470C" w:rsidRPr="00851192" w:rsidRDefault="0057470C">
            <w:pPr>
              <w:rPr>
                <w:rFonts w:ascii="Arial" w:hAnsi="Arial" w:cs="Arial"/>
                <w:b/>
                <w:sz w:val="28"/>
              </w:rPr>
            </w:pPr>
            <w:r w:rsidRPr="00851192">
              <w:rPr>
                <w:rFonts w:ascii="Arial" w:hAnsi="Arial" w:cs="Arial"/>
                <w:b/>
                <w:sz w:val="28"/>
              </w:rPr>
              <w:t>Page Number</w:t>
            </w:r>
          </w:p>
        </w:tc>
      </w:tr>
      <w:tr w:rsidR="0057470C" w:rsidRPr="00851192" w14:paraId="612FD36F" w14:textId="0BCA118A" w:rsidTr="0057470C">
        <w:trPr>
          <w:trHeight w:val="331"/>
        </w:trPr>
        <w:tc>
          <w:tcPr>
            <w:tcW w:w="1287" w:type="dxa"/>
          </w:tcPr>
          <w:p w14:paraId="580B032E" w14:textId="5BE072E1" w:rsidR="0057470C" w:rsidRPr="00851192" w:rsidRDefault="0057470C">
            <w:pPr>
              <w:rPr>
                <w:rFonts w:ascii="Arial" w:hAnsi="Arial" w:cs="Arial"/>
                <w:b/>
              </w:rPr>
            </w:pPr>
            <w:r w:rsidRPr="00851192">
              <w:rPr>
                <w:rFonts w:ascii="Arial" w:hAnsi="Arial" w:cs="Arial"/>
                <w:b/>
              </w:rPr>
              <w:t>Figure 2</w:t>
            </w:r>
          </w:p>
        </w:tc>
        <w:tc>
          <w:tcPr>
            <w:tcW w:w="7452" w:type="dxa"/>
          </w:tcPr>
          <w:p w14:paraId="3985E85C" w14:textId="35FF0651" w:rsidR="0057470C" w:rsidRPr="00851192" w:rsidRDefault="0057470C">
            <w:pPr>
              <w:rPr>
                <w:rFonts w:ascii="Arial" w:hAnsi="Arial" w:cs="Arial"/>
                <w:b/>
                <w:u w:val="single"/>
              </w:rPr>
            </w:pPr>
            <w:r w:rsidRPr="00851192">
              <w:rPr>
                <w:rFonts w:ascii="Arial" w:hAnsi="Arial" w:cs="Arial"/>
              </w:rPr>
              <w:t xml:space="preserve">Pyramid of </w:t>
            </w:r>
            <w:r w:rsidR="00E91C68" w:rsidRPr="00851192">
              <w:rPr>
                <w:rFonts w:ascii="Arial" w:hAnsi="Arial" w:cs="Arial"/>
              </w:rPr>
              <w:t>C</w:t>
            </w:r>
            <w:r w:rsidRPr="00851192">
              <w:rPr>
                <w:rFonts w:ascii="Arial" w:hAnsi="Arial" w:cs="Arial"/>
              </w:rPr>
              <w:t xml:space="preserve">orporate </w:t>
            </w:r>
            <w:r w:rsidR="00E91C68" w:rsidRPr="00851192">
              <w:rPr>
                <w:rFonts w:ascii="Arial" w:hAnsi="Arial" w:cs="Arial"/>
              </w:rPr>
              <w:t>S</w:t>
            </w:r>
            <w:r w:rsidRPr="00851192">
              <w:rPr>
                <w:rFonts w:ascii="Arial" w:hAnsi="Arial" w:cs="Arial"/>
              </w:rPr>
              <w:t xml:space="preserve">ocial </w:t>
            </w:r>
            <w:r w:rsidR="00E91C68" w:rsidRPr="00851192">
              <w:rPr>
                <w:rFonts w:ascii="Arial" w:hAnsi="Arial" w:cs="Arial"/>
              </w:rPr>
              <w:t>R</w:t>
            </w:r>
            <w:r w:rsidRPr="00851192">
              <w:rPr>
                <w:rFonts w:ascii="Arial" w:hAnsi="Arial" w:cs="Arial"/>
              </w:rPr>
              <w:t>esponsibility</w:t>
            </w:r>
          </w:p>
        </w:tc>
        <w:tc>
          <w:tcPr>
            <w:tcW w:w="967" w:type="dxa"/>
          </w:tcPr>
          <w:p w14:paraId="620F94D3" w14:textId="29CD69C4" w:rsidR="0057470C" w:rsidRPr="00851192" w:rsidRDefault="00A008C4" w:rsidP="00B23C90">
            <w:pPr>
              <w:jc w:val="center"/>
              <w:rPr>
                <w:rFonts w:ascii="Arial" w:hAnsi="Arial" w:cs="Arial"/>
                <w:b/>
              </w:rPr>
            </w:pPr>
            <w:r w:rsidRPr="00851192">
              <w:rPr>
                <w:rFonts w:ascii="Arial" w:hAnsi="Arial" w:cs="Arial"/>
                <w:b/>
              </w:rPr>
              <w:t>15</w:t>
            </w:r>
          </w:p>
        </w:tc>
      </w:tr>
      <w:tr w:rsidR="0057470C" w:rsidRPr="00851192" w14:paraId="1F568B6F" w14:textId="038D064A" w:rsidTr="0057470C">
        <w:trPr>
          <w:trHeight w:val="264"/>
        </w:trPr>
        <w:tc>
          <w:tcPr>
            <w:tcW w:w="1287" w:type="dxa"/>
          </w:tcPr>
          <w:p w14:paraId="02CF2424" w14:textId="63B82E34" w:rsidR="0057470C" w:rsidRPr="00851192" w:rsidRDefault="0057470C">
            <w:pPr>
              <w:rPr>
                <w:rFonts w:ascii="Arial" w:hAnsi="Arial" w:cs="Arial"/>
                <w:b/>
              </w:rPr>
            </w:pPr>
            <w:r w:rsidRPr="00851192">
              <w:rPr>
                <w:rFonts w:ascii="Arial" w:hAnsi="Arial" w:cs="Arial"/>
                <w:b/>
              </w:rPr>
              <w:t>Figure 2.1</w:t>
            </w:r>
          </w:p>
        </w:tc>
        <w:tc>
          <w:tcPr>
            <w:tcW w:w="7452" w:type="dxa"/>
          </w:tcPr>
          <w:p w14:paraId="5FAA323F" w14:textId="7D79A06C" w:rsidR="0057470C" w:rsidRPr="00851192" w:rsidRDefault="0057470C">
            <w:pPr>
              <w:rPr>
                <w:rFonts w:ascii="Arial" w:hAnsi="Arial" w:cs="Arial"/>
                <w:b/>
                <w:u w:val="single"/>
              </w:rPr>
            </w:pPr>
            <w:r w:rsidRPr="00851192">
              <w:rPr>
                <w:rFonts w:ascii="Arial" w:hAnsi="Arial" w:cs="Arial"/>
              </w:rPr>
              <w:t xml:space="preserve">Adapted </w:t>
            </w:r>
            <w:r w:rsidR="00E91C68" w:rsidRPr="00851192">
              <w:rPr>
                <w:rFonts w:ascii="Arial" w:hAnsi="Arial" w:cs="Arial"/>
              </w:rPr>
              <w:t>S</w:t>
            </w:r>
            <w:r w:rsidRPr="00851192">
              <w:rPr>
                <w:rFonts w:ascii="Arial" w:hAnsi="Arial" w:cs="Arial"/>
              </w:rPr>
              <w:t xml:space="preserve">takeholder </w:t>
            </w:r>
            <w:r w:rsidR="00E91C68" w:rsidRPr="00851192">
              <w:rPr>
                <w:rFonts w:ascii="Arial" w:hAnsi="Arial" w:cs="Arial"/>
              </w:rPr>
              <w:t>M</w:t>
            </w:r>
            <w:r w:rsidRPr="00851192">
              <w:rPr>
                <w:rFonts w:ascii="Arial" w:hAnsi="Arial" w:cs="Arial"/>
              </w:rPr>
              <w:t>ap</w:t>
            </w:r>
          </w:p>
        </w:tc>
        <w:tc>
          <w:tcPr>
            <w:tcW w:w="967" w:type="dxa"/>
          </w:tcPr>
          <w:p w14:paraId="5436E57A" w14:textId="0BC4B366" w:rsidR="0057470C" w:rsidRPr="00851192" w:rsidRDefault="00A008C4" w:rsidP="00B23C90">
            <w:pPr>
              <w:jc w:val="center"/>
              <w:rPr>
                <w:rFonts w:ascii="Arial" w:hAnsi="Arial" w:cs="Arial"/>
                <w:b/>
              </w:rPr>
            </w:pPr>
            <w:r w:rsidRPr="00851192">
              <w:rPr>
                <w:rFonts w:ascii="Arial" w:hAnsi="Arial" w:cs="Arial"/>
                <w:b/>
              </w:rPr>
              <w:t>16</w:t>
            </w:r>
          </w:p>
        </w:tc>
      </w:tr>
      <w:tr w:rsidR="0057470C" w:rsidRPr="00851192" w14:paraId="1120BD1C" w14:textId="15AD3CAA" w:rsidTr="0057470C">
        <w:trPr>
          <w:trHeight w:val="299"/>
        </w:trPr>
        <w:tc>
          <w:tcPr>
            <w:tcW w:w="1287" w:type="dxa"/>
          </w:tcPr>
          <w:p w14:paraId="562FE50F" w14:textId="1DBA6F6A" w:rsidR="0057470C" w:rsidRPr="00851192" w:rsidRDefault="0057470C">
            <w:pPr>
              <w:rPr>
                <w:rFonts w:ascii="Arial" w:hAnsi="Arial" w:cs="Arial"/>
                <w:b/>
              </w:rPr>
            </w:pPr>
            <w:r w:rsidRPr="00851192">
              <w:rPr>
                <w:rFonts w:ascii="Arial" w:hAnsi="Arial" w:cs="Arial"/>
                <w:b/>
              </w:rPr>
              <w:t>Figure 2.2</w:t>
            </w:r>
          </w:p>
        </w:tc>
        <w:tc>
          <w:tcPr>
            <w:tcW w:w="7452" w:type="dxa"/>
          </w:tcPr>
          <w:p w14:paraId="06735216" w14:textId="7093945B" w:rsidR="0057470C" w:rsidRPr="00851192" w:rsidRDefault="0057470C">
            <w:pPr>
              <w:rPr>
                <w:rFonts w:ascii="Arial" w:hAnsi="Arial" w:cs="Arial"/>
                <w:b/>
                <w:u w:val="single"/>
              </w:rPr>
            </w:pPr>
            <w:r w:rsidRPr="00851192">
              <w:rPr>
                <w:rFonts w:ascii="Arial" w:hAnsi="Arial" w:cs="Arial"/>
                <w:noProof/>
              </w:rPr>
              <w:t>Six dimensions of CSR management</w:t>
            </w:r>
          </w:p>
        </w:tc>
        <w:tc>
          <w:tcPr>
            <w:tcW w:w="967" w:type="dxa"/>
          </w:tcPr>
          <w:p w14:paraId="31FD024D" w14:textId="1E7F07C1" w:rsidR="0057470C" w:rsidRPr="00851192" w:rsidRDefault="00A008C4" w:rsidP="00B23C90">
            <w:pPr>
              <w:jc w:val="center"/>
              <w:rPr>
                <w:rFonts w:ascii="Arial" w:hAnsi="Arial" w:cs="Arial"/>
                <w:b/>
                <w:noProof/>
              </w:rPr>
            </w:pPr>
            <w:r w:rsidRPr="00851192">
              <w:rPr>
                <w:rFonts w:ascii="Arial" w:hAnsi="Arial" w:cs="Arial"/>
                <w:b/>
                <w:noProof/>
              </w:rPr>
              <w:t>18</w:t>
            </w:r>
          </w:p>
        </w:tc>
      </w:tr>
      <w:tr w:rsidR="0057470C" w:rsidRPr="00851192" w14:paraId="56EF397D" w14:textId="188195C2" w:rsidTr="0057470C">
        <w:trPr>
          <w:trHeight w:val="289"/>
        </w:trPr>
        <w:tc>
          <w:tcPr>
            <w:tcW w:w="1287" w:type="dxa"/>
          </w:tcPr>
          <w:p w14:paraId="3003879B" w14:textId="13B7B224" w:rsidR="0057470C" w:rsidRPr="00851192" w:rsidRDefault="0057470C">
            <w:pPr>
              <w:rPr>
                <w:rFonts w:ascii="Arial" w:hAnsi="Arial" w:cs="Arial"/>
                <w:b/>
              </w:rPr>
            </w:pPr>
            <w:r w:rsidRPr="00851192">
              <w:rPr>
                <w:rFonts w:ascii="Arial" w:hAnsi="Arial" w:cs="Arial"/>
                <w:b/>
              </w:rPr>
              <w:t>Figure 2.3</w:t>
            </w:r>
          </w:p>
        </w:tc>
        <w:tc>
          <w:tcPr>
            <w:tcW w:w="7452" w:type="dxa"/>
          </w:tcPr>
          <w:p w14:paraId="12761423" w14:textId="63B3E85E" w:rsidR="0057470C" w:rsidRPr="00851192" w:rsidRDefault="0057470C">
            <w:pPr>
              <w:rPr>
                <w:rFonts w:ascii="Arial" w:hAnsi="Arial" w:cs="Arial"/>
                <w:b/>
                <w:u w:val="single"/>
              </w:rPr>
            </w:pPr>
            <w:r w:rsidRPr="00851192">
              <w:rPr>
                <w:rFonts w:ascii="Arial" w:hAnsi="Arial" w:cs="Arial"/>
              </w:rPr>
              <w:t>A conceptual model for CSR communication</w:t>
            </w:r>
          </w:p>
        </w:tc>
        <w:tc>
          <w:tcPr>
            <w:tcW w:w="967" w:type="dxa"/>
          </w:tcPr>
          <w:p w14:paraId="3E5AE24F" w14:textId="1A1430E9" w:rsidR="0057470C" w:rsidRPr="00851192" w:rsidRDefault="00A008C4" w:rsidP="00B23C90">
            <w:pPr>
              <w:jc w:val="center"/>
              <w:rPr>
                <w:rFonts w:ascii="Arial" w:hAnsi="Arial" w:cs="Arial"/>
                <w:b/>
              </w:rPr>
            </w:pPr>
            <w:r w:rsidRPr="00851192">
              <w:rPr>
                <w:rFonts w:ascii="Arial" w:hAnsi="Arial" w:cs="Arial"/>
                <w:b/>
              </w:rPr>
              <w:t>23</w:t>
            </w:r>
          </w:p>
        </w:tc>
      </w:tr>
      <w:tr w:rsidR="0057470C" w:rsidRPr="00851192" w14:paraId="72B05B7A" w14:textId="46B4613B" w:rsidTr="0057470C">
        <w:trPr>
          <w:trHeight w:val="337"/>
        </w:trPr>
        <w:tc>
          <w:tcPr>
            <w:tcW w:w="1287" w:type="dxa"/>
          </w:tcPr>
          <w:p w14:paraId="327D41C9" w14:textId="148ACD14" w:rsidR="0057470C" w:rsidRPr="00851192" w:rsidRDefault="00E91C68">
            <w:pPr>
              <w:rPr>
                <w:rFonts w:ascii="Arial" w:hAnsi="Arial" w:cs="Arial"/>
                <w:b/>
              </w:rPr>
            </w:pPr>
            <w:r w:rsidRPr="00851192">
              <w:rPr>
                <w:rFonts w:ascii="Arial" w:hAnsi="Arial" w:cs="Arial"/>
                <w:b/>
              </w:rPr>
              <w:t>Figure</w:t>
            </w:r>
            <w:r w:rsidR="0057470C" w:rsidRPr="00851192">
              <w:rPr>
                <w:rFonts w:ascii="Arial" w:hAnsi="Arial" w:cs="Arial"/>
                <w:b/>
              </w:rPr>
              <w:t xml:space="preserve"> 3</w:t>
            </w:r>
          </w:p>
        </w:tc>
        <w:tc>
          <w:tcPr>
            <w:tcW w:w="7452" w:type="dxa"/>
          </w:tcPr>
          <w:p w14:paraId="0A51798A" w14:textId="589B74E6" w:rsidR="0057470C" w:rsidRPr="00851192" w:rsidRDefault="004006B9">
            <w:pPr>
              <w:rPr>
                <w:rFonts w:ascii="Arial" w:hAnsi="Arial" w:cs="Arial"/>
              </w:rPr>
            </w:pPr>
            <w:r w:rsidRPr="00851192">
              <w:rPr>
                <w:rFonts w:ascii="Arial" w:hAnsi="Arial" w:cs="Arial"/>
              </w:rPr>
              <w:t>The Research Onion</w:t>
            </w:r>
          </w:p>
        </w:tc>
        <w:tc>
          <w:tcPr>
            <w:tcW w:w="967" w:type="dxa"/>
          </w:tcPr>
          <w:p w14:paraId="1102F1CC" w14:textId="51523624" w:rsidR="0057470C" w:rsidRPr="00851192" w:rsidRDefault="003708F8" w:rsidP="00B23C90">
            <w:pPr>
              <w:jc w:val="center"/>
              <w:rPr>
                <w:rFonts w:ascii="Arial" w:hAnsi="Arial" w:cs="Arial"/>
                <w:b/>
              </w:rPr>
            </w:pPr>
            <w:r w:rsidRPr="00851192">
              <w:rPr>
                <w:rFonts w:ascii="Arial" w:hAnsi="Arial" w:cs="Arial"/>
                <w:b/>
              </w:rPr>
              <w:t>30</w:t>
            </w:r>
          </w:p>
        </w:tc>
      </w:tr>
      <w:tr w:rsidR="00E91C68" w:rsidRPr="00851192" w14:paraId="320F7FD1" w14:textId="77777777" w:rsidTr="0057470C">
        <w:trPr>
          <w:trHeight w:val="337"/>
        </w:trPr>
        <w:tc>
          <w:tcPr>
            <w:tcW w:w="1287" w:type="dxa"/>
          </w:tcPr>
          <w:p w14:paraId="653CF635" w14:textId="523822B6" w:rsidR="00E91C68" w:rsidRPr="00851192" w:rsidRDefault="00E91C68">
            <w:pPr>
              <w:rPr>
                <w:rFonts w:ascii="Arial" w:hAnsi="Arial" w:cs="Arial"/>
                <w:b/>
              </w:rPr>
            </w:pPr>
            <w:r w:rsidRPr="00851192">
              <w:rPr>
                <w:rFonts w:ascii="Arial" w:hAnsi="Arial" w:cs="Arial"/>
                <w:b/>
              </w:rPr>
              <w:t>Figure 3.</w:t>
            </w:r>
            <w:r w:rsidR="003708F8" w:rsidRPr="00851192">
              <w:rPr>
                <w:rFonts w:ascii="Arial" w:hAnsi="Arial" w:cs="Arial"/>
                <w:b/>
              </w:rPr>
              <w:t>1</w:t>
            </w:r>
          </w:p>
        </w:tc>
        <w:tc>
          <w:tcPr>
            <w:tcW w:w="7452" w:type="dxa"/>
          </w:tcPr>
          <w:p w14:paraId="6EBE3382" w14:textId="38BD6683" w:rsidR="00E91C68" w:rsidRPr="00851192" w:rsidRDefault="00E91C68">
            <w:pPr>
              <w:rPr>
                <w:rFonts w:ascii="Arial" w:hAnsi="Arial" w:cs="Arial"/>
              </w:rPr>
            </w:pPr>
            <w:r w:rsidRPr="00851192">
              <w:rPr>
                <w:rFonts w:ascii="Arial" w:hAnsi="Arial" w:cs="Arial"/>
              </w:rPr>
              <w:t>The Ethical Framework</w:t>
            </w:r>
          </w:p>
        </w:tc>
        <w:tc>
          <w:tcPr>
            <w:tcW w:w="967" w:type="dxa"/>
          </w:tcPr>
          <w:p w14:paraId="11CAF46C" w14:textId="22644C2C" w:rsidR="00E91C68" w:rsidRPr="00851192" w:rsidRDefault="003708F8" w:rsidP="00B23C90">
            <w:pPr>
              <w:jc w:val="center"/>
              <w:rPr>
                <w:rFonts w:ascii="Arial" w:hAnsi="Arial" w:cs="Arial"/>
                <w:b/>
              </w:rPr>
            </w:pPr>
            <w:r w:rsidRPr="00851192">
              <w:rPr>
                <w:rFonts w:ascii="Arial" w:hAnsi="Arial" w:cs="Arial"/>
                <w:b/>
              </w:rPr>
              <w:t>35</w:t>
            </w:r>
          </w:p>
        </w:tc>
      </w:tr>
      <w:tr w:rsidR="00874005" w:rsidRPr="00851192" w14:paraId="1CA4959D" w14:textId="77777777" w:rsidTr="0057470C">
        <w:trPr>
          <w:trHeight w:val="337"/>
        </w:trPr>
        <w:tc>
          <w:tcPr>
            <w:tcW w:w="1287" w:type="dxa"/>
          </w:tcPr>
          <w:p w14:paraId="37488092" w14:textId="46029624" w:rsidR="00874005" w:rsidRPr="00851192" w:rsidRDefault="004006B9">
            <w:pPr>
              <w:rPr>
                <w:rFonts w:ascii="Arial" w:hAnsi="Arial" w:cs="Arial"/>
                <w:b/>
              </w:rPr>
            </w:pPr>
            <w:r w:rsidRPr="00851192">
              <w:rPr>
                <w:rFonts w:ascii="Arial" w:hAnsi="Arial" w:cs="Arial"/>
                <w:b/>
              </w:rPr>
              <w:t>Table 4</w:t>
            </w:r>
          </w:p>
        </w:tc>
        <w:tc>
          <w:tcPr>
            <w:tcW w:w="7452" w:type="dxa"/>
          </w:tcPr>
          <w:p w14:paraId="737929CB" w14:textId="191DF0B9" w:rsidR="00874005" w:rsidRPr="00851192" w:rsidRDefault="004006B9">
            <w:pPr>
              <w:rPr>
                <w:rFonts w:ascii="Arial" w:hAnsi="Arial" w:cs="Arial"/>
              </w:rPr>
            </w:pPr>
            <w:r w:rsidRPr="00851192">
              <w:rPr>
                <w:rFonts w:ascii="Arial" w:hAnsi="Arial" w:cs="Arial"/>
              </w:rPr>
              <w:t>Coding Technique to Identify Valued Mark</w:t>
            </w:r>
          </w:p>
        </w:tc>
        <w:tc>
          <w:tcPr>
            <w:tcW w:w="967" w:type="dxa"/>
          </w:tcPr>
          <w:p w14:paraId="0A4538E6" w14:textId="3DFECE3A" w:rsidR="00874005" w:rsidRPr="00851192" w:rsidRDefault="00A008C4" w:rsidP="00B23C90">
            <w:pPr>
              <w:jc w:val="center"/>
              <w:rPr>
                <w:rFonts w:ascii="Arial" w:hAnsi="Arial" w:cs="Arial"/>
                <w:b/>
              </w:rPr>
            </w:pPr>
            <w:r w:rsidRPr="00851192">
              <w:rPr>
                <w:rFonts w:ascii="Arial" w:hAnsi="Arial" w:cs="Arial"/>
                <w:b/>
              </w:rPr>
              <w:t>37</w:t>
            </w:r>
          </w:p>
        </w:tc>
      </w:tr>
      <w:tr w:rsidR="0057470C" w:rsidRPr="00851192" w14:paraId="604009C5" w14:textId="3E32C0B2" w:rsidTr="002A36B6">
        <w:trPr>
          <w:trHeight w:val="313"/>
        </w:trPr>
        <w:tc>
          <w:tcPr>
            <w:tcW w:w="1287" w:type="dxa"/>
          </w:tcPr>
          <w:p w14:paraId="72B247EF" w14:textId="7A5BA7BB" w:rsidR="0057470C" w:rsidRPr="00851192" w:rsidRDefault="002A36B6">
            <w:pPr>
              <w:rPr>
                <w:rFonts w:ascii="Arial" w:hAnsi="Arial" w:cs="Arial"/>
                <w:b/>
              </w:rPr>
            </w:pPr>
            <w:r w:rsidRPr="00851192">
              <w:rPr>
                <w:rFonts w:ascii="Arial" w:hAnsi="Arial" w:cs="Arial"/>
                <w:b/>
              </w:rPr>
              <w:t>Table 4</w:t>
            </w:r>
            <w:r w:rsidR="004006B9" w:rsidRPr="00851192">
              <w:rPr>
                <w:rFonts w:ascii="Arial" w:hAnsi="Arial" w:cs="Arial"/>
                <w:b/>
              </w:rPr>
              <w:t>.1</w:t>
            </w:r>
          </w:p>
        </w:tc>
        <w:tc>
          <w:tcPr>
            <w:tcW w:w="7452" w:type="dxa"/>
          </w:tcPr>
          <w:p w14:paraId="3C7E9C54" w14:textId="4147CB69" w:rsidR="0057470C" w:rsidRPr="00851192" w:rsidRDefault="002A36B6">
            <w:pPr>
              <w:rPr>
                <w:rFonts w:ascii="Arial" w:hAnsi="Arial" w:cs="Arial"/>
              </w:rPr>
            </w:pPr>
            <w:r w:rsidRPr="00851192">
              <w:rPr>
                <w:rFonts w:ascii="Arial" w:hAnsi="Arial" w:cs="Arial"/>
              </w:rPr>
              <w:t>Corporate Social Responsibility Measurement Scale and Mark</w:t>
            </w:r>
          </w:p>
        </w:tc>
        <w:tc>
          <w:tcPr>
            <w:tcW w:w="967" w:type="dxa"/>
          </w:tcPr>
          <w:p w14:paraId="3C174C7F" w14:textId="2200982E" w:rsidR="0057470C" w:rsidRPr="00851192" w:rsidRDefault="00A008C4" w:rsidP="00B23C90">
            <w:pPr>
              <w:jc w:val="center"/>
              <w:rPr>
                <w:rFonts w:ascii="Arial" w:hAnsi="Arial" w:cs="Arial"/>
                <w:b/>
              </w:rPr>
            </w:pPr>
            <w:r w:rsidRPr="00851192">
              <w:rPr>
                <w:rFonts w:ascii="Arial" w:hAnsi="Arial" w:cs="Arial"/>
                <w:b/>
              </w:rPr>
              <w:t>38</w:t>
            </w:r>
          </w:p>
        </w:tc>
      </w:tr>
      <w:tr w:rsidR="0057470C" w:rsidRPr="00851192" w14:paraId="3EA82F18" w14:textId="48683C69" w:rsidTr="0057470C">
        <w:trPr>
          <w:trHeight w:val="337"/>
        </w:trPr>
        <w:tc>
          <w:tcPr>
            <w:tcW w:w="1287" w:type="dxa"/>
          </w:tcPr>
          <w:p w14:paraId="13C3C0CE" w14:textId="560FDDB5" w:rsidR="0057470C" w:rsidRPr="00851192" w:rsidRDefault="002A36B6">
            <w:pPr>
              <w:rPr>
                <w:rFonts w:ascii="Arial" w:hAnsi="Arial" w:cs="Arial"/>
                <w:b/>
              </w:rPr>
            </w:pPr>
            <w:r w:rsidRPr="00851192">
              <w:rPr>
                <w:rFonts w:ascii="Arial" w:hAnsi="Arial" w:cs="Arial"/>
                <w:b/>
              </w:rPr>
              <w:t>Table 4.</w:t>
            </w:r>
            <w:r w:rsidR="005F4D2A" w:rsidRPr="00851192">
              <w:rPr>
                <w:rFonts w:ascii="Arial" w:hAnsi="Arial" w:cs="Arial"/>
                <w:b/>
              </w:rPr>
              <w:t>2</w:t>
            </w:r>
          </w:p>
        </w:tc>
        <w:tc>
          <w:tcPr>
            <w:tcW w:w="7452" w:type="dxa"/>
          </w:tcPr>
          <w:p w14:paraId="57C86A70" w14:textId="6312E08C" w:rsidR="0057470C" w:rsidRPr="00851192" w:rsidRDefault="005F4D2A">
            <w:pPr>
              <w:rPr>
                <w:rFonts w:ascii="Arial" w:hAnsi="Arial" w:cs="Arial"/>
                <w:b/>
                <w:u w:val="single"/>
              </w:rPr>
            </w:pPr>
            <w:r w:rsidRPr="00851192">
              <w:rPr>
                <w:rFonts w:ascii="Arial" w:hAnsi="Arial" w:cs="Arial"/>
              </w:rPr>
              <w:t>Ethical and Responsible Index Marks against Tata and Prasad’s (2015) Categories of CSR and CSR communication</w:t>
            </w:r>
          </w:p>
        </w:tc>
        <w:tc>
          <w:tcPr>
            <w:tcW w:w="967" w:type="dxa"/>
          </w:tcPr>
          <w:p w14:paraId="61E27457" w14:textId="67A1EE61" w:rsidR="0057470C" w:rsidRPr="00851192" w:rsidRDefault="00A008C4" w:rsidP="00B23C90">
            <w:pPr>
              <w:jc w:val="center"/>
              <w:rPr>
                <w:rFonts w:ascii="Arial" w:hAnsi="Arial" w:cs="Arial"/>
                <w:b/>
              </w:rPr>
            </w:pPr>
            <w:r w:rsidRPr="00851192">
              <w:rPr>
                <w:rFonts w:ascii="Arial" w:hAnsi="Arial" w:cs="Arial"/>
                <w:b/>
              </w:rPr>
              <w:t>40</w:t>
            </w:r>
          </w:p>
        </w:tc>
      </w:tr>
      <w:tr w:rsidR="00BC0411" w:rsidRPr="00851192" w14:paraId="3DC98340" w14:textId="77777777" w:rsidTr="0057470C">
        <w:trPr>
          <w:trHeight w:val="337"/>
        </w:trPr>
        <w:tc>
          <w:tcPr>
            <w:tcW w:w="1287" w:type="dxa"/>
          </w:tcPr>
          <w:p w14:paraId="71F6BA9D" w14:textId="0F67B98C" w:rsidR="00BC0411" w:rsidRPr="00851192" w:rsidRDefault="00BC0411">
            <w:pPr>
              <w:rPr>
                <w:rFonts w:ascii="Arial" w:hAnsi="Arial" w:cs="Arial"/>
                <w:b/>
              </w:rPr>
            </w:pPr>
            <w:r w:rsidRPr="00851192">
              <w:rPr>
                <w:rFonts w:ascii="Arial" w:hAnsi="Arial" w:cs="Arial"/>
                <w:b/>
              </w:rPr>
              <w:t>Figure 4.3</w:t>
            </w:r>
          </w:p>
        </w:tc>
        <w:tc>
          <w:tcPr>
            <w:tcW w:w="7452" w:type="dxa"/>
          </w:tcPr>
          <w:p w14:paraId="2161FAAB" w14:textId="1945EA15" w:rsidR="00BC0411" w:rsidRPr="00851192" w:rsidRDefault="00BC0411">
            <w:pPr>
              <w:rPr>
                <w:rFonts w:ascii="Arial" w:hAnsi="Arial" w:cs="Arial"/>
              </w:rPr>
            </w:pPr>
            <w:r w:rsidRPr="00851192">
              <w:rPr>
                <w:rFonts w:ascii="Arial" w:hAnsi="Arial" w:cs="Arial"/>
              </w:rPr>
              <w:t>Correlation Graph of GGO's Marks Awarded</w:t>
            </w:r>
          </w:p>
        </w:tc>
        <w:tc>
          <w:tcPr>
            <w:tcW w:w="967" w:type="dxa"/>
          </w:tcPr>
          <w:p w14:paraId="46DA3FAC" w14:textId="0451C621" w:rsidR="00BC0411" w:rsidRPr="00851192" w:rsidRDefault="00A008C4" w:rsidP="00B23C90">
            <w:pPr>
              <w:jc w:val="center"/>
              <w:rPr>
                <w:rFonts w:ascii="Arial" w:hAnsi="Arial" w:cs="Arial"/>
                <w:b/>
              </w:rPr>
            </w:pPr>
            <w:r w:rsidRPr="00851192">
              <w:rPr>
                <w:rFonts w:ascii="Arial" w:hAnsi="Arial" w:cs="Arial"/>
                <w:b/>
              </w:rPr>
              <w:t>41</w:t>
            </w:r>
          </w:p>
        </w:tc>
      </w:tr>
      <w:tr w:rsidR="0057470C" w:rsidRPr="00851192" w14:paraId="2C4C96D4" w14:textId="6351DEF2" w:rsidTr="0057470C">
        <w:trPr>
          <w:trHeight w:val="337"/>
        </w:trPr>
        <w:tc>
          <w:tcPr>
            <w:tcW w:w="1287" w:type="dxa"/>
          </w:tcPr>
          <w:p w14:paraId="55236E7B" w14:textId="5CF9BB50" w:rsidR="0057470C" w:rsidRPr="00851192" w:rsidRDefault="002A36B6">
            <w:pPr>
              <w:rPr>
                <w:rFonts w:ascii="Arial" w:hAnsi="Arial" w:cs="Arial"/>
                <w:b/>
              </w:rPr>
            </w:pPr>
            <w:r w:rsidRPr="00851192">
              <w:rPr>
                <w:rFonts w:ascii="Arial" w:hAnsi="Arial" w:cs="Arial"/>
                <w:b/>
              </w:rPr>
              <w:t>Table 4.</w:t>
            </w:r>
            <w:r w:rsidR="00BC0411" w:rsidRPr="00851192">
              <w:rPr>
                <w:rFonts w:ascii="Arial" w:hAnsi="Arial" w:cs="Arial"/>
                <w:b/>
              </w:rPr>
              <w:t>4</w:t>
            </w:r>
          </w:p>
        </w:tc>
        <w:tc>
          <w:tcPr>
            <w:tcW w:w="7452" w:type="dxa"/>
          </w:tcPr>
          <w:p w14:paraId="4B523874" w14:textId="6D83BC98" w:rsidR="0057470C" w:rsidRPr="00851192" w:rsidRDefault="002A36B6">
            <w:pPr>
              <w:rPr>
                <w:rFonts w:ascii="Arial" w:hAnsi="Arial" w:cs="Arial"/>
                <w:b/>
                <w:u w:val="single"/>
              </w:rPr>
            </w:pPr>
            <w:r w:rsidRPr="00851192">
              <w:rPr>
                <w:rFonts w:ascii="Arial" w:hAnsi="Arial" w:cs="Arial"/>
              </w:rPr>
              <w:t>Categories for Voluntary Responsible Internet Gaming Information</w:t>
            </w:r>
          </w:p>
        </w:tc>
        <w:tc>
          <w:tcPr>
            <w:tcW w:w="967" w:type="dxa"/>
          </w:tcPr>
          <w:p w14:paraId="56E2C733" w14:textId="09E42AE0" w:rsidR="0057470C" w:rsidRPr="00851192" w:rsidRDefault="00A008C4" w:rsidP="00B23C90">
            <w:pPr>
              <w:jc w:val="center"/>
              <w:rPr>
                <w:rFonts w:ascii="Arial" w:hAnsi="Arial" w:cs="Arial"/>
                <w:b/>
              </w:rPr>
            </w:pPr>
            <w:r w:rsidRPr="00851192">
              <w:rPr>
                <w:rFonts w:ascii="Arial" w:hAnsi="Arial" w:cs="Arial"/>
                <w:b/>
              </w:rPr>
              <w:t>45</w:t>
            </w:r>
          </w:p>
        </w:tc>
      </w:tr>
      <w:tr w:rsidR="00BC0411" w:rsidRPr="00851192" w14:paraId="335B616C" w14:textId="77777777" w:rsidTr="0057470C">
        <w:trPr>
          <w:trHeight w:val="337"/>
        </w:trPr>
        <w:tc>
          <w:tcPr>
            <w:tcW w:w="1287" w:type="dxa"/>
          </w:tcPr>
          <w:p w14:paraId="2D36B2B3" w14:textId="6D266CBC" w:rsidR="00BC0411" w:rsidRPr="00851192" w:rsidRDefault="00BC0411">
            <w:pPr>
              <w:rPr>
                <w:rFonts w:ascii="Arial" w:hAnsi="Arial" w:cs="Arial"/>
                <w:b/>
              </w:rPr>
            </w:pPr>
            <w:r w:rsidRPr="00851192">
              <w:rPr>
                <w:rFonts w:ascii="Arial" w:hAnsi="Arial" w:cs="Arial"/>
                <w:b/>
              </w:rPr>
              <w:t>Figure 4.5</w:t>
            </w:r>
          </w:p>
        </w:tc>
        <w:tc>
          <w:tcPr>
            <w:tcW w:w="7452" w:type="dxa"/>
          </w:tcPr>
          <w:p w14:paraId="267244E3" w14:textId="43F9D700" w:rsidR="00BC0411" w:rsidRPr="00851192" w:rsidRDefault="00BC0411">
            <w:pPr>
              <w:rPr>
                <w:rFonts w:ascii="Arial" w:hAnsi="Arial" w:cs="Arial"/>
              </w:rPr>
            </w:pPr>
            <w:r w:rsidRPr="00851192">
              <w:rPr>
                <w:rFonts w:ascii="Arial" w:hAnsi="Arial" w:cs="Arial"/>
              </w:rPr>
              <w:t>Question One</w:t>
            </w:r>
            <w:r w:rsidR="009B2ED7" w:rsidRPr="00851192">
              <w:rPr>
                <w:rFonts w:ascii="Arial" w:hAnsi="Arial" w:cs="Arial"/>
              </w:rPr>
              <w:t xml:space="preserve"> Analysis</w:t>
            </w:r>
          </w:p>
        </w:tc>
        <w:tc>
          <w:tcPr>
            <w:tcW w:w="967" w:type="dxa"/>
          </w:tcPr>
          <w:p w14:paraId="08C9735D" w14:textId="6685E781" w:rsidR="00BC0411" w:rsidRPr="00851192" w:rsidRDefault="00A008C4" w:rsidP="00B23C90">
            <w:pPr>
              <w:jc w:val="center"/>
              <w:rPr>
                <w:rFonts w:ascii="Arial" w:hAnsi="Arial" w:cs="Arial"/>
                <w:b/>
              </w:rPr>
            </w:pPr>
            <w:r w:rsidRPr="00851192">
              <w:rPr>
                <w:rFonts w:ascii="Arial" w:hAnsi="Arial" w:cs="Arial"/>
                <w:b/>
              </w:rPr>
              <w:t>51</w:t>
            </w:r>
          </w:p>
        </w:tc>
      </w:tr>
      <w:tr w:rsidR="00A67E7E" w:rsidRPr="00851192" w14:paraId="04CCE260" w14:textId="77777777" w:rsidTr="0057470C">
        <w:trPr>
          <w:trHeight w:val="337"/>
        </w:trPr>
        <w:tc>
          <w:tcPr>
            <w:tcW w:w="1287" w:type="dxa"/>
          </w:tcPr>
          <w:p w14:paraId="0B7EDF1B" w14:textId="43E3139A" w:rsidR="00A67E7E" w:rsidRPr="00851192" w:rsidRDefault="00A67E7E">
            <w:pPr>
              <w:rPr>
                <w:rFonts w:ascii="Arial" w:hAnsi="Arial" w:cs="Arial"/>
                <w:b/>
              </w:rPr>
            </w:pPr>
            <w:r w:rsidRPr="00851192">
              <w:rPr>
                <w:rFonts w:ascii="Arial" w:hAnsi="Arial" w:cs="Arial"/>
                <w:b/>
              </w:rPr>
              <w:t>Figure 4.</w:t>
            </w:r>
            <w:r w:rsidR="00BC0411" w:rsidRPr="00851192">
              <w:rPr>
                <w:rFonts w:ascii="Arial" w:hAnsi="Arial" w:cs="Arial"/>
                <w:b/>
              </w:rPr>
              <w:t>6</w:t>
            </w:r>
          </w:p>
        </w:tc>
        <w:tc>
          <w:tcPr>
            <w:tcW w:w="7452" w:type="dxa"/>
          </w:tcPr>
          <w:p w14:paraId="1D41D34C" w14:textId="6D4E153B" w:rsidR="00A67E7E" w:rsidRPr="00851192" w:rsidRDefault="00BC0411">
            <w:pPr>
              <w:rPr>
                <w:rFonts w:ascii="Arial" w:hAnsi="Arial" w:cs="Arial"/>
              </w:rPr>
            </w:pPr>
            <w:r w:rsidRPr="00851192">
              <w:rPr>
                <w:rFonts w:ascii="Arial" w:hAnsi="Arial" w:cs="Arial"/>
              </w:rPr>
              <w:t xml:space="preserve">Question Two </w:t>
            </w:r>
            <w:r w:rsidR="00A67E7E" w:rsidRPr="00851192">
              <w:rPr>
                <w:rFonts w:ascii="Arial" w:hAnsi="Arial" w:cs="Arial"/>
              </w:rPr>
              <w:t>Geographical Location of Participants</w:t>
            </w:r>
          </w:p>
        </w:tc>
        <w:tc>
          <w:tcPr>
            <w:tcW w:w="967" w:type="dxa"/>
          </w:tcPr>
          <w:p w14:paraId="0153BED7" w14:textId="71795321" w:rsidR="00A67E7E" w:rsidRPr="00851192" w:rsidRDefault="00A008C4" w:rsidP="00B23C90">
            <w:pPr>
              <w:jc w:val="center"/>
              <w:rPr>
                <w:rFonts w:ascii="Arial" w:hAnsi="Arial" w:cs="Arial"/>
                <w:b/>
              </w:rPr>
            </w:pPr>
            <w:r w:rsidRPr="00851192">
              <w:rPr>
                <w:rFonts w:ascii="Arial" w:hAnsi="Arial" w:cs="Arial"/>
                <w:b/>
              </w:rPr>
              <w:t>52</w:t>
            </w:r>
          </w:p>
        </w:tc>
      </w:tr>
      <w:tr w:rsidR="009B2ED7" w:rsidRPr="00851192" w14:paraId="1204044E" w14:textId="77777777" w:rsidTr="0057470C">
        <w:trPr>
          <w:trHeight w:val="337"/>
        </w:trPr>
        <w:tc>
          <w:tcPr>
            <w:tcW w:w="1287" w:type="dxa"/>
          </w:tcPr>
          <w:p w14:paraId="58F719D3" w14:textId="1D06F8C8" w:rsidR="009B2ED7" w:rsidRPr="00851192" w:rsidRDefault="009B2ED7">
            <w:pPr>
              <w:rPr>
                <w:rFonts w:ascii="Arial" w:hAnsi="Arial" w:cs="Arial"/>
                <w:b/>
              </w:rPr>
            </w:pPr>
            <w:r w:rsidRPr="00851192">
              <w:rPr>
                <w:rFonts w:ascii="Arial" w:hAnsi="Arial" w:cs="Arial"/>
                <w:b/>
              </w:rPr>
              <w:t>Figure 4.7</w:t>
            </w:r>
          </w:p>
        </w:tc>
        <w:tc>
          <w:tcPr>
            <w:tcW w:w="7452" w:type="dxa"/>
          </w:tcPr>
          <w:p w14:paraId="1AA6ABFD" w14:textId="2DE84782" w:rsidR="009B2ED7" w:rsidRPr="00851192" w:rsidRDefault="009B2ED7">
            <w:pPr>
              <w:rPr>
                <w:rFonts w:ascii="Arial" w:hAnsi="Arial" w:cs="Arial"/>
              </w:rPr>
            </w:pPr>
            <w:r w:rsidRPr="00851192">
              <w:rPr>
                <w:rFonts w:ascii="Arial" w:hAnsi="Arial" w:cs="Arial"/>
              </w:rPr>
              <w:t>Question Three Analysis</w:t>
            </w:r>
          </w:p>
        </w:tc>
        <w:tc>
          <w:tcPr>
            <w:tcW w:w="967" w:type="dxa"/>
          </w:tcPr>
          <w:p w14:paraId="0720D7D0" w14:textId="2DB8B078" w:rsidR="009B2ED7" w:rsidRPr="00851192" w:rsidRDefault="00A008C4" w:rsidP="00B23C90">
            <w:pPr>
              <w:jc w:val="center"/>
              <w:rPr>
                <w:rFonts w:ascii="Arial" w:hAnsi="Arial" w:cs="Arial"/>
                <w:b/>
              </w:rPr>
            </w:pPr>
            <w:r w:rsidRPr="00851192">
              <w:rPr>
                <w:rFonts w:ascii="Arial" w:hAnsi="Arial" w:cs="Arial"/>
                <w:b/>
              </w:rPr>
              <w:t>53</w:t>
            </w:r>
          </w:p>
        </w:tc>
      </w:tr>
      <w:tr w:rsidR="009B2ED7" w:rsidRPr="00851192" w14:paraId="7C5BA01C" w14:textId="77777777" w:rsidTr="0057470C">
        <w:trPr>
          <w:trHeight w:val="337"/>
        </w:trPr>
        <w:tc>
          <w:tcPr>
            <w:tcW w:w="1287" w:type="dxa"/>
          </w:tcPr>
          <w:p w14:paraId="31B1D212" w14:textId="4AC2BEA4" w:rsidR="009B2ED7" w:rsidRPr="00851192" w:rsidRDefault="009B2ED7">
            <w:pPr>
              <w:rPr>
                <w:rFonts w:ascii="Arial" w:hAnsi="Arial" w:cs="Arial"/>
                <w:b/>
              </w:rPr>
            </w:pPr>
            <w:r w:rsidRPr="00851192">
              <w:rPr>
                <w:rFonts w:ascii="Arial" w:hAnsi="Arial" w:cs="Arial"/>
                <w:b/>
              </w:rPr>
              <w:t>Figure 4.8</w:t>
            </w:r>
          </w:p>
        </w:tc>
        <w:tc>
          <w:tcPr>
            <w:tcW w:w="7452" w:type="dxa"/>
          </w:tcPr>
          <w:p w14:paraId="0DD4D4F5" w14:textId="25B6106D" w:rsidR="009B2ED7" w:rsidRPr="00851192" w:rsidRDefault="009B2ED7">
            <w:pPr>
              <w:rPr>
                <w:rFonts w:ascii="Arial" w:hAnsi="Arial" w:cs="Arial"/>
              </w:rPr>
            </w:pPr>
            <w:r w:rsidRPr="00851192">
              <w:rPr>
                <w:rFonts w:ascii="Arial" w:hAnsi="Arial" w:cs="Arial"/>
              </w:rPr>
              <w:t>Question Four Analysis</w:t>
            </w:r>
          </w:p>
        </w:tc>
        <w:tc>
          <w:tcPr>
            <w:tcW w:w="967" w:type="dxa"/>
          </w:tcPr>
          <w:p w14:paraId="38FA7B5E" w14:textId="16C77D2F" w:rsidR="009B2ED7" w:rsidRPr="00851192" w:rsidRDefault="00A008C4" w:rsidP="00B23C90">
            <w:pPr>
              <w:jc w:val="center"/>
              <w:rPr>
                <w:rFonts w:ascii="Arial" w:hAnsi="Arial" w:cs="Arial"/>
                <w:b/>
              </w:rPr>
            </w:pPr>
            <w:r w:rsidRPr="00851192">
              <w:rPr>
                <w:rFonts w:ascii="Arial" w:hAnsi="Arial" w:cs="Arial"/>
                <w:b/>
              </w:rPr>
              <w:t>55</w:t>
            </w:r>
          </w:p>
        </w:tc>
      </w:tr>
      <w:tr w:rsidR="009B2ED7" w:rsidRPr="00851192" w14:paraId="1F1BA274" w14:textId="77777777" w:rsidTr="0057470C">
        <w:trPr>
          <w:trHeight w:val="337"/>
        </w:trPr>
        <w:tc>
          <w:tcPr>
            <w:tcW w:w="1287" w:type="dxa"/>
          </w:tcPr>
          <w:p w14:paraId="6AE0EFCA" w14:textId="4B3A8F31" w:rsidR="009B2ED7" w:rsidRPr="00851192" w:rsidRDefault="009B2ED7">
            <w:pPr>
              <w:rPr>
                <w:rFonts w:ascii="Arial" w:hAnsi="Arial" w:cs="Arial"/>
                <w:b/>
              </w:rPr>
            </w:pPr>
            <w:r w:rsidRPr="00851192">
              <w:rPr>
                <w:rFonts w:ascii="Arial" w:hAnsi="Arial" w:cs="Arial"/>
                <w:b/>
              </w:rPr>
              <w:t>Figure 4.9</w:t>
            </w:r>
          </w:p>
        </w:tc>
        <w:tc>
          <w:tcPr>
            <w:tcW w:w="7452" w:type="dxa"/>
          </w:tcPr>
          <w:p w14:paraId="525C0C4C" w14:textId="4EE2DB5E" w:rsidR="009B2ED7" w:rsidRPr="00851192" w:rsidRDefault="009B2ED7">
            <w:pPr>
              <w:rPr>
                <w:rFonts w:ascii="Arial" w:hAnsi="Arial" w:cs="Arial"/>
              </w:rPr>
            </w:pPr>
            <w:r w:rsidRPr="00851192">
              <w:rPr>
                <w:rFonts w:ascii="Arial" w:hAnsi="Arial" w:cs="Arial"/>
              </w:rPr>
              <w:t>Question Five Analysis</w:t>
            </w:r>
          </w:p>
        </w:tc>
        <w:tc>
          <w:tcPr>
            <w:tcW w:w="967" w:type="dxa"/>
          </w:tcPr>
          <w:p w14:paraId="30509973" w14:textId="23D1EE5F" w:rsidR="009B2ED7" w:rsidRPr="00851192" w:rsidRDefault="00A008C4" w:rsidP="00B23C90">
            <w:pPr>
              <w:jc w:val="center"/>
              <w:rPr>
                <w:rFonts w:ascii="Arial" w:hAnsi="Arial" w:cs="Arial"/>
                <w:b/>
              </w:rPr>
            </w:pPr>
            <w:r w:rsidRPr="00851192">
              <w:rPr>
                <w:rFonts w:ascii="Arial" w:hAnsi="Arial" w:cs="Arial"/>
                <w:b/>
              </w:rPr>
              <w:t>55</w:t>
            </w:r>
          </w:p>
        </w:tc>
      </w:tr>
      <w:tr w:rsidR="009B2ED7" w:rsidRPr="00851192" w14:paraId="7DF89C17" w14:textId="77777777" w:rsidTr="0057470C">
        <w:trPr>
          <w:trHeight w:val="337"/>
        </w:trPr>
        <w:tc>
          <w:tcPr>
            <w:tcW w:w="1287" w:type="dxa"/>
          </w:tcPr>
          <w:p w14:paraId="3B44DD63" w14:textId="51EDAEEF" w:rsidR="009B2ED7" w:rsidRPr="00851192" w:rsidRDefault="009B2ED7">
            <w:pPr>
              <w:rPr>
                <w:rFonts w:ascii="Arial" w:hAnsi="Arial" w:cs="Arial"/>
                <w:b/>
              </w:rPr>
            </w:pPr>
            <w:r w:rsidRPr="00851192">
              <w:rPr>
                <w:rFonts w:ascii="Arial" w:hAnsi="Arial" w:cs="Arial"/>
                <w:b/>
              </w:rPr>
              <w:t>Figure 4.10</w:t>
            </w:r>
          </w:p>
        </w:tc>
        <w:tc>
          <w:tcPr>
            <w:tcW w:w="7452" w:type="dxa"/>
          </w:tcPr>
          <w:p w14:paraId="5BEDE758" w14:textId="1B8A744D" w:rsidR="009B2ED7" w:rsidRPr="00851192" w:rsidRDefault="009B2ED7">
            <w:pPr>
              <w:rPr>
                <w:rFonts w:ascii="Arial" w:hAnsi="Arial" w:cs="Arial"/>
              </w:rPr>
            </w:pPr>
            <w:r w:rsidRPr="00851192">
              <w:rPr>
                <w:rFonts w:ascii="Arial" w:hAnsi="Arial" w:cs="Arial"/>
              </w:rPr>
              <w:t>Question Six Analysis</w:t>
            </w:r>
          </w:p>
        </w:tc>
        <w:tc>
          <w:tcPr>
            <w:tcW w:w="967" w:type="dxa"/>
          </w:tcPr>
          <w:p w14:paraId="50D106A4" w14:textId="5C5F3C35" w:rsidR="009B2ED7" w:rsidRPr="00851192" w:rsidRDefault="00A008C4" w:rsidP="00B23C90">
            <w:pPr>
              <w:jc w:val="center"/>
              <w:rPr>
                <w:rFonts w:ascii="Arial" w:hAnsi="Arial" w:cs="Arial"/>
                <w:b/>
              </w:rPr>
            </w:pPr>
            <w:r w:rsidRPr="00851192">
              <w:rPr>
                <w:rFonts w:ascii="Arial" w:hAnsi="Arial" w:cs="Arial"/>
                <w:b/>
              </w:rPr>
              <w:t>56</w:t>
            </w:r>
          </w:p>
        </w:tc>
      </w:tr>
      <w:tr w:rsidR="009B2ED7" w:rsidRPr="00851192" w14:paraId="6ACC2E13" w14:textId="77777777" w:rsidTr="0057470C">
        <w:trPr>
          <w:trHeight w:val="337"/>
        </w:trPr>
        <w:tc>
          <w:tcPr>
            <w:tcW w:w="1287" w:type="dxa"/>
          </w:tcPr>
          <w:p w14:paraId="7CD561E8" w14:textId="68551D28" w:rsidR="009B2ED7" w:rsidRPr="00851192" w:rsidRDefault="009B2ED7">
            <w:pPr>
              <w:rPr>
                <w:rFonts w:ascii="Arial" w:hAnsi="Arial" w:cs="Arial"/>
                <w:b/>
              </w:rPr>
            </w:pPr>
            <w:r w:rsidRPr="00851192">
              <w:rPr>
                <w:rFonts w:ascii="Arial" w:hAnsi="Arial" w:cs="Arial"/>
                <w:b/>
              </w:rPr>
              <w:t>Figure 4.11</w:t>
            </w:r>
          </w:p>
        </w:tc>
        <w:tc>
          <w:tcPr>
            <w:tcW w:w="7452" w:type="dxa"/>
          </w:tcPr>
          <w:p w14:paraId="2119F306" w14:textId="3DDBD344" w:rsidR="009B2ED7" w:rsidRPr="00851192" w:rsidRDefault="009B2ED7">
            <w:pPr>
              <w:rPr>
                <w:rFonts w:ascii="Arial" w:hAnsi="Arial" w:cs="Arial"/>
              </w:rPr>
            </w:pPr>
            <w:r w:rsidRPr="00851192">
              <w:rPr>
                <w:rFonts w:ascii="Arial" w:hAnsi="Arial" w:cs="Arial"/>
              </w:rPr>
              <w:t>Question Seven Analysis</w:t>
            </w:r>
          </w:p>
        </w:tc>
        <w:tc>
          <w:tcPr>
            <w:tcW w:w="967" w:type="dxa"/>
          </w:tcPr>
          <w:p w14:paraId="7B8CFCD3" w14:textId="0F8D239D" w:rsidR="009B2ED7" w:rsidRPr="00851192" w:rsidRDefault="00A008C4" w:rsidP="00B23C90">
            <w:pPr>
              <w:jc w:val="center"/>
              <w:rPr>
                <w:rFonts w:ascii="Arial" w:hAnsi="Arial" w:cs="Arial"/>
                <w:b/>
              </w:rPr>
            </w:pPr>
            <w:r w:rsidRPr="00851192">
              <w:rPr>
                <w:rFonts w:ascii="Arial" w:hAnsi="Arial" w:cs="Arial"/>
                <w:b/>
              </w:rPr>
              <w:t>59</w:t>
            </w:r>
          </w:p>
        </w:tc>
      </w:tr>
      <w:tr w:rsidR="009B2ED7" w:rsidRPr="00851192" w14:paraId="22402C00" w14:textId="77777777" w:rsidTr="0057470C">
        <w:trPr>
          <w:trHeight w:val="337"/>
        </w:trPr>
        <w:tc>
          <w:tcPr>
            <w:tcW w:w="1287" w:type="dxa"/>
          </w:tcPr>
          <w:p w14:paraId="2BEFBCA9" w14:textId="2A10DA08" w:rsidR="009B2ED7" w:rsidRPr="00851192" w:rsidRDefault="009B2ED7">
            <w:pPr>
              <w:rPr>
                <w:rFonts w:ascii="Arial" w:hAnsi="Arial" w:cs="Arial"/>
                <w:b/>
              </w:rPr>
            </w:pPr>
            <w:r w:rsidRPr="00851192">
              <w:rPr>
                <w:rFonts w:ascii="Arial" w:hAnsi="Arial" w:cs="Arial"/>
                <w:b/>
              </w:rPr>
              <w:t>Figure 4.12</w:t>
            </w:r>
          </w:p>
        </w:tc>
        <w:tc>
          <w:tcPr>
            <w:tcW w:w="7452" w:type="dxa"/>
          </w:tcPr>
          <w:p w14:paraId="27255904" w14:textId="49903CD7" w:rsidR="009B2ED7" w:rsidRPr="00851192" w:rsidRDefault="009B2ED7">
            <w:pPr>
              <w:rPr>
                <w:rFonts w:ascii="Arial" w:hAnsi="Arial" w:cs="Arial"/>
              </w:rPr>
            </w:pPr>
            <w:r w:rsidRPr="00851192">
              <w:rPr>
                <w:rFonts w:ascii="Arial" w:hAnsi="Arial" w:cs="Arial"/>
              </w:rPr>
              <w:t>Question Eight Analysis</w:t>
            </w:r>
          </w:p>
        </w:tc>
        <w:tc>
          <w:tcPr>
            <w:tcW w:w="967" w:type="dxa"/>
          </w:tcPr>
          <w:p w14:paraId="5ED4BC14" w14:textId="01A2729F" w:rsidR="009B2ED7" w:rsidRPr="00851192" w:rsidRDefault="00A008C4" w:rsidP="00B23C90">
            <w:pPr>
              <w:jc w:val="center"/>
              <w:rPr>
                <w:rFonts w:ascii="Arial" w:hAnsi="Arial" w:cs="Arial"/>
                <w:b/>
              </w:rPr>
            </w:pPr>
            <w:r w:rsidRPr="00851192">
              <w:rPr>
                <w:rFonts w:ascii="Arial" w:hAnsi="Arial" w:cs="Arial"/>
                <w:b/>
              </w:rPr>
              <w:t>60</w:t>
            </w:r>
          </w:p>
        </w:tc>
      </w:tr>
      <w:tr w:rsidR="009B2ED7" w:rsidRPr="00851192" w14:paraId="4EC8C0EF" w14:textId="77777777" w:rsidTr="0057470C">
        <w:trPr>
          <w:trHeight w:val="337"/>
        </w:trPr>
        <w:tc>
          <w:tcPr>
            <w:tcW w:w="1287" w:type="dxa"/>
          </w:tcPr>
          <w:p w14:paraId="004DDCB1" w14:textId="74B3DB1E" w:rsidR="009B2ED7" w:rsidRPr="00851192" w:rsidRDefault="009B2ED7">
            <w:pPr>
              <w:rPr>
                <w:rFonts w:ascii="Arial" w:hAnsi="Arial" w:cs="Arial"/>
                <w:b/>
              </w:rPr>
            </w:pPr>
            <w:r w:rsidRPr="00851192">
              <w:rPr>
                <w:rFonts w:ascii="Arial" w:hAnsi="Arial" w:cs="Arial"/>
                <w:b/>
              </w:rPr>
              <w:t>Figure 4.13</w:t>
            </w:r>
          </w:p>
        </w:tc>
        <w:tc>
          <w:tcPr>
            <w:tcW w:w="7452" w:type="dxa"/>
          </w:tcPr>
          <w:p w14:paraId="46182E65" w14:textId="7046DC09" w:rsidR="009B2ED7" w:rsidRPr="00851192" w:rsidRDefault="009B2ED7">
            <w:pPr>
              <w:rPr>
                <w:rFonts w:ascii="Arial" w:hAnsi="Arial" w:cs="Arial"/>
              </w:rPr>
            </w:pPr>
            <w:r w:rsidRPr="00851192">
              <w:rPr>
                <w:rFonts w:ascii="Arial" w:hAnsi="Arial" w:cs="Arial"/>
              </w:rPr>
              <w:t>Question Nine Analysis</w:t>
            </w:r>
          </w:p>
        </w:tc>
        <w:tc>
          <w:tcPr>
            <w:tcW w:w="967" w:type="dxa"/>
          </w:tcPr>
          <w:p w14:paraId="28B8A618" w14:textId="387612D3" w:rsidR="009B2ED7" w:rsidRPr="00851192" w:rsidRDefault="00A008C4" w:rsidP="00B23C90">
            <w:pPr>
              <w:jc w:val="center"/>
              <w:rPr>
                <w:rFonts w:ascii="Arial" w:hAnsi="Arial" w:cs="Arial"/>
                <w:b/>
              </w:rPr>
            </w:pPr>
            <w:r w:rsidRPr="00851192">
              <w:rPr>
                <w:rFonts w:ascii="Arial" w:hAnsi="Arial" w:cs="Arial"/>
                <w:b/>
              </w:rPr>
              <w:t>63</w:t>
            </w:r>
          </w:p>
        </w:tc>
      </w:tr>
      <w:tr w:rsidR="009B2ED7" w:rsidRPr="00851192" w14:paraId="69A27AC0" w14:textId="77777777" w:rsidTr="0057470C">
        <w:trPr>
          <w:trHeight w:val="337"/>
        </w:trPr>
        <w:tc>
          <w:tcPr>
            <w:tcW w:w="1287" w:type="dxa"/>
          </w:tcPr>
          <w:p w14:paraId="1A37414B" w14:textId="3308DE60" w:rsidR="009B2ED7" w:rsidRPr="00851192" w:rsidRDefault="009B2ED7">
            <w:pPr>
              <w:rPr>
                <w:rFonts w:ascii="Arial" w:hAnsi="Arial" w:cs="Arial"/>
                <w:b/>
              </w:rPr>
            </w:pPr>
            <w:r w:rsidRPr="00851192">
              <w:rPr>
                <w:rFonts w:ascii="Arial" w:hAnsi="Arial" w:cs="Arial"/>
                <w:b/>
              </w:rPr>
              <w:t>Figure 4.14</w:t>
            </w:r>
          </w:p>
        </w:tc>
        <w:tc>
          <w:tcPr>
            <w:tcW w:w="7452" w:type="dxa"/>
          </w:tcPr>
          <w:p w14:paraId="54D08BEC" w14:textId="1A20FA79" w:rsidR="009B2ED7" w:rsidRPr="00851192" w:rsidRDefault="009B2ED7">
            <w:pPr>
              <w:rPr>
                <w:rFonts w:ascii="Arial" w:hAnsi="Arial" w:cs="Arial"/>
              </w:rPr>
            </w:pPr>
            <w:r w:rsidRPr="00851192">
              <w:rPr>
                <w:rFonts w:ascii="Arial" w:hAnsi="Arial" w:cs="Arial"/>
              </w:rPr>
              <w:t>Question Ten Analysis</w:t>
            </w:r>
          </w:p>
        </w:tc>
        <w:tc>
          <w:tcPr>
            <w:tcW w:w="967" w:type="dxa"/>
          </w:tcPr>
          <w:p w14:paraId="5F94C6FB" w14:textId="4973C50B" w:rsidR="009B2ED7" w:rsidRPr="00851192" w:rsidRDefault="00A008C4" w:rsidP="00B23C90">
            <w:pPr>
              <w:jc w:val="center"/>
              <w:rPr>
                <w:rFonts w:ascii="Arial" w:hAnsi="Arial" w:cs="Arial"/>
                <w:b/>
              </w:rPr>
            </w:pPr>
            <w:r w:rsidRPr="00851192">
              <w:rPr>
                <w:rFonts w:ascii="Arial" w:hAnsi="Arial" w:cs="Arial"/>
                <w:b/>
              </w:rPr>
              <w:t>64</w:t>
            </w:r>
          </w:p>
        </w:tc>
      </w:tr>
      <w:tr w:rsidR="002A36B6" w:rsidRPr="00851192" w14:paraId="0E36E5BF" w14:textId="77777777" w:rsidTr="0057470C">
        <w:trPr>
          <w:trHeight w:val="337"/>
        </w:trPr>
        <w:tc>
          <w:tcPr>
            <w:tcW w:w="1287" w:type="dxa"/>
          </w:tcPr>
          <w:p w14:paraId="099AAE58" w14:textId="368B0150" w:rsidR="002A36B6" w:rsidRPr="00851192" w:rsidRDefault="002A36B6">
            <w:pPr>
              <w:rPr>
                <w:rFonts w:ascii="Arial" w:hAnsi="Arial" w:cs="Arial"/>
                <w:b/>
              </w:rPr>
            </w:pPr>
            <w:r w:rsidRPr="00851192">
              <w:rPr>
                <w:rFonts w:ascii="Arial" w:hAnsi="Arial" w:cs="Arial"/>
                <w:b/>
              </w:rPr>
              <w:t>Table 7</w:t>
            </w:r>
          </w:p>
        </w:tc>
        <w:tc>
          <w:tcPr>
            <w:tcW w:w="7452" w:type="dxa"/>
          </w:tcPr>
          <w:p w14:paraId="0E1F1A92" w14:textId="3EB7E073" w:rsidR="002A36B6" w:rsidRPr="00851192" w:rsidRDefault="002A36B6">
            <w:pPr>
              <w:rPr>
                <w:rFonts w:ascii="Arial" w:hAnsi="Arial" w:cs="Arial"/>
              </w:rPr>
            </w:pPr>
            <w:r w:rsidRPr="00851192">
              <w:rPr>
                <w:rFonts w:ascii="Arial" w:hAnsi="Arial" w:cs="Arial"/>
              </w:rPr>
              <w:t>Global Gambling Operator and Responsible Gambling</w:t>
            </w:r>
          </w:p>
        </w:tc>
        <w:tc>
          <w:tcPr>
            <w:tcW w:w="967" w:type="dxa"/>
          </w:tcPr>
          <w:p w14:paraId="5A4B1A25" w14:textId="4D0CDC62" w:rsidR="002A36B6" w:rsidRPr="00851192" w:rsidRDefault="005E771C" w:rsidP="00B23C90">
            <w:pPr>
              <w:jc w:val="center"/>
              <w:rPr>
                <w:rFonts w:ascii="Arial" w:hAnsi="Arial" w:cs="Arial"/>
                <w:b/>
              </w:rPr>
            </w:pPr>
            <w:r w:rsidRPr="00851192">
              <w:rPr>
                <w:rFonts w:ascii="Arial" w:hAnsi="Arial" w:cs="Arial"/>
                <w:b/>
              </w:rPr>
              <w:t>94</w:t>
            </w:r>
          </w:p>
        </w:tc>
      </w:tr>
      <w:tr w:rsidR="002A36B6" w:rsidRPr="00851192" w14:paraId="18002670" w14:textId="77777777" w:rsidTr="0057470C">
        <w:trPr>
          <w:trHeight w:val="337"/>
        </w:trPr>
        <w:tc>
          <w:tcPr>
            <w:tcW w:w="1287" w:type="dxa"/>
          </w:tcPr>
          <w:p w14:paraId="6B187DDE" w14:textId="56276796" w:rsidR="002A36B6" w:rsidRPr="00851192" w:rsidRDefault="005B72E4">
            <w:pPr>
              <w:rPr>
                <w:rFonts w:ascii="Arial" w:hAnsi="Arial" w:cs="Arial"/>
                <w:b/>
              </w:rPr>
            </w:pPr>
            <w:r w:rsidRPr="00851192">
              <w:rPr>
                <w:rFonts w:ascii="Arial" w:hAnsi="Arial" w:cs="Arial"/>
                <w:b/>
              </w:rPr>
              <w:t>Table 7.</w:t>
            </w:r>
            <w:r w:rsidR="00481E56" w:rsidRPr="00851192">
              <w:rPr>
                <w:rFonts w:ascii="Arial" w:hAnsi="Arial" w:cs="Arial"/>
                <w:b/>
              </w:rPr>
              <w:t>1</w:t>
            </w:r>
          </w:p>
        </w:tc>
        <w:tc>
          <w:tcPr>
            <w:tcW w:w="7452" w:type="dxa"/>
          </w:tcPr>
          <w:p w14:paraId="25A1914E" w14:textId="286E1E94" w:rsidR="002A36B6" w:rsidRPr="00851192" w:rsidRDefault="002A36B6">
            <w:pPr>
              <w:rPr>
                <w:rFonts w:ascii="Arial" w:hAnsi="Arial" w:cs="Arial"/>
              </w:rPr>
            </w:pPr>
            <w:r w:rsidRPr="00851192">
              <w:rPr>
                <w:rFonts w:ascii="Arial" w:hAnsi="Arial" w:cs="Arial"/>
              </w:rPr>
              <w:t>Global Gambling Operators and Fair Gaming</w:t>
            </w:r>
          </w:p>
        </w:tc>
        <w:tc>
          <w:tcPr>
            <w:tcW w:w="967" w:type="dxa"/>
          </w:tcPr>
          <w:p w14:paraId="4250274A" w14:textId="2B3E6A21" w:rsidR="002A36B6" w:rsidRPr="00851192" w:rsidRDefault="005E771C" w:rsidP="00B23C90">
            <w:pPr>
              <w:jc w:val="center"/>
              <w:rPr>
                <w:rFonts w:ascii="Arial" w:hAnsi="Arial" w:cs="Arial"/>
                <w:b/>
              </w:rPr>
            </w:pPr>
            <w:r w:rsidRPr="00851192">
              <w:rPr>
                <w:rFonts w:ascii="Arial" w:hAnsi="Arial" w:cs="Arial"/>
                <w:b/>
              </w:rPr>
              <w:t>96</w:t>
            </w:r>
          </w:p>
        </w:tc>
      </w:tr>
      <w:tr w:rsidR="002A36B6" w:rsidRPr="00851192" w14:paraId="230AAD80" w14:textId="77777777" w:rsidTr="0057470C">
        <w:trPr>
          <w:trHeight w:val="337"/>
        </w:trPr>
        <w:tc>
          <w:tcPr>
            <w:tcW w:w="1287" w:type="dxa"/>
          </w:tcPr>
          <w:p w14:paraId="58CF6762" w14:textId="4D6A0EA2" w:rsidR="005B72E4" w:rsidRPr="00851192" w:rsidRDefault="005B72E4">
            <w:pPr>
              <w:rPr>
                <w:rFonts w:ascii="Arial" w:hAnsi="Arial" w:cs="Arial"/>
                <w:b/>
              </w:rPr>
            </w:pPr>
            <w:r w:rsidRPr="00851192">
              <w:rPr>
                <w:rFonts w:ascii="Arial" w:hAnsi="Arial" w:cs="Arial"/>
                <w:b/>
              </w:rPr>
              <w:t>Table 7.</w:t>
            </w:r>
            <w:r w:rsidR="00481E56" w:rsidRPr="00851192">
              <w:rPr>
                <w:rFonts w:ascii="Arial" w:hAnsi="Arial" w:cs="Arial"/>
                <w:b/>
              </w:rPr>
              <w:t>2</w:t>
            </w:r>
          </w:p>
        </w:tc>
        <w:tc>
          <w:tcPr>
            <w:tcW w:w="7452" w:type="dxa"/>
          </w:tcPr>
          <w:p w14:paraId="27BE0C7F" w14:textId="02CA3B4D" w:rsidR="002A36B6" w:rsidRPr="00851192" w:rsidRDefault="002A36B6">
            <w:pPr>
              <w:rPr>
                <w:rFonts w:ascii="Arial" w:hAnsi="Arial" w:cs="Arial"/>
              </w:rPr>
            </w:pPr>
            <w:r w:rsidRPr="00851192">
              <w:rPr>
                <w:rFonts w:ascii="Arial" w:hAnsi="Arial" w:cs="Arial"/>
              </w:rPr>
              <w:t>Global Gambling Operators and Ethical / Responsible Statements</w:t>
            </w:r>
          </w:p>
        </w:tc>
        <w:tc>
          <w:tcPr>
            <w:tcW w:w="967" w:type="dxa"/>
          </w:tcPr>
          <w:p w14:paraId="40F21B36" w14:textId="32DD7D21" w:rsidR="002A36B6" w:rsidRPr="00851192" w:rsidRDefault="005E771C" w:rsidP="00B23C90">
            <w:pPr>
              <w:jc w:val="center"/>
              <w:rPr>
                <w:rFonts w:ascii="Arial" w:hAnsi="Arial" w:cs="Arial"/>
                <w:b/>
              </w:rPr>
            </w:pPr>
            <w:r w:rsidRPr="00851192">
              <w:rPr>
                <w:rFonts w:ascii="Arial" w:hAnsi="Arial" w:cs="Arial"/>
                <w:b/>
              </w:rPr>
              <w:t>98</w:t>
            </w:r>
          </w:p>
        </w:tc>
      </w:tr>
      <w:tr w:rsidR="002A36B6" w:rsidRPr="00851192" w14:paraId="43B5A8DD" w14:textId="77777777" w:rsidTr="0057470C">
        <w:trPr>
          <w:trHeight w:val="337"/>
        </w:trPr>
        <w:tc>
          <w:tcPr>
            <w:tcW w:w="1287" w:type="dxa"/>
          </w:tcPr>
          <w:p w14:paraId="6BAEDAE5" w14:textId="00E7F703" w:rsidR="002A36B6" w:rsidRPr="00851192" w:rsidRDefault="005B72E4">
            <w:pPr>
              <w:rPr>
                <w:rFonts w:ascii="Arial" w:hAnsi="Arial" w:cs="Arial"/>
                <w:b/>
              </w:rPr>
            </w:pPr>
            <w:r w:rsidRPr="00851192">
              <w:rPr>
                <w:rFonts w:ascii="Arial" w:hAnsi="Arial" w:cs="Arial"/>
                <w:b/>
              </w:rPr>
              <w:t>Table 7.</w:t>
            </w:r>
            <w:r w:rsidR="00481E56" w:rsidRPr="00851192">
              <w:rPr>
                <w:rFonts w:ascii="Arial" w:hAnsi="Arial" w:cs="Arial"/>
                <w:b/>
              </w:rPr>
              <w:t>3</w:t>
            </w:r>
          </w:p>
        </w:tc>
        <w:tc>
          <w:tcPr>
            <w:tcW w:w="7452" w:type="dxa"/>
          </w:tcPr>
          <w:p w14:paraId="2E106367" w14:textId="42AFA7F7" w:rsidR="002A36B6" w:rsidRPr="00851192" w:rsidRDefault="002A36B6">
            <w:pPr>
              <w:rPr>
                <w:rFonts w:ascii="Arial" w:hAnsi="Arial" w:cs="Arial"/>
              </w:rPr>
            </w:pPr>
            <w:r w:rsidRPr="00851192">
              <w:rPr>
                <w:rFonts w:ascii="Arial" w:hAnsi="Arial" w:cs="Arial"/>
              </w:rPr>
              <w:t>Global Gambling Operators and Self-exclusion Facilities</w:t>
            </w:r>
          </w:p>
        </w:tc>
        <w:tc>
          <w:tcPr>
            <w:tcW w:w="967" w:type="dxa"/>
          </w:tcPr>
          <w:p w14:paraId="45C22296" w14:textId="4CDA2BEA" w:rsidR="002A36B6" w:rsidRPr="00851192" w:rsidRDefault="005E771C" w:rsidP="00B23C90">
            <w:pPr>
              <w:jc w:val="center"/>
              <w:rPr>
                <w:rFonts w:ascii="Arial" w:hAnsi="Arial" w:cs="Arial"/>
                <w:b/>
              </w:rPr>
            </w:pPr>
            <w:r w:rsidRPr="00851192">
              <w:rPr>
                <w:rFonts w:ascii="Arial" w:hAnsi="Arial" w:cs="Arial"/>
                <w:b/>
              </w:rPr>
              <w:t>99</w:t>
            </w:r>
          </w:p>
        </w:tc>
      </w:tr>
      <w:tr w:rsidR="002A36B6" w:rsidRPr="00851192" w14:paraId="0A0E6B29" w14:textId="77777777" w:rsidTr="0057470C">
        <w:trPr>
          <w:trHeight w:val="337"/>
        </w:trPr>
        <w:tc>
          <w:tcPr>
            <w:tcW w:w="1287" w:type="dxa"/>
          </w:tcPr>
          <w:p w14:paraId="2B1BEDFE" w14:textId="222ED32E" w:rsidR="002A36B6" w:rsidRPr="00851192" w:rsidRDefault="005B72E4">
            <w:pPr>
              <w:rPr>
                <w:rFonts w:ascii="Arial" w:hAnsi="Arial" w:cs="Arial"/>
                <w:b/>
              </w:rPr>
            </w:pPr>
            <w:r w:rsidRPr="00851192">
              <w:rPr>
                <w:rFonts w:ascii="Arial" w:hAnsi="Arial" w:cs="Arial"/>
                <w:b/>
              </w:rPr>
              <w:t>Table 7.</w:t>
            </w:r>
            <w:r w:rsidR="00481E56" w:rsidRPr="00851192">
              <w:rPr>
                <w:rFonts w:ascii="Arial" w:hAnsi="Arial" w:cs="Arial"/>
                <w:b/>
              </w:rPr>
              <w:t>4</w:t>
            </w:r>
          </w:p>
        </w:tc>
        <w:tc>
          <w:tcPr>
            <w:tcW w:w="7452" w:type="dxa"/>
          </w:tcPr>
          <w:p w14:paraId="6985FC97" w14:textId="3F6DA6B1" w:rsidR="002A36B6" w:rsidRPr="00851192" w:rsidRDefault="002A36B6">
            <w:pPr>
              <w:rPr>
                <w:rFonts w:ascii="Arial" w:hAnsi="Arial" w:cs="Arial"/>
              </w:rPr>
            </w:pPr>
            <w:r w:rsidRPr="00851192">
              <w:rPr>
                <w:rFonts w:ascii="Arial" w:hAnsi="Arial" w:cs="Arial"/>
              </w:rPr>
              <w:t>Global Gambling Operators and Social Media Presence</w:t>
            </w:r>
          </w:p>
        </w:tc>
        <w:tc>
          <w:tcPr>
            <w:tcW w:w="967" w:type="dxa"/>
          </w:tcPr>
          <w:p w14:paraId="54382C75" w14:textId="42A85C9B" w:rsidR="002A36B6" w:rsidRPr="00851192" w:rsidRDefault="005E771C" w:rsidP="00B23C90">
            <w:pPr>
              <w:jc w:val="center"/>
              <w:rPr>
                <w:rFonts w:ascii="Arial" w:hAnsi="Arial" w:cs="Arial"/>
                <w:b/>
              </w:rPr>
            </w:pPr>
            <w:r w:rsidRPr="00851192">
              <w:rPr>
                <w:rFonts w:ascii="Arial" w:hAnsi="Arial" w:cs="Arial"/>
                <w:b/>
              </w:rPr>
              <w:t>101</w:t>
            </w:r>
          </w:p>
        </w:tc>
      </w:tr>
      <w:tr w:rsidR="002A36B6" w:rsidRPr="00851192" w14:paraId="427498A4" w14:textId="77777777" w:rsidTr="0057470C">
        <w:trPr>
          <w:trHeight w:val="337"/>
        </w:trPr>
        <w:tc>
          <w:tcPr>
            <w:tcW w:w="1287" w:type="dxa"/>
          </w:tcPr>
          <w:p w14:paraId="6631B186" w14:textId="31E4E83C" w:rsidR="002A36B6" w:rsidRPr="00851192" w:rsidRDefault="005B72E4">
            <w:pPr>
              <w:rPr>
                <w:rFonts w:ascii="Arial" w:hAnsi="Arial" w:cs="Arial"/>
                <w:b/>
              </w:rPr>
            </w:pPr>
            <w:r w:rsidRPr="00851192">
              <w:rPr>
                <w:rFonts w:ascii="Arial" w:hAnsi="Arial" w:cs="Arial"/>
                <w:b/>
              </w:rPr>
              <w:t>Table 7.</w:t>
            </w:r>
            <w:r w:rsidR="00481E56" w:rsidRPr="00851192">
              <w:rPr>
                <w:rFonts w:ascii="Arial" w:hAnsi="Arial" w:cs="Arial"/>
                <w:b/>
              </w:rPr>
              <w:t>5</w:t>
            </w:r>
          </w:p>
        </w:tc>
        <w:tc>
          <w:tcPr>
            <w:tcW w:w="7452" w:type="dxa"/>
          </w:tcPr>
          <w:p w14:paraId="1B745346" w14:textId="537980A9" w:rsidR="002A36B6" w:rsidRPr="00851192" w:rsidRDefault="002A36B6">
            <w:pPr>
              <w:rPr>
                <w:rFonts w:ascii="Arial" w:hAnsi="Arial" w:cs="Arial"/>
              </w:rPr>
            </w:pPr>
            <w:r w:rsidRPr="00851192">
              <w:rPr>
                <w:rFonts w:ascii="Arial" w:hAnsi="Arial" w:cs="Arial"/>
              </w:rPr>
              <w:t>Global Gambling Operators and Age Verification</w:t>
            </w:r>
          </w:p>
        </w:tc>
        <w:tc>
          <w:tcPr>
            <w:tcW w:w="967" w:type="dxa"/>
          </w:tcPr>
          <w:p w14:paraId="58AB65FE" w14:textId="25946863" w:rsidR="002A36B6" w:rsidRPr="00851192" w:rsidRDefault="005E771C" w:rsidP="00B23C90">
            <w:pPr>
              <w:jc w:val="center"/>
              <w:rPr>
                <w:rFonts w:ascii="Arial" w:hAnsi="Arial" w:cs="Arial"/>
                <w:b/>
              </w:rPr>
            </w:pPr>
            <w:r w:rsidRPr="00851192">
              <w:rPr>
                <w:rFonts w:ascii="Arial" w:hAnsi="Arial" w:cs="Arial"/>
                <w:b/>
              </w:rPr>
              <w:t>103</w:t>
            </w:r>
          </w:p>
        </w:tc>
      </w:tr>
      <w:tr w:rsidR="002A36B6" w:rsidRPr="00851192" w14:paraId="1B53D933" w14:textId="77777777" w:rsidTr="0057470C">
        <w:trPr>
          <w:trHeight w:val="337"/>
        </w:trPr>
        <w:tc>
          <w:tcPr>
            <w:tcW w:w="1287" w:type="dxa"/>
          </w:tcPr>
          <w:p w14:paraId="0E109D7A" w14:textId="7503363F" w:rsidR="002A36B6" w:rsidRPr="00851192" w:rsidRDefault="005B72E4">
            <w:pPr>
              <w:rPr>
                <w:rFonts w:ascii="Arial" w:hAnsi="Arial" w:cs="Arial"/>
                <w:b/>
              </w:rPr>
            </w:pPr>
            <w:r w:rsidRPr="00851192">
              <w:rPr>
                <w:rFonts w:ascii="Arial" w:hAnsi="Arial" w:cs="Arial"/>
                <w:b/>
              </w:rPr>
              <w:t>Table 7.</w:t>
            </w:r>
            <w:r w:rsidR="00481E56" w:rsidRPr="00851192">
              <w:rPr>
                <w:rFonts w:ascii="Arial" w:hAnsi="Arial" w:cs="Arial"/>
                <w:b/>
              </w:rPr>
              <w:t>6</w:t>
            </w:r>
          </w:p>
        </w:tc>
        <w:tc>
          <w:tcPr>
            <w:tcW w:w="7452" w:type="dxa"/>
          </w:tcPr>
          <w:p w14:paraId="2E761941" w14:textId="35F72C8F" w:rsidR="002A36B6" w:rsidRPr="00851192" w:rsidRDefault="002A36B6">
            <w:pPr>
              <w:rPr>
                <w:rFonts w:ascii="Arial" w:hAnsi="Arial" w:cs="Arial"/>
              </w:rPr>
            </w:pPr>
            <w:r w:rsidRPr="00851192">
              <w:rPr>
                <w:rFonts w:ascii="Arial" w:hAnsi="Arial" w:cs="Arial"/>
              </w:rPr>
              <w:t>Global Gambling Operators and Technical Support</w:t>
            </w:r>
          </w:p>
        </w:tc>
        <w:tc>
          <w:tcPr>
            <w:tcW w:w="967" w:type="dxa"/>
          </w:tcPr>
          <w:p w14:paraId="03B3947B" w14:textId="79E7BCED" w:rsidR="002A36B6" w:rsidRPr="00851192" w:rsidRDefault="005E771C" w:rsidP="00B23C90">
            <w:pPr>
              <w:jc w:val="center"/>
              <w:rPr>
                <w:rFonts w:ascii="Arial" w:hAnsi="Arial" w:cs="Arial"/>
                <w:b/>
              </w:rPr>
            </w:pPr>
            <w:r w:rsidRPr="00851192">
              <w:rPr>
                <w:rFonts w:ascii="Arial" w:hAnsi="Arial" w:cs="Arial"/>
                <w:b/>
              </w:rPr>
              <w:t>104</w:t>
            </w:r>
          </w:p>
        </w:tc>
      </w:tr>
      <w:tr w:rsidR="002A36B6" w:rsidRPr="00851192" w14:paraId="685C2A55" w14:textId="77777777" w:rsidTr="0057470C">
        <w:trPr>
          <w:trHeight w:val="337"/>
        </w:trPr>
        <w:tc>
          <w:tcPr>
            <w:tcW w:w="1287" w:type="dxa"/>
          </w:tcPr>
          <w:p w14:paraId="7AC03AF0" w14:textId="4B78641B" w:rsidR="002A36B6" w:rsidRPr="00851192" w:rsidRDefault="005B72E4">
            <w:pPr>
              <w:rPr>
                <w:rFonts w:ascii="Arial" w:hAnsi="Arial" w:cs="Arial"/>
                <w:b/>
              </w:rPr>
            </w:pPr>
            <w:r w:rsidRPr="00851192">
              <w:rPr>
                <w:rFonts w:ascii="Arial" w:hAnsi="Arial" w:cs="Arial"/>
                <w:b/>
              </w:rPr>
              <w:t>Table 7.</w:t>
            </w:r>
            <w:r w:rsidR="00481E56" w:rsidRPr="00851192">
              <w:rPr>
                <w:rFonts w:ascii="Arial" w:hAnsi="Arial" w:cs="Arial"/>
                <w:b/>
              </w:rPr>
              <w:t>7</w:t>
            </w:r>
          </w:p>
        </w:tc>
        <w:tc>
          <w:tcPr>
            <w:tcW w:w="7452" w:type="dxa"/>
          </w:tcPr>
          <w:p w14:paraId="3BA1F8FB" w14:textId="66F40B73" w:rsidR="002A36B6" w:rsidRPr="00851192" w:rsidRDefault="002A36B6">
            <w:pPr>
              <w:rPr>
                <w:rFonts w:ascii="Arial" w:hAnsi="Arial" w:cs="Arial"/>
              </w:rPr>
            </w:pPr>
            <w:r w:rsidRPr="00851192">
              <w:rPr>
                <w:rFonts w:ascii="Arial" w:hAnsi="Arial" w:cs="Arial"/>
              </w:rPr>
              <w:t xml:space="preserve">Global Gambling Operators and Promotional Gambling Advertisement </w:t>
            </w:r>
          </w:p>
        </w:tc>
        <w:tc>
          <w:tcPr>
            <w:tcW w:w="967" w:type="dxa"/>
          </w:tcPr>
          <w:p w14:paraId="4FD98F52" w14:textId="7A5003D6" w:rsidR="002A36B6" w:rsidRPr="00851192" w:rsidRDefault="005E771C" w:rsidP="00B23C90">
            <w:pPr>
              <w:jc w:val="center"/>
              <w:rPr>
                <w:rFonts w:ascii="Arial" w:hAnsi="Arial" w:cs="Arial"/>
                <w:b/>
              </w:rPr>
            </w:pPr>
            <w:r w:rsidRPr="00851192">
              <w:rPr>
                <w:rFonts w:ascii="Arial" w:hAnsi="Arial" w:cs="Arial"/>
                <w:b/>
              </w:rPr>
              <w:t>106</w:t>
            </w:r>
          </w:p>
        </w:tc>
      </w:tr>
      <w:tr w:rsidR="002A36B6" w:rsidRPr="00851192" w14:paraId="6C7AD12F" w14:textId="77777777" w:rsidTr="0057470C">
        <w:trPr>
          <w:trHeight w:val="337"/>
        </w:trPr>
        <w:tc>
          <w:tcPr>
            <w:tcW w:w="1287" w:type="dxa"/>
          </w:tcPr>
          <w:p w14:paraId="32D0EE26" w14:textId="34CEE261" w:rsidR="002A36B6" w:rsidRPr="00851192" w:rsidRDefault="005B72E4">
            <w:pPr>
              <w:rPr>
                <w:rFonts w:ascii="Arial" w:hAnsi="Arial" w:cs="Arial"/>
                <w:b/>
              </w:rPr>
            </w:pPr>
            <w:r w:rsidRPr="00851192">
              <w:rPr>
                <w:rFonts w:ascii="Arial" w:hAnsi="Arial" w:cs="Arial"/>
                <w:b/>
              </w:rPr>
              <w:t>Table 7.</w:t>
            </w:r>
            <w:r w:rsidR="00481E56" w:rsidRPr="00851192">
              <w:rPr>
                <w:rFonts w:ascii="Arial" w:hAnsi="Arial" w:cs="Arial"/>
                <w:b/>
              </w:rPr>
              <w:t>8</w:t>
            </w:r>
          </w:p>
        </w:tc>
        <w:tc>
          <w:tcPr>
            <w:tcW w:w="7452" w:type="dxa"/>
          </w:tcPr>
          <w:p w14:paraId="144CF788" w14:textId="65297622" w:rsidR="002A36B6" w:rsidRPr="00851192" w:rsidRDefault="002A36B6">
            <w:pPr>
              <w:rPr>
                <w:rFonts w:ascii="Arial" w:hAnsi="Arial" w:cs="Arial"/>
              </w:rPr>
            </w:pPr>
            <w:r w:rsidRPr="00851192">
              <w:rPr>
                <w:rFonts w:ascii="Arial" w:hAnsi="Arial" w:cs="Arial"/>
              </w:rPr>
              <w:t>Global Gambling Operators and Secure Transaction</w:t>
            </w:r>
          </w:p>
        </w:tc>
        <w:tc>
          <w:tcPr>
            <w:tcW w:w="967" w:type="dxa"/>
          </w:tcPr>
          <w:p w14:paraId="67C0DA12" w14:textId="32470747" w:rsidR="002A36B6" w:rsidRPr="00851192" w:rsidRDefault="005E771C" w:rsidP="00B23C90">
            <w:pPr>
              <w:jc w:val="center"/>
              <w:rPr>
                <w:rFonts w:ascii="Arial" w:hAnsi="Arial" w:cs="Arial"/>
                <w:b/>
              </w:rPr>
            </w:pPr>
            <w:r w:rsidRPr="00851192">
              <w:rPr>
                <w:rFonts w:ascii="Arial" w:hAnsi="Arial" w:cs="Arial"/>
                <w:b/>
              </w:rPr>
              <w:t>109</w:t>
            </w:r>
          </w:p>
        </w:tc>
      </w:tr>
      <w:tr w:rsidR="002A36B6" w:rsidRPr="00851192" w14:paraId="60738EC4" w14:textId="77777777" w:rsidTr="0057470C">
        <w:trPr>
          <w:trHeight w:val="337"/>
        </w:trPr>
        <w:tc>
          <w:tcPr>
            <w:tcW w:w="1287" w:type="dxa"/>
          </w:tcPr>
          <w:p w14:paraId="754F754F" w14:textId="30F83EB9" w:rsidR="002A36B6" w:rsidRPr="00851192" w:rsidRDefault="005B72E4">
            <w:pPr>
              <w:rPr>
                <w:rFonts w:ascii="Arial" w:hAnsi="Arial" w:cs="Arial"/>
                <w:b/>
              </w:rPr>
            </w:pPr>
            <w:r w:rsidRPr="00851192">
              <w:rPr>
                <w:rFonts w:ascii="Arial" w:hAnsi="Arial" w:cs="Arial"/>
                <w:b/>
              </w:rPr>
              <w:t>Table 7.</w:t>
            </w:r>
            <w:r w:rsidR="00481E56" w:rsidRPr="00851192">
              <w:rPr>
                <w:rFonts w:ascii="Arial" w:hAnsi="Arial" w:cs="Arial"/>
                <w:b/>
              </w:rPr>
              <w:t>9</w:t>
            </w:r>
          </w:p>
        </w:tc>
        <w:tc>
          <w:tcPr>
            <w:tcW w:w="7452" w:type="dxa"/>
          </w:tcPr>
          <w:p w14:paraId="04544DDD" w14:textId="08CAA9ED" w:rsidR="002A36B6" w:rsidRPr="00851192" w:rsidRDefault="005B72E4">
            <w:pPr>
              <w:rPr>
                <w:rFonts w:ascii="Arial" w:hAnsi="Arial" w:cs="Arial"/>
              </w:rPr>
            </w:pPr>
            <w:r w:rsidRPr="00851192">
              <w:rPr>
                <w:rFonts w:ascii="Arial" w:hAnsi="Arial" w:cs="Arial"/>
              </w:rPr>
              <w:t>Global Gambling Operators and Money Bank Services</w:t>
            </w:r>
          </w:p>
        </w:tc>
        <w:tc>
          <w:tcPr>
            <w:tcW w:w="967" w:type="dxa"/>
          </w:tcPr>
          <w:p w14:paraId="313BDBFF" w14:textId="0D0FD1CD" w:rsidR="002A36B6" w:rsidRPr="00851192" w:rsidRDefault="005E771C" w:rsidP="00B23C90">
            <w:pPr>
              <w:jc w:val="center"/>
              <w:rPr>
                <w:rFonts w:ascii="Arial" w:hAnsi="Arial" w:cs="Arial"/>
                <w:b/>
              </w:rPr>
            </w:pPr>
            <w:r w:rsidRPr="00851192">
              <w:rPr>
                <w:rFonts w:ascii="Arial" w:hAnsi="Arial" w:cs="Arial"/>
                <w:b/>
              </w:rPr>
              <w:t>110</w:t>
            </w:r>
          </w:p>
        </w:tc>
      </w:tr>
      <w:tr w:rsidR="005B72E4" w:rsidRPr="00851192" w14:paraId="72ACF125" w14:textId="77777777" w:rsidTr="0057470C">
        <w:trPr>
          <w:trHeight w:val="337"/>
        </w:trPr>
        <w:tc>
          <w:tcPr>
            <w:tcW w:w="1287" w:type="dxa"/>
          </w:tcPr>
          <w:p w14:paraId="1E75BB90" w14:textId="78415F0E" w:rsidR="005B72E4" w:rsidRPr="00851192" w:rsidRDefault="005B72E4">
            <w:pPr>
              <w:rPr>
                <w:rFonts w:ascii="Arial" w:hAnsi="Arial" w:cs="Arial"/>
                <w:b/>
              </w:rPr>
            </w:pPr>
            <w:r w:rsidRPr="00851192">
              <w:rPr>
                <w:rFonts w:ascii="Arial" w:hAnsi="Arial" w:cs="Arial"/>
                <w:b/>
              </w:rPr>
              <w:t>Table 7.1</w:t>
            </w:r>
            <w:r w:rsidR="00481E56" w:rsidRPr="00851192">
              <w:rPr>
                <w:rFonts w:ascii="Arial" w:hAnsi="Arial" w:cs="Arial"/>
                <w:b/>
              </w:rPr>
              <w:t>0</w:t>
            </w:r>
          </w:p>
        </w:tc>
        <w:tc>
          <w:tcPr>
            <w:tcW w:w="7452" w:type="dxa"/>
          </w:tcPr>
          <w:p w14:paraId="25A93704" w14:textId="5D2644D9" w:rsidR="005B72E4" w:rsidRPr="00851192" w:rsidRDefault="005B72E4">
            <w:pPr>
              <w:rPr>
                <w:rFonts w:ascii="Arial" w:hAnsi="Arial" w:cs="Arial"/>
              </w:rPr>
            </w:pPr>
            <w:r w:rsidRPr="00851192">
              <w:rPr>
                <w:rFonts w:ascii="Arial" w:hAnsi="Arial" w:cs="Arial"/>
              </w:rPr>
              <w:t>Global Gambling Operators and Clarity on Rules</w:t>
            </w:r>
          </w:p>
        </w:tc>
        <w:tc>
          <w:tcPr>
            <w:tcW w:w="967" w:type="dxa"/>
          </w:tcPr>
          <w:p w14:paraId="67B054AA" w14:textId="1B9C723B" w:rsidR="005B72E4" w:rsidRPr="00851192" w:rsidRDefault="005E771C" w:rsidP="00B23C90">
            <w:pPr>
              <w:jc w:val="center"/>
              <w:rPr>
                <w:rFonts w:ascii="Arial" w:hAnsi="Arial" w:cs="Arial"/>
                <w:b/>
              </w:rPr>
            </w:pPr>
            <w:r w:rsidRPr="00851192">
              <w:rPr>
                <w:rFonts w:ascii="Arial" w:hAnsi="Arial" w:cs="Arial"/>
                <w:b/>
              </w:rPr>
              <w:t>112</w:t>
            </w:r>
          </w:p>
        </w:tc>
      </w:tr>
    </w:tbl>
    <w:p w14:paraId="6D933B5F" w14:textId="276E4247" w:rsidR="002502E3" w:rsidRPr="00851192" w:rsidRDefault="002502E3">
      <w:pPr>
        <w:rPr>
          <w:rFonts w:ascii="Arial" w:hAnsi="Arial" w:cs="Arial"/>
          <w:b/>
          <w:u w:val="single"/>
        </w:rPr>
      </w:pPr>
    </w:p>
    <w:p w14:paraId="7BBB8804" w14:textId="37F1A6E2" w:rsidR="001760BB" w:rsidRPr="00851192" w:rsidRDefault="001760BB" w:rsidP="008A11E4">
      <w:pPr>
        <w:pStyle w:val="Heading1"/>
        <w:rPr>
          <w:rFonts w:ascii="Arial" w:hAnsi="Arial" w:cs="Arial"/>
          <w:b/>
          <w:color w:val="auto"/>
        </w:rPr>
      </w:pPr>
      <w:r w:rsidRPr="00851192">
        <w:rPr>
          <w:rFonts w:ascii="Arial" w:hAnsi="Arial" w:cs="Arial"/>
          <w:b/>
          <w:color w:val="auto"/>
        </w:rPr>
        <w:lastRenderedPageBreak/>
        <w:t xml:space="preserve">List of Appendices </w:t>
      </w:r>
    </w:p>
    <w:tbl>
      <w:tblPr>
        <w:tblStyle w:val="TableGrid"/>
        <w:tblW w:w="9706" w:type="dxa"/>
        <w:tblLook w:val="04A0" w:firstRow="1" w:lastRow="0" w:firstColumn="1" w:lastColumn="0" w:noHBand="0" w:noVBand="1"/>
      </w:tblPr>
      <w:tblGrid>
        <w:gridCol w:w="1546"/>
        <w:gridCol w:w="6886"/>
        <w:gridCol w:w="1274"/>
      </w:tblGrid>
      <w:tr w:rsidR="008A11E4" w:rsidRPr="00851192" w14:paraId="02D53FA2" w14:textId="77777777" w:rsidTr="00007DC2">
        <w:trPr>
          <w:trHeight w:val="337"/>
        </w:trPr>
        <w:tc>
          <w:tcPr>
            <w:tcW w:w="1547" w:type="dxa"/>
          </w:tcPr>
          <w:p w14:paraId="7AE274DA" w14:textId="6CE919A1" w:rsidR="008A11E4" w:rsidRPr="00851192" w:rsidRDefault="008A11E4" w:rsidP="008A11E4">
            <w:pPr>
              <w:rPr>
                <w:rFonts w:ascii="Arial" w:hAnsi="Arial" w:cs="Arial"/>
                <w:b/>
              </w:rPr>
            </w:pPr>
            <w:r w:rsidRPr="00851192">
              <w:rPr>
                <w:rFonts w:ascii="Arial" w:hAnsi="Arial" w:cs="Arial"/>
                <w:b/>
                <w:sz w:val="28"/>
              </w:rPr>
              <w:t>Appendix</w:t>
            </w:r>
          </w:p>
        </w:tc>
        <w:tc>
          <w:tcPr>
            <w:tcW w:w="6989" w:type="dxa"/>
          </w:tcPr>
          <w:p w14:paraId="5CA9DA69" w14:textId="343E4A83" w:rsidR="008A11E4" w:rsidRPr="00851192" w:rsidRDefault="008A11E4" w:rsidP="008A11E4">
            <w:pPr>
              <w:rPr>
                <w:rFonts w:ascii="Arial" w:hAnsi="Arial" w:cs="Arial"/>
              </w:rPr>
            </w:pPr>
            <w:r w:rsidRPr="00851192">
              <w:rPr>
                <w:rFonts w:ascii="Arial" w:hAnsi="Arial" w:cs="Arial"/>
                <w:b/>
                <w:sz w:val="28"/>
              </w:rPr>
              <w:t>Title</w:t>
            </w:r>
          </w:p>
        </w:tc>
        <w:tc>
          <w:tcPr>
            <w:tcW w:w="1170" w:type="dxa"/>
          </w:tcPr>
          <w:p w14:paraId="7B2CDADD" w14:textId="54BD5F9A" w:rsidR="008A11E4" w:rsidRPr="00851192" w:rsidRDefault="008A11E4" w:rsidP="008A11E4">
            <w:pPr>
              <w:rPr>
                <w:rFonts w:ascii="Arial" w:hAnsi="Arial" w:cs="Arial"/>
                <w:b/>
                <w:u w:val="single"/>
              </w:rPr>
            </w:pPr>
            <w:r w:rsidRPr="00851192">
              <w:rPr>
                <w:rFonts w:ascii="Arial" w:hAnsi="Arial" w:cs="Arial"/>
                <w:b/>
                <w:sz w:val="28"/>
              </w:rPr>
              <w:t>Page Number</w:t>
            </w:r>
          </w:p>
        </w:tc>
      </w:tr>
      <w:tr w:rsidR="008A11E4" w:rsidRPr="00851192" w14:paraId="6BA6507A" w14:textId="77777777" w:rsidTr="00007DC2">
        <w:trPr>
          <w:trHeight w:val="337"/>
        </w:trPr>
        <w:tc>
          <w:tcPr>
            <w:tcW w:w="1547" w:type="dxa"/>
          </w:tcPr>
          <w:p w14:paraId="6B462F8E" w14:textId="3341134B" w:rsidR="008A11E4" w:rsidRPr="00851192" w:rsidRDefault="008A11E4" w:rsidP="008A11E4">
            <w:pPr>
              <w:rPr>
                <w:rFonts w:ascii="Arial" w:hAnsi="Arial" w:cs="Arial"/>
                <w:b/>
              </w:rPr>
            </w:pPr>
            <w:r w:rsidRPr="00851192">
              <w:rPr>
                <w:rFonts w:ascii="Arial" w:hAnsi="Arial" w:cs="Arial"/>
                <w:b/>
              </w:rPr>
              <w:t>Appendix 1</w:t>
            </w:r>
          </w:p>
        </w:tc>
        <w:tc>
          <w:tcPr>
            <w:tcW w:w="6989" w:type="dxa"/>
          </w:tcPr>
          <w:p w14:paraId="7E9B4F19" w14:textId="34533A39" w:rsidR="008A11E4" w:rsidRPr="00851192" w:rsidRDefault="008A11E4" w:rsidP="008A11E4">
            <w:pPr>
              <w:rPr>
                <w:rFonts w:ascii="Arial" w:hAnsi="Arial" w:cs="Arial"/>
              </w:rPr>
            </w:pPr>
            <w:r w:rsidRPr="00851192">
              <w:rPr>
                <w:rFonts w:ascii="Arial" w:hAnsi="Arial" w:cs="Arial"/>
              </w:rPr>
              <w:t>Consumer CSR Communication Survey</w:t>
            </w:r>
          </w:p>
        </w:tc>
        <w:tc>
          <w:tcPr>
            <w:tcW w:w="1170" w:type="dxa"/>
          </w:tcPr>
          <w:p w14:paraId="27365D4E" w14:textId="6FDE2768" w:rsidR="008A11E4" w:rsidRPr="00851192" w:rsidRDefault="00007DC2" w:rsidP="00B23C90">
            <w:pPr>
              <w:jc w:val="center"/>
              <w:rPr>
                <w:rFonts w:ascii="Arial" w:hAnsi="Arial" w:cs="Arial"/>
                <w:b/>
              </w:rPr>
            </w:pPr>
            <w:r w:rsidRPr="00851192">
              <w:rPr>
                <w:rFonts w:ascii="Arial" w:hAnsi="Arial" w:cs="Arial"/>
                <w:b/>
              </w:rPr>
              <w:t>78</w:t>
            </w:r>
          </w:p>
        </w:tc>
      </w:tr>
      <w:tr w:rsidR="008A11E4" w:rsidRPr="00851192" w14:paraId="29945635" w14:textId="77777777" w:rsidTr="00007DC2">
        <w:trPr>
          <w:trHeight w:val="337"/>
        </w:trPr>
        <w:tc>
          <w:tcPr>
            <w:tcW w:w="1547" w:type="dxa"/>
          </w:tcPr>
          <w:p w14:paraId="67EE3CAE" w14:textId="465E0E4A" w:rsidR="008A11E4" w:rsidRPr="00851192" w:rsidRDefault="008A11E4" w:rsidP="008A11E4">
            <w:pPr>
              <w:rPr>
                <w:rFonts w:ascii="Arial" w:hAnsi="Arial" w:cs="Arial"/>
                <w:b/>
              </w:rPr>
            </w:pPr>
            <w:r w:rsidRPr="00851192">
              <w:rPr>
                <w:rFonts w:ascii="Arial" w:hAnsi="Arial" w:cs="Arial"/>
                <w:b/>
              </w:rPr>
              <w:t>Appendix 2</w:t>
            </w:r>
          </w:p>
        </w:tc>
        <w:tc>
          <w:tcPr>
            <w:tcW w:w="6989" w:type="dxa"/>
          </w:tcPr>
          <w:p w14:paraId="399ADA8B" w14:textId="361A8D3F" w:rsidR="008A11E4" w:rsidRPr="00851192" w:rsidRDefault="008A11E4" w:rsidP="008A11E4">
            <w:pPr>
              <w:rPr>
                <w:rFonts w:ascii="Arial" w:hAnsi="Arial" w:cs="Arial"/>
              </w:rPr>
            </w:pPr>
            <w:r w:rsidRPr="00851192">
              <w:rPr>
                <w:rFonts w:ascii="Arial" w:hAnsi="Arial" w:cs="Arial"/>
              </w:rPr>
              <w:t xml:space="preserve">Published Surveys on Social Media Platforms, </w:t>
            </w:r>
            <w:proofErr w:type="spellStart"/>
            <w:r w:rsidRPr="00851192">
              <w:rPr>
                <w:rFonts w:ascii="Arial" w:hAnsi="Arial" w:cs="Arial"/>
              </w:rPr>
              <w:t>Casinomeister</w:t>
            </w:r>
            <w:proofErr w:type="spellEnd"/>
            <w:r w:rsidRPr="00851192">
              <w:rPr>
                <w:rFonts w:ascii="Arial" w:hAnsi="Arial" w:cs="Arial"/>
              </w:rPr>
              <w:t>, and Responsible Gambling Pages</w:t>
            </w:r>
          </w:p>
        </w:tc>
        <w:tc>
          <w:tcPr>
            <w:tcW w:w="1170" w:type="dxa"/>
          </w:tcPr>
          <w:p w14:paraId="04BEDF97" w14:textId="2155330A" w:rsidR="008A11E4" w:rsidRPr="00851192" w:rsidRDefault="00007DC2" w:rsidP="00B23C90">
            <w:pPr>
              <w:jc w:val="center"/>
              <w:rPr>
                <w:rFonts w:ascii="Arial" w:hAnsi="Arial" w:cs="Arial"/>
                <w:b/>
              </w:rPr>
            </w:pPr>
            <w:r w:rsidRPr="00851192">
              <w:rPr>
                <w:rFonts w:ascii="Arial" w:hAnsi="Arial" w:cs="Arial"/>
                <w:b/>
              </w:rPr>
              <w:t>87</w:t>
            </w:r>
          </w:p>
        </w:tc>
      </w:tr>
      <w:tr w:rsidR="008A11E4" w:rsidRPr="00851192" w14:paraId="0AF41044" w14:textId="77777777" w:rsidTr="00007DC2">
        <w:trPr>
          <w:trHeight w:val="337"/>
        </w:trPr>
        <w:tc>
          <w:tcPr>
            <w:tcW w:w="1547" w:type="dxa"/>
          </w:tcPr>
          <w:p w14:paraId="141EB086" w14:textId="5244463E" w:rsidR="008A11E4" w:rsidRPr="00851192" w:rsidRDefault="008A11E4" w:rsidP="008A11E4">
            <w:pPr>
              <w:rPr>
                <w:rFonts w:ascii="Arial" w:hAnsi="Arial" w:cs="Arial"/>
                <w:b/>
              </w:rPr>
            </w:pPr>
            <w:r w:rsidRPr="00851192">
              <w:rPr>
                <w:rFonts w:ascii="Arial" w:hAnsi="Arial" w:cs="Arial"/>
                <w:b/>
              </w:rPr>
              <w:t>Appendix 2.1</w:t>
            </w:r>
          </w:p>
        </w:tc>
        <w:tc>
          <w:tcPr>
            <w:tcW w:w="6989" w:type="dxa"/>
          </w:tcPr>
          <w:p w14:paraId="7866D393" w14:textId="084C3276" w:rsidR="008A11E4" w:rsidRPr="00851192" w:rsidRDefault="008A11E4" w:rsidP="008A11E4">
            <w:pPr>
              <w:rPr>
                <w:rFonts w:ascii="Arial" w:hAnsi="Arial" w:cs="Arial"/>
              </w:rPr>
            </w:pPr>
            <w:proofErr w:type="spellStart"/>
            <w:r w:rsidRPr="00851192">
              <w:rPr>
                <w:rFonts w:ascii="Arial" w:hAnsi="Arial" w:cs="Arial"/>
              </w:rPr>
              <w:t>Casinomeister</w:t>
            </w:r>
            <w:proofErr w:type="spellEnd"/>
          </w:p>
        </w:tc>
        <w:tc>
          <w:tcPr>
            <w:tcW w:w="1170" w:type="dxa"/>
          </w:tcPr>
          <w:p w14:paraId="1BCFB8DF" w14:textId="152ACFAF" w:rsidR="008A11E4" w:rsidRPr="00851192" w:rsidRDefault="00007DC2" w:rsidP="00B23C90">
            <w:pPr>
              <w:jc w:val="center"/>
              <w:rPr>
                <w:rFonts w:ascii="Arial" w:hAnsi="Arial" w:cs="Arial"/>
                <w:b/>
              </w:rPr>
            </w:pPr>
            <w:r w:rsidRPr="00851192">
              <w:rPr>
                <w:rFonts w:ascii="Arial" w:hAnsi="Arial" w:cs="Arial"/>
                <w:b/>
              </w:rPr>
              <w:t>87</w:t>
            </w:r>
          </w:p>
        </w:tc>
      </w:tr>
      <w:tr w:rsidR="008A11E4" w:rsidRPr="00851192" w14:paraId="32BD3D12" w14:textId="77777777" w:rsidTr="00007DC2">
        <w:trPr>
          <w:trHeight w:val="337"/>
        </w:trPr>
        <w:tc>
          <w:tcPr>
            <w:tcW w:w="1547" w:type="dxa"/>
          </w:tcPr>
          <w:p w14:paraId="48285B51" w14:textId="71343319" w:rsidR="008A11E4" w:rsidRPr="00851192" w:rsidRDefault="008A11E4" w:rsidP="008A11E4">
            <w:pPr>
              <w:rPr>
                <w:rFonts w:ascii="Arial" w:hAnsi="Arial" w:cs="Arial"/>
                <w:b/>
              </w:rPr>
            </w:pPr>
            <w:r w:rsidRPr="00851192">
              <w:rPr>
                <w:rFonts w:ascii="Arial" w:hAnsi="Arial" w:cs="Arial"/>
                <w:b/>
              </w:rPr>
              <w:t>Appendix 2.2</w:t>
            </w:r>
          </w:p>
        </w:tc>
        <w:tc>
          <w:tcPr>
            <w:tcW w:w="6989" w:type="dxa"/>
          </w:tcPr>
          <w:p w14:paraId="4F43FF60" w14:textId="0CE9231A" w:rsidR="008A11E4" w:rsidRPr="00851192" w:rsidRDefault="008A11E4" w:rsidP="008A11E4">
            <w:pPr>
              <w:rPr>
                <w:rFonts w:ascii="Arial" w:hAnsi="Arial" w:cs="Arial"/>
              </w:rPr>
            </w:pPr>
            <w:r w:rsidRPr="00851192">
              <w:rPr>
                <w:rFonts w:ascii="Arial" w:hAnsi="Arial" w:cs="Arial"/>
              </w:rPr>
              <w:t>LinkedIn</w:t>
            </w:r>
          </w:p>
        </w:tc>
        <w:tc>
          <w:tcPr>
            <w:tcW w:w="1170" w:type="dxa"/>
          </w:tcPr>
          <w:p w14:paraId="7EA8F49E" w14:textId="19C67E2B" w:rsidR="008A11E4" w:rsidRPr="00851192" w:rsidRDefault="00007DC2" w:rsidP="00B23C90">
            <w:pPr>
              <w:jc w:val="center"/>
              <w:rPr>
                <w:rFonts w:ascii="Arial" w:hAnsi="Arial" w:cs="Arial"/>
                <w:b/>
              </w:rPr>
            </w:pPr>
            <w:r w:rsidRPr="00851192">
              <w:rPr>
                <w:rFonts w:ascii="Arial" w:hAnsi="Arial" w:cs="Arial"/>
                <w:b/>
              </w:rPr>
              <w:t>88</w:t>
            </w:r>
          </w:p>
        </w:tc>
      </w:tr>
      <w:tr w:rsidR="008A11E4" w:rsidRPr="00851192" w14:paraId="6E4A8B35" w14:textId="77777777" w:rsidTr="00007DC2">
        <w:trPr>
          <w:trHeight w:val="337"/>
        </w:trPr>
        <w:tc>
          <w:tcPr>
            <w:tcW w:w="1547" w:type="dxa"/>
          </w:tcPr>
          <w:p w14:paraId="318361D8" w14:textId="60B3405E" w:rsidR="008A11E4" w:rsidRPr="00851192" w:rsidRDefault="008A11E4" w:rsidP="008A11E4">
            <w:pPr>
              <w:rPr>
                <w:rFonts w:ascii="Arial" w:hAnsi="Arial" w:cs="Arial"/>
                <w:b/>
              </w:rPr>
            </w:pPr>
            <w:r w:rsidRPr="00851192">
              <w:rPr>
                <w:rFonts w:ascii="Arial" w:hAnsi="Arial" w:cs="Arial"/>
                <w:b/>
              </w:rPr>
              <w:t>Appendix 2.3</w:t>
            </w:r>
          </w:p>
        </w:tc>
        <w:tc>
          <w:tcPr>
            <w:tcW w:w="6989" w:type="dxa"/>
          </w:tcPr>
          <w:p w14:paraId="184D6F9E" w14:textId="4989E018" w:rsidR="008A11E4" w:rsidRPr="00851192" w:rsidRDefault="008A11E4" w:rsidP="008A11E4">
            <w:pPr>
              <w:rPr>
                <w:rFonts w:ascii="Arial" w:hAnsi="Arial" w:cs="Arial"/>
              </w:rPr>
            </w:pPr>
            <w:r w:rsidRPr="00851192">
              <w:rPr>
                <w:rFonts w:ascii="Arial" w:hAnsi="Arial" w:cs="Arial"/>
              </w:rPr>
              <w:t>Canadian Responsible Gambling Webpage Post</w:t>
            </w:r>
          </w:p>
        </w:tc>
        <w:tc>
          <w:tcPr>
            <w:tcW w:w="1170" w:type="dxa"/>
          </w:tcPr>
          <w:p w14:paraId="6DBFB333" w14:textId="252F29EC" w:rsidR="008A11E4" w:rsidRPr="00851192" w:rsidRDefault="00007DC2" w:rsidP="00B23C90">
            <w:pPr>
              <w:jc w:val="center"/>
              <w:rPr>
                <w:rFonts w:ascii="Arial" w:hAnsi="Arial" w:cs="Arial"/>
                <w:b/>
              </w:rPr>
            </w:pPr>
            <w:r w:rsidRPr="00851192">
              <w:rPr>
                <w:rFonts w:ascii="Arial" w:hAnsi="Arial" w:cs="Arial"/>
                <w:b/>
              </w:rPr>
              <w:t>89</w:t>
            </w:r>
          </w:p>
        </w:tc>
      </w:tr>
      <w:tr w:rsidR="008A11E4" w:rsidRPr="00851192" w14:paraId="199648DB" w14:textId="77777777" w:rsidTr="00007DC2">
        <w:trPr>
          <w:trHeight w:val="337"/>
        </w:trPr>
        <w:tc>
          <w:tcPr>
            <w:tcW w:w="1547" w:type="dxa"/>
          </w:tcPr>
          <w:p w14:paraId="67682D08" w14:textId="0DC2A965" w:rsidR="008A11E4" w:rsidRPr="00851192" w:rsidRDefault="008A11E4" w:rsidP="008A11E4">
            <w:pPr>
              <w:rPr>
                <w:rFonts w:ascii="Arial" w:hAnsi="Arial" w:cs="Arial"/>
                <w:b/>
              </w:rPr>
            </w:pPr>
            <w:r w:rsidRPr="00851192">
              <w:rPr>
                <w:rFonts w:ascii="Arial" w:hAnsi="Arial" w:cs="Arial"/>
                <w:b/>
              </w:rPr>
              <w:t>Appendix 2.4</w:t>
            </w:r>
          </w:p>
        </w:tc>
        <w:tc>
          <w:tcPr>
            <w:tcW w:w="6989" w:type="dxa"/>
          </w:tcPr>
          <w:p w14:paraId="22948285" w14:textId="1BACC6E8" w:rsidR="008A11E4" w:rsidRPr="00851192" w:rsidRDefault="008A11E4" w:rsidP="008A11E4">
            <w:pPr>
              <w:rPr>
                <w:rFonts w:ascii="Arial" w:hAnsi="Arial" w:cs="Arial"/>
              </w:rPr>
            </w:pPr>
            <w:r w:rsidRPr="00851192">
              <w:rPr>
                <w:rFonts w:ascii="Arial" w:hAnsi="Arial" w:cs="Arial"/>
              </w:rPr>
              <w:t>Australian Responsible Gambling Webpage Post</w:t>
            </w:r>
          </w:p>
        </w:tc>
        <w:tc>
          <w:tcPr>
            <w:tcW w:w="1170" w:type="dxa"/>
          </w:tcPr>
          <w:p w14:paraId="365FF066" w14:textId="1406F51C" w:rsidR="008A11E4" w:rsidRPr="00851192" w:rsidRDefault="00007DC2" w:rsidP="00B23C90">
            <w:pPr>
              <w:jc w:val="center"/>
              <w:rPr>
                <w:rFonts w:ascii="Arial" w:hAnsi="Arial" w:cs="Arial"/>
                <w:b/>
              </w:rPr>
            </w:pPr>
            <w:r w:rsidRPr="00851192">
              <w:rPr>
                <w:rFonts w:ascii="Arial" w:hAnsi="Arial" w:cs="Arial"/>
                <w:b/>
              </w:rPr>
              <w:t>89</w:t>
            </w:r>
          </w:p>
        </w:tc>
      </w:tr>
      <w:tr w:rsidR="008A11E4" w:rsidRPr="00851192" w14:paraId="11452158" w14:textId="77777777" w:rsidTr="00007DC2">
        <w:trPr>
          <w:trHeight w:val="337"/>
        </w:trPr>
        <w:tc>
          <w:tcPr>
            <w:tcW w:w="1547" w:type="dxa"/>
          </w:tcPr>
          <w:p w14:paraId="3EA874F0" w14:textId="2DBBCD63" w:rsidR="008A11E4" w:rsidRPr="00851192" w:rsidRDefault="008A11E4" w:rsidP="008A11E4">
            <w:pPr>
              <w:rPr>
                <w:rFonts w:ascii="Arial" w:hAnsi="Arial" w:cs="Arial"/>
                <w:b/>
              </w:rPr>
            </w:pPr>
            <w:r w:rsidRPr="00851192">
              <w:rPr>
                <w:rFonts w:ascii="Arial" w:hAnsi="Arial" w:cs="Arial"/>
                <w:b/>
              </w:rPr>
              <w:t>Appendix 2.5</w:t>
            </w:r>
          </w:p>
        </w:tc>
        <w:tc>
          <w:tcPr>
            <w:tcW w:w="6989" w:type="dxa"/>
          </w:tcPr>
          <w:p w14:paraId="5F9AF879" w14:textId="2AA1B7CA" w:rsidR="008A11E4" w:rsidRPr="00851192" w:rsidRDefault="008A11E4" w:rsidP="008A11E4">
            <w:pPr>
              <w:rPr>
                <w:rFonts w:ascii="Arial" w:hAnsi="Arial" w:cs="Arial"/>
              </w:rPr>
            </w:pPr>
            <w:r w:rsidRPr="00851192">
              <w:rPr>
                <w:rFonts w:ascii="Arial" w:hAnsi="Arial" w:cs="Arial"/>
              </w:rPr>
              <w:t>Responsible Gambling Week Limitation</w:t>
            </w:r>
          </w:p>
        </w:tc>
        <w:tc>
          <w:tcPr>
            <w:tcW w:w="1170" w:type="dxa"/>
          </w:tcPr>
          <w:p w14:paraId="573B1944" w14:textId="20F455A6" w:rsidR="008A11E4" w:rsidRPr="00851192" w:rsidRDefault="00007DC2" w:rsidP="00B23C90">
            <w:pPr>
              <w:jc w:val="center"/>
              <w:rPr>
                <w:rFonts w:ascii="Arial" w:hAnsi="Arial" w:cs="Arial"/>
                <w:b/>
              </w:rPr>
            </w:pPr>
            <w:r w:rsidRPr="00851192">
              <w:rPr>
                <w:rFonts w:ascii="Arial" w:hAnsi="Arial" w:cs="Arial"/>
                <w:b/>
              </w:rPr>
              <w:t>90</w:t>
            </w:r>
          </w:p>
        </w:tc>
      </w:tr>
      <w:tr w:rsidR="00007DC2" w:rsidRPr="00851192" w14:paraId="208A5A9C" w14:textId="77777777" w:rsidTr="00007DC2">
        <w:trPr>
          <w:trHeight w:val="337"/>
        </w:trPr>
        <w:tc>
          <w:tcPr>
            <w:tcW w:w="1547" w:type="dxa"/>
          </w:tcPr>
          <w:p w14:paraId="02E58B45" w14:textId="3377CC61" w:rsidR="00007DC2" w:rsidRPr="00851192" w:rsidRDefault="00007DC2" w:rsidP="008A11E4">
            <w:pPr>
              <w:rPr>
                <w:rFonts w:ascii="Arial" w:hAnsi="Arial" w:cs="Arial"/>
                <w:b/>
              </w:rPr>
            </w:pPr>
            <w:r w:rsidRPr="00851192">
              <w:rPr>
                <w:rFonts w:ascii="Arial" w:hAnsi="Arial" w:cs="Arial"/>
                <w:b/>
              </w:rPr>
              <w:t>Appendix 2.6</w:t>
            </w:r>
          </w:p>
        </w:tc>
        <w:tc>
          <w:tcPr>
            <w:tcW w:w="6989" w:type="dxa"/>
          </w:tcPr>
          <w:p w14:paraId="3B1C8B31" w14:textId="15E88753" w:rsidR="00007DC2" w:rsidRPr="00851192" w:rsidRDefault="00007DC2" w:rsidP="008A11E4">
            <w:pPr>
              <w:rPr>
                <w:rFonts w:ascii="Arial" w:hAnsi="Arial" w:cs="Arial"/>
              </w:rPr>
            </w:pPr>
            <w:r w:rsidRPr="00851192">
              <w:rPr>
                <w:rFonts w:ascii="Arial" w:hAnsi="Arial" w:cs="Arial"/>
              </w:rPr>
              <w:t>Responsible Gambling Council</w:t>
            </w:r>
          </w:p>
        </w:tc>
        <w:tc>
          <w:tcPr>
            <w:tcW w:w="1170" w:type="dxa"/>
          </w:tcPr>
          <w:p w14:paraId="5114A853" w14:textId="33E1A49E" w:rsidR="00007DC2" w:rsidRPr="00851192" w:rsidRDefault="00007DC2" w:rsidP="00B23C90">
            <w:pPr>
              <w:jc w:val="center"/>
              <w:rPr>
                <w:rFonts w:ascii="Arial" w:hAnsi="Arial" w:cs="Arial"/>
                <w:b/>
              </w:rPr>
            </w:pPr>
            <w:r w:rsidRPr="00851192">
              <w:rPr>
                <w:rFonts w:ascii="Arial" w:hAnsi="Arial" w:cs="Arial"/>
                <w:b/>
              </w:rPr>
              <w:t>92</w:t>
            </w:r>
          </w:p>
        </w:tc>
      </w:tr>
      <w:tr w:rsidR="00007DC2" w:rsidRPr="00851192" w14:paraId="1B58C39D" w14:textId="77777777" w:rsidTr="00007DC2">
        <w:trPr>
          <w:trHeight w:val="337"/>
        </w:trPr>
        <w:tc>
          <w:tcPr>
            <w:tcW w:w="1547" w:type="dxa"/>
          </w:tcPr>
          <w:p w14:paraId="613F307F" w14:textId="5BD83DF1" w:rsidR="00007DC2" w:rsidRPr="00851192" w:rsidRDefault="00007DC2" w:rsidP="008A11E4">
            <w:pPr>
              <w:rPr>
                <w:rFonts w:ascii="Arial" w:hAnsi="Arial" w:cs="Arial"/>
                <w:b/>
              </w:rPr>
            </w:pPr>
            <w:r w:rsidRPr="00851192">
              <w:rPr>
                <w:rFonts w:ascii="Arial" w:hAnsi="Arial" w:cs="Arial"/>
                <w:b/>
              </w:rPr>
              <w:t>Appendix 2.7</w:t>
            </w:r>
          </w:p>
        </w:tc>
        <w:tc>
          <w:tcPr>
            <w:tcW w:w="6989" w:type="dxa"/>
          </w:tcPr>
          <w:p w14:paraId="50347365" w14:textId="7F3AC0AB" w:rsidR="00007DC2" w:rsidRPr="00851192" w:rsidRDefault="00007DC2" w:rsidP="008A11E4">
            <w:pPr>
              <w:rPr>
                <w:rFonts w:ascii="Arial" w:hAnsi="Arial" w:cs="Arial"/>
              </w:rPr>
            </w:pPr>
            <w:r w:rsidRPr="00851192">
              <w:rPr>
                <w:rFonts w:ascii="Arial" w:hAnsi="Arial" w:cs="Arial"/>
              </w:rPr>
              <w:t>Elite Kenya</w:t>
            </w:r>
          </w:p>
        </w:tc>
        <w:tc>
          <w:tcPr>
            <w:tcW w:w="1170" w:type="dxa"/>
          </w:tcPr>
          <w:p w14:paraId="073BC748" w14:textId="455F978D" w:rsidR="00007DC2" w:rsidRPr="00851192" w:rsidRDefault="00007DC2" w:rsidP="00B23C90">
            <w:pPr>
              <w:jc w:val="center"/>
              <w:rPr>
                <w:rFonts w:ascii="Arial" w:hAnsi="Arial" w:cs="Arial"/>
                <w:b/>
              </w:rPr>
            </w:pPr>
            <w:r w:rsidRPr="00851192">
              <w:rPr>
                <w:rFonts w:ascii="Arial" w:hAnsi="Arial" w:cs="Arial"/>
                <w:b/>
              </w:rPr>
              <w:t>93</w:t>
            </w:r>
          </w:p>
        </w:tc>
      </w:tr>
      <w:tr w:rsidR="008A11E4" w:rsidRPr="00851192" w14:paraId="6736908C" w14:textId="77777777" w:rsidTr="00007DC2">
        <w:trPr>
          <w:trHeight w:val="337"/>
        </w:trPr>
        <w:tc>
          <w:tcPr>
            <w:tcW w:w="1547" w:type="dxa"/>
          </w:tcPr>
          <w:p w14:paraId="1EFB22D6" w14:textId="77777777" w:rsidR="008A11E4" w:rsidRPr="00851192" w:rsidRDefault="008A11E4" w:rsidP="008A11E4">
            <w:pPr>
              <w:rPr>
                <w:rFonts w:ascii="Arial" w:hAnsi="Arial" w:cs="Arial"/>
                <w:b/>
              </w:rPr>
            </w:pPr>
          </w:p>
        </w:tc>
        <w:tc>
          <w:tcPr>
            <w:tcW w:w="6989" w:type="dxa"/>
          </w:tcPr>
          <w:p w14:paraId="23742597" w14:textId="0AA737C8" w:rsidR="008A11E4" w:rsidRPr="00851192" w:rsidRDefault="008A11E4" w:rsidP="008A11E4">
            <w:pPr>
              <w:rPr>
                <w:rFonts w:ascii="Arial" w:hAnsi="Arial" w:cs="Arial"/>
                <w:b/>
              </w:rPr>
            </w:pPr>
            <w:r w:rsidRPr="00851192">
              <w:rPr>
                <w:rFonts w:ascii="Arial" w:hAnsi="Arial" w:cs="Arial"/>
                <w:b/>
              </w:rPr>
              <w:t>Tables have been placed in the appendices as support to the analysis and evaluation taken place in chapter four</w:t>
            </w:r>
          </w:p>
        </w:tc>
        <w:tc>
          <w:tcPr>
            <w:tcW w:w="1170" w:type="dxa"/>
          </w:tcPr>
          <w:p w14:paraId="39D2CE06" w14:textId="77777777" w:rsidR="008A11E4" w:rsidRPr="00851192" w:rsidRDefault="008A11E4" w:rsidP="00B23C90">
            <w:pPr>
              <w:jc w:val="center"/>
              <w:rPr>
                <w:rFonts w:ascii="Arial" w:hAnsi="Arial" w:cs="Arial"/>
                <w:b/>
              </w:rPr>
            </w:pPr>
          </w:p>
        </w:tc>
      </w:tr>
      <w:tr w:rsidR="00007DC2" w:rsidRPr="00851192" w14:paraId="7D8F1EF4" w14:textId="77777777" w:rsidTr="00007DC2">
        <w:trPr>
          <w:trHeight w:val="337"/>
        </w:trPr>
        <w:tc>
          <w:tcPr>
            <w:tcW w:w="1547" w:type="dxa"/>
          </w:tcPr>
          <w:p w14:paraId="17329085" w14:textId="77777777" w:rsidR="00007DC2" w:rsidRPr="00851192" w:rsidRDefault="00007DC2" w:rsidP="00007DC2">
            <w:pPr>
              <w:rPr>
                <w:rFonts w:ascii="Arial" w:hAnsi="Arial" w:cs="Arial"/>
                <w:b/>
              </w:rPr>
            </w:pPr>
            <w:r w:rsidRPr="00851192">
              <w:rPr>
                <w:rFonts w:ascii="Arial" w:hAnsi="Arial" w:cs="Arial"/>
                <w:b/>
              </w:rPr>
              <w:t>Table 7</w:t>
            </w:r>
          </w:p>
        </w:tc>
        <w:tc>
          <w:tcPr>
            <w:tcW w:w="6989" w:type="dxa"/>
          </w:tcPr>
          <w:p w14:paraId="09DF05E0" w14:textId="77777777" w:rsidR="00007DC2" w:rsidRPr="00851192" w:rsidRDefault="00007DC2" w:rsidP="00007DC2">
            <w:pPr>
              <w:rPr>
                <w:rFonts w:ascii="Arial" w:hAnsi="Arial" w:cs="Arial"/>
              </w:rPr>
            </w:pPr>
            <w:r w:rsidRPr="00851192">
              <w:rPr>
                <w:rFonts w:ascii="Arial" w:hAnsi="Arial" w:cs="Arial"/>
              </w:rPr>
              <w:t>Global Gambling Operator and Responsible Gambling</w:t>
            </w:r>
          </w:p>
        </w:tc>
        <w:tc>
          <w:tcPr>
            <w:tcW w:w="1170" w:type="dxa"/>
          </w:tcPr>
          <w:p w14:paraId="4BF127C2" w14:textId="764D63D7" w:rsidR="00007DC2" w:rsidRPr="00851192" w:rsidRDefault="00007DC2" w:rsidP="00B23C90">
            <w:pPr>
              <w:jc w:val="center"/>
              <w:rPr>
                <w:rFonts w:ascii="Arial" w:hAnsi="Arial" w:cs="Arial"/>
                <w:b/>
              </w:rPr>
            </w:pPr>
            <w:r w:rsidRPr="00851192">
              <w:rPr>
                <w:rFonts w:ascii="Arial" w:hAnsi="Arial" w:cs="Arial"/>
                <w:b/>
              </w:rPr>
              <w:t>94</w:t>
            </w:r>
          </w:p>
        </w:tc>
      </w:tr>
      <w:tr w:rsidR="00007DC2" w:rsidRPr="00851192" w14:paraId="03409E6A" w14:textId="77777777" w:rsidTr="00007DC2">
        <w:trPr>
          <w:trHeight w:val="337"/>
        </w:trPr>
        <w:tc>
          <w:tcPr>
            <w:tcW w:w="1547" w:type="dxa"/>
          </w:tcPr>
          <w:p w14:paraId="76A382E7" w14:textId="77777777" w:rsidR="00007DC2" w:rsidRPr="00851192" w:rsidRDefault="00007DC2" w:rsidP="00007DC2">
            <w:pPr>
              <w:rPr>
                <w:rFonts w:ascii="Arial" w:hAnsi="Arial" w:cs="Arial"/>
                <w:b/>
              </w:rPr>
            </w:pPr>
            <w:r w:rsidRPr="00851192">
              <w:rPr>
                <w:rFonts w:ascii="Arial" w:hAnsi="Arial" w:cs="Arial"/>
                <w:b/>
              </w:rPr>
              <w:t>Table 7.1</w:t>
            </w:r>
          </w:p>
        </w:tc>
        <w:tc>
          <w:tcPr>
            <w:tcW w:w="6989" w:type="dxa"/>
          </w:tcPr>
          <w:p w14:paraId="79E1D951" w14:textId="77777777" w:rsidR="00007DC2" w:rsidRPr="00851192" w:rsidRDefault="00007DC2" w:rsidP="00007DC2">
            <w:pPr>
              <w:rPr>
                <w:rFonts w:ascii="Arial" w:hAnsi="Arial" w:cs="Arial"/>
              </w:rPr>
            </w:pPr>
            <w:r w:rsidRPr="00851192">
              <w:rPr>
                <w:rFonts w:ascii="Arial" w:hAnsi="Arial" w:cs="Arial"/>
              </w:rPr>
              <w:t>Global Gambling Operators and Fair Gaming</w:t>
            </w:r>
          </w:p>
        </w:tc>
        <w:tc>
          <w:tcPr>
            <w:tcW w:w="1170" w:type="dxa"/>
          </w:tcPr>
          <w:p w14:paraId="685AECF0" w14:textId="11FC18FB" w:rsidR="00007DC2" w:rsidRPr="00851192" w:rsidRDefault="00007DC2" w:rsidP="00B23C90">
            <w:pPr>
              <w:jc w:val="center"/>
              <w:rPr>
                <w:rFonts w:ascii="Arial" w:hAnsi="Arial" w:cs="Arial"/>
                <w:b/>
              </w:rPr>
            </w:pPr>
            <w:r w:rsidRPr="00851192">
              <w:rPr>
                <w:rFonts w:ascii="Arial" w:hAnsi="Arial" w:cs="Arial"/>
                <w:b/>
              </w:rPr>
              <w:t>96</w:t>
            </w:r>
          </w:p>
        </w:tc>
      </w:tr>
      <w:tr w:rsidR="00007DC2" w:rsidRPr="00851192" w14:paraId="125AE852" w14:textId="77777777" w:rsidTr="00007DC2">
        <w:trPr>
          <w:trHeight w:val="337"/>
        </w:trPr>
        <w:tc>
          <w:tcPr>
            <w:tcW w:w="1547" w:type="dxa"/>
          </w:tcPr>
          <w:p w14:paraId="6109F936" w14:textId="77777777" w:rsidR="00007DC2" w:rsidRPr="00851192" w:rsidRDefault="00007DC2" w:rsidP="00007DC2">
            <w:pPr>
              <w:rPr>
                <w:rFonts w:ascii="Arial" w:hAnsi="Arial" w:cs="Arial"/>
                <w:b/>
              </w:rPr>
            </w:pPr>
            <w:r w:rsidRPr="00851192">
              <w:rPr>
                <w:rFonts w:ascii="Arial" w:hAnsi="Arial" w:cs="Arial"/>
                <w:b/>
              </w:rPr>
              <w:t>Table 7.2</w:t>
            </w:r>
          </w:p>
        </w:tc>
        <w:tc>
          <w:tcPr>
            <w:tcW w:w="6989" w:type="dxa"/>
          </w:tcPr>
          <w:p w14:paraId="56AA6901" w14:textId="77777777" w:rsidR="00007DC2" w:rsidRPr="00851192" w:rsidRDefault="00007DC2" w:rsidP="00007DC2">
            <w:pPr>
              <w:rPr>
                <w:rFonts w:ascii="Arial" w:hAnsi="Arial" w:cs="Arial"/>
              </w:rPr>
            </w:pPr>
            <w:r w:rsidRPr="00851192">
              <w:rPr>
                <w:rFonts w:ascii="Arial" w:hAnsi="Arial" w:cs="Arial"/>
              </w:rPr>
              <w:t>Global Gambling Operators and Ethical / Responsible Statements</w:t>
            </w:r>
          </w:p>
        </w:tc>
        <w:tc>
          <w:tcPr>
            <w:tcW w:w="1170" w:type="dxa"/>
          </w:tcPr>
          <w:p w14:paraId="628B3AC8" w14:textId="0F5721FD" w:rsidR="00007DC2" w:rsidRPr="00851192" w:rsidRDefault="00007DC2" w:rsidP="00B23C90">
            <w:pPr>
              <w:jc w:val="center"/>
              <w:rPr>
                <w:rFonts w:ascii="Arial" w:hAnsi="Arial" w:cs="Arial"/>
                <w:b/>
              </w:rPr>
            </w:pPr>
            <w:r w:rsidRPr="00851192">
              <w:rPr>
                <w:rFonts w:ascii="Arial" w:hAnsi="Arial" w:cs="Arial"/>
                <w:b/>
              </w:rPr>
              <w:t>98</w:t>
            </w:r>
          </w:p>
        </w:tc>
      </w:tr>
      <w:tr w:rsidR="00007DC2" w:rsidRPr="00851192" w14:paraId="37E2DB33" w14:textId="77777777" w:rsidTr="00007DC2">
        <w:trPr>
          <w:trHeight w:val="337"/>
        </w:trPr>
        <w:tc>
          <w:tcPr>
            <w:tcW w:w="1547" w:type="dxa"/>
          </w:tcPr>
          <w:p w14:paraId="448F4737" w14:textId="77777777" w:rsidR="00007DC2" w:rsidRPr="00851192" w:rsidRDefault="00007DC2" w:rsidP="00007DC2">
            <w:pPr>
              <w:rPr>
                <w:rFonts w:ascii="Arial" w:hAnsi="Arial" w:cs="Arial"/>
                <w:b/>
              </w:rPr>
            </w:pPr>
            <w:r w:rsidRPr="00851192">
              <w:rPr>
                <w:rFonts w:ascii="Arial" w:hAnsi="Arial" w:cs="Arial"/>
                <w:b/>
              </w:rPr>
              <w:t>Table 7.3</w:t>
            </w:r>
          </w:p>
        </w:tc>
        <w:tc>
          <w:tcPr>
            <w:tcW w:w="6989" w:type="dxa"/>
          </w:tcPr>
          <w:p w14:paraId="47ABD003" w14:textId="77777777" w:rsidR="00007DC2" w:rsidRPr="00851192" w:rsidRDefault="00007DC2" w:rsidP="00007DC2">
            <w:pPr>
              <w:rPr>
                <w:rFonts w:ascii="Arial" w:hAnsi="Arial" w:cs="Arial"/>
              </w:rPr>
            </w:pPr>
            <w:r w:rsidRPr="00851192">
              <w:rPr>
                <w:rFonts w:ascii="Arial" w:hAnsi="Arial" w:cs="Arial"/>
              </w:rPr>
              <w:t>Global Gambling Operators and Self-exclusion Facilities</w:t>
            </w:r>
          </w:p>
        </w:tc>
        <w:tc>
          <w:tcPr>
            <w:tcW w:w="1170" w:type="dxa"/>
          </w:tcPr>
          <w:p w14:paraId="2557E46C" w14:textId="1CBFA15B" w:rsidR="00007DC2" w:rsidRPr="00851192" w:rsidRDefault="00007DC2" w:rsidP="00B23C90">
            <w:pPr>
              <w:jc w:val="center"/>
              <w:rPr>
                <w:rFonts w:ascii="Arial" w:hAnsi="Arial" w:cs="Arial"/>
                <w:b/>
              </w:rPr>
            </w:pPr>
            <w:r w:rsidRPr="00851192">
              <w:rPr>
                <w:rFonts w:ascii="Arial" w:hAnsi="Arial" w:cs="Arial"/>
                <w:b/>
              </w:rPr>
              <w:t>99</w:t>
            </w:r>
          </w:p>
        </w:tc>
      </w:tr>
      <w:tr w:rsidR="00007DC2" w:rsidRPr="00851192" w14:paraId="55A867FC" w14:textId="77777777" w:rsidTr="00007DC2">
        <w:trPr>
          <w:trHeight w:val="337"/>
        </w:trPr>
        <w:tc>
          <w:tcPr>
            <w:tcW w:w="1547" w:type="dxa"/>
          </w:tcPr>
          <w:p w14:paraId="150016CF" w14:textId="77777777" w:rsidR="00007DC2" w:rsidRPr="00851192" w:rsidRDefault="00007DC2" w:rsidP="00007DC2">
            <w:pPr>
              <w:rPr>
                <w:rFonts w:ascii="Arial" w:hAnsi="Arial" w:cs="Arial"/>
                <w:b/>
              </w:rPr>
            </w:pPr>
            <w:r w:rsidRPr="00851192">
              <w:rPr>
                <w:rFonts w:ascii="Arial" w:hAnsi="Arial" w:cs="Arial"/>
                <w:b/>
              </w:rPr>
              <w:t>Table 7.4</w:t>
            </w:r>
          </w:p>
        </w:tc>
        <w:tc>
          <w:tcPr>
            <w:tcW w:w="6989" w:type="dxa"/>
          </w:tcPr>
          <w:p w14:paraId="3F77D087" w14:textId="77777777" w:rsidR="00007DC2" w:rsidRPr="00851192" w:rsidRDefault="00007DC2" w:rsidP="00007DC2">
            <w:pPr>
              <w:rPr>
                <w:rFonts w:ascii="Arial" w:hAnsi="Arial" w:cs="Arial"/>
              </w:rPr>
            </w:pPr>
            <w:r w:rsidRPr="00851192">
              <w:rPr>
                <w:rFonts w:ascii="Arial" w:hAnsi="Arial" w:cs="Arial"/>
              </w:rPr>
              <w:t>Global Gambling Operators and Social Media Presence</w:t>
            </w:r>
          </w:p>
        </w:tc>
        <w:tc>
          <w:tcPr>
            <w:tcW w:w="1170" w:type="dxa"/>
          </w:tcPr>
          <w:p w14:paraId="72878FE6" w14:textId="7E9DED9B" w:rsidR="00007DC2" w:rsidRPr="00851192" w:rsidRDefault="00007DC2" w:rsidP="00B23C90">
            <w:pPr>
              <w:jc w:val="center"/>
              <w:rPr>
                <w:rFonts w:ascii="Arial" w:hAnsi="Arial" w:cs="Arial"/>
                <w:b/>
              </w:rPr>
            </w:pPr>
            <w:r w:rsidRPr="00851192">
              <w:rPr>
                <w:rFonts w:ascii="Arial" w:hAnsi="Arial" w:cs="Arial"/>
                <w:b/>
              </w:rPr>
              <w:t>101</w:t>
            </w:r>
          </w:p>
        </w:tc>
      </w:tr>
      <w:tr w:rsidR="00007DC2" w:rsidRPr="00851192" w14:paraId="4C6104E8" w14:textId="77777777" w:rsidTr="00007DC2">
        <w:trPr>
          <w:trHeight w:val="337"/>
        </w:trPr>
        <w:tc>
          <w:tcPr>
            <w:tcW w:w="1547" w:type="dxa"/>
          </w:tcPr>
          <w:p w14:paraId="38AA0B16" w14:textId="77777777" w:rsidR="00007DC2" w:rsidRPr="00851192" w:rsidRDefault="00007DC2" w:rsidP="00007DC2">
            <w:pPr>
              <w:rPr>
                <w:rFonts w:ascii="Arial" w:hAnsi="Arial" w:cs="Arial"/>
                <w:b/>
              </w:rPr>
            </w:pPr>
            <w:r w:rsidRPr="00851192">
              <w:rPr>
                <w:rFonts w:ascii="Arial" w:hAnsi="Arial" w:cs="Arial"/>
                <w:b/>
              </w:rPr>
              <w:t>Table 7.5</w:t>
            </w:r>
          </w:p>
        </w:tc>
        <w:tc>
          <w:tcPr>
            <w:tcW w:w="6989" w:type="dxa"/>
          </w:tcPr>
          <w:p w14:paraId="6E780AFA" w14:textId="77777777" w:rsidR="00007DC2" w:rsidRPr="00851192" w:rsidRDefault="00007DC2" w:rsidP="00007DC2">
            <w:pPr>
              <w:rPr>
                <w:rFonts w:ascii="Arial" w:hAnsi="Arial" w:cs="Arial"/>
              </w:rPr>
            </w:pPr>
            <w:r w:rsidRPr="00851192">
              <w:rPr>
                <w:rFonts w:ascii="Arial" w:hAnsi="Arial" w:cs="Arial"/>
              </w:rPr>
              <w:t>Global Gambling Operators and Age Verification</w:t>
            </w:r>
          </w:p>
        </w:tc>
        <w:tc>
          <w:tcPr>
            <w:tcW w:w="1170" w:type="dxa"/>
          </w:tcPr>
          <w:p w14:paraId="0E4A1DAC" w14:textId="0BB15371" w:rsidR="00007DC2" w:rsidRPr="00851192" w:rsidRDefault="00007DC2" w:rsidP="00B23C90">
            <w:pPr>
              <w:jc w:val="center"/>
              <w:rPr>
                <w:rFonts w:ascii="Arial" w:hAnsi="Arial" w:cs="Arial"/>
                <w:b/>
              </w:rPr>
            </w:pPr>
            <w:r w:rsidRPr="00851192">
              <w:rPr>
                <w:rFonts w:ascii="Arial" w:hAnsi="Arial" w:cs="Arial"/>
                <w:b/>
              </w:rPr>
              <w:t>103</w:t>
            </w:r>
          </w:p>
        </w:tc>
      </w:tr>
      <w:tr w:rsidR="00007DC2" w:rsidRPr="00851192" w14:paraId="19CE9321" w14:textId="77777777" w:rsidTr="00007DC2">
        <w:trPr>
          <w:trHeight w:val="337"/>
        </w:trPr>
        <w:tc>
          <w:tcPr>
            <w:tcW w:w="1547" w:type="dxa"/>
          </w:tcPr>
          <w:p w14:paraId="410625AD" w14:textId="77777777" w:rsidR="00007DC2" w:rsidRPr="00851192" w:rsidRDefault="00007DC2" w:rsidP="00007DC2">
            <w:pPr>
              <w:rPr>
                <w:rFonts w:ascii="Arial" w:hAnsi="Arial" w:cs="Arial"/>
                <w:b/>
              </w:rPr>
            </w:pPr>
            <w:r w:rsidRPr="00851192">
              <w:rPr>
                <w:rFonts w:ascii="Arial" w:hAnsi="Arial" w:cs="Arial"/>
                <w:b/>
              </w:rPr>
              <w:t>Table 7.6</w:t>
            </w:r>
          </w:p>
        </w:tc>
        <w:tc>
          <w:tcPr>
            <w:tcW w:w="6989" w:type="dxa"/>
          </w:tcPr>
          <w:p w14:paraId="23E03F2E" w14:textId="77777777" w:rsidR="00007DC2" w:rsidRPr="00851192" w:rsidRDefault="00007DC2" w:rsidP="00007DC2">
            <w:pPr>
              <w:rPr>
                <w:rFonts w:ascii="Arial" w:hAnsi="Arial" w:cs="Arial"/>
              </w:rPr>
            </w:pPr>
            <w:r w:rsidRPr="00851192">
              <w:rPr>
                <w:rFonts w:ascii="Arial" w:hAnsi="Arial" w:cs="Arial"/>
              </w:rPr>
              <w:t>Global Gambling Operators and Technical Support</w:t>
            </w:r>
          </w:p>
        </w:tc>
        <w:tc>
          <w:tcPr>
            <w:tcW w:w="1170" w:type="dxa"/>
          </w:tcPr>
          <w:p w14:paraId="6CE49FAD" w14:textId="2CDABA8B" w:rsidR="00007DC2" w:rsidRPr="00851192" w:rsidRDefault="00007DC2" w:rsidP="00B23C90">
            <w:pPr>
              <w:jc w:val="center"/>
              <w:rPr>
                <w:rFonts w:ascii="Arial" w:hAnsi="Arial" w:cs="Arial"/>
                <w:b/>
              </w:rPr>
            </w:pPr>
            <w:r w:rsidRPr="00851192">
              <w:rPr>
                <w:rFonts w:ascii="Arial" w:hAnsi="Arial" w:cs="Arial"/>
                <w:b/>
              </w:rPr>
              <w:t>104</w:t>
            </w:r>
          </w:p>
        </w:tc>
      </w:tr>
      <w:tr w:rsidR="00007DC2" w:rsidRPr="00851192" w14:paraId="1FCED815" w14:textId="77777777" w:rsidTr="00007DC2">
        <w:trPr>
          <w:trHeight w:val="337"/>
        </w:trPr>
        <w:tc>
          <w:tcPr>
            <w:tcW w:w="1547" w:type="dxa"/>
          </w:tcPr>
          <w:p w14:paraId="24EF2664" w14:textId="77777777" w:rsidR="00007DC2" w:rsidRPr="00851192" w:rsidRDefault="00007DC2" w:rsidP="00007DC2">
            <w:pPr>
              <w:rPr>
                <w:rFonts w:ascii="Arial" w:hAnsi="Arial" w:cs="Arial"/>
                <w:b/>
              </w:rPr>
            </w:pPr>
            <w:r w:rsidRPr="00851192">
              <w:rPr>
                <w:rFonts w:ascii="Arial" w:hAnsi="Arial" w:cs="Arial"/>
                <w:b/>
              </w:rPr>
              <w:t>Table 7.7</w:t>
            </w:r>
          </w:p>
        </w:tc>
        <w:tc>
          <w:tcPr>
            <w:tcW w:w="6989" w:type="dxa"/>
          </w:tcPr>
          <w:p w14:paraId="05A09629" w14:textId="77777777" w:rsidR="00007DC2" w:rsidRPr="00851192" w:rsidRDefault="00007DC2" w:rsidP="00007DC2">
            <w:pPr>
              <w:rPr>
                <w:rFonts w:ascii="Arial" w:hAnsi="Arial" w:cs="Arial"/>
              </w:rPr>
            </w:pPr>
            <w:r w:rsidRPr="00851192">
              <w:rPr>
                <w:rFonts w:ascii="Arial" w:hAnsi="Arial" w:cs="Arial"/>
              </w:rPr>
              <w:t xml:space="preserve">Global Gambling Operators and Promotional Gambling Advertisement </w:t>
            </w:r>
          </w:p>
        </w:tc>
        <w:tc>
          <w:tcPr>
            <w:tcW w:w="1170" w:type="dxa"/>
          </w:tcPr>
          <w:p w14:paraId="7CAD4F79" w14:textId="5E332B94" w:rsidR="00007DC2" w:rsidRPr="00851192" w:rsidRDefault="00007DC2" w:rsidP="00B23C90">
            <w:pPr>
              <w:jc w:val="center"/>
              <w:rPr>
                <w:rFonts w:ascii="Arial" w:hAnsi="Arial" w:cs="Arial"/>
                <w:b/>
              </w:rPr>
            </w:pPr>
            <w:r w:rsidRPr="00851192">
              <w:rPr>
                <w:rFonts w:ascii="Arial" w:hAnsi="Arial" w:cs="Arial"/>
                <w:b/>
              </w:rPr>
              <w:t>106</w:t>
            </w:r>
          </w:p>
        </w:tc>
      </w:tr>
      <w:tr w:rsidR="00007DC2" w:rsidRPr="00851192" w14:paraId="6AAD43F7" w14:textId="77777777" w:rsidTr="00007DC2">
        <w:trPr>
          <w:trHeight w:val="337"/>
        </w:trPr>
        <w:tc>
          <w:tcPr>
            <w:tcW w:w="1547" w:type="dxa"/>
          </w:tcPr>
          <w:p w14:paraId="5D4472AC" w14:textId="77777777" w:rsidR="00007DC2" w:rsidRPr="00851192" w:rsidRDefault="00007DC2" w:rsidP="00007DC2">
            <w:pPr>
              <w:rPr>
                <w:rFonts w:ascii="Arial" w:hAnsi="Arial" w:cs="Arial"/>
                <w:b/>
              </w:rPr>
            </w:pPr>
            <w:r w:rsidRPr="00851192">
              <w:rPr>
                <w:rFonts w:ascii="Arial" w:hAnsi="Arial" w:cs="Arial"/>
                <w:b/>
              </w:rPr>
              <w:t>Table 7.8</w:t>
            </w:r>
          </w:p>
        </w:tc>
        <w:tc>
          <w:tcPr>
            <w:tcW w:w="6989" w:type="dxa"/>
          </w:tcPr>
          <w:p w14:paraId="25F0108B" w14:textId="77777777" w:rsidR="00007DC2" w:rsidRPr="00851192" w:rsidRDefault="00007DC2" w:rsidP="00007DC2">
            <w:pPr>
              <w:rPr>
                <w:rFonts w:ascii="Arial" w:hAnsi="Arial" w:cs="Arial"/>
              </w:rPr>
            </w:pPr>
            <w:r w:rsidRPr="00851192">
              <w:rPr>
                <w:rFonts w:ascii="Arial" w:hAnsi="Arial" w:cs="Arial"/>
              </w:rPr>
              <w:t>Global Gambling Operators and Secure Transaction</w:t>
            </w:r>
          </w:p>
        </w:tc>
        <w:tc>
          <w:tcPr>
            <w:tcW w:w="1170" w:type="dxa"/>
          </w:tcPr>
          <w:p w14:paraId="05B77918" w14:textId="6C1BB8BC" w:rsidR="00007DC2" w:rsidRPr="00851192" w:rsidRDefault="00007DC2" w:rsidP="00B23C90">
            <w:pPr>
              <w:jc w:val="center"/>
              <w:rPr>
                <w:rFonts w:ascii="Arial" w:hAnsi="Arial" w:cs="Arial"/>
                <w:b/>
              </w:rPr>
            </w:pPr>
            <w:r w:rsidRPr="00851192">
              <w:rPr>
                <w:rFonts w:ascii="Arial" w:hAnsi="Arial" w:cs="Arial"/>
                <w:b/>
              </w:rPr>
              <w:t>109</w:t>
            </w:r>
          </w:p>
        </w:tc>
      </w:tr>
      <w:tr w:rsidR="00007DC2" w:rsidRPr="00851192" w14:paraId="5180C72C" w14:textId="77777777" w:rsidTr="00007DC2">
        <w:trPr>
          <w:trHeight w:val="337"/>
        </w:trPr>
        <w:tc>
          <w:tcPr>
            <w:tcW w:w="1547" w:type="dxa"/>
          </w:tcPr>
          <w:p w14:paraId="1415480E" w14:textId="77777777" w:rsidR="00007DC2" w:rsidRPr="00851192" w:rsidRDefault="00007DC2" w:rsidP="00007DC2">
            <w:pPr>
              <w:rPr>
                <w:rFonts w:ascii="Arial" w:hAnsi="Arial" w:cs="Arial"/>
                <w:b/>
              </w:rPr>
            </w:pPr>
            <w:r w:rsidRPr="00851192">
              <w:rPr>
                <w:rFonts w:ascii="Arial" w:hAnsi="Arial" w:cs="Arial"/>
                <w:b/>
              </w:rPr>
              <w:t>Table 7.9</w:t>
            </w:r>
          </w:p>
        </w:tc>
        <w:tc>
          <w:tcPr>
            <w:tcW w:w="6989" w:type="dxa"/>
          </w:tcPr>
          <w:p w14:paraId="0F79F517" w14:textId="77777777" w:rsidR="00007DC2" w:rsidRPr="00851192" w:rsidRDefault="00007DC2" w:rsidP="00007DC2">
            <w:pPr>
              <w:rPr>
                <w:rFonts w:ascii="Arial" w:hAnsi="Arial" w:cs="Arial"/>
              </w:rPr>
            </w:pPr>
            <w:r w:rsidRPr="00851192">
              <w:rPr>
                <w:rFonts w:ascii="Arial" w:hAnsi="Arial" w:cs="Arial"/>
              </w:rPr>
              <w:t>Global Gambling Operators and Money Bank Services</w:t>
            </w:r>
          </w:p>
        </w:tc>
        <w:tc>
          <w:tcPr>
            <w:tcW w:w="1170" w:type="dxa"/>
          </w:tcPr>
          <w:p w14:paraId="54BC2914" w14:textId="7E8AFAAE" w:rsidR="00007DC2" w:rsidRPr="00851192" w:rsidRDefault="00007DC2" w:rsidP="00B23C90">
            <w:pPr>
              <w:jc w:val="center"/>
              <w:rPr>
                <w:rFonts w:ascii="Arial" w:hAnsi="Arial" w:cs="Arial"/>
                <w:b/>
              </w:rPr>
            </w:pPr>
            <w:r w:rsidRPr="00851192">
              <w:rPr>
                <w:rFonts w:ascii="Arial" w:hAnsi="Arial" w:cs="Arial"/>
                <w:b/>
              </w:rPr>
              <w:t>110</w:t>
            </w:r>
          </w:p>
        </w:tc>
      </w:tr>
      <w:tr w:rsidR="00007DC2" w:rsidRPr="00851192" w14:paraId="71D22B63" w14:textId="77777777" w:rsidTr="00007DC2">
        <w:trPr>
          <w:trHeight w:val="337"/>
        </w:trPr>
        <w:tc>
          <w:tcPr>
            <w:tcW w:w="1547" w:type="dxa"/>
          </w:tcPr>
          <w:p w14:paraId="5465B3D5" w14:textId="77777777" w:rsidR="00007DC2" w:rsidRPr="00851192" w:rsidRDefault="00007DC2" w:rsidP="00007DC2">
            <w:pPr>
              <w:rPr>
                <w:rFonts w:ascii="Arial" w:hAnsi="Arial" w:cs="Arial"/>
                <w:b/>
              </w:rPr>
            </w:pPr>
            <w:r w:rsidRPr="00851192">
              <w:rPr>
                <w:rFonts w:ascii="Arial" w:hAnsi="Arial" w:cs="Arial"/>
                <w:b/>
              </w:rPr>
              <w:t>Table 7.10</w:t>
            </w:r>
          </w:p>
        </w:tc>
        <w:tc>
          <w:tcPr>
            <w:tcW w:w="6989" w:type="dxa"/>
          </w:tcPr>
          <w:p w14:paraId="5CB0CBD8" w14:textId="77777777" w:rsidR="00007DC2" w:rsidRPr="00851192" w:rsidRDefault="00007DC2" w:rsidP="00007DC2">
            <w:pPr>
              <w:rPr>
                <w:rFonts w:ascii="Arial" w:hAnsi="Arial" w:cs="Arial"/>
              </w:rPr>
            </w:pPr>
            <w:r w:rsidRPr="00851192">
              <w:rPr>
                <w:rFonts w:ascii="Arial" w:hAnsi="Arial" w:cs="Arial"/>
              </w:rPr>
              <w:t>Global Gambling Operators and Clarity on Rules</w:t>
            </w:r>
          </w:p>
        </w:tc>
        <w:tc>
          <w:tcPr>
            <w:tcW w:w="1170" w:type="dxa"/>
          </w:tcPr>
          <w:p w14:paraId="0588F2AB" w14:textId="34BFE51D" w:rsidR="00007DC2" w:rsidRPr="00851192" w:rsidRDefault="00007DC2" w:rsidP="00B23C90">
            <w:pPr>
              <w:jc w:val="center"/>
              <w:rPr>
                <w:rFonts w:ascii="Arial" w:hAnsi="Arial" w:cs="Arial"/>
                <w:b/>
              </w:rPr>
            </w:pPr>
            <w:r w:rsidRPr="00851192">
              <w:rPr>
                <w:rFonts w:ascii="Arial" w:hAnsi="Arial" w:cs="Arial"/>
                <w:b/>
              </w:rPr>
              <w:t>112</w:t>
            </w:r>
          </w:p>
        </w:tc>
      </w:tr>
    </w:tbl>
    <w:p w14:paraId="4C9BFC80" w14:textId="77777777" w:rsidR="001760BB" w:rsidRPr="00851192" w:rsidRDefault="001760BB">
      <w:pPr>
        <w:rPr>
          <w:rFonts w:ascii="Arial" w:hAnsi="Arial" w:cs="Arial"/>
          <w:b/>
          <w:u w:val="single"/>
        </w:rPr>
      </w:pPr>
    </w:p>
    <w:p w14:paraId="3E70E4FD" w14:textId="7C9F5144" w:rsidR="002502E3" w:rsidRPr="00851192" w:rsidRDefault="005B72E4" w:rsidP="00C00B8A">
      <w:pPr>
        <w:pStyle w:val="Heading1"/>
        <w:rPr>
          <w:rFonts w:ascii="Arial" w:hAnsi="Arial" w:cs="Arial"/>
          <w:b/>
          <w:color w:val="auto"/>
        </w:rPr>
      </w:pPr>
      <w:bookmarkStart w:id="1" w:name="_Toc526434202"/>
      <w:r w:rsidRPr="00851192">
        <w:rPr>
          <w:rFonts w:ascii="Arial" w:hAnsi="Arial" w:cs="Arial"/>
          <w:b/>
          <w:color w:val="auto"/>
        </w:rPr>
        <w:t>Glossary of Abbreviations</w:t>
      </w:r>
      <w:bookmarkEnd w:id="1"/>
      <w:r w:rsidRPr="00851192">
        <w:rPr>
          <w:rFonts w:ascii="Arial" w:hAnsi="Arial" w:cs="Arial"/>
          <w:b/>
          <w:color w:val="auto"/>
        </w:rPr>
        <w:t xml:space="preserve"> </w:t>
      </w:r>
    </w:p>
    <w:p w14:paraId="7E4D2BE5" w14:textId="4D9C9711" w:rsidR="002502E3" w:rsidRPr="00851192" w:rsidRDefault="0012687F">
      <w:pPr>
        <w:rPr>
          <w:rFonts w:ascii="Arial" w:hAnsi="Arial" w:cs="Arial"/>
        </w:rPr>
      </w:pPr>
      <w:r w:rsidRPr="00851192">
        <w:rPr>
          <w:rFonts w:ascii="Arial" w:hAnsi="Arial" w:cs="Arial"/>
        </w:rPr>
        <w:t>GGO; Global Gambling Operator</w:t>
      </w:r>
    </w:p>
    <w:p w14:paraId="0B5C485C" w14:textId="390CB6C2" w:rsidR="0012687F" w:rsidRPr="00851192" w:rsidRDefault="0012687F">
      <w:pPr>
        <w:rPr>
          <w:rFonts w:ascii="Arial" w:hAnsi="Arial" w:cs="Arial"/>
        </w:rPr>
      </w:pPr>
      <w:r w:rsidRPr="00851192">
        <w:rPr>
          <w:rFonts w:ascii="Arial" w:hAnsi="Arial" w:cs="Arial"/>
        </w:rPr>
        <w:t>PG; Problem Gambling</w:t>
      </w:r>
    </w:p>
    <w:p w14:paraId="37CBF350" w14:textId="4301CF58" w:rsidR="0012687F" w:rsidRPr="00851192" w:rsidRDefault="0012687F">
      <w:pPr>
        <w:rPr>
          <w:rFonts w:ascii="Arial" w:hAnsi="Arial" w:cs="Arial"/>
        </w:rPr>
      </w:pPr>
      <w:r w:rsidRPr="00851192">
        <w:rPr>
          <w:rFonts w:ascii="Arial" w:hAnsi="Arial" w:cs="Arial"/>
        </w:rPr>
        <w:t xml:space="preserve">CSR; Corporate Social Responsibility </w:t>
      </w:r>
    </w:p>
    <w:p w14:paraId="7E21FB43" w14:textId="40F0CCC7" w:rsidR="0012687F" w:rsidRPr="00851192" w:rsidRDefault="0012687F">
      <w:pPr>
        <w:rPr>
          <w:rFonts w:ascii="Arial" w:hAnsi="Arial" w:cs="Arial"/>
        </w:rPr>
      </w:pPr>
      <w:r w:rsidRPr="00851192">
        <w:rPr>
          <w:rFonts w:ascii="Arial" w:hAnsi="Arial" w:cs="Arial"/>
        </w:rPr>
        <w:t xml:space="preserve">RG; Responsible Gambling </w:t>
      </w:r>
    </w:p>
    <w:p w14:paraId="5F1F49A1" w14:textId="1B792F2F" w:rsidR="00C00B8A" w:rsidRPr="00851192" w:rsidRDefault="00AD22E2">
      <w:pPr>
        <w:rPr>
          <w:rFonts w:ascii="Arial" w:hAnsi="Arial" w:cs="Arial"/>
        </w:rPr>
      </w:pPr>
      <w:r w:rsidRPr="00851192">
        <w:rPr>
          <w:rFonts w:ascii="Arial" w:hAnsi="Arial" w:cs="Arial"/>
        </w:rPr>
        <w:t>GGI; Global Gambling Industry</w:t>
      </w:r>
    </w:p>
    <w:p w14:paraId="3A857A68" w14:textId="7D2FD02C" w:rsidR="002502E3" w:rsidRPr="00851192" w:rsidRDefault="005B72E4" w:rsidP="00C00B8A">
      <w:pPr>
        <w:pStyle w:val="Heading1"/>
        <w:rPr>
          <w:rFonts w:ascii="Arial" w:hAnsi="Arial" w:cs="Arial"/>
          <w:b/>
          <w:color w:val="auto"/>
        </w:rPr>
      </w:pPr>
      <w:bookmarkStart w:id="2" w:name="_Toc526434203"/>
      <w:r w:rsidRPr="00851192">
        <w:rPr>
          <w:rFonts w:ascii="Arial" w:hAnsi="Arial" w:cs="Arial"/>
          <w:b/>
          <w:color w:val="auto"/>
        </w:rPr>
        <w:lastRenderedPageBreak/>
        <w:t>Acknowledgements</w:t>
      </w:r>
      <w:bookmarkEnd w:id="2"/>
    </w:p>
    <w:p w14:paraId="2F33D50F" w14:textId="2AB3F939" w:rsidR="002502E3" w:rsidRPr="00851192" w:rsidRDefault="00047FE2">
      <w:pPr>
        <w:rPr>
          <w:rFonts w:ascii="Arial" w:hAnsi="Arial" w:cs="Arial"/>
        </w:rPr>
      </w:pPr>
      <w:r w:rsidRPr="00851192">
        <w:rPr>
          <w:rFonts w:ascii="Arial" w:hAnsi="Arial" w:cs="Arial"/>
        </w:rPr>
        <w:t xml:space="preserve">I express a great deal of gratitude to my dissertation tutor, Dr Caroline Jawad, for her guidance and professionalism throughout the dissertation. </w:t>
      </w:r>
    </w:p>
    <w:p w14:paraId="4BF9A9CA" w14:textId="3B3120CF" w:rsidR="00A008C4" w:rsidRPr="00851192" w:rsidRDefault="00047FE2">
      <w:pPr>
        <w:rPr>
          <w:rFonts w:ascii="Arial" w:hAnsi="Arial" w:cs="Arial"/>
        </w:rPr>
      </w:pPr>
      <w:r w:rsidRPr="00851192">
        <w:rPr>
          <w:rFonts w:ascii="Arial" w:hAnsi="Arial" w:cs="Arial"/>
        </w:rPr>
        <w:t xml:space="preserve">My thanks to all the global participants who chose to take part within the study which has added value towards gaining a greater understanding on the issues associated within the </w:t>
      </w:r>
      <w:proofErr w:type="gramStart"/>
      <w:r w:rsidRPr="00851192">
        <w:rPr>
          <w:rFonts w:ascii="Arial" w:hAnsi="Arial" w:cs="Arial"/>
        </w:rPr>
        <w:t>research.</w:t>
      </w:r>
      <w:proofErr w:type="gramEnd"/>
    </w:p>
    <w:p w14:paraId="0938DEB8" w14:textId="389CEC4B" w:rsidR="00C00B8A" w:rsidRPr="00851192" w:rsidRDefault="00C00B8A" w:rsidP="00C00B8A">
      <w:pPr>
        <w:pStyle w:val="Heading1"/>
        <w:rPr>
          <w:rFonts w:ascii="Arial" w:hAnsi="Arial" w:cs="Arial"/>
          <w:b/>
          <w:color w:val="auto"/>
        </w:rPr>
      </w:pPr>
      <w:bookmarkStart w:id="3" w:name="_Toc526434204"/>
      <w:r w:rsidRPr="00851192">
        <w:rPr>
          <w:rFonts w:ascii="Arial" w:hAnsi="Arial" w:cs="Arial"/>
          <w:b/>
          <w:color w:val="auto"/>
        </w:rPr>
        <w:t>Abstract</w:t>
      </w:r>
      <w:bookmarkEnd w:id="3"/>
    </w:p>
    <w:p w14:paraId="05778F3B" w14:textId="3B07669B" w:rsidR="002502E3" w:rsidRPr="00851192" w:rsidRDefault="000254C2" w:rsidP="00402A71">
      <w:pPr>
        <w:spacing w:line="360" w:lineRule="auto"/>
        <w:jc w:val="both"/>
        <w:rPr>
          <w:rFonts w:ascii="Arial" w:hAnsi="Arial" w:cs="Arial"/>
        </w:rPr>
      </w:pPr>
      <w:r w:rsidRPr="00851192">
        <w:rPr>
          <w:rFonts w:ascii="Arial" w:hAnsi="Arial" w:cs="Arial"/>
        </w:rPr>
        <w:t xml:space="preserve">The aim of this study analysed and evaluated the value global gambling operators have towards corporate social responsibility and corporate social responsibility communication. The study also evaluated this from a consumer perspective through an online corporate social responsibility consumer survey. Problem gambling is highly associated to the industry global gambling operators are within which carry negative externalities and can have an impact on people’s lives. There has been no academic study into the global rate of problem gambling. However, appropriate frameworks and models have been adapted to the study to evaluate the research question set within the dissertation. The objectives set within the dissertation were to undertake an </w:t>
      </w:r>
      <w:r w:rsidR="00402A71" w:rsidRPr="00851192">
        <w:rPr>
          <w:rFonts w:ascii="Arial" w:hAnsi="Arial" w:cs="Arial"/>
        </w:rPr>
        <w:t>extensive</w:t>
      </w:r>
      <w:r w:rsidRPr="00851192">
        <w:rPr>
          <w:rFonts w:ascii="Arial" w:hAnsi="Arial" w:cs="Arial"/>
        </w:rPr>
        <w:t xml:space="preserve"> literature review analysing the importance of CSR and CSR communication within the global industry, alongside, evaluating the importance of CSR and CSR communication to global gambling operators through conducting a content analysis on annual reports and online platforms. To reinforce or to identify dis</w:t>
      </w:r>
      <w:r w:rsidR="00402A71" w:rsidRPr="00851192">
        <w:rPr>
          <w:rFonts w:ascii="Arial" w:hAnsi="Arial" w:cs="Arial"/>
        </w:rPr>
        <w:t>crepancies</w:t>
      </w:r>
      <w:r w:rsidRPr="00851192">
        <w:rPr>
          <w:rFonts w:ascii="Arial" w:hAnsi="Arial" w:cs="Arial"/>
        </w:rPr>
        <w:t xml:space="preserve"> within findings, a critical analysis on gamblers opinions was carried out as the third objective of the study through issuing a CSR communication consumer survey.</w:t>
      </w:r>
      <w:r w:rsidR="00402A71" w:rsidRPr="00851192">
        <w:rPr>
          <w:rFonts w:ascii="Arial" w:hAnsi="Arial" w:cs="Arial"/>
        </w:rPr>
        <w:t xml:space="preserve"> A pragmatic mixed methods theoretical framework was used to complete the research question in hand. An ethical framework was also applied due to the sensitivity the research topic has. Statistical graphs were used to highlight relationships and patterns amongst the respondents who took part in the survey. The strong relationships identified within the survey also highlighted and indicated a strong incongruence between the value of CSR and CSR communication global gambling operators express and consumer opinion on values held by them. Recommendations are made to enhance managerial practice and add value to responsible gambling initiatives. </w:t>
      </w:r>
    </w:p>
    <w:p w14:paraId="6766A8FE" w14:textId="686E03DE" w:rsidR="002502E3" w:rsidRPr="00851192" w:rsidRDefault="002502E3">
      <w:pPr>
        <w:rPr>
          <w:rFonts w:ascii="Arial" w:hAnsi="Arial" w:cs="Arial"/>
          <w:b/>
          <w:u w:val="single"/>
        </w:rPr>
      </w:pPr>
    </w:p>
    <w:p w14:paraId="6849DD8D" w14:textId="74C54735" w:rsidR="00C00B8A" w:rsidRPr="00851192" w:rsidRDefault="00C00B8A">
      <w:pPr>
        <w:rPr>
          <w:rFonts w:ascii="Arial" w:hAnsi="Arial" w:cs="Arial"/>
          <w:b/>
          <w:u w:val="single"/>
        </w:rPr>
      </w:pPr>
    </w:p>
    <w:p w14:paraId="4F49A60D" w14:textId="1FF42AD5" w:rsidR="00C00B8A" w:rsidRPr="00851192" w:rsidRDefault="00C00B8A">
      <w:pPr>
        <w:rPr>
          <w:rFonts w:ascii="Arial" w:hAnsi="Arial" w:cs="Arial"/>
          <w:b/>
          <w:u w:val="single"/>
        </w:rPr>
      </w:pPr>
    </w:p>
    <w:p w14:paraId="751BF4DC" w14:textId="4C8D80B3" w:rsidR="009B2ED7" w:rsidRPr="00851192" w:rsidRDefault="009B2ED7">
      <w:pPr>
        <w:rPr>
          <w:rFonts w:ascii="Arial" w:hAnsi="Arial" w:cs="Arial"/>
          <w:b/>
          <w:u w:val="single"/>
        </w:rPr>
      </w:pPr>
    </w:p>
    <w:p w14:paraId="6B8F38B4" w14:textId="707F3DE2" w:rsidR="009B2ED7" w:rsidRPr="00851192" w:rsidRDefault="009B2ED7">
      <w:pPr>
        <w:rPr>
          <w:rFonts w:ascii="Arial" w:hAnsi="Arial" w:cs="Arial"/>
          <w:b/>
          <w:u w:val="single"/>
        </w:rPr>
      </w:pPr>
    </w:p>
    <w:p w14:paraId="5C7607E7" w14:textId="371A0C0D" w:rsidR="009B2ED7" w:rsidRPr="00851192" w:rsidRDefault="009B2ED7">
      <w:pPr>
        <w:rPr>
          <w:rFonts w:ascii="Arial" w:hAnsi="Arial" w:cs="Arial"/>
          <w:b/>
          <w:u w:val="single"/>
        </w:rPr>
      </w:pPr>
    </w:p>
    <w:p w14:paraId="099EB1E4" w14:textId="6855C5FE" w:rsidR="00C00B8A" w:rsidRPr="00851192" w:rsidRDefault="00C00B8A">
      <w:pPr>
        <w:rPr>
          <w:rFonts w:ascii="Arial" w:hAnsi="Arial" w:cs="Arial"/>
          <w:b/>
          <w:u w:val="single"/>
        </w:rPr>
      </w:pPr>
    </w:p>
    <w:p w14:paraId="09E13E4B" w14:textId="3569A841" w:rsidR="005B72E4" w:rsidRPr="00851192" w:rsidRDefault="005B72E4" w:rsidP="005B72E4">
      <w:pPr>
        <w:rPr>
          <w:rFonts w:ascii="Arial" w:hAnsi="Arial" w:cs="Arial"/>
          <w:lang w:val="en-US"/>
        </w:rPr>
      </w:pPr>
    </w:p>
    <w:p w14:paraId="24DC1BDD" w14:textId="71F37B4C" w:rsidR="00DF7255" w:rsidRPr="00851192" w:rsidRDefault="00773869" w:rsidP="00DF7255">
      <w:pPr>
        <w:pStyle w:val="Heading1"/>
        <w:rPr>
          <w:rFonts w:ascii="Arial" w:hAnsi="Arial" w:cs="Arial"/>
          <w:b/>
          <w:color w:val="auto"/>
        </w:rPr>
      </w:pPr>
      <w:r w:rsidRPr="00851192">
        <w:rPr>
          <w:rFonts w:ascii="Arial" w:hAnsi="Arial" w:cs="Arial"/>
          <w:b/>
          <w:color w:val="auto"/>
        </w:rPr>
        <w:t xml:space="preserve">          </w:t>
      </w:r>
      <w:bookmarkStart w:id="4" w:name="_Toc526434205"/>
      <w:r w:rsidR="00DF7255" w:rsidRPr="00851192">
        <w:rPr>
          <w:rFonts w:ascii="Arial" w:hAnsi="Arial" w:cs="Arial"/>
          <w:b/>
          <w:color w:val="auto"/>
        </w:rPr>
        <w:t>Chapter One</w:t>
      </w:r>
      <w:bookmarkEnd w:id="4"/>
    </w:p>
    <w:p w14:paraId="2C2B0C41" w14:textId="49C2357B" w:rsidR="00642137" w:rsidRPr="00851192" w:rsidRDefault="00DF7255" w:rsidP="00DF7255">
      <w:pPr>
        <w:pStyle w:val="Heading1"/>
        <w:rPr>
          <w:rFonts w:ascii="Arial" w:hAnsi="Arial" w:cs="Arial"/>
          <w:color w:val="auto"/>
        </w:rPr>
      </w:pPr>
      <w:bookmarkStart w:id="5" w:name="_Toc526434206"/>
      <w:r w:rsidRPr="00851192">
        <w:rPr>
          <w:rFonts w:ascii="Arial" w:hAnsi="Arial" w:cs="Arial"/>
          <w:color w:val="auto"/>
        </w:rPr>
        <w:t xml:space="preserve">1.1 </w:t>
      </w:r>
      <w:r w:rsidR="00642137" w:rsidRPr="00851192">
        <w:rPr>
          <w:rFonts w:ascii="Arial" w:hAnsi="Arial" w:cs="Arial"/>
          <w:color w:val="auto"/>
        </w:rPr>
        <w:t>Introduction</w:t>
      </w:r>
      <w:bookmarkEnd w:id="5"/>
    </w:p>
    <w:p w14:paraId="16B07ACC" w14:textId="590EF095" w:rsidR="009C6F96" w:rsidRPr="00851192" w:rsidRDefault="009C6F96" w:rsidP="00402A71">
      <w:pPr>
        <w:spacing w:line="360" w:lineRule="auto"/>
        <w:jc w:val="both"/>
        <w:rPr>
          <w:rFonts w:ascii="Arial" w:hAnsi="Arial" w:cs="Arial"/>
        </w:rPr>
      </w:pPr>
      <w:r w:rsidRPr="00851192">
        <w:rPr>
          <w:rFonts w:ascii="Arial" w:hAnsi="Arial" w:cs="Arial"/>
        </w:rPr>
        <w:t>This study has been designed to critically analyse the importance and value of corporate social responsibility (CSR) and CSR communication by global gambling operators</w:t>
      </w:r>
      <w:r w:rsidR="00A57619" w:rsidRPr="00851192">
        <w:rPr>
          <w:rFonts w:ascii="Arial" w:hAnsi="Arial" w:cs="Arial"/>
        </w:rPr>
        <w:t xml:space="preserve"> (GGO)</w:t>
      </w:r>
      <w:r w:rsidRPr="00851192">
        <w:rPr>
          <w:rFonts w:ascii="Arial" w:hAnsi="Arial" w:cs="Arial"/>
        </w:rPr>
        <w:t xml:space="preserve">. </w:t>
      </w:r>
      <w:r w:rsidR="003E7691" w:rsidRPr="00851192">
        <w:rPr>
          <w:rFonts w:ascii="Arial" w:hAnsi="Arial" w:cs="Arial"/>
        </w:rPr>
        <w:t xml:space="preserve">Due to the negative externalities held by the industry (Davies 2016), the researcher is seeking to evaluate whether global gambling operators purposefully act on CSR measures, or whether CSR is being green washed. </w:t>
      </w:r>
      <w:r w:rsidRPr="00851192">
        <w:rPr>
          <w:rFonts w:ascii="Arial" w:hAnsi="Arial" w:cs="Arial"/>
        </w:rPr>
        <w:t xml:space="preserve">The effectiveness of CSR communication will be evaluated through a conducted survey published on appropriate platforms. A content analysis will be evaluated within the study on publicised annual reports by Bet365, </w:t>
      </w:r>
      <w:proofErr w:type="spellStart"/>
      <w:r w:rsidRPr="00851192">
        <w:rPr>
          <w:rFonts w:ascii="Arial" w:hAnsi="Arial" w:cs="Arial"/>
        </w:rPr>
        <w:t>Bwin</w:t>
      </w:r>
      <w:proofErr w:type="spellEnd"/>
      <w:r w:rsidRPr="00851192">
        <w:rPr>
          <w:rFonts w:ascii="Arial" w:hAnsi="Arial" w:cs="Arial"/>
        </w:rPr>
        <w:t xml:space="preserve">, and Asia Gaming, alongside websites, </w:t>
      </w:r>
      <w:r w:rsidR="00B7559B" w:rsidRPr="00851192">
        <w:rPr>
          <w:rFonts w:ascii="Arial" w:hAnsi="Arial" w:cs="Arial"/>
        </w:rPr>
        <w:t>and</w:t>
      </w:r>
      <w:r w:rsidRPr="00851192">
        <w:rPr>
          <w:rFonts w:ascii="Arial" w:hAnsi="Arial" w:cs="Arial"/>
        </w:rPr>
        <w:t xml:space="preserve"> social media platforms. Bet365, </w:t>
      </w:r>
      <w:proofErr w:type="spellStart"/>
      <w:r w:rsidRPr="00851192">
        <w:rPr>
          <w:rFonts w:ascii="Arial" w:hAnsi="Arial" w:cs="Arial"/>
        </w:rPr>
        <w:t>Bwin</w:t>
      </w:r>
      <w:proofErr w:type="spellEnd"/>
      <w:r w:rsidRPr="00851192">
        <w:rPr>
          <w:rFonts w:ascii="Arial" w:hAnsi="Arial" w:cs="Arial"/>
        </w:rPr>
        <w:t xml:space="preserve"> and Asia Gaming are amongst the largest</w:t>
      </w:r>
      <w:r w:rsidR="003E7691" w:rsidRPr="00851192">
        <w:rPr>
          <w:rFonts w:ascii="Arial" w:hAnsi="Arial" w:cs="Arial"/>
        </w:rPr>
        <w:t xml:space="preserve"> GGO’s </w:t>
      </w:r>
      <w:r w:rsidRPr="00851192">
        <w:rPr>
          <w:rFonts w:ascii="Arial" w:hAnsi="Arial" w:cs="Arial"/>
        </w:rPr>
        <w:t>in the world and have been identified as appropriate for the purposes of this study</w:t>
      </w:r>
      <w:r w:rsidR="004B2CA3" w:rsidRPr="00851192">
        <w:rPr>
          <w:rFonts w:ascii="Arial" w:hAnsi="Arial" w:cs="Arial"/>
        </w:rPr>
        <w:t>,</w:t>
      </w:r>
      <w:r w:rsidRPr="00851192">
        <w:rPr>
          <w:rFonts w:ascii="Arial" w:hAnsi="Arial" w:cs="Arial"/>
        </w:rPr>
        <w:t xml:space="preserve"> which is to identify the importance of CSR and CSR communication on a global scale. </w:t>
      </w:r>
    </w:p>
    <w:p w14:paraId="644DC792" w14:textId="2CFF3751" w:rsidR="009C6F96" w:rsidRPr="00851192" w:rsidRDefault="009C6F96" w:rsidP="00402A71">
      <w:pPr>
        <w:spacing w:line="360" w:lineRule="auto"/>
        <w:jc w:val="both"/>
        <w:rPr>
          <w:rFonts w:ascii="Arial" w:hAnsi="Arial" w:cs="Arial"/>
        </w:rPr>
      </w:pPr>
      <w:r w:rsidRPr="00851192">
        <w:rPr>
          <w:rFonts w:ascii="Arial" w:hAnsi="Arial" w:cs="Arial"/>
        </w:rPr>
        <w:t xml:space="preserve">This chapter provides a background to the global gambling industry </w:t>
      </w:r>
      <w:r w:rsidR="00AD22E2" w:rsidRPr="00851192">
        <w:rPr>
          <w:rFonts w:ascii="Arial" w:hAnsi="Arial" w:cs="Arial"/>
        </w:rPr>
        <w:t xml:space="preserve">(GGI) </w:t>
      </w:r>
      <w:r w:rsidRPr="00851192">
        <w:rPr>
          <w:rFonts w:ascii="Arial" w:hAnsi="Arial" w:cs="Arial"/>
        </w:rPr>
        <w:t>and the negative externalities it carries in the form of problem gambling (PG). This leads to the r</w:t>
      </w:r>
      <w:r w:rsidR="000C54EF" w:rsidRPr="00851192">
        <w:rPr>
          <w:rFonts w:ascii="Arial" w:hAnsi="Arial" w:cs="Arial"/>
        </w:rPr>
        <w:t>esearch problem</w:t>
      </w:r>
      <w:r w:rsidRPr="00851192">
        <w:rPr>
          <w:rFonts w:ascii="Arial" w:hAnsi="Arial" w:cs="Arial"/>
        </w:rPr>
        <w:t xml:space="preserve"> of the study identifying why it is necessary to carry out this research, alongside reinforcing the issue on how this field has not previously been carried out. </w:t>
      </w:r>
    </w:p>
    <w:p w14:paraId="65A63ED4" w14:textId="11E1CF21" w:rsidR="00567EDE" w:rsidRPr="00851192" w:rsidRDefault="00DF7255" w:rsidP="00DF7255">
      <w:pPr>
        <w:pStyle w:val="Heading1"/>
        <w:rPr>
          <w:rFonts w:ascii="Arial" w:hAnsi="Arial" w:cs="Arial"/>
          <w:color w:val="auto"/>
        </w:rPr>
      </w:pPr>
      <w:bookmarkStart w:id="6" w:name="_Toc526434207"/>
      <w:r w:rsidRPr="00851192">
        <w:rPr>
          <w:rFonts w:ascii="Arial" w:hAnsi="Arial" w:cs="Arial"/>
          <w:color w:val="auto"/>
        </w:rPr>
        <w:t xml:space="preserve">1.2 </w:t>
      </w:r>
      <w:r w:rsidR="00567EDE" w:rsidRPr="00851192">
        <w:rPr>
          <w:rFonts w:ascii="Arial" w:hAnsi="Arial" w:cs="Arial"/>
          <w:color w:val="auto"/>
        </w:rPr>
        <w:t>Aims and Objectives</w:t>
      </w:r>
      <w:bookmarkEnd w:id="6"/>
      <w:r w:rsidR="00567EDE" w:rsidRPr="00851192">
        <w:rPr>
          <w:rFonts w:ascii="Arial" w:hAnsi="Arial" w:cs="Arial"/>
          <w:color w:val="auto"/>
        </w:rPr>
        <w:t xml:space="preserve"> </w:t>
      </w:r>
    </w:p>
    <w:p w14:paraId="35C5277A" w14:textId="1A928087" w:rsidR="00567EDE" w:rsidRPr="00851192" w:rsidRDefault="00567EDE" w:rsidP="00567EDE">
      <w:pPr>
        <w:pStyle w:val="ListParagraph"/>
        <w:numPr>
          <w:ilvl w:val="0"/>
          <w:numId w:val="2"/>
        </w:numPr>
        <w:rPr>
          <w:rFonts w:ascii="Arial" w:hAnsi="Arial" w:cs="Arial"/>
        </w:rPr>
      </w:pPr>
      <w:r w:rsidRPr="00851192">
        <w:rPr>
          <w:rFonts w:ascii="Arial" w:hAnsi="Arial" w:cs="Arial"/>
        </w:rPr>
        <w:t>To undertake an extensive literature review to analyse the importance of CSR</w:t>
      </w:r>
      <w:r w:rsidR="009C6F96" w:rsidRPr="00851192">
        <w:rPr>
          <w:rFonts w:ascii="Arial" w:hAnsi="Arial" w:cs="Arial"/>
        </w:rPr>
        <w:t xml:space="preserve"> and CSR</w:t>
      </w:r>
      <w:r w:rsidRPr="00851192">
        <w:rPr>
          <w:rFonts w:ascii="Arial" w:hAnsi="Arial" w:cs="Arial"/>
        </w:rPr>
        <w:t xml:space="preserve"> communication within the global gambling industry. </w:t>
      </w:r>
      <w:r w:rsidRPr="00851192">
        <w:rPr>
          <w:rFonts w:ascii="Arial" w:hAnsi="Arial" w:cs="Arial"/>
        </w:rPr>
        <w:br/>
      </w:r>
    </w:p>
    <w:p w14:paraId="678852B4" w14:textId="77777777" w:rsidR="00567EDE" w:rsidRPr="00851192" w:rsidRDefault="00567EDE" w:rsidP="00567EDE">
      <w:pPr>
        <w:pStyle w:val="ListParagraph"/>
        <w:numPr>
          <w:ilvl w:val="0"/>
          <w:numId w:val="2"/>
        </w:numPr>
        <w:rPr>
          <w:rFonts w:ascii="Arial" w:hAnsi="Arial" w:cs="Arial"/>
        </w:rPr>
      </w:pPr>
      <w:r w:rsidRPr="00851192">
        <w:rPr>
          <w:rFonts w:ascii="Arial" w:hAnsi="Arial" w:cs="Arial"/>
        </w:rPr>
        <w:t>To critically evaluate the importance of CSR and CSR communication within the global gambling industry through conducting a content analysis.</w:t>
      </w:r>
      <w:r w:rsidRPr="00851192">
        <w:rPr>
          <w:rFonts w:ascii="Arial" w:hAnsi="Arial" w:cs="Arial"/>
        </w:rPr>
        <w:br/>
      </w:r>
    </w:p>
    <w:p w14:paraId="61F0958D" w14:textId="3A00CBC1" w:rsidR="00567EDE" w:rsidRPr="00851192" w:rsidRDefault="00567EDE" w:rsidP="00567EDE">
      <w:pPr>
        <w:pStyle w:val="ListParagraph"/>
        <w:numPr>
          <w:ilvl w:val="0"/>
          <w:numId w:val="2"/>
        </w:numPr>
        <w:rPr>
          <w:rFonts w:ascii="Arial" w:hAnsi="Arial" w:cs="Arial"/>
        </w:rPr>
      </w:pPr>
      <w:r w:rsidRPr="00851192">
        <w:rPr>
          <w:rFonts w:ascii="Arial" w:hAnsi="Arial" w:cs="Arial"/>
        </w:rPr>
        <w:t xml:space="preserve">To critically analyse gamblers opinions of CSR and CSR communication </w:t>
      </w:r>
      <w:r w:rsidR="00D47FF2" w:rsidRPr="00851192">
        <w:rPr>
          <w:rFonts w:ascii="Arial" w:hAnsi="Arial" w:cs="Arial"/>
        </w:rPr>
        <w:t>commitments by</w:t>
      </w:r>
      <w:r w:rsidRPr="00851192">
        <w:rPr>
          <w:rFonts w:ascii="Arial" w:hAnsi="Arial" w:cs="Arial"/>
        </w:rPr>
        <w:t xml:space="preserve"> </w:t>
      </w:r>
      <w:r w:rsidR="00D47FF2" w:rsidRPr="00851192">
        <w:rPr>
          <w:rFonts w:ascii="Arial" w:hAnsi="Arial" w:cs="Arial"/>
        </w:rPr>
        <w:t>global gambling operators</w:t>
      </w:r>
      <w:r w:rsidRPr="00851192">
        <w:rPr>
          <w:rFonts w:ascii="Arial" w:hAnsi="Arial" w:cs="Arial"/>
        </w:rPr>
        <w:t>.</w:t>
      </w:r>
    </w:p>
    <w:p w14:paraId="74D0B5DC" w14:textId="12FE6F96" w:rsidR="00567EDE" w:rsidRPr="00851192" w:rsidRDefault="00DF7255" w:rsidP="00DF7255">
      <w:pPr>
        <w:pStyle w:val="Heading1"/>
        <w:rPr>
          <w:rFonts w:ascii="Arial" w:hAnsi="Arial" w:cs="Arial"/>
          <w:color w:val="auto"/>
        </w:rPr>
      </w:pPr>
      <w:bookmarkStart w:id="7" w:name="_Toc526434208"/>
      <w:r w:rsidRPr="00851192">
        <w:rPr>
          <w:rFonts w:ascii="Arial" w:hAnsi="Arial" w:cs="Arial"/>
          <w:color w:val="auto"/>
        </w:rPr>
        <w:t xml:space="preserve">1.3 </w:t>
      </w:r>
      <w:r w:rsidR="00567EDE" w:rsidRPr="00851192">
        <w:rPr>
          <w:rFonts w:ascii="Arial" w:hAnsi="Arial" w:cs="Arial"/>
          <w:color w:val="auto"/>
        </w:rPr>
        <w:t>Background to the industry</w:t>
      </w:r>
      <w:bookmarkEnd w:id="7"/>
    </w:p>
    <w:p w14:paraId="79025DD8" w14:textId="163CB479" w:rsidR="00BA4E6E" w:rsidRPr="00851192" w:rsidRDefault="000977D6" w:rsidP="00402A71">
      <w:pPr>
        <w:spacing w:line="360" w:lineRule="auto"/>
        <w:jc w:val="both"/>
        <w:rPr>
          <w:rFonts w:ascii="Arial" w:hAnsi="Arial" w:cs="Arial"/>
        </w:rPr>
      </w:pPr>
      <w:r w:rsidRPr="00851192">
        <w:rPr>
          <w:rFonts w:ascii="Arial" w:hAnsi="Arial" w:cs="Arial"/>
        </w:rPr>
        <w:t xml:space="preserve">In 2017, </w:t>
      </w:r>
      <w:r w:rsidR="0012687F" w:rsidRPr="00851192">
        <w:rPr>
          <w:rFonts w:ascii="Arial" w:hAnsi="Arial" w:cs="Arial"/>
        </w:rPr>
        <w:t>GGO’s</w:t>
      </w:r>
      <w:r w:rsidRPr="00851192">
        <w:rPr>
          <w:rFonts w:ascii="Arial" w:hAnsi="Arial" w:cs="Arial"/>
        </w:rPr>
        <w:t xml:space="preserve"> within the UK collected £14 billion from consumers </w:t>
      </w:r>
      <w:r w:rsidR="00D47FF2" w:rsidRPr="00851192">
        <w:rPr>
          <w:rFonts w:ascii="Arial" w:hAnsi="Arial" w:cs="Arial"/>
        </w:rPr>
        <w:t>showing</w:t>
      </w:r>
      <w:r w:rsidRPr="00851192">
        <w:rPr>
          <w:rFonts w:ascii="Arial" w:hAnsi="Arial" w:cs="Arial"/>
        </w:rPr>
        <w:t xml:space="preserve"> </w:t>
      </w:r>
      <w:r w:rsidR="00B215DD" w:rsidRPr="00851192">
        <w:rPr>
          <w:rFonts w:ascii="Arial" w:hAnsi="Arial" w:cs="Arial"/>
        </w:rPr>
        <w:t>exp</w:t>
      </w:r>
      <w:r w:rsidR="00292DA5" w:rsidRPr="00851192">
        <w:rPr>
          <w:rFonts w:ascii="Arial" w:hAnsi="Arial" w:cs="Arial"/>
        </w:rPr>
        <w:t>onential</w:t>
      </w:r>
      <w:r w:rsidRPr="00851192">
        <w:rPr>
          <w:rFonts w:ascii="Arial" w:hAnsi="Arial" w:cs="Arial"/>
        </w:rPr>
        <w:t xml:space="preserve"> increase in financial growth since the liberalisation </w:t>
      </w:r>
      <w:r w:rsidR="00B215DD" w:rsidRPr="00851192">
        <w:rPr>
          <w:rFonts w:ascii="Arial" w:hAnsi="Arial" w:cs="Arial"/>
        </w:rPr>
        <w:t xml:space="preserve">of </w:t>
      </w:r>
      <w:r w:rsidRPr="00851192">
        <w:rPr>
          <w:rFonts w:ascii="Arial" w:hAnsi="Arial" w:cs="Arial"/>
        </w:rPr>
        <w:t xml:space="preserve">laws </w:t>
      </w:r>
      <w:r w:rsidR="00B215DD" w:rsidRPr="00851192">
        <w:rPr>
          <w:rFonts w:ascii="Arial" w:hAnsi="Arial" w:cs="Arial"/>
        </w:rPr>
        <w:t>within</w:t>
      </w:r>
      <w:r w:rsidR="00D47FF2" w:rsidRPr="00851192">
        <w:rPr>
          <w:rFonts w:ascii="Arial" w:hAnsi="Arial" w:cs="Arial"/>
        </w:rPr>
        <w:t xml:space="preserve"> the</w:t>
      </w:r>
      <w:r w:rsidR="00B215DD" w:rsidRPr="00851192">
        <w:rPr>
          <w:rFonts w:ascii="Arial" w:hAnsi="Arial" w:cs="Arial"/>
        </w:rPr>
        <w:t xml:space="preserve"> gambling</w:t>
      </w:r>
      <w:r w:rsidR="00D47FF2" w:rsidRPr="00851192">
        <w:rPr>
          <w:rFonts w:ascii="Arial" w:hAnsi="Arial" w:cs="Arial"/>
        </w:rPr>
        <w:t xml:space="preserve"> industry</w:t>
      </w:r>
      <w:r w:rsidR="00B215DD" w:rsidRPr="00851192">
        <w:rPr>
          <w:rFonts w:ascii="Arial" w:hAnsi="Arial" w:cs="Arial"/>
        </w:rPr>
        <w:t xml:space="preserve"> </w:t>
      </w:r>
      <w:r w:rsidRPr="00851192">
        <w:rPr>
          <w:rFonts w:ascii="Arial" w:hAnsi="Arial" w:cs="Arial"/>
        </w:rPr>
        <w:t xml:space="preserve">almost a decade earlier </w:t>
      </w:r>
      <w:r w:rsidR="008F180B" w:rsidRPr="00851192">
        <w:rPr>
          <w:rFonts w:ascii="Arial" w:hAnsi="Arial" w:cs="Arial"/>
        </w:rPr>
        <w:t>(Davies, 2017)</w:t>
      </w:r>
      <w:r w:rsidRPr="00851192">
        <w:rPr>
          <w:rFonts w:ascii="Arial" w:hAnsi="Arial" w:cs="Arial"/>
        </w:rPr>
        <w:t xml:space="preserve">. </w:t>
      </w:r>
      <w:r w:rsidR="00351AD0" w:rsidRPr="00851192">
        <w:rPr>
          <w:rFonts w:ascii="Arial" w:hAnsi="Arial" w:cs="Arial"/>
        </w:rPr>
        <w:t>The UK is highlighted as Europe’s biggest market according to KPMG (2017)</w:t>
      </w:r>
      <w:r w:rsidR="00035D3E" w:rsidRPr="00851192">
        <w:rPr>
          <w:rFonts w:ascii="Arial" w:hAnsi="Arial" w:cs="Arial"/>
        </w:rPr>
        <w:t xml:space="preserve"> with its financial intake being 80.5% greater than France</w:t>
      </w:r>
      <w:r w:rsidR="00D47FF2" w:rsidRPr="00851192">
        <w:rPr>
          <w:rFonts w:ascii="Arial" w:hAnsi="Arial" w:cs="Arial"/>
        </w:rPr>
        <w:t xml:space="preserve"> in second</w:t>
      </w:r>
      <w:r w:rsidR="00035D3E" w:rsidRPr="00851192">
        <w:rPr>
          <w:rFonts w:ascii="Arial" w:hAnsi="Arial" w:cs="Arial"/>
        </w:rPr>
        <w:t>.</w:t>
      </w:r>
      <w:r w:rsidR="00351AD0" w:rsidRPr="00851192">
        <w:rPr>
          <w:rFonts w:ascii="Arial" w:hAnsi="Arial" w:cs="Arial"/>
        </w:rPr>
        <w:t xml:space="preserve"> </w:t>
      </w:r>
      <w:r w:rsidR="00B215DD" w:rsidRPr="00851192">
        <w:rPr>
          <w:rFonts w:ascii="Arial" w:hAnsi="Arial" w:cs="Arial"/>
        </w:rPr>
        <w:t>Today,</w:t>
      </w:r>
      <w:r w:rsidRPr="00851192">
        <w:rPr>
          <w:rFonts w:ascii="Arial" w:hAnsi="Arial" w:cs="Arial"/>
        </w:rPr>
        <w:t xml:space="preserve"> </w:t>
      </w:r>
      <w:r w:rsidR="00292DA5" w:rsidRPr="00851192">
        <w:rPr>
          <w:rFonts w:ascii="Arial" w:hAnsi="Arial" w:cs="Arial"/>
        </w:rPr>
        <w:t xml:space="preserve">PG </w:t>
      </w:r>
      <w:r w:rsidRPr="00851192">
        <w:rPr>
          <w:rFonts w:ascii="Arial" w:hAnsi="Arial" w:cs="Arial"/>
        </w:rPr>
        <w:t>is an issue present with</w:t>
      </w:r>
      <w:r w:rsidR="00AE799D" w:rsidRPr="00851192">
        <w:rPr>
          <w:rFonts w:ascii="Arial" w:hAnsi="Arial" w:cs="Arial"/>
        </w:rPr>
        <w:t>in</w:t>
      </w:r>
      <w:r w:rsidRPr="00851192">
        <w:rPr>
          <w:rFonts w:ascii="Arial" w:hAnsi="Arial" w:cs="Arial"/>
        </w:rPr>
        <w:t xml:space="preserve"> the UK</w:t>
      </w:r>
      <w:r w:rsidR="00D47FF2" w:rsidRPr="00851192">
        <w:rPr>
          <w:rFonts w:ascii="Arial" w:hAnsi="Arial" w:cs="Arial"/>
        </w:rPr>
        <w:t>,</w:t>
      </w:r>
      <w:r w:rsidRPr="00851192">
        <w:rPr>
          <w:rFonts w:ascii="Arial" w:hAnsi="Arial" w:cs="Arial"/>
        </w:rPr>
        <w:t xml:space="preserve"> </w:t>
      </w:r>
      <w:r w:rsidR="00AE799D" w:rsidRPr="00851192">
        <w:rPr>
          <w:rFonts w:ascii="Arial" w:hAnsi="Arial" w:cs="Arial"/>
        </w:rPr>
        <w:t>costing</w:t>
      </w:r>
      <w:r w:rsidRPr="00851192">
        <w:rPr>
          <w:rFonts w:ascii="Arial" w:hAnsi="Arial" w:cs="Arial"/>
        </w:rPr>
        <w:t xml:space="preserve"> the UK tax payer £1.2 billion. Davies</w:t>
      </w:r>
      <w:r w:rsidR="00B215DD" w:rsidRPr="00851192">
        <w:rPr>
          <w:rFonts w:ascii="Arial" w:hAnsi="Arial" w:cs="Arial"/>
        </w:rPr>
        <w:t xml:space="preserve"> (2016)</w:t>
      </w:r>
      <w:r w:rsidRPr="00851192">
        <w:rPr>
          <w:rFonts w:ascii="Arial" w:hAnsi="Arial" w:cs="Arial"/>
        </w:rPr>
        <w:t xml:space="preserve"> </w:t>
      </w:r>
      <w:r w:rsidR="00292DA5" w:rsidRPr="00851192">
        <w:rPr>
          <w:rFonts w:ascii="Arial" w:hAnsi="Arial" w:cs="Arial"/>
        </w:rPr>
        <w:t>s</w:t>
      </w:r>
      <w:r w:rsidR="00AE799D" w:rsidRPr="00851192">
        <w:rPr>
          <w:rFonts w:ascii="Arial" w:hAnsi="Arial" w:cs="Arial"/>
        </w:rPr>
        <w:t>tates</w:t>
      </w:r>
      <w:r w:rsidR="00292DA5" w:rsidRPr="00851192">
        <w:rPr>
          <w:rFonts w:ascii="Arial" w:hAnsi="Arial" w:cs="Arial"/>
        </w:rPr>
        <w:t xml:space="preserve"> that there has been </w:t>
      </w:r>
      <w:r w:rsidRPr="00851192">
        <w:rPr>
          <w:rFonts w:ascii="Arial" w:hAnsi="Arial" w:cs="Arial"/>
        </w:rPr>
        <w:t xml:space="preserve">no investigation into how to prevent the increasing issue of </w:t>
      </w:r>
      <w:r w:rsidR="00AE799D" w:rsidRPr="00851192">
        <w:rPr>
          <w:rFonts w:ascii="Arial" w:hAnsi="Arial" w:cs="Arial"/>
        </w:rPr>
        <w:t>PG</w:t>
      </w:r>
      <w:r w:rsidRPr="00851192">
        <w:rPr>
          <w:rFonts w:ascii="Arial" w:hAnsi="Arial" w:cs="Arial"/>
        </w:rPr>
        <w:t xml:space="preserve"> alongside the lack of governance towards aiding vulnerable individuals within society. The lack of knowledge </w:t>
      </w:r>
      <w:r w:rsidR="003D4A8A" w:rsidRPr="00851192">
        <w:rPr>
          <w:rFonts w:ascii="Arial" w:hAnsi="Arial" w:cs="Arial"/>
        </w:rPr>
        <w:t>on</w:t>
      </w:r>
      <w:r w:rsidRPr="00851192">
        <w:rPr>
          <w:rFonts w:ascii="Arial" w:hAnsi="Arial" w:cs="Arial"/>
        </w:rPr>
        <w:t xml:space="preserve"> </w:t>
      </w:r>
      <w:r w:rsidR="00292DA5" w:rsidRPr="00851192">
        <w:rPr>
          <w:rFonts w:ascii="Arial" w:hAnsi="Arial" w:cs="Arial"/>
        </w:rPr>
        <w:t>PG</w:t>
      </w:r>
      <w:r w:rsidRPr="00851192">
        <w:rPr>
          <w:rFonts w:ascii="Arial" w:hAnsi="Arial" w:cs="Arial"/>
        </w:rPr>
        <w:t xml:space="preserve"> within the UK</w:t>
      </w:r>
      <w:r w:rsidR="00B215DD" w:rsidRPr="00851192">
        <w:rPr>
          <w:rFonts w:ascii="Arial" w:hAnsi="Arial" w:cs="Arial"/>
        </w:rPr>
        <w:t xml:space="preserve"> also poses the question on</w:t>
      </w:r>
      <w:r w:rsidR="007A6822" w:rsidRPr="00851192">
        <w:rPr>
          <w:rFonts w:ascii="Arial" w:hAnsi="Arial" w:cs="Arial"/>
        </w:rPr>
        <w:t xml:space="preserve"> </w:t>
      </w:r>
      <w:r w:rsidRPr="00851192">
        <w:rPr>
          <w:rFonts w:ascii="Arial" w:hAnsi="Arial" w:cs="Arial"/>
        </w:rPr>
        <w:t xml:space="preserve">what the global rate of </w:t>
      </w:r>
      <w:r w:rsidR="00CB5301" w:rsidRPr="00851192">
        <w:rPr>
          <w:rFonts w:ascii="Arial" w:hAnsi="Arial" w:cs="Arial"/>
        </w:rPr>
        <w:t>PG</w:t>
      </w:r>
      <w:r w:rsidRPr="00851192">
        <w:rPr>
          <w:rFonts w:ascii="Arial" w:hAnsi="Arial" w:cs="Arial"/>
        </w:rPr>
        <w:t xml:space="preserve"> </w:t>
      </w:r>
      <w:r w:rsidR="00642137" w:rsidRPr="00851192">
        <w:rPr>
          <w:rFonts w:ascii="Arial" w:hAnsi="Arial" w:cs="Arial"/>
        </w:rPr>
        <w:t>is</w:t>
      </w:r>
      <w:r w:rsidR="00B215DD" w:rsidRPr="00851192">
        <w:rPr>
          <w:rFonts w:ascii="Arial" w:hAnsi="Arial" w:cs="Arial"/>
        </w:rPr>
        <w:t xml:space="preserve"> </w:t>
      </w:r>
      <w:r w:rsidR="00B215DD" w:rsidRPr="00851192">
        <w:rPr>
          <w:rFonts w:ascii="Arial" w:hAnsi="Arial" w:cs="Arial"/>
        </w:rPr>
        <w:lastRenderedPageBreak/>
        <w:t>and are any governing bodies owning responsibility to act on the issue</w:t>
      </w:r>
      <w:r w:rsidRPr="00851192">
        <w:rPr>
          <w:rFonts w:ascii="Arial" w:hAnsi="Arial" w:cs="Arial"/>
        </w:rPr>
        <w:t xml:space="preserve">. </w:t>
      </w:r>
      <w:r w:rsidR="00956F69" w:rsidRPr="00851192">
        <w:rPr>
          <w:rFonts w:ascii="Arial" w:hAnsi="Arial" w:cs="Arial"/>
        </w:rPr>
        <w:t xml:space="preserve">Nevertheless, the growth within the online gambling market is projected to continue growing with a further growth of </w:t>
      </w:r>
      <w:r w:rsidR="004B5172" w:rsidRPr="00851192">
        <w:rPr>
          <w:rFonts w:ascii="Arial" w:hAnsi="Arial" w:cs="Arial"/>
        </w:rPr>
        <w:t>8%</w:t>
      </w:r>
      <w:r w:rsidR="00956F69" w:rsidRPr="00851192">
        <w:rPr>
          <w:rFonts w:ascii="Arial" w:hAnsi="Arial" w:cs="Arial"/>
        </w:rPr>
        <w:t xml:space="preserve"> by the end of the financial annual year of 2018-2019 with an estimated</w:t>
      </w:r>
      <w:r w:rsidR="004B5172" w:rsidRPr="00851192">
        <w:rPr>
          <w:rFonts w:ascii="Arial" w:hAnsi="Arial" w:cs="Arial"/>
        </w:rPr>
        <w:t xml:space="preserve"> global</w:t>
      </w:r>
      <w:r w:rsidR="00956F69" w:rsidRPr="00851192">
        <w:rPr>
          <w:rFonts w:ascii="Arial" w:hAnsi="Arial" w:cs="Arial"/>
        </w:rPr>
        <w:t xml:space="preserve"> valuation of $500 billion </w:t>
      </w:r>
      <w:sdt>
        <w:sdtPr>
          <w:rPr>
            <w:rFonts w:ascii="Arial" w:hAnsi="Arial" w:cs="Arial"/>
          </w:rPr>
          <w:id w:val="-1282808575"/>
          <w:citation/>
        </w:sdtPr>
        <w:sdtEndPr/>
        <w:sdtContent>
          <w:r w:rsidR="00956F69" w:rsidRPr="00851192">
            <w:rPr>
              <w:rFonts w:ascii="Arial" w:hAnsi="Arial" w:cs="Arial"/>
            </w:rPr>
            <w:fldChar w:fldCharType="begin"/>
          </w:r>
          <w:r w:rsidR="00956F69" w:rsidRPr="00851192">
            <w:rPr>
              <w:rFonts w:ascii="Arial" w:hAnsi="Arial" w:cs="Arial"/>
            </w:rPr>
            <w:instrText xml:space="preserve"> CITATION Sta181 \l 2057 </w:instrText>
          </w:r>
          <w:r w:rsidR="00956F69" w:rsidRPr="00851192">
            <w:rPr>
              <w:rFonts w:ascii="Arial" w:hAnsi="Arial" w:cs="Arial"/>
            </w:rPr>
            <w:fldChar w:fldCharType="separate"/>
          </w:r>
          <w:r w:rsidR="002D17EA" w:rsidRPr="00851192">
            <w:rPr>
              <w:rFonts w:ascii="Arial" w:hAnsi="Arial" w:cs="Arial"/>
              <w:noProof/>
            </w:rPr>
            <w:t>(Statista, 2018)</w:t>
          </w:r>
          <w:r w:rsidR="00956F69" w:rsidRPr="00851192">
            <w:rPr>
              <w:rFonts w:ascii="Arial" w:hAnsi="Arial" w:cs="Arial"/>
            </w:rPr>
            <w:fldChar w:fldCharType="end"/>
          </w:r>
        </w:sdtContent>
      </w:sdt>
      <w:r w:rsidR="00956F69" w:rsidRPr="00851192">
        <w:rPr>
          <w:rFonts w:ascii="Arial" w:hAnsi="Arial" w:cs="Arial"/>
        </w:rPr>
        <w:t xml:space="preserve">. </w:t>
      </w:r>
    </w:p>
    <w:p w14:paraId="332BB9B5" w14:textId="263785D5" w:rsidR="00534E1B" w:rsidRPr="00851192" w:rsidRDefault="00534E1B" w:rsidP="00402A71">
      <w:pPr>
        <w:spacing w:line="360" w:lineRule="auto"/>
        <w:jc w:val="both"/>
        <w:rPr>
          <w:rFonts w:ascii="Arial" w:hAnsi="Arial" w:cs="Arial"/>
        </w:rPr>
      </w:pPr>
      <w:r w:rsidRPr="00851192">
        <w:rPr>
          <w:rFonts w:ascii="Arial" w:hAnsi="Arial" w:cs="Arial"/>
        </w:rPr>
        <w:t xml:space="preserve">From a public and </w:t>
      </w:r>
      <w:r w:rsidR="007C0429" w:rsidRPr="00851192">
        <w:rPr>
          <w:rFonts w:ascii="Arial" w:hAnsi="Arial" w:cs="Arial"/>
        </w:rPr>
        <w:t>social</w:t>
      </w:r>
      <w:r w:rsidRPr="00851192">
        <w:rPr>
          <w:rFonts w:ascii="Arial" w:hAnsi="Arial" w:cs="Arial"/>
        </w:rPr>
        <w:t xml:space="preserve"> beneficiary perspective</w:t>
      </w:r>
      <w:r w:rsidR="00BA4E6E" w:rsidRPr="00851192">
        <w:rPr>
          <w:rFonts w:ascii="Arial" w:hAnsi="Arial" w:cs="Arial"/>
        </w:rPr>
        <w:t>, gambling has been</w:t>
      </w:r>
      <w:r w:rsidR="00914854" w:rsidRPr="00851192">
        <w:rPr>
          <w:rFonts w:ascii="Arial" w:hAnsi="Arial" w:cs="Arial"/>
        </w:rPr>
        <w:t xml:space="preserve"> identified as a</w:t>
      </w:r>
      <w:r w:rsidR="00BA4E6E" w:rsidRPr="00851192">
        <w:rPr>
          <w:rFonts w:ascii="Arial" w:hAnsi="Arial" w:cs="Arial"/>
        </w:rPr>
        <w:t xml:space="preserve"> source of raising capital for governments</w:t>
      </w:r>
      <w:r w:rsidRPr="00851192">
        <w:rPr>
          <w:rFonts w:ascii="Arial" w:hAnsi="Arial" w:cs="Arial"/>
        </w:rPr>
        <w:t xml:space="preserve"> and societal growth</w:t>
      </w:r>
      <w:r w:rsidR="007E5834" w:rsidRPr="00851192">
        <w:rPr>
          <w:rFonts w:ascii="Arial" w:hAnsi="Arial" w:cs="Arial"/>
        </w:rPr>
        <w:t>.</w:t>
      </w:r>
      <w:r w:rsidR="00BA4E6E" w:rsidRPr="00851192">
        <w:rPr>
          <w:rFonts w:ascii="Arial" w:hAnsi="Arial" w:cs="Arial"/>
        </w:rPr>
        <w:t xml:space="preserve"> </w:t>
      </w:r>
      <w:r w:rsidR="00292DA5" w:rsidRPr="00851192">
        <w:rPr>
          <w:rFonts w:ascii="Arial" w:hAnsi="Arial" w:cs="Arial"/>
        </w:rPr>
        <w:t>A shift to neo-liberalism, a term associated to the 1930s and politics has been revived as a way</w:t>
      </w:r>
      <w:r w:rsidR="00AE799D" w:rsidRPr="00851192">
        <w:rPr>
          <w:rFonts w:ascii="Arial" w:hAnsi="Arial" w:cs="Arial"/>
        </w:rPr>
        <w:t xml:space="preserve"> of</w:t>
      </w:r>
      <w:r w:rsidR="00292DA5" w:rsidRPr="00851192">
        <w:rPr>
          <w:rFonts w:ascii="Arial" w:hAnsi="Arial" w:cs="Arial"/>
        </w:rPr>
        <w:t xml:space="preserve"> describing modern day politics. It’s a wa</w:t>
      </w:r>
      <w:r w:rsidR="00AE799D" w:rsidRPr="00851192">
        <w:rPr>
          <w:rFonts w:ascii="Arial" w:hAnsi="Arial" w:cs="Arial"/>
        </w:rPr>
        <w:t>y</w:t>
      </w:r>
      <w:r w:rsidR="00292DA5" w:rsidRPr="00851192">
        <w:rPr>
          <w:rFonts w:ascii="Arial" w:hAnsi="Arial" w:cs="Arial"/>
        </w:rPr>
        <w:t xml:space="preserve"> of assigning responsibility to the market. The modified form </w:t>
      </w:r>
      <w:r w:rsidR="00D47FF2" w:rsidRPr="00851192">
        <w:rPr>
          <w:rFonts w:ascii="Arial" w:hAnsi="Arial" w:cs="Arial"/>
        </w:rPr>
        <w:t>o</w:t>
      </w:r>
      <w:r w:rsidR="00292DA5" w:rsidRPr="00851192">
        <w:rPr>
          <w:rFonts w:ascii="Arial" w:hAnsi="Arial" w:cs="Arial"/>
        </w:rPr>
        <w:t>f liberalism considers that the market is king and if there are any social implications such as unemployment, it’s perceived as not because of the governments doing</w:t>
      </w:r>
      <w:r w:rsidR="00AE799D" w:rsidRPr="00851192">
        <w:rPr>
          <w:rFonts w:ascii="Arial" w:hAnsi="Arial" w:cs="Arial"/>
        </w:rPr>
        <w:t>,</w:t>
      </w:r>
      <w:r w:rsidR="00292DA5" w:rsidRPr="00851192">
        <w:rPr>
          <w:rFonts w:ascii="Arial" w:hAnsi="Arial" w:cs="Arial"/>
        </w:rPr>
        <w:t xml:space="preserve"> but the lifestyle people</w:t>
      </w:r>
      <w:r w:rsidR="00D47FF2" w:rsidRPr="00851192">
        <w:rPr>
          <w:rFonts w:ascii="Arial" w:hAnsi="Arial" w:cs="Arial"/>
        </w:rPr>
        <w:t xml:space="preserve"> choose to</w:t>
      </w:r>
      <w:r w:rsidR="00292DA5" w:rsidRPr="00851192">
        <w:rPr>
          <w:rFonts w:ascii="Arial" w:hAnsi="Arial" w:cs="Arial"/>
        </w:rPr>
        <w:t xml:space="preserve"> live. Regarding PG, the trend and increase in the issue has been identified as the government </w:t>
      </w:r>
      <w:r w:rsidR="00AE799D" w:rsidRPr="00851192">
        <w:rPr>
          <w:rFonts w:ascii="Arial" w:hAnsi="Arial" w:cs="Arial"/>
        </w:rPr>
        <w:t xml:space="preserve">not </w:t>
      </w:r>
      <w:r w:rsidR="00292DA5" w:rsidRPr="00851192">
        <w:rPr>
          <w:rFonts w:ascii="Arial" w:hAnsi="Arial" w:cs="Arial"/>
        </w:rPr>
        <w:t xml:space="preserve">doing enough to battle the </w:t>
      </w:r>
      <w:r w:rsidR="00D47FF2" w:rsidRPr="00851192">
        <w:rPr>
          <w:rFonts w:ascii="Arial" w:hAnsi="Arial" w:cs="Arial"/>
        </w:rPr>
        <w:t>problem</w:t>
      </w:r>
      <w:r w:rsidR="00AE799D" w:rsidRPr="00851192">
        <w:rPr>
          <w:rFonts w:ascii="Arial" w:hAnsi="Arial" w:cs="Arial"/>
        </w:rPr>
        <w:t xml:space="preserve"> alongside the boundaries that GGO’s operate within being flexible.</w:t>
      </w:r>
      <w:r w:rsidR="00292DA5" w:rsidRPr="00851192">
        <w:rPr>
          <w:rFonts w:ascii="Arial" w:hAnsi="Arial" w:cs="Arial"/>
        </w:rPr>
        <w:t xml:space="preserve"> </w:t>
      </w:r>
      <w:r w:rsidR="00AE799D" w:rsidRPr="00851192">
        <w:rPr>
          <w:rFonts w:ascii="Arial" w:hAnsi="Arial" w:cs="Arial"/>
        </w:rPr>
        <w:t>In contrast,</w:t>
      </w:r>
      <w:r w:rsidR="00292DA5" w:rsidRPr="00851192">
        <w:rPr>
          <w:rFonts w:ascii="Arial" w:hAnsi="Arial" w:cs="Arial"/>
        </w:rPr>
        <w:t xml:space="preserve"> modern day politics views the case of PG </w:t>
      </w:r>
      <w:r w:rsidR="00AE799D" w:rsidRPr="00851192">
        <w:rPr>
          <w:rFonts w:ascii="Arial" w:hAnsi="Arial" w:cs="Arial"/>
        </w:rPr>
        <w:t>as an</w:t>
      </w:r>
      <w:r w:rsidR="00292DA5" w:rsidRPr="00851192">
        <w:rPr>
          <w:rFonts w:ascii="Arial" w:hAnsi="Arial" w:cs="Arial"/>
        </w:rPr>
        <w:t xml:space="preserve"> issue</w:t>
      </w:r>
      <w:r w:rsidR="00AE799D" w:rsidRPr="00851192">
        <w:rPr>
          <w:rFonts w:ascii="Arial" w:hAnsi="Arial" w:cs="Arial"/>
        </w:rPr>
        <w:t xml:space="preserve"> that</w:t>
      </w:r>
      <w:r w:rsidR="00292DA5" w:rsidRPr="00851192">
        <w:rPr>
          <w:rFonts w:ascii="Arial" w:hAnsi="Arial" w:cs="Arial"/>
        </w:rPr>
        <w:t xml:space="preserve"> lays within the individual. However, </w:t>
      </w:r>
      <w:r w:rsidR="00D47FF2" w:rsidRPr="00851192">
        <w:rPr>
          <w:rFonts w:ascii="Arial" w:hAnsi="Arial" w:cs="Arial"/>
        </w:rPr>
        <w:t>i</w:t>
      </w:r>
      <w:r w:rsidR="00292DA5" w:rsidRPr="00851192">
        <w:rPr>
          <w:rFonts w:ascii="Arial" w:hAnsi="Arial" w:cs="Arial"/>
        </w:rPr>
        <w:t>n Canada</w:t>
      </w:r>
      <w:r w:rsidR="00BA4E6E" w:rsidRPr="00851192">
        <w:rPr>
          <w:rFonts w:ascii="Arial" w:hAnsi="Arial" w:cs="Arial"/>
        </w:rPr>
        <w:t xml:space="preserve"> the </w:t>
      </w:r>
      <w:r w:rsidR="00292DA5" w:rsidRPr="00851192">
        <w:rPr>
          <w:rFonts w:ascii="Arial" w:hAnsi="Arial" w:cs="Arial"/>
        </w:rPr>
        <w:t xml:space="preserve">gambling </w:t>
      </w:r>
      <w:r w:rsidR="00BA4E6E" w:rsidRPr="00851192">
        <w:rPr>
          <w:rFonts w:ascii="Arial" w:hAnsi="Arial" w:cs="Arial"/>
        </w:rPr>
        <w:t>sector is under political governance</w:t>
      </w:r>
      <w:r w:rsidR="00292DA5" w:rsidRPr="00851192">
        <w:rPr>
          <w:rFonts w:ascii="Arial" w:hAnsi="Arial" w:cs="Arial"/>
        </w:rPr>
        <w:t xml:space="preserve"> unlike the UK</w:t>
      </w:r>
      <w:r w:rsidR="007C0429" w:rsidRPr="00851192">
        <w:rPr>
          <w:rFonts w:ascii="Arial" w:hAnsi="Arial" w:cs="Arial"/>
        </w:rPr>
        <w:t xml:space="preserve">. </w:t>
      </w:r>
      <w:r w:rsidR="00B1780C" w:rsidRPr="00851192">
        <w:rPr>
          <w:rFonts w:ascii="Arial" w:hAnsi="Arial" w:cs="Arial"/>
        </w:rPr>
        <w:t xml:space="preserve">The market experienced incremental growth of 4.9% in 2017 </w:t>
      </w:r>
      <w:sdt>
        <w:sdtPr>
          <w:rPr>
            <w:rFonts w:ascii="Arial" w:hAnsi="Arial" w:cs="Arial"/>
          </w:rPr>
          <w:id w:val="-2121590780"/>
          <w:citation/>
        </w:sdtPr>
        <w:sdtEndPr/>
        <w:sdtContent>
          <w:r w:rsidR="00B1780C" w:rsidRPr="00851192">
            <w:rPr>
              <w:rFonts w:ascii="Arial" w:hAnsi="Arial" w:cs="Arial"/>
            </w:rPr>
            <w:fldChar w:fldCharType="begin"/>
          </w:r>
          <w:r w:rsidR="00B1780C" w:rsidRPr="00851192">
            <w:rPr>
              <w:rFonts w:ascii="Arial" w:hAnsi="Arial" w:cs="Arial"/>
            </w:rPr>
            <w:instrText xml:space="preserve"> CITATION Fan18 \l 2057 </w:instrText>
          </w:r>
          <w:r w:rsidR="00B1780C" w:rsidRPr="00851192">
            <w:rPr>
              <w:rFonts w:ascii="Arial" w:hAnsi="Arial" w:cs="Arial"/>
            </w:rPr>
            <w:fldChar w:fldCharType="separate"/>
          </w:r>
          <w:r w:rsidR="002D17EA" w:rsidRPr="00851192">
            <w:rPr>
              <w:rFonts w:ascii="Arial" w:hAnsi="Arial" w:cs="Arial"/>
              <w:noProof/>
            </w:rPr>
            <w:t>(Fantini &amp; Diem, 2018)</w:t>
          </w:r>
          <w:r w:rsidR="00B1780C" w:rsidRPr="00851192">
            <w:rPr>
              <w:rFonts w:ascii="Arial" w:hAnsi="Arial" w:cs="Arial"/>
            </w:rPr>
            <w:fldChar w:fldCharType="end"/>
          </w:r>
        </w:sdtContent>
      </w:sdt>
      <w:r w:rsidR="00B1780C" w:rsidRPr="00851192">
        <w:rPr>
          <w:rFonts w:ascii="Arial" w:hAnsi="Arial" w:cs="Arial"/>
        </w:rPr>
        <w:t>. Managing the industry allows</w:t>
      </w:r>
      <w:r w:rsidR="007C0429" w:rsidRPr="00851192">
        <w:rPr>
          <w:rFonts w:ascii="Arial" w:hAnsi="Arial" w:cs="Arial"/>
        </w:rPr>
        <w:t xml:space="preserve"> the Canadia</w:t>
      </w:r>
      <w:r w:rsidR="00292DA5" w:rsidRPr="00851192">
        <w:rPr>
          <w:rFonts w:ascii="Arial" w:hAnsi="Arial" w:cs="Arial"/>
        </w:rPr>
        <w:t xml:space="preserve">n government </w:t>
      </w:r>
      <w:r w:rsidR="00D47FF2" w:rsidRPr="00851192">
        <w:rPr>
          <w:rFonts w:ascii="Arial" w:hAnsi="Arial" w:cs="Arial"/>
        </w:rPr>
        <w:t>to</w:t>
      </w:r>
      <w:r w:rsidR="00292DA5" w:rsidRPr="00851192">
        <w:rPr>
          <w:rFonts w:ascii="Arial" w:hAnsi="Arial" w:cs="Arial"/>
        </w:rPr>
        <w:t xml:space="preserve"> keep control of</w:t>
      </w:r>
      <w:r w:rsidR="007C0429" w:rsidRPr="00851192">
        <w:rPr>
          <w:rFonts w:ascii="Arial" w:hAnsi="Arial" w:cs="Arial"/>
        </w:rPr>
        <w:t xml:space="preserve"> </w:t>
      </w:r>
      <w:r w:rsidR="00AE799D" w:rsidRPr="00851192">
        <w:rPr>
          <w:rFonts w:ascii="Arial" w:hAnsi="Arial" w:cs="Arial"/>
        </w:rPr>
        <w:t>PG</w:t>
      </w:r>
      <w:r w:rsidR="007C0429" w:rsidRPr="00851192">
        <w:rPr>
          <w:rFonts w:ascii="Arial" w:hAnsi="Arial" w:cs="Arial"/>
        </w:rPr>
        <w:t xml:space="preserve"> within its political jurisdiction</w:t>
      </w:r>
      <w:r w:rsidR="00D47FF2" w:rsidRPr="00851192">
        <w:rPr>
          <w:rFonts w:ascii="Arial" w:hAnsi="Arial" w:cs="Arial"/>
        </w:rPr>
        <w:t>. This allows the government to promote RG</w:t>
      </w:r>
      <w:r w:rsidR="00124F1E" w:rsidRPr="00851192">
        <w:rPr>
          <w:rFonts w:ascii="Arial" w:hAnsi="Arial" w:cs="Arial"/>
        </w:rPr>
        <w:t xml:space="preserve"> </w:t>
      </w:r>
      <w:r w:rsidR="00D47FF2" w:rsidRPr="00851192">
        <w:rPr>
          <w:rFonts w:ascii="Arial" w:hAnsi="Arial" w:cs="Arial"/>
        </w:rPr>
        <w:t>whilst</w:t>
      </w:r>
      <w:r w:rsidR="00B1780C" w:rsidRPr="00851192">
        <w:rPr>
          <w:rFonts w:ascii="Arial" w:hAnsi="Arial" w:cs="Arial"/>
        </w:rPr>
        <w:t xml:space="preserve"> GGO’s can still profit in a free market</w:t>
      </w:r>
      <w:r w:rsidR="007C0429" w:rsidRPr="00851192">
        <w:rPr>
          <w:rFonts w:ascii="Arial" w:hAnsi="Arial" w:cs="Arial"/>
        </w:rPr>
        <w:t>.</w:t>
      </w:r>
      <w:r w:rsidR="00292DA5" w:rsidRPr="00851192">
        <w:rPr>
          <w:rFonts w:ascii="Arial" w:hAnsi="Arial" w:cs="Arial"/>
        </w:rPr>
        <w:t xml:space="preserve"> </w:t>
      </w:r>
      <w:r w:rsidR="006D3E35" w:rsidRPr="00851192">
        <w:rPr>
          <w:rFonts w:ascii="Arial" w:hAnsi="Arial" w:cs="Arial"/>
        </w:rPr>
        <w:t>S</w:t>
      </w:r>
      <w:r w:rsidR="007C0429" w:rsidRPr="00851192">
        <w:rPr>
          <w:rFonts w:ascii="Arial" w:hAnsi="Arial" w:cs="Arial"/>
        </w:rPr>
        <w:t>till providing avenues for the public to gamble</w:t>
      </w:r>
      <w:r w:rsidR="006D3E35" w:rsidRPr="00851192">
        <w:rPr>
          <w:rFonts w:ascii="Arial" w:hAnsi="Arial" w:cs="Arial"/>
        </w:rPr>
        <w:t>,</w:t>
      </w:r>
      <w:r w:rsidR="007C0429" w:rsidRPr="00851192">
        <w:rPr>
          <w:rFonts w:ascii="Arial" w:hAnsi="Arial" w:cs="Arial"/>
        </w:rPr>
        <w:t xml:space="preserve"> as it is believed to have societal benefits, the government are also able to raise </w:t>
      </w:r>
      <w:r w:rsidR="007E5834" w:rsidRPr="00851192">
        <w:rPr>
          <w:rFonts w:ascii="Arial" w:hAnsi="Arial" w:cs="Arial"/>
        </w:rPr>
        <w:t>funds for</w:t>
      </w:r>
      <w:r w:rsidR="00113C63" w:rsidRPr="00851192">
        <w:rPr>
          <w:rFonts w:ascii="Arial" w:hAnsi="Arial" w:cs="Arial"/>
        </w:rPr>
        <w:t xml:space="preserve"> the</w:t>
      </w:r>
      <w:r w:rsidR="007E5834" w:rsidRPr="00851192">
        <w:rPr>
          <w:rFonts w:ascii="Arial" w:hAnsi="Arial" w:cs="Arial"/>
        </w:rPr>
        <w:t xml:space="preserve"> development in </w:t>
      </w:r>
      <w:r w:rsidR="007C0429" w:rsidRPr="00851192">
        <w:rPr>
          <w:rFonts w:ascii="Arial" w:hAnsi="Arial" w:cs="Arial"/>
        </w:rPr>
        <w:t xml:space="preserve">national </w:t>
      </w:r>
      <w:r w:rsidR="007E5834" w:rsidRPr="00851192">
        <w:rPr>
          <w:rFonts w:ascii="Arial" w:hAnsi="Arial" w:cs="Arial"/>
        </w:rPr>
        <w:t xml:space="preserve">infrastructure </w:t>
      </w:r>
      <w:r w:rsidR="00124F1E" w:rsidRPr="00851192">
        <w:rPr>
          <w:rFonts w:ascii="Arial" w:hAnsi="Arial" w:cs="Arial"/>
        </w:rPr>
        <w:t>(National Defence, 2018)</w:t>
      </w:r>
      <w:r w:rsidR="00113C63" w:rsidRPr="00851192">
        <w:rPr>
          <w:rFonts w:ascii="Arial" w:hAnsi="Arial" w:cs="Arial"/>
        </w:rPr>
        <w:t xml:space="preserve">. </w:t>
      </w:r>
      <w:r w:rsidR="006D3E35" w:rsidRPr="00851192">
        <w:rPr>
          <w:rFonts w:ascii="Arial" w:hAnsi="Arial" w:cs="Arial"/>
        </w:rPr>
        <w:t>For example,</w:t>
      </w:r>
      <w:r w:rsidR="00124F1E" w:rsidRPr="00851192">
        <w:rPr>
          <w:rFonts w:ascii="Arial" w:hAnsi="Arial" w:cs="Arial"/>
        </w:rPr>
        <w:t xml:space="preserve"> in the UK, the National Lottery launched by the UK government in 1994</w:t>
      </w:r>
      <w:r w:rsidR="00113C63" w:rsidRPr="00851192">
        <w:rPr>
          <w:rFonts w:ascii="Arial" w:hAnsi="Arial" w:cs="Arial"/>
        </w:rPr>
        <w:t xml:space="preserve"> continues to be</w:t>
      </w:r>
      <w:r w:rsidR="00124F1E" w:rsidRPr="00851192">
        <w:rPr>
          <w:rFonts w:ascii="Arial" w:hAnsi="Arial" w:cs="Arial"/>
        </w:rPr>
        <w:t xml:space="preserve"> a pivotal source </w:t>
      </w:r>
      <w:r w:rsidR="006D3E35" w:rsidRPr="00851192">
        <w:rPr>
          <w:rFonts w:ascii="Arial" w:hAnsi="Arial" w:cs="Arial"/>
        </w:rPr>
        <w:t>of</w:t>
      </w:r>
      <w:r w:rsidR="00124F1E" w:rsidRPr="00851192">
        <w:rPr>
          <w:rFonts w:ascii="Arial" w:hAnsi="Arial" w:cs="Arial"/>
        </w:rPr>
        <w:t xml:space="preserve"> funding national projects</w:t>
      </w:r>
      <w:r w:rsidR="002502E3" w:rsidRPr="00851192">
        <w:rPr>
          <w:rFonts w:ascii="Arial" w:hAnsi="Arial" w:cs="Arial"/>
        </w:rPr>
        <w:t>, alongside providing</w:t>
      </w:r>
      <w:r w:rsidR="007C0429" w:rsidRPr="00851192">
        <w:rPr>
          <w:rFonts w:ascii="Arial" w:hAnsi="Arial" w:cs="Arial"/>
        </w:rPr>
        <w:t xml:space="preserve"> the opportunity to an open and free market through deregulating the secto</w:t>
      </w:r>
      <w:r w:rsidR="002502E3" w:rsidRPr="00851192">
        <w:rPr>
          <w:rFonts w:ascii="Arial" w:hAnsi="Arial" w:cs="Arial"/>
        </w:rPr>
        <w:t>r (The National Lotte</w:t>
      </w:r>
      <w:r w:rsidR="007C0429" w:rsidRPr="00851192">
        <w:rPr>
          <w:rFonts w:ascii="Arial" w:hAnsi="Arial" w:cs="Arial"/>
        </w:rPr>
        <w:t>r</w:t>
      </w:r>
      <w:r w:rsidR="002502E3" w:rsidRPr="00851192">
        <w:rPr>
          <w:rFonts w:ascii="Arial" w:hAnsi="Arial" w:cs="Arial"/>
        </w:rPr>
        <w:t>y, 2017)</w:t>
      </w:r>
      <w:r w:rsidR="00124F1E" w:rsidRPr="00851192">
        <w:rPr>
          <w:rFonts w:ascii="Arial" w:hAnsi="Arial" w:cs="Arial"/>
        </w:rPr>
        <w:t xml:space="preserve">. </w:t>
      </w:r>
    </w:p>
    <w:p w14:paraId="706B507D" w14:textId="42E8CFFF" w:rsidR="00292DA5" w:rsidRPr="00851192" w:rsidRDefault="00292DA5" w:rsidP="00402A71">
      <w:pPr>
        <w:spacing w:line="360" w:lineRule="auto"/>
        <w:jc w:val="both"/>
        <w:rPr>
          <w:rFonts w:ascii="Arial" w:hAnsi="Arial" w:cs="Arial"/>
        </w:rPr>
      </w:pPr>
      <w:r w:rsidRPr="00851192">
        <w:rPr>
          <w:rFonts w:ascii="Arial" w:hAnsi="Arial" w:cs="Arial"/>
        </w:rPr>
        <w:t xml:space="preserve">The growth of the industry has also seen the popularity of </w:t>
      </w:r>
      <w:r w:rsidR="0012687F" w:rsidRPr="00851192">
        <w:rPr>
          <w:rFonts w:ascii="Arial" w:hAnsi="Arial" w:cs="Arial"/>
        </w:rPr>
        <w:t>CSR</w:t>
      </w:r>
      <w:r w:rsidRPr="00851192">
        <w:rPr>
          <w:rFonts w:ascii="Arial" w:hAnsi="Arial" w:cs="Arial"/>
        </w:rPr>
        <w:t xml:space="preserve"> increase. The idea of responsible gambling</w:t>
      </w:r>
      <w:r w:rsidR="003109BA" w:rsidRPr="00851192">
        <w:rPr>
          <w:rFonts w:ascii="Arial" w:hAnsi="Arial" w:cs="Arial"/>
        </w:rPr>
        <w:t xml:space="preserve"> (RG)</w:t>
      </w:r>
      <w:r w:rsidRPr="00851192">
        <w:rPr>
          <w:rFonts w:ascii="Arial" w:hAnsi="Arial" w:cs="Arial"/>
        </w:rPr>
        <w:t xml:space="preserve"> is entwined with CSR</w:t>
      </w:r>
      <w:r w:rsidR="003E7691" w:rsidRPr="00851192">
        <w:rPr>
          <w:rFonts w:ascii="Arial" w:hAnsi="Arial" w:cs="Arial"/>
        </w:rPr>
        <w:t>, and a</w:t>
      </w:r>
      <w:r w:rsidRPr="00851192">
        <w:rPr>
          <w:rFonts w:ascii="Arial" w:hAnsi="Arial" w:cs="Arial"/>
        </w:rPr>
        <w:t>s gambling has expanded glo</w:t>
      </w:r>
      <w:r w:rsidR="00A77CA3" w:rsidRPr="00851192">
        <w:rPr>
          <w:rFonts w:ascii="Arial" w:hAnsi="Arial" w:cs="Arial"/>
        </w:rPr>
        <w:t>bally, three groups have emerg</w:t>
      </w:r>
      <w:r w:rsidRPr="00851192">
        <w:rPr>
          <w:rFonts w:ascii="Arial" w:hAnsi="Arial" w:cs="Arial"/>
        </w:rPr>
        <w:t xml:space="preserve">ed who are in </w:t>
      </w:r>
      <w:r w:rsidR="00A77CA3" w:rsidRPr="00851192">
        <w:rPr>
          <w:rFonts w:ascii="Arial" w:hAnsi="Arial" w:cs="Arial"/>
        </w:rPr>
        <w:t>favour</w:t>
      </w:r>
      <w:r w:rsidRPr="00851192">
        <w:rPr>
          <w:rFonts w:ascii="Arial" w:hAnsi="Arial" w:cs="Arial"/>
        </w:rPr>
        <w:t xml:space="preserve"> of gambling</w:t>
      </w:r>
      <w:r w:rsidR="00A77CA3" w:rsidRPr="00851192">
        <w:rPr>
          <w:rFonts w:ascii="Arial" w:hAnsi="Arial" w:cs="Arial"/>
        </w:rPr>
        <w:t>, these are;</w:t>
      </w:r>
      <w:r w:rsidRPr="00851192">
        <w:rPr>
          <w:rFonts w:ascii="Arial" w:hAnsi="Arial" w:cs="Arial"/>
        </w:rPr>
        <w:t xml:space="preserve"> governments, operators and, gambl</w:t>
      </w:r>
      <w:r w:rsidR="002502E3" w:rsidRPr="00851192">
        <w:rPr>
          <w:rFonts w:ascii="Arial" w:hAnsi="Arial" w:cs="Arial"/>
        </w:rPr>
        <w:t>ers</w:t>
      </w:r>
      <w:r w:rsidR="00A77CA3" w:rsidRPr="00851192">
        <w:rPr>
          <w:rFonts w:ascii="Arial" w:hAnsi="Arial" w:cs="Arial"/>
        </w:rPr>
        <w:t>. Those who oppose the idea of gambling are anti-gaming lobbies, a</w:t>
      </w:r>
      <w:r w:rsidR="00852B15" w:rsidRPr="00851192">
        <w:rPr>
          <w:rFonts w:ascii="Arial" w:hAnsi="Arial" w:cs="Arial"/>
        </w:rPr>
        <w:t>longside</w:t>
      </w:r>
      <w:r w:rsidR="00A77CA3" w:rsidRPr="00851192">
        <w:rPr>
          <w:rFonts w:ascii="Arial" w:hAnsi="Arial" w:cs="Arial"/>
        </w:rPr>
        <w:t xml:space="preserve"> third</w:t>
      </w:r>
      <w:r w:rsidR="00035D3E" w:rsidRPr="00851192">
        <w:rPr>
          <w:rFonts w:ascii="Arial" w:hAnsi="Arial" w:cs="Arial"/>
        </w:rPr>
        <w:t>-</w:t>
      </w:r>
      <w:r w:rsidR="00A77CA3" w:rsidRPr="00851192">
        <w:rPr>
          <w:rFonts w:ascii="Arial" w:hAnsi="Arial" w:cs="Arial"/>
        </w:rPr>
        <w:t>party pragmatic groups who argue that the close relationship between the gambling industry and society have negative externalities on factors such as mental health, social welfare and negative lifestyles</w:t>
      </w:r>
      <w:r w:rsidR="003E7691" w:rsidRPr="00851192">
        <w:rPr>
          <w:rFonts w:ascii="Arial" w:hAnsi="Arial" w:cs="Arial"/>
        </w:rPr>
        <w:t xml:space="preserve"> </w:t>
      </w:r>
      <w:sdt>
        <w:sdtPr>
          <w:rPr>
            <w:rFonts w:ascii="Arial" w:hAnsi="Arial" w:cs="Arial"/>
          </w:rPr>
          <w:id w:val="1426303220"/>
          <w:citation/>
        </w:sdtPr>
        <w:sdtEndPr/>
        <w:sdtContent>
          <w:r w:rsidR="003E7691" w:rsidRPr="00851192">
            <w:rPr>
              <w:rFonts w:ascii="Arial" w:hAnsi="Arial" w:cs="Arial"/>
            </w:rPr>
            <w:fldChar w:fldCharType="begin"/>
          </w:r>
          <w:r w:rsidR="003E7691" w:rsidRPr="00851192">
            <w:rPr>
              <w:rFonts w:ascii="Arial" w:hAnsi="Arial" w:cs="Arial"/>
            </w:rPr>
            <w:instrText xml:space="preserve"> CITATION Ram16 \l 2057 </w:instrText>
          </w:r>
          <w:r w:rsidR="003E7691" w:rsidRPr="00851192">
            <w:rPr>
              <w:rFonts w:ascii="Arial" w:hAnsi="Arial" w:cs="Arial"/>
            </w:rPr>
            <w:fldChar w:fldCharType="separate"/>
          </w:r>
          <w:r w:rsidR="002D17EA" w:rsidRPr="00851192">
            <w:rPr>
              <w:rFonts w:ascii="Arial" w:hAnsi="Arial" w:cs="Arial"/>
              <w:noProof/>
            </w:rPr>
            <w:t>(Ramesh, 2016)</w:t>
          </w:r>
          <w:r w:rsidR="003E7691" w:rsidRPr="00851192">
            <w:rPr>
              <w:rFonts w:ascii="Arial" w:hAnsi="Arial" w:cs="Arial"/>
            </w:rPr>
            <w:fldChar w:fldCharType="end"/>
          </w:r>
        </w:sdtContent>
      </w:sdt>
      <w:r w:rsidR="00A77CA3" w:rsidRPr="00851192">
        <w:rPr>
          <w:rFonts w:ascii="Arial" w:hAnsi="Arial" w:cs="Arial"/>
        </w:rPr>
        <w:t>. A further argument opposed by gambling also raise</w:t>
      </w:r>
      <w:r w:rsidR="00852B15" w:rsidRPr="00851192">
        <w:rPr>
          <w:rFonts w:ascii="Arial" w:hAnsi="Arial" w:cs="Arial"/>
        </w:rPr>
        <w:t>s</w:t>
      </w:r>
      <w:r w:rsidR="00A77CA3" w:rsidRPr="00851192">
        <w:rPr>
          <w:rFonts w:ascii="Arial" w:hAnsi="Arial" w:cs="Arial"/>
        </w:rPr>
        <w:t xml:space="preserve"> the question </w:t>
      </w:r>
      <w:r w:rsidR="006D3E35" w:rsidRPr="00851192">
        <w:rPr>
          <w:rFonts w:ascii="Arial" w:hAnsi="Arial" w:cs="Arial"/>
        </w:rPr>
        <w:t>is</w:t>
      </w:r>
      <w:r w:rsidR="00A77CA3" w:rsidRPr="00851192">
        <w:rPr>
          <w:rFonts w:ascii="Arial" w:hAnsi="Arial" w:cs="Arial"/>
        </w:rPr>
        <w:t xml:space="preserve"> CSR an oxymoron in the gambling industry. The term “responsible gambling” puts the onus upon the gambler. No longer is the addictive nature of the gambler and predatory nature of the industry at fault viewed by government, but the gambler is to blame. In truth, the compulsive gambler can no </w:t>
      </w:r>
      <w:r w:rsidR="006D3E35" w:rsidRPr="00851192">
        <w:rPr>
          <w:rFonts w:ascii="Arial" w:hAnsi="Arial" w:cs="Arial"/>
        </w:rPr>
        <w:t>longer</w:t>
      </w:r>
      <w:r w:rsidR="00A77CA3" w:rsidRPr="00851192">
        <w:rPr>
          <w:rFonts w:ascii="Arial" w:hAnsi="Arial" w:cs="Arial"/>
        </w:rPr>
        <w:t xml:space="preserve"> gamble responsibly than the alcoholic can drink </w:t>
      </w:r>
      <w:r w:rsidR="00691CDE" w:rsidRPr="00851192">
        <w:rPr>
          <w:rFonts w:ascii="Arial" w:hAnsi="Arial" w:cs="Arial"/>
        </w:rPr>
        <w:t>responsibly,</w:t>
      </w:r>
      <w:r w:rsidR="00A77CA3" w:rsidRPr="00851192">
        <w:rPr>
          <w:rFonts w:ascii="Arial" w:hAnsi="Arial" w:cs="Arial"/>
        </w:rPr>
        <w:t xml:space="preserve"> or the drug addict can inject heroin responsibly and due to this nature of habits, it does damage the image of the gambling industry. </w:t>
      </w:r>
      <w:r w:rsidR="001044F7" w:rsidRPr="00851192">
        <w:rPr>
          <w:rFonts w:ascii="Arial" w:hAnsi="Arial" w:cs="Arial"/>
        </w:rPr>
        <w:t>Thus,</w:t>
      </w:r>
      <w:r w:rsidR="00A77CA3" w:rsidRPr="00851192">
        <w:rPr>
          <w:rFonts w:ascii="Arial" w:hAnsi="Arial" w:cs="Arial"/>
        </w:rPr>
        <w:t xml:space="preserve"> through uplifting a light </w:t>
      </w:r>
      <w:r w:rsidR="00A77CA3" w:rsidRPr="00851192">
        <w:rPr>
          <w:rFonts w:ascii="Arial" w:hAnsi="Arial" w:cs="Arial"/>
        </w:rPr>
        <w:lastRenderedPageBreak/>
        <w:t xml:space="preserve">onto the industry and </w:t>
      </w:r>
      <w:r w:rsidR="003E2A48" w:rsidRPr="00851192">
        <w:rPr>
          <w:rFonts w:ascii="Arial" w:hAnsi="Arial" w:cs="Arial"/>
        </w:rPr>
        <w:t xml:space="preserve">influencing the perception of society, </w:t>
      </w:r>
      <w:r w:rsidR="00852B15" w:rsidRPr="00851192">
        <w:rPr>
          <w:rFonts w:ascii="Arial" w:hAnsi="Arial" w:cs="Arial"/>
        </w:rPr>
        <w:t>GGO’s</w:t>
      </w:r>
      <w:r w:rsidR="003E2A48" w:rsidRPr="00851192">
        <w:rPr>
          <w:rFonts w:ascii="Arial" w:hAnsi="Arial" w:cs="Arial"/>
        </w:rPr>
        <w:t xml:space="preserve"> now demonstrate positive CSR measures through CSR communication. The purpose of CSR communications is to deliver the desired image by global gambling operators and influence the sustainability of its brands identity. </w:t>
      </w:r>
    </w:p>
    <w:p w14:paraId="34D20607" w14:textId="77E1EABE" w:rsidR="00A94AB0" w:rsidRPr="00851192" w:rsidRDefault="003109BA" w:rsidP="00402A71">
      <w:pPr>
        <w:spacing w:line="360" w:lineRule="auto"/>
        <w:jc w:val="both"/>
        <w:rPr>
          <w:rFonts w:ascii="Arial" w:hAnsi="Arial" w:cs="Arial"/>
        </w:rPr>
      </w:pPr>
      <w:r w:rsidRPr="00851192">
        <w:rPr>
          <w:rFonts w:ascii="Arial" w:hAnsi="Arial" w:cs="Arial"/>
        </w:rPr>
        <w:t>RG</w:t>
      </w:r>
      <w:r w:rsidR="00A94AB0" w:rsidRPr="00851192">
        <w:rPr>
          <w:rFonts w:ascii="Arial" w:hAnsi="Arial" w:cs="Arial"/>
        </w:rPr>
        <w:t xml:space="preserve"> can be portrayed by GGO’s through identifying functions across online platforms such as; providing problem gambling support, self-exclusion facilities, promoting </w:t>
      </w:r>
      <w:r w:rsidRPr="00851192">
        <w:rPr>
          <w:rFonts w:ascii="Arial" w:hAnsi="Arial" w:cs="Arial"/>
        </w:rPr>
        <w:t>RG</w:t>
      </w:r>
      <w:r w:rsidR="00A94AB0" w:rsidRPr="00851192">
        <w:rPr>
          <w:rFonts w:ascii="Arial" w:hAnsi="Arial" w:cs="Arial"/>
        </w:rPr>
        <w:t xml:space="preserve"> on social media, secure transaction functions, time management functions, </w:t>
      </w:r>
      <w:r w:rsidR="005F3DE0" w:rsidRPr="00851192">
        <w:rPr>
          <w:rFonts w:ascii="Arial" w:hAnsi="Arial" w:cs="Arial"/>
        </w:rPr>
        <w:t xml:space="preserve">fair gaming, </w:t>
      </w:r>
      <w:r w:rsidR="00A94AB0" w:rsidRPr="00851192">
        <w:rPr>
          <w:rFonts w:ascii="Arial" w:hAnsi="Arial" w:cs="Arial"/>
        </w:rPr>
        <w:t xml:space="preserve">as well as an ethical and responsible statement. However, </w:t>
      </w:r>
      <w:r w:rsidR="0095111E" w:rsidRPr="00851192">
        <w:rPr>
          <w:rFonts w:ascii="Arial" w:hAnsi="Arial" w:cs="Arial"/>
        </w:rPr>
        <w:t xml:space="preserve">third-party pragmatic groups do consider other areas such as technical support, the promotion of gambling advertisement, and money limits / balance functions all to be a disrupter in trying to benefit </w:t>
      </w:r>
      <w:r w:rsidR="008B004F" w:rsidRPr="00851192">
        <w:rPr>
          <w:rFonts w:ascii="Arial" w:hAnsi="Arial" w:cs="Arial"/>
        </w:rPr>
        <w:t>PG</w:t>
      </w:r>
      <w:r w:rsidR="0095111E" w:rsidRPr="00851192">
        <w:rPr>
          <w:rFonts w:ascii="Arial" w:hAnsi="Arial" w:cs="Arial"/>
        </w:rPr>
        <w:t xml:space="preserve">. </w:t>
      </w:r>
    </w:p>
    <w:p w14:paraId="2516CE2A" w14:textId="540AEB34" w:rsidR="00DB4371" w:rsidRPr="00851192" w:rsidRDefault="00DB4371" w:rsidP="00402A71">
      <w:pPr>
        <w:spacing w:line="360" w:lineRule="auto"/>
        <w:jc w:val="both"/>
        <w:rPr>
          <w:rFonts w:ascii="Arial" w:hAnsi="Arial" w:cs="Arial"/>
        </w:rPr>
      </w:pPr>
      <w:r w:rsidRPr="00851192">
        <w:rPr>
          <w:rFonts w:ascii="Arial" w:hAnsi="Arial" w:cs="Arial"/>
        </w:rPr>
        <w:t>Exponential growth over the last three decades have been influenced by external drivers such as the deregulation of the industry within many countries, globalisation, the development of technology, a</w:t>
      </w:r>
      <w:r w:rsidR="006D3E35" w:rsidRPr="00851192">
        <w:rPr>
          <w:rFonts w:ascii="Arial" w:hAnsi="Arial" w:cs="Arial"/>
        </w:rPr>
        <w:t>nd</w:t>
      </w:r>
      <w:r w:rsidRPr="00851192">
        <w:rPr>
          <w:rFonts w:ascii="Arial" w:hAnsi="Arial" w:cs="Arial"/>
        </w:rPr>
        <w:t xml:space="preserve"> financial support driven by invest</w:t>
      </w:r>
      <w:r w:rsidR="008B004F" w:rsidRPr="00851192">
        <w:rPr>
          <w:rFonts w:ascii="Arial" w:hAnsi="Arial" w:cs="Arial"/>
        </w:rPr>
        <w:t>ors</w:t>
      </w:r>
      <w:r w:rsidRPr="00851192">
        <w:rPr>
          <w:rFonts w:ascii="Arial" w:hAnsi="Arial" w:cs="Arial"/>
        </w:rPr>
        <w:t xml:space="preserve">. The term globalisation can be defined in diverse ways such as the development of international influence across nations as well as a company operating on a global scale </w:t>
      </w:r>
      <w:sdt>
        <w:sdtPr>
          <w:rPr>
            <w:rFonts w:ascii="Arial" w:hAnsi="Arial" w:cs="Arial"/>
          </w:rPr>
          <w:id w:val="383222338"/>
          <w:citation/>
        </w:sdtPr>
        <w:sdtEndPr/>
        <w:sdtContent>
          <w:r w:rsidRPr="00851192">
            <w:rPr>
              <w:rFonts w:ascii="Arial" w:hAnsi="Arial" w:cs="Arial"/>
            </w:rPr>
            <w:fldChar w:fldCharType="begin"/>
          </w:r>
          <w:r w:rsidRPr="00851192">
            <w:rPr>
              <w:rFonts w:ascii="Arial" w:hAnsi="Arial" w:cs="Arial"/>
            </w:rPr>
            <w:instrText xml:space="preserve"> CITATION Sch08 \l 2057 </w:instrText>
          </w:r>
          <w:r w:rsidRPr="00851192">
            <w:rPr>
              <w:rFonts w:ascii="Arial" w:hAnsi="Arial" w:cs="Arial"/>
            </w:rPr>
            <w:fldChar w:fldCharType="separate"/>
          </w:r>
          <w:r w:rsidR="002D17EA" w:rsidRPr="00851192">
            <w:rPr>
              <w:rFonts w:ascii="Arial" w:hAnsi="Arial" w:cs="Arial"/>
              <w:noProof/>
            </w:rPr>
            <w:t>(Scholte, 2008)</w:t>
          </w:r>
          <w:r w:rsidRPr="00851192">
            <w:rPr>
              <w:rFonts w:ascii="Arial" w:hAnsi="Arial" w:cs="Arial"/>
            </w:rPr>
            <w:fldChar w:fldCharType="end"/>
          </w:r>
        </w:sdtContent>
      </w:sdt>
      <w:r w:rsidRPr="00851192">
        <w:rPr>
          <w:rFonts w:ascii="Arial" w:hAnsi="Arial" w:cs="Arial"/>
        </w:rPr>
        <w:t xml:space="preserve">. </w:t>
      </w:r>
    </w:p>
    <w:p w14:paraId="76EFDE52" w14:textId="7C0FE8D2" w:rsidR="00DB4371" w:rsidRPr="00851192" w:rsidRDefault="00DB4371" w:rsidP="00402A71">
      <w:pPr>
        <w:spacing w:line="360" w:lineRule="auto"/>
        <w:jc w:val="both"/>
        <w:rPr>
          <w:rFonts w:ascii="Arial" w:hAnsi="Arial" w:cs="Arial"/>
        </w:rPr>
      </w:pPr>
      <w:r w:rsidRPr="00851192">
        <w:rPr>
          <w:rFonts w:ascii="Arial" w:hAnsi="Arial" w:cs="Arial"/>
        </w:rPr>
        <w:t xml:space="preserve">However, an assumption on the context of globalisation intrinsically linked with the </w:t>
      </w:r>
      <w:r w:rsidR="00AD22E2" w:rsidRPr="00851192">
        <w:rPr>
          <w:rFonts w:ascii="Arial" w:hAnsi="Arial" w:cs="Arial"/>
        </w:rPr>
        <w:t>GGI</w:t>
      </w:r>
      <w:r w:rsidRPr="00851192">
        <w:rPr>
          <w:rFonts w:ascii="Arial" w:hAnsi="Arial" w:cs="Arial"/>
        </w:rPr>
        <w:t xml:space="preserve"> is defined and driven by the development within technology. The influences driven by consumer interaction and behaviour across the globe alongside the normalised culture and relationship between humans and technology. </w:t>
      </w:r>
      <w:r w:rsidR="008B004F" w:rsidRPr="00851192">
        <w:rPr>
          <w:rFonts w:ascii="Arial" w:hAnsi="Arial" w:cs="Arial"/>
        </w:rPr>
        <w:t>Thus</w:t>
      </w:r>
      <w:r w:rsidRPr="00851192">
        <w:rPr>
          <w:rFonts w:ascii="Arial" w:hAnsi="Arial" w:cs="Arial"/>
        </w:rPr>
        <w:t xml:space="preserve">, it has provided a perfect catalyst for growth due to the driven nature of </w:t>
      </w:r>
      <w:r w:rsidR="008B004F" w:rsidRPr="00851192">
        <w:rPr>
          <w:rFonts w:ascii="Arial" w:hAnsi="Arial" w:cs="Arial"/>
        </w:rPr>
        <w:t xml:space="preserve">society living </w:t>
      </w:r>
      <w:r w:rsidRPr="00851192">
        <w:rPr>
          <w:rFonts w:ascii="Arial" w:hAnsi="Arial" w:cs="Arial"/>
        </w:rPr>
        <w:t xml:space="preserve">a normalised culture of gambling which has an extensive and rich history. </w:t>
      </w:r>
    </w:p>
    <w:p w14:paraId="6B30F16A" w14:textId="44BB2252" w:rsidR="00DB4371" w:rsidRPr="00851192" w:rsidRDefault="00DB4371" w:rsidP="00402A71">
      <w:pPr>
        <w:spacing w:line="360" w:lineRule="auto"/>
        <w:jc w:val="both"/>
        <w:rPr>
          <w:rFonts w:ascii="Arial" w:hAnsi="Arial" w:cs="Arial"/>
        </w:rPr>
      </w:pPr>
      <w:r w:rsidRPr="00851192">
        <w:rPr>
          <w:rFonts w:ascii="Arial" w:hAnsi="Arial" w:cs="Arial"/>
        </w:rPr>
        <w:t xml:space="preserve">A further assumption on the notion of globalisation also stems a thought process regarding the long-term sustainability of a business. It not only considers the sustainable development within economic growth, but also considers social and environmental factors. Social factors identified and implemented effectively by </w:t>
      </w:r>
      <w:r w:rsidR="008B004F" w:rsidRPr="00851192">
        <w:rPr>
          <w:rFonts w:ascii="Arial" w:hAnsi="Arial" w:cs="Arial"/>
        </w:rPr>
        <w:t>GGO’s</w:t>
      </w:r>
      <w:r w:rsidRPr="00851192">
        <w:rPr>
          <w:rFonts w:ascii="Arial" w:hAnsi="Arial" w:cs="Arial"/>
        </w:rPr>
        <w:t xml:space="preserve"> are the trends associated with consumer behaviour and interaction with technology. Although previously highlighted as a catalyst for growth, the globalisation of technological development through the (.com) burst and apps has</w:t>
      </w:r>
      <w:r w:rsidR="008B004F" w:rsidRPr="00851192">
        <w:rPr>
          <w:rFonts w:ascii="Arial" w:hAnsi="Arial" w:cs="Arial"/>
        </w:rPr>
        <w:t xml:space="preserve"> also</w:t>
      </w:r>
      <w:r w:rsidRPr="00851192">
        <w:rPr>
          <w:rFonts w:ascii="Arial" w:hAnsi="Arial" w:cs="Arial"/>
        </w:rPr>
        <w:t xml:space="preserve"> provided an opportunity for global </w:t>
      </w:r>
      <w:r w:rsidR="008B004F" w:rsidRPr="00851192">
        <w:rPr>
          <w:rFonts w:ascii="Arial" w:hAnsi="Arial" w:cs="Arial"/>
        </w:rPr>
        <w:t>GGO’</w:t>
      </w:r>
      <w:r w:rsidRPr="00851192">
        <w:rPr>
          <w:rFonts w:ascii="Arial" w:hAnsi="Arial" w:cs="Arial"/>
        </w:rPr>
        <w:t xml:space="preserve">s to understand and identify trends </w:t>
      </w:r>
      <w:r w:rsidR="008B004F" w:rsidRPr="00851192">
        <w:rPr>
          <w:rFonts w:ascii="Arial" w:hAnsi="Arial" w:cs="Arial"/>
        </w:rPr>
        <w:t>within target markets</w:t>
      </w:r>
      <w:r w:rsidRPr="00851192">
        <w:rPr>
          <w:rFonts w:ascii="Arial" w:hAnsi="Arial" w:cs="Arial"/>
        </w:rPr>
        <w:t xml:space="preserve">. Through adopting and applying their business model within the normalised culture between technology and humans, an assumption that </w:t>
      </w:r>
      <w:r w:rsidR="008B004F" w:rsidRPr="00851192">
        <w:rPr>
          <w:rFonts w:ascii="Arial" w:hAnsi="Arial" w:cs="Arial"/>
        </w:rPr>
        <w:t>GGO’s</w:t>
      </w:r>
      <w:r w:rsidRPr="00851192">
        <w:rPr>
          <w:rFonts w:ascii="Arial" w:hAnsi="Arial" w:cs="Arial"/>
        </w:rPr>
        <w:t xml:space="preserve"> cannot only further develop </w:t>
      </w:r>
      <w:r w:rsidR="008B004F" w:rsidRPr="00851192">
        <w:rPr>
          <w:rFonts w:ascii="Arial" w:hAnsi="Arial" w:cs="Arial"/>
        </w:rPr>
        <w:t>economically</w:t>
      </w:r>
      <w:r w:rsidR="006D3E35" w:rsidRPr="00851192">
        <w:rPr>
          <w:rFonts w:ascii="Arial" w:hAnsi="Arial" w:cs="Arial"/>
        </w:rPr>
        <w:t>,</w:t>
      </w:r>
      <w:r w:rsidR="008B004F" w:rsidRPr="00851192">
        <w:rPr>
          <w:rFonts w:ascii="Arial" w:hAnsi="Arial" w:cs="Arial"/>
        </w:rPr>
        <w:t xml:space="preserve"> but can</w:t>
      </w:r>
      <w:r w:rsidRPr="00851192">
        <w:rPr>
          <w:rFonts w:ascii="Arial" w:hAnsi="Arial" w:cs="Arial"/>
        </w:rPr>
        <w:t xml:space="preserve"> control the extension and influence </w:t>
      </w:r>
      <w:r w:rsidR="008B004F" w:rsidRPr="00851192">
        <w:rPr>
          <w:rFonts w:ascii="Arial" w:hAnsi="Arial" w:cs="Arial"/>
        </w:rPr>
        <w:t xml:space="preserve">of </w:t>
      </w:r>
      <w:r w:rsidRPr="00851192">
        <w:rPr>
          <w:rFonts w:ascii="Arial" w:hAnsi="Arial" w:cs="Arial"/>
        </w:rPr>
        <w:t xml:space="preserve">brand and corporate identity within society. </w:t>
      </w:r>
      <w:r w:rsidR="001044F7" w:rsidRPr="00851192">
        <w:rPr>
          <w:rFonts w:ascii="Arial" w:hAnsi="Arial" w:cs="Arial"/>
        </w:rPr>
        <w:t>A</w:t>
      </w:r>
      <w:r w:rsidRPr="00851192">
        <w:rPr>
          <w:rFonts w:ascii="Arial" w:hAnsi="Arial" w:cs="Arial"/>
        </w:rPr>
        <w:t xml:space="preserve"> hypothesis that </w:t>
      </w:r>
      <w:r w:rsidR="006D3E35" w:rsidRPr="00851192">
        <w:rPr>
          <w:rFonts w:ascii="Arial" w:hAnsi="Arial" w:cs="Arial"/>
        </w:rPr>
        <w:t>technology has</w:t>
      </w:r>
      <w:r w:rsidRPr="00851192">
        <w:rPr>
          <w:rFonts w:ascii="Arial" w:hAnsi="Arial" w:cs="Arial"/>
        </w:rPr>
        <w:t xml:space="preserve"> created a new economic engine for the growth amongst </w:t>
      </w:r>
      <w:r w:rsidR="008B004F" w:rsidRPr="00851192">
        <w:rPr>
          <w:rFonts w:ascii="Arial" w:hAnsi="Arial" w:cs="Arial"/>
        </w:rPr>
        <w:t>GGO’s</w:t>
      </w:r>
      <w:r w:rsidRPr="00851192">
        <w:rPr>
          <w:rFonts w:ascii="Arial" w:hAnsi="Arial" w:cs="Arial"/>
        </w:rPr>
        <w:t xml:space="preserve">. </w:t>
      </w:r>
    </w:p>
    <w:p w14:paraId="1357A9B9" w14:textId="4526FE93" w:rsidR="00DB4371" w:rsidRPr="00851192" w:rsidRDefault="00DB4371" w:rsidP="00402A71">
      <w:pPr>
        <w:spacing w:line="360" w:lineRule="auto"/>
        <w:jc w:val="both"/>
        <w:rPr>
          <w:rFonts w:ascii="Arial" w:hAnsi="Arial" w:cs="Arial"/>
        </w:rPr>
      </w:pPr>
      <w:r w:rsidRPr="00851192">
        <w:rPr>
          <w:rFonts w:ascii="Arial" w:hAnsi="Arial" w:cs="Arial"/>
        </w:rPr>
        <w:t xml:space="preserve">Within the UK, the deregulation of the gambling industry and revisited law of The Gambling Act 2005 (2005) also became a factor for growth within the economic engine of the gambling </w:t>
      </w:r>
      <w:r w:rsidRPr="00851192">
        <w:rPr>
          <w:rFonts w:ascii="Arial" w:hAnsi="Arial" w:cs="Arial"/>
        </w:rPr>
        <w:lastRenderedPageBreak/>
        <w:t>industry</w:t>
      </w:r>
      <w:r w:rsidR="008B004F" w:rsidRPr="00851192">
        <w:rPr>
          <w:rFonts w:ascii="Arial" w:hAnsi="Arial" w:cs="Arial"/>
        </w:rPr>
        <w:t xml:space="preserve">, alongside </w:t>
      </w:r>
      <w:r w:rsidRPr="00851192">
        <w:rPr>
          <w:rFonts w:ascii="Arial" w:hAnsi="Arial" w:cs="Arial"/>
        </w:rPr>
        <w:t>reinforc</w:t>
      </w:r>
      <w:r w:rsidR="008B004F" w:rsidRPr="00851192">
        <w:rPr>
          <w:rFonts w:ascii="Arial" w:hAnsi="Arial" w:cs="Arial"/>
        </w:rPr>
        <w:t>ing</w:t>
      </w:r>
      <w:r w:rsidRPr="00851192">
        <w:rPr>
          <w:rFonts w:ascii="Arial" w:hAnsi="Arial" w:cs="Arial"/>
        </w:rPr>
        <w:t xml:space="preserve"> brand positioning with</w:t>
      </w:r>
      <w:r w:rsidR="008B004F" w:rsidRPr="00851192">
        <w:rPr>
          <w:rFonts w:ascii="Arial" w:hAnsi="Arial" w:cs="Arial"/>
        </w:rPr>
        <w:t>in</w:t>
      </w:r>
      <w:r w:rsidRPr="00851192">
        <w:rPr>
          <w:rFonts w:ascii="Arial" w:hAnsi="Arial" w:cs="Arial"/>
        </w:rPr>
        <w:t xml:space="preserve"> society</w:t>
      </w:r>
      <w:r w:rsidR="008B004F" w:rsidRPr="00851192">
        <w:rPr>
          <w:rFonts w:ascii="Arial" w:hAnsi="Arial" w:cs="Arial"/>
        </w:rPr>
        <w:t>, and</w:t>
      </w:r>
      <w:r w:rsidRPr="00851192">
        <w:rPr>
          <w:rFonts w:ascii="Arial" w:hAnsi="Arial" w:cs="Arial"/>
        </w:rPr>
        <w:t xml:space="preserve"> adding value to the long-term nature of the industry. Through deregulation, it provided an opportunity for private operators to market brand identity, build customer </w:t>
      </w:r>
      <w:proofErr w:type="spellStart"/>
      <w:r w:rsidRPr="00851192">
        <w:rPr>
          <w:rFonts w:ascii="Arial" w:hAnsi="Arial" w:cs="Arial"/>
        </w:rPr>
        <w:t>repour</w:t>
      </w:r>
      <w:proofErr w:type="spellEnd"/>
      <w:r w:rsidRPr="00851192">
        <w:rPr>
          <w:rFonts w:ascii="Arial" w:hAnsi="Arial" w:cs="Arial"/>
        </w:rPr>
        <w:t xml:space="preserve">, position brand within society alongside expanding and developing avenues of advertisement. However, the morale’s on the responsibility the industry holds towards its consumers raises a question of debate due to the rise in </w:t>
      </w:r>
      <w:r w:rsidR="008B004F" w:rsidRPr="00851192">
        <w:rPr>
          <w:rFonts w:ascii="Arial" w:hAnsi="Arial" w:cs="Arial"/>
        </w:rPr>
        <w:t>PG</w:t>
      </w:r>
      <w:r w:rsidRPr="00851192">
        <w:rPr>
          <w:rFonts w:ascii="Arial" w:hAnsi="Arial" w:cs="Arial"/>
        </w:rPr>
        <w:t xml:space="preserve"> and the development of mental health which coincides with the growth of </w:t>
      </w:r>
      <w:r w:rsidR="008B004F" w:rsidRPr="00851192">
        <w:rPr>
          <w:rFonts w:ascii="Arial" w:hAnsi="Arial" w:cs="Arial"/>
        </w:rPr>
        <w:t xml:space="preserve">GGO’s </w:t>
      </w:r>
      <w:r w:rsidRPr="00851192">
        <w:rPr>
          <w:rFonts w:ascii="Arial" w:hAnsi="Arial" w:cs="Arial"/>
        </w:rPr>
        <w:t xml:space="preserve">from the time of deregulation </w:t>
      </w:r>
      <w:sdt>
        <w:sdtPr>
          <w:rPr>
            <w:rFonts w:ascii="Arial" w:hAnsi="Arial" w:cs="Arial"/>
          </w:rPr>
          <w:id w:val="-1681426351"/>
          <w:citation/>
        </w:sdtPr>
        <w:sdtEndPr/>
        <w:sdtContent>
          <w:r w:rsidRPr="00851192">
            <w:rPr>
              <w:rFonts w:ascii="Arial" w:hAnsi="Arial" w:cs="Arial"/>
            </w:rPr>
            <w:fldChar w:fldCharType="begin"/>
          </w:r>
          <w:r w:rsidRPr="00851192">
            <w:rPr>
              <w:rFonts w:ascii="Arial" w:hAnsi="Arial" w:cs="Arial"/>
            </w:rPr>
            <w:instrText xml:space="preserve"> CITATION Geo14 \l 2057 </w:instrText>
          </w:r>
          <w:r w:rsidRPr="00851192">
            <w:rPr>
              <w:rFonts w:ascii="Arial" w:hAnsi="Arial" w:cs="Arial"/>
            </w:rPr>
            <w:fldChar w:fldCharType="separate"/>
          </w:r>
          <w:r w:rsidR="002D17EA" w:rsidRPr="00851192">
            <w:rPr>
              <w:rFonts w:ascii="Arial" w:hAnsi="Arial" w:cs="Arial"/>
              <w:noProof/>
            </w:rPr>
            <w:t>(George &amp; Bowden-Jones, 2014)</w:t>
          </w:r>
          <w:r w:rsidRPr="00851192">
            <w:rPr>
              <w:rFonts w:ascii="Arial" w:hAnsi="Arial" w:cs="Arial"/>
            </w:rPr>
            <w:fldChar w:fldCharType="end"/>
          </w:r>
        </w:sdtContent>
      </w:sdt>
      <w:r w:rsidRPr="00851192">
        <w:rPr>
          <w:rFonts w:ascii="Arial" w:hAnsi="Arial" w:cs="Arial"/>
        </w:rPr>
        <w:t xml:space="preserve">. </w:t>
      </w:r>
    </w:p>
    <w:p w14:paraId="63770FAA" w14:textId="2C60CA1A" w:rsidR="00534E1B" w:rsidRPr="00851192" w:rsidRDefault="00DF7255" w:rsidP="00DF7255">
      <w:pPr>
        <w:pStyle w:val="Heading1"/>
        <w:rPr>
          <w:rFonts w:ascii="Arial" w:hAnsi="Arial" w:cs="Arial"/>
          <w:color w:val="auto"/>
        </w:rPr>
      </w:pPr>
      <w:bookmarkStart w:id="8" w:name="_Toc526434209"/>
      <w:r w:rsidRPr="00851192">
        <w:rPr>
          <w:rFonts w:ascii="Arial" w:hAnsi="Arial" w:cs="Arial"/>
          <w:color w:val="auto"/>
        </w:rPr>
        <w:t xml:space="preserve">1.4 </w:t>
      </w:r>
      <w:r w:rsidR="00534E1B" w:rsidRPr="00851192">
        <w:rPr>
          <w:rFonts w:ascii="Arial" w:hAnsi="Arial" w:cs="Arial"/>
          <w:color w:val="auto"/>
        </w:rPr>
        <w:t>Research Question</w:t>
      </w:r>
      <w:bookmarkEnd w:id="8"/>
    </w:p>
    <w:p w14:paraId="76B65540" w14:textId="5CC3BF95" w:rsidR="00567EDE" w:rsidRPr="00851192" w:rsidRDefault="00567EDE" w:rsidP="00402A71">
      <w:pPr>
        <w:spacing w:line="360" w:lineRule="auto"/>
        <w:jc w:val="both"/>
        <w:rPr>
          <w:rFonts w:ascii="Arial" w:hAnsi="Arial" w:cs="Arial"/>
        </w:rPr>
      </w:pPr>
      <w:r w:rsidRPr="00851192">
        <w:rPr>
          <w:rFonts w:ascii="Arial" w:hAnsi="Arial" w:cs="Arial"/>
        </w:rPr>
        <w:t xml:space="preserve">The </w:t>
      </w:r>
      <w:r w:rsidR="00AD22E2" w:rsidRPr="00851192">
        <w:rPr>
          <w:rFonts w:ascii="Arial" w:hAnsi="Arial" w:cs="Arial"/>
        </w:rPr>
        <w:t>GGI</w:t>
      </w:r>
      <w:r w:rsidRPr="00851192">
        <w:rPr>
          <w:rFonts w:ascii="Arial" w:hAnsi="Arial" w:cs="Arial"/>
        </w:rPr>
        <w:t xml:space="preserve"> in most parts is a liberalised industry which has an issue, PG. The industry has a strong emphasis towards CSR and effective means of CSR communication. However, through preaching strong CSR measures, do </w:t>
      </w:r>
      <w:r w:rsidR="008B004F" w:rsidRPr="00851192">
        <w:rPr>
          <w:rFonts w:ascii="Arial" w:hAnsi="Arial" w:cs="Arial"/>
        </w:rPr>
        <w:t xml:space="preserve">GGO’s </w:t>
      </w:r>
      <w:r w:rsidR="001044F7" w:rsidRPr="00851192">
        <w:rPr>
          <w:rFonts w:ascii="Arial" w:hAnsi="Arial" w:cs="Arial"/>
        </w:rPr>
        <w:t>express</w:t>
      </w:r>
      <w:r w:rsidRPr="00851192">
        <w:rPr>
          <w:rFonts w:ascii="Arial" w:hAnsi="Arial" w:cs="Arial"/>
        </w:rPr>
        <w:t xml:space="preserve"> and implement a movement of change. </w:t>
      </w:r>
    </w:p>
    <w:p w14:paraId="4868FD1C" w14:textId="1A13F82C" w:rsidR="00712341" w:rsidRPr="00851192" w:rsidRDefault="00712341" w:rsidP="00402A71">
      <w:pPr>
        <w:spacing w:line="360" w:lineRule="auto"/>
        <w:jc w:val="both"/>
        <w:rPr>
          <w:rFonts w:ascii="Arial" w:hAnsi="Arial" w:cs="Arial"/>
          <w:noProof/>
        </w:rPr>
      </w:pPr>
      <w:r w:rsidRPr="00851192">
        <w:rPr>
          <w:rFonts w:ascii="Arial" w:hAnsi="Arial" w:cs="Arial"/>
        </w:rPr>
        <w:t xml:space="preserve">The dissertation uses an interpretation of </w:t>
      </w:r>
      <w:r w:rsidRPr="00851192">
        <w:rPr>
          <w:rFonts w:ascii="Arial" w:hAnsi="Arial" w:cs="Arial"/>
          <w:noProof/>
        </w:rPr>
        <w:t>Goffman’s (1959) dramaturgy. Goffman’s dramaturgical framework focuses on how people reconstructs themselves in the persence of the others from how they conduct themselves when behind closed doors. Goffman is an important sociologist who wrote about the positive aspects of gambling</w:t>
      </w:r>
      <w:r w:rsidR="009F4C22" w:rsidRPr="00851192">
        <w:rPr>
          <w:rFonts w:ascii="Arial" w:hAnsi="Arial" w:cs="Arial"/>
          <w:noProof/>
        </w:rPr>
        <w:t>.</w:t>
      </w:r>
      <w:r w:rsidRPr="00851192">
        <w:rPr>
          <w:rFonts w:ascii="Arial" w:hAnsi="Arial" w:cs="Arial"/>
          <w:noProof/>
        </w:rPr>
        <w:t xml:space="preserve"> </w:t>
      </w:r>
      <w:r w:rsidR="009F4C22" w:rsidRPr="00851192">
        <w:rPr>
          <w:rFonts w:ascii="Arial" w:hAnsi="Arial" w:cs="Arial"/>
          <w:noProof/>
        </w:rPr>
        <w:t>H</w:t>
      </w:r>
      <w:r w:rsidRPr="00851192">
        <w:rPr>
          <w:rFonts w:ascii="Arial" w:hAnsi="Arial" w:cs="Arial"/>
          <w:noProof/>
        </w:rPr>
        <w:t>owever, the study will be using his philos</w:t>
      </w:r>
      <w:r w:rsidR="009F4C22" w:rsidRPr="00851192">
        <w:rPr>
          <w:rFonts w:ascii="Arial" w:hAnsi="Arial" w:cs="Arial"/>
          <w:noProof/>
        </w:rPr>
        <w:t>o</w:t>
      </w:r>
      <w:r w:rsidRPr="00851192">
        <w:rPr>
          <w:rFonts w:ascii="Arial" w:hAnsi="Arial" w:cs="Arial"/>
          <w:noProof/>
        </w:rPr>
        <w:t xml:space="preserve">phy on front and back stage behaviour </w:t>
      </w:r>
      <w:r w:rsidR="00567EDE" w:rsidRPr="00851192">
        <w:rPr>
          <w:rFonts w:ascii="Arial" w:hAnsi="Arial" w:cs="Arial"/>
          <w:noProof/>
        </w:rPr>
        <w:t xml:space="preserve">against the </w:t>
      </w:r>
      <w:r w:rsidR="008B004F" w:rsidRPr="00851192">
        <w:rPr>
          <w:rFonts w:ascii="Arial" w:hAnsi="Arial" w:cs="Arial"/>
          <w:noProof/>
        </w:rPr>
        <w:t>GGO’s</w:t>
      </w:r>
      <w:r w:rsidR="00567EDE" w:rsidRPr="00851192">
        <w:rPr>
          <w:rFonts w:ascii="Arial" w:hAnsi="Arial" w:cs="Arial"/>
          <w:noProof/>
        </w:rPr>
        <w:t xml:space="preserve"> within the</w:t>
      </w:r>
      <w:r w:rsidR="008B004F" w:rsidRPr="00851192">
        <w:rPr>
          <w:rFonts w:ascii="Arial" w:hAnsi="Arial" w:cs="Arial"/>
          <w:noProof/>
        </w:rPr>
        <w:t xml:space="preserve"> context of the research</w:t>
      </w:r>
      <w:r w:rsidR="00567EDE" w:rsidRPr="00851192">
        <w:rPr>
          <w:rFonts w:ascii="Arial" w:hAnsi="Arial" w:cs="Arial"/>
          <w:noProof/>
        </w:rPr>
        <w:t xml:space="preserve">. </w:t>
      </w:r>
    </w:p>
    <w:p w14:paraId="1D38ED00" w14:textId="4A05AD11" w:rsidR="000B76EB" w:rsidRPr="00851192" w:rsidRDefault="000B76EB" w:rsidP="00402A71">
      <w:pPr>
        <w:spacing w:line="360" w:lineRule="auto"/>
        <w:jc w:val="both"/>
        <w:rPr>
          <w:rFonts w:ascii="Arial" w:hAnsi="Arial" w:cs="Arial"/>
        </w:rPr>
      </w:pPr>
      <w:r w:rsidRPr="00851192">
        <w:rPr>
          <w:rFonts w:ascii="Arial" w:hAnsi="Arial" w:cs="Arial"/>
        </w:rPr>
        <w:t>The research question is to critically analyse the importance and value of corporate social responsibility (CSR) and CSR communication by GGO’s.</w:t>
      </w:r>
    </w:p>
    <w:p w14:paraId="56CD42C3" w14:textId="5C9B1065" w:rsidR="009D4B2B" w:rsidRPr="00851192" w:rsidRDefault="009D4B2B" w:rsidP="00402A71">
      <w:pPr>
        <w:spacing w:line="360" w:lineRule="auto"/>
        <w:jc w:val="both"/>
        <w:rPr>
          <w:rFonts w:ascii="Arial" w:hAnsi="Arial" w:cs="Arial"/>
        </w:rPr>
      </w:pPr>
      <w:r w:rsidRPr="00851192">
        <w:rPr>
          <w:rFonts w:ascii="Arial" w:hAnsi="Arial" w:cs="Arial"/>
        </w:rPr>
        <w:t>The structure of th</w:t>
      </w:r>
      <w:r w:rsidR="00516569" w:rsidRPr="00851192">
        <w:rPr>
          <w:rFonts w:ascii="Arial" w:hAnsi="Arial" w:cs="Arial"/>
        </w:rPr>
        <w:t>is</w:t>
      </w:r>
      <w:r w:rsidRPr="00851192">
        <w:rPr>
          <w:rFonts w:ascii="Arial" w:hAnsi="Arial" w:cs="Arial"/>
        </w:rPr>
        <w:t xml:space="preserve"> dissertation will begin with a</w:t>
      </w:r>
      <w:r w:rsidR="00516569" w:rsidRPr="00851192">
        <w:rPr>
          <w:rFonts w:ascii="Arial" w:hAnsi="Arial" w:cs="Arial"/>
        </w:rPr>
        <w:t>n extensive literature review analysing the value in CSR and CSR communication within chapter two. Chapter three will provide a comprehensive method in achieving the remaining two objectives which are to critically evaluate the importance of CSR and CSR communication within the global gambling industry through conducting a content analysis. This is then followed by an analysis on gamblers opinions of CSR and CSR communication commitments by GGO’s.</w:t>
      </w:r>
    </w:p>
    <w:p w14:paraId="2999D277" w14:textId="242B2E16" w:rsidR="00642137" w:rsidRPr="00851192" w:rsidRDefault="00DF7255" w:rsidP="00DF7255">
      <w:pPr>
        <w:pStyle w:val="Heading1"/>
        <w:rPr>
          <w:rFonts w:ascii="Arial" w:hAnsi="Arial" w:cs="Arial"/>
          <w:color w:val="auto"/>
        </w:rPr>
      </w:pPr>
      <w:bookmarkStart w:id="9" w:name="_Toc526434210"/>
      <w:r w:rsidRPr="00851192">
        <w:rPr>
          <w:rFonts w:ascii="Arial" w:hAnsi="Arial" w:cs="Arial"/>
          <w:color w:val="auto"/>
        </w:rPr>
        <w:t xml:space="preserve">1.5 </w:t>
      </w:r>
      <w:r w:rsidR="00266F56" w:rsidRPr="00851192">
        <w:rPr>
          <w:rFonts w:ascii="Arial" w:hAnsi="Arial" w:cs="Arial"/>
          <w:color w:val="auto"/>
        </w:rPr>
        <w:t xml:space="preserve">Research </w:t>
      </w:r>
      <w:r w:rsidR="00642137" w:rsidRPr="00851192">
        <w:rPr>
          <w:rFonts w:ascii="Arial" w:hAnsi="Arial" w:cs="Arial"/>
          <w:color w:val="auto"/>
        </w:rPr>
        <w:t>Problem</w:t>
      </w:r>
      <w:bookmarkEnd w:id="9"/>
    </w:p>
    <w:p w14:paraId="1C14340B" w14:textId="042D44CC" w:rsidR="00642137" w:rsidRPr="00851192" w:rsidRDefault="00DB4371" w:rsidP="00402A71">
      <w:pPr>
        <w:spacing w:line="360" w:lineRule="auto"/>
        <w:jc w:val="both"/>
        <w:rPr>
          <w:rFonts w:ascii="Arial" w:hAnsi="Arial" w:cs="Arial"/>
        </w:rPr>
      </w:pPr>
      <w:r w:rsidRPr="00851192">
        <w:rPr>
          <w:rFonts w:ascii="Arial" w:hAnsi="Arial" w:cs="Arial"/>
        </w:rPr>
        <w:t>Th</w:t>
      </w:r>
      <w:r w:rsidR="009F4C22" w:rsidRPr="00851192">
        <w:rPr>
          <w:rFonts w:ascii="Arial" w:hAnsi="Arial" w:cs="Arial"/>
        </w:rPr>
        <w:t>is</w:t>
      </w:r>
      <w:r w:rsidRPr="00851192">
        <w:rPr>
          <w:rFonts w:ascii="Arial" w:hAnsi="Arial" w:cs="Arial"/>
        </w:rPr>
        <w:t xml:space="preserve"> dissertation sought to explore the importance and ‘real meaning’ of</w:t>
      </w:r>
      <w:r w:rsidR="00642137" w:rsidRPr="00851192">
        <w:rPr>
          <w:rFonts w:ascii="Arial" w:hAnsi="Arial" w:cs="Arial"/>
        </w:rPr>
        <w:t xml:space="preserve"> responsibility in the</w:t>
      </w:r>
      <w:r w:rsidR="00AD22E2" w:rsidRPr="00851192">
        <w:rPr>
          <w:rFonts w:ascii="Arial" w:hAnsi="Arial" w:cs="Arial"/>
        </w:rPr>
        <w:t xml:space="preserve"> GGI</w:t>
      </w:r>
      <w:r w:rsidRPr="00851192">
        <w:rPr>
          <w:rFonts w:ascii="Arial" w:hAnsi="Arial" w:cs="Arial"/>
        </w:rPr>
        <w:t>. This was difficult to identify because of</w:t>
      </w:r>
      <w:r w:rsidR="00642137" w:rsidRPr="00851192">
        <w:rPr>
          <w:rFonts w:ascii="Arial" w:hAnsi="Arial" w:cs="Arial"/>
        </w:rPr>
        <w:t xml:space="preserve"> the </w:t>
      </w:r>
      <w:r w:rsidRPr="00851192">
        <w:rPr>
          <w:rFonts w:ascii="Arial" w:hAnsi="Arial" w:cs="Arial"/>
        </w:rPr>
        <w:t>paucity in</w:t>
      </w:r>
      <w:r w:rsidR="00642137" w:rsidRPr="00851192">
        <w:rPr>
          <w:rFonts w:ascii="Arial" w:hAnsi="Arial" w:cs="Arial"/>
        </w:rPr>
        <w:t xml:space="preserve"> exploration set out by political institutions and </w:t>
      </w:r>
      <w:r w:rsidR="008B004F" w:rsidRPr="00851192">
        <w:rPr>
          <w:rFonts w:ascii="Arial" w:hAnsi="Arial" w:cs="Arial"/>
        </w:rPr>
        <w:t>GGO’s</w:t>
      </w:r>
      <w:r w:rsidRPr="00851192">
        <w:rPr>
          <w:rFonts w:ascii="Arial" w:hAnsi="Arial" w:cs="Arial"/>
        </w:rPr>
        <w:t xml:space="preserve"> alongside the lack of dialogue on the topic</w:t>
      </w:r>
      <w:r w:rsidR="00642137" w:rsidRPr="00851192">
        <w:rPr>
          <w:rFonts w:ascii="Arial" w:hAnsi="Arial" w:cs="Arial"/>
        </w:rPr>
        <w:t xml:space="preserve">. Although it can be identified that there is an issue associated with </w:t>
      </w:r>
      <w:r w:rsidR="008B004F" w:rsidRPr="00851192">
        <w:rPr>
          <w:rFonts w:ascii="Arial" w:hAnsi="Arial" w:cs="Arial"/>
        </w:rPr>
        <w:t>PG</w:t>
      </w:r>
      <w:r w:rsidR="00642137" w:rsidRPr="00851192">
        <w:rPr>
          <w:rFonts w:ascii="Arial" w:hAnsi="Arial" w:cs="Arial"/>
        </w:rPr>
        <w:t>, the depth of knowledge within the field is inadequate</w:t>
      </w:r>
      <w:r w:rsidR="00FB2D8D" w:rsidRPr="00851192">
        <w:rPr>
          <w:rFonts w:ascii="Arial" w:hAnsi="Arial" w:cs="Arial"/>
        </w:rPr>
        <w:t>ly researched</w:t>
      </w:r>
      <w:r w:rsidR="00642137" w:rsidRPr="00851192">
        <w:rPr>
          <w:rFonts w:ascii="Arial" w:hAnsi="Arial" w:cs="Arial"/>
        </w:rPr>
        <w:t xml:space="preserve"> </w:t>
      </w:r>
      <w:r w:rsidR="003D4A8A" w:rsidRPr="00851192">
        <w:rPr>
          <w:rFonts w:ascii="Arial" w:hAnsi="Arial" w:cs="Arial"/>
        </w:rPr>
        <w:t>due to the international spreading of technology and lack of research by</w:t>
      </w:r>
      <w:r w:rsidR="00FB2D8D" w:rsidRPr="00851192">
        <w:rPr>
          <w:rFonts w:ascii="Arial" w:hAnsi="Arial" w:cs="Arial"/>
        </w:rPr>
        <w:t xml:space="preserve"> </w:t>
      </w:r>
      <w:r w:rsidR="003D4A8A" w:rsidRPr="00851192">
        <w:rPr>
          <w:rFonts w:ascii="Arial" w:hAnsi="Arial" w:cs="Arial"/>
        </w:rPr>
        <w:t xml:space="preserve">governing bodies. </w:t>
      </w:r>
    </w:p>
    <w:p w14:paraId="06D38363" w14:textId="30326FB5" w:rsidR="00EA62D9" w:rsidRPr="00851192" w:rsidRDefault="00DF7255" w:rsidP="00DF7255">
      <w:pPr>
        <w:pStyle w:val="Heading1"/>
        <w:rPr>
          <w:rFonts w:ascii="Arial" w:hAnsi="Arial" w:cs="Arial"/>
          <w:color w:val="auto"/>
        </w:rPr>
      </w:pPr>
      <w:bookmarkStart w:id="10" w:name="_Toc526434211"/>
      <w:r w:rsidRPr="00851192">
        <w:rPr>
          <w:rFonts w:ascii="Arial" w:hAnsi="Arial" w:cs="Arial"/>
          <w:color w:val="auto"/>
        </w:rPr>
        <w:lastRenderedPageBreak/>
        <w:t xml:space="preserve">1.6 </w:t>
      </w:r>
      <w:r w:rsidR="00430F8A" w:rsidRPr="00851192">
        <w:rPr>
          <w:rFonts w:ascii="Arial" w:hAnsi="Arial" w:cs="Arial"/>
          <w:color w:val="auto"/>
        </w:rPr>
        <w:t>Assumptions</w:t>
      </w:r>
      <w:bookmarkEnd w:id="10"/>
    </w:p>
    <w:p w14:paraId="32521285" w14:textId="01A43468" w:rsidR="00921807" w:rsidRPr="00851192" w:rsidRDefault="00EA62D9" w:rsidP="00402A71">
      <w:pPr>
        <w:spacing w:line="360" w:lineRule="auto"/>
        <w:jc w:val="both"/>
        <w:rPr>
          <w:rFonts w:ascii="Arial" w:hAnsi="Arial" w:cs="Arial"/>
        </w:rPr>
      </w:pPr>
      <w:r w:rsidRPr="00851192">
        <w:rPr>
          <w:rFonts w:ascii="Arial" w:hAnsi="Arial" w:cs="Arial"/>
        </w:rPr>
        <w:t xml:space="preserve">Firstly, it can be identified that CSR is integral with the </w:t>
      </w:r>
      <w:r w:rsidR="00AD22E2" w:rsidRPr="00851192">
        <w:rPr>
          <w:rFonts w:ascii="Arial" w:hAnsi="Arial" w:cs="Arial"/>
        </w:rPr>
        <w:t>GGI</w:t>
      </w:r>
      <w:r w:rsidRPr="00851192">
        <w:rPr>
          <w:rFonts w:ascii="Arial" w:hAnsi="Arial" w:cs="Arial"/>
        </w:rPr>
        <w:t xml:space="preserve">. CSR stems from an organisation contributing to sustainable development and delivers environment, economic, and social benefits. The key </w:t>
      </w:r>
      <w:r w:rsidR="009F4C22" w:rsidRPr="00851192">
        <w:rPr>
          <w:rFonts w:ascii="Arial" w:hAnsi="Arial" w:cs="Arial"/>
        </w:rPr>
        <w:t>factor</w:t>
      </w:r>
      <w:r w:rsidRPr="00851192">
        <w:rPr>
          <w:rFonts w:ascii="Arial" w:hAnsi="Arial" w:cs="Arial"/>
        </w:rPr>
        <w:t xml:space="preserve"> integrated with</w:t>
      </w:r>
      <w:r w:rsidR="009F4C22" w:rsidRPr="00851192">
        <w:rPr>
          <w:rFonts w:ascii="Arial" w:hAnsi="Arial" w:cs="Arial"/>
        </w:rPr>
        <w:t>in</w:t>
      </w:r>
      <w:r w:rsidRPr="00851192">
        <w:rPr>
          <w:rFonts w:ascii="Arial" w:hAnsi="Arial" w:cs="Arial"/>
        </w:rPr>
        <w:t xml:space="preserve"> the research problem is social benefits. It can be assumed by the majority population of the study that CSR within the </w:t>
      </w:r>
      <w:r w:rsidR="00AD22E2" w:rsidRPr="00851192">
        <w:rPr>
          <w:rFonts w:ascii="Arial" w:hAnsi="Arial" w:cs="Arial"/>
        </w:rPr>
        <w:t>GGO</w:t>
      </w:r>
      <w:r w:rsidRPr="00851192">
        <w:rPr>
          <w:rFonts w:ascii="Arial" w:hAnsi="Arial" w:cs="Arial"/>
        </w:rPr>
        <w:t xml:space="preserve"> is nothing more than green washing due to the lack of support and research carried out by global operators. </w:t>
      </w:r>
    </w:p>
    <w:p w14:paraId="4FF87C9F" w14:textId="7D8BEBCE" w:rsidR="00CD053A" w:rsidRPr="00851192" w:rsidRDefault="00EA62D9" w:rsidP="00402A71">
      <w:pPr>
        <w:spacing w:line="360" w:lineRule="auto"/>
        <w:jc w:val="both"/>
        <w:rPr>
          <w:rFonts w:ascii="Arial" w:hAnsi="Arial" w:cs="Arial"/>
        </w:rPr>
      </w:pPr>
      <w:r w:rsidRPr="00851192">
        <w:rPr>
          <w:rFonts w:ascii="Arial" w:hAnsi="Arial" w:cs="Arial"/>
        </w:rPr>
        <w:t xml:space="preserve">Even so, </w:t>
      </w:r>
      <w:r w:rsidR="001044F7" w:rsidRPr="00851192">
        <w:rPr>
          <w:rFonts w:ascii="Arial" w:hAnsi="Arial" w:cs="Arial"/>
        </w:rPr>
        <w:t>several</w:t>
      </w:r>
      <w:r w:rsidRPr="00851192">
        <w:rPr>
          <w:rFonts w:ascii="Arial" w:hAnsi="Arial" w:cs="Arial"/>
        </w:rPr>
        <w:t xml:space="preserve"> assumptions have been revealed writing </w:t>
      </w:r>
      <w:r w:rsidR="009F4C22" w:rsidRPr="00851192">
        <w:rPr>
          <w:rFonts w:ascii="Arial" w:hAnsi="Arial" w:cs="Arial"/>
        </w:rPr>
        <w:t>this</w:t>
      </w:r>
      <w:r w:rsidRPr="00851192">
        <w:rPr>
          <w:rFonts w:ascii="Arial" w:hAnsi="Arial" w:cs="Arial"/>
        </w:rPr>
        <w:t xml:space="preserve"> dissertation</w:t>
      </w:r>
      <w:r w:rsidR="009F4C22" w:rsidRPr="00851192">
        <w:rPr>
          <w:rFonts w:ascii="Arial" w:hAnsi="Arial" w:cs="Arial"/>
        </w:rPr>
        <w:t xml:space="preserve">, </w:t>
      </w:r>
      <w:r w:rsidRPr="00851192">
        <w:rPr>
          <w:rFonts w:ascii="Arial" w:hAnsi="Arial" w:cs="Arial"/>
        </w:rPr>
        <w:t xml:space="preserve">due to not knowing enough about the </w:t>
      </w:r>
      <w:r w:rsidR="00AD22E2" w:rsidRPr="00851192">
        <w:rPr>
          <w:rFonts w:ascii="Arial" w:hAnsi="Arial" w:cs="Arial"/>
        </w:rPr>
        <w:t>GGI</w:t>
      </w:r>
      <w:r w:rsidR="009F4C22" w:rsidRPr="00851192">
        <w:rPr>
          <w:rFonts w:ascii="Arial" w:hAnsi="Arial" w:cs="Arial"/>
        </w:rPr>
        <w:t>,</w:t>
      </w:r>
      <w:r w:rsidRPr="00851192">
        <w:rPr>
          <w:rFonts w:ascii="Arial" w:hAnsi="Arial" w:cs="Arial"/>
        </w:rPr>
        <w:t xml:space="preserve"> alongside a further assumption that there is no way of verifying annual reports or accuracy of information presented by </w:t>
      </w:r>
      <w:r w:rsidR="008B004F" w:rsidRPr="00851192">
        <w:rPr>
          <w:rFonts w:ascii="Arial" w:hAnsi="Arial" w:cs="Arial"/>
        </w:rPr>
        <w:t>GGO’s</w:t>
      </w:r>
      <w:r w:rsidRPr="00851192">
        <w:rPr>
          <w:rFonts w:ascii="Arial" w:hAnsi="Arial" w:cs="Arial"/>
        </w:rPr>
        <w:t xml:space="preserve">. </w:t>
      </w:r>
    </w:p>
    <w:p w14:paraId="72C8C333" w14:textId="6D356AF8" w:rsidR="00CD053A" w:rsidRPr="00851192" w:rsidRDefault="00EA62D9" w:rsidP="00402A71">
      <w:pPr>
        <w:spacing w:line="360" w:lineRule="auto"/>
        <w:jc w:val="both"/>
        <w:rPr>
          <w:rFonts w:ascii="Arial" w:hAnsi="Arial" w:cs="Arial"/>
        </w:rPr>
      </w:pPr>
      <w:r w:rsidRPr="00851192">
        <w:rPr>
          <w:rFonts w:ascii="Arial" w:hAnsi="Arial" w:cs="Arial"/>
        </w:rPr>
        <w:t>A</w:t>
      </w:r>
      <w:r w:rsidR="009F4C22" w:rsidRPr="00851192">
        <w:rPr>
          <w:rFonts w:ascii="Arial" w:hAnsi="Arial" w:cs="Arial"/>
        </w:rPr>
        <w:t xml:space="preserve"> further</w:t>
      </w:r>
      <w:r w:rsidRPr="00851192">
        <w:rPr>
          <w:rFonts w:ascii="Arial" w:hAnsi="Arial" w:cs="Arial"/>
        </w:rPr>
        <w:t xml:space="preserve"> assumption</w:t>
      </w:r>
      <w:r w:rsidR="009F4C22" w:rsidRPr="00851192">
        <w:rPr>
          <w:rFonts w:ascii="Arial" w:hAnsi="Arial" w:cs="Arial"/>
        </w:rPr>
        <w:t xml:space="preserve"> is that</w:t>
      </w:r>
      <w:r w:rsidRPr="00851192">
        <w:rPr>
          <w:rFonts w:ascii="Arial" w:hAnsi="Arial" w:cs="Arial"/>
        </w:rPr>
        <w:t xml:space="preserve"> </w:t>
      </w:r>
      <w:r w:rsidR="003A10B2" w:rsidRPr="00851192">
        <w:rPr>
          <w:rFonts w:ascii="Arial" w:hAnsi="Arial" w:cs="Arial"/>
        </w:rPr>
        <w:t xml:space="preserve">the industry is entwined with political institutions from a financial perspective. The financial benefits received by governments from </w:t>
      </w:r>
      <w:r w:rsidR="008B004F" w:rsidRPr="00851192">
        <w:rPr>
          <w:rFonts w:ascii="Arial" w:hAnsi="Arial" w:cs="Arial"/>
        </w:rPr>
        <w:t>GGO’s</w:t>
      </w:r>
      <w:r w:rsidR="003A10B2" w:rsidRPr="00851192">
        <w:rPr>
          <w:rFonts w:ascii="Arial" w:hAnsi="Arial" w:cs="Arial"/>
        </w:rPr>
        <w:t xml:space="preserve"> outweighs the needs by society for the improvement of mental welfare</w:t>
      </w:r>
      <w:r w:rsidR="009F4C22" w:rsidRPr="00851192">
        <w:rPr>
          <w:rFonts w:ascii="Arial" w:hAnsi="Arial" w:cs="Arial"/>
        </w:rPr>
        <w:t>.</w:t>
      </w:r>
      <w:r w:rsidR="003A10B2" w:rsidRPr="00851192">
        <w:rPr>
          <w:rFonts w:ascii="Arial" w:hAnsi="Arial" w:cs="Arial"/>
        </w:rPr>
        <w:t xml:space="preserve"> </w:t>
      </w:r>
    </w:p>
    <w:p w14:paraId="422003D6" w14:textId="546057E0" w:rsidR="00CD053A" w:rsidRPr="00851192" w:rsidRDefault="00EA62D9" w:rsidP="00402A71">
      <w:pPr>
        <w:spacing w:line="360" w:lineRule="auto"/>
        <w:jc w:val="both"/>
        <w:rPr>
          <w:rFonts w:ascii="Arial" w:hAnsi="Arial" w:cs="Arial"/>
        </w:rPr>
      </w:pPr>
      <w:r w:rsidRPr="00851192">
        <w:rPr>
          <w:rFonts w:ascii="Arial" w:hAnsi="Arial" w:cs="Arial"/>
        </w:rPr>
        <w:t>It is perceived that GGO’s are part of a powerful industry</w:t>
      </w:r>
      <w:r w:rsidR="003A10B2" w:rsidRPr="00851192">
        <w:rPr>
          <w:rFonts w:ascii="Arial" w:hAnsi="Arial" w:cs="Arial"/>
        </w:rPr>
        <w:t xml:space="preserve"> which is only forecasted to grow considerably more</w:t>
      </w:r>
      <w:r w:rsidR="008B004F" w:rsidRPr="00851192">
        <w:rPr>
          <w:rFonts w:ascii="Arial" w:hAnsi="Arial" w:cs="Arial"/>
        </w:rPr>
        <w:t>.</w:t>
      </w:r>
      <w:r w:rsidR="003A10B2" w:rsidRPr="00851192">
        <w:rPr>
          <w:rFonts w:ascii="Arial" w:hAnsi="Arial" w:cs="Arial"/>
        </w:rPr>
        <w:t xml:space="preserve"> </w:t>
      </w:r>
      <w:r w:rsidR="008B004F" w:rsidRPr="00851192">
        <w:rPr>
          <w:rFonts w:ascii="Arial" w:hAnsi="Arial" w:cs="Arial"/>
        </w:rPr>
        <w:t>T</w:t>
      </w:r>
      <w:r w:rsidR="003A10B2" w:rsidRPr="00851192">
        <w:rPr>
          <w:rFonts w:ascii="Arial" w:hAnsi="Arial" w:cs="Arial"/>
        </w:rPr>
        <w:t>he lack of power led by governments</w:t>
      </w:r>
      <w:r w:rsidR="009F4C22" w:rsidRPr="00851192">
        <w:rPr>
          <w:rFonts w:ascii="Arial" w:hAnsi="Arial" w:cs="Arial"/>
        </w:rPr>
        <w:t>,</w:t>
      </w:r>
      <w:r w:rsidR="003A10B2" w:rsidRPr="00851192">
        <w:rPr>
          <w:rFonts w:ascii="Arial" w:hAnsi="Arial" w:cs="Arial"/>
        </w:rPr>
        <w:t xml:space="preserve"> such as the UK</w:t>
      </w:r>
      <w:r w:rsidR="009F4C22" w:rsidRPr="00851192">
        <w:rPr>
          <w:rFonts w:ascii="Arial" w:hAnsi="Arial" w:cs="Arial"/>
        </w:rPr>
        <w:t>.</w:t>
      </w:r>
      <w:r w:rsidR="003A10B2" w:rsidRPr="00851192">
        <w:rPr>
          <w:rFonts w:ascii="Arial" w:hAnsi="Arial" w:cs="Arial"/>
        </w:rPr>
        <w:t xml:space="preserve"> </w:t>
      </w:r>
      <w:r w:rsidR="009F4C22" w:rsidRPr="00851192">
        <w:rPr>
          <w:rFonts w:ascii="Arial" w:hAnsi="Arial" w:cs="Arial"/>
        </w:rPr>
        <w:t>I</w:t>
      </w:r>
      <w:r w:rsidR="003A10B2" w:rsidRPr="00851192">
        <w:rPr>
          <w:rFonts w:ascii="Arial" w:hAnsi="Arial" w:cs="Arial"/>
        </w:rPr>
        <w:t>ts offering for minimal exportation</w:t>
      </w:r>
      <w:r w:rsidR="009F4C22" w:rsidRPr="00851192">
        <w:rPr>
          <w:rFonts w:ascii="Arial" w:hAnsi="Arial" w:cs="Arial"/>
        </w:rPr>
        <w:t>,</w:t>
      </w:r>
      <w:r w:rsidR="003A10B2" w:rsidRPr="00851192">
        <w:rPr>
          <w:rFonts w:ascii="Arial" w:hAnsi="Arial" w:cs="Arial"/>
        </w:rPr>
        <w:t xml:space="preserve"> </w:t>
      </w:r>
      <w:r w:rsidR="001353C2" w:rsidRPr="00851192">
        <w:rPr>
          <w:rFonts w:ascii="Arial" w:hAnsi="Arial" w:cs="Arial"/>
        </w:rPr>
        <w:t>de</w:t>
      </w:r>
      <w:r w:rsidR="003A10B2" w:rsidRPr="00851192">
        <w:rPr>
          <w:rFonts w:ascii="Arial" w:hAnsi="Arial" w:cs="Arial"/>
        </w:rPr>
        <w:t xml:space="preserve">clines the political institute </w:t>
      </w:r>
      <w:r w:rsidR="009F4C22" w:rsidRPr="00851192">
        <w:rPr>
          <w:rFonts w:ascii="Arial" w:hAnsi="Arial" w:cs="Arial"/>
        </w:rPr>
        <w:t xml:space="preserve">which </w:t>
      </w:r>
      <w:r w:rsidR="003A10B2" w:rsidRPr="00851192">
        <w:rPr>
          <w:rFonts w:ascii="Arial" w:hAnsi="Arial" w:cs="Arial"/>
        </w:rPr>
        <w:t>allow</w:t>
      </w:r>
      <w:r w:rsidR="009F4C22" w:rsidRPr="00851192">
        <w:rPr>
          <w:rFonts w:ascii="Arial" w:hAnsi="Arial" w:cs="Arial"/>
        </w:rPr>
        <w:t>s</w:t>
      </w:r>
      <w:r w:rsidR="003A10B2" w:rsidRPr="00851192">
        <w:rPr>
          <w:rFonts w:ascii="Arial" w:hAnsi="Arial" w:cs="Arial"/>
        </w:rPr>
        <w:t xml:space="preserve"> </w:t>
      </w:r>
      <w:r w:rsidR="008B004F" w:rsidRPr="00851192">
        <w:rPr>
          <w:rFonts w:ascii="Arial" w:hAnsi="Arial" w:cs="Arial"/>
        </w:rPr>
        <w:t>GGO’</w:t>
      </w:r>
      <w:r w:rsidR="003A10B2" w:rsidRPr="00851192">
        <w:rPr>
          <w:rFonts w:ascii="Arial" w:hAnsi="Arial" w:cs="Arial"/>
        </w:rPr>
        <w:t xml:space="preserve">s to continue operating in the same manner as they continue to </w:t>
      </w:r>
      <w:r w:rsidR="009F4C22" w:rsidRPr="00851192">
        <w:rPr>
          <w:rFonts w:ascii="Arial" w:hAnsi="Arial" w:cs="Arial"/>
        </w:rPr>
        <w:t>place</w:t>
      </w:r>
      <w:r w:rsidR="003A10B2" w:rsidRPr="00851192">
        <w:rPr>
          <w:rFonts w:ascii="Arial" w:hAnsi="Arial" w:cs="Arial"/>
        </w:rPr>
        <w:t xml:space="preserve"> their headquarters within British territory</w:t>
      </w:r>
      <w:r w:rsidR="001353C2" w:rsidRPr="00851192">
        <w:rPr>
          <w:rFonts w:ascii="Arial" w:hAnsi="Arial" w:cs="Arial"/>
        </w:rPr>
        <w:t>. GGO’s are sought to</w:t>
      </w:r>
      <w:r w:rsidR="003A10B2" w:rsidRPr="00851192">
        <w:rPr>
          <w:rFonts w:ascii="Arial" w:hAnsi="Arial" w:cs="Arial"/>
        </w:rPr>
        <w:t xml:space="preserve"> operate on a global scale and account to the low taxation within regions</w:t>
      </w:r>
      <w:r w:rsidR="001353C2" w:rsidRPr="00851192">
        <w:rPr>
          <w:rFonts w:ascii="Arial" w:hAnsi="Arial" w:cs="Arial"/>
        </w:rPr>
        <w:t xml:space="preserve"> such as;</w:t>
      </w:r>
      <w:r w:rsidR="003A10B2" w:rsidRPr="00851192">
        <w:rPr>
          <w:rFonts w:ascii="Arial" w:hAnsi="Arial" w:cs="Arial"/>
        </w:rPr>
        <w:t xml:space="preserve"> Gibraltar, Isle of White,</w:t>
      </w:r>
      <w:r w:rsidR="001353C2" w:rsidRPr="00851192">
        <w:rPr>
          <w:rFonts w:ascii="Arial" w:hAnsi="Arial" w:cs="Arial"/>
        </w:rPr>
        <w:t xml:space="preserve"> and the</w:t>
      </w:r>
      <w:r w:rsidR="003A10B2" w:rsidRPr="00851192">
        <w:rPr>
          <w:rFonts w:ascii="Arial" w:hAnsi="Arial" w:cs="Arial"/>
        </w:rPr>
        <w:t xml:space="preserve"> Isle of Man. </w:t>
      </w:r>
    </w:p>
    <w:p w14:paraId="143370BB" w14:textId="51A33F23" w:rsidR="00C753FB" w:rsidRPr="00851192" w:rsidRDefault="00417F89" w:rsidP="00402A71">
      <w:pPr>
        <w:spacing w:line="360" w:lineRule="auto"/>
        <w:jc w:val="both"/>
        <w:rPr>
          <w:rFonts w:ascii="Arial" w:hAnsi="Arial" w:cs="Arial"/>
        </w:rPr>
      </w:pPr>
      <w:r w:rsidRPr="00851192">
        <w:rPr>
          <w:rFonts w:ascii="Arial" w:hAnsi="Arial" w:cs="Arial"/>
        </w:rPr>
        <w:t>Furthermore</w:t>
      </w:r>
      <w:r w:rsidR="008B004F" w:rsidRPr="00851192">
        <w:rPr>
          <w:rFonts w:ascii="Arial" w:hAnsi="Arial" w:cs="Arial"/>
        </w:rPr>
        <w:t>,</w:t>
      </w:r>
      <w:r w:rsidRPr="00851192">
        <w:rPr>
          <w:rFonts w:ascii="Arial" w:hAnsi="Arial" w:cs="Arial"/>
        </w:rPr>
        <w:t xml:space="preserve"> through the </w:t>
      </w:r>
      <w:r w:rsidR="009F4C22" w:rsidRPr="00851192">
        <w:rPr>
          <w:rFonts w:ascii="Arial" w:hAnsi="Arial" w:cs="Arial"/>
        </w:rPr>
        <w:t xml:space="preserve">mass </w:t>
      </w:r>
      <w:r w:rsidRPr="00851192">
        <w:rPr>
          <w:rFonts w:ascii="Arial" w:hAnsi="Arial" w:cs="Arial"/>
        </w:rPr>
        <w:t>perception of the population within th</w:t>
      </w:r>
      <w:r w:rsidR="009F4C22" w:rsidRPr="00851192">
        <w:rPr>
          <w:rFonts w:ascii="Arial" w:hAnsi="Arial" w:cs="Arial"/>
        </w:rPr>
        <w:t>is</w:t>
      </w:r>
      <w:r w:rsidRPr="00851192">
        <w:rPr>
          <w:rFonts w:ascii="Arial" w:hAnsi="Arial" w:cs="Arial"/>
        </w:rPr>
        <w:t xml:space="preserve"> study</w:t>
      </w:r>
      <w:r w:rsidR="009F4C22" w:rsidRPr="00851192">
        <w:rPr>
          <w:rFonts w:ascii="Arial" w:hAnsi="Arial" w:cs="Arial"/>
        </w:rPr>
        <w:t>,</w:t>
      </w:r>
      <w:r w:rsidRPr="00851192">
        <w:rPr>
          <w:rFonts w:ascii="Arial" w:hAnsi="Arial" w:cs="Arial"/>
        </w:rPr>
        <w:t xml:space="preserve"> alongside authors, it can be agreed that through</w:t>
      </w:r>
      <w:r w:rsidR="00CD053A" w:rsidRPr="00851192">
        <w:rPr>
          <w:rFonts w:ascii="Arial" w:hAnsi="Arial" w:cs="Arial"/>
        </w:rPr>
        <w:t xml:space="preserve"> leading a normalised and legalised culture of gambling, the industry can impact society negatively through personal and social cost due to </w:t>
      </w:r>
      <w:r w:rsidR="0059748A" w:rsidRPr="00851192">
        <w:rPr>
          <w:rFonts w:ascii="Arial" w:hAnsi="Arial" w:cs="Arial"/>
        </w:rPr>
        <w:t xml:space="preserve">negative externalities associated to </w:t>
      </w:r>
      <w:r w:rsidR="001353C2" w:rsidRPr="00851192">
        <w:rPr>
          <w:rFonts w:ascii="Arial" w:hAnsi="Arial" w:cs="Arial"/>
        </w:rPr>
        <w:t>the industry</w:t>
      </w:r>
      <w:r w:rsidR="0059748A" w:rsidRPr="00851192">
        <w:rPr>
          <w:rFonts w:ascii="Arial" w:hAnsi="Arial" w:cs="Arial"/>
        </w:rPr>
        <w:t>.</w:t>
      </w:r>
    </w:p>
    <w:p w14:paraId="058F0B96" w14:textId="0549C3DE" w:rsidR="00430F8A" w:rsidRPr="00851192" w:rsidRDefault="00430F8A" w:rsidP="00C753FB">
      <w:pPr>
        <w:jc w:val="both"/>
        <w:rPr>
          <w:rFonts w:ascii="Arial" w:hAnsi="Arial" w:cs="Arial"/>
        </w:rPr>
      </w:pPr>
    </w:p>
    <w:p w14:paraId="442DD443" w14:textId="77777777" w:rsidR="00430F8A" w:rsidRPr="00851192" w:rsidRDefault="00430F8A" w:rsidP="00C753FB">
      <w:pPr>
        <w:jc w:val="both"/>
        <w:rPr>
          <w:rFonts w:ascii="Arial" w:hAnsi="Arial" w:cs="Arial"/>
          <w:color w:val="FF0000"/>
        </w:rPr>
      </w:pPr>
    </w:p>
    <w:p w14:paraId="3DE6E5A7" w14:textId="0689798B" w:rsidR="00C753FB" w:rsidRPr="00851192" w:rsidRDefault="00C753FB" w:rsidP="00C753FB">
      <w:pPr>
        <w:jc w:val="both"/>
        <w:rPr>
          <w:rFonts w:ascii="Arial" w:hAnsi="Arial" w:cs="Arial"/>
        </w:rPr>
      </w:pPr>
    </w:p>
    <w:p w14:paraId="630872A1" w14:textId="56227FFA" w:rsidR="00C753FB" w:rsidRPr="00851192" w:rsidRDefault="00C753FB" w:rsidP="00C753FB">
      <w:pPr>
        <w:jc w:val="both"/>
        <w:rPr>
          <w:rFonts w:ascii="Arial" w:hAnsi="Arial" w:cs="Arial"/>
        </w:rPr>
      </w:pPr>
    </w:p>
    <w:p w14:paraId="04946C78" w14:textId="4D11F87B" w:rsidR="00C753FB" w:rsidRPr="00851192" w:rsidRDefault="00C753FB" w:rsidP="00C753FB">
      <w:pPr>
        <w:jc w:val="both"/>
        <w:rPr>
          <w:rFonts w:ascii="Arial" w:hAnsi="Arial" w:cs="Arial"/>
        </w:rPr>
      </w:pPr>
    </w:p>
    <w:p w14:paraId="45766C10" w14:textId="6B1C726F" w:rsidR="00C753FB" w:rsidRPr="00851192" w:rsidRDefault="00C753FB" w:rsidP="00C753FB">
      <w:pPr>
        <w:jc w:val="both"/>
        <w:rPr>
          <w:rFonts w:ascii="Arial" w:hAnsi="Arial" w:cs="Arial"/>
        </w:rPr>
      </w:pPr>
    </w:p>
    <w:p w14:paraId="3D5EF73F" w14:textId="7F400D84" w:rsidR="00C753FB" w:rsidRPr="00851192" w:rsidRDefault="00C753FB" w:rsidP="00C753FB">
      <w:pPr>
        <w:jc w:val="both"/>
        <w:rPr>
          <w:rFonts w:ascii="Arial" w:hAnsi="Arial" w:cs="Arial"/>
        </w:rPr>
      </w:pPr>
    </w:p>
    <w:p w14:paraId="575374CB" w14:textId="37B462B1" w:rsidR="00C753FB" w:rsidRPr="00851192" w:rsidRDefault="00C753FB" w:rsidP="00C753FB">
      <w:pPr>
        <w:jc w:val="both"/>
        <w:rPr>
          <w:rFonts w:ascii="Arial" w:hAnsi="Arial" w:cs="Arial"/>
        </w:rPr>
      </w:pPr>
    </w:p>
    <w:p w14:paraId="79426754" w14:textId="5A88DA15" w:rsidR="00C753FB" w:rsidRPr="00851192" w:rsidRDefault="00C753FB" w:rsidP="00C753FB">
      <w:pPr>
        <w:jc w:val="both"/>
        <w:rPr>
          <w:rFonts w:ascii="Arial" w:hAnsi="Arial" w:cs="Arial"/>
        </w:rPr>
      </w:pPr>
    </w:p>
    <w:p w14:paraId="4F2340C1" w14:textId="1677FFE3" w:rsidR="00DF7255" w:rsidRPr="00851192" w:rsidRDefault="00DF7255" w:rsidP="00C753FB">
      <w:pPr>
        <w:jc w:val="both"/>
        <w:rPr>
          <w:rFonts w:ascii="Arial" w:hAnsi="Arial" w:cs="Arial"/>
        </w:rPr>
      </w:pPr>
    </w:p>
    <w:p w14:paraId="14A05DCA" w14:textId="673ADC4E" w:rsidR="00DF7255" w:rsidRPr="00851192" w:rsidRDefault="00DF7255" w:rsidP="00C753FB">
      <w:pPr>
        <w:jc w:val="both"/>
        <w:rPr>
          <w:rFonts w:ascii="Arial" w:hAnsi="Arial" w:cs="Arial"/>
        </w:rPr>
      </w:pPr>
    </w:p>
    <w:p w14:paraId="047AED1A" w14:textId="77777777" w:rsidR="00F448F7" w:rsidRPr="00851192" w:rsidRDefault="00F448F7">
      <w:pPr>
        <w:rPr>
          <w:rFonts w:ascii="Arial" w:hAnsi="Arial" w:cs="Arial"/>
        </w:rPr>
      </w:pPr>
    </w:p>
    <w:p w14:paraId="5B64D977" w14:textId="3E7C197A" w:rsidR="00B52553" w:rsidRPr="00851192" w:rsidRDefault="00773869" w:rsidP="00DF7255">
      <w:pPr>
        <w:pStyle w:val="Heading1"/>
        <w:rPr>
          <w:rFonts w:ascii="Arial" w:hAnsi="Arial" w:cs="Arial"/>
          <w:b/>
          <w:color w:val="auto"/>
        </w:rPr>
      </w:pPr>
      <w:r w:rsidRPr="00851192">
        <w:rPr>
          <w:rFonts w:ascii="Arial" w:hAnsi="Arial" w:cs="Arial"/>
          <w:b/>
          <w:color w:val="auto"/>
        </w:rPr>
        <w:t xml:space="preserve">          </w:t>
      </w:r>
      <w:bookmarkStart w:id="11" w:name="_Toc526434212"/>
      <w:r w:rsidR="00F66285" w:rsidRPr="00851192">
        <w:rPr>
          <w:rFonts w:ascii="Arial" w:hAnsi="Arial" w:cs="Arial"/>
          <w:b/>
          <w:color w:val="auto"/>
        </w:rPr>
        <w:t xml:space="preserve">Chapter </w:t>
      </w:r>
      <w:r w:rsidRPr="00851192">
        <w:rPr>
          <w:rFonts w:ascii="Arial" w:hAnsi="Arial" w:cs="Arial"/>
          <w:b/>
          <w:color w:val="auto"/>
        </w:rPr>
        <w:t>Two</w:t>
      </w:r>
      <w:bookmarkEnd w:id="11"/>
    </w:p>
    <w:p w14:paraId="35067CE5" w14:textId="23909786" w:rsidR="00046A1D" w:rsidRPr="00851192" w:rsidRDefault="00DF7255" w:rsidP="00DF7255">
      <w:pPr>
        <w:pStyle w:val="Heading1"/>
        <w:rPr>
          <w:rFonts w:ascii="Arial" w:hAnsi="Arial" w:cs="Arial"/>
          <w:color w:val="auto"/>
        </w:rPr>
      </w:pPr>
      <w:bookmarkStart w:id="12" w:name="_Toc526434213"/>
      <w:r w:rsidRPr="00851192">
        <w:rPr>
          <w:rFonts w:ascii="Arial" w:hAnsi="Arial" w:cs="Arial"/>
          <w:color w:val="auto"/>
        </w:rPr>
        <w:t xml:space="preserve">2.1 </w:t>
      </w:r>
      <w:r w:rsidR="00046A1D" w:rsidRPr="00851192">
        <w:rPr>
          <w:rFonts w:ascii="Arial" w:hAnsi="Arial" w:cs="Arial"/>
          <w:color w:val="auto"/>
        </w:rPr>
        <w:t>Introduction</w:t>
      </w:r>
      <w:bookmarkEnd w:id="12"/>
    </w:p>
    <w:p w14:paraId="1779CF91" w14:textId="772C87F1" w:rsidR="00046A1D" w:rsidRPr="00851192" w:rsidRDefault="00046A1D" w:rsidP="00402A71">
      <w:pPr>
        <w:spacing w:line="360" w:lineRule="auto"/>
        <w:jc w:val="both"/>
        <w:rPr>
          <w:rFonts w:ascii="Arial" w:hAnsi="Arial" w:cs="Arial"/>
        </w:rPr>
      </w:pPr>
      <w:r w:rsidRPr="00851192">
        <w:rPr>
          <w:rFonts w:ascii="Arial" w:hAnsi="Arial" w:cs="Arial"/>
        </w:rPr>
        <w:t xml:space="preserve">This chapter undertakes an extensive literature review analysing the importance of CSR and CSR communication to GGO’s. </w:t>
      </w:r>
      <w:r w:rsidR="009F4C22" w:rsidRPr="00851192">
        <w:rPr>
          <w:rFonts w:ascii="Arial" w:hAnsi="Arial" w:cs="Arial"/>
        </w:rPr>
        <w:t>This</w:t>
      </w:r>
      <w:r w:rsidRPr="00851192">
        <w:rPr>
          <w:rFonts w:ascii="Arial" w:hAnsi="Arial" w:cs="Arial"/>
        </w:rPr>
        <w:t xml:space="preserve"> is supported through a paucity of theorists, frameworks and models applied, reinforcing the prominence of this pivotal business application. Th</w:t>
      </w:r>
      <w:r w:rsidR="009F4C22" w:rsidRPr="00851192">
        <w:rPr>
          <w:rFonts w:ascii="Arial" w:hAnsi="Arial" w:cs="Arial"/>
        </w:rPr>
        <w:t>is</w:t>
      </w:r>
      <w:r w:rsidRPr="00851192">
        <w:rPr>
          <w:rFonts w:ascii="Arial" w:hAnsi="Arial" w:cs="Arial"/>
        </w:rPr>
        <w:t xml:space="preserve"> chapter analyses the core of CSR and how CSR communication can influence the performance and produce benefits to businesses. </w:t>
      </w:r>
    </w:p>
    <w:p w14:paraId="7CCE5374" w14:textId="07CB7E58" w:rsidR="00046A1D" w:rsidRPr="00851192" w:rsidRDefault="009F4C22" w:rsidP="00C551E8">
      <w:pPr>
        <w:jc w:val="both"/>
        <w:rPr>
          <w:rFonts w:ascii="Arial" w:hAnsi="Arial" w:cs="Arial"/>
        </w:rPr>
      </w:pPr>
      <w:r w:rsidRPr="00851192">
        <w:rPr>
          <w:rFonts w:ascii="Arial" w:hAnsi="Arial" w:cs="Arial"/>
        </w:rPr>
        <w:t>Chapter two</w:t>
      </w:r>
      <w:r w:rsidR="00430F8A" w:rsidRPr="00851192">
        <w:rPr>
          <w:rFonts w:ascii="Arial" w:hAnsi="Arial" w:cs="Arial"/>
        </w:rPr>
        <w:t xml:space="preserve"> seeks to fulfil the first objective of th</w:t>
      </w:r>
      <w:r w:rsidRPr="00851192">
        <w:rPr>
          <w:rFonts w:ascii="Arial" w:hAnsi="Arial" w:cs="Arial"/>
        </w:rPr>
        <w:t>is</w:t>
      </w:r>
      <w:r w:rsidR="00430F8A" w:rsidRPr="00851192">
        <w:rPr>
          <w:rFonts w:ascii="Arial" w:hAnsi="Arial" w:cs="Arial"/>
        </w:rPr>
        <w:t xml:space="preserve"> dissertation</w:t>
      </w:r>
      <w:r w:rsidR="00046A1D" w:rsidRPr="00851192">
        <w:rPr>
          <w:rFonts w:ascii="Arial" w:hAnsi="Arial" w:cs="Arial"/>
        </w:rPr>
        <w:t xml:space="preserve">; </w:t>
      </w:r>
    </w:p>
    <w:p w14:paraId="78E228C6" w14:textId="509B4A96" w:rsidR="00046A1D" w:rsidRPr="00851192" w:rsidRDefault="00046A1D" w:rsidP="00C551E8">
      <w:pPr>
        <w:jc w:val="both"/>
        <w:rPr>
          <w:rFonts w:ascii="Arial" w:hAnsi="Arial" w:cs="Arial"/>
          <w:b/>
        </w:rPr>
      </w:pPr>
      <w:r w:rsidRPr="00851192">
        <w:rPr>
          <w:rFonts w:ascii="Arial" w:hAnsi="Arial" w:cs="Arial"/>
          <w:b/>
        </w:rPr>
        <w:t>To critically analyse the importance and value of corporate social responsibility (CSR) and CSR communication by global gambling operators.</w:t>
      </w:r>
    </w:p>
    <w:p w14:paraId="2E20443C" w14:textId="77777777" w:rsidR="0000517D" w:rsidRPr="00851192" w:rsidRDefault="00430F8A" w:rsidP="00402A71">
      <w:pPr>
        <w:spacing w:line="360" w:lineRule="auto"/>
        <w:jc w:val="both"/>
        <w:rPr>
          <w:rFonts w:ascii="Arial" w:hAnsi="Arial" w:cs="Arial"/>
        </w:rPr>
      </w:pPr>
      <w:r w:rsidRPr="00851192">
        <w:rPr>
          <w:rFonts w:ascii="Arial" w:hAnsi="Arial" w:cs="Arial"/>
        </w:rPr>
        <w:t xml:space="preserve">This chapter will critically discuss and analyse frameworks, concepts, models and specific theorist such as </w:t>
      </w:r>
      <w:r w:rsidR="0000517D" w:rsidRPr="00851192">
        <w:rPr>
          <w:rFonts w:ascii="Arial" w:hAnsi="Arial" w:cs="Arial"/>
        </w:rPr>
        <w:t>Freeman (1984); Tata and Prasad (2015); and Goffman (1959), which highlight the importance and value of CSR and CSR communication, reinforced by Goffman’s theory on front and back stage behaviour regarding GGO’s.</w:t>
      </w:r>
    </w:p>
    <w:p w14:paraId="02C9597C" w14:textId="5C0F16B7" w:rsidR="00046A1D" w:rsidRPr="00851192" w:rsidRDefault="0000517D" w:rsidP="00402A71">
      <w:pPr>
        <w:spacing w:line="360" w:lineRule="auto"/>
        <w:rPr>
          <w:rFonts w:ascii="Arial" w:hAnsi="Arial" w:cs="Arial"/>
        </w:rPr>
      </w:pPr>
      <w:r w:rsidRPr="00851192">
        <w:rPr>
          <w:rFonts w:ascii="Arial" w:hAnsi="Arial" w:cs="Arial"/>
        </w:rPr>
        <w:t xml:space="preserve">A range of resources will be utilised within the chapter such as journals, books, and reports published by studies and theorists. </w:t>
      </w:r>
    </w:p>
    <w:p w14:paraId="3D6D1D3F" w14:textId="2C25CD31" w:rsidR="00EA232B" w:rsidRPr="00851192" w:rsidRDefault="00DF7255" w:rsidP="00DF7255">
      <w:pPr>
        <w:pStyle w:val="Heading1"/>
        <w:rPr>
          <w:rFonts w:ascii="Arial" w:hAnsi="Arial" w:cs="Arial"/>
          <w:color w:val="auto"/>
        </w:rPr>
      </w:pPr>
      <w:bookmarkStart w:id="13" w:name="_Toc526434214"/>
      <w:r w:rsidRPr="00851192">
        <w:rPr>
          <w:rFonts w:ascii="Arial" w:hAnsi="Arial" w:cs="Arial"/>
          <w:color w:val="auto"/>
        </w:rPr>
        <w:t>2.</w:t>
      </w:r>
      <w:r w:rsidR="0000517D" w:rsidRPr="00851192">
        <w:rPr>
          <w:rFonts w:ascii="Arial" w:hAnsi="Arial" w:cs="Arial"/>
          <w:color w:val="auto"/>
        </w:rPr>
        <w:t>2</w:t>
      </w:r>
      <w:r w:rsidRPr="00851192">
        <w:rPr>
          <w:rFonts w:ascii="Arial" w:hAnsi="Arial" w:cs="Arial"/>
          <w:color w:val="auto"/>
        </w:rPr>
        <w:t xml:space="preserve"> </w:t>
      </w:r>
      <w:r w:rsidR="00EA232B" w:rsidRPr="00851192">
        <w:rPr>
          <w:rFonts w:ascii="Arial" w:hAnsi="Arial" w:cs="Arial"/>
          <w:color w:val="auto"/>
        </w:rPr>
        <w:t>The Importance of Business</w:t>
      </w:r>
      <w:r w:rsidR="00D714FD" w:rsidRPr="00851192">
        <w:rPr>
          <w:rFonts w:ascii="Arial" w:hAnsi="Arial" w:cs="Arial"/>
          <w:color w:val="auto"/>
        </w:rPr>
        <w:t>es being</w:t>
      </w:r>
      <w:r w:rsidR="00EA232B" w:rsidRPr="00851192">
        <w:rPr>
          <w:rFonts w:ascii="Arial" w:hAnsi="Arial" w:cs="Arial"/>
          <w:color w:val="auto"/>
        </w:rPr>
        <w:t xml:space="preserve"> </w:t>
      </w:r>
      <w:r w:rsidR="0000517D" w:rsidRPr="00851192">
        <w:rPr>
          <w:rFonts w:ascii="Arial" w:hAnsi="Arial" w:cs="Arial"/>
          <w:color w:val="auto"/>
        </w:rPr>
        <w:t>Responsible</w:t>
      </w:r>
      <w:bookmarkEnd w:id="13"/>
      <w:r w:rsidR="00D25900" w:rsidRPr="00851192">
        <w:rPr>
          <w:rFonts w:ascii="Arial" w:hAnsi="Arial" w:cs="Arial"/>
          <w:color w:val="auto"/>
        </w:rPr>
        <w:t xml:space="preserve"> </w:t>
      </w:r>
    </w:p>
    <w:p w14:paraId="49C33045" w14:textId="32B3B29C" w:rsidR="00065A90" w:rsidRPr="00851192" w:rsidRDefault="00E20EA0" w:rsidP="00402A71">
      <w:pPr>
        <w:spacing w:line="360" w:lineRule="auto"/>
        <w:jc w:val="both"/>
        <w:rPr>
          <w:rFonts w:ascii="Arial" w:hAnsi="Arial" w:cs="Arial"/>
        </w:rPr>
      </w:pPr>
      <w:r w:rsidRPr="00851192">
        <w:rPr>
          <w:rFonts w:ascii="Arial" w:hAnsi="Arial" w:cs="Arial"/>
        </w:rPr>
        <w:t>Th</w:t>
      </w:r>
      <w:r w:rsidR="00C551E8" w:rsidRPr="00851192">
        <w:rPr>
          <w:rFonts w:ascii="Arial" w:hAnsi="Arial" w:cs="Arial"/>
        </w:rPr>
        <w:t>is</w:t>
      </w:r>
      <w:r w:rsidRPr="00851192">
        <w:rPr>
          <w:rFonts w:ascii="Arial" w:hAnsi="Arial" w:cs="Arial"/>
        </w:rPr>
        <w:t xml:space="preserve"> chapter begins by recognising the importance of businesses being </w:t>
      </w:r>
      <w:r w:rsidR="0000517D" w:rsidRPr="00851192">
        <w:rPr>
          <w:rFonts w:ascii="Arial" w:hAnsi="Arial" w:cs="Arial"/>
        </w:rPr>
        <w:t>responsible</w:t>
      </w:r>
      <w:r w:rsidRPr="00851192">
        <w:rPr>
          <w:rFonts w:ascii="Arial" w:hAnsi="Arial" w:cs="Arial"/>
        </w:rPr>
        <w:t xml:space="preserve">. </w:t>
      </w:r>
      <w:r w:rsidR="006606C6" w:rsidRPr="00851192">
        <w:rPr>
          <w:rFonts w:ascii="Arial" w:hAnsi="Arial" w:cs="Arial"/>
        </w:rPr>
        <w:t>The</w:t>
      </w:r>
      <w:r w:rsidR="00C551E8" w:rsidRPr="00851192">
        <w:rPr>
          <w:rFonts w:ascii="Arial" w:hAnsi="Arial" w:cs="Arial"/>
        </w:rPr>
        <w:t xml:space="preserve"> gambling</w:t>
      </w:r>
      <w:r w:rsidR="006606C6" w:rsidRPr="00851192">
        <w:rPr>
          <w:rFonts w:ascii="Arial" w:hAnsi="Arial" w:cs="Arial"/>
        </w:rPr>
        <w:t xml:space="preserve"> industr</w:t>
      </w:r>
      <w:r w:rsidR="009B2ED7" w:rsidRPr="00851192">
        <w:rPr>
          <w:rFonts w:ascii="Arial" w:hAnsi="Arial" w:cs="Arial"/>
        </w:rPr>
        <w:t>y</w:t>
      </w:r>
      <w:r w:rsidR="006606C6" w:rsidRPr="00851192">
        <w:rPr>
          <w:rFonts w:ascii="Arial" w:hAnsi="Arial" w:cs="Arial"/>
        </w:rPr>
        <w:t xml:space="preserve"> focuses on a sector which is complex and has businesses operating in a different way to others. This is an industry with businesses </w:t>
      </w:r>
      <w:r w:rsidR="00C551E8" w:rsidRPr="00851192">
        <w:rPr>
          <w:rFonts w:ascii="Arial" w:hAnsi="Arial" w:cs="Arial"/>
        </w:rPr>
        <w:t>who have</w:t>
      </w:r>
      <w:r w:rsidR="006606C6" w:rsidRPr="00851192">
        <w:rPr>
          <w:rFonts w:ascii="Arial" w:hAnsi="Arial" w:cs="Arial"/>
        </w:rPr>
        <w:t xml:space="preserve"> well-known negative externalities (problem gambling). Furthermore, it is an industry which has radically developed and transformed since the 1990’s. Not only was the industry deregulated</w:t>
      </w:r>
      <w:r w:rsidR="0000517D" w:rsidRPr="00851192">
        <w:rPr>
          <w:rFonts w:ascii="Arial" w:hAnsi="Arial" w:cs="Arial"/>
        </w:rPr>
        <w:t xml:space="preserve"> in the UK </w:t>
      </w:r>
      <w:sdt>
        <w:sdtPr>
          <w:rPr>
            <w:rFonts w:ascii="Arial" w:hAnsi="Arial" w:cs="Arial"/>
          </w:rPr>
          <w:id w:val="462850995"/>
          <w:citation/>
        </w:sdtPr>
        <w:sdtEndPr/>
        <w:sdtContent>
          <w:r w:rsidR="0000517D" w:rsidRPr="00851192">
            <w:rPr>
              <w:rFonts w:ascii="Arial" w:hAnsi="Arial" w:cs="Arial"/>
            </w:rPr>
            <w:fldChar w:fldCharType="begin"/>
          </w:r>
          <w:r w:rsidR="0000517D" w:rsidRPr="00851192">
            <w:rPr>
              <w:rFonts w:ascii="Arial" w:hAnsi="Arial" w:cs="Arial"/>
            </w:rPr>
            <w:instrText xml:space="preserve"> CITATION Joh14 \l 2057 </w:instrText>
          </w:r>
          <w:r w:rsidR="0000517D" w:rsidRPr="00851192">
            <w:rPr>
              <w:rFonts w:ascii="Arial" w:hAnsi="Arial" w:cs="Arial"/>
            </w:rPr>
            <w:fldChar w:fldCharType="separate"/>
          </w:r>
          <w:r w:rsidR="002D17EA" w:rsidRPr="00851192">
            <w:rPr>
              <w:rFonts w:ascii="Arial" w:hAnsi="Arial" w:cs="Arial"/>
              <w:noProof/>
            </w:rPr>
            <w:t>(Johnston, 2014)</w:t>
          </w:r>
          <w:r w:rsidR="0000517D" w:rsidRPr="00851192">
            <w:rPr>
              <w:rFonts w:ascii="Arial" w:hAnsi="Arial" w:cs="Arial"/>
            </w:rPr>
            <w:fldChar w:fldCharType="end"/>
          </w:r>
        </w:sdtContent>
      </w:sdt>
      <w:r w:rsidR="006606C6" w:rsidRPr="00851192">
        <w:rPr>
          <w:rFonts w:ascii="Arial" w:hAnsi="Arial" w:cs="Arial"/>
        </w:rPr>
        <w:t>, but the exploitation of technology such as home PC’s and particularly broadband has led to the opportunity of exp</w:t>
      </w:r>
      <w:r w:rsidR="008D5CF7" w:rsidRPr="00851192">
        <w:rPr>
          <w:rFonts w:ascii="Arial" w:hAnsi="Arial" w:cs="Arial"/>
        </w:rPr>
        <w:t>onential</w:t>
      </w:r>
      <w:r w:rsidR="006606C6" w:rsidRPr="00851192">
        <w:rPr>
          <w:rFonts w:ascii="Arial" w:hAnsi="Arial" w:cs="Arial"/>
        </w:rPr>
        <w:t xml:space="preserve"> growth within online gambling</w:t>
      </w:r>
      <w:r w:rsidR="005D51B6" w:rsidRPr="00851192">
        <w:rPr>
          <w:rFonts w:ascii="Arial" w:hAnsi="Arial" w:cs="Arial"/>
        </w:rPr>
        <w:t xml:space="preserve"> </w:t>
      </w:r>
      <w:r w:rsidR="005D51B6" w:rsidRPr="00851192">
        <w:rPr>
          <w:rFonts w:ascii="Arial" w:hAnsi="Arial" w:cs="Arial"/>
          <w:noProof/>
        </w:rPr>
        <w:t>(ImageHolders, 2018)</w:t>
      </w:r>
      <w:r w:rsidR="006606C6" w:rsidRPr="00851192">
        <w:rPr>
          <w:rFonts w:ascii="Arial" w:hAnsi="Arial" w:cs="Arial"/>
        </w:rPr>
        <w:t xml:space="preserve">. </w:t>
      </w:r>
      <w:r w:rsidRPr="00851192">
        <w:rPr>
          <w:rFonts w:ascii="Arial" w:hAnsi="Arial" w:cs="Arial"/>
        </w:rPr>
        <w:t>Firstly</w:t>
      </w:r>
      <w:r w:rsidR="002B201E" w:rsidRPr="00851192">
        <w:rPr>
          <w:rFonts w:ascii="Arial" w:hAnsi="Arial" w:cs="Arial"/>
        </w:rPr>
        <w:t>,</w:t>
      </w:r>
      <w:r w:rsidRPr="00851192">
        <w:rPr>
          <w:rFonts w:ascii="Arial" w:hAnsi="Arial" w:cs="Arial"/>
        </w:rPr>
        <w:t xml:space="preserve"> it is significant to understand the meaning behind what </w:t>
      </w:r>
      <w:r w:rsidR="00C551E8" w:rsidRPr="00851192">
        <w:rPr>
          <w:rFonts w:ascii="Arial" w:hAnsi="Arial" w:cs="Arial"/>
        </w:rPr>
        <w:t>‘</w:t>
      </w:r>
      <w:r w:rsidRPr="00851192">
        <w:rPr>
          <w:rFonts w:ascii="Arial" w:hAnsi="Arial" w:cs="Arial"/>
        </w:rPr>
        <w:t>ethics</w:t>
      </w:r>
      <w:r w:rsidR="00C551E8" w:rsidRPr="00851192">
        <w:rPr>
          <w:rFonts w:ascii="Arial" w:hAnsi="Arial" w:cs="Arial"/>
        </w:rPr>
        <w:t>’</w:t>
      </w:r>
      <w:r w:rsidRPr="00851192">
        <w:rPr>
          <w:rFonts w:ascii="Arial" w:hAnsi="Arial" w:cs="Arial"/>
        </w:rPr>
        <w:t xml:space="preserve"> is and why it is important </w:t>
      </w:r>
      <w:r w:rsidR="002B201E" w:rsidRPr="00851192">
        <w:rPr>
          <w:rFonts w:ascii="Arial" w:hAnsi="Arial" w:cs="Arial"/>
        </w:rPr>
        <w:t>for businesses to practice in an ethical and responsible manner</w:t>
      </w:r>
      <w:r w:rsidRPr="00851192">
        <w:rPr>
          <w:rFonts w:ascii="Arial" w:hAnsi="Arial" w:cs="Arial"/>
        </w:rPr>
        <w:t xml:space="preserve">. </w:t>
      </w:r>
      <w:r w:rsidR="00E153B3" w:rsidRPr="00851192">
        <w:rPr>
          <w:rFonts w:ascii="Arial" w:hAnsi="Arial" w:cs="Arial"/>
        </w:rPr>
        <w:t>The values held by a business essentially forms</w:t>
      </w:r>
      <w:r w:rsidR="00C551E8" w:rsidRPr="00851192">
        <w:rPr>
          <w:rFonts w:ascii="Arial" w:hAnsi="Arial" w:cs="Arial"/>
        </w:rPr>
        <w:t xml:space="preserve"> a</w:t>
      </w:r>
      <w:r w:rsidR="00E153B3" w:rsidRPr="00851192">
        <w:rPr>
          <w:rFonts w:ascii="Arial" w:hAnsi="Arial" w:cs="Arial"/>
        </w:rPr>
        <w:t xml:space="preserve"> CSR policy within </w:t>
      </w:r>
      <w:r w:rsidR="00394559" w:rsidRPr="00851192">
        <w:rPr>
          <w:rFonts w:ascii="Arial" w:hAnsi="Arial" w:cs="Arial"/>
        </w:rPr>
        <w:t>a</w:t>
      </w:r>
      <w:r w:rsidR="00E153B3" w:rsidRPr="00851192">
        <w:rPr>
          <w:rFonts w:ascii="Arial" w:hAnsi="Arial" w:cs="Arial"/>
        </w:rPr>
        <w:t xml:space="preserve"> company</w:t>
      </w:r>
      <w:r w:rsidR="00394559" w:rsidRPr="00851192">
        <w:rPr>
          <w:rFonts w:ascii="Arial" w:hAnsi="Arial" w:cs="Arial"/>
        </w:rPr>
        <w:t>,</w:t>
      </w:r>
      <w:r w:rsidR="00E153B3" w:rsidRPr="00851192">
        <w:rPr>
          <w:rFonts w:ascii="Arial" w:hAnsi="Arial" w:cs="Arial"/>
        </w:rPr>
        <w:t xml:space="preserve"> alongside its </w:t>
      </w:r>
      <w:r w:rsidR="00C551E8" w:rsidRPr="00851192">
        <w:rPr>
          <w:rFonts w:ascii="Arial" w:hAnsi="Arial" w:cs="Arial"/>
        </w:rPr>
        <w:t>behaviour</w:t>
      </w:r>
      <w:r w:rsidR="00E153B3" w:rsidRPr="00851192">
        <w:rPr>
          <w:rFonts w:ascii="Arial" w:hAnsi="Arial" w:cs="Arial"/>
        </w:rPr>
        <w:t xml:space="preserve"> of CSR communications </w:t>
      </w:r>
      <w:sdt>
        <w:sdtPr>
          <w:rPr>
            <w:rFonts w:ascii="Arial" w:hAnsi="Arial" w:cs="Arial"/>
          </w:rPr>
          <w:id w:val="-1836526739"/>
          <w:citation/>
        </w:sdtPr>
        <w:sdtEndPr/>
        <w:sdtContent>
          <w:r w:rsidR="00E153B3" w:rsidRPr="00851192">
            <w:rPr>
              <w:rFonts w:ascii="Arial" w:hAnsi="Arial" w:cs="Arial"/>
            </w:rPr>
            <w:fldChar w:fldCharType="begin"/>
          </w:r>
          <w:r w:rsidR="00E153B3" w:rsidRPr="00851192">
            <w:rPr>
              <w:rFonts w:ascii="Arial" w:hAnsi="Arial" w:cs="Arial"/>
            </w:rPr>
            <w:instrText xml:space="preserve"> CITATION Sal05 \l 2057 </w:instrText>
          </w:r>
          <w:r w:rsidR="00E153B3" w:rsidRPr="00851192">
            <w:rPr>
              <w:rFonts w:ascii="Arial" w:hAnsi="Arial" w:cs="Arial"/>
            </w:rPr>
            <w:fldChar w:fldCharType="separate"/>
          </w:r>
          <w:r w:rsidR="002D17EA" w:rsidRPr="00851192">
            <w:rPr>
              <w:rFonts w:ascii="Arial" w:hAnsi="Arial" w:cs="Arial"/>
              <w:noProof/>
            </w:rPr>
            <w:t>(Salmones, Crespo, &amp; Bosque, 2005)</w:t>
          </w:r>
          <w:r w:rsidR="00E153B3" w:rsidRPr="00851192">
            <w:rPr>
              <w:rFonts w:ascii="Arial" w:hAnsi="Arial" w:cs="Arial"/>
            </w:rPr>
            <w:fldChar w:fldCharType="end"/>
          </w:r>
        </w:sdtContent>
      </w:sdt>
      <w:r w:rsidR="00E153B3" w:rsidRPr="00851192">
        <w:rPr>
          <w:rFonts w:ascii="Arial" w:hAnsi="Arial" w:cs="Arial"/>
        </w:rPr>
        <w:t xml:space="preserve">. </w:t>
      </w:r>
      <w:r w:rsidRPr="00851192">
        <w:rPr>
          <w:rFonts w:ascii="Arial" w:hAnsi="Arial" w:cs="Arial"/>
        </w:rPr>
        <w:t>A</w:t>
      </w:r>
      <w:r w:rsidR="00183AEA" w:rsidRPr="00851192">
        <w:rPr>
          <w:rFonts w:ascii="Arial" w:hAnsi="Arial" w:cs="Arial"/>
        </w:rPr>
        <w:t xml:space="preserve">ccording to </w:t>
      </w:r>
      <w:r w:rsidR="00951A69" w:rsidRPr="00851192">
        <w:rPr>
          <w:rFonts w:ascii="Arial" w:hAnsi="Arial" w:cs="Arial"/>
          <w:noProof/>
        </w:rPr>
        <w:t xml:space="preserve">Beu </w:t>
      </w:r>
      <w:r w:rsidR="00C551E8" w:rsidRPr="00851192">
        <w:rPr>
          <w:rFonts w:ascii="Arial" w:hAnsi="Arial" w:cs="Arial"/>
          <w:noProof/>
        </w:rPr>
        <w:t>and</w:t>
      </w:r>
      <w:r w:rsidR="00951A69" w:rsidRPr="00851192">
        <w:rPr>
          <w:rFonts w:ascii="Arial" w:hAnsi="Arial" w:cs="Arial"/>
          <w:noProof/>
        </w:rPr>
        <w:t xml:space="preserve"> Buckley (2001),</w:t>
      </w:r>
      <w:r w:rsidR="00183AEA" w:rsidRPr="00851192">
        <w:rPr>
          <w:rFonts w:ascii="Arial" w:hAnsi="Arial" w:cs="Arial"/>
        </w:rPr>
        <w:t xml:space="preserve"> ethic</w:t>
      </w:r>
      <w:r w:rsidR="0000517D" w:rsidRPr="00851192">
        <w:rPr>
          <w:rFonts w:ascii="Arial" w:hAnsi="Arial" w:cs="Arial"/>
        </w:rPr>
        <w:t>al and responsible behaviour</w:t>
      </w:r>
      <w:r w:rsidR="00183AEA" w:rsidRPr="00851192">
        <w:rPr>
          <w:rFonts w:ascii="Arial" w:hAnsi="Arial" w:cs="Arial"/>
        </w:rPr>
        <w:t xml:space="preserve"> is about the moral </w:t>
      </w:r>
      <w:r w:rsidR="00951A69" w:rsidRPr="00851192">
        <w:rPr>
          <w:rFonts w:ascii="Arial" w:hAnsi="Arial" w:cs="Arial"/>
        </w:rPr>
        <w:t>principles and governance</w:t>
      </w:r>
      <w:r w:rsidR="00183AEA" w:rsidRPr="00851192">
        <w:rPr>
          <w:rFonts w:ascii="Arial" w:hAnsi="Arial" w:cs="Arial"/>
        </w:rPr>
        <w:t xml:space="preserve"> between what is right and wrong. However, business ethics</w:t>
      </w:r>
      <w:r w:rsidR="0000517D" w:rsidRPr="00851192">
        <w:rPr>
          <w:rFonts w:ascii="Arial" w:hAnsi="Arial" w:cs="Arial"/>
        </w:rPr>
        <w:t xml:space="preserve"> and responsibility</w:t>
      </w:r>
      <w:r w:rsidR="00183AEA" w:rsidRPr="00851192">
        <w:rPr>
          <w:rFonts w:ascii="Arial" w:hAnsi="Arial" w:cs="Arial"/>
        </w:rPr>
        <w:t xml:space="preserve"> </w:t>
      </w:r>
      <w:r w:rsidR="005D51B6" w:rsidRPr="00851192">
        <w:rPr>
          <w:rFonts w:ascii="Arial" w:hAnsi="Arial" w:cs="Arial"/>
        </w:rPr>
        <w:t>incorporate</w:t>
      </w:r>
      <w:r w:rsidR="00183AEA" w:rsidRPr="00851192">
        <w:rPr>
          <w:rFonts w:ascii="Arial" w:hAnsi="Arial" w:cs="Arial"/>
        </w:rPr>
        <w:t xml:space="preserve"> the same principle of moral</w:t>
      </w:r>
      <w:r w:rsidR="00951A69" w:rsidRPr="00851192">
        <w:rPr>
          <w:rFonts w:ascii="Arial" w:hAnsi="Arial" w:cs="Arial"/>
        </w:rPr>
        <w:t>ity,</w:t>
      </w:r>
      <w:r w:rsidR="00183AEA" w:rsidRPr="00851192">
        <w:rPr>
          <w:rFonts w:ascii="Arial" w:hAnsi="Arial" w:cs="Arial"/>
        </w:rPr>
        <w:t xml:space="preserve"> </w:t>
      </w:r>
      <w:r w:rsidR="002B201E" w:rsidRPr="00851192">
        <w:rPr>
          <w:rFonts w:ascii="Arial" w:hAnsi="Arial" w:cs="Arial"/>
        </w:rPr>
        <w:t>alongside considering</w:t>
      </w:r>
      <w:r w:rsidR="00183AEA" w:rsidRPr="00851192">
        <w:rPr>
          <w:rFonts w:ascii="Arial" w:hAnsi="Arial" w:cs="Arial"/>
        </w:rPr>
        <w:t xml:space="preserve"> the decisions made by individuals within an organisation </w:t>
      </w:r>
      <w:r w:rsidR="003703C5" w:rsidRPr="00851192">
        <w:rPr>
          <w:rFonts w:ascii="Arial" w:hAnsi="Arial" w:cs="Arial"/>
        </w:rPr>
        <w:t>being</w:t>
      </w:r>
      <w:r w:rsidR="00183AEA" w:rsidRPr="00851192">
        <w:rPr>
          <w:rFonts w:ascii="Arial" w:hAnsi="Arial" w:cs="Arial"/>
        </w:rPr>
        <w:t xml:space="preserve"> highly influenced by the culture of the company </w:t>
      </w:r>
      <w:sdt>
        <w:sdtPr>
          <w:rPr>
            <w:rFonts w:ascii="Arial" w:hAnsi="Arial" w:cs="Arial"/>
          </w:rPr>
          <w:id w:val="-120618909"/>
          <w:citation/>
        </w:sdtPr>
        <w:sdtEndPr/>
        <w:sdtContent>
          <w:r w:rsidR="00183AEA" w:rsidRPr="00851192">
            <w:rPr>
              <w:rFonts w:ascii="Arial" w:hAnsi="Arial" w:cs="Arial"/>
            </w:rPr>
            <w:fldChar w:fldCharType="begin"/>
          </w:r>
          <w:r w:rsidR="00183AEA" w:rsidRPr="00851192">
            <w:rPr>
              <w:rFonts w:ascii="Arial" w:hAnsi="Arial" w:cs="Arial"/>
            </w:rPr>
            <w:instrText xml:space="preserve"> CITATION Fer10 \l 2057 </w:instrText>
          </w:r>
          <w:r w:rsidR="00183AEA" w:rsidRPr="00851192">
            <w:rPr>
              <w:rFonts w:ascii="Arial" w:hAnsi="Arial" w:cs="Arial"/>
            </w:rPr>
            <w:fldChar w:fldCharType="separate"/>
          </w:r>
          <w:r w:rsidR="002D17EA" w:rsidRPr="00851192">
            <w:rPr>
              <w:rFonts w:ascii="Arial" w:hAnsi="Arial" w:cs="Arial"/>
              <w:noProof/>
            </w:rPr>
            <w:t>(Fernando, 2010)</w:t>
          </w:r>
          <w:r w:rsidR="00183AEA" w:rsidRPr="00851192">
            <w:rPr>
              <w:rFonts w:ascii="Arial" w:hAnsi="Arial" w:cs="Arial"/>
            </w:rPr>
            <w:fldChar w:fldCharType="end"/>
          </w:r>
        </w:sdtContent>
      </w:sdt>
      <w:r w:rsidR="00183AEA" w:rsidRPr="00851192">
        <w:rPr>
          <w:rFonts w:ascii="Arial" w:hAnsi="Arial" w:cs="Arial"/>
        </w:rPr>
        <w:t xml:space="preserve">. </w:t>
      </w:r>
      <w:r w:rsidR="00183AEA" w:rsidRPr="00851192">
        <w:rPr>
          <w:rFonts w:ascii="Arial" w:hAnsi="Arial" w:cs="Arial"/>
          <w:noProof/>
        </w:rPr>
        <w:t>Ferrell et al., (2015)</w:t>
      </w:r>
      <w:r w:rsidR="00453ADF" w:rsidRPr="00851192">
        <w:rPr>
          <w:rFonts w:ascii="Arial" w:hAnsi="Arial" w:cs="Arial"/>
        </w:rPr>
        <w:t xml:space="preserve"> believes that</w:t>
      </w:r>
      <w:r w:rsidR="00183AEA" w:rsidRPr="00851192">
        <w:rPr>
          <w:rFonts w:ascii="Arial" w:hAnsi="Arial" w:cs="Arial"/>
        </w:rPr>
        <w:t xml:space="preserve"> by</w:t>
      </w:r>
      <w:r w:rsidR="00453ADF" w:rsidRPr="00851192">
        <w:rPr>
          <w:rFonts w:ascii="Arial" w:hAnsi="Arial" w:cs="Arial"/>
        </w:rPr>
        <w:t xml:space="preserve"> businesses practicing </w:t>
      </w:r>
      <w:r w:rsidR="0000517D" w:rsidRPr="00851192">
        <w:rPr>
          <w:rFonts w:ascii="Arial" w:hAnsi="Arial" w:cs="Arial"/>
        </w:rPr>
        <w:t>responsible</w:t>
      </w:r>
      <w:r w:rsidR="00453ADF" w:rsidRPr="00851192">
        <w:rPr>
          <w:rFonts w:ascii="Arial" w:hAnsi="Arial" w:cs="Arial"/>
        </w:rPr>
        <w:t xml:space="preserve"> behaviour, </w:t>
      </w:r>
      <w:r w:rsidR="00443AD0" w:rsidRPr="00851192">
        <w:rPr>
          <w:rFonts w:ascii="Arial" w:hAnsi="Arial" w:cs="Arial"/>
        </w:rPr>
        <w:t xml:space="preserve">and demonstrating purposeful </w:t>
      </w:r>
      <w:r w:rsidR="00443AD0" w:rsidRPr="00851192">
        <w:rPr>
          <w:rFonts w:ascii="Arial" w:hAnsi="Arial" w:cs="Arial"/>
        </w:rPr>
        <w:lastRenderedPageBreak/>
        <w:t xml:space="preserve">CSR communication, </w:t>
      </w:r>
      <w:r w:rsidR="00453ADF" w:rsidRPr="00851192">
        <w:rPr>
          <w:rFonts w:ascii="Arial" w:hAnsi="Arial" w:cs="Arial"/>
        </w:rPr>
        <w:t xml:space="preserve">significant benefits can be </w:t>
      </w:r>
      <w:r w:rsidR="00183AEA" w:rsidRPr="00851192">
        <w:rPr>
          <w:rFonts w:ascii="Arial" w:hAnsi="Arial" w:cs="Arial"/>
        </w:rPr>
        <w:t>delivered</w:t>
      </w:r>
      <w:r w:rsidR="00453ADF" w:rsidRPr="00851192">
        <w:rPr>
          <w:rFonts w:ascii="Arial" w:hAnsi="Arial" w:cs="Arial"/>
        </w:rPr>
        <w:t xml:space="preserve"> to a business</w:t>
      </w:r>
      <w:r w:rsidR="00183AEA" w:rsidRPr="00851192">
        <w:rPr>
          <w:rFonts w:ascii="Arial" w:hAnsi="Arial" w:cs="Arial"/>
        </w:rPr>
        <w:t xml:space="preserve"> through</w:t>
      </w:r>
      <w:r w:rsidR="00A3450A" w:rsidRPr="00851192">
        <w:rPr>
          <w:rFonts w:ascii="Arial" w:hAnsi="Arial" w:cs="Arial"/>
        </w:rPr>
        <w:t xml:space="preserve"> its</w:t>
      </w:r>
      <w:r w:rsidR="00183AEA" w:rsidRPr="00851192">
        <w:rPr>
          <w:rFonts w:ascii="Arial" w:hAnsi="Arial" w:cs="Arial"/>
        </w:rPr>
        <w:t xml:space="preserve"> </w:t>
      </w:r>
      <w:r w:rsidR="00951A69" w:rsidRPr="00851192">
        <w:rPr>
          <w:rFonts w:ascii="Arial" w:hAnsi="Arial" w:cs="Arial"/>
        </w:rPr>
        <w:t>ethical</w:t>
      </w:r>
      <w:r w:rsidR="002B201E" w:rsidRPr="00851192">
        <w:rPr>
          <w:rFonts w:ascii="Arial" w:hAnsi="Arial" w:cs="Arial"/>
        </w:rPr>
        <w:t xml:space="preserve"> and responsible</w:t>
      </w:r>
      <w:r w:rsidR="00951A69" w:rsidRPr="00851192">
        <w:rPr>
          <w:rFonts w:ascii="Arial" w:hAnsi="Arial" w:cs="Arial"/>
        </w:rPr>
        <w:t xml:space="preserve"> principles</w:t>
      </w:r>
      <w:r w:rsidR="00453ADF" w:rsidRPr="00851192">
        <w:rPr>
          <w:rFonts w:ascii="Arial" w:hAnsi="Arial" w:cs="Arial"/>
        </w:rPr>
        <w:t>.</w:t>
      </w:r>
      <w:r w:rsidR="00565D98" w:rsidRPr="00851192">
        <w:rPr>
          <w:rFonts w:ascii="Arial" w:hAnsi="Arial" w:cs="Arial"/>
        </w:rPr>
        <w:t xml:space="preserve"> </w:t>
      </w:r>
      <w:r w:rsidR="00A3450A" w:rsidRPr="00851192">
        <w:rPr>
          <w:rFonts w:ascii="Arial" w:hAnsi="Arial" w:cs="Arial"/>
        </w:rPr>
        <w:t>An</w:t>
      </w:r>
      <w:r w:rsidR="00565D98" w:rsidRPr="00851192">
        <w:rPr>
          <w:rFonts w:ascii="Arial" w:hAnsi="Arial" w:cs="Arial"/>
        </w:rPr>
        <w:t xml:space="preserve"> example</w:t>
      </w:r>
      <w:r w:rsidR="002B201E" w:rsidRPr="00851192">
        <w:rPr>
          <w:rFonts w:ascii="Arial" w:hAnsi="Arial" w:cs="Arial"/>
        </w:rPr>
        <w:t>;</w:t>
      </w:r>
      <w:r w:rsidR="00565D98" w:rsidRPr="00851192">
        <w:rPr>
          <w:rFonts w:ascii="Arial" w:hAnsi="Arial" w:cs="Arial"/>
        </w:rPr>
        <w:t xml:space="preserve"> for businesses </w:t>
      </w:r>
      <w:r w:rsidR="002B201E" w:rsidRPr="00851192">
        <w:rPr>
          <w:rFonts w:ascii="Arial" w:hAnsi="Arial" w:cs="Arial"/>
        </w:rPr>
        <w:t>listed</w:t>
      </w:r>
      <w:r w:rsidR="00565D98" w:rsidRPr="00851192">
        <w:rPr>
          <w:rFonts w:ascii="Arial" w:hAnsi="Arial" w:cs="Arial"/>
        </w:rPr>
        <w:t xml:space="preserve"> as a public limited company</w:t>
      </w:r>
      <w:r w:rsidR="00A3450A" w:rsidRPr="00851192">
        <w:rPr>
          <w:rFonts w:ascii="Arial" w:hAnsi="Arial" w:cs="Arial"/>
        </w:rPr>
        <w:t xml:space="preserve"> such as Bet365</w:t>
      </w:r>
      <w:r w:rsidR="00565D98" w:rsidRPr="00851192">
        <w:rPr>
          <w:rFonts w:ascii="Arial" w:hAnsi="Arial" w:cs="Arial"/>
        </w:rPr>
        <w:t>,</w:t>
      </w:r>
      <w:r w:rsidR="00453ADF" w:rsidRPr="00851192">
        <w:rPr>
          <w:rFonts w:ascii="Arial" w:hAnsi="Arial" w:cs="Arial"/>
        </w:rPr>
        <w:t xml:space="preserve"> </w:t>
      </w:r>
      <w:r w:rsidR="002B201E" w:rsidRPr="00851192">
        <w:rPr>
          <w:rFonts w:ascii="Arial" w:hAnsi="Arial" w:cs="Arial"/>
        </w:rPr>
        <w:t>practicing in an ethical and responsible way</w:t>
      </w:r>
      <w:r w:rsidR="00C551E8" w:rsidRPr="00851192">
        <w:rPr>
          <w:rFonts w:ascii="Arial" w:hAnsi="Arial" w:cs="Arial"/>
        </w:rPr>
        <w:t>,</w:t>
      </w:r>
      <w:r w:rsidR="00565D98" w:rsidRPr="00851192">
        <w:rPr>
          <w:rFonts w:ascii="Arial" w:hAnsi="Arial" w:cs="Arial"/>
        </w:rPr>
        <w:t xml:space="preserve"> </w:t>
      </w:r>
      <w:r w:rsidR="00653A52" w:rsidRPr="00851192">
        <w:rPr>
          <w:rFonts w:ascii="Arial" w:hAnsi="Arial" w:cs="Arial"/>
        </w:rPr>
        <w:t>creates</w:t>
      </w:r>
      <w:r w:rsidR="00565D98" w:rsidRPr="00851192">
        <w:rPr>
          <w:rFonts w:ascii="Arial" w:hAnsi="Arial" w:cs="Arial"/>
        </w:rPr>
        <w:t xml:space="preserve"> an opportunity fo</w:t>
      </w:r>
      <w:r w:rsidR="00A3450A" w:rsidRPr="00851192">
        <w:rPr>
          <w:rFonts w:ascii="Arial" w:hAnsi="Arial" w:cs="Arial"/>
        </w:rPr>
        <w:t xml:space="preserve">r the </w:t>
      </w:r>
      <w:r w:rsidR="003703C5" w:rsidRPr="00851192">
        <w:rPr>
          <w:rFonts w:ascii="Arial" w:hAnsi="Arial" w:cs="Arial"/>
        </w:rPr>
        <w:t>GGO’s</w:t>
      </w:r>
      <w:r w:rsidR="00653A52" w:rsidRPr="00851192">
        <w:rPr>
          <w:rFonts w:ascii="Arial" w:hAnsi="Arial" w:cs="Arial"/>
        </w:rPr>
        <w:t xml:space="preserve"> to </w:t>
      </w:r>
      <w:r w:rsidR="00EF6C0F" w:rsidRPr="00851192">
        <w:rPr>
          <w:rFonts w:ascii="Arial" w:hAnsi="Arial" w:cs="Arial"/>
        </w:rPr>
        <w:t xml:space="preserve">communicate effectively to </w:t>
      </w:r>
      <w:r w:rsidR="00A3450A" w:rsidRPr="00851192">
        <w:rPr>
          <w:rFonts w:ascii="Arial" w:hAnsi="Arial" w:cs="Arial"/>
        </w:rPr>
        <w:t xml:space="preserve">its </w:t>
      </w:r>
      <w:r w:rsidR="00EF6C0F" w:rsidRPr="00851192">
        <w:rPr>
          <w:rFonts w:ascii="Arial" w:hAnsi="Arial" w:cs="Arial"/>
        </w:rPr>
        <w:t xml:space="preserve">external stakeholders such as </w:t>
      </w:r>
      <w:r w:rsidR="00653A52" w:rsidRPr="00851192">
        <w:rPr>
          <w:rFonts w:ascii="Arial" w:hAnsi="Arial" w:cs="Arial"/>
        </w:rPr>
        <w:t xml:space="preserve">investors’ that their investment is being used in an </w:t>
      </w:r>
      <w:r w:rsidR="0000517D" w:rsidRPr="00851192">
        <w:rPr>
          <w:rFonts w:ascii="Arial" w:hAnsi="Arial" w:cs="Arial"/>
        </w:rPr>
        <w:t>appropriate</w:t>
      </w:r>
      <w:r w:rsidR="00EF6C0F" w:rsidRPr="00851192">
        <w:rPr>
          <w:rFonts w:ascii="Arial" w:hAnsi="Arial" w:cs="Arial"/>
        </w:rPr>
        <w:t xml:space="preserve"> manner</w:t>
      </w:r>
      <w:r w:rsidR="00C551E8" w:rsidRPr="00851192">
        <w:rPr>
          <w:rFonts w:ascii="Arial" w:hAnsi="Arial" w:cs="Arial"/>
        </w:rPr>
        <w:t>, meeting</w:t>
      </w:r>
      <w:r w:rsidR="00EF6C0F" w:rsidRPr="00851192">
        <w:rPr>
          <w:rFonts w:ascii="Arial" w:hAnsi="Arial" w:cs="Arial"/>
        </w:rPr>
        <w:t xml:space="preserve"> </w:t>
      </w:r>
      <w:r w:rsidR="00C551E8" w:rsidRPr="00851192">
        <w:rPr>
          <w:rFonts w:ascii="Arial" w:hAnsi="Arial" w:cs="Arial"/>
        </w:rPr>
        <w:t>their moral standards</w:t>
      </w:r>
      <w:r w:rsidR="00653A52" w:rsidRPr="00851192">
        <w:rPr>
          <w:rFonts w:ascii="Arial" w:hAnsi="Arial" w:cs="Arial"/>
        </w:rPr>
        <w:t xml:space="preserve"> </w:t>
      </w:r>
      <w:sdt>
        <w:sdtPr>
          <w:rPr>
            <w:rFonts w:ascii="Arial" w:hAnsi="Arial" w:cs="Arial"/>
          </w:rPr>
          <w:id w:val="1779604283"/>
          <w:citation/>
        </w:sdtPr>
        <w:sdtEndPr/>
        <w:sdtContent>
          <w:r w:rsidR="00653A52" w:rsidRPr="00851192">
            <w:rPr>
              <w:rFonts w:ascii="Arial" w:hAnsi="Arial" w:cs="Arial"/>
            </w:rPr>
            <w:fldChar w:fldCharType="begin"/>
          </w:r>
          <w:r w:rsidR="00653A52" w:rsidRPr="00851192">
            <w:rPr>
              <w:rFonts w:ascii="Arial" w:hAnsi="Arial" w:cs="Arial"/>
            </w:rPr>
            <w:instrText xml:space="preserve"> CITATION Kra91 \l 2057 </w:instrText>
          </w:r>
          <w:r w:rsidR="00653A52" w:rsidRPr="00851192">
            <w:rPr>
              <w:rFonts w:ascii="Arial" w:hAnsi="Arial" w:cs="Arial"/>
            </w:rPr>
            <w:fldChar w:fldCharType="separate"/>
          </w:r>
          <w:r w:rsidR="002D17EA" w:rsidRPr="00851192">
            <w:rPr>
              <w:rFonts w:ascii="Arial" w:hAnsi="Arial" w:cs="Arial"/>
              <w:noProof/>
            </w:rPr>
            <w:t>(Kraft &amp; Singhapakdi, 1991)</w:t>
          </w:r>
          <w:r w:rsidR="00653A52" w:rsidRPr="00851192">
            <w:rPr>
              <w:rFonts w:ascii="Arial" w:hAnsi="Arial" w:cs="Arial"/>
            </w:rPr>
            <w:fldChar w:fldCharType="end"/>
          </w:r>
        </w:sdtContent>
      </w:sdt>
      <w:r w:rsidR="00653A52" w:rsidRPr="00851192">
        <w:rPr>
          <w:rFonts w:ascii="Arial" w:hAnsi="Arial" w:cs="Arial"/>
        </w:rPr>
        <w:t xml:space="preserve">. </w:t>
      </w:r>
      <w:r w:rsidRPr="00851192">
        <w:rPr>
          <w:rFonts w:ascii="Arial" w:hAnsi="Arial" w:cs="Arial"/>
        </w:rPr>
        <w:t xml:space="preserve">Furthermore, </w:t>
      </w:r>
      <w:r w:rsidR="002B201E" w:rsidRPr="00851192">
        <w:rPr>
          <w:rFonts w:ascii="Arial" w:hAnsi="Arial" w:cs="Arial"/>
        </w:rPr>
        <w:t>being a public listed company</w:t>
      </w:r>
      <w:r w:rsidRPr="00851192">
        <w:rPr>
          <w:rFonts w:ascii="Arial" w:hAnsi="Arial" w:cs="Arial"/>
        </w:rPr>
        <w:t xml:space="preserve"> also</w:t>
      </w:r>
      <w:r w:rsidR="00653A52" w:rsidRPr="00851192">
        <w:rPr>
          <w:rFonts w:ascii="Arial" w:hAnsi="Arial" w:cs="Arial"/>
        </w:rPr>
        <w:t xml:space="preserve"> provides a prospect for </w:t>
      </w:r>
      <w:r w:rsidR="002B201E" w:rsidRPr="00851192">
        <w:rPr>
          <w:rFonts w:ascii="Arial" w:hAnsi="Arial" w:cs="Arial"/>
        </w:rPr>
        <w:t>businesses</w:t>
      </w:r>
      <w:r w:rsidR="00653A52" w:rsidRPr="00851192">
        <w:rPr>
          <w:rFonts w:ascii="Arial" w:hAnsi="Arial" w:cs="Arial"/>
        </w:rPr>
        <w:t xml:space="preserve"> to increase share price</w:t>
      </w:r>
      <w:r w:rsidRPr="00851192">
        <w:rPr>
          <w:rFonts w:ascii="Arial" w:hAnsi="Arial" w:cs="Arial"/>
        </w:rPr>
        <w:t xml:space="preserve"> </w:t>
      </w:r>
      <w:r w:rsidR="00C551E8" w:rsidRPr="00851192">
        <w:rPr>
          <w:rFonts w:ascii="Arial" w:hAnsi="Arial" w:cs="Arial"/>
        </w:rPr>
        <w:t>in</w:t>
      </w:r>
      <w:r w:rsidRPr="00851192">
        <w:rPr>
          <w:rFonts w:ascii="Arial" w:hAnsi="Arial" w:cs="Arial"/>
        </w:rPr>
        <w:t xml:space="preserve"> the stock exchange market</w:t>
      </w:r>
      <w:r w:rsidR="00C551E8" w:rsidRPr="00851192">
        <w:rPr>
          <w:rFonts w:ascii="Arial" w:hAnsi="Arial" w:cs="Arial"/>
        </w:rPr>
        <w:t xml:space="preserve"> through</w:t>
      </w:r>
      <w:r w:rsidR="00653A52" w:rsidRPr="00851192">
        <w:rPr>
          <w:rFonts w:ascii="Arial" w:hAnsi="Arial" w:cs="Arial"/>
        </w:rPr>
        <w:t xml:space="preserve"> gain</w:t>
      </w:r>
      <w:r w:rsidR="00C551E8" w:rsidRPr="00851192">
        <w:rPr>
          <w:rFonts w:ascii="Arial" w:hAnsi="Arial" w:cs="Arial"/>
        </w:rPr>
        <w:t>ing</w:t>
      </w:r>
      <w:r w:rsidR="00653A52" w:rsidRPr="00851192">
        <w:rPr>
          <w:rFonts w:ascii="Arial" w:hAnsi="Arial" w:cs="Arial"/>
        </w:rPr>
        <w:t xml:space="preserve"> further investment </w:t>
      </w:r>
      <w:r w:rsidR="00C551E8" w:rsidRPr="00851192">
        <w:rPr>
          <w:rFonts w:ascii="Arial" w:hAnsi="Arial" w:cs="Arial"/>
        </w:rPr>
        <w:t xml:space="preserve">and establishing a </w:t>
      </w:r>
      <w:r w:rsidRPr="00851192">
        <w:rPr>
          <w:rFonts w:ascii="Arial" w:hAnsi="Arial" w:cs="Arial"/>
        </w:rPr>
        <w:t>strong corporate identity</w:t>
      </w:r>
      <w:r w:rsidR="00653A52" w:rsidRPr="00851192">
        <w:rPr>
          <w:rFonts w:ascii="Arial" w:hAnsi="Arial" w:cs="Arial"/>
        </w:rPr>
        <w:t xml:space="preserve"> </w:t>
      </w:r>
      <w:sdt>
        <w:sdtPr>
          <w:rPr>
            <w:rFonts w:ascii="Arial" w:hAnsi="Arial" w:cs="Arial"/>
          </w:rPr>
          <w:id w:val="1902245813"/>
          <w:citation/>
        </w:sdtPr>
        <w:sdtEndPr/>
        <w:sdtContent>
          <w:r w:rsidR="00653A52" w:rsidRPr="00851192">
            <w:rPr>
              <w:rFonts w:ascii="Arial" w:hAnsi="Arial" w:cs="Arial"/>
            </w:rPr>
            <w:fldChar w:fldCharType="begin"/>
          </w:r>
          <w:r w:rsidR="00653A52" w:rsidRPr="00851192">
            <w:rPr>
              <w:rFonts w:ascii="Arial" w:hAnsi="Arial" w:cs="Arial"/>
            </w:rPr>
            <w:instrText xml:space="preserve"> CITATION Bal07 \l 2057 </w:instrText>
          </w:r>
          <w:r w:rsidR="00653A52" w:rsidRPr="00851192">
            <w:rPr>
              <w:rFonts w:ascii="Arial" w:hAnsi="Arial" w:cs="Arial"/>
            </w:rPr>
            <w:fldChar w:fldCharType="separate"/>
          </w:r>
          <w:r w:rsidR="002D17EA" w:rsidRPr="00851192">
            <w:rPr>
              <w:rFonts w:ascii="Arial" w:hAnsi="Arial" w:cs="Arial"/>
              <w:noProof/>
            </w:rPr>
            <w:t>(Balmer, Gray, &amp; Fukukawa, 2007)</w:t>
          </w:r>
          <w:r w:rsidR="00653A52" w:rsidRPr="00851192">
            <w:rPr>
              <w:rFonts w:ascii="Arial" w:hAnsi="Arial" w:cs="Arial"/>
            </w:rPr>
            <w:fldChar w:fldCharType="end"/>
          </w:r>
        </w:sdtContent>
      </w:sdt>
      <w:r w:rsidR="00653A52" w:rsidRPr="00851192">
        <w:rPr>
          <w:rFonts w:ascii="Arial" w:hAnsi="Arial" w:cs="Arial"/>
        </w:rPr>
        <w:t>.</w:t>
      </w:r>
      <w:r w:rsidR="00B52553" w:rsidRPr="00851192">
        <w:rPr>
          <w:rFonts w:ascii="Arial" w:hAnsi="Arial" w:cs="Arial"/>
        </w:rPr>
        <w:t xml:space="preserve">  </w:t>
      </w:r>
    </w:p>
    <w:p w14:paraId="16AB1F08" w14:textId="5CDC6BAF" w:rsidR="00703A48" w:rsidRPr="00851192" w:rsidRDefault="00DF7255" w:rsidP="00DF7255">
      <w:pPr>
        <w:pStyle w:val="Heading1"/>
        <w:rPr>
          <w:rFonts w:ascii="Arial" w:hAnsi="Arial" w:cs="Arial"/>
          <w:color w:val="auto"/>
        </w:rPr>
      </w:pPr>
      <w:bookmarkStart w:id="14" w:name="_Toc526434215"/>
      <w:r w:rsidRPr="00851192">
        <w:rPr>
          <w:rFonts w:ascii="Arial" w:hAnsi="Arial" w:cs="Arial"/>
          <w:color w:val="auto"/>
        </w:rPr>
        <w:t>2.</w:t>
      </w:r>
      <w:r w:rsidR="00402A71" w:rsidRPr="00851192">
        <w:rPr>
          <w:rFonts w:ascii="Arial" w:hAnsi="Arial" w:cs="Arial"/>
          <w:color w:val="auto"/>
        </w:rPr>
        <w:t>3</w:t>
      </w:r>
      <w:r w:rsidRPr="00851192">
        <w:rPr>
          <w:rFonts w:ascii="Arial" w:hAnsi="Arial" w:cs="Arial"/>
          <w:color w:val="auto"/>
        </w:rPr>
        <w:t xml:space="preserve"> </w:t>
      </w:r>
      <w:r w:rsidR="00703A48" w:rsidRPr="00851192">
        <w:rPr>
          <w:rFonts w:ascii="Arial" w:hAnsi="Arial" w:cs="Arial"/>
          <w:color w:val="auto"/>
        </w:rPr>
        <w:t>Corporate Social Responsibility Communication</w:t>
      </w:r>
      <w:bookmarkEnd w:id="14"/>
      <w:r w:rsidR="00703A48" w:rsidRPr="00851192">
        <w:rPr>
          <w:rFonts w:ascii="Arial" w:hAnsi="Arial" w:cs="Arial"/>
          <w:color w:val="auto"/>
        </w:rPr>
        <w:t xml:space="preserve"> </w:t>
      </w:r>
    </w:p>
    <w:p w14:paraId="3DD238D1" w14:textId="5967741C" w:rsidR="00703A48" w:rsidRPr="00851192" w:rsidRDefault="00A63297" w:rsidP="00402A71">
      <w:pPr>
        <w:spacing w:line="360" w:lineRule="auto"/>
        <w:jc w:val="both"/>
        <w:rPr>
          <w:rFonts w:ascii="Arial" w:hAnsi="Arial" w:cs="Arial"/>
        </w:rPr>
      </w:pPr>
      <w:r w:rsidRPr="00851192">
        <w:rPr>
          <w:rFonts w:ascii="Arial" w:hAnsi="Arial" w:cs="Arial"/>
        </w:rPr>
        <w:t>CSR</w:t>
      </w:r>
      <w:r w:rsidR="00703A48" w:rsidRPr="00851192">
        <w:rPr>
          <w:rFonts w:ascii="Arial" w:hAnsi="Arial" w:cs="Arial"/>
        </w:rPr>
        <w:t xml:space="preserve"> is a field with a large scope containing many activities and practices which </w:t>
      </w:r>
      <w:r w:rsidR="00C551E8" w:rsidRPr="00851192">
        <w:rPr>
          <w:rFonts w:ascii="Arial" w:hAnsi="Arial" w:cs="Arial"/>
        </w:rPr>
        <w:t>is demanding. This is due to</w:t>
      </w:r>
      <w:r w:rsidR="00703A48" w:rsidRPr="00851192">
        <w:rPr>
          <w:rFonts w:ascii="Arial" w:hAnsi="Arial" w:cs="Arial"/>
        </w:rPr>
        <w:t xml:space="preserve"> businesses</w:t>
      </w:r>
      <w:r w:rsidR="00C551E8" w:rsidRPr="00851192">
        <w:rPr>
          <w:rFonts w:ascii="Arial" w:hAnsi="Arial" w:cs="Arial"/>
        </w:rPr>
        <w:t xml:space="preserve"> having</w:t>
      </w:r>
      <w:r w:rsidR="00703A48" w:rsidRPr="00851192">
        <w:rPr>
          <w:rFonts w:ascii="Arial" w:hAnsi="Arial" w:cs="Arial"/>
        </w:rPr>
        <w:t xml:space="preserve"> to be adaptable to ever-changing external drivers which may shape and influence the behaviour of external stakeholders</w:t>
      </w:r>
      <w:r w:rsidR="00C551E8" w:rsidRPr="00851192">
        <w:rPr>
          <w:rFonts w:ascii="Arial" w:hAnsi="Arial" w:cs="Arial"/>
        </w:rPr>
        <w:t>;</w:t>
      </w:r>
      <w:r w:rsidR="003703C5" w:rsidRPr="00851192">
        <w:rPr>
          <w:rFonts w:ascii="Arial" w:hAnsi="Arial" w:cs="Arial"/>
        </w:rPr>
        <w:t xml:space="preserve"> </w:t>
      </w:r>
      <w:r w:rsidR="00C551E8" w:rsidRPr="00851192">
        <w:rPr>
          <w:rFonts w:ascii="Arial" w:hAnsi="Arial" w:cs="Arial"/>
        </w:rPr>
        <w:t>requiring</w:t>
      </w:r>
      <w:r w:rsidR="00703A48" w:rsidRPr="00851192">
        <w:rPr>
          <w:rFonts w:ascii="Arial" w:hAnsi="Arial" w:cs="Arial"/>
        </w:rPr>
        <w:t xml:space="preserve"> new means of practicing </w:t>
      </w:r>
      <w:r w:rsidR="003703C5" w:rsidRPr="00851192">
        <w:rPr>
          <w:rFonts w:ascii="Arial" w:hAnsi="Arial" w:cs="Arial"/>
        </w:rPr>
        <w:t xml:space="preserve">effective </w:t>
      </w:r>
      <w:r w:rsidR="00703A48" w:rsidRPr="00851192">
        <w:rPr>
          <w:rFonts w:ascii="Arial" w:hAnsi="Arial" w:cs="Arial"/>
        </w:rPr>
        <w:t>CSR communication (</w:t>
      </w:r>
      <w:proofErr w:type="spellStart"/>
      <w:r w:rsidR="00703A48" w:rsidRPr="00851192">
        <w:rPr>
          <w:rFonts w:ascii="Arial" w:hAnsi="Arial" w:cs="Arial"/>
        </w:rPr>
        <w:t>Dahlsrud</w:t>
      </w:r>
      <w:proofErr w:type="spellEnd"/>
      <w:r w:rsidR="00703A48" w:rsidRPr="00851192">
        <w:rPr>
          <w:rFonts w:ascii="Arial" w:hAnsi="Arial" w:cs="Arial"/>
        </w:rPr>
        <w:t xml:space="preserve">, 2008). Within today’s modern society, the ever-changing external drivers such as social, political, and environmental factors require </w:t>
      </w:r>
      <w:r w:rsidR="003703C5" w:rsidRPr="00851192">
        <w:rPr>
          <w:rFonts w:ascii="Arial" w:hAnsi="Arial" w:cs="Arial"/>
        </w:rPr>
        <w:t>GGO’s</w:t>
      </w:r>
      <w:r w:rsidR="00703A48" w:rsidRPr="00851192">
        <w:rPr>
          <w:rFonts w:ascii="Arial" w:hAnsi="Arial" w:cs="Arial"/>
        </w:rPr>
        <w:t xml:space="preserve"> to have greater transparency regarding the integration of adopting new effective methods of CSR policy and communication which will continue to generate and add value to civilisation </w:t>
      </w:r>
      <w:sdt>
        <w:sdtPr>
          <w:rPr>
            <w:rFonts w:ascii="Arial" w:hAnsi="Arial" w:cs="Arial"/>
          </w:rPr>
          <w:id w:val="-98963642"/>
          <w:citation/>
        </w:sdtPr>
        <w:sdtEndPr/>
        <w:sdtContent>
          <w:r w:rsidR="00703A48" w:rsidRPr="00851192">
            <w:rPr>
              <w:rFonts w:ascii="Arial" w:hAnsi="Arial" w:cs="Arial"/>
            </w:rPr>
            <w:fldChar w:fldCharType="begin"/>
          </w:r>
          <w:r w:rsidR="00703A48" w:rsidRPr="00851192">
            <w:rPr>
              <w:rFonts w:ascii="Arial" w:hAnsi="Arial" w:cs="Arial"/>
            </w:rPr>
            <w:instrText xml:space="preserve"> CITATION Mar03 \l 2057 </w:instrText>
          </w:r>
          <w:r w:rsidR="00703A48" w:rsidRPr="00851192">
            <w:rPr>
              <w:rFonts w:ascii="Arial" w:hAnsi="Arial" w:cs="Arial"/>
            </w:rPr>
            <w:fldChar w:fldCharType="separate"/>
          </w:r>
          <w:r w:rsidR="002D17EA" w:rsidRPr="00851192">
            <w:rPr>
              <w:rFonts w:ascii="Arial" w:hAnsi="Arial" w:cs="Arial"/>
              <w:noProof/>
            </w:rPr>
            <w:t>(Marrewijk &amp; Werre, 2003)</w:t>
          </w:r>
          <w:r w:rsidR="00703A48" w:rsidRPr="00851192">
            <w:rPr>
              <w:rFonts w:ascii="Arial" w:hAnsi="Arial" w:cs="Arial"/>
            </w:rPr>
            <w:fldChar w:fldCharType="end"/>
          </w:r>
        </w:sdtContent>
      </w:sdt>
      <w:r w:rsidR="00703A48" w:rsidRPr="00851192">
        <w:rPr>
          <w:rFonts w:ascii="Arial" w:hAnsi="Arial" w:cs="Arial"/>
        </w:rPr>
        <w:t xml:space="preserve">. Kotler &amp; Lee (2005) state that </w:t>
      </w:r>
      <w:r w:rsidR="00C551E8" w:rsidRPr="00851192">
        <w:rPr>
          <w:rFonts w:ascii="Arial" w:hAnsi="Arial" w:cs="Arial"/>
        </w:rPr>
        <w:t>CSR</w:t>
      </w:r>
      <w:r w:rsidR="00703A48" w:rsidRPr="00851192">
        <w:rPr>
          <w:rFonts w:ascii="Arial" w:hAnsi="Arial" w:cs="Arial"/>
        </w:rPr>
        <w:t xml:space="preserve"> is a commitment made by an organisation to improve the well-being of communities through the application of business practices whilst utilising corporate resources. The topic of </w:t>
      </w:r>
      <w:r w:rsidR="003703C5" w:rsidRPr="00851192">
        <w:rPr>
          <w:rFonts w:ascii="Arial" w:hAnsi="Arial" w:cs="Arial"/>
        </w:rPr>
        <w:t>CSR</w:t>
      </w:r>
      <w:r w:rsidR="00703A48" w:rsidRPr="00851192">
        <w:rPr>
          <w:rFonts w:ascii="Arial" w:hAnsi="Arial" w:cs="Arial"/>
        </w:rPr>
        <w:t xml:space="preserve"> gained momentum and developed during the late 1950’s and 1960’s whereby Bowen’s (1953) handbook on </w:t>
      </w:r>
      <w:r w:rsidR="00703A48" w:rsidRPr="00851192">
        <w:rPr>
          <w:rFonts w:ascii="Arial" w:hAnsi="Arial" w:cs="Arial"/>
          <w:i/>
        </w:rPr>
        <w:t>‘The Social Responsibility of a Businessman’</w:t>
      </w:r>
      <w:r w:rsidR="00703A48" w:rsidRPr="00851192">
        <w:rPr>
          <w:rFonts w:ascii="Arial" w:hAnsi="Arial" w:cs="Arial"/>
        </w:rPr>
        <w:t xml:space="preserve"> became a catalyst for organisations to revisit organisational behaviour. This created a responsible culture in a way a company behaves towards society. The expansion of conglomerate organisations within the 1970’s and 1980’s lead to a vision of long-term sustainability and an image of positive corporate citizenship communicated to external stakeholders. This was achieved through businesses having a focus towards the strategic management of their stakeholders and </w:t>
      </w:r>
      <w:r w:rsidR="00C551E8" w:rsidRPr="00851192">
        <w:rPr>
          <w:rFonts w:ascii="Arial" w:hAnsi="Arial" w:cs="Arial"/>
        </w:rPr>
        <w:t>communicating</w:t>
      </w:r>
      <w:r w:rsidR="00703A48" w:rsidRPr="00851192">
        <w:rPr>
          <w:rFonts w:ascii="Arial" w:hAnsi="Arial" w:cs="Arial"/>
        </w:rPr>
        <w:t xml:space="preserve"> CSR initiatives and practices </w:t>
      </w:r>
      <w:sdt>
        <w:sdtPr>
          <w:rPr>
            <w:rFonts w:ascii="Arial" w:hAnsi="Arial" w:cs="Arial"/>
          </w:rPr>
          <w:id w:val="-941986941"/>
          <w:citation/>
        </w:sdtPr>
        <w:sdtEndPr/>
        <w:sdtContent>
          <w:r w:rsidR="00703A48" w:rsidRPr="00851192">
            <w:rPr>
              <w:rFonts w:ascii="Arial" w:hAnsi="Arial" w:cs="Arial"/>
            </w:rPr>
            <w:fldChar w:fldCharType="begin"/>
          </w:r>
          <w:r w:rsidR="00703A48" w:rsidRPr="00851192">
            <w:rPr>
              <w:rFonts w:ascii="Arial" w:hAnsi="Arial" w:cs="Arial"/>
            </w:rPr>
            <w:instrText xml:space="preserve"> CITATION Fre84 \l 2057 </w:instrText>
          </w:r>
          <w:r w:rsidR="00703A48" w:rsidRPr="00851192">
            <w:rPr>
              <w:rFonts w:ascii="Arial" w:hAnsi="Arial" w:cs="Arial"/>
            </w:rPr>
            <w:fldChar w:fldCharType="separate"/>
          </w:r>
          <w:r w:rsidR="002D17EA" w:rsidRPr="00851192">
            <w:rPr>
              <w:rFonts w:ascii="Arial" w:hAnsi="Arial" w:cs="Arial"/>
              <w:noProof/>
            </w:rPr>
            <w:t>(Freeman R. E., 1984)</w:t>
          </w:r>
          <w:r w:rsidR="00703A48" w:rsidRPr="00851192">
            <w:rPr>
              <w:rFonts w:ascii="Arial" w:hAnsi="Arial" w:cs="Arial"/>
            </w:rPr>
            <w:fldChar w:fldCharType="end"/>
          </w:r>
        </w:sdtContent>
      </w:sdt>
      <w:r w:rsidR="00703A48" w:rsidRPr="00851192">
        <w:rPr>
          <w:rFonts w:ascii="Arial" w:hAnsi="Arial" w:cs="Arial"/>
        </w:rPr>
        <w:t>. Furthermore, Freeman (2008) also suggests that the main goal of CSR is to create and deliver value to key stakeholder</w:t>
      </w:r>
      <w:r w:rsidR="003703C5" w:rsidRPr="00851192">
        <w:rPr>
          <w:rFonts w:ascii="Arial" w:hAnsi="Arial" w:cs="Arial"/>
        </w:rPr>
        <w:t>s</w:t>
      </w:r>
      <w:r w:rsidR="00703A48" w:rsidRPr="00851192">
        <w:rPr>
          <w:rFonts w:ascii="Arial" w:hAnsi="Arial" w:cs="Arial"/>
        </w:rPr>
        <w:t xml:space="preserve"> </w:t>
      </w:r>
      <w:r w:rsidR="00C551E8" w:rsidRPr="00851192">
        <w:rPr>
          <w:rFonts w:ascii="Arial" w:hAnsi="Arial" w:cs="Arial"/>
        </w:rPr>
        <w:t>within</w:t>
      </w:r>
      <w:r w:rsidR="00703A48" w:rsidRPr="00851192">
        <w:rPr>
          <w:rFonts w:ascii="Arial" w:hAnsi="Arial" w:cs="Arial"/>
        </w:rPr>
        <w:t xml:space="preserve"> a business. Fundamentally, for businesses to be effective in CSR communication, it is vital for businesses to have a solid foundation of CSR policy which considers the sustainable development within society</w:t>
      </w:r>
      <w:r w:rsidR="003703C5" w:rsidRPr="00851192">
        <w:rPr>
          <w:rFonts w:ascii="Arial" w:hAnsi="Arial" w:cs="Arial"/>
        </w:rPr>
        <w:t xml:space="preserve"> </w:t>
      </w:r>
      <w:r w:rsidR="00C551E8" w:rsidRPr="00851192">
        <w:rPr>
          <w:rFonts w:ascii="Arial" w:hAnsi="Arial" w:cs="Arial"/>
        </w:rPr>
        <w:t>includin</w:t>
      </w:r>
      <w:r w:rsidR="003703C5" w:rsidRPr="00851192">
        <w:rPr>
          <w:rFonts w:ascii="Arial" w:hAnsi="Arial" w:cs="Arial"/>
        </w:rPr>
        <w:t>g</w:t>
      </w:r>
      <w:r w:rsidR="00703A48" w:rsidRPr="00851192">
        <w:rPr>
          <w:rFonts w:ascii="Arial" w:hAnsi="Arial" w:cs="Arial"/>
        </w:rPr>
        <w:t xml:space="preserve">; social, economic, and environmental factors. </w:t>
      </w:r>
    </w:p>
    <w:p w14:paraId="24691C2B" w14:textId="4442D31F" w:rsidR="00703A48" w:rsidRPr="00851192" w:rsidRDefault="00DF7255" w:rsidP="00DF7255">
      <w:pPr>
        <w:pStyle w:val="Heading1"/>
        <w:rPr>
          <w:rFonts w:ascii="Arial" w:hAnsi="Arial" w:cs="Arial"/>
          <w:color w:val="auto"/>
        </w:rPr>
      </w:pPr>
      <w:bookmarkStart w:id="15" w:name="_Toc526434216"/>
      <w:r w:rsidRPr="00851192">
        <w:rPr>
          <w:rFonts w:ascii="Arial" w:hAnsi="Arial" w:cs="Arial"/>
          <w:color w:val="auto"/>
        </w:rPr>
        <w:t>2.</w:t>
      </w:r>
      <w:r w:rsidR="00402A71" w:rsidRPr="00851192">
        <w:rPr>
          <w:rFonts w:ascii="Arial" w:hAnsi="Arial" w:cs="Arial"/>
          <w:color w:val="auto"/>
        </w:rPr>
        <w:t>4</w:t>
      </w:r>
      <w:r w:rsidRPr="00851192">
        <w:rPr>
          <w:rFonts w:ascii="Arial" w:hAnsi="Arial" w:cs="Arial"/>
          <w:color w:val="auto"/>
        </w:rPr>
        <w:t xml:space="preserve"> </w:t>
      </w:r>
      <w:r w:rsidR="004859E1" w:rsidRPr="00851192">
        <w:rPr>
          <w:rFonts w:ascii="Arial" w:hAnsi="Arial" w:cs="Arial"/>
          <w:color w:val="auto"/>
        </w:rPr>
        <w:t>A Good Global Citizen through CSR Communication</w:t>
      </w:r>
      <w:bookmarkEnd w:id="15"/>
    </w:p>
    <w:p w14:paraId="0F2B9A4D" w14:textId="6E5D1E2E" w:rsidR="00703A48" w:rsidRPr="00851192" w:rsidRDefault="00C654A5" w:rsidP="00402A71">
      <w:pPr>
        <w:spacing w:line="360" w:lineRule="auto"/>
        <w:jc w:val="both"/>
        <w:rPr>
          <w:rFonts w:ascii="Arial" w:hAnsi="Arial" w:cs="Arial"/>
        </w:rPr>
      </w:pPr>
      <w:r w:rsidRPr="00851192">
        <w:rPr>
          <w:rFonts w:ascii="Arial" w:hAnsi="Arial" w:cs="Arial"/>
        </w:rPr>
        <w:t xml:space="preserve">Goffman’s (1959) </w:t>
      </w:r>
      <w:r w:rsidR="00703A48" w:rsidRPr="00851192">
        <w:rPr>
          <w:rFonts w:ascii="Arial" w:hAnsi="Arial" w:cs="Arial"/>
        </w:rPr>
        <w:t xml:space="preserve">theory on front and back stage behaviour applied to </w:t>
      </w:r>
      <w:r w:rsidRPr="00851192">
        <w:rPr>
          <w:rFonts w:ascii="Arial" w:hAnsi="Arial" w:cs="Arial"/>
        </w:rPr>
        <w:t>GGO’s</w:t>
      </w:r>
      <w:r w:rsidR="00703A48" w:rsidRPr="00851192">
        <w:rPr>
          <w:rFonts w:ascii="Arial" w:hAnsi="Arial" w:cs="Arial"/>
        </w:rPr>
        <w:t xml:space="preserve"> </w:t>
      </w:r>
      <w:r w:rsidRPr="00851192">
        <w:rPr>
          <w:rFonts w:ascii="Arial" w:hAnsi="Arial" w:cs="Arial"/>
        </w:rPr>
        <w:t xml:space="preserve">can identify the true positioning of </w:t>
      </w:r>
      <w:r w:rsidR="00C551E8" w:rsidRPr="00851192">
        <w:rPr>
          <w:rFonts w:ascii="Arial" w:hAnsi="Arial" w:cs="Arial"/>
        </w:rPr>
        <w:t xml:space="preserve">a </w:t>
      </w:r>
      <w:r w:rsidR="003703C5" w:rsidRPr="00851192">
        <w:rPr>
          <w:rFonts w:ascii="Arial" w:hAnsi="Arial" w:cs="Arial"/>
        </w:rPr>
        <w:t>GGO</w:t>
      </w:r>
      <w:r w:rsidRPr="00851192">
        <w:rPr>
          <w:rFonts w:ascii="Arial" w:hAnsi="Arial" w:cs="Arial"/>
        </w:rPr>
        <w:t xml:space="preserve"> on CSR and CSR communication. Firstly, GGO’s are</w:t>
      </w:r>
      <w:r w:rsidR="00703A48" w:rsidRPr="00851192">
        <w:rPr>
          <w:rFonts w:ascii="Arial" w:hAnsi="Arial" w:cs="Arial"/>
        </w:rPr>
        <w:t xml:space="preserve"> recognised for having a set standard of policies which </w:t>
      </w:r>
      <w:r w:rsidR="00C551E8" w:rsidRPr="00851192">
        <w:rPr>
          <w:rFonts w:ascii="Arial" w:hAnsi="Arial" w:cs="Arial"/>
        </w:rPr>
        <w:t>include</w:t>
      </w:r>
      <w:r w:rsidR="00703A48" w:rsidRPr="00851192">
        <w:rPr>
          <w:rFonts w:ascii="Arial" w:hAnsi="Arial" w:cs="Arial"/>
        </w:rPr>
        <w:t xml:space="preserve"> CSR initiatives</w:t>
      </w:r>
      <w:r w:rsidRPr="00851192">
        <w:rPr>
          <w:rFonts w:ascii="Arial" w:hAnsi="Arial" w:cs="Arial"/>
        </w:rPr>
        <w:t>. All GGO’s</w:t>
      </w:r>
      <w:r w:rsidR="00703A48" w:rsidRPr="00851192">
        <w:rPr>
          <w:rFonts w:ascii="Arial" w:hAnsi="Arial" w:cs="Arial"/>
        </w:rPr>
        <w:t xml:space="preserve"> exemplify full </w:t>
      </w:r>
      <w:r w:rsidR="00703A48" w:rsidRPr="00851192">
        <w:rPr>
          <w:rFonts w:ascii="Arial" w:hAnsi="Arial" w:cs="Arial"/>
        </w:rPr>
        <w:lastRenderedPageBreak/>
        <w:t>commitment to</w:t>
      </w:r>
      <w:r w:rsidRPr="00851192">
        <w:rPr>
          <w:rFonts w:ascii="Arial" w:hAnsi="Arial" w:cs="Arial"/>
        </w:rPr>
        <w:t xml:space="preserve"> portraying a good global citizen image to external stakeholders</w:t>
      </w:r>
      <w:r w:rsidR="00703A48" w:rsidRPr="00851192">
        <w:rPr>
          <w:rFonts w:ascii="Arial" w:hAnsi="Arial" w:cs="Arial"/>
        </w:rPr>
        <w:t xml:space="preserve">. </w:t>
      </w:r>
      <w:r w:rsidRPr="00851192">
        <w:rPr>
          <w:rFonts w:ascii="Arial" w:hAnsi="Arial" w:cs="Arial"/>
        </w:rPr>
        <w:t>By portraying a good global citizen image</w:t>
      </w:r>
      <w:r w:rsidR="00703A48" w:rsidRPr="00851192">
        <w:rPr>
          <w:rFonts w:ascii="Arial" w:hAnsi="Arial" w:cs="Arial"/>
        </w:rPr>
        <w:t xml:space="preserve">, </w:t>
      </w:r>
      <w:r w:rsidRPr="00851192">
        <w:rPr>
          <w:rFonts w:ascii="Arial" w:hAnsi="Arial" w:cs="Arial"/>
        </w:rPr>
        <w:t>GGO’s</w:t>
      </w:r>
      <w:r w:rsidR="00703A48" w:rsidRPr="00851192">
        <w:rPr>
          <w:rFonts w:ascii="Arial" w:hAnsi="Arial" w:cs="Arial"/>
        </w:rPr>
        <w:t xml:space="preserve"> </w:t>
      </w:r>
      <w:r w:rsidR="00C551E8" w:rsidRPr="00851192">
        <w:rPr>
          <w:rFonts w:ascii="Arial" w:hAnsi="Arial" w:cs="Arial"/>
        </w:rPr>
        <w:t>can</w:t>
      </w:r>
      <w:r w:rsidR="00703A48" w:rsidRPr="00851192">
        <w:rPr>
          <w:rFonts w:ascii="Arial" w:hAnsi="Arial" w:cs="Arial"/>
        </w:rPr>
        <w:t xml:space="preserve"> enhance corporate identity, brand positioning and decrease incongruence between consumer’s perception of the brand and </w:t>
      </w:r>
      <w:r w:rsidR="003703C5" w:rsidRPr="00851192">
        <w:rPr>
          <w:rFonts w:ascii="Arial" w:hAnsi="Arial" w:cs="Arial"/>
        </w:rPr>
        <w:t xml:space="preserve">increase </w:t>
      </w:r>
      <w:r w:rsidR="00703A48" w:rsidRPr="00851192">
        <w:rPr>
          <w:rFonts w:ascii="Arial" w:hAnsi="Arial" w:cs="Arial"/>
        </w:rPr>
        <w:t>the</w:t>
      </w:r>
      <w:r w:rsidR="00C551E8" w:rsidRPr="00851192">
        <w:rPr>
          <w:rFonts w:ascii="Arial" w:hAnsi="Arial" w:cs="Arial"/>
        </w:rPr>
        <w:t xml:space="preserve"> businesses</w:t>
      </w:r>
      <w:r w:rsidR="00BB2B33" w:rsidRPr="00851192">
        <w:rPr>
          <w:rFonts w:ascii="Arial" w:hAnsi="Arial" w:cs="Arial"/>
        </w:rPr>
        <w:t xml:space="preserve"> desired image. The desired image of a business can be achieved through effective means of CSR communication which are later discussed within the chapter. </w:t>
      </w:r>
    </w:p>
    <w:p w14:paraId="7DF8889E" w14:textId="77777777" w:rsidR="00BB2B33" w:rsidRPr="00851192" w:rsidRDefault="00BB2B33" w:rsidP="00402A71">
      <w:pPr>
        <w:spacing w:line="360" w:lineRule="auto"/>
        <w:jc w:val="both"/>
        <w:rPr>
          <w:rFonts w:ascii="Arial" w:hAnsi="Arial" w:cs="Arial"/>
        </w:rPr>
      </w:pPr>
      <w:r w:rsidRPr="00851192">
        <w:rPr>
          <w:rFonts w:ascii="Arial" w:hAnsi="Arial" w:cs="Arial"/>
        </w:rPr>
        <w:t xml:space="preserve">Even so, </w:t>
      </w:r>
      <w:r w:rsidR="00703A48" w:rsidRPr="00851192">
        <w:rPr>
          <w:rFonts w:ascii="Arial" w:hAnsi="Arial" w:cs="Arial"/>
        </w:rPr>
        <w:t xml:space="preserve">Goffman extends his philosophy on front and back stage performance stating that when businesses are front stage, actions are highly intentional and purposeful shaping the perception of external stakeholders’. The performance carried out by </w:t>
      </w:r>
      <w:r w:rsidRPr="00851192">
        <w:rPr>
          <w:rFonts w:ascii="Arial" w:hAnsi="Arial" w:cs="Arial"/>
        </w:rPr>
        <w:t>GGO’s</w:t>
      </w:r>
      <w:r w:rsidR="00703A48" w:rsidRPr="00851192">
        <w:rPr>
          <w:rFonts w:ascii="Arial" w:hAnsi="Arial" w:cs="Arial"/>
        </w:rPr>
        <w:t xml:space="preserve"> becomes a social script which is shaped by cultural norms and values. </w:t>
      </w:r>
    </w:p>
    <w:p w14:paraId="16CB2449" w14:textId="3D67A344" w:rsidR="00703A48" w:rsidRPr="00851192" w:rsidRDefault="00703A48" w:rsidP="00402A71">
      <w:pPr>
        <w:spacing w:line="360" w:lineRule="auto"/>
        <w:jc w:val="both"/>
        <w:rPr>
          <w:rFonts w:ascii="Arial" w:hAnsi="Arial" w:cs="Arial"/>
        </w:rPr>
      </w:pPr>
      <w:r w:rsidRPr="00851192">
        <w:rPr>
          <w:rFonts w:ascii="Arial" w:hAnsi="Arial" w:cs="Arial"/>
        </w:rPr>
        <w:t xml:space="preserve">In the case example, </w:t>
      </w:r>
      <w:r w:rsidR="003109BA" w:rsidRPr="00851192">
        <w:rPr>
          <w:rFonts w:ascii="Arial" w:hAnsi="Arial" w:cs="Arial"/>
        </w:rPr>
        <w:t>RG</w:t>
      </w:r>
      <w:r w:rsidRPr="00851192">
        <w:rPr>
          <w:rFonts w:ascii="Arial" w:hAnsi="Arial" w:cs="Arial"/>
        </w:rPr>
        <w:t xml:space="preserve"> initiatives and practices </w:t>
      </w:r>
      <w:r w:rsidR="00BB2B33" w:rsidRPr="00851192">
        <w:rPr>
          <w:rFonts w:ascii="Arial" w:hAnsi="Arial" w:cs="Arial"/>
        </w:rPr>
        <w:t>are</w:t>
      </w:r>
      <w:r w:rsidRPr="00851192">
        <w:rPr>
          <w:rFonts w:ascii="Arial" w:hAnsi="Arial" w:cs="Arial"/>
        </w:rPr>
        <w:t xml:space="preserve"> implemented by </w:t>
      </w:r>
      <w:r w:rsidR="00BB2B33" w:rsidRPr="00851192">
        <w:rPr>
          <w:rFonts w:ascii="Arial" w:hAnsi="Arial" w:cs="Arial"/>
        </w:rPr>
        <w:t xml:space="preserve">GGO’s </w:t>
      </w:r>
      <w:r w:rsidR="00C551E8" w:rsidRPr="00851192">
        <w:rPr>
          <w:rFonts w:ascii="Arial" w:hAnsi="Arial" w:cs="Arial"/>
        </w:rPr>
        <w:t>across</w:t>
      </w:r>
      <w:r w:rsidR="00BB2B33" w:rsidRPr="00851192">
        <w:rPr>
          <w:rFonts w:ascii="Arial" w:hAnsi="Arial" w:cs="Arial"/>
        </w:rPr>
        <w:t xml:space="preserve"> online platforms</w:t>
      </w:r>
      <w:r w:rsidRPr="00851192">
        <w:rPr>
          <w:rFonts w:ascii="Arial" w:hAnsi="Arial" w:cs="Arial"/>
        </w:rPr>
        <w:t xml:space="preserve">. </w:t>
      </w:r>
      <w:r w:rsidR="00BB2B33" w:rsidRPr="00851192">
        <w:rPr>
          <w:rFonts w:ascii="Arial" w:hAnsi="Arial" w:cs="Arial"/>
        </w:rPr>
        <w:t>Although</w:t>
      </w:r>
      <w:r w:rsidRPr="00851192">
        <w:rPr>
          <w:rFonts w:ascii="Arial" w:hAnsi="Arial" w:cs="Arial"/>
        </w:rPr>
        <w:t xml:space="preserve"> </w:t>
      </w:r>
      <w:r w:rsidR="00BB2B33" w:rsidRPr="00851192">
        <w:rPr>
          <w:rFonts w:ascii="Arial" w:hAnsi="Arial" w:cs="Arial"/>
        </w:rPr>
        <w:t xml:space="preserve">Goffman’s theory indicates </w:t>
      </w:r>
      <w:r w:rsidRPr="00851192">
        <w:rPr>
          <w:rFonts w:ascii="Arial" w:hAnsi="Arial" w:cs="Arial"/>
        </w:rPr>
        <w:t xml:space="preserve">performance is influenced by cultural values and stakeholder expectation, </w:t>
      </w:r>
      <w:r w:rsidR="00BB2B33" w:rsidRPr="00851192">
        <w:rPr>
          <w:rFonts w:ascii="Arial" w:hAnsi="Arial" w:cs="Arial"/>
        </w:rPr>
        <w:t>the commitment expressed by GGO’s</w:t>
      </w:r>
      <w:r w:rsidRPr="00851192">
        <w:rPr>
          <w:rFonts w:ascii="Arial" w:hAnsi="Arial" w:cs="Arial"/>
        </w:rPr>
        <w:t xml:space="preserve"> </w:t>
      </w:r>
      <w:r w:rsidR="00BB2B33" w:rsidRPr="00851192">
        <w:rPr>
          <w:rFonts w:ascii="Arial" w:hAnsi="Arial" w:cs="Arial"/>
        </w:rPr>
        <w:t>on</w:t>
      </w:r>
      <w:r w:rsidRPr="00851192">
        <w:rPr>
          <w:rFonts w:ascii="Arial" w:hAnsi="Arial" w:cs="Arial"/>
        </w:rPr>
        <w:t xml:space="preserve"> CSR initiatives acro</w:t>
      </w:r>
      <w:r w:rsidR="00BB2B33" w:rsidRPr="00851192">
        <w:rPr>
          <w:rFonts w:ascii="Arial" w:hAnsi="Arial" w:cs="Arial"/>
        </w:rPr>
        <w:t>ss all active markets is an area</w:t>
      </w:r>
      <w:r w:rsidRPr="00851192">
        <w:rPr>
          <w:rFonts w:ascii="Arial" w:hAnsi="Arial" w:cs="Arial"/>
        </w:rPr>
        <w:t xml:space="preserve"> which is still yet to be fully evaluated (Luo et al., 2017). </w:t>
      </w:r>
    </w:p>
    <w:p w14:paraId="36095302" w14:textId="5B84E561" w:rsidR="00C654A5" w:rsidRPr="00851192" w:rsidRDefault="00703A48" w:rsidP="00402A71">
      <w:pPr>
        <w:spacing w:line="360" w:lineRule="auto"/>
        <w:jc w:val="both"/>
        <w:rPr>
          <w:rFonts w:ascii="Arial" w:hAnsi="Arial" w:cs="Arial"/>
        </w:rPr>
      </w:pPr>
      <w:r w:rsidRPr="00851192">
        <w:rPr>
          <w:rFonts w:ascii="Arial" w:hAnsi="Arial" w:cs="Arial"/>
        </w:rPr>
        <w:t xml:space="preserve">Back stage behaviour </w:t>
      </w:r>
      <w:r w:rsidR="00AB34CF" w:rsidRPr="00851192">
        <w:rPr>
          <w:rFonts w:ascii="Arial" w:hAnsi="Arial" w:cs="Arial"/>
        </w:rPr>
        <w:t>regards how</w:t>
      </w:r>
      <w:r w:rsidRPr="00851192">
        <w:rPr>
          <w:rFonts w:ascii="Arial" w:hAnsi="Arial" w:cs="Arial"/>
        </w:rPr>
        <w:t xml:space="preserve"> businesses behave when no one is looking. Goffman believes that how performers behave backstage is different from how they behave when on the world</w:t>
      </w:r>
      <w:r w:rsidR="00AB34CF" w:rsidRPr="00851192">
        <w:rPr>
          <w:rFonts w:ascii="Arial" w:hAnsi="Arial" w:cs="Arial"/>
        </w:rPr>
        <w:t>’s</w:t>
      </w:r>
      <w:r w:rsidRPr="00851192">
        <w:rPr>
          <w:rFonts w:ascii="Arial" w:hAnsi="Arial" w:cs="Arial"/>
        </w:rPr>
        <w:t xml:space="preserve"> stage. The philosophy applied to </w:t>
      </w:r>
      <w:r w:rsidR="00AB34CF" w:rsidRPr="00851192">
        <w:rPr>
          <w:rFonts w:ascii="Arial" w:hAnsi="Arial" w:cs="Arial"/>
        </w:rPr>
        <w:t>GGO’s</w:t>
      </w:r>
      <w:r w:rsidRPr="00851192">
        <w:rPr>
          <w:rFonts w:ascii="Arial" w:hAnsi="Arial" w:cs="Arial"/>
        </w:rPr>
        <w:t xml:space="preserve">, probes the question </w:t>
      </w:r>
      <w:r w:rsidR="00C551E8" w:rsidRPr="00851192">
        <w:rPr>
          <w:rFonts w:ascii="Arial" w:hAnsi="Arial" w:cs="Arial"/>
        </w:rPr>
        <w:t>if</w:t>
      </w:r>
      <w:r w:rsidRPr="00851192">
        <w:rPr>
          <w:rFonts w:ascii="Arial" w:hAnsi="Arial" w:cs="Arial"/>
        </w:rPr>
        <w:t xml:space="preserve"> </w:t>
      </w:r>
      <w:r w:rsidR="00AB34CF" w:rsidRPr="00851192">
        <w:rPr>
          <w:rFonts w:ascii="Arial" w:hAnsi="Arial" w:cs="Arial"/>
        </w:rPr>
        <w:t>GGO’s</w:t>
      </w:r>
      <w:r w:rsidRPr="00851192">
        <w:rPr>
          <w:rFonts w:ascii="Arial" w:hAnsi="Arial" w:cs="Arial"/>
        </w:rPr>
        <w:t xml:space="preserve"> honestly behave the way </w:t>
      </w:r>
      <w:r w:rsidR="00AB34CF" w:rsidRPr="00851192">
        <w:rPr>
          <w:rFonts w:ascii="Arial" w:hAnsi="Arial" w:cs="Arial"/>
        </w:rPr>
        <w:t xml:space="preserve">they effectively communicate themselves through CSR communication and </w:t>
      </w:r>
      <w:r w:rsidR="00C551E8" w:rsidRPr="00851192">
        <w:rPr>
          <w:rFonts w:ascii="Arial" w:hAnsi="Arial" w:cs="Arial"/>
        </w:rPr>
        <w:t>if</w:t>
      </w:r>
      <w:r w:rsidR="00AB34CF" w:rsidRPr="00851192">
        <w:rPr>
          <w:rFonts w:ascii="Arial" w:hAnsi="Arial" w:cs="Arial"/>
        </w:rPr>
        <w:t xml:space="preserve"> CSR regarding PG </w:t>
      </w:r>
      <w:r w:rsidR="00C551E8" w:rsidRPr="00851192">
        <w:rPr>
          <w:rFonts w:ascii="Arial" w:hAnsi="Arial" w:cs="Arial"/>
        </w:rPr>
        <w:t xml:space="preserve">is </w:t>
      </w:r>
      <w:r w:rsidR="00AB34CF" w:rsidRPr="00851192">
        <w:rPr>
          <w:rFonts w:ascii="Arial" w:hAnsi="Arial" w:cs="Arial"/>
        </w:rPr>
        <w:t>being effectively measured</w:t>
      </w:r>
      <w:r w:rsidRPr="00851192">
        <w:rPr>
          <w:rFonts w:ascii="Arial" w:hAnsi="Arial" w:cs="Arial"/>
        </w:rPr>
        <w:t>.</w:t>
      </w:r>
      <w:r w:rsidR="004F5A0B" w:rsidRPr="00851192">
        <w:rPr>
          <w:rFonts w:ascii="Arial" w:hAnsi="Arial" w:cs="Arial"/>
        </w:rPr>
        <w:t xml:space="preserve"> Even so, </w:t>
      </w:r>
      <w:r w:rsidRPr="00851192">
        <w:rPr>
          <w:rFonts w:ascii="Arial" w:hAnsi="Arial" w:cs="Arial"/>
        </w:rPr>
        <w:t xml:space="preserve">back stage behaviour reflects the true selves of </w:t>
      </w:r>
      <w:r w:rsidR="004F5A0B" w:rsidRPr="00851192">
        <w:rPr>
          <w:rFonts w:ascii="Arial" w:hAnsi="Arial" w:cs="Arial"/>
        </w:rPr>
        <w:t>GGO’s</w:t>
      </w:r>
      <w:r w:rsidRPr="00851192">
        <w:rPr>
          <w:rFonts w:ascii="Arial" w:hAnsi="Arial" w:cs="Arial"/>
        </w:rPr>
        <w:t xml:space="preserve"> and core values although willingly knowing the norms and expectations which are anticipated by society</w:t>
      </w:r>
      <w:r w:rsidR="003703C5" w:rsidRPr="00851192">
        <w:rPr>
          <w:rFonts w:ascii="Arial" w:hAnsi="Arial" w:cs="Arial"/>
        </w:rPr>
        <w:t xml:space="preserve"> on</w:t>
      </w:r>
      <w:r w:rsidR="004F5A0B" w:rsidRPr="00851192">
        <w:rPr>
          <w:rFonts w:ascii="Arial" w:hAnsi="Arial" w:cs="Arial"/>
        </w:rPr>
        <w:t xml:space="preserve"> PG</w:t>
      </w:r>
      <w:r w:rsidRPr="00851192">
        <w:rPr>
          <w:rFonts w:ascii="Arial" w:hAnsi="Arial" w:cs="Arial"/>
        </w:rPr>
        <w:t xml:space="preserve">. </w:t>
      </w:r>
    </w:p>
    <w:p w14:paraId="177C3BF5" w14:textId="478C9DE6" w:rsidR="00703A48" w:rsidRPr="00851192" w:rsidRDefault="00703A48" w:rsidP="00402A71">
      <w:pPr>
        <w:spacing w:line="360" w:lineRule="auto"/>
        <w:jc w:val="both"/>
        <w:rPr>
          <w:rFonts w:ascii="Arial" w:hAnsi="Arial" w:cs="Arial"/>
        </w:rPr>
      </w:pPr>
      <w:r w:rsidRPr="00851192">
        <w:rPr>
          <w:rFonts w:ascii="Arial" w:hAnsi="Arial" w:cs="Arial"/>
        </w:rPr>
        <w:t xml:space="preserve">History has shown us that society has called upon for </w:t>
      </w:r>
      <w:r w:rsidR="00497DF5" w:rsidRPr="00851192">
        <w:rPr>
          <w:rFonts w:ascii="Arial" w:hAnsi="Arial" w:cs="Arial"/>
        </w:rPr>
        <w:t>GGO’s</w:t>
      </w:r>
      <w:r w:rsidRPr="00851192">
        <w:rPr>
          <w:rFonts w:ascii="Arial" w:hAnsi="Arial" w:cs="Arial"/>
        </w:rPr>
        <w:t xml:space="preserve"> to change their behaviour and marketing efforts towards the market and for tighter regulations to be implemented </w:t>
      </w:r>
      <w:sdt>
        <w:sdtPr>
          <w:rPr>
            <w:rFonts w:ascii="Arial" w:hAnsi="Arial" w:cs="Arial"/>
          </w:rPr>
          <w:id w:val="-400751249"/>
          <w:citation/>
        </w:sdtPr>
        <w:sdtEndPr/>
        <w:sdtContent>
          <w:r w:rsidRPr="00851192">
            <w:rPr>
              <w:rFonts w:ascii="Arial" w:hAnsi="Arial" w:cs="Arial"/>
            </w:rPr>
            <w:fldChar w:fldCharType="begin"/>
          </w:r>
          <w:r w:rsidRPr="00851192">
            <w:rPr>
              <w:rFonts w:ascii="Arial" w:hAnsi="Arial" w:cs="Arial"/>
            </w:rPr>
            <w:instrText xml:space="preserve"> CITATION Bus17 \l 2057 </w:instrText>
          </w:r>
          <w:r w:rsidRPr="00851192">
            <w:rPr>
              <w:rFonts w:ascii="Arial" w:hAnsi="Arial" w:cs="Arial"/>
            </w:rPr>
            <w:fldChar w:fldCharType="separate"/>
          </w:r>
          <w:r w:rsidR="002D17EA" w:rsidRPr="00851192">
            <w:rPr>
              <w:rFonts w:ascii="Arial" w:hAnsi="Arial" w:cs="Arial"/>
              <w:noProof/>
            </w:rPr>
            <w:t>(Busby, 2017)</w:t>
          </w:r>
          <w:r w:rsidRPr="00851192">
            <w:rPr>
              <w:rFonts w:ascii="Arial" w:hAnsi="Arial" w:cs="Arial"/>
            </w:rPr>
            <w:fldChar w:fldCharType="end"/>
          </w:r>
        </w:sdtContent>
      </w:sdt>
      <w:r w:rsidRPr="00851192">
        <w:rPr>
          <w:rFonts w:ascii="Arial" w:hAnsi="Arial" w:cs="Arial"/>
        </w:rPr>
        <w:t xml:space="preserve">. Gambling operators within the UK sector have been called upon to improve their corporate citizenship and go beyond the requirements set out by legislation to have a greater impact and contribute meaningful value to communities as </w:t>
      </w:r>
      <w:r w:rsidR="00C551E8" w:rsidRPr="00851192">
        <w:rPr>
          <w:rFonts w:ascii="Arial" w:hAnsi="Arial" w:cs="Arial"/>
        </w:rPr>
        <w:t>requested</w:t>
      </w:r>
      <w:r w:rsidRPr="00851192">
        <w:rPr>
          <w:rFonts w:ascii="Arial" w:hAnsi="Arial" w:cs="Arial"/>
        </w:rPr>
        <w:t xml:space="preserve"> by the Gambling Commission (2017). The enquiry set out by the Gambling Commission creates a cause of thinking which examines whether </w:t>
      </w:r>
      <w:r w:rsidR="003703C5" w:rsidRPr="00851192">
        <w:rPr>
          <w:rFonts w:ascii="Arial" w:hAnsi="Arial" w:cs="Arial"/>
        </w:rPr>
        <w:t>GGO’s</w:t>
      </w:r>
      <w:r w:rsidRPr="00851192">
        <w:rPr>
          <w:rFonts w:ascii="Arial" w:hAnsi="Arial" w:cs="Arial"/>
        </w:rPr>
        <w:t xml:space="preserve"> which also operate within the UK are honourably communicating CSR initiatives to stakeholders</w:t>
      </w:r>
      <w:r w:rsidR="00C551E8" w:rsidRPr="00851192">
        <w:rPr>
          <w:rFonts w:ascii="Arial" w:hAnsi="Arial" w:cs="Arial"/>
        </w:rPr>
        <w:t>. Furthermore, another inquiry into</w:t>
      </w:r>
      <w:r w:rsidRPr="00851192">
        <w:rPr>
          <w:rFonts w:ascii="Arial" w:hAnsi="Arial" w:cs="Arial"/>
        </w:rPr>
        <w:t xml:space="preserve"> if CSR communication is just a strategy to create a window dressing effect to achieve strong brand positioning and positive corporate image, hindering external stakeholder perception of corporate vision and missions </w:t>
      </w:r>
      <w:sdt>
        <w:sdtPr>
          <w:rPr>
            <w:rFonts w:ascii="Arial" w:hAnsi="Arial" w:cs="Arial"/>
          </w:rPr>
          <w:id w:val="-1402591236"/>
          <w:citation/>
        </w:sdtPr>
        <w:sdtEndPr/>
        <w:sdtContent>
          <w:r w:rsidRPr="00851192">
            <w:rPr>
              <w:rFonts w:ascii="Arial" w:hAnsi="Arial" w:cs="Arial"/>
            </w:rPr>
            <w:fldChar w:fldCharType="begin"/>
          </w:r>
          <w:r w:rsidRPr="00851192">
            <w:rPr>
              <w:rFonts w:ascii="Arial" w:hAnsi="Arial" w:cs="Arial"/>
            </w:rPr>
            <w:instrText xml:space="preserve"> CITATION Con16 \l 2057 </w:instrText>
          </w:r>
          <w:r w:rsidRPr="00851192">
            <w:rPr>
              <w:rFonts w:ascii="Arial" w:hAnsi="Arial" w:cs="Arial"/>
            </w:rPr>
            <w:fldChar w:fldCharType="separate"/>
          </w:r>
          <w:r w:rsidR="002D17EA" w:rsidRPr="00851192">
            <w:rPr>
              <w:rFonts w:ascii="Arial" w:hAnsi="Arial" w:cs="Arial"/>
              <w:noProof/>
            </w:rPr>
            <w:t>(Connolly, 2016)</w:t>
          </w:r>
          <w:r w:rsidRPr="00851192">
            <w:rPr>
              <w:rFonts w:ascii="Arial" w:hAnsi="Arial" w:cs="Arial"/>
            </w:rPr>
            <w:fldChar w:fldCharType="end"/>
          </w:r>
        </w:sdtContent>
      </w:sdt>
      <w:r w:rsidRPr="00851192">
        <w:rPr>
          <w:rFonts w:ascii="Arial" w:hAnsi="Arial" w:cs="Arial"/>
        </w:rPr>
        <w:t xml:space="preserve">. </w:t>
      </w:r>
    </w:p>
    <w:p w14:paraId="453A3960" w14:textId="00F9AD78" w:rsidR="00703A48" w:rsidRPr="00851192" w:rsidRDefault="00DF7255" w:rsidP="00DF7255">
      <w:pPr>
        <w:pStyle w:val="Heading1"/>
        <w:rPr>
          <w:rFonts w:ascii="Arial" w:hAnsi="Arial" w:cs="Arial"/>
          <w:color w:val="auto"/>
        </w:rPr>
      </w:pPr>
      <w:bookmarkStart w:id="16" w:name="_Toc526434217"/>
      <w:r w:rsidRPr="00851192">
        <w:rPr>
          <w:rFonts w:ascii="Arial" w:hAnsi="Arial" w:cs="Arial"/>
          <w:color w:val="auto"/>
        </w:rPr>
        <w:t>2.</w:t>
      </w:r>
      <w:r w:rsidR="00402A71" w:rsidRPr="00851192">
        <w:rPr>
          <w:rFonts w:ascii="Arial" w:hAnsi="Arial" w:cs="Arial"/>
          <w:color w:val="auto"/>
        </w:rPr>
        <w:t>5</w:t>
      </w:r>
      <w:r w:rsidRPr="00851192">
        <w:rPr>
          <w:rFonts w:ascii="Arial" w:hAnsi="Arial" w:cs="Arial"/>
          <w:color w:val="auto"/>
        </w:rPr>
        <w:t xml:space="preserve"> </w:t>
      </w:r>
      <w:r w:rsidR="00703A48" w:rsidRPr="00851192">
        <w:rPr>
          <w:rFonts w:ascii="Arial" w:hAnsi="Arial" w:cs="Arial"/>
          <w:color w:val="auto"/>
        </w:rPr>
        <w:t>Dimensions of Corporate Social Responsibility</w:t>
      </w:r>
      <w:bookmarkEnd w:id="16"/>
    </w:p>
    <w:p w14:paraId="77767034" w14:textId="564AB068" w:rsidR="00963CDB" w:rsidRPr="00851192" w:rsidRDefault="00963CDB" w:rsidP="00402A71">
      <w:pPr>
        <w:spacing w:line="360" w:lineRule="auto"/>
        <w:jc w:val="both"/>
        <w:rPr>
          <w:rFonts w:ascii="Arial" w:hAnsi="Arial" w:cs="Arial"/>
        </w:rPr>
      </w:pPr>
      <w:r w:rsidRPr="00851192">
        <w:rPr>
          <w:rFonts w:ascii="Arial" w:hAnsi="Arial" w:cs="Arial"/>
        </w:rPr>
        <w:t xml:space="preserve">Economists such as Friedman (1970) firmly believe that the only social responsibility a business has is to increase shareholders wealth so long as all operations stay within the rules </w:t>
      </w:r>
      <w:r w:rsidRPr="00851192">
        <w:rPr>
          <w:rFonts w:ascii="Arial" w:hAnsi="Arial" w:cs="Arial"/>
        </w:rPr>
        <w:lastRenderedPageBreak/>
        <w:t xml:space="preserve">of the game. </w:t>
      </w:r>
      <w:r w:rsidR="00D338AC" w:rsidRPr="00851192">
        <w:rPr>
          <w:rFonts w:ascii="Arial" w:hAnsi="Arial" w:cs="Arial"/>
        </w:rPr>
        <w:t xml:space="preserve">However, Freeman (1984) believes that businesses can endure profits through being socially responsible within society. </w:t>
      </w:r>
      <w:r w:rsidRPr="00851192">
        <w:rPr>
          <w:rFonts w:ascii="Arial" w:hAnsi="Arial" w:cs="Arial"/>
        </w:rPr>
        <w:t xml:space="preserve">Carroll’s (1991) model of </w:t>
      </w:r>
      <w:r w:rsidRPr="00851192">
        <w:rPr>
          <w:rFonts w:ascii="Arial" w:hAnsi="Arial" w:cs="Arial"/>
          <w:i/>
        </w:rPr>
        <w:t xml:space="preserve">‘pyramid of corporate social responsibility’ </w:t>
      </w:r>
      <w:r w:rsidRPr="00851192">
        <w:rPr>
          <w:rFonts w:ascii="Arial" w:hAnsi="Arial" w:cs="Arial"/>
          <w:b/>
          <w:i/>
        </w:rPr>
        <w:t>(</w:t>
      </w:r>
      <w:r w:rsidR="001516D4" w:rsidRPr="00851192">
        <w:rPr>
          <w:rFonts w:ascii="Arial" w:hAnsi="Arial" w:cs="Arial"/>
          <w:b/>
          <w:i/>
        </w:rPr>
        <w:t>Figure 2</w:t>
      </w:r>
      <w:r w:rsidRPr="00851192">
        <w:rPr>
          <w:rFonts w:ascii="Arial" w:hAnsi="Arial" w:cs="Arial"/>
          <w:b/>
          <w:i/>
        </w:rPr>
        <w:t>)</w:t>
      </w:r>
      <w:r w:rsidR="00D338AC" w:rsidRPr="00851192">
        <w:rPr>
          <w:rFonts w:ascii="Arial" w:hAnsi="Arial" w:cs="Arial"/>
          <w:b/>
          <w:i/>
        </w:rPr>
        <w:t xml:space="preserve"> </w:t>
      </w:r>
      <w:r w:rsidR="00D338AC" w:rsidRPr="00851192">
        <w:rPr>
          <w:rFonts w:ascii="Arial" w:hAnsi="Arial" w:cs="Arial"/>
        </w:rPr>
        <w:t>demonstrates the types of responsibilities a business can carry through which is closely aligned with Freeman’s philosophy on social responsibility and business performance</w:t>
      </w:r>
      <w:r w:rsidRPr="00851192">
        <w:rPr>
          <w:rFonts w:ascii="Arial" w:hAnsi="Arial" w:cs="Arial"/>
        </w:rPr>
        <w:t xml:space="preserve">. </w:t>
      </w:r>
      <w:r w:rsidR="00D338AC" w:rsidRPr="00851192">
        <w:rPr>
          <w:rFonts w:ascii="Arial" w:hAnsi="Arial" w:cs="Arial"/>
        </w:rPr>
        <w:t>Applied to GGO’s, a</w:t>
      </w:r>
      <w:r w:rsidRPr="00851192">
        <w:rPr>
          <w:rFonts w:ascii="Arial" w:hAnsi="Arial" w:cs="Arial"/>
        </w:rPr>
        <w:t xml:space="preserve">n assumption that </w:t>
      </w:r>
      <w:r w:rsidR="00D338AC" w:rsidRPr="00851192">
        <w:rPr>
          <w:rFonts w:ascii="Arial" w:hAnsi="Arial" w:cs="Arial"/>
        </w:rPr>
        <w:t>some operators do</w:t>
      </w:r>
      <w:r w:rsidRPr="00851192">
        <w:rPr>
          <w:rFonts w:ascii="Arial" w:hAnsi="Arial" w:cs="Arial"/>
        </w:rPr>
        <w:t xml:space="preserve"> bring philanthropic benefits to societies around the world</w:t>
      </w:r>
      <w:r w:rsidR="00B60437" w:rsidRPr="00851192">
        <w:rPr>
          <w:rFonts w:ascii="Arial" w:hAnsi="Arial" w:cs="Arial"/>
        </w:rPr>
        <w:t xml:space="preserve"> in countries such as Kenya and the UK</w:t>
      </w:r>
      <w:r w:rsidR="00791CB9" w:rsidRPr="00851192">
        <w:rPr>
          <w:rFonts w:ascii="Arial" w:hAnsi="Arial" w:cs="Arial"/>
        </w:rPr>
        <w:t>. This is done</w:t>
      </w:r>
      <w:r w:rsidRPr="00851192">
        <w:rPr>
          <w:rFonts w:ascii="Arial" w:hAnsi="Arial" w:cs="Arial"/>
        </w:rPr>
        <w:t xml:space="preserve"> through effective CSR initiatives such as</w:t>
      </w:r>
      <w:r w:rsidR="00B60437" w:rsidRPr="00851192">
        <w:rPr>
          <w:rFonts w:ascii="Arial" w:hAnsi="Arial" w:cs="Arial"/>
        </w:rPr>
        <w:t xml:space="preserve"> contributions to community development programmes and</w:t>
      </w:r>
      <w:r w:rsidRPr="00851192">
        <w:rPr>
          <w:rFonts w:ascii="Arial" w:hAnsi="Arial" w:cs="Arial"/>
        </w:rPr>
        <w:t xml:space="preserve"> the funding of </w:t>
      </w:r>
      <w:r w:rsidR="00D338AC" w:rsidRPr="00851192">
        <w:rPr>
          <w:rFonts w:ascii="Arial" w:hAnsi="Arial" w:cs="Arial"/>
        </w:rPr>
        <w:t>PG</w:t>
      </w:r>
      <w:r w:rsidRPr="00851192">
        <w:rPr>
          <w:rFonts w:ascii="Arial" w:hAnsi="Arial" w:cs="Arial"/>
        </w:rPr>
        <w:t xml:space="preserve"> research which entail has an impact within society.</w:t>
      </w:r>
      <w:r w:rsidR="00D338AC" w:rsidRPr="00851192">
        <w:rPr>
          <w:rFonts w:ascii="Arial" w:hAnsi="Arial" w:cs="Arial"/>
        </w:rPr>
        <w:t xml:space="preserve"> Although</w:t>
      </w:r>
      <w:r w:rsidR="00791CB9" w:rsidRPr="00851192">
        <w:rPr>
          <w:rFonts w:ascii="Arial" w:hAnsi="Arial" w:cs="Arial"/>
        </w:rPr>
        <w:t>,</w:t>
      </w:r>
      <w:r w:rsidR="00D338AC" w:rsidRPr="00851192">
        <w:rPr>
          <w:rFonts w:ascii="Arial" w:hAnsi="Arial" w:cs="Arial"/>
        </w:rPr>
        <w:t xml:space="preserve"> the extent of funding PG within the UK could be questioned with the donation by GGO’s being less than £10 million to an issue which is costing the UK tax payer £1.2 Billion </w:t>
      </w:r>
      <w:r w:rsidR="00D338AC" w:rsidRPr="00851192">
        <w:rPr>
          <w:rFonts w:ascii="Arial" w:hAnsi="Arial" w:cs="Arial"/>
          <w:noProof/>
        </w:rPr>
        <w:t>(Davies, 2017)</w:t>
      </w:r>
      <w:r w:rsidR="00D338AC" w:rsidRPr="00851192">
        <w:rPr>
          <w:rFonts w:ascii="Arial" w:hAnsi="Arial" w:cs="Arial"/>
        </w:rPr>
        <w:t xml:space="preserve">. </w:t>
      </w:r>
    </w:p>
    <w:p w14:paraId="15BB62E5" w14:textId="77777777" w:rsidR="00963CDB" w:rsidRPr="00851192" w:rsidRDefault="00963CDB" w:rsidP="00402A71">
      <w:pPr>
        <w:spacing w:line="360" w:lineRule="auto"/>
        <w:jc w:val="center"/>
        <w:rPr>
          <w:rFonts w:ascii="Arial" w:hAnsi="Arial" w:cs="Arial"/>
        </w:rPr>
      </w:pPr>
      <w:r w:rsidRPr="00851192">
        <w:rPr>
          <w:rFonts w:ascii="Arial" w:hAnsi="Arial" w:cs="Arial"/>
          <w:noProof/>
          <w:lang w:eastAsia="en-GB"/>
        </w:rPr>
        <w:drawing>
          <wp:inline distT="0" distB="0" distL="0" distR="0" wp14:anchorId="7BF95008" wp14:editId="26803194">
            <wp:extent cx="2686425" cy="3238952"/>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SR Pyramid.PNG"/>
                    <pic:cNvPicPr/>
                  </pic:nvPicPr>
                  <pic:blipFill>
                    <a:blip r:embed="rId10">
                      <a:extLst>
                        <a:ext uri="{28A0092B-C50C-407E-A947-70E740481C1C}">
                          <a14:useLocalDpi xmlns:a14="http://schemas.microsoft.com/office/drawing/2010/main" val="0"/>
                        </a:ext>
                      </a:extLst>
                    </a:blip>
                    <a:stretch>
                      <a:fillRect/>
                    </a:stretch>
                  </pic:blipFill>
                  <pic:spPr>
                    <a:xfrm>
                      <a:off x="0" y="0"/>
                      <a:ext cx="2686425" cy="3238952"/>
                    </a:xfrm>
                    <a:prstGeom prst="rect">
                      <a:avLst/>
                    </a:prstGeom>
                  </pic:spPr>
                </pic:pic>
              </a:graphicData>
            </a:graphic>
          </wp:inline>
        </w:drawing>
      </w:r>
    </w:p>
    <w:p w14:paraId="50CDA32A" w14:textId="5D044CF4" w:rsidR="00963CDB" w:rsidRPr="00851192" w:rsidRDefault="00963CDB" w:rsidP="00402A71">
      <w:pPr>
        <w:spacing w:line="360" w:lineRule="auto"/>
        <w:jc w:val="center"/>
        <w:rPr>
          <w:rFonts w:ascii="Arial" w:hAnsi="Arial" w:cs="Arial"/>
          <w:noProof/>
        </w:rPr>
      </w:pPr>
      <w:r w:rsidRPr="00851192">
        <w:rPr>
          <w:rFonts w:ascii="Arial" w:hAnsi="Arial" w:cs="Arial"/>
          <w:noProof/>
        </w:rPr>
        <w:t>(</w:t>
      </w:r>
      <w:r w:rsidR="001516D4" w:rsidRPr="00851192">
        <w:rPr>
          <w:rFonts w:ascii="Arial" w:hAnsi="Arial" w:cs="Arial"/>
          <w:b/>
          <w:i/>
          <w:noProof/>
        </w:rPr>
        <w:t>Figure 2</w:t>
      </w:r>
      <w:r w:rsidRPr="00851192">
        <w:rPr>
          <w:rFonts w:ascii="Arial" w:hAnsi="Arial" w:cs="Arial"/>
          <w:noProof/>
        </w:rPr>
        <w:t>; Pinkston &amp; Carroll, 1996)</w:t>
      </w:r>
    </w:p>
    <w:p w14:paraId="556AA630" w14:textId="77777777" w:rsidR="00963CDB" w:rsidRPr="00851192" w:rsidRDefault="00963CDB" w:rsidP="00402A71">
      <w:pPr>
        <w:spacing w:line="360" w:lineRule="auto"/>
        <w:jc w:val="both"/>
        <w:rPr>
          <w:rFonts w:ascii="Arial" w:hAnsi="Arial" w:cs="Arial"/>
          <w:b/>
          <w:u w:val="single"/>
        </w:rPr>
      </w:pPr>
    </w:p>
    <w:p w14:paraId="201FEEAE" w14:textId="39CBEC42" w:rsidR="000C2E03" w:rsidRPr="00851192" w:rsidRDefault="001D5F95" w:rsidP="00402A71">
      <w:pPr>
        <w:spacing w:line="360" w:lineRule="auto"/>
        <w:jc w:val="both"/>
        <w:rPr>
          <w:rFonts w:ascii="Arial" w:hAnsi="Arial" w:cs="Arial"/>
        </w:rPr>
      </w:pPr>
      <w:r w:rsidRPr="00851192">
        <w:rPr>
          <w:rFonts w:ascii="Arial" w:hAnsi="Arial" w:cs="Arial"/>
        </w:rPr>
        <w:t xml:space="preserve">Even so, the importance and demand for CSR reporting by governments and stock </w:t>
      </w:r>
      <w:r w:rsidR="00791CB9" w:rsidRPr="00851192">
        <w:rPr>
          <w:rFonts w:ascii="Arial" w:hAnsi="Arial" w:cs="Arial"/>
        </w:rPr>
        <w:t>market</w:t>
      </w:r>
      <w:r w:rsidRPr="00851192">
        <w:rPr>
          <w:rFonts w:ascii="Arial" w:hAnsi="Arial" w:cs="Arial"/>
        </w:rPr>
        <w:t xml:space="preserve"> upon the gambling industry has become important due to the growing external pressures such as social and environmental injustices which has led to high profile corporate scandals </w:t>
      </w:r>
      <w:r w:rsidR="00123147" w:rsidRPr="00851192">
        <w:rPr>
          <w:rFonts w:ascii="Arial" w:hAnsi="Arial" w:cs="Arial"/>
          <w:noProof/>
        </w:rPr>
        <w:t>(Young &amp; Marais, 2012; Culcasi et al., 2010)</w:t>
      </w:r>
      <w:r w:rsidRPr="00851192">
        <w:rPr>
          <w:rFonts w:ascii="Arial" w:hAnsi="Arial" w:cs="Arial"/>
        </w:rPr>
        <w:t xml:space="preserve">. </w:t>
      </w:r>
    </w:p>
    <w:p w14:paraId="1D2A4FDB" w14:textId="035553F6" w:rsidR="006D5B64" w:rsidRPr="00851192" w:rsidRDefault="00DF7255" w:rsidP="00DF7255">
      <w:pPr>
        <w:pStyle w:val="Heading1"/>
        <w:rPr>
          <w:rFonts w:ascii="Arial" w:hAnsi="Arial" w:cs="Arial"/>
          <w:color w:val="auto"/>
        </w:rPr>
      </w:pPr>
      <w:bookmarkStart w:id="17" w:name="_Toc526434218"/>
      <w:r w:rsidRPr="00851192">
        <w:rPr>
          <w:rFonts w:ascii="Arial" w:hAnsi="Arial" w:cs="Arial"/>
          <w:color w:val="auto"/>
        </w:rPr>
        <w:t>2.</w:t>
      </w:r>
      <w:r w:rsidR="00402A71" w:rsidRPr="00851192">
        <w:rPr>
          <w:rFonts w:ascii="Arial" w:hAnsi="Arial" w:cs="Arial"/>
          <w:color w:val="auto"/>
        </w:rPr>
        <w:t>6</w:t>
      </w:r>
      <w:r w:rsidRPr="00851192">
        <w:rPr>
          <w:rFonts w:ascii="Arial" w:hAnsi="Arial" w:cs="Arial"/>
          <w:color w:val="auto"/>
        </w:rPr>
        <w:t xml:space="preserve"> </w:t>
      </w:r>
      <w:r w:rsidR="006D5B64" w:rsidRPr="00851192">
        <w:rPr>
          <w:rFonts w:ascii="Arial" w:hAnsi="Arial" w:cs="Arial"/>
          <w:color w:val="auto"/>
        </w:rPr>
        <w:t>Stakeholder Theory</w:t>
      </w:r>
      <w:bookmarkEnd w:id="17"/>
    </w:p>
    <w:p w14:paraId="7B4633AF" w14:textId="77777777" w:rsidR="006D5B64" w:rsidRPr="00851192" w:rsidRDefault="006D5B64" w:rsidP="00402A71">
      <w:pPr>
        <w:spacing w:line="360" w:lineRule="auto"/>
        <w:jc w:val="both"/>
        <w:rPr>
          <w:rFonts w:ascii="Arial" w:hAnsi="Arial" w:cs="Arial"/>
        </w:rPr>
      </w:pPr>
      <w:proofErr w:type="spellStart"/>
      <w:r w:rsidRPr="00851192">
        <w:rPr>
          <w:rFonts w:ascii="Arial" w:hAnsi="Arial" w:cs="Arial"/>
        </w:rPr>
        <w:t>Mitroff</w:t>
      </w:r>
      <w:proofErr w:type="spellEnd"/>
      <w:r w:rsidRPr="00851192">
        <w:rPr>
          <w:rFonts w:ascii="Arial" w:hAnsi="Arial" w:cs="Arial"/>
        </w:rPr>
        <w:t xml:space="preserve"> (1983) first introduced the concept of stakeholder theory of organisational management and business ethics with Freeman (1984) expanding the definition to organisations addressing </w:t>
      </w:r>
      <w:r w:rsidRPr="00851192">
        <w:rPr>
          <w:rFonts w:ascii="Arial" w:hAnsi="Arial" w:cs="Arial"/>
        </w:rPr>
        <w:lastRenderedPageBreak/>
        <w:t xml:space="preserve">the values and morality of their operations. Furthermore, Freeman (1984) discusses that stakeholder theory identifies groups of stakeholders within an organisation being either internal or external; and recommends the way organisations should manage key groups. </w:t>
      </w:r>
      <w:proofErr w:type="spellStart"/>
      <w:r w:rsidRPr="00851192">
        <w:rPr>
          <w:rFonts w:ascii="Arial" w:hAnsi="Arial" w:cs="Arial"/>
        </w:rPr>
        <w:t>Rendtorff</w:t>
      </w:r>
      <w:proofErr w:type="spellEnd"/>
      <w:r w:rsidRPr="00851192">
        <w:rPr>
          <w:rFonts w:ascii="Arial" w:hAnsi="Arial" w:cs="Arial"/>
        </w:rPr>
        <w:t xml:space="preserve"> (2009) identifies stakeholders as a person or group of people with an interest in an organisation. </w:t>
      </w:r>
    </w:p>
    <w:p w14:paraId="4F39CA71" w14:textId="191EBFA4" w:rsidR="006D5B64" w:rsidRPr="00851192" w:rsidRDefault="006D5B64" w:rsidP="00402A71">
      <w:pPr>
        <w:spacing w:line="360" w:lineRule="auto"/>
        <w:jc w:val="both"/>
        <w:rPr>
          <w:rFonts w:ascii="Arial" w:hAnsi="Arial" w:cs="Arial"/>
        </w:rPr>
      </w:pPr>
      <w:r w:rsidRPr="00851192">
        <w:rPr>
          <w:rFonts w:ascii="Arial" w:hAnsi="Arial" w:cs="Arial"/>
        </w:rPr>
        <w:t>An adapted stakeholder map taken from Freeman (1998), illustrated in (</w:t>
      </w:r>
      <w:r w:rsidR="00F815EC" w:rsidRPr="00851192">
        <w:rPr>
          <w:rFonts w:ascii="Arial" w:hAnsi="Arial" w:cs="Arial"/>
          <w:b/>
          <w:i/>
        </w:rPr>
        <w:t>Figure 2.1</w:t>
      </w:r>
      <w:r w:rsidRPr="00851192">
        <w:rPr>
          <w:rFonts w:ascii="Arial" w:hAnsi="Arial" w:cs="Arial"/>
        </w:rPr>
        <w:t xml:space="preserve">) provides an example of a </w:t>
      </w:r>
      <w:r w:rsidR="003703C5" w:rsidRPr="00851192">
        <w:rPr>
          <w:rFonts w:ascii="Arial" w:hAnsi="Arial" w:cs="Arial"/>
        </w:rPr>
        <w:t>GGO’s</w:t>
      </w:r>
      <w:r w:rsidRPr="00851192">
        <w:rPr>
          <w:rFonts w:ascii="Arial" w:hAnsi="Arial" w:cs="Arial"/>
        </w:rPr>
        <w:t xml:space="preserve"> internal and external stakeholders which within today’s modern society </w:t>
      </w:r>
      <w:r w:rsidR="00035D3E" w:rsidRPr="00851192">
        <w:rPr>
          <w:rFonts w:ascii="Arial" w:hAnsi="Arial" w:cs="Arial"/>
        </w:rPr>
        <w:t>is</w:t>
      </w:r>
      <w:r w:rsidRPr="00851192">
        <w:rPr>
          <w:rFonts w:ascii="Arial" w:hAnsi="Arial" w:cs="Arial"/>
        </w:rPr>
        <w:t xml:space="preserve"> valued a</w:t>
      </w:r>
      <w:r w:rsidR="00791CB9" w:rsidRPr="00851192">
        <w:rPr>
          <w:rFonts w:ascii="Arial" w:hAnsi="Arial" w:cs="Arial"/>
        </w:rPr>
        <w:t>s</w:t>
      </w:r>
      <w:r w:rsidRPr="00851192">
        <w:rPr>
          <w:rFonts w:ascii="Arial" w:hAnsi="Arial" w:cs="Arial"/>
        </w:rPr>
        <w:t xml:space="preserve"> important. This is supposed to the traditional thought process of shareholders opinion being the only true form of value and importance (</w:t>
      </w:r>
      <w:proofErr w:type="spellStart"/>
      <w:r w:rsidRPr="00851192">
        <w:rPr>
          <w:rFonts w:ascii="Arial" w:hAnsi="Arial" w:cs="Arial"/>
        </w:rPr>
        <w:t>Blanpain</w:t>
      </w:r>
      <w:proofErr w:type="spellEnd"/>
      <w:r w:rsidRPr="00851192">
        <w:rPr>
          <w:rFonts w:ascii="Arial" w:hAnsi="Arial" w:cs="Arial"/>
        </w:rPr>
        <w:t xml:space="preserve">, 2010). Even so, the development of stakeholder theory has advanced to an </w:t>
      </w:r>
      <w:r w:rsidR="00791CB9" w:rsidRPr="00851192">
        <w:rPr>
          <w:rFonts w:ascii="Arial" w:hAnsi="Arial" w:cs="Arial"/>
        </w:rPr>
        <w:t>extent which stakeholder opinion</w:t>
      </w:r>
      <w:r w:rsidRPr="00851192">
        <w:rPr>
          <w:rFonts w:ascii="Arial" w:hAnsi="Arial" w:cs="Arial"/>
        </w:rPr>
        <w:t xml:space="preserve"> </w:t>
      </w:r>
      <w:r w:rsidR="00791CB9" w:rsidRPr="00851192">
        <w:rPr>
          <w:rFonts w:ascii="Arial" w:hAnsi="Arial" w:cs="Arial"/>
        </w:rPr>
        <w:t>is</w:t>
      </w:r>
      <w:r w:rsidRPr="00851192">
        <w:rPr>
          <w:rFonts w:ascii="Arial" w:hAnsi="Arial" w:cs="Arial"/>
        </w:rPr>
        <w:t xml:space="preserve"> highly valued and managed in an effective way. This is defined as the normative theory in which an examination of stakeholders managed by organisations consider the current conditions of important groups and active CSR initiatives (Freeman &amp; Gilbert, 1998). </w:t>
      </w:r>
    </w:p>
    <w:p w14:paraId="77183347" w14:textId="77777777" w:rsidR="006D5B64" w:rsidRPr="00851192" w:rsidRDefault="006D5B64" w:rsidP="00402A71">
      <w:pPr>
        <w:spacing w:line="360" w:lineRule="auto"/>
        <w:jc w:val="center"/>
        <w:rPr>
          <w:rFonts w:ascii="Arial" w:hAnsi="Arial" w:cs="Arial"/>
        </w:rPr>
      </w:pPr>
      <w:r w:rsidRPr="00851192">
        <w:rPr>
          <w:rFonts w:ascii="Arial" w:hAnsi="Arial" w:cs="Arial"/>
          <w:noProof/>
          <w:lang w:eastAsia="en-GB"/>
        </w:rPr>
        <w:drawing>
          <wp:inline distT="0" distB="0" distL="0" distR="0" wp14:anchorId="05BEFBD2" wp14:editId="0ACF69E7">
            <wp:extent cx="4583875" cy="3209118"/>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takehold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588985" cy="3212696"/>
                    </a:xfrm>
                    <a:prstGeom prst="rect">
                      <a:avLst/>
                    </a:prstGeom>
                  </pic:spPr>
                </pic:pic>
              </a:graphicData>
            </a:graphic>
          </wp:inline>
        </w:drawing>
      </w:r>
    </w:p>
    <w:p w14:paraId="76743003" w14:textId="644AA058" w:rsidR="006D5B64" w:rsidRPr="00851192" w:rsidRDefault="006D5B64" w:rsidP="00402A71">
      <w:pPr>
        <w:spacing w:line="360" w:lineRule="auto"/>
        <w:jc w:val="center"/>
        <w:rPr>
          <w:rFonts w:ascii="Arial" w:hAnsi="Arial" w:cs="Arial"/>
        </w:rPr>
      </w:pPr>
      <w:r w:rsidRPr="00851192">
        <w:rPr>
          <w:rFonts w:ascii="Arial" w:hAnsi="Arial" w:cs="Arial"/>
        </w:rPr>
        <w:t>(</w:t>
      </w:r>
      <w:r w:rsidRPr="00851192">
        <w:rPr>
          <w:rFonts w:ascii="Arial" w:hAnsi="Arial" w:cs="Arial"/>
          <w:b/>
          <w:i/>
        </w:rPr>
        <w:t xml:space="preserve">Figure </w:t>
      </w:r>
      <w:r w:rsidR="00F815EC" w:rsidRPr="00851192">
        <w:rPr>
          <w:rFonts w:ascii="Arial" w:hAnsi="Arial" w:cs="Arial"/>
          <w:b/>
          <w:i/>
        </w:rPr>
        <w:t>2.1</w:t>
      </w:r>
      <w:r w:rsidRPr="00851192">
        <w:rPr>
          <w:rFonts w:ascii="Arial" w:hAnsi="Arial" w:cs="Arial"/>
          <w:b/>
        </w:rPr>
        <w:t>)</w:t>
      </w:r>
    </w:p>
    <w:p w14:paraId="6262E1CB" w14:textId="308E874A" w:rsidR="006D5B64" w:rsidRPr="00851192" w:rsidRDefault="006D5B64" w:rsidP="00402A71">
      <w:pPr>
        <w:spacing w:line="360" w:lineRule="auto"/>
        <w:jc w:val="both"/>
        <w:rPr>
          <w:rFonts w:ascii="Arial" w:hAnsi="Arial" w:cs="Arial"/>
        </w:rPr>
      </w:pPr>
      <w:r w:rsidRPr="00851192">
        <w:rPr>
          <w:rFonts w:ascii="Arial" w:hAnsi="Arial" w:cs="Arial"/>
        </w:rPr>
        <w:t>The effective implementation of CSR communication and management of stakeholder is known as a stakeholder strategy</w:t>
      </w:r>
      <w:r w:rsidR="00791CB9" w:rsidRPr="00851192">
        <w:rPr>
          <w:rFonts w:ascii="Arial" w:hAnsi="Arial" w:cs="Arial"/>
        </w:rPr>
        <w:t>. This</w:t>
      </w:r>
      <w:r w:rsidRPr="00851192">
        <w:rPr>
          <w:rFonts w:ascii="Arial" w:hAnsi="Arial" w:cs="Arial"/>
        </w:rPr>
        <w:t xml:space="preserve"> contemplates a resource-based view approach alongside a market-based view. The normative theory also takes into account external forces such as the political and economic landscape which may have an impact on current stakeholders and CSR initiatives</w:t>
      </w:r>
      <w:r w:rsidR="00791CB9" w:rsidRPr="00851192">
        <w:rPr>
          <w:rFonts w:ascii="Arial" w:hAnsi="Arial" w:cs="Arial"/>
        </w:rPr>
        <w:t xml:space="preserve"> </w:t>
      </w:r>
      <w:sdt>
        <w:sdtPr>
          <w:rPr>
            <w:rFonts w:ascii="Arial" w:hAnsi="Arial" w:cs="Arial"/>
          </w:rPr>
          <w:id w:val="-1699776121"/>
          <w:citation/>
        </w:sdtPr>
        <w:sdtEndPr/>
        <w:sdtContent>
          <w:r w:rsidR="00791CB9" w:rsidRPr="00851192">
            <w:rPr>
              <w:rFonts w:ascii="Arial" w:hAnsi="Arial" w:cs="Arial"/>
            </w:rPr>
            <w:fldChar w:fldCharType="begin"/>
          </w:r>
          <w:r w:rsidR="00791CB9" w:rsidRPr="00851192">
            <w:rPr>
              <w:rFonts w:ascii="Arial" w:hAnsi="Arial" w:cs="Arial"/>
            </w:rPr>
            <w:instrText xml:space="preserve"> CITATION Eps08 \l 2057 </w:instrText>
          </w:r>
          <w:r w:rsidR="00791CB9" w:rsidRPr="00851192">
            <w:rPr>
              <w:rFonts w:ascii="Arial" w:hAnsi="Arial" w:cs="Arial"/>
            </w:rPr>
            <w:fldChar w:fldCharType="separate"/>
          </w:r>
          <w:r w:rsidR="002D17EA" w:rsidRPr="00851192">
            <w:rPr>
              <w:rFonts w:ascii="Arial" w:hAnsi="Arial" w:cs="Arial"/>
              <w:noProof/>
            </w:rPr>
            <w:t>(Epstein, 2008)</w:t>
          </w:r>
          <w:r w:rsidR="00791CB9" w:rsidRPr="00851192">
            <w:rPr>
              <w:rFonts w:ascii="Arial" w:hAnsi="Arial" w:cs="Arial"/>
            </w:rPr>
            <w:fldChar w:fldCharType="end"/>
          </w:r>
        </w:sdtContent>
      </w:sdt>
      <w:r w:rsidRPr="00851192">
        <w:rPr>
          <w:rFonts w:ascii="Arial" w:hAnsi="Arial" w:cs="Arial"/>
        </w:rPr>
        <w:t xml:space="preserve">. Donaldson &amp; Preston (1995) argue that stakeholder theory has been developed into an integrated concept which also considers a descriptive and instrumental approach. The descriptive approach highlighted by Boucher &amp; </w:t>
      </w:r>
      <w:proofErr w:type="spellStart"/>
      <w:r w:rsidRPr="00851192">
        <w:rPr>
          <w:rFonts w:ascii="Arial" w:hAnsi="Arial" w:cs="Arial"/>
        </w:rPr>
        <w:lastRenderedPageBreak/>
        <w:t>Rendtorff</w:t>
      </w:r>
      <w:proofErr w:type="spellEnd"/>
      <w:r w:rsidRPr="00851192">
        <w:rPr>
          <w:rFonts w:ascii="Arial" w:hAnsi="Arial" w:cs="Arial"/>
        </w:rPr>
        <w:t xml:space="preserve"> (2016) recognises the traits and characteristics obtained by important stakeholders alongside how an organisation behaves. </w:t>
      </w:r>
    </w:p>
    <w:p w14:paraId="3356EA38" w14:textId="5AF16ADD" w:rsidR="006D5B64" w:rsidRPr="00851192" w:rsidRDefault="006D5B64" w:rsidP="00402A71">
      <w:pPr>
        <w:spacing w:line="360" w:lineRule="auto"/>
        <w:jc w:val="both"/>
        <w:rPr>
          <w:rFonts w:ascii="Arial" w:hAnsi="Arial" w:cs="Arial"/>
        </w:rPr>
      </w:pPr>
      <w:r w:rsidRPr="00851192">
        <w:rPr>
          <w:rFonts w:ascii="Arial" w:hAnsi="Arial" w:cs="Arial"/>
        </w:rPr>
        <w:t>Moreover, the instrumental approach utilises data which identifies the relationships and effective management between different groups of stakeholders and the success of organisational goals. The instrumental approach allows organisations to identify any weak or vulnerable stakeholders which may deter the operations of the organisation</w:t>
      </w:r>
      <w:r w:rsidR="00791CB9" w:rsidRPr="00851192">
        <w:rPr>
          <w:rFonts w:ascii="Arial" w:hAnsi="Arial" w:cs="Arial"/>
        </w:rPr>
        <w:t>. This effectively provides</w:t>
      </w:r>
      <w:r w:rsidRPr="00851192">
        <w:rPr>
          <w:rFonts w:ascii="Arial" w:hAnsi="Arial" w:cs="Arial"/>
        </w:rPr>
        <w:t xml:space="preserve"> an opportunity for managers to implement an effective strategy to address the issues and reach out through effective means of communication </w:t>
      </w:r>
      <w:sdt>
        <w:sdtPr>
          <w:rPr>
            <w:rFonts w:ascii="Arial" w:hAnsi="Arial" w:cs="Arial"/>
          </w:rPr>
          <w:id w:val="1355304992"/>
          <w:citation/>
        </w:sdtPr>
        <w:sdtEndPr/>
        <w:sdtContent>
          <w:r w:rsidRPr="00851192">
            <w:rPr>
              <w:rFonts w:ascii="Arial" w:hAnsi="Arial" w:cs="Arial"/>
            </w:rPr>
            <w:fldChar w:fldCharType="begin"/>
          </w:r>
          <w:r w:rsidRPr="00851192">
            <w:rPr>
              <w:rFonts w:ascii="Arial" w:hAnsi="Arial" w:cs="Arial"/>
            </w:rPr>
            <w:instrText xml:space="preserve"> CITATION Phi03 \l 2057 </w:instrText>
          </w:r>
          <w:r w:rsidRPr="00851192">
            <w:rPr>
              <w:rFonts w:ascii="Arial" w:hAnsi="Arial" w:cs="Arial"/>
            </w:rPr>
            <w:fldChar w:fldCharType="separate"/>
          </w:r>
          <w:r w:rsidR="002D17EA" w:rsidRPr="00851192">
            <w:rPr>
              <w:rFonts w:ascii="Arial" w:hAnsi="Arial" w:cs="Arial"/>
              <w:noProof/>
            </w:rPr>
            <w:t>(Phillips, 2003)</w:t>
          </w:r>
          <w:r w:rsidRPr="00851192">
            <w:rPr>
              <w:rFonts w:ascii="Arial" w:hAnsi="Arial" w:cs="Arial"/>
            </w:rPr>
            <w:fldChar w:fldCharType="end"/>
          </w:r>
        </w:sdtContent>
      </w:sdt>
      <w:r w:rsidRPr="00851192">
        <w:rPr>
          <w:rFonts w:ascii="Arial" w:hAnsi="Arial" w:cs="Arial"/>
        </w:rPr>
        <w:t xml:space="preserve">.  </w:t>
      </w:r>
      <w:r w:rsidR="003703C5" w:rsidRPr="00851192">
        <w:rPr>
          <w:rFonts w:ascii="Arial" w:hAnsi="Arial" w:cs="Arial"/>
        </w:rPr>
        <w:t>GGO’s</w:t>
      </w:r>
      <w:r w:rsidRPr="00851192">
        <w:rPr>
          <w:rFonts w:ascii="Arial" w:hAnsi="Arial" w:cs="Arial"/>
        </w:rPr>
        <w:t xml:space="preserve"> can use this method to identify any stakeholders which may have greater incongruence between the company’s goal for brand vision and stakeholder’s perception of the brand. Even so, Kotler and Lee (2005) believe that through implementing effective CSR initiatives with a significant strategy and effective communication, the benefits foreseen by an organisation could result in; an increase in sales and market share, a strengthening on brand positioning, an increased skill in attracting, motivating and retaining employees, a potential decrease in operating costs, accumulating an interest from investors and financial analysts, and enhancing the overall corporate image.</w:t>
      </w:r>
      <w:r w:rsidR="00F42C98" w:rsidRPr="00851192">
        <w:rPr>
          <w:rFonts w:ascii="Arial" w:hAnsi="Arial" w:cs="Arial"/>
        </w:rPr>
        <w:t xml:space="preserve">  </w:t>
      </w:r>
    </w:p>
    <w:p w14:paraId="693F3811" w14:textId="517DB724" w:rsidR="00752C76" w:rsidRPr="00851192" w:rsidRDefault="00752C76" w:rsidP="00402A71">
      <w:pPr>
        <w:spacing w:line="360" w:lineRule="auto"/>
        <w:jc w:val="both"/>
        <w:rPr>
          <w:rFonts w:ascii="Arial" w:hAnsi="Arial" w:cs="Arial"/>
        </w:rPr>
      </w:pPr>
      <w:r w:rsidRPr="00851192">
        <w:rPr>
          <w:rFonts w:ascii="Arial" w:hAnsi="Arial" w:cs="Arial"/>
        </w:rPr>
        <w:t>This dissertation</w:t>
      </w:r>
      <w:r w:rsidR="00842212" w:rsidRPr="00851192">
        <w:rPr>
          <w:rFonts w:ascii="Arial" w:hAnsi="Arial" w:cs="Arial"/>
        </w:rPr>
        <w:t xml:space="preserve"> begins by identifying the foundations and importance of CSR communications </w:t>
      </w:r>
      <w:r w:rsidR="006606C6" w:rsidRPr="00851192">
        <w:rPr>
          <w:rFonts w:ascii="Arial" w:hAnsi="Arial" w:cs="Arial"/>
        </w:rPr>
        <w:t>for</w:t>
      </w:r>
      <w:r w:rsidR="00842212" w:rsidRPr="00851192">
        <w:rPr>
          <w:rFonts w:ascii="Arial" w:hAnsi="Arial" w:cs="Arial"/>
        </w:rPr>
        <w:t xml:space="preserve"> </w:t>
      </w:r>
      <w:r w:rsidR="00791CB9" w:rsidRPr="00851192">
        <w:rPr>
          <w:rFonts w:ascii="Arial" w:hAnsi="Arial" w:cs="Arial"/>
        </w:rPr>
        <w:t>GGO’s</w:t>
      </w:r>
      <w:r w:rsidR="00842212" w:rsidRPr="00851192">
        <w:rPr>
          <w:rFonts w:ascii="Arial" w:hAnsi="Arial" w:cs="Arial"/>
        </w:rPr>
        <w:t xml:space="preserve"> alongside exploring</w:t>
      </w:r>
      <w:r w:rsidRPr="00851192">
        <w:rPr>
          <w:rFonts w:ascii="Arial" w:hAnsi="Arial" w:cs="Arial"/>
        </w:rPr>
        <w:t xml:space="preserve"> whether </w:t>
      </w:r>
      <w:r w:rsidR="00842212" w:rsidRPr="00851192">
        <w:rPr>
          <w:rFonts w:ascii="Arial" w:hAnsi="Arial" w:cs="Arial"/>
        </w:rPr>
        <w:t xml:space="preserve">if there is </w:t>
      </w:r>
      <w:r w:rsidR="006606C6" w:rsidRPr="00851192">
        <w:rPr>
          <w:rFonts w:ascii="Arial" w:hAnsi="Arial" w:cs="Arial"/>
        </w:rPr>
        <w:t>any discrepancy existing</w:t>
      </w:r>
      <w:r w:rsidRPr="00851192">
        <w:rPr>
          <w:rFonts w:ascii="Arial" w:hAnsi="Arial" w:cs="Arial"/>
        </w:rPr>
        <w:t xml:space="preserve"> between the communicated (based on information disclosed in the annual reports and evidence in their websites) and ideal (disclosure of information deemed vital based on the ethical business framework) responsible identities. This can be measured via using a</w:t>
      </w:r>
      <w:r w:rsidR="00522EFA" w:rsidRPr="00851192">
        <w:rPr>
          <w:rFonts w:ascii="Arial" w:hAnsi="Arial" w:cs="Arial"/>
        </w:rPr>
        <w:t>n ethical and</w:t>
      </w:r>
      <w:r w:rsidRPr="00851192">
        <w:rPr>
          <w:rFonts w:ascii="Arial" w:hAnsi="Arial" w:cs="Arial"/>
        </w:rPr>
        <w:t xml:space="preserve"> responsible identity index adapted and applied from </w:t>
      </w:r>
      <w:sdt>
        <w:sdtPr>
          <w:rPr>
            <w:rFonts w:ascii="Arial" w:hAnsi="Arial" w:cs="Arial"/>
          </w:rPr>
          <w:id w:val="1182783772"/>
          <w:citation/>
        </w:sdtPr>
        <w:sdtEndPr/>
        <w:sdtContent>
          <w:r w:rsidRPr="00851192">
            <w:rPr>
              <w:rFonts w:ascii="Arial" w:hAnsi="Arial" w:cs="Arial"/>
            </w:rPr>
            <w:fldChar w:fldCharType="begin"/>
          </w:r>
          <w:r w:rsidRPr="00851192">
            <w:rPr>
              <w:rFonts w:ascii="Arial" w:hAnsi="Arial" w:cs="Arial"/>
            </w:rPr>
            <w:instrText xml:space="preserve">CITATION Exp07 \l 2057 </w:instrText>
          </w:r>
          <w:r w:rsidRPr="00851192">
            <w:rPr>
              <w:rFonts w:ascii="Arial" w:hAnsi="Arial" w:cs="Arial"/>
            </w:rPr>
            <w:fldChar w:fldCharType="separate"/>
          </w:r>
          <w:r w:rsidR="002D17EA" w:rsidRPr="00851192">
            <w:rPr>
              <w:rFonts w:ascii="Arial" w:hAnsi="Arial" w:cs="Arial"/>
              <w:noProof/>
            </w:rPr>
            <w:t>(Haniffa &amp; Hudaib, 2007)</w:t>
          </w:r>
          <w:r w:rsidRPr="00851192">
            <w:rPr>
              <w:rFonts w:ascii="Arial" w:hAnsi="Arial" w:cs="Arial"/>
            </w:rPr>
            <w:fldChar w:fldCharType="end"/>
          </w:r>
        </w:sdtContent>
      </w:sdt>
      <w:r w:rsidRPr="00851192">
        <w:rPr>
          <w:rFonts w:ascii="Arial" w:hAnsi="Arial" w:cs="Arial"/>
        </w:rPr>
        <w:t xml:space="preserve">. The need to identify dimensions are those such as; </w:t>
      </w:r>
    </w:p>
    <w:p w14:paraId="56DEEE07" w14:textId="1DD49790" w:rsidR="00752C76" w:rsidRPr="00851192" w:rsidRDefault="00752C76" w:rsidP="00402A71">
      <w:pPr>
        <w:pStyle w:val="ListParagraph"/>
        <w:numPr>
          <w:ilvl w:val="0"/>
          <w:numId w:val="3"/>
        </w:numPr>
        <w:spacing w:line="360" w:lineRule="auto"/>
        <w:jc w:val="both"/>
        <w:rPr>
          <w:rFonts w:ascii="Arial" w:hAnsi="Arial" w:cs="Arial"/>
        </w:rPr>
      </w:pPr>
      <w:r w:rsidRPr="00851192">
        <w:rPr>
          <w:rFonts w:ascii="Arial" w:hAnsi="Arial" w:cs="Arial"/>
        </w:rPr>
        <w:t>Commitments to society.</w:t>
      </w:r>
    </w:p>
    <w:p w14:paraId="01B1ED73" w14:textId="583C56A3" w:rsidR="00752C76" w:rsidRPr="00851192" w:rsidRDefault="00752C76" w:rsidP="00402A71">
      <w:pPr>
        <w:pStyle w:val="ListParagraph"/>
        <w:numPr>
          <w:ilvl w:val="0"/>
          <w:numId w:val="3"/>
        </w:numPr>
        <w:spacing w:line="360" w:lineRule="auto"/>
        <w:jc w:val="both"/>
        <w:rPr>
          <w:rFonts w:ascii="Arial" w:hAnsi="Arial" w:cs="Arial"/>
        </w:rPr>
      </w:pPr>
      <w:r w:rsidRPr="00851192">
        <w:rPr>
          <w:rFonts w:ascii="Arial" w:hAnsi="Arial" w:cs="Arial"/>
        </w:rPr>
        <w:t>Disclosure of corporate vision and mission.</w:t>
      </w:r>
    </w:p>
    <w:p w14:paraId="1DA1B8ED" w14:textId="77777777" w:rsidR="00752C76" w:rsidRPr="00851192" w:rsidRDefault="00752C76" w:rsidP="00402A71">
      <w:pPr>
        <w:pStyle w:val="ListParagraph"/>
        <w:numPr>
          <w:ilvl w:val="0"/>
          <w:numId w:val="3"/>
        </w:numPr>
        <w:spacing w:line="360" w:lineRule="auto"/>
        <w:jc w:val="both"/>
        <w:rPr>
          <w:rFonts w:ascii="Arial" w:hAnsi="Arial" w:cs="Arial"/>
        </w:rPr>
      </w:pPr>
      <w:r w:rsidRPr="00851192">
        <w:rPr>
          <w:rFonts w:ascii="Arial" w:hAnsi="Arial" w:cs="Arial"/>
        </w:rPr>
        <w:t>Contribution to and management of problem gambling research.</w:t>
      </w:r>
    </w:p>
    <w:p w14:paraId="0334447D" w14:textId="77777777" w:rsidR="00B47865" w:rsidRPr="00851192" w:rsidRDefault="00752C76" w:rsidP="00402A71">
      <w:pPr>
        <w:pStyle w:val="ListParagraph"/>
        <w:numPr>
          <w:ilvl w:val="0"/>
          <w:numId w:val="3"/>
        </w:numPr>
        <w:spacing w:line="360" w:lineRule="auto"/>
        <w:jc w:val="both"/>
        <w:rPr>
          <w:rFonts w:ascii="Arial" w:hAnsi="Arial" w:cs="Arial"/>
        </w:rPr>
      </w:pPr>
      <w:r w:rsidRPr="00851192">
        <w:rPr>
          <w:rFonts w:ascii="Arial" w:hAnsi="Arial" w:cs="Arial"/>
        </w:rPr>
        <w:t xml:space="preserve">Information to suggest effective and purposeful management. </w:t>
      </w:r>
    </w:p>
    <w:p w14:paraId="21EAE695" w14:textId="029F054B" w:rsidR="00B47865" w:rsidRPr="00851192" w:rsidRDefault="00126411" w:rsidP="00402A71">
      <w:pPr>
        <w:pStyle w:val="ListParagraph"/>
        <w:numPr>
          <w:ilvl w:val="0"/>
          <w:numId w:val="3"/>
        </w:numPr>
        <w:spacing w:line="360" w:lineRule="auto"/>
        <w:jc w:val="both"/>
        <w:rPr>
          <w:rFonts w:ascii="Arial" w:hAnsi="Arial" w:cs="Arial"/>
        </w:rPr>
      </w:pPr>
      <w:r w:rsidRPr="00851192">
        <w:rPr>
          <w:rFonts w:ascii="Arial" w:hAnsi="Arial" w:cs="Arial"/>
        </w:rPr>
        <w:t>Opportunity for employee growth.</w:t>
      </w:r>
    </w:p>
    <w:p w14:paraId="28466B66" w14:textId="649850A2" w:rsidR="00B47865" w:rsidRPr="00851192" w:rsidRDefault="006A1885" w:rsidP="00402A71">
      <w:pPr>
        <w:pStyle w:val="ListParagraph"/>
        <w:numPr>
          <w:ilvl w:val="0"/>
          <w:numId w:val="3"/>
        </w:numPr>
        <w:spacing w:line="360" w:lineRule="auto"/>
        <w:jc w:val="both"/>
        <w:rPr>
          <w:rFonts w:ascii="Arial" w:hAnsi="Arial" w:cs="Arial"/>
        </w:rPr>
      </w:pPr>
      <w:r w:rsidRPr="00851192">
        <w:rPr>
          <w:rFonts w:ascii="Arial" w:hAnsi="Arial" w:cs="Arial"/>
        </w:rPr>
        <w:t>Effectively achieve CSR communications to external stakeholders.</w:t>
      </w:r>
    </w:p>
    <w:p w14:paraId="03D17DC8" w14:textId="443E943D" w:rsidR="00B47865" w:rsidRPr="00851192" w:rsidRDefault="006A1885" w:rsidP="00402A71">
      <w:pPr>
        <w:pStyle w:val="ListParagraph"/>
        <w:numPr>
          <w:ilvl w:val="0"/>
          <w:numId w:val="3"/>
        </w:numPr>
        <w:spacing w:line="360" w:lineRule="auto"/>
        <w:jc w:val="both"/>
        <w:rPr>
          <w:rFonts w:ascii="Arial" w:hAnsi="Arial" w:cs="Arial"/>
        </w:rPr>
      </w:pPr>
      <w:r w:rsidRPr="00851192">
        <w:rPr>
          <w:rFonts w:ascii="Arial" w:hAnsi="Arial" w:cs="Arial"/>
        </w:rPr>
        <w:t>Contribute</w:t>
      </w:r>
      <w:r w:rsidR="00301581" w:rsidRPr="00851192">
        <w:rPr>
          <w:rFonts w:ascii="Arial" w:hAnsi="Arial" w:cs="Arial"/>
        </w:rPr>
        <w:t xml:space="preserve"> towards</w:t>
      </w:r>
      <w:r w:rsidRPr="00851192">
        <w:rPr>
          <w:rFonts w:ascii="Arial" w:hAnsi="Arial" w:cs="Arial"/>
        </w:rPr>
        <w:t xml:space="preserve"> economic growth.</w:t>
      </w:r>
    </w:p>
    <w:p w14:paraId="20FA9F3D" w14:textId="04144CBA" w:rsidR="00B47865" w:rsidRPr="00851192" w:rsidRDefault="006A1885" w:rsidP="00402A71">
      <w:pPr>
        <w:pStyle w:val="ListParagraph"/>
        <w:numPr>
          <w:ilvl w:val="0"/>
          <w:numId w:val="3"/>
        </w:numPr>
        <w:spacing w:line="360" w:lineRule="auto"/>
        <w:jc w:val="both"/>
        <w:rPr>
          <w:rFonts w:ascii="Arial" w:hAnsi="Arial" w:cs="Arial"/>
        </w:rPr>
      </w:pPr>
      <w:r w:rsidRPr="00851192">
        <w:rPr>
          <w:rFonts w:ascii="Arial" w:hAnsi="Arial" w:cs="Arial"/>
        </w:rPr>
        <w:t>CSR is valued by global gambling operators.</w:t>
      </w:r>
    </w:p>
    <w:p w14:paraId="19D021F0" w14:textId="31D662BB" w:rsidR="000C2E03" w:rsidRPr="00851192" w:rsidRDefault="000C2E03" w:rsidP="00402A71">
      <w:pPr>
        <w:spacing w:line="360" w:lineRule="auto"/>
        <w:jc w:val="both"/>
        <w:rPr>
          <w:rFonts w:ascii="Arial" w:hAnsi="Arial" w:cs="Arial"/>
        </w:rPr>
      </w:pPr>
      <w:r w:rsidRPr="00851192">
        <w:rPr>
          <w:rFonts w:ascii="Arial" w:hAnsi="Arial" w:cs="Arial"/>
        </w:rPr>
        <w:t xml:space="preserve">The dimensions are used within </w:t>
      </w:r>
      <w:r w:rsidR="00791CB9" w:rsidRPr="00851192">
        <w:rPr>
          <w:rFonts w:ascii="Arial" w:hAnsi="Arial" w:cs="Arial"/>
        </w:rPr>
        <w:t>chapter four</w:t>
      </w:r>
      <w:r w:rsidRPr="00851192">
        <w:rPr>
          <w:rFonts w:ascii="Arial" w:hAnsi="Arial" w:cs="Arial"/>
        </w:rPr>
        <w:t xml:space="preserve"> of the dissertation as categories to identify CSR and ethical performance measurements within public annual reports by GGO’s.</w:t>
      </w:r>
    </w:p>
    <w:p w14:paraId="77C65061" w14:textId="22292BE6" w:rsidR="00FA56A8" w:rsidRPr="00851192" w:rsidRDefault="00B47865" w:rsidP="00402A71">
      <w:pPr>
        <w:spacing w:line="360" w:lineRule="auto"/>
        <w:jc w:val="both"/>
        <w:rPr>
          <w:rFonts w:ascii="Arial" w:hAnsi="Arial" w:cs="Arial"/>
        </w:rPr>
      </w:pPr>
      <w:r w:rsidRPr="00851192">
        <w:rPr>
          <w:rFonts w:ascii="Arial" w:hAnsi="Arial" w:cs="Arial"/>
        </w:rPr>
        <w:t xml:space="preserve">Furthermore, adapted from </w:t>
      </w:r>
      <w:r w:rsidRPr="00851192">
        <w:rPr>
          <w:rFonts w:ascii="Arial" w:hAnsi="Arial" w:cs="Arial"/>
          <w:noProof/>
        </w:rPr>
        <w:t xml:space="preserve">(Luo et al., 2017), a measurement model of CSR within the gambling industry is used to identify the performance of </w:t>
      </w:r>
      <w:r w:rsidR="003703C5" w:rsidRPr="00851192">
        <w:rPr>
          <w:rFonts w:ascii="Arial" w:hAnsi="Arial" w:cs="Arial"/>
          <w:noProof/>
        </w:rPr>
        <w:t>GGO’s</w:t>
      </w:r>
      <w:r w:rsidRPr="00851192">
        <w:rPr>
          <w:rFonts w:ascii="Arial" w:hAnsi="Arial" w:cs="Arial"/>
          <w:noProof/>
        </w:rPr>
        <w:t xml:space="preserve"> commitment and practice </w:t>
      </w:r>
      <w:r w:rsidRPr="00851192">
        <w:rPr>
          <w:rFonts w:ascii="Arial" w:hAnsi="Arial" w:cs="Arial"/>
          <w:noProof/>
        </w:rPr>
        <w:lastRenderedPageBreak/>
        <w:t>towards CSR and CSR communications</w:t>
      </w:r>
      <w:r w:rsidR="00D54154" w:rsidRPr="00851192">
        <w:rPr>
          <w:rFonts w:ascii="Arial" w:hAnsi="Arial" w:cs="Arial"/>
          <w:noProof/>
        </w:rPr>
        <w:t xml:space="preserve"> (</w:t>
      </w:r>
      <w:r w:rsidR="0064227E" w:rsidRPr="00851192">
        <w:rPr>
          <w:rFonts w:ascii="Arial" w:hAnsi="Arial" w:cs="Arial"/>
          <w:b/>
          <w:i/>
          <w:noProof/>
        </w:rPr>
        <w:t>Table 4</w:t>
      </w:r>
      <w:r w:rsidR="00D54154" w:rsidRPr="00851192">
        <w:rPr>
          <w:rFonts w:ascii="Arial" w:hAnsi="Arial" w:cs="Arial"/>
          <w:noProof/>
        </w:rPr>
        <w:t>)</w:t>
      </w:r>
      <w:r w:rsidR="00A95A70" w:rsidRPr="00851192">
        <w:rPr>
          <w:rFonts w:ascii="Arial" w:hAnsi="Arial" w:cs="Arial"/>
          <w:noProof/>
        </w:rPr>
        <w:t xml:space="preserve"> within the analysis and evaluation of the study (chapter four)</w:t>
      </w:r>
      <w:r w:rsidRPr="00851192">
        <w:rPr>
          <w:rFonts w:ascii="Arial" w:hAnsi="Arial" w:cs="Arial"/>
          <w:noProof/>
        </w:rPr>
        <w:t>. CSR and CSR communications can be evaluated from the percepective of the six</w:t>
      </w:r>
      <w:r w:rsidR="00FA56A8" w:rsidRPr="00851192">
        <w:rPr>
          <w:rFonts w:ascii="Arial" w:hAnsi="Arial" w:cs="Arial"/>
          <w:noProof/>
        </w:rPr>
        <w:t xml:space="preserve"> </w:t>
      </w:r>
      <w:r w:rsidRPr="00851192">
        <w:rPr>
          <w:rFonts w:ascii="Arial" w:hAnsi="Arial" w:cs="Arial"/>
          <w:noProof/>
        </w:rPr>
        <w:t>stakeholders known as the six dimensions</w:t>
      </w:r>
      <w:r w:rsidR="00523422" w:rsidRPr="00851192">
        <w:rPr>
          <w:rFonts w:ascii="Arial" w:hAnsi="Arial" w:cs="Arial"/>
          <w:noProof/>
        </w:rPr>
        <w:t xml:space="preserve"> of CSR management</w:t>
      </w:r>
      <w:r w:rsidRPr="00851192">
        <w:rPr>
          <w:rFonts w:ascii="Arial" w:hAnsi="Arial" w:cs="Arial"/>
          <w:noProof/>
        </w:rPr>
        <w:t xml:space="preserve">. These dimensions consider both internal and external stakeholders which can be identified in </w:t>
      </w:r>
      <w:r w:rsidRPr="00851192">
        <w:rPr>
          <w:rFonts w:ascii="Arial" w:hAnsi="Arial" w:cs="Arial"/>
          <w:i/>
          <w:noProof/>
        </w:rPr>
        <w:t>(</w:t>
      </w:r>
      <w:r w:rsidR="006606C6" w:rsidRPr="00851192">
        <w:rPr>
          <w:rFonts w:ascii="Arial" w:hAnsi="Arial" w:cs="Arial"/>
          <w:b/>
          <w:i/>
          <w:noProof/>
        </w:rPr>
        <w:t>Figure 2</w:t>
      </w:r>
      <w:r w:rsidR="00F815EC" w:rsidRPr="00851192">
        <w:rPr>
          <w:rFonts w:ascii="Arial" w:hAnsi="Arial" w:cs="Arial"/>
          <w:b/>
          <w:i/>
          <w:noProof/>
        </w:rPr>
        <w:t>.2</w:t>
      </w:r>
      <w:r w:rsidRPr="00851192">
        <w:rPr>
          <w:rFonts w:ascii="Arial" w:hAnsi="Arial" w:cs="Arial"/>
          <w:i/>
          <w:noProof/>
        </w:rPr>
        <w:t>).</w:t>
      </w:r>
      <w:r w:rsidRPr="00851192">
        <w:rPr>
          <w:rFonts w:ascii="Arial" w:hAnsi="Arial" w:cs="Arial"/>
          <w:noProof/>
        </w:rPr>
        <w:t xml:space="preserve"> </w:t>
      </w:r>
      <w:r w:rsidR="00752C76" w:rsidRPr="00851192">
        <w:rPr>
          <w:rFonts w:ascii="Arial" w:hAnsi="Arial" w:cs="Arial"/>
        </w:rPr>
        <w:t xml:space="preserve"> </w:t>
      </w:r>
    </w:p>
    <w:p w14:paraId="4EA115F6" w14:textId="412306BD" w:rsidR="00FA56A8" w:rsidRPr="00851192" w:rsidRDefault="00FA56A8" w:rsidP="00402A71">
      <w:pPr>
        <w:spacing w:line="360" w:lineRule="auto"/>
        <w:jc w:val="both"/>
        <w:rPr>
          <w:rFonts w:ascii="Arial" w:hAnsi="Arial" w:cs="Arial"/>
        </w:rPr>
      </w:pPr>
      <w:r w:rsidRPr="00851192">
        <w:rPr>
          <w:rFonts w:ascii="Arial" w:hAnsi="Arial" w:cs="Arial"/>
          <w:noProof/>
          <w:lang w:eastAsia="en-GB"/>
        </w:rPr>
        <w:drawing>
          <wp:anchor distT="0" distB="0" distL="114300" distR="114300" simplePos="0" relativeHeight="251658240" behindDoc="1" locked="0" layoutInCell="1" allowOverlap="1" wp14:anchorId="51434356" wp14:editId="4B49425C">
            <wp:simplePos x="0" y="0"/>
            <wp:positionH relativeFrom="margin">
              <wp:align>center</wp:align>
            </wp:positionH>
            <wp:positionV relativeFrom="paragraph">
              <wp:posOffset>0</wp:posOffset>
            </wp:positionV>
            <wp:extent cx="3371850" cy="3285490"/>
            <wp:effectExtent l="0" t="0" r="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SR Management.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371850" cy="3285490"/>
                    </a:xfrm>
                    <a:prstGeom prst="rect">
                      <a:avLst/>
                    </a:prstGeom>
                  </pic:spPr>
                </pic:pic>
              </a:graphicData>
            </a:graphic>
          </wp:anchor>
        </w:drawing>
      </w:r>
    </w:p>
    <w:p w14:paraId="409E2A4E" w14:textId="1F98FC1A" w:rsidR="006F054A" w:rsidRPr="00851192" w:rsidRDefault="006F054A" w:rsidP="00402A71">
      <w:pPr>
        <w:spacing w:line="360" w:lineRule="auto"/>
        <w:jc w:val="center"/>
        <w:rPr>
          <w:rFonts w:ascii="Arial" w:hAnsi="Arial" w:cs="Arial"/>
        </w:rPr>
      </w:pPr>
    </w:p>
    <w:p w14:paraId="22865178" w14:textId="65FAB547" w:rsidR="00102B59" w:rsidRPr="00851192" w:rsidRDefault="006F054A" w:rsidP="003B74DC">
      <w:pPr>
        <w:spacing w:line="360" w:lineRule="auto"/>
        <w:jc w:val="center"/>
        <w:rPr>
          <w:rFonts w:ascii="Arial" w:hAnsi="Arial" w:cs="Arial"/>
        </w:rPr>
      </w:pPr>
      <w:r w:rsidRPr="00851192">
        <w:rPr>
          <w:rFonts w:ascii="Arial" w:hAnsi="Arial" w:cs="Arial"/>
        </w:rPr>
        <w:t>(</w:t>
      </w:r>
      <w:r w:rsidR="006606C6" w:rsidRPr="00851192">
        <w:rPr>
          <w:rFonts w:ascii="Arial" w:hAnsi="Arial" w:cs="Arial"/>
          <w:b/>
          <w:i/>
        </w:rPr>
        <w:t>Figure 2</w:t>
      </w:r>
      <w:r w:rsidR="00F815EC" w:rsidRPr="00851192">
        <w:rPr>
          <w:rFonts w:ascii="Arial" w:hAnsi="Arial" w:cs="Arial"/>
          <w:b/>
          <w:i/>
        </w:rPr>
        <w:t>.2</w:t>
      </w:r>
      <w:r w:rsidRPr="00851192">
        <w:rPr>
          <w:rFonts w:ascii="Arial" w:hAnsi="Arial" w:cs="Arial"/>
        </w:rPr>
        <w:t>; Luo et al., 2017)</w:t>
      </w:r>
    </w:p>
    <w:p w14:paraId="71C5E3DF" w14:textId="6BC454EB" w:rsidR="00703A48" w:rsidRPr="00851192" w:rsidRDefault="00DF7255" w:rsidP="00DF7255">
      <w:pPr>
        <w:pStyle w:val="Heading1"/>
        <w:rPr>
          <w:rFonts w:ascii="Arial" w:hAnsi="Arial" w:cs="Arial"/>
          <w:color w:val="auto"/>
        </w:rPr>
      </w:pPr>
      <w:bookmarkStart w:id="18" w:name="_Toc526434219"/>
      <w:r w:rsidRPr="00851192">
        <w:rPr>
          <w:rFonts w:ascii="Arial" w:hAnsi="Arial" w:cs="Arial"/>
          <w:color w:val="auto"/>
        </w:rPr>
        <w:t>2.</w:t>
      </w:r>
      <w:r w:rsidR="003B74DC" w:rsidRPr="00851192">
        <w:rPr>
          <w:rFonts w:ascii="Arial" w:hAnsi="Arial" w:cs="Arial"/>
          <w:color w:val="auto"/>
        </w:rPr>
        <w:t>7</w:t>
      </w:r>
      <w:r w:rsidRPr="00851192">
        <w:rPr>
          <w:rFonts w:ascii="Arial" w:hAnsi="Arial" w:cs="Arial"/>
          <w:color w:val="auto"/>
        </w:rPr>
        <w:t xml:space="preserve"> </w:t>
      </w:r>
      <w:r w:rsidR="004859E1" w:rsidRPr="00851192">
        <w:rPr>
          <w:rFonts w:ascii="Arial" w:hAnsi="Arial" w:cs="Arial"/>
          <w:color w:val="auto"/>
        </w:rPr>
        <w:t>CSR Communication</w:t>
      </w:r>
      <w:r w:rsidR="00401FE3" w:rsidRPr="00851192">
        <w:rPr>
          <w:rFonts w:ascii="Arial" w:hAnsi="Arial" w:cs="Arial"/>
          <w:color w:val="auto"/>
        </w:rPr>
        <w:t>: A tool to</w:t>
      </w:r>
      <w:r w:rsidR="004859E1" w:rsidRPr="00851192">
        <w:rPr>
          <w:rFonts w:ascii="Arial" w:hAnsi="Arial" w:cs="Arial"/>
          <w:color w:val="auto"/>
        </w:rPr>
        <w:t xml:space="preserve"> underlin</w:t>
      </w:r>
      <w:r w:rsidR="00401FE3" w:rsidRPr="00851192">
        <w:rPr>
          <w:rFonts w:ascii="Arial" w:hAnsi="Arial" w:cs="Arial"/>
          <w:color w:val="auto"/>
        </w:rPr>
        <w:t>e</w:t>
      </w:r>
      <w:r w:rsidR="004859E1" w:rsidRPr="00851192">
        <w:rPr>
          <w:rFonts w:ascii="Arial" w:hAnsi="Arial" w:cs="Arial"/>
          <w:color w:val="auto"/>
        </w:rPr>
        <w:t xml:space="preserve"> Corporate Identity</w:t>
      </w:r>
      <w:bookmarkEnd w:id="18"/>
    </w:p>
    <w:p w14:paraId="42AF674F" w14:textId="70B50049" w:rsidR="001516D4" w:rsidRPr="00851192" w:rsidRDefault="00B52553" w:rsidP="003B74DC">
      <w:pPr>
        <w:spacing w:line="360" w:lineRule="auto"/>
        <w:jc w:val="both"/>
        <w:rPr>
          <w:rFonts w:ascii="Arial" w:hAnsi="Arial" w:cs="Arial"/>
        </w:rPr>
      </w:pPr>
      <w:r w:rsidRPr="00851192">
        <w:rPr>
          <w:rFonts w:ascii="Arial" w:hAnsi="Arial" w:cs="Arial"/>
        </w:rPr>
        <w:t xml:space="preserve">It is modern practice within today’s society for organisations to communicate its CSR initiatives. </w:t>
      </w:r>
      <w:r w:rsidR="009030A0" w:rsidRPr="00851192">
        <w:rPr>
          <w:rFonts w:ascii="Arial" w:hAnsi="Arial" w:cs="Arial"/>
        </w:rPr>
        <w:t xml:space="preserve">From an organisational perspective, </w:t>
      </w:r>
      <w:r w:rsidRPr="00851192">
        <w:rPr>
          <w:rFonts w:ascii="Arial" w:hAnsi="Arial" w:cs="Arial"/>
        </w:rPr>
        <w:t>CSR communications forms as a strategy for organisations to gain consumer engagement through communicating CSR initiatives, programmes</w:t>
      </w:r>
      <w:r w:rsidR="00791CB9" w:rsidRPr="00851192">
        <w:rPr>
          <w:rFonts w:ascii="Arial" w:hAnsi="Arial" w:cs="Arial"/>
        </w:rPr>
        <w:t>,</w:t>
      </w:r>
      <w:r w:rsidRPr="00851192">
        <w:rPr>
          <w:rFonts w:ascii="Arial" w:hAnsi="Arial" w:cs="Arial"/>
        </w:rPr>
        <w:t xml:space="preserve"> and products as a strategy to build customer retention</w:t>
      </w:r>
      <w:r w:rsidR="003703C5" w:rsidRPr="00851192">
        <w:rPr>
          <w:rFonts w:ascii="Arial" w:hAnsi="Arial" w:cs="Arial"/>
        </w:rPr>
        <w:t>.</w:t>
      </w:r>
      <w:r w:rsidR="009030A0" w:rsidRPr="00851192">
        <w:rPr>
          <w:rFonts w:ascii="Arial" w:hAnsi="Arial" w:cs="Arial"/>
        </w:rPr>
        <w:t xml:space="preserve"> </w:t>
      </w:r>
      <w:r w:rsidR="003703C5" w:rsidRPr="00851192">
        <w:rPr>
          <w:rFonts w:ascii="Arial" w:hAnsi="Arial" w:cs="Arial"/>
        </w:rPr>
        <w:t>W</w:t>
      </w:r>
      <w:r w:rsidR="009030A0" w:rsidRPr="00851192">
        <w:rPr>
          <w:rFonts w:ascii="Arial" w:hAnsi="Arial" w:cs="Arial"/>
        </w:rPr>
        <w:t>hereas</w:t>
      </w:r>
      <w:r w:rsidR="003703C5" w:rsidRPr="00851192">
        <w:rPr>
          <w:rFonts w:ascii="Arial" w:hAnsi="Arial" w:cs="Arial"/>
        </w:rPr>
        <w:t>,</w:t>
      </w:r>
      <w:r w:rsidR="009030A0" w:rsidRPr="00851192">
        <w:rPr>
          <w:rFonts w:ascii="Arial" w:hAnsi="Arial" w:cs="Arial"/>
        </w:rPr>
        <w:t xml:space="preserve"> from a critic perspective, identifying CSR communications from an organisation provides a reason of understanding that the organisation are purposefully active in CSR initiatives and complying with imposed policies</w:t>
      </w:r>
      <w:r w:rsidRPr="00851192">
        <w:rPr>
          <w:rFonts w:ascii="Arial" w:hAnsi="Arial" w:cs="Arial"/>
        </w:rPr>
        <w:t xml:space="preserve"> (Du et al., 2010). Organisations also use CSR communications as a source to gain brand exposure amongst national and international markets to increase share price and return dividends to </w:t>
      </w:r>
      <w:r w:rsidR="00791CB9" w:rsidRPr="00851192">
        <w:rPr>
          <w:rFonts w:ascii="Arial" w:hAnsi="Arial" w:cs="Arial"/>
        </w:rPr>
        <w:t>investors</w:t>
      </w:r>
      <w:r w:rsidR="00D26CB6" w:rsidRPr="00851192">
        <w:rPr>
          <w:rFonts w:ascii="Arial" w:hAnsi="Arial" w:cs="Arial"/>
        </w:rPr>
        <w:t xml:space="preserve"> </w:t>
      </w:r>
      <w:sdt>
        <w:sdtPr>
          <w:rPr>
            <w:rFonts w:ascii="Arial" w:hAnsi="Arial" w:cs="Arial"/>
          </w:rPr>
          <w:id w:val="1561675550"/>
          <w:citation/>
        </w:sdtPr>
        <w:sdtEndPr/>
        <w:sdtContent>
          <w:r w:rsidRPr="00851192">
            <w:rPr>
              <w:rFonts w:ascii="Arial" w:hAnsi="Arial" w:cs="Arial"/>
            </w:rPr>
            <w:fldChar w:fldCharType="begin"/>
          </w:r>
          <w:r w:rsidRPr="00851192">
            <w:rPr>
              <w:rFonts w:ascii="Arial" w:hAnsi="Arial" w:cs="Arial"/>
            </w:rPr>
            <w:instrText xml:space="preserve"> CITATION Cre12 \l 2057 </w:instrText>
          </w:r>
          <w:r w:rsidRPr="00851192">
            <w:rPr>
              <w:rFonts w:ascii="Arial" w:hAnsi="Arial" w:cs="Arial"/>
            </w:rPr>
            <w:fldChar w:fldCharType="separate"/>
          </w:r>
          <w:r w:rsidR="002D17EA" w:rsidRPr="00851192">
            <w:rPr>
              <w:rFonts w:ascii="Arial" w:hAnsi="Arial" w:cs="Arial"/>
              <w:noProof/>
            </w:rPr>
            <w:t>(Creel, 2012)</w:t>
          </w:r>
          <w:r w:rsidRPr="00851192">
            <w:rPr>
              <w:rFonts w:ascii="Arial" w:hAnsi="Arial" w:cs="Arial"/>
            </w:rPr>
            <w:fldChar w:fldCharType="end"/>
          </w:r>
        </w:sdtContent>
      </w:sdt>
      <w:r w:rsidRPr="00851192">
        <w:rPr>
          <w:rFonts w:ascii="Arial" w:hAnsi="Arial" w:cs="Arial"/>
        </w:rPr>
        <w:t>. This is led by the increasing demand of stakeholder expectation driven by the growing global economy</w:t>
      </w:r>
      <w:r w:rsidR="00D26CB6" w:rsidRPr="00851192">
        <w:rPr>
          <w:rFonts w:ascii="Arial" w:hAnsi="Arial" w:cs="Arial"/>
        </w:rPr>
        <w:t xml:space="preserve"> and is pivotal for organisational growth</w:t>
      </w:r>
      <w:r w:rsidRPr="00851192">
        <w:rPr>
          <w:rFonts w:ascii="Arial" w:hAnsi="Arial" w:cs="Arial"/>
        </w:rPr>
        <w:t xml:space="preserve"> </w:t>
      </w:r>
      <w:sdt>
        <w:sdtPr>
          <w:rPr>
            <w:rFonts w:ascii="Arial" w:hAnsi="Arial" w:cs="Arial"/>
          </w:rPr>
          <w:id w:val="-1688200673"/>
          <w:citation/>
        </w:sdtPr>
        <w:sdtEndPr/>
        <w:sdtContent>
          <w:r w:rsidRPr="00851192">
            <w:rPr>
              <w:rFonts w:ascii="Arial" w:hAnsi="Arial" w:cs="Arial"/>
            </w:rPr>
            <w:fldChar w:fldCharType="begin"/>
          </w:r>
          <w:r w:rsidRPr="00851192">
            <w:rPr>
              <w:rFonts w:ascii="Arial" w:hAnsi="Arial" w:cs="Arial"/>
            </w:rPr>
            <w:instrText xml:space="preserve"> CITATION Sch07 \l 2057 </w:instrText>
          </w:r>
          <w:r w:rsidRPr="00851192">
            <w:rPr>
              <w:rFonts w:ascii="Arial" w:hAnsi="Arial" w:cs="Arial"/>
            </w:rPr>
            <w:fldChar w:fldCharType="separate"/>
          </w:r>
          <w:r w:rsidR="002D17EA" w:rsidRPr="00851192">
            <w:rPr>
              <w:rFonts w:ascii="Arial" w:hAnsi="Arial" w:cs="Arial"/>
              <w:noProof/>
            </w:rPr>
            <w:t>(Scherer &amp; Palazzo, 2007)</w:t>
          </w:r>
          <w:r w:rsidRPr="00851192">
            <w:rPr>
              <w:rFonts w:ascii="Arial" w:hAnsi="Arial" w:cs="Arial"/>
            </w:rPr>
            <w:fldChar w:fldCharType="end"/>
          </w:r>
        </w:sdtContent>
      </w:sdt>
      <w:r w:rsidRPr="00851192">
        <w:rPr>
          <w:rFonts w:ascii="Arial" w:hAnsi="Arial" w:cs="Arial"/>
        </w:rPr>
        <w:t>. CSR communication is a newly developed concept which is used to manage an organisation</w:t>
      </w:r>
      <w:r w:rsidR="00D26CB6" w:rsidRPr="00851192">
        <w:rPr>
          <w:rFonts w:ascii="Arial" w:hAnsi="Arial" w:cs="Arial"/>
        </w:rPr>
        <w:t>’s</w:t>
      </w:r>
      <w:r w:rsidRPr="00851192">
        <w:rPr>
          <w:rFonts w:ascii="Arial" w:hAnsi="Arial" w:cs="Arial"/>
        </w:rPr>
        <w:t xml:space="preserve"> stakeholder with a vision to achieve organisational goals and achieve long-term sustainability (</w:t>
      </w:r>
      <w:proofErr w:type="spellStart"/>
      <w:r w:rsidRPr="00851192">
        <w:rPr>
          <w:rFonts w:ascii="Arial" w:hAnsi="Arial" w:cs="Arial"/>
        </w:rPr>
        <w:t>Moravcikova</w:t>
      </w:r>
      <w:proofErr w:type="spellEnd"/>
      <w:r w:rsidRPr="00851192">
        <w:rPr>
          <w:rFonts w:ascii="Arial" w:hAnsi="Arial" w:cs="Arial"/>
        </w:rPr>
        <w:t xml:space="preserve">, 2015). A case example of this driven </w:t>
      </w:r>
      <w:r w:rsidRPr="00851192">
        <w:rPr>
          <w:rFonts w:ascii="Arial" w:hAnsi="Arial" w:cs="Arial"/>
        </w:rPr>
        <w:lastRenderedPageBreak/>
        <w:t xml:space="preserve">concept </w:t>
      </w:r>
      <w:r w:rsidR="001516D4" w:rsidRPr="00851192">
        <w:rPr>
          <w:rFonts w:ascii="Arial" w:hAnsi="Arial" w:cs="Arial"/>
        </w:rPr>
        <w:t>is the</w:t>
      </w:r>
      <w:r w:rsidRPr="00851192">
        <w:rPr>
          <w:rFonts w:ascii="Arial" w:hAnsi="Arial" w:cs="Arial"/>
        </w:rPr>
        <w:t xml:space="preserve"> </w:t>
      </w:r>
      <w:r w:rsidR="007C59BA" w:rsidRPr="00851192">
        <w:rPr>
          <w:rFonts w:ascii="Arial" w:hAnsi="Arial" w:cs="Arial"/>
        </w:rPr>
        <w:t xml:space="preserve">Bet </w:t>
      </w:r>
      <w:r w:rsidR="001516D4" w:rsidRPr="00851192">
        <w:rPr>
          <w:rFonts w:ascii="Arial" w:hAnsi="Arial" w:cs="Arial"/>
        </w:rPr>
        <w:t>365 community project, part of many contributors to</w:t>
      </w:r>
      <w:r w:rsidR="00241CAD" w:rsidRPr="00851192">
        <w:rPr>
          <w:rFonts w:ascii="Arial" w:hAnsi="Arial" w:cs="Arial"/>
        </w:rPr>
        <w:t xml:space="preserve"> the Denise Coates Foundation</w:t>
      </w:r>
      <w:r w:rsidR="001516D4" w:rsidRPr="00851192">
        <w:rPr>
          <w:rFonts w:ascii="Arial" w:hAnsi="Arial" w:cs="Arial"/>
        </w:rPr>
        <w:t xml:space="preserve"> located in the UK which contribute funds to support local, national</w:t>
      </w:r>
      <w:r w:rsidR="00791CB9" w:rsidRPr="00851192">
        <w:rPr>
          <w:rFonts w:ascii="Arial" w:hAnsi="Arial" w:cs="Arial"/>
        </w:rPr>
        <w:t>,</w:t>
      </w:r>
      <w:r w:rsidR="001516D4" w:rsidRPr="00851192">
        <w:rPr>
          <w:rFonts w:ascii="Arial" w:hAnsi="Arial" w:cs="Arial"/>
        </w:rPr>
        <w:t xml:space="preserve"> and international funds to charitable causes </w:t>
      </w:r>
      <w:sdt>
        <w:sdtPr>
          <w:rPr>
            <w:rFonts w:ascii="Arial" w:hAnsi="Arial" w:cs="Arial"/>
          </w:rPr>
          <w:id w:val="-337775089"/>
          <w:citation/>
        </w:sdtPr>
        <w:sdtEndPr/>
        <w:sdtContent>
          <w:r w:rsidR="001516D4" w:rsidRPr="00851192">
            <w:rPr>
              <w:rFonts w:ascii="Arial" w:hAnsi="Arial" w:cs="Arial"/>
            </w:rPr>
            <w:fldChar w:fldCharType="begin"/>
          </w:r>
          <w:r w:rsidR="00F71601" w:rsidRPr="00851192">
            <w:rPr>
              <w:rFonts w:ascii="Arial" w:hAnsi="Arial" w:cs="Arial"/>
            </w:rPr>
            <w:instrText xml:space="preserve">CITATION Cha17 \l 2057 </w:instrText>
          </w:r>
          <w:r w:rsidR="001516D4" w:rsidRPr="00851192">
            <w:rPr>
              <w:rFonts w:ascii="Arial" w:hAnsi="Arial" w:cs="Arial"/>
            </w:rPr>
            <w:fldChar w:fldCharType="separate"/>
          </w:r>
          <w:r w:rsidR="002D17EA" w:rsidRPr="00851192">
            <w:rPr>
              <w:rFonts w:ascii="Arial" w:hAnsi="Arial" w:cs="Arial"/>
              <w:noProof/>
            </w:rPr>
            <w:t>(Charity Commission UK Government, 2017)</w:t>
          </w:r>
          <w:r w:rsidR="001516D4" w:rsidRPr="00851192">
            <w:rPr>
              <w:rFonts w:ascii="Arial" w:hAnsi="Arial" w:cs="Arial"/>
            </w:rPr>
            <w:fldChar w:fldCharType="end"/>
          </w:r>
        </w:sdtContent>
      </w:sdt>
      <w:r w:rsidR="00241CAD" w:rsidRPr="00851192">
        <w:rPr>
          <w:rFonts w:ascii="Arial" w:hAnsi="Arial" w:cs="Arial"/>
        </w:rPr>
        <w:t xml:space="preserve">. The global operator </w:t>
      </w:r>
      <w:r w:rsidR="003703C5" w:rsidRPr="00851192">
        <w:rPr>
          <w:rFonts w:ascii="Arial" w:hAnsi="Arial" w:cs="Arial"/>
        </w:rPr>
        <w:t>enhances</w:t>
      </w:r>
      <w:r w:rsidR="00241CAD" w:rsidRPr="00851192">
        <w:rPr>
          <w:rFonts w:ascii="Arial" w:hAnsi="Arial" w:cs="Arial"/>
        </w:rPr>
        <w:t xml:space="preserve"> corporate identity </w:t>
      </w:r>
      <w:r w:rsidRPr="00851192">
        <w:rPr>
          <w:rFonts w:ascii="Arial" w:hAnsi="Arial" w:cs="Arial"/>
        </w:rPr>
        <w:t>through implementing and advertising</w:t>
      </w:r>
      <w:r w:rsidR="00241CAD" w:rsidRPr="00851192">
        <w:rPr>
          <w:rFonts w:ascii="Arial" w:hAnsi="Arial" w:cs="Arial"/>
        </w:rPr>
        <w:t xml:space="preserve"> the companies</w:t>
      </w:r>
      <w:r w:rsidRPr="00851192">
        <w:rPr>
          <w:rFonts w:ascii="Arial" w:hAnsi="Arial" w:cs="Arial"/>
        </w:rPr>
        <w:t xml:space="preserve"> CSR initiatives</w:t>
      </w:r>
      <w:r w:rsidR="00241CAD" w:rsidRPr="00851192">
        <w:rPr>
          <w:rFonts w:ascii="Arial" w:hAnsi="Arial" w:cs="Arial"/>
        </w:rPr>
        <w:t xml:space="preserve"> and providing funds to successful charities which apply for the fund. The fund equates to £10 million</w:t>
      </w:r>
      <w:r w:rsidRPr="00851192">
        <w:rPr>
          <w:rFonts w:ascii="Arial" w:hAnsi="Arial" w:cs="Arial"/>
        </w:rPr>
        <w:t xml:space="preserve"> </w:t>
      </w:r>
      <w:r w:rsidR="00241CAD" w:rsidRPr="00851192">
        <w:rPr>
          <w:rFonts w:ascii="Arial" w:hAnsi="Arial" w:cs="Arial"/>
        </w:rPr>
        <w:t>and can be used to help</w:t>
      </w:r>
      <w:r w:rsidRPr="00851192">
        <w:rPr>
          <w:rFonts w:ascii="Arial" w:hAnsi="Arial" w:cs="Arial"/>
        </w:rPr>
        <w:t xml:space="preserve"> </w:t>
      </w:r>
      <w:r w:rsidR="00791CB9" w:rsidRPr="00851192">
        <w:rPr>
          <w:rFonts w:ascii="Arial" w:hAnsi="Arial" w:cs="Arial"/>
        </w:rPr>
        <w:t>generate projects</w:t>
      </w:r>
      <w:r w:rsidR="00241CAD" w:rsidRPr="00851192">
        <w:rPr>
          <w:rFonts w:ascii="Arial" w:hAnsi="Arial" w:cs="Arial"/>
        </w:rPr>
        <w:t xml:space="preserve">. </w:t>
      </w:r>
    </w:p>
    <w:p w14:paraId="071E7DC1" w14:textId="351283B1" w:rsidR="00395639" w:rsidRPr="00851192" w:rsidRDefault="00241CAD" w:rsidP="003B74DC">
      <w:pPr>
        <w:spacing w:line="360" w:lineRule="auto"/>
        <w:jc w:val="both"/>
        <w:rPr>
          <w:rFonts w:ascii="Arial" w:hAnsi="Arial" w:cs="Arial"/>
        </w:rPr>
      </w:pPr>
      <w:r w:rsidRPr="00851192">
        <w:rPr>
          <w:rFonts w:ascii="Arial" w:hAnsi="Arial" w:cs="Arial"/>
        </w:rPr>
        <w:t>The benefits of scheme</w:t>
      </w:r>
      <w:r w:rsidR="003D4172" w:rsidRPr="00851192">
        <w:rPr>
          <w:rFonts w:ascii="Arial" w:hAnsi="Arial" w:cs="Arial"/>
        </w:rPr>
        <w:t>s</w:t>
      </w:r>
      <w:r w:rsidRPr="00851192">
        <w:rPr>
          <w:rFonts w:ascii="Arial" w:hAnsi="Arial" w:cs="Arial"/>
        </w:rPr>
        <w:t xml:space="preserve"> such as these provides substantial long-term value for the company through increasing its brand positioning within the global market, alongside, increasing financial value and accumulating consumer interest </w:t>
      </w:r>
      <w:sdt>
        <w:sdtPr>
          <w:rPr>
            <w:rFonts w:ascii="Arial" w:hAnsi="Arial" w:cs="Arial"/>
          </w:rPr>
          <w:id w:val="1744841520"/>
          <w:citation/>
        </w:sdtPr>
        <w:sdtEndPr/>
        <w:sdtContent>
          <w:r w:rsidR="00B52553" w:rsidRPr="00851192">
            <w:rPr>
              <w:rFonts w:ascii="Arial" w:hAnsi="Arial" w:cs="Arial"/>
            </w:rPr>
            <w:fldChar w:fldCharType="begin"/>
          </w:r>
          <w:r w:rsidR="00B52553" w:rsidRPr="00851192">
            <w:rPr>
              <w:rFonts w:ascii="Arial" w:hAnsi="Arial" w:cs="Arial"/>
            </w:rPr>
            <w:instrText xml:space="preserve"> CITATION Luo06 \l 2057 </w:instrText>
          </w:r>
          <w:r w:rsidR="00B52553" w:rsidRPr="00851192">
            <w:rPr>
              <w:rFonts w:ascii="Arial" w:hAnsi="Arial" w:cs="Arial"/>
            </w:rPr>
            <w:fldChar w:fldCharType="separate"/>
          </w:r>
          <w:r w:rsidR="002D17EA" w:rsidRPr="00851192">
            <w:rPr>
              <w:rFonts w:ascii="Arial" w:hAnsi="Arial" w:cs="Arial"/>
              <w:noProof/>
            </w:rPr>
            <w:t>(Luo &amp; Bhattacharya, 2006)</w:t>
          </w:r>
          <w:r w:rsidR="00B52553" w:rsidRPr="00851192">
            <w:rPr>
              <w:rFonts w:ascii="Arial" w:hAnsi="Arial" w:cs="Arial"/>
            </w:rPr>
            <w:fldChar w:fldCharType="end"/>
          </w:r>
        </w:sdtContent>
      </w:sdt>
      <w:r w:rsidR="00B52553" w:rsidRPr="00851192">
        <w:rPr>
          <w:rFonts w:ascii="Arial" w:hAnsi="Arial" w:cs="Arial"/>
        </w:rPr>
        <w:t xml:space="preserve">. </w:t>
      </w:r>
      <w:r w:rsidR="00EE46B0" w:rsidRPr="00851192">
        <w:rPr>
          <w:rFonts w:ascii="Arial" w:hAnsi="Arial" w:cs="Arial"/>
        </w:rPr>
        <w:t xml:space="preserve">An assumption and argument towards that funding should go to the source of problems created by gambling and not just towards community projects which partially considers </w:t>
      </w:r>
      <w:r w:rsidR="00E0381E" w:rsidRPr="00851192">
        <w:rPr>
          <w:rFonts w:ascii="Arial" w:hAnsi="Arial" w:cs="Arial"/>
        </w:rPr>
        <w:t>PG</w:t>
      </w:r>
      <w:r w:rsidR="00EE46B0" w:rsidRPr="00851192">
        <w:rPr>
          <w:rFonts w:ascii="Arial" w:hAnsi="Arial" w:cs="Arial"/>
        </w:rPr>
        <w:t>. T</w:t>
      </w:r>
      <w:r w:rsidR="0064227E" w:rsidRPr="00851192">
        <w:rPr>
          <w:rFonts w:ascii="Arial" w:hAnsi="Arial" w:cs="Arial"/>
        </w:rPr>
        <w:t>he strategy behind this from Bet</w:t>
      </w:r>
      <w:r w:rsidR="00791CB9" w:rsidRPr="00851192">
        <w:rPr>
          <w:rFonts w:ascii="Arial" w:hAnsi="Arial" w:cs="Arial"/>
        </w:rPr>
        <w:t xml:space="preserve"> </w:t>
      </w:r>
      <w:r w:rsidR="00EE46B0" w:rsidRPr="00851192">
        <w:rPr>
          <w:rFonts w:ascii="Arial" w:hAnsi="Arial" w:cs="Arial"/>
        </w:rPr>
        <w:t xml:space="preserve">365’s perspective is that by going to the source of </w:t>
      </w:r>
      <w:r w:rsidR="00E0381E" w:rsidRPr="00851192">
        <w:rPr>
          <w:rFonts w:ascii="Arial" w:hAnsi="Arial" w:cs="Arial"/>
        </w:rPr>
        <w:t>PG</w:t>
      </w:r>
      <w:r w:rsidR="00EE46B0" w:rsidRPr="00851192">
        <w:rPr>
          <w:rFonts w:ascii="Arial" w:hAnsi="Arial" w:cs="Arial"/>
        </w:rPr>
        <w:t xml:space="preserve">, it could </w:t>
      </w:r>
      <w:r w:rsidR="00E0381E" w:rsidRPr="00851192">
        <w:rPr>
          <w:rFonts w:ascii="Arial" w:hAnsi="Arial" w:cs="Arial"/>
        </w:rPr>
        <w:t>contribute towards the organisations image and performance</w:t>
      </w:r>
      <w:r w:rsidR="00EE46B0" w:rsidRPr="00851192">
        <w:rPr>
          <w:rFonts w:ascii="Arial" w:hAnsi="Arial" w:cs="Arial"/>
        </w:rPr>
        <w:t xml:space="preserve">. </w:t>
      </w:r>
      <w:r w:rsidR="00B52553" w:rsidRPr="00851192">
        <w:rPr>
          <w:rFonts w:ascii="Arial" w:hAnsi="Arial" w:cs="Arial"/>
        </w:rPr>
        <w:t xml:space="preserve">Within the </w:t>
      </w:r>
      <w:r w:rsidR="00AD22E2" w:rsidRPr="00851192">
        <w:rPr>
          <w:rFonts w:ascii="Arial" w:hAnsi="Arial" w:cs="Arial"/>
        </w:rPr>
        <w:t>GGI</w:t>
      </w:r>
      <w:r w:rsidR="00B52553" w:rsidRPr="00851192">
        <w:rPr>
          <w:rFonts w:ascii="Arial" w:hAnsi="Arial" w:cs="Arial"/>
        </w:rPr>
        <w:t>, o</w:t>
      </w:r>
      <w:r w:rsidR="00724F06" w:rsidRPr="00851192">
        <w:rPr>
          <w:rFonts w:ascii="Arial" w:hAnsi="Arial" w:cs="Arial"/>
        </w:rPr>
        <w:t>perators</w:t>
      </w:r>
      <w:r w:rsidR="00B52553" w:rsidRPr="00851192">
        <w:rPr>
          <w:rFonts w:ascii="Arial" w:hAnsi="Arial" w:cs="Arial"/>
        </w:rPr>
        <w:t xml:space="preserve"> demonstrate this by implementing independent campaigns </w:t>
      </w:r>
      <w:r w:rsidR="00D26CB6" w:rsidRPr="00851192">
        <w:rPr>
          <w:rFonts w:ascii="Arial" w:hAnsi="Arial" w:cs="Arial"/>
        </w:rPr>
        <w:t xml:space="preserve">and projects </w:t>
      </w:r>
      <w:r w:rsidR="00B52553" w:rsidRPr="00851192">
        <w:rPr>
          <w:rFonts w:ascii="Arial" w:hAnsi="Arial" w:cs="Arial"/>
        </w:rPr>
        <w:t xml:space="preserve">such as </w:t>
      </w:r>
      <w:r w:rsidR="00B52553" w:rsidRPr="00851192">
        <w:rPr>
          <w:rFonts w:ascii="Arial" w:hAnsi="Arial" w:cs="Arial"/>
          <w:i/>
        </w:rPr>
        <w:t>‘stop when the fun stops’</w:t>
      </w:r>
      <w:r w:rsidR="00B52553" w:rsidRPr="00851192">
        <w:rPr>
          <w:rFonts w:ascii="Arial" w:hAnsi="Arial" w:cs="Arial"/>
        </w:rPr>
        <w:t xml:space="preserve"> by the </w:t>
      </w:r>
      <w:proofErr w:type="spellStart"/>
      <w:r w:rsidR="00B52553" w:rsidRPr="00851192">
        <w:rPr>
          <w:rFonts w:ascii="Arial" w:hAnsi="Arial" w:cs="Arial"/>
        </w:rPr>
        <w:t>Senet</w:t>
      </w:r>
      <w:proofErr w:type="spellEnd"/>
      <w:r w:rsidR="00B52553" w:rsidRPr="00851192">
        <w:rPr>
          <w:rFonts w:ascii="Arial" w:hAnsi="Arial" w:cs="Arial"/>
        </w:rPr>
        <w:t xml:space="preserve"> Group; an independent body set up to promote </w:t>
      </w:r>
      <w:r w:rsidR="003109BA" w:rsidRPr="00851192">
        <w:rPr>
          <w:rFonts w:ascii="Arial" w:hAnsi="Arial" w:cs="Arial"/>
        </w:rPr>
        <w:t>RG</w:t>
      </w:r>
      <w:r w:rsidR="00B4411A" w:rsidRPr="00851192">
        <w:rPr>
          <w:rFonts w:ascii="Arial" w:hAnsi="Arial" w:cs="Arial"/>
        </w:rPr>
        <w:t xml:space="preserve"> within the UK</w:t>
      </w:r>
      <w:r w:rsidR="00B52553" w:rsidRPr="00851192">
        <w:rPr>
          <w:rFonts w:ascii="Arial" w:hAnsi="Arial" w:cs="Arial"/>
        </w:rPr>
        <w:t xml:space="preserve"> </w:t>
      </w:r>
      <w:sdt>
        <w:sdtPr>
          <w:rPr>
            <w:rFonts w:ascii="Arial" w:hAnsi="Arial" w:cs="Arial"/>
          </w:rPr>
          <w:id w:val="518512163"/>
          <w:citation/>
        </w:sdtPr>
        <w:sdtEndPr/>
        <w:sdtContent>
          <w:r w:rsidR="00B52553" w:rsidRPr="00851192">
            <w:rPr>
              <w:rFonts w:ascii="Arial" w:hAnsi="Arial" w:cs="Arial"/>
            </w:rPr>
            <w:fldChar w:fldCharType="begin"/>
          </w:r>
          <w:r w:rsidR="00B52553" w:rsidRPr="00851192">
            <w:rPr>
              <w:rFonts w:ascii="Arial" w:hAnsi="Arial" w:cs="Arial"/>
            </w:rPr>
            <w:instrText xml:space="preserve">CITATION Wil18 \l 2057 </w:instrText>
          </w:r>
          <w:r w:rsidR="00B52553" w:rsidRPr="00851192">
            <w:rPr>
              <w:rFonts w:ascii="Arial" w:hAnsi="Arial" w:cs="Arial"/>
            </w:rPr>
            <w:fldChar w:fldCharType="separate"/>
          </w:r>
          <w:r w:rsidR="002D17EA" w:rsidRPr="00851192">
            <w:rPr>
              <w:rFonts w:ascii="Arial" w:hAnsi="Arial" w:cs="Arial"/>
              <w:noProof/>
            </w:rPr>
            <w:t>(Wilmot, 2018)</w:t>
          </w:r>
          <w:r w:rsidR="00B52553" w:rsidRPr="00851192">
            <w:rPr>
              <w:rFonts w:ascii="Arial" w:hAnsi="Arial" w:cs="Arial"/>
            </w:rPr>
            <w:fldChar w:fldCharType="end"/>
          </w:r>
        </w:sdtContent>
      </w:sdt>
      <w:r w:rsidR="00B52553" w:rsidRPr="00851192">
        <w:rPr>
          <w:rFonts w:ascii="Arial" w:hAnsi="Arial" w:cs="Arial"/>
        </w:rPr>
        <w:t xml:space="preserve">. </w:t>
      </w:r>
      <w:r w:rsidR="00724F06" w:rsidRPr="00851192">
        <w:rPr>
          <w:rFonts w:ascii="Arial" w:hAnsi="Arial" w:cs="Arial"/>
        </w:rPr>
        <w:t xml:space="preserve"> </w:t>
      </w:r>
    </w:p>
    <w:p w14:paraId="006C192F" w14:textId="361E8EA3" w:rsidR="00395639" w:rsidRPr="00851192" w:rsidRDefault="00724F06" w:rsidP="003B74DC">
      <w:pPr>
        <w:spacing w:line="360" w:lineRule="auto"/>
        <w:jc w:val="both"/>
        <w:rPr>
          <w:rFonts w:ascii="Arial" w:hAnsi="Arial" w:cs="Arial"/>
        </w:rPr>
      </w:pPr>
      <w:r w:rsidRPr="00851192">
        <w:rPr>
          <w:rFonts w:ascii="Arial" w:hAnsi="Arial" w:cs="Arial"/>
        </w:rPr>
        <w:t xml:space="preserve">However, the commitment to CSR initiatives can be questioned by </w:t>
      </w:r>
      <w:r w:rsidR="00006654" w:rsidRPr="00851192">
        <w:rPr>
          <w:rFonts w:ascii="Arial" w:hAnsi="Arial" w:cs="Arial"/>
        </w:rPr>
        <w:t>external stakeholders</w:t>
      </w:r>
      <w:r w:rsidRPr="00851192">
        <w:rPr>
          <w:rFonts w:ascii="Arial" w:hAnsi="Arial" w:cs="Arial"/>
        </w:rPr>
        <w:t xml:space="preserve"> where the deregulation of legislation</w:t>
      </w:r>
      <w:r w:rsidR="00006654" w:rsidRPr="00851192">
        <w:rPr>
          <w:rFonts w:ascii="Arial" w:hAnsi="Arial" w:cs="Arial"/>
        </w:rPr>
        <w:t xml:space="preserve"> within</w:t>
      </w:r>
      <w:r w:rsidR="003B0929" w:rsidRPr="00851192">
        <w:rPr>
          <w:rFonts w:ascii="Arial" w:hAnsi="Arial" w:cs="Arial"/>
        </w:rPr>
        <w:t xml:space="preserve"> international</w:t>
      </w:r>
      <w:r w:rsidR="00006654" w:rsidRPr="00851192">
        <w:rPr>
          <w:rFonts w:ascii="Arial" w:hAnsi="Arial" w:cs="Arial"/>
        </w:rPr>
        <w:t xml:space="preserve"> political jurisdictions have allowed</w:t>
      </w:r>
      <w:r w:rsidR="00E0381E" w:rsidRPr="00851192">
        <w:rPr>
          <w:rFonts w:ascii="Arial" w:hAnsi="Arial" w:cs="Arial"/>
        </w:rPr>
        <w:t xml:space="preserve"> GGO’s </w:t>
      </w:r>
      <w:r w:rsidR="00AD5143" w:rsidRPr="00851192">
        <w:rPr>
          <w:rFonts w:ascii="Arial" w:hAnsi="Arial" w:cs="Arial"/>
        </w:rPr>
        <w:t>to be more flexible</w:t>
      </w:r>
      <w:r w:rsidR="00006654" w:rsidRPr="00851192">
        <w:rPr>
          <w:rFonts w:ascii="Arial" w:hAnsi="Arial" w:cs="Arial"/>
        </w:rPr>
        <w:t xml:space="preserve"> and</w:t>
      </w:r>
      <w:r w:rsidRPr="00851192">
        <w:rPr>
          <w:rFonts w:ascii="Arial" w:hAnsi="Arial" w:cs="Arial"/>
        </w:rPr>
        <w:t xml:space="preserve"> more prominent</w:t>
      </w:r>
      <w:r w:rsidR="00E0381E" w:rsidRPr="00851192">
        <w:rPr>
          <w:rFonts w:ascii="Arial" w:hAnsi="Arial" w:cs="Arial"/>
        </w:rPr>
        <w:t>;</w:t>
      </w:r>
      <w:r w:rsidRPr="00851192">
        <w:rPr>
          <w:rFonts w:ascii="Arial" w:hAnsi="Arial" w:cs="Arial"/>
        </w:rPr>
        <w:t xml:space="preserve"> whereby the promotion of gambling is seen to be as a source of </w:t>
      </w:r>
      <w:r w:rsidR="00006654" w:rsidRPr="00851192">
        <w:rPr>
          <w:rFonts w:ascii="Arial" w:hAnsi="Arial" w:cs="Arial"/>
        </w:rPr>
        <w:t xml:space="preserve">societal benefit and national income. An example of </w:t>
      </w:r>
      <w:r w:rsidR="001C497B" w:rsidRPr="00851192">
        <w:rPr>
          <w:rFonts w:ascii="Arial" w:hAnsi="Arial" w:cs="Arial"/>
        </w:rPr>
        <w:t>this</w:t>
      </w:r>
      <w:r w:rsidR="00006654" w:rsidRPr="00851192">
        <w:rPr>
          <w:rFonts w:ascii="Arial" w:hAnsi="Arial" w:cs="Arial"/>
        </w:rPr>
        <w:t xml:space="preserve"> </w:t>
      </w:r>
      <w:r w:rsidR="001C497B" w:rsidRPr="00851192">
        <w:rPr>
          <w:rFonts w:ascii="Arial" w:hAnsi="Arial" w:cs="Arial"/>
        </w:rPr>
        <w:t>case is that</w:t>
      </w:r>
      <w:r w:rsidR="00006654" w:rsidRPr="00851192">
        <w:rPr>
          <w:rFonts w:ascii="Arial" w:hAnsi="Arial" w:cs="Arial"/>
        </w:rPr>
        <w:t xml:space="preserve"> such as</w:t>
      </w:r>
      <w:r w:rsidR="00AD5143" w:rsidRPr="00851192">
        <w:rPr>
          <w:rFonts w:ascii="Arial" w:hAnsi="Arial" w:cs="Arial"/>
        </w:rPr>
        <w:t xml:space="preserve"> the state </w:t>
      </w:r>
      <w:r w:rsidR="004F6817" w:rsidRPr="00851192">
        <w:rPr>
          <w:rFonts w:ascii="Arial" w:hAnsi="Arial" w:cs="Arial"/>
        </w:rPr>
        <w:t>legislature</w:t>
      </w:r>
      <w:r w:rsidR="00AD5143" w:rsidRPr="00851192">
        <w:rPr>
          <w:rFonts w:ascii="Arial" w:hAnsi="Arial" w:cs="Arial"/>
        </w:rPr>
        <w:t xml:space="preserve"> of Nevada empowering the ‘</w:t>
      </w:r>
      <w:r w:rsidR="00AD5143" w:rsidRPr="00851192">
        <w:rPr>
          <w:rFonts w:ascii="Arial" w:hAnsi="Arial" w:cs="Arial"/>
          <w:i/>
        </w:rPr>
        <w:t>Nevada G</w:t>
      </w:r>
      <w:r w:rsidRPr="00851192">
        <w:rPr>
          <w:rFonts w:ascii="Arial" w:hAnsi="Arial" w:cs="Arial"/>
          <w:i/>
        </w:rPr>
        <w:t xml:space="preserve">ambling </w:t>
      </w:r>
      <w:r w:rsidR="00AD5143" w:rsidRPr="00851192">
        <w:rPr>
          <w:rFonts w:ascii="Arial" w:hAnsi="Arial" w:cs="Arial"/>
          <w:i/>
        </w:rPr>
        <w:t>C</w:t>
      </w:r>
      <w:r w:rsidRPr="00851192">
        <w:rPr>
          <w:rFonts w:ascii="Arial" w:hAnsi="Arial" w:cs="Arial"/>
          <w:i/>
        </w:rPr>
        <w:t>ommission</w:t>
      </w:r>
      <w:r w:rsidR="00AD5143" w:rsidRPr="00851192">
        <w:rPr>
          <w:rFonts w:ascii="Arial" w:hAnsi="Arial" w:cs="Arial"/>
          <w:i/>
        </w:rPr>
        <w:t xml:space="preserve">’ </w:t>
      </w:r>
      <w:r w:rsidR="00AD5143" w:rsidRPr="00851192">
        <w:rPr>
          <w:rFonts w:ascii="Arial" w:hAnsi="Arial" w:cs="Arial"/>
        </w:rPr>
        <w:t xml:space="preserve">to promote and build relationships with </w:t>
      </w:r>
      <w:r w:rsidR="00E0381E" w:rsidRPr="00851192">
        <w:rPr>
          <w:rFonts w:ascii="Arial" w:hAnsi="Arial" w:cs="Arial"/>
        </w:rPr>
        <w:t>GGO’s</w:t>
      </w:r>
      <w:r w:rsidR="00006654" w:rsidRPr="00851192">
        <w:rPr>
          <w:rFonts w:ascii="Arial" w:hAnsi="Arial" w:cs="Arial"/>
        </w:rPr>
        <w:t xml:space="preserve">. </w:t>
      </w:r>
      <w:r w:rsidR="00D26CB6" w:rsidRPr="00851192">
        <w:rPr>
          <w:rFonts w:ascii="Arial" w:hAnsi="Arial" w:cs="Arial"/>
        </w:rPr>
        <w:t>The Nevada Gambling Commission insist that t</w:t>
      </w:r>
      <w:r w:rsidR="00006654" w:rsidRPr="00851192">
        <w:rPr>
          <w:rFonts w:ascii="Arial" w:hAnsi="Arial" w:cs="Arial"/>
        </w:rPr>
        <w:t>hrough developing relationships, the state will be able to</w:t>
      </w:r>
      <w:r w:rsidR="00D26CB6" w:rsidRPr="00851192">
        <w:rPr>
          <w:rFonts w:ascii="Arial" w:hAnsi="Arial" w:cs="Arial"/>
        </w:rPr>
        <w:t xml:space="preserve"> increase state and national income by</w:t>
      </w:r>
      <w:r w:rsidR="00006654" w:rsidRPr="00851192">
        <w:rPr>
          <w:rFonts w:ascii="Arial" w:hAnsi="Arial" w:cs="Arial"/>
        </w:rPr>
        <w:t xml:space="preserve"> develop</w:t>
      </w:r>
      <w:r w:rsidR="00D26CB6" w:rsidRPr="00851192">
        <w:rPr>
          <w:rFonts w:ascii="Arial" w:hAnsi="Arial" w:cs="Arial"/>
        </w:rPr>
        <w:t>ing</w:t>
      </w:r>
      <w:r w:rsidR="00006654" w:rsidRPr="00851192">
        <w:rPr>
          <w:rFonts w:ascii="Arial" w:hAnsi="Arial" w:cs="Arial"/>
        </w:rPr>
        <w:t xml:space="preserve"> the onl</w:t>
      </w:r>
      <w:r w:rsidR="00D26CB6" w:rsidRPr="00851192">
        <w:rPr>
          <w:rFonts w:ascii="Arial" w:hAnsi="Arial" w:cs="Arial"/>
        </w:rPr>
        <w:t>ine gambling market</w:t>
      </w:r>
      <w:r w:rsidR="001C497B" w:rsidRPr="00851192">
        <w:rPr>
          <w:rFonts w:ascii="Arial" w:hAnsi="Arial" w:cs="Arial"/>
        </w:rPr>
        <w:t>. They believe this can be</w:t>
      </w:r>
      <w:r w:rsidR="00D26CB6" w:rsidRPr="00851192">
        <w:rPr>
          <w:rFonts w:ascii="Arial" w:hAnsi="Arial" w:cs="Arial"/>
        </w:rPr>
        <w:t xml:space="preserve"> </w:t>
      </w:r>
      <w:r w:rsidR="001C497B" w:rsidRPr="00851192">
        <w:rPr>
          <w:rFonts w:ascii="Arial" w:hAnsi="Arial" w:cs="Arial"/>
        </w:rPr>
        <w:t>achieved by</w:t>
      </w:r>
      <w:r w:rsidR="00AD5143" w:rsidRPr="00851192">
        <w:rPr>
          <w:rFonts w:ascii="Arial" w:hAnsi="Arial" w:cs="Arial"/>
        </w:rPr>
        <w:t xml:space="preserve"> develop</w:t>
      </w:r>
      <w:r w:rsidR="001C497B" w:rsidRPr="00851192">
        <w:rPr>
          <w:rFonts w:ascii="Arial" w:hAnsi="Arial" w:cs="Arial"/>
        </w:rPr>
        <w:t>ing</w:t>
      </w:r>
      <w:r w:rsidR="00E0381E" w:rsidRPr="00851192">
        <w:rPr>
          <w:rFonts w:ascii="Arial" w:hAnsi="Arial" w:cs="Arial"/>
        </w:rPr>
        <w:t>;</w:t>
      </w:r>
      <w:r w:rsidR="00AD5143" w:rsidRPr="00851192">
        <w:rPr>
          <w:rFonts w:ascii="Arial" w:hAnsi="Arial" w:cs="Arial"/>
        </w:rPr>
        <w:t xml:space="preserve"> online poker gambling, </w:t>
      </w:r>
      <w:r w:rsidR="00D26CB6" w:rsidRPr="00851192">
        <w:rPr>
          <w:rFonts w:ascii="Arial" w:hAnsi="Arial" w:cs="Arial"/>
        </w:rPr>
        <w:t xml:space="preserve">networking with </w:t>
      </w:r>
      <w:r w:rsidR="00AD5143" w:rsidRPr="00851192">
        <w:rPr>
          <w:rFonts w:ascii="Arial" w:hAnsi="Arial" w:cs="Arial"/>
        </w:rPr>
        <w:t xml:space="preserve">manufacturers of internet gaming systems, </w:t>
      </w:r>
      <w:r w:rsidR="00D26CB6" w:rsidRPr="00851192">
        <w:rPr>
          <w:rFonts w:ascii="Arial" w:hAnsi="Arial" w:cs="Arial"/>
        </w:rPr>
        <w:t xml:space="preserve">interacting with </w:t>
      </w:r>
      <w:r w:rsidR="00AD5143" w:rsidRPr="00851192">
        <w:rPr>
          <w:rFonts w:ascii="Arial" w:hAnsi="Arial" w:cs="Arial"/>
        </w:rPr>
        <w:t>manufacturers of equipment associated with internet gaming</w:t>
      </w:r>
      <w:r w:rsidR="00E0381E" w:rsidRPr="00851192">
        <w:rPr>
          <w:rFonts w:ascii="Arial" w:hAnsi="Arial" w:cs="Arial"/>
        </w:rPr>
        <w:t>. The aim is to</w:t>
      </w:r>
      <w:r w:rsidR="00AD5143" w:rsidRPr="00851192">
        <w:rPr>
          <w:rFonts w:ascii="Arial" w:hAnsi="Arial" w:cs="Arial"/>
        </w:rPr>
        <w:t xml:space="preserve"> build relationships with interactive gaming systems which provide services</w:t>
      </w:r>
      <w:r w:rsidRPr="00851192">
        <w:rPr>
          <w:rFonts w:ascii="Arial" w:hAnsi="Arial" w:cs="Arial"/>
        </w:rPr>
        <w:t>,</w:t>
      </w:r>
      <w:r w:rsidR="00AD5143" w:rsidRPr="00851192">
        <w:rPr>
          <w:rFonts w:ascii="Arial" w:hAnsi="Arial" w:cs="Arial"/>
        </w:rPr>
        <w:t xml:space="preserve"> software and equipment</w:t>
      </w:r>
      <w:r w:rsidR="00E0381E" w:rsidRPr="00851192">
        <w:rPr>
          <w:rFonts w:ascii="Arial" w:hAnsi="Arial" w:cs="Arial"/>
        </w:rPr>
        <w:t>, and</w:t>
      </w:r>
      <w:r w:rsidR="00AD5143" w:rsidRPr="00851192">
        <w:rPr>
          <w:rFonts w:ascii="Arial" w:hAnsi="Arial" w:cs="Arial"/>
        </w:rPr>
        <w:t xml:space="preserve"> develop the market of online gambling </w:t>
      </w:r>
      <w:sdt>
        <w:sdtPr>
          <w:rPr>
            <w:rFonts w:ascii="Arial" w:hAnsi="Arial" w:cs="Arial"/>
          </w:rPr>
          <w:id w:val="1024215201"/>
          <w:citation/>
        </w:sdtPr>
        <w:sdtEndPr/>
        <w:sdtContent>
          <w:r w:rsidR="00AD5143" w:rsidRPr="00851192">
            <w:rPr>
              <w:rFonts w:ascii="Arial" w:hAnsi="Arial" w:cs="Arial"/>
            </w:rPr>
            <w:fldChar w:fldCharType="begin"/>
          </w:r>
          <w:r w:rsidR="00AD5143" w:rsidRPr="00851192">
            <w:rPr>
              <w:rFonts w:ascii="Arial" w:hAnsi="Arial" w:cs="Arial"/>
            </w:rPr>
            <w:instrText xml:space="preserve"> CITATION Car16 \l 2057 </w:instrText>
          </w:r>
          <w:r w:rsidR="00AD5143" w:rsidRPr="00851192">
            <w:rPr>
              <w:rFonts w:ascii="Arial" w:hAnsi="Arial" w:cs="Arial"/>
            </w:rPr>
            <w:fldChar w:fldCharType="separate"/>
          </w:r>
          <w:r w:rsidR="002D17EA" w:rsidRPr="00851192">
            <w:rPr>
              <w:rFonts w:ascii="Arial" w:hAnsi="Arial" w:cs="Arial"/>
              <w:noProof/>
            </w:rPr>
            <w:t>(Carleton, 2016)</w:t>
          </w:r>
          <w:r w:rsidR="00AD5143" w:rsidRPr="00851192">
            <w:rPr>
              <w:rFonts w:ascii="Arial" w:hAnsi="Arial" w:cs="Arial"/>
            </w:rPr>
            <w:fldChar w:fldCharType="end"/>
          </w:r>
        </w:sdtContent>
      </w:sdt>
      <w:r w:rsidR="00AD5143" w:rsidRPr="00851192">
        <w:rPr>
          <w:rFonts w:ascii="Arial" w:hAnsi="Arial" w:cs="Arial"/>
        </w:rPr>
        <w:t xml:space="preserve">. </w:t>
      </w:r>
      <w:r w:rsidRPr="00851192">
        <w:rPr>
          <w:rFonts w:ascii="Arial" w:hAnsi="Arial" w:cs="Arial"/>
        </w:rPr>
        <w:t xml:space="preserve"> </w:t>
      </w:r>
    </w:p>
    <w:p w14:paraId="4E00DB34" w14:textId="29A565DE" w:rsidR="00B52553" w:rsidRPr="00851192" w:rsidRDefault="00F444AC" w:rsidP="003B74DC">
      <w:pPr>
        <w:spacing w:line="360" w:lineRule="auto"/>
        <w:jc w:val="both"/>
        <w:rPr>
          <w:rFonts w:ascii="Arial" w:hAnsi="Arial" w:cs="Arial"/>
        </w:rPr>
      </w:pPr>
      <w:r w:rsidRPr="00851192">
        <w:rPr>
          <w:rFonts w:ascii="Arial" w:hAnsi="Arial" w:cs="Arial"/>
        </w:rPr>
        <w:t xml:space="preserve">For </w:t>
      </w:r>
      <w:r w:rsidR="00E0381E" w:rsidRPr="00851192">
        <w:rPr>
          <w:rFonts w:ascii="Arial" w:hAnsi="Arial" w:cs="Arial"/>
        </w:rPr>
        <w:t>GGO’s</w:t>
      </w:r>
      <w:r w:rsidRPr="00851192">
        <w:rPr>
          <w:rFonts w:ascii="Arial" w:hAnsi="Arial" w:cs="Arial"/>
        </w:rPr>
        <w:t xml:space="preserve"> such as B</w:t>
      </w:r>
      <w:r w:rsidR="00E0381E" w:rsidRPr="00851192">
        <w:rPr>
          <w:rFonts w:ascii="Arial" w:hAnsi="Arial" w:cs="Arial"/>
        </w:rPr>
        <w:t>et</w:t>
      </w:r>
      <w:r w:rsidRPr="00851192">
        <w:rPr>
          <w:rFonts w:ascii="Arial" w:hAnsi="Arial" w:cs="Arial"/>
        </w:rPr>
        <w:t>365</w:t>
      </w:r>
      <w:r w:rsidR="00261EA0" w:rsidRPr="00851192">
        <w:rPr>
          <w:rFonts w:ascii="Arial" w:hAnsi="Arial" w:cs="Arial"/>
        </w:rPr>
        <w:t xml:space="preserve">, </w:t>
      </w:r>
      <w:proofErr w:type="spellStart"/>
      <w:r w:rsidR="00261EA0" w:rsidRPr="00851192">
        <w:rPr>
          <w:rFonts w:ascii="Arial" w:hAnsi="Arial" w:cs="Arial"/>
        </w:rPr>
        <w:t>Bwin</w:t>
      </w:r>
      <w:proofErr w:type="spellEnd"/>
      <w:r w:rsidR="00261EA0" w:rsidRPr="00851192">
        <w:rPr>
          <w:rFonts w:ascii="Arial" w:hAnsi="Arial" w:cs="Arial"/>
        </w:rPr>
        <w:t xml:space="preserve"> and </w:t>
      </w:r>
      <w:r w:rsidR="00F028FD" w:rsidRPr="00851192">
        <w:rPr>
          <w:rFonts w:ascii="Arial" w:hAnsi="Arial" w:cs="Arial"/>
        </w:rPr>
        <w:t>Asia</w:t>
      </w:r>
      <w:r w:rsidR="00E0381E" w:rsidRPr="00851192">
        <w:rPr>
          <w:rFonts w:ascii="Arial" w:hAnsi="Arial" w:cs="Arial"/>
        </w:rPr>
        <w:t>-</w:t>
      </w:r>
      <w:r w:rsidR="00F028FD" w:rsidRPr="00851192">
        <w:rPr>
          <w:rFonts w:ascii="Arial" w:hAnsi="Arial" w:cs="Arial"/>
        </w:rPr>
        <w:t>Gaming</w:t>
      </w:r>
      <w:r w:rsidR="00261EA0" w:rsidRPr="00851192">
        <w:rPr>
          <w:rFonts w:ascii="Arial" w:hAnsi="Arial" w:cs="Arial"/>
        </w:rPr>
        <w:t xml:space="preserve"> who all have an influence on the online Las Vegas market, a disclosure towards these organisations corporate vision and mission to address the issues of </w:t>
      </w:r>
      <w:r w:rsidR="00E0381E" w:rsidRPr="00851192">
        <w:rPr>
          <w:rFonts w:ascii="Arial" w:hAnsi="Arial" w:cs="Arial"/>
        </w:rPr>
        <w:t>PG</w:t>
      </w:r>
      <w:r w:rsidR="00261EA0" w:rsidRPr="00851192">
        <w:rPr>
          <w:rFonts w:ascii="Arial" w:hAnsi="Arial" w:cs="Arial"/>
        </w:rPr>
        <w:t xml:space="preserve"> may come across as controversial</w:t>
      </w:r>
      <w:r w:rsidR="00FC3993" w:rsidRPr="00851192">
        <w:rPr>
          <w:rFonts w:ascii="Arial" w:hAnsi="Arial" w:cs="Arial"/>
        </w:rPr>
        <w:t xml:space="preserve"> and possibly</w:t>
      </w:r>
      <w:r w:rsidR="003766CB" w:rsidRPr="00851192">
        <w:rPr>
          <w:rFonts w:ascii="Arial" w:hAnsi="Arial" w:cs="Arial"/>
        </w:rPr>
        <w:t xml:space="preserve"> hinder the organisations means of </w:t>
      </w:r>
      <w:r w:rsidR="00FC3993" w:rsidRPr="00851192">
        <w:rPr>
          <w:rFonts w:ascii="Arial" w:hAnsi="Arial" w:cs="Arial"/>
        </w:rPr>
        <w:t xml:space="preserve">effective </w:t>
      </w:r>
      <w:r w:rsidR="003766CB" w:rsidRPr="00851192">
        <w:rPr>
          <w:rFonts w:ascii="Arial" w:hAnsi="Arial" w:cs="Arial"/>
        </w:rPr>
        <w:t>CSR communication to external stakeholders</w:t>
      </w:r>
      <w:r w:rsidR="00261EA0" w:rsidRPr="00851192">
        <w:rPr>
          <w:rFonts w:ascii="Arial" w:hAnsi="Arial" w:cs="Arial"/>
        </w:rPr>
        <w:t xml:space="preserve">.   </w:t>
      </w:r>
    </w:p>
    <w:p w14:paraId="16D19585" w14:textId="56ACFF88" w:rsidR="004859E1" w:rsidRPr="00851192" w:rsidRDefault="00DF7255" w:rsidP="00DF7255">
      <w:pPr>
        <w:pStyle w:val="Heading1"/>
        <w:rPr>
          <w:rFonts w:ascii="Arial" w:hAnsi="Arial" w:cs="Arial"/>
          <w:color w:val="auto"/>
        </w:rPr>
      </w:pPr>
      <w:bookmarkStart w:id="19" w:name="_Toc526434220"/>
      <w:r w:rsidRPr="00851192">
        <w:rPr>
          <w:rFonts w:ascii="Arial" w:hAnsi="Arial" w:cs="Arial"/>
          <w:color w:val="auto"/>
        </w:rPr>
        <w:t>2.</w:t>
      </w:r>
      <w:r w:rsidR="003B74DC" w:rsidRPr="00851192">
        <w:rPr>
          <w:rFonts w:ascii="Arial" w:hAnsi="Arial" w:cs="Arial"/>
          <w:color w:val="auto"/>
        </w:rPr>
        <w:t>8</w:t>
      </w:r>
      <w:r w:rsidRPr="00851192">
        <w:rPr>
          <w:rFonts w:ascii="Arial" w:hAnsi="Arial" w:cs="Arial"/>
          <w:color w:val="auto"/>
        </w:rPr>
        <w:t xml:space="preserve"> </w:t>
      </w:r>
      <w:r w:rsidR="004859E1" w:rsidRPr="00851192">
        <w:rPr>
          <w:rFonts w:ascii="Arial" w:hAnsi="Arial" w:cs="Arial"/>
          <w:color w:val="auto"/>
        </w:rPr>
        <w:t>Managing Stakeholders’ through CSR Communication</w:t>
      </w:r>
      <w:bookmarkEnd w:id="19"/>
    </w:p>
    <w:p w14:paraId="474FA82F" w14:textId="5EFD8A80" w:rsidR="00395639" w:rsidRPr="00851192" w:rsidRDefault="00B52553" w:rsidP="003B74DC">
      <w:pPr>
        <w:spacing w:line="360" w:lineRule="auto"/>
        <w:jc w:val="both"/>
        <w:rPr>
          <w:rFonts w:ascii="Arial" w:hAnsi="Arial" w:cs="Arial"/>
        </w:rPr>
      </w:pPr>
      <w:proofErr w:type="spellStart"/>
      <w:r w:rsidRPr="00851192">
        <w:rPr>
          <w:rFonts w:ascii="Arial" w:hAnsi="Arial" w:cs="Arial"/>
        </w:rPr>
        <w:t>Podnar</w:t>
      </w:r>
      <w:proofErr w:type="spellEnd"/>
      <w:r w:rsidRPr="00851192">
        <w:rPr>
          <w:rFonts w:ascii="Arial" w:hAnsi="Arial" w:cs="Arial"/>
        </w:rPr>
        <w:t xml:space="preserve"> (2008) describes CSR communications as a process for organisations to anticipate stakeholders’ expectations. This is done by implementing an effective CSR policy which is </w:t>
      </w:r>
      <w:r w:rsidRPr="00851192">
        <w:rPr>
          <w:rFonts w:ascii="Arial" w:hAnsi="Arial" w:cs="Arial"/>
        </w:rPr>
        <w:lastRenderedPageBreak/>
        <w:t xml:space="preserve">transparent and acted on reflecting the organisations corporate image and intentions to benefit and add value to its operations. This also considers </w:t>
      </w:r>
      <w:r w:rsidR="00DF0C33" w:rsidRPr="00851192">
        <w:rPr>
          <w:rFonts w:ascii="Arial" w:hAnsi="Arial" w:cs="Arial"/>
        </w:rPr>
        <w:t>a</w:t>
      </w:r>
      <w:r w:rsidRPr="00851192">
        <w:rPr>
          <w:rFonts w:ascii="Arial" w:hAnsi="Arial" w:cs="Arial"/>
        </w:rPr>
        <w:t xml:space="preserve"> company’s social and external environment alongside having a constructive and positive relationship with its stakeholders. CSR communications also provides itself to allow an organisation to strategically market its corporate identity. This provides an opportunity for businesses to formulate and tailor ethical perceptions and social legitimacy driven by activities carried out by the company (</w:t>
      </w:r>
      <w:proofErr w:type="spellStart"/>
      <w:r w:rsidRPr="00851192">
        <w:rPr>
          <w:rFonts w:ascii="Arial" w:hAnsi="Arial" w:cs="Arial"/>
        </w:rPr>
        <w:t>Balmer</w:t>
      </w:r>
      <w:proofErr w:type="spellEnd"/>
      <w:r w:rsidRPr="00851192">
        <w:rPr>
          <w:rFonts w:ascii="Arial" w:hAnsi="Arial" w:cs="Arial"/>
        </w:rPr>
        <w:t xml:space="preserve"> et al., 2007). </w:t>
      </w:r>
    </w:p>
    <w:p w14:paraId="0AD7530B" w14:textId="3B882BBB" w:rsidR="00395639" w:rsidRPr="00851192" w:rsidRDefault="00B52553" w:rsidP="003B74DC">
      <w:pPr>
        <w:spacing w:line="360" w:lineRule="auto"/>
        <w:jc w:val="both"/>
        <w:rPr>
          <w:rFonts w:ascii="Arial" w:hAnsi="Arial" w:cs="Arial"/>
        </w:rPr>
      </w:pPr>
      <w:r w:rsidRPr="00851192">
        <w:rPr>
          <w:rFonts w:ascii="Arial" w:hAnsi="Arial" w:cs="Arial"/>
        </w:rPr>
        <w:t xml:space="preserve">The aim of corporate communication as suggested by </w:t>
      </w:r>
      <w:proofErr w:type="spellStart"/>
      <w:r w:rsidRPr="00851192">
        <w:rPr>
          <w:rFonts w:ascii="Arial" w:hAnsi="Arial" w:cs="Arial"/>
        </w:rPr>
        <w:t>Argenti</w:t>
      </w:r>
      <w:proofErr w:type="spellEnd"/>
      <w:r w:rsidRPr="00851192">
        <w:rPr>
          <w:rFonts w:ascii="Arial" w:hAnsi="Arial" w:cs="Arial"/>
        </w:rPr>
        <w:t xml:space="preserve"> &amp; </w:t>
      </w:r>
      <w:proofErr w:type="spellStart"/>
      <w:r w:rsidRPr="00851192">
        <w:rPr>
          <w:rFonts w:ascii="Arial" w:hAnsi="Arial" w:cs="Arial"/>
        </w:rPr>
        <w:t>Druckermiller</w:t>
      </w:r>
      <w:proofErr w:type="spellEnd"/>
      <w:r w:rsidRPr="00851192">
        <w:rPr>
          <w:rFonts w:ascii="Arial" w:hAnsi="Arial" w:cs="Arial"/>
        </w:rPr>
        <w:t xml:space="preserve"> (2002) is to manage all internal and external communications within the organisation with an objective to create favourable relationships between the business and key </w:t>
      </w:r>
      <w:r w:rsidR="009B06EB" w:rsidRPr="00851192">
        <w:rPr>
          <w:rFonts w:ascii="Arial" w:hAnsi="Arial" w:cs="Arial"/>
        </w:rPr>
        <w:t>stakeholders</w:t>
      </w:r>
      <w:r w:rsidRPr="00851192">
        <w:rPr>
          <w:rFonts w:ascii="Arial" w:hAnsi="Arial" w:cs="Arial"/>
        </w:rPr>
        <w:t xml:space="preserve">. This meaning that proposed projects or ideas put forward by </w:t>
      </w:r>
      <w:r w:rsidR="00E0381E" w:rsidRPr="00851192">
        <w:rPr>
          <w:rFonts w:ascii="Arial" w:hAnsi="Arial" w:cs="Arial"/>
        </w:rPr>
        <w:t>GGO’s</w:t>
      </w:r>
      <w:r w:rsidRPr="00851192">
        <w:rPr>
          <w:rFonts w:ascii="Arial" w:hAnsi="Arial" w:cs="Arial"/>
        </w:rPr>
        <w:t xml:space="preserve"> will be fully supported and have the backing from key stakeholders</w:t>
      </w:r>
      <w:r w:rsidR="00E0381E" w:rsidRPr="00851192">
        <w:rPr>
          <w:rFonts w:ascii="Arial" w:hAnsi="Arial" w:cs="Arial"/>
        </w:rPr>
        <w:t xml:space="preserve"> (society)</w:t>
      </w:r>
      <w:r w:rsidRPr="00851192">
        <w:rPr>
          <w:rFonts w:ascii="Arial" w:hAnsi="Arial" w:cs="Arial"/>
        </w:rPr>
        <w:t xml:space="preserve"> which may be impacted</w:t>
      </w:r>
      <w:r w:rsidR="001C497B" w:rsidRPr="00851192">
        <w:rPr>
          <w:rFonts w:ascii="Arial" w:hAnsi="Arial" w:cs="Arial"/>
        </w:rPr>
        <w:t xml:space="preserve"> by</w:t>
      </w:r>
      <w:r w:rsidRPr="00851192">
        <w:rPr>
          <w:rFonts w:ascii="Arial" w:hAnsi="Arial" w:cs="Arial"/>
        </w:rPr>
        <w:t xml:space="preserve"> </w:t>
      </w:r>
      <w:r w:rsidR="00E0381E" w:rsidRPr="00851192">
        <w:rPr>
          <w:rFonts w:ascii="Arial" w:hAnsi="Arial" w:cs="Arial"/>
        </w:rPr>
        <w:t>negative externalities</w:t>
      </w:r>
      <w:r w:rsidRPr="00851192">
        <w:rPr>
          <w:rFonts w:ascii="Arial" w:hAnsi="Arial" w:cs="Arial"/>
        </w:rPr>
        <w:t>.</w:t>
      </w:r>
      <w:r w:rsidR="003B0929" w:rsidRPr="00851192">
        <w:rPr>
          <w:rFonts w:ascii="Arial" w:hAnsi="Arial" w:cs="Arial"/>
        </w:rPr>
        <w:t xml:space="preserve"> Businesses can effectively manage stakeholders by implementing an effective model which adds value to the management of its stakeholders. Tata and Prasad’s model (</w:t>
      </w:r>
      <w:r w:rsidR="001516D4" w:rsidRPr="00851192">
        <w:rPr>
          <w:rFonts w:ascii="Arial" w:hAnsi="Arial" w:cs="Arial"/>
          <w:b/>
          <w:i/>
        </w:rPr>
        <w:t>Figure 2.3</w:t>
      </w:r>
      <w:r w:rsidR="003B0929" w:rsidRPr="00851192">
        <w:rPr>
          <w:rFonts w:ascii="Arial" w:hAnsi="Arial" w:cs="Arial"/>
        </w:rPr>
        <w:t>) provide</w:t>
      </w:r>
      <w:r w:rsidR="00E0381E" w:rsidRPr="00851192">
        <w:rPr>
          <w:rFonts w:ascii="Arial" w:hAnsi="Arial" w:cs="Arial"/>
        </w:rPr>
        <w:t>s</w:t>
      </w:r>
      <w:r w:rsidR="003B0929" w:rsidRPr="00851192">
        <w:rPr>
          <w:rFonts w:ascii="Arial" w:hAnsi="Arial" w:cs="Arial"/>
        </w:rPr>
        <w:t xml:space="preserve"> this skill to businesses</w:t>
      </w:r>
      <w:r w:rsidR="001C497B" w:rsidRPr="00851192">
        <w:rPr>
          <w:rFonts w:ascii="Arial" w:hAnsi="Arial" w:cs="Arial"/>
        </w:rPr>
        <w:t xml:space="preserve"> which will be introduced later in this chapter</w:t>
      </w:r>
      <w:r w:rsidR="003B0929" w:rsidRPr="00851192">
        <w:rPr>
          <w:rFonts w:ascii="Arial" w:hAnsi="Arial" w:cs="Arial"/>
        </w:rPr>
        <w:t>. Even so,</w:t>
      </w:r>
      <w:r w:rsidR="00D8692E" w:rsidRPr="00851192">
        <w:rPr>
          <w:rFonts w:ascii="Arial" w:hAnsi="Arial" w:cs="Arial"/>
        </w:rPr>
        <w:t xml:space="preserve"> </w:t>
      </w:r>
      <w:r w:rsidR="003B0929" w:rsidRPr="00851192">
        <w:rPr>
          <w:rFonts w:ascii="Arial" w:hAnsi="Arial" w:cs="Arial"/>
        </w:rPr>
        <w:t>i</w:t>
      </w:r>
      <w:r w:rsidR="00DF0C33" w:rsidRPr="00851192">
        <w:rPr>
          <w:rFonts w:ascii="Arial" w:hAnsi="Arial" w:cs="Arial"/>
        </w:rPr>
        <w:t>n the case of</w:t>
      </w:r>
      <w:r w:rsidR="00D8692E" w:rsidRPr="00851192">
        <w:rPr>
          <w:rFonts w:ascii="Arial" w:hAnsi="Arial" w:cs="Arial"/>
        </w:rPr>
        <w:t xml:space="preserve"> </w:t>
      </w:r>
      <w:r w:rsidR="00E0381E" w:rsidRPr="00851192">
        <w:rPr>
          <w:rFonts w:ascii="Arial" w:hAnsi="Arial" w:cs="Arial"/>
        </w:rPr>
        <w:t>GGO’s</w:t>
      </w:r>
      <w:r w:rsidR="00D8692E" w:rsidRPr="00851192">
        <w:rPr>
          <w:rFonts w:ascii="Arial" w:hAnsi="Arial" w:cs="Arial"/>
        </w:rPr>
        <w:t xml:space="preserve">, projects to support </w:t>
      </w:r>
      <w:r w:rsidR="00E0381E" w:rsidRPr="00851192">
        <w:rPr>
          <w:rFonts w:ascii="Arial" w:hAnsi="Arial" w:cs="Arial"/>
        </w:rPr>
        <w:t>PG</w:t>
      </w:r>
      <w:r w:rsidR="00D8692E" w:rsidRPr="00851192">
        <w:rPr>
          <w:rFonts w:ascii="Arial" w:hAnsi="Arial" w:cs="Arial"/>
        </w:rPr>
        <w:t xml:space="preserve"> are fully supported through investment contributed by </w:t>
      </w:r>
      <w:r w:rsidR="00033972" w:rsidRPr="00851192">
        <w:rPr>
          <w:rFonts w:ascii="Arial" w:hAnsi="Arial" w:cs="Arial"/>
        </w:rPr>
        <w:t>GGO’s such</w:t>
      </w:r>
      <w:r w:rsidR="00445D17" w:rsidRPr="00851192">
        <w:rPr>
          <w:rFonts w:ascii="Arial" w:hAnsi="Arial" w:cs="Arial"/>
        </w:rPr>
        <w:t xml:space="preserve"> as B</w:t>
      </w:r>
      <w:r w:rsidR="00E0381E" w:rsidRPr="00851192">
        <w:rPr>
          <w:rFonts w:ascii="Arial" w:hAnsi="Arial" w:cs="Arial"/>
        </w:rPr>
        <w:t>et</w:t>
      </w:r>
      <w:r w:rsidR="001C497B" w:rsidRPr="00851192">
        <w:rPr>
          <w:rFonts w:ascii="Arial" w:hAnsi="Arial" w:cs="Arial"/>
        </w:rPr>
        <w:t xml:space="preserve"> </w:t>
      </w:r>
      <w:r w:rsidR="00445D17" w:rsidRPr="00851192">
        <w:rPr>
          <w:rFonts w:ascii="Arial" w:hAnsi="Arial" w:cs="Arial"/>
        </w:rPr>
        <w:t>365</w:t>
      </w:r>
      <w:r w:rsidR="00E0381E" w:rsidRPr="00851192">
        <w:rPr>
          <w:rFonts w:ascii="Arial" w:hAnsi="Arial" w:cs="Arial"/>
        </w:rPr>
        <w:t xml:space="preserve"> and </w:t>
      </w:r>
      <w:proofErr w:type="spellStart"/>
      <w:r w:rsidR="00E0381E" w:rsidRPr="00851192">
        <w:rPr>
          <w:rFonts w:ascii="Arial" w:hAnsi="Arial" w:cs="Arial"/>
        </w:rPr>
        <w:t>Bwin</w:t>
      </w:r>
      <w:proofErr w:type="spellEnd"/>
      <w:r w:rsidR="00033972" w:rsidRPr="00851192">
        <w:rPr>
          <w:rFonts w:ascii="Arial" w:hAnsi="Arial" w:cs="Arial"/>
        </w:rPr>
        <w:t xml:space="preserve"> </w:t>
      </w:r>
      <w:r w:rsidR="00033972" w:rsidRPr="00851192">
        <w:rPr>
          <w:rFonts w:ascii="Arial" w:hAnsi="Arial" w:cs="Arial"/>
          <w:noProof/>
        </w:rPr>
        <w:t>(Bet</w:t>
      </w:r>
      <w:r w:rsidR="001C497B" w:rsidRPr="00851192">
        <w:rPr>
          <w:rFonts w:ascii="Arial" w:hAnsi="Arial" w:cs="Arial"/>
          <w:noProof/>
        </w:rPr>
        <w:t xml:space="preserve"> </w:t>
      </w:r>
      <w:r w:rsidR="00033972" w:rsidRPr="00851192">
        <w:rPr>
          <w:rFonts w:ascii="Arial" w:hAnsi="Arial" w:cs="Arial"/>
          <w:noProof/>
        </w:rPr>
        <w:t>365 Group Limited, 2017; GVC Holdings - Bwin, 2017)</w:t>
      </w:r>
      <w:r w:rsidR="00D8692E" w:rsidRPr="00851192">
        <w:rPr>
          <w:rFonts w:ascii="Arial" w:hAnsi="Arial" w:cs="Arial"/>
        </w:rPr>
        <w:t xml:space="preserve">. </w:t>
      </w:r>
    </w:p>
    <w:p w14:paraId="147157AD" w14:textId="31BB7078" w:rsidR="00242D9B" w:rsidRPr="00851192" w:rsidRDefault="00D8692E" w:rsidP="003B74DC">
      <w:pPr>
        <w:spacing w:line="360" w:lineRule="auto"/>
        <w:jc w:val="both"/>
        <w:rPr>
          <w:rFonts w:ascii="Arial" w:hAnsi="Arial" w:cs="Arial"/>
        </w:rPr>
      </w:pPr>
      <w:r w:rsidRPr="00851192">
        <w:rPr>
          <w:rFonts w:ascii="Arial" w:hAnsi="Arial" w:cs="Arial"/>
        </w:rPr>
        <w:t>In the United States,</w:t>
      </w:r>
      <w:r w:rsidR="001C497B" w:rsidRPr="00851192">
        <w:rPr>
          <w:rFonts w:ascii="Arial" w:hAnsi="Arial" w:cs="Arial"/>
        </w:rPr>
        <w:t xml:space="preserve"> best practices towards RG have been implemented to reduce the level of PG.</w:t>
      </w:r>
      <w:r w:rsidRPr="00851192">
        <w:rPr>
          <w:rFonts w:ascii="Arial" w:hAnsi="Arial" w:cs="Arial"/>
        </w:rPr>
        <w:t xml:space="preserve"> </w:t>
      </w:r>
      <w:r w:rsidR="001C497B" w:rsidRPr="00851192">
        <w:rPr>
          <w:rFonts w:ascii="Arial" w:hAnsi="Arial" w:cs="Arial"/>
        </w:rPr>
        <w:t>T</w:t>
      </w:r>
      <w:r w:rsidRPr="00851192">
        <w:rPr>
          <w:rFonts w:ascii="Arial" w:hAnsi="Arial" w:cs="Arial"/>
        </w:rPr>
        <w:t>he state of Massachusetts contributes 5% of gross gambling taxes to the public health fund</w:t>
      </w:r>
      <w:r w:rsidR="001C497B" w:rsidRPr="00851192">
        <w:rPr>
          <w:rFonts w:ascii="Arial" w:hAnsi="Arial" w:cs="Arial"/>
        </w:rPr>
        <w:t>.</w:t>
      </w:r>
      <w:r w:rsidRPr="00851192">
        <w:rPr>
          <w:rFonts w:ascii="Arial" w:hAnsi="Arial" w:cs="Arial"/>
        </w:rPr>
        <w:t xml:space="preserve"> </w:t>
      </w:r>
      <w:r w:rsidR="001C497B" w:rsidRPr="00851192">
        <w:rPr>
          <w:rFonts w:ascii="Arial" w:hAnsi="Arial" w:cs="Arial"/>
        </w:rPr>
        <w:t>O</w:t>
      </w:r>
      <w:r w:rsidR="00C83457" w:rsidRPr="00851192">
        <w:rPr>
          <w:rFonts w:ascii="Arial" w:hAnsi="Arial" w:cs="Arial"/>
        </w:rPr>
        <w:t xml:space="preserve">nline and offline </w:t>
      </w:r>
      <w:r w:rsidRPr="00851192">
        <w:rPr>
          <w:rFonts w:ascii="Arial" w:hAnsi="Arial" w:cs="Arial"/>
        </w:rPr>
        <w:t xml:space="preserve">gambling associations operating in the state of Nevada contributing $2 of each bet being deposited into </w:t>
      </w:r>
      <w:r w:rsidR="00C83457" w:rsidRPr="00851192">
        <w:rPr>
          <w:rFonts w:ascii="Arial" w:hAnsi="Arial" w:cs="Arial"/>
        </w:rPr>
        <w:t>a</w:t>
      </w:r>
      <w:r w:rsidRPr="00851192">
        <w:rPr>
          <w:rFonts w:ascii="Arial" w:hAnsi="Arial" w:cs="Arial"/>
        </w:rPr>
        <w:t xml:space="preserve"> revolving account</w:t>
      </w:r>
      <w:r w:rsidR="001C497B" w:rsidRPr="00851192">
        <w:rPr>
          <w:rFonts w:ascii="Arial" w:hAnsi="Arial" w:cs="Arial"/>
        </w:rPr>
        <w:t xml:space="preserve"> for PG treatment </w:t>
      </w:r>
      <w:sdt>
        <w:sdtPr>
          <w:rPr>
            <w:rFonts w:ascii="Arial" w:hAnsi="Arial" w:cs="Arial"/>
          </w:rPr>
          <w:id w:val="365262889"/>
          <w:citation/>
        </w:sdtPr>
        <w:sdtEndPr/>
        <w:sdtContent>
          <w:r w:rsidR="00F12C08" w:rsidRPr="00851192">
            <w:rPr>
              <w:rFonts w:ascii="Arial" w:hAnsi="Arial" w:cs="Arial"/>
            </w:rPr>
            <w:fldChar w:fldCharType="begin"/>
          </w:r>
          <w:r w:rsidR="00F12C08" w:rsidRPr="00851192">
            <w:rPr>
              <w:rFonts w:ascii="Arial" w:hAnsi="Arial" w:cs="Arial"/>
            </w:rPr>
            <w:instrText xml:space="preserve"> CITATION Uni16 \l 2057 </w:instrText>
          </w:r>
          <w:r w:rsidR="00F12C08" w:rsidRPr="00851192">
            <w:rPr>
              <w:rFonts w:ascii="Arial" w:hAnsi="Arial" w:cs="Arial"/>
            </w:rPr>
            <w:fldChar w:fldCharType="separate"/>
          </w:r>
          <w:r w:rsidR="002D17EA" w:rsidRPr="00851192">
            <w:rPr>
              <w:rFonts w:ascii="Arial" w:hAnsi="Arial" w:cs="Arial"/>
              <w:noProof/>
            </w:rPr>
            <w:t>(United States Health Department, 2016)</w:t>
          </w:r>
          <w:r w:rsidR="00F12C08" w:rsidRPr="00851192">
            <w:rPr>
              <w:rFonts w:ascii="Arial" w:hAnsi="Arial" w:cs="Arial"/>
            </w:rPr>
            <w:fldChar w:fldCharType="end"/>
          </w:r>
        </w:sdtContent>
      </w:sdt>
      <w:r w:rsidRPr="00851192">
        <w:rPr>
          <w:rFonts w:ascii="Arial" w:hAnsi="Arial" w:cs="Arial"/>
        </w:rPr>
        <w:t>.</w:t>
      </w:r>
      <w:r w:rsidR="008E7425" w:rsidRPr="00851192">
        <w:rPr>
          <w:rFonts w:ascii="Arial" w:hAnsi="Arial" w:cs="Arial"/>
        </w:rPr>
        <w:t xml:space="preserve"> </w:t>
      </w:r>
      <w:r w:rsidR="003B0929" w:rsidRPr="00851192">
        <w:rPr>
          <w:rFonts w:ascii="Arial" w:hAnsi="Arial" w:cs="Arial"/>
        </w:rPr>
        <w:t xml:space="preserve">These schemes provide an avenue for </w:t>
      </w:r>
      <w:r w:rsidR="005E0D28" w:rsidRPr="00851192">
        <w:rPr>
          <w:rFonts w:ascii="Arial" w:hAnsi="Arial" w:cs="Arial"/>
        </w:rPr>
        <w:t>GGO’s</w:t>
      </w:r>
      <w:r w:rsidR="003B0929" w:rsidRPr="00851192">
        <w:rPr>
          <w:rFonts w:ascii="Arial" w:hAnsi="Arial" w:cs="Arial"/>
        </w:rPr>
        <w:t xml:space="preserve"> to achieve CSR communication whilst also being able to effectively manage stakeholders by reducing incongruence and manage brand positioning.  </w:t>
      </w:r>
    </w:p>
    <w:p w14:paraId="6E5338EB" w14:textId="66E4E190" w:rsidR="00B52553" w:rsidRPr="00851192" w:rsidRDefault="00DF7255" w:rsidP="00DF7255">
      <w:pPr>
        <w:pStyle w:val="Heading1"/>
        <w:rPr>
          <w:rFonts w:ascii="Arial" w:hAnsi="Arial" w:cs="Arial"/>
          <w:color w:val="auto"/>
        </w:rPr>
      </w:pPr>
      <w:bookmarkStart w:id="20" w:name="_Toc526434221"/>
      <w:r w:rsidRPr="00851192">
        <w:rPr>
          <w:rFonts w:ascii="Arial" w:hAnsi="Arial" w:cs="Arial"/>
          <w:color w:val="auto"/>
        </w:rPr>
        <w:t>2.</w:t>
      </w:r>
      <w:r w:rsidR="003B74DC" w:rsidRPr="00851192">
        <w:rPr>
          <w:rFonts w:ascii="Arial" w:hAnsi="Arial" w:cs="Arial"/>
          <w:color w:val="auto"/>
        </w:rPr>
        <w:t>9</w:t>
      </w:r>
      <w:r w:rsidRPr="00851192">
        <w:rPr>
          <w:rFonts w:ascii="Arial" w:hAnsi="Arial" w:cs="Arial"/>
          <w:color w:val="auto"/>
        </w:rPr>
        <w:t xml:space="preserve"> </w:t>
      </w:r>
      <w:r w:rsidR="00B52553" w:rsidRPr="00851192">
        <w:rPr>
          <w:rFonts w:ascii="Arial" w:hAnsi="Arial" w:cs="Arial"/>
          <w:color w:val="auto"/>
        </w:rPr>
        <w:t>Corporate Social Responsibility Communication and Long-term Sustainability</w:t>
      </w:r>
      <w:bookmarkEnd w:id="20"/>
      <w:r w:rsidR="00B52553" w:rsidRPr="00851192">
        <w:rPr>
          <w:rFonts w:ascii="Arial" w:hAnsi="Arial" w:cs="Arial"/>
          <w:color w:val="auto"/>
        </w:rPr>
        <w:t xml:space="preserve"> </w:t>
      </w:r>
    </w:p>
    <w:p w14:paraId="7AB9DE6B" w14:textId="3C06B252" w:rsidR="00395639" w:rsidRPr="00851192" w:rsidRDefault="001C497B" w:rsidP="003B74DC">
      <w:pPr>
        <w:spacing w:line="360" w:lineRule="auto"/>
        <w:jc w:val="both"/>
        <w:rPr>
          <w:rFonts w:ascii="Arial" w:hAnsi="Arial" w:cs="Arial"/>
        </w:rPr>
      </w:pPr>
      <w:r w:rsidRPr="00851192">
        <w:rPr>
          <w:rFonts w:ascii="Arial" w:hAnsi="Arial" w:cs="Arial"/>
        </w:rPr>
        <w:t>An</w:t>
      </w:r>
      <w:r w:rsidR="00B52553" w:rsidRPr="00851192">
        <w:rPr>
          <w:rFonts w:ascii="Arial" w:hAnsi="Arial" w:cs="Arial"/>
        </w:rPr>
        <w:t xml:space="preserve"> additional benefit that can be created by CSR communication c</w:t>
      </w:r>
      <w:r w:rsidRPr="00851192">
        <w:rPr>
          <w:rFonts w:ascii="Arial" w:hAnsi="Arial" w:cs="Arial"/>
        </w:rPr>
        <w:t>an</w:t>
      </w:r>
      <w:r w:rsidR="00B52553" w:rsidRPr="00851192">
        <w:rPr>
          <w:rFonts w:ascii="Arial" w:hAnsi="Arial" w:cs="Arial"/>
        </w:rPr>
        <w:t xml:space="preserve"> be long-term sustainability. If communicated appropriately towards important stakeholders, support from relative groups may allow a company to put forward and act on a strategic decision such as </w:t>
      </w:r>
      <w:r w:rsidRPr="00851192">
        <w:rPr>
          <w:rFonts w:ascii="Arial" w:hAnsi="Arial" w:cs="Arial"/>
        </w:rPr>
        <w:t>an</w:t>
      </w:r>
      <w:r w:rsidR="00B52553" w:rsidRPr="00851192">
        <w:rPr>
          <w:rFonts w:ascii="Arial" w:hAnsi="Arial" w:cs="Arial"/>
        </w:rPr>
        <w:t xml:space="preserve"> acquisition or embarking into a new market for attaining sustainable growth </w:t>
      </w:r>
      <w:sdt>
        <w:sdtPr>
          <w:rPr>
            <w:rFonts w:ascii="Arial" w:hAnsi="Arial" w:cs="Arial"/>
          </w:rPr>
          <w:id w:val="-733535796"/>
          <w:citation/>
        </w:sdtPr>
        <w:sdtEndPr/>
        <w:sdtContent>
          <w:r w:rsidR="00B52553" w:rsidRPr="00851192">
            <w:rPr>
              <w:rFonts w:ascii="Arial" w:hAnsi="Arial" w:cs="Arial"/>
            </w:rPr>
            <w:fldChar w:fldCharType="begin"/>
          </w:r>
          <w:r w:rsidR="00B52553" w:rsidRPr="00851192">
            <w:rPr>
              <w:rFonts w:ascii="Arial" w:hAnsi="Arial" w:cs="Arial"/>
            </w:rPr>
            <w:instrText xml:space="preserve"> CITATION Hit08 \l 2057 </w:instrText>
          </w:r>
          <w:r w:rsidR="00B52553" w:rsidRPr="00851192">
            <w:rPr>
              <w:rFonts w:ascii="Arial" w:hAnsi="Arial" w:cs="Arial"/>
            </w:rPr>
            <w:fldChar w:fldCharType="separate"/>
          </w:r>
          <w:r w:rsidR="002D17EA" w:rsidRPr="00851192">
            <w:rPr>
              <w:rFonts w:ascii="Arial" w:hAnsi="Arial" w:cs="Arial"/>
              <w:noProof/>
            </w:rPr>
            <w:t>(Hittner &amp; Pohle, 2008)</w:t>
          </w:r>
          <w:r w:rsidR="00B52553" w:rsidRPr="00851192">
            <w:rPr>
              <w:rFonts w:ascii="Arial" w:hAnsi="Arial" w:cs="Arial"/>
            </w:rPr>
            <w:fldChar w:fldCharType="end"/>
          </w:r>
        </w:sdtContent>
      </w:sdt>
      <w:r w:rsidR="00B52553" w:rsidRPr="00851192">
        <w:rPr>
          <w:rFonts w:ascii="Arial" w:hAnsi="Arial" w:cs="Arial"/>
        </w:rPr>
        <w:t xml:space="preserve">.  </w:t>
      </w:r>
      <w:proofErr w:type="spellStart"/>
      <w:r w:rsidR="00B52553" w:rsidRPr="00851192">
        <w:rPr>
          <w:rFonts w:ascii="Arial" w:hAnsi="Arial" w:cs="Arial"/>
        </w:rPr>
        <w:t>Hunziker</w:t>
      </w:r>
      <w:proofErr w:type="spellEnd"/>
      <w:r w:rsidR="00B52553" w:rsidRPr="00851192">
        <w:rPr>
          <w:rFonts w:ascii="Arial" w:hAnsi="Arial" w:cs="Arial"/>
        </w:rPr>
        <w:t xml:space="preserve"> (2016), director of the </w:t>
      </w:r>
      <w:r w:rsidR="00B52553" w:rsidRPr="00851192">
        <w:rPr>
          <w:rFonts w:ascii="Arial" w:hAnsi="Arial" w:cs="Arial"/>
          <w:i/>
        </w:rPr>
        <w:t>‘World Business Council of Sustainable Development’,</w:t>
      </w:r>
      <w:r w:rsidRPr="00851192">
        <w:rPr>
          <w:rFonts w:ascii="Arial" w:hAnsi="Arial" w:cs="Arial"/>
          <w:i/>
        </w:rPr>
        <w:t xml:space="preserve"> </w:t>
      </w:r>
      <w:r w:rsidRPr="00851192">
        <w:rPr>
          <w:rFonts w:ascii="Arial" w:hAnsi="Arial" w:cs="Arial"/>
        </w:rPr>
        <w:t>also believes that sustainable growth is the key for long-term sustainability. He also</w:t>
      </w:r>
      <w:r w:rsidR="00B52553" w:rsidRPr="00851192">
        <w:rPr>
          <w:rFonts w:ascii="Arial" w:hAnsi="Arial" w:cs="Arial"/>
          <w:i/>
        </w:rPr>
        <w:t xml:space="preserve"> </w:t>
      </w:r>
      <w:r w:rsidR="00B52553" w:rsidRPr="00851192">
        <w:rPr>
          <w:rFonts w:ascii="Arial" w:hAnsi="Arial" w:cs="Arial"/>
        </w:rPr>
        <w:t>believes that through businesses being committed to ethical behaviour a</w:t>
      </w:r>
      <w:r w:rsidRPr="00851192">
        <w:rPr>
          <w:rFonts w:ascii="Arial" w:hAnsi="Arial" w:cs="Arial"/>
        </w:rPr>
        <w:t>longside</w:t>
      </w:r>
      <w:r w:rsidR="00B52553" w:rsidRPr="00851192">
        <w:rPr>
          <w:rFonts w:ascii="Arial" w:hAnsi="Arial" w:cs="Arial"/>
        </w:rPr>
        <w:t xml:space="preserve"> contribut</w:t>
      </w:r>
      <w:r w:rsidRPr="00851192">
        <w:rPr>
          <w:rFonts w:ascii="Arial" w:hAnsi="Arial" w:cs="Arial"/>
        </w:rPr>
        <w:t>ing</w:t>
      </w:r>
      <w:r w:rsidR="00B52553" w:rsidRPr="00851192">
        <w:rPr>
          <w:rFonts w:ascii="Arial" w:hAnsi="Arial" w:cs="Arial"/>
        </w:rPr>
        <w:t xml:space="preserve"> to sustainable economic growth, businesses can benefit through enhancing </w:t>
      </w:r>
      <w:r w:rsidR="00B52553" w:rsidRPr="00851192">
        <w:rPr>
          <w:rFonts w:ascii="Arial" w:hAnsi="Arial" w:cs="Arial"/>
        </w:rPr>
        <w:lastRenderedPageBreak/>
        <w:t>corporate image, sustainable factors</w:t>
      </w:r>
      <w:r w:rsidRPr="00851192">
        <w:rPr>
          <w:rFonts w:ascii="Arial" w:hAnsi="Arial" w:cs="Arial"/>
        </w:rPr>
        <w:t>,</w:t>
      </w:r>
      <w:r w:rsidR="00B52553" w:rsidRPr="00851192">
        <w:rPr>
          <w:rFonts w:ascii="Arial" w:hAnsi="Arial" w:cs="Arial"/>
        </w:rPr>
        <w:t xml:space="preserve"> and improve the quality of life for employees, familie</w:t>
      </w:r>
      <w:r w:rsidR="00615F1E" w:rsidRPr="00851192">
        <w:rPr>
          <w:rFonts w:ascii="Arial" w:hAnsi="Arial" w:cs="Arial"/>
        </w:rPr>
        <w:t>s, local communit</w:t>
      </w:r>
      <w:r w:rsidRPr="00851192">
        <w:rPr>
          <w:rFonts w:ascii="Arial" w:hAnsi="Arial" w:cs="Arial"/>
        </w:rPr>
        <w:t>ies,</w:t>
      </w:r>
      <w:r w:rsidR="00615F1E" w:rsidRPr="00851192">
        <w:rPr>
          <w:rFonts w:ascii="Arial" w:hAnsi="Arial" w:cs="Arial"/>
        </w:rPr>
        <w:t xml:space="preserve"> and society. </w:t>
      </w:r>
    </w:p>
    <w:p w14:paraId="7244C62D" w14:textId="1553CA21" w:rsidR="001C497B" w:rsidRPr="00851192" w:rsidRDefault="001C497B" w:rsidP="003B74DC">
      <w:pPr>
        <w:spacing w:line="360" w:lineRule="auto"/>
        <w:jc w:val="both"/>
        <w:rPr>
          <w:rFonts w:ascii="Arial" w:hAnsi="Arial" w:cs="Arial"/>
        </w:rPr>
      </w:pPr>
      <w:r w:rsidRPr="00851192">
        <w:rPr>
          <w:rFonts w:ascii="Arial" w:hAnsi="Arial" w:cs="Arial"/>
        </w:rPr>
        <w:t xml:space="preserve">However, the purpose for long-term sustainability is about a business’s objective to be there for the long-term future as discussed within the </w:t>
      </w:r>
      <w:r w:rsidRPr="00851192">
        <w:rPr>
          <w:rFonts w:ascii="Arial" w:hAnsi="Arial" w:cs="Arial"/>
          <w:noProof/>
        </w:rPr>
        <w:t>Brundtland (1987) report;</w:t>
      </w:r>
      <w:r w:rsidRPr="00851192">
        <w:rPr>
          <w:rFonts w:ascii="Arial" w:hAnsi="Arial" w:cs="Arial"/>
        </w:rPr>
        <w:t xml:space="preserve"> </w:t>
      </w:r>
      <w:r w:rsidRPr="00851192">
        <w:rPr>
          <w:rFonts w:ascii="Arial" w:hAnsi="Arial" w:cs="Arial"/>
          <w:i/>
        </w:rPr>
        <w:t>“</w:t>
      </w:r>
      <w:r w:rsidRPr="00851192">
        <w:rPr>
          <w:rFonts w:ascii="Arial" w:hAnsi="Arial" w:cs="Arial"/>
          <w:bCs/>
          <w:i/>
          <w:shd w:val="clear" w:color="auto" w:fill="FFFFFF"/>
        </w:rPr>
        <w:t>Sustainable</w:t>
      </w:r>
      <w:r w:rsidRPr="00851192">
        <w:rPr>
          <w:rFonts w:ascii="Arial" w:hAnsi="Arial" w:cs="Arial"/>
          <w:i/>
          <w:shd w:val="clear" w:color="auto" w:fill="FFFFFF"/>
        </w:rPr>
        <w:t xml:space="preserve"> development is development that meets the needs of the present without compromising the ability of future generations to meet their own needs.” </w:t>
      </w:r>
    </w:p>
    <w:p w14:paraId="7729B2D4" w14:textId="4E6EDAA1" w:rsidR="00395639" w:rsidRPr="00851192" w:rsidRDefault="001C497B" w:rsidP="003B74DC">
      <w:pPr>
        <w:spacing w:line="360" w:lineRule="auto"/>
        <w:jc w:val="both"/>
        <w:rPr>
          <w:rFonts w:ascii="Arial" w:hAnsi="Arial" w:cs="Arial"/>
        </w:rPr>
      </w:pPr>
      <w:r w:rsidRPr="00851192">
        <w:rPr>
          <w:rFonts w:ascii="Arial" w:hAnsi="Arial" w:cs="Arial"/>
        </w:rPr>
        <w:t xml:space="preserve">In </w:t>
      </w:r>
      <w:r w:rsidR="00615F1E" w:rsidRPr="00851192">
        <w:rPr>
          <w:rFonts w:ascii="Arial" w:hAnsi="Arial" w:cs="Arial"/>
        </w:rPr>
        <w:t xml:space="preserve">Kenya, to achieve long-term sustainability and the improvement for societal well-being, the government and </w:t>
      </w:r>
      <w:r w:rsidR="005E0D28" w:rsidRPr="00851192">
        <w:rPr>
          <w:rFonts w:ascii="Arial" w:hAnsi="Arial" w:cs="Arial"/>
        </w:rPr>
        <w:t>GGO’s</w:t>
      </w:r>
      <w:r w:rsidR="00615F1E" w:rsidRPr="00851192">
        <w:rPr>
          <w:rFonts w:ascii="Arial" w:hAnsi="Arial" w:cs="Arial"/>
        </w:rPr>
        <w:t xml:space="preserve"> reached an agreement whereby operators would still be present in the country on and offline. An agreement of 35% tax from 12% in 2017 caused a movement whereby </w:t>
      </w:r>
      <w:r w:rsidR="005E0D28" w:rsidRPr="00851192">
        <w:rPr>
          <w:rFonts w:ascii="Arial" w:hAnsi="Arial" w:cs="Arial"/>
        </w:rPr>
        <w:t>GGO’s</w:t>
      </w:r>
      <w:r w:rsidR="0080301C" w:rsidRPr="00851192">
        <w:rPr>
          <w:rFonts w:ascii="Arial" w:hAnsi="Arial" w:cs="Arial"/>
        </w:rPr>
        <w:t xml:space="preserve"> such as Bet</w:t>
      </w:r>
      <w:r w:rsidR="00615F1E" w:rsidRPr="00851192">
        <w:rPr>
          <w:rFonts w:ascii="Arial" w:hAnsi="Arial" w:cs="Arial"/>
        </w:rPr>
        <w:t>365 threatened to close operations within the jurisdiction</w:t>
      </w:r>
      <w:r w:rsidR="00DB5609" w:rsidRPr="00851192">
        <w:rPr>
          <w:rFonts w:ascii="Arial" w:hAnsi="Arial" w:cs="Arial"/>
        </w:rPr>
        <w:t xml:space="preserve"> which would lead to unemployment and negative impacts </w:t>
      </w:r>
      <w:r w:rsidRPr="00851192">
        <w:rPr>
          <w:rFonts w:ascii="Arial" w:hAnsi="Arial" w:cs="Arial"/>
        </w:rPr>
        <w:t>on</w:t>
      </w:r>
      <w:r w:rsidR="00DB5609" w:rsidRPr="00851192">
        <w:rPr>
          <w:rFonts w:ascii="Arial" w:hAnsi="Arial" w:cs="Arial"/>
        </w:rPr>
        <w:t xml:space="preserve"> society</w:t>
      </w:r>
      <w:r w:rsidR="00615F1E" w:rsidRPr="00851192">
        <w:rPr>
          <w:rFonts w:ascii="Arial" w:hAnsi="Arial" w:cs="Arial"/>
        </w:rPr>
        <w:t xml:space="preserve"> due to an earlier proposal of 50% tax for casinos, online operators</w:t>
      </w:r>
      <w:r w:rsidRPr="00851192">
        <w:rPr>
          <w:rFonts w:ascii="Arial" w:hAnsi="Arial" w:cs="Arial"/>
        </w:rPr>
        <w:t>,</w:t>
      </w:r>
      <w:r w:rsidR="00615F1E" w:rsidRPr="00851192">
        <w:rPr>
          <w:rFonts w:ascii="Arial" w:hAnsi="Arial" w:cs="Arial"/>
        </w:rPr>
        <w:t xml:space="preserve"> and lottery o</w:t>
      </w:r>
      <w:r w:rsidR="00DB5609" w:rsidRPr="00851192">
        <w:rPr>
          <w:rFonts w:ascii="Arial" w:hAnsi="Arial" w:cs="Arial"/>
        </w:rPr>
        <w:t xml:space="preserve">perators </w:t>
      </w:r>
      <w:sdt>
        <w:sdtPr>
          <w:rPr>
            <w:rFonts w:ascii="Arial" w:hAnsi="Arial" w:cs="Arial"/>
          </w:rPr>
          <w:id w:val="-1878305716"/>
          <w:citation/>
        </w:sdtPr>
        <w:sdtEndPr/>
        <w:sdtContent>
          <w:r w:rsidR="00DB5609" w:rsidRPr="00851192">
            <w:rPr>
              <w:rFonts w:ascii="Arial" w:hAnsi="Arial" w:cs="Arial"/>
            </w:rPr>
            <w:fldChar w:fldCharType="begin"/>
          </w:r>
          <w:r w:rsidR="00DB5609" w:rsidRPr="00851192">
            <w:rPr>
              <w:rFonts w:ascii="Arial" w:hAnsi="Arial" w:cs="Arial"/>
            </w:rPr>
            <w:instrText xml:space="preserve"> CITATION Bar17 \l 2057 </w:instrText>
          </w:r>
          <w:r w:rsidR="00DB5609" w:rsidRPr="00851192">
            <w:rPr>
              <w:rFonts w:ascii="Arial" w:hAnsi="Arial" w:cs="Arial"/>
            </w:rPr>
            <w:fldChar w:fldCharType="separate"/>
          </w:r>
          <w:r w:rsidR="002D17EA" w:rsidRPr="00851192">
            <w:rPr>
              <w:rFonts w:ascii="Arial" w:hAnsi="Arial" w:cs="Arial"/>
              <w:noProof/>
            </w:rPr>
            <w:t>(Barlowe, 2017)</w:t>
          </w:r>
          <w:r w:rsidR="00DB5609" w:rsidRPr="00851192">
            <w:rPr>
              <w:rFonts w:ascii="Arial" w:hAnsi="Arial" w:cs="Arial"/>
            </w:rPr>
            <w:fldChar w:fldCharType="end"/>
          </w:r>
        </w:sdtContent>
      </w:sdt>
      <w:r w:rsidR="00DB5609" w:rsidRPr="00851192">
        <w:rPr>
          <w:rFonts w:ascii="Arial" w:hAnsi="Arial" w:cs="Arial"/>
        </w:rPr>
        <w:t>.</w:t>
      </w:r>
      <w:r w:rsidR="00BC31C9" w:rsidRPr="00851192">
        <w:rPr>
          <w:rFonts w:ascii="Arial" w:hAnsi="Arial" w:cs="Arial"/>
        </w:rPr>
        <w:t xml:space="preserve"> The implications of shutting down operations </w:t>
      </w:r>
      <w:r w:rsidR="005E0D28" w:rsidRPr="00851192">
        <w:rPr>
          <w:rFonts w:ascii="Arial" w:hAnsi="Arial" w:cs="Arial"/>
        </w:rPr>
        <w:t>from</w:t>
      </w:r>
      <w:r w:rsidR="00BC31C9" w:rsidRPr="00851192">
        <w:rPr>
          <w:rFonts w:ascii="Arial" w:hAnsi="Arial" w:cs="Arial"/>
        </w:rPr>
        <w:t xml:space="preserve"> </w:t>
      </w:r>
      <w:r w:rsidR="005E0D28" w:rsidRPr="00851192">
        <w:rPr>
          <w:rFonts w:ascii="Arial" w:hAnsi="Arial" w:cs="Arial"/>
        </w:rPr>
        <w:t xml:space="preserve">a </w:t>
      </w:r>
      <w:r w:rsidR="00BC31C9" w:rsidRPr="00851192">
        <w:rPr>
          <w:rFonts w:ascii="Arial" w:hAnsi="Arial" w:cs="Arial"/>
        </w:rPr>
        <w:t xml:space="preserve">government </w:t>
      </w:r>
      <w:r w:rsidR="005E0D28" w:rsidRPr="00851192">
        <w:rPr>
          <w:rFonts w:ascii="Arial" w:hAnsi="Arial" w:cs="Arial"/>
        </w:rPr>
        <w:t xml:space="preserve">perspective </w:t>
      </w:r>
      <w:r w:rsidR="00255A5D" w:rsidRPr="00851192">
        <w:rPr>
          <w:rFonts w:ascii="Arial" w:hAnsi="Arial" w:cs="Arial"/>
        </w:rPr>
        <w:t>would</w:t>
      </w:r>
      <w:r w:rsidR="00BC31C9" w:rsidRPr="00851192">
        <w:rPr>
          <w:rFonts w:ascii="Arial" w:hAnsi="Arial" w:cs="Arial"/>
        </w:rPr>
        <w:t xml:space="preserve"> be that it</w:t>
      </w:r>
      <w:r w:rsidR="00255A5D" w:rsidRPr="00851192">
        <w:rPr>
          <w:rFonts w:ascii="Arial" w:hAnsi="Arial" w:cs="Arial"/>
        </w:rPr>
        <w:t xml:space="preserve"> would</w:t>
      </w:r>
      <w:r w:rsidR="00BC31C9" w:rsidRPr="00851192">
        <w:rPr>
          <w:rFonts w:ascii="Arial" w:hAnsi="Arial" w:cs="Arial"/>
        </w:rPr>
        <w:t xml:space="preserve"> </w:t>
      </w:r>
      <w:r w:rsidR="005E0D28" w:rsidRPr="00851192">
        <w:rPr>
          <w:rFonts w:ascii="Arial" w:hAnsi="Arial" w:cs="Arial"/>
        </w:rPr>
        <w:t>lead to</w:t>
      </w:r>
      <w:r w:rsidR="00BC31C9" w:rsidRPr="00851192">
        <w:rPr>
          <w:rFonts w:ascii="Arial" w:hAnsi="Arial" w:cs="Arial"/>
        </w:rPr>
        <w:t xml:space="preserve"> negative implications </w:t>
      </w:r>
      <w:r w:rsidR="00112242" w:rsidRPr="00851192">
        <w:rPr>
          <w:rFonts w:ascii="Arial" w:hAnsi="Arial" w:cs="Arial"/>
        </w:rPr>
        <w:t xml:space="preserve">within </w:t>
      </w:r>
      <w:r w:rsidR="00BC31C9" w:rsidRPr="00851192">
        <w:rPr>
          <w:rFonts w:ascii="Arial" w:hAnsi="Arial" w:cs="Arial"/>
        </w:rPr>
        <w:t>society</w:t>
      </w:r>
      <w:r w:rsidR="005E0D28" w:rsidRPr="00851192">
        <w:rPr>
          <w:rFonts w:ascii="Arial" w:hAnsi="Arial" w:cs="Arial"/>
        </w:rPr>
        <w:t>.</w:t>
      </w:r>
      <w:r w:rsidR="00BC31C9" w:rsidRPr="00851192">
        <w:rPr>
          <w:rFonts w:ascii="Arial" w:hAnsi="Arial" w:cs="Arial"/>
        </w:rPr>
        <w:t xml:space="preserve"> </w:t>
      </w:r>
      <w:r w:rsidR="00CE6FF9" w:rsidRPr="00851192">
        <w:rPr>
          <w:rFonts w:ascii="Arial" w:hAnsi="Arial" w:cs="Arial"/>
        </w:rPr>
        <w:t xml:space="preserve">Kenya is Africa’s number one </w:t>
      </w:r>
      <w:r w:rsidR="00112242" w:rsidRPr="00851192">
        <w:rPr>
          <w:rFonts w:ascii="Arial" w:hAnsi="Arial" w:cs="Arial"/>
        </w:rPr>
        <w:t>consumer</w:t>
      </w:r>
      <w:r w:rsidR="00CE6FF9" w:rsidRPr="00851192">
        <w:rPr>
          <w:rFonts w:ascii="Arial" w:hAnsi="Arial" w:cs="Arial"/>
        </w:rPr>
        <w:t xml:space="preserve"> for gambling </w:t>
      </w:r>
      <w:r w:rsidR="005E0D28" w:rsidRPr="00851192">
        <w:rPr>
          <w:rFonts w:ascii="Arial" w:hAnsi="Arial" w:cs="Arial"/>
        </w:rPr>
        <w:t>which has</w:t>
      </w:r>
      <w:r w:rsidR="00CE6FF9" w:rsidRPr="00851192">
        <w:rPr>
          <w:rFonts w:ascii="Arial" w:hAnsi="Arial" w:cs="Arial"/>
        </w:rPr>
        <w:t xml:space="preserve"> developed</w:t>
      </w:r>
      <w:r w:rsidR="005E0D28" w:rsidRPr="00851192">
        <w:rPr>
          <w:rFonts w:ascii="Arial" w:hAnsi="Arial" w:cs="Arial"/>
        </w:rPr>
        <w:t xml:space="preserve"> a</w:t>
      </w:r>
      <w:r w:rsidR="00CE6FF9" w:rsidRPr="00851192">
        <w:rPr>
          <w:rFonts w:ascii="Arial" w:hAnsi="Arial" w:cs="Arial"/>
        </w:rPr>
        <w:t xml:space="preserve"> social norm for gambling within communities.</w:t>
      </w:r>
      <w:r w:rsidR="00120655" w:rsidRPr="00851192">
        <w:rPr>
          <w:rFonts w:ascii="Arial" w:hAnsi="Arial" w:cs="Arial"/>
        </w:rPr>
        <w:t xml:space="preserve"> </w:t>
      </w:r>
      <w:r w:rsidR="00255A5D" w:rsidRPr="00851192">
        <w:rPr>
          <w:rFonts w:ascii="Arial" w:hAnsi="Arial" w:cs="Arial"/>
        </w:rPr>
        <w:t xml:space="preserve">Bet 365 and the Kenyan government </w:t>
      </w:r>
      <w:r w:rsidR="00120655" w:rsidRPr="00851192">
        <w:rPr>
          <w:rFonts w:ascii="Arial" w:hAnsi="Arial" w:cs="Arial"/>
        </w:rPr>
        <w:t>reached an agreement resulting in</w:t>
      </w:r>
      <w:r w:rsidR="00DB5609" w:rsidRPr="00851192">
        <w:rPr>
          <w:rFonts w:ascii="Arial" w:hAnsi="Arial" w:cs="Arial"/>
        </w:rPr>
        <w:t xml:space="preserve"> a positive </w:t>
      </w:r>
      <w:r w:rsidR="00DF0C33" w:rsidRPr="00851192">
        <w:rPr>
          <w:rFonts w:ascii="Arial" w:hAnsi="Arial" w:cs="Arial"/>
        </w:rPr>
        <w:t>publicity image</w:t>
      </w:r>
      <w:r w:rsidR="00DB5609" w:rsidRPr="00851192">
        <w:rPr>
          <w:rFonts w:ascii="Arial" w:hAnsi="Arial" w:cs="Arial"/>
        </w:rPr>
        <w:t xml:space="preserve"> </w:t>
      </w:r>
      <w:r w:rsidR="00DF0C33" w:rsidRPr="00851192">
        <w:rPr>
          <w:rFonts w:ascii="Arial" w:hAnsi="Arial" w:cs="Arial"/>
        </w:rPr>
        <w:t>driven by</w:t>
      </w:r>
      <w:r w:rsidR="00DB5609" w:rsidRPr="00851192">
        <w:rPr>
          <w:rFonts w:ascii="Arial" w:hAnsi="Arial" w:cs="Arial"/>
        </w:rPr>
        <w:t xml:space="preserve"> CSR communications led by </w:t>
      </w:r>
      <w:r w:rsidR="00255A5D" w:rsidRPr="00851192">
        <w:rPr>
          <w:rFonts w:ascii="Arial" w:hAnsi="Arial" w:cs="Arial"/>
        </w:rPr>
        <w:t xml:space="preserve">the </w:t>
      </w:r>
      <w:proofErr w:type="gramStart"/>
      <w:r w:rsidR="00255A5D" w:rsidRPr="00851192">
        <w:rPr>
          <w:rFonts w:ascii="Arial" w:hAnsi="Arial" w:cs="Arial"/>
        </w:rPr>
        <w:t>operators</w:t>
      </w:r>
      <w:proofErr w:type="gramEnd"/>
      <w:r w:rsidR="00DB5609" w:rsidRPr="00851192">
        <w:rPr>
          <w:rFonts w:ascii="Arial" w:hAnsi="Arial" w:cs="Arial"/>
        </w:rPr>
        <w:t xml:space="preserve"> involve</w:t>
      </w:r>
      <w:r w:rsidR="006D3D67" w:rsidRPr="00851192">
        <w:rPr>
          <w:rFonts w:ascii="Arial" w:hAnsi="Arial" w:cs="Arial"/>
        </w:rPr>
        <w:t>ment</w:t>
      </w:r>
      <w:r w:rsidR="00DB5609" w:rsidRPr="00851192">
        <w:rPr>
          <w:rFonts w:ascii="Arial" w:hAnsi="Arial" w:cs="Arial"/>
        </w:rPr>
        <w:t xml:space="preserve"> within the settlement, </w:t>
      </w:r>
      <w:r w:rsidR="00EF764D" w:rsidRPr="00851192">
        <w:rPr>
          <w:rFonts w:ascii="Arial" w:hAnsi="Arial" w:cs="Arial"/>
        </w:rPr>
        <w:t>communicating a</w:t>
      </w:r>
      <w:r w:rsidR="00DB5609" w:rsidRPr="00851192">
        <w:rPr>
          <w:rFonts w:ascii="Arial" w:hAnsi="Arial" w:cs="Arial"/>
        </w:rPr>
        <w:t xml:space="preserve"> message to its internal stakeholders of security and </w:t>
      </w:r>
      <w:r w:rsidR="00DF0C33" w:rsidRPr="00851192">
        <w:rPr>
          <w:rFonts w:ascii="Arial" w:hAnsi="Arial" w:cs="Arial"/>
        </w:rPr>
        <w:t xml:space="preserve">trust. </w:t>
      </w:r>
      <w:r w:rsidR="00120655" w:rsidRPr="00851192">
        <w:rPr>
          <w:rFonts w:ascii="Arial" w:hAnsi="Arial" w:cs="Arial"/>
        </w:rPr>
        <w:t xml:space="preserve">The reason for the </w:t>
      </w:r>
      <w:r w:rsidR="00255A5D" w:rsidRPr="00851192">
        <w:rPr>
          <w:rFonts w:ascii="Arial" w:hAnsi="Arial" w:cs="Arial"/>
        </w:rPr>
        <w:t>suggested higher tax bracket</w:t>
      </w:r>
      <w:r w:rsidR="00120655" w:rsidRPr="00851192">
        <w:rPr>
          <w:rFonts w:ascii="Arial" w:hAnsi="Arial" w:cs="Arial"/>
        </w:rPr>
        <w:t xml:space="preserve"> was due</w:t>
      </w:r>
      <w:r w:rsidR="005E0D28" w:rsidRPr="00851192">
        <w:rPr>
          <w:rFonts w:ascii="Arial" w:hAnsi="Arial" w:cs="Arial"/>
        </w:rPr>
        <w:t xml:space="preserve"> to</w:t>
      </w:r>
      <w:r w:rsidR="00120655" w:rsidRPr="00851192">
        <w:rPr>
          <w:rFonts w:ascii="Arial" w:hAnsi="Arial" w:cs="Arial"/>
        </w:rPr>
        <w:t xml:space="preserve"> a proposal of contributions to PG and community development initiatives. </w:t>
      </w:r>
      <w:r w:rsidR="00DF0C33" w:rsidRPr="00851192">
        <w:rPr>
          <w:rFonts w:ascii="Arial" w:hAnsi="Arial" w:cs="Arial"/>
        </w:rPr>
        <w:t xml:space="preserve">The </w:t>
      </w:r>
      <w:r w:rsidR="00255A5D" w:rsidRPr="00851192">
        <w:rPr>
          <w:rFonts w:ascii="Arial" w:hAnsi="Arial" w:cs="Arial"/>
        </w:rPr>
        <w:t>agreement</w:t>
      </w:r>
      <w:r w:rsidR="00DF0C33" w:rsidRPr="00851192">
        <w:rPr>
          <w:rFonts w:ascii="Arial" w:hAnsi="Arial" w:cs="Arial"/>
        </w:rPr>
        <w:t xml:space="preserve"> sent</w:t>
      </w:r>
      <w:r w:rsidR="00255A5D" w:rsidRPr="00851192">
        <w:rPr>
          <w:rFonts w:ascii="Arial" w:hAnsi="Arial" w:cs="Arial"/>
        </w:rPr>
        <w:t xml:space="preserve"> a message</w:t>
      </w:r>
      <w:r w:rsidR="00DB5609" w:rsidRPr="00851192">
        <w:rPr>
          <w:rFonts w:ascii="Arial" w:hAnsi="Arial" w:cs="Arial"/>
        </w:rPr>
        <w:t xml:space="preserve"> to </w:t>
      </w:r>
      <w:r w:rsidR="00445D17" w:rsidRPr="00851192">
        <w:rPr>
          <w:rFonts w:ascii="Arial" w:hAnsi="Arial" w:cs="Arial"/>
        </w:rPr>
        <w:t>external stakeholders</w:t>
      </w:r>
      <w:r w:rsidR="00DB5609" w:rsidRPr="00851192">
        <w:rPr>
          <w:rFonts w:ascii="Arial" w:hAnsi="Arial" w:cs="Arial"/>
        </w:rPr>
        <w:t xml:space="preserve"> </w:t>
      </w:r>
      <w:r w:rsidR="00445D17" w:rsidRPr="00851192">
        <w:rPr>
          <w:rFonts w:ascii="Arial" w:hAnsi="Arial" w:cs="Arial"/>
        </w:rPr>
        <w:t>establish</w:t>
      </w:r>
      <w:r w:rsidR="004C650F" w:rsidRPr="00851192">
        <w:rPr>
          <w:rFonts w:ascii="Arial" w:hAnsi="Arial" w:cs="Arial"/>
        </w:rPr>
        <w:t>ing</w:t>
      </w:r>
      <w:r w:rsidR="00DB5609" w:rsidRPr="00851192">
        <w:rPr>
          <w:rFonts w:ascii="Arial" w:hAnsi="Arial" w:cs="Arial"/>
        </w:rPr>
        <w:t xml:space="preserve"> that the organisation value</w:t>
      </w:r>
      <w:r w:rsidR="00DF0C33" w:rsidRPr="00851192">
        <w:rPr>
          <w:rFonts w:ascii="Arial" w:hAnsi="Arial" w:cs="Arial"/>
        </w:rPr>
        <w:t>s</w:t>
      </w:r>
      <w:r w:rsidR="00DB5609" w:rsidRPr="00851192">
        <w:rPr>
          <w:rFonts w:ascii="Arial" w:hAnsi="Arial" w:cs="Arial"/>
        </w:rPr>
        <w:t xml:space="preserve"> their </w:t>
      </w:r>
      <w:r w:rsidR="00445D17" w:rsidRPr="00851192">
        <w:rPr>
          <w:rFonts w:ascii="Arial" w:hAnsi="Arial" w:cs="Arial"/>
        </w:rPr>
        <w:t>role</w:t>
      </w:r>
      <w:r w:rsidR="00DB5609" w:rsidRPr="00851192">
        <w:rPr>
          <w:rFonts w:ascii="Arial" w:hAnsi="Arial" w:cs="Arial"/>
        </w:rPr>
        <w:t xml:space="preserve"> and importance </w:t>
      </w:r>
      <w:r w:rsidR="00413E02" w:rsidRPr="00851192">
        <w:rPr>
          <w:rFonts w:ascii="Arial" w:hAnsi="Arial" w:cs="Arial"/>
        </w:rPr>
        <w:t>within</w:t>
      </w:r>
      <w:r w:rsidR="00DB5609" w:rsidRPr="00851192">
        <w:rPr>
          <w:rFonts w:ascii="Arial" w:hAnsi="Arial" w:cs="Arial"/>
        </w:rPr>
        <w:t xml:space="preserve"> society </w:t>
      </w:r>
      <w:r w:rsidR="00413E02" w:rsidRPr="00851192">
        <w:rPr>
          <w:rFonts w:ascii="Arial" w:hAnsi="Arial" w:cs="Arial"/>
        </w:rPr>
        <w:t>as important due to Kenya being</w:t>
      </w:r>
      <w:r w:rsidR="00445D17" w:rsidRPr="00851192">
        <w:rPr>
          <w:rFonts w:ascii="Arial" w:hAnsi="Arial" w:cs="Arial"/>
        </w:rPr>
        <w:t xml:space="preserve"> an emerging and dependent market </w:t>
      </w:r>
      <w:r w:rsidR="00120655" w:rsidRPr="00851192">
        <w:rPr>
          <w:rFonts w:ascii="Arial" w:hAnsi="Arial" w:cs="Arial"/>
        </w:rPr>
        <w:t xml:space="preserve">which is </w:t>
      </w:r>
      <w:r w:rsidR="005E0D28" w:rsidRPr="00851192">
        <w:rPr>
          <w:rFonts w:ascii="Arial" w:hAnsi="Arial" w:cs="Arial"/>
        </w:rPr>
        <w:t xml:space="preserve">identified for being a </w:t>
      </w:r>
      <w:r w:rsidR="00445D17" w:rsidRPr="00851192">
        <w:rPr>
          <w:rFonts w:ascii="Arial" w:hAnsi="Arial" w:cs="Arial"/>
        </w:rPr>
        <w:t>politically unstable nation (Human Rights Watch, 2018)</w:t>
      </w:r>
      <w:r w:rsidR="00DB5609" w:rsidRPr="00851192">
        <w:rPr>
          <w:rFonts w:ascii="Arial" w:hAnsi="Arial" w:cs="Arial"/>
        </w:rPr>
        <w:t xml:space="preserve">. </w:t>
      </w:r>
    </w:p>
    <w:p w14:paraId="08A8C0D8" w14:textId="47BB7DAA" w:rsidR="00315CC9" w:rsidRPr="00851192" w:rsidRDefault="00DF7255" w:rsidP="00DF7255">
      <w:pPr>
        <w:pStyle w:val="Heading1"/>
        <w:rPr>
          <w:rFonts w:ascii="Arial" w:hAnsi="Arial" w:cs="Arial"/>
          <w:color w:val="auto"/>
        </w:rPr>
      </w:pPr>
      <w:bookmarkStart w:id="21" w:name="_Toc526434222"/>
      <w:r w:rsidRPr="00851192">
        <w:rPr>
          <w:rFonts w:ascii="Arial" w:hAnsi="Arial" w:cs="Arial"/>
          <w:color w:val="auto"/>
        </w:rPr>
        <w:t>2.1</w:t>
      </w:r>
      <w:r w:rsidR="003B74DC" w:rsidRPr="00851192">
        <w:rPr>
          <w:rFonts w:ascii="Arial" w:hAnsi="Arial" w:cs="Arial"/>
          <w:color w:val="auto"/>
        </w:rPr>
        <w:t>0</w:t>
      </w:r>
      <w:r w:rsidRPr="00851192">
        <w:rPr>
          <w:rFonts w:ascii="Arial" w:hAnsi="Arial" w:cs="Arial"/>
          <w:color w:val="auto"/>
        </w:rPr>
        <w:t xml:space="preserve"> </w:t>
      </w:r>
      <w:r w:rsidR="00E974DB" w:rsidRPr="00851192">
        <w:rPr>
          <w:rFonts w:ascii="Arial" w:hAnsi="Arial" w:cs="Arial"/>
          <w:color w:val="auto"/>
        </w:rPr>
        <w:t xml:space="preserve">Importance </w:t>
      </w:r>
      <w:r w:rsidR="00891DD9" w:rsidRPr="00851192">
        <w:rPr>
          <w:rFonts w:ascii="Arial" w:hAnsi="Arial" w:cs="Arial"/>
          <w:color w:val="auto"/>
        </w:rPr>
        <w:t xml:space="preserve">of CSR Image to an </w:t>
      </w:r>
      <w:proofErr w:type="spellStart"/>
      <w:r w:rsidR="00891DD9" w:rsidRPr="00851192">
        <w:rPr>
          <w:rFonts w:ascii="Arial" w:hAnsi="Arial" w:cs="Arial"/>
          <w:color w:val="auto"/>
        </w:rPr>
        <w:t>Organisation</w:t>
      </w:r>
      <w:bookmarkEnd w:id="21"/>
      <w:proofErr w:type="spellEnd"/>
    </w:p>
    <w:p w14:paraId="3075EF76" w14:textId="391AD983" w:rsidR="00891DD9" w:rsidRPr="00851192" w:rsidRDefault="00C016A4" w:rsidP="003B74DC">
      <w:pPr>
        <w:spacing w:line="360" w:lineRule="auto"/>
        <w:jc w:val="both"/>
        <w:rPr>
          <w:rFonts w:ascii="Arial" w:hAnsi="Arial" w:cs="Arial"/>
        </w:rPr>
      </w:pPr>
      <w:r w:rsidRPr="00851192">
        <w:rPr>
          <w:rFonts w:ascii="Arial" w:hAnsi="Arial" w:cs="Arial"/>
        </w:rPr>
        <w:t xml:space="preserve">Kowalski and Leary (1990) suggest that impression management theory adapted from Goffman (1959) </w:t>
      </w:r>
      <w:r w:rsidR="00A9626E" w:rsidRPr="00851192">
        <w:rPr>
          <w:rFonts w:ascii="Arial" w:hAnsi="Arial" w:cs="Arial"/>
        </w:rPr>
        <w:t>stud</w:t>
      </w:r>
      <w:r w:rsidR="00413E02" w:rsidRPr="00851192">
        <w:rPr>
          <w:rFonts w:ascii="Arial" w:hAnsi="Arial" w:cs="Arial"/>
        </w:rPr>
        <w:t>y</w:t>
      </w:r>
      <w:r w:rsidR="00A9626E" w:rsidRPr="00851192">
        <w:rPr>
          <w:rFonts w:ascii="Arial" w:hAnsi="Arial" w:cs="Arial"/>
        </w:rPr>
        <w:t xml:space="preserve"> on </w:t>
      </w:r>
      <w:r w:rsidR="00226A43" w:rsidRPr="00851192">
        <w:rPr>
          <w:rFonts w:ascii="Arial" w:hAnsi="Arial" w:cs="Arial"/>
        </w:rPr>
        <w:t xml:space="preserve">human behaviour </w:t>
      </w:r>
      <w:r w:rsidRPr="00851192">
        <w:rPr>
          <w:rFonts w:ascii="Arial" w:hAnsi="Arial" w:cs="Arial"/>
        </w:rPr>
        <w:t xml:space="preserve">is an evaluation of individuals constructing goals which they hope to achieve through impressions </w:t>
      </w:r>
      <w:r w:rsidR="004F6817" w:rsidRPr="00851192">
        <w:rPr>
          <w:rFonts w:ascii="Arial" w:hAnsi="Arial" w:cs="Arial"/>
        </w:rPr>
        <w:t xml:space="preserve">which </w:t>
      </w:r>
      <w:r w:rsidR="00413E02" w:rsidRPr="00851192">
        <w:rPr>
          <w:rFonts w:ascii="Arial" w:hAnsi="Arial" w:cs="Arial"/>
        </w:rPr>
        <w:t>is</w:t>
      </w:r>
      <w:r w:rsidRPr="00851192">
        <w:rPr>
          <w:rFonts w:ascii="Arial" w:hAnsi="Arial" w:cs="Arial"/>
        </w:rPr>
        <w:t xml:space="preserve"> driven by m</w:t>
      </w:r>
      <w:r w:rsidR="004F6817" w:rsidRPr="00851192">
        <w:rPr>
          <w:rFonts w:ascii="Arial" w:hAnsi="Arial" w:cs="Arial"/>
        </w:rPr>
        <w:t>otivation</w:t>
      </w:r>
      <w:r w:rsidRPr="00851192">
        <w:rPr>
          <w:rFonts w:ascii="Arial" w:hAnsi="Arial" w:cs="Arial"/>
        </w:rPr>
        <w:t xml:space="preserve">. Likewise, the importance of a business achieving </w:t>
      </w:r>
      <w:r w:rsidR="00A76B6B" w:rsidRPr="00851192">
        <w:rPr>
          <w:rFonts w:ascii="Arial" w:hAnsi="Arial" w:cs="Arial"/>
        </w:rPr>
        <w:t>the</w:t>
      </w:r>
      <w:r w:rsidRPr="00851192">
        <w:rPr>
          <w:rFonts w:ascii="Arial" w:hAnsi="Arial" w:cs="Arial"/>
        </w:rPr>
        <w:t xml:space="preserve"> desired </w:t>
      </w:r>
      <w:r w:rsidR="00A76B6B" w:rsidRPr="00851192">
        <w:rPr>
          <w:rFonts w:ascii="Arial" w:hAnsi="Arial" w:cs="Arial"/>
        </w:rPr>
        <w:t>corporate</w:t>
      </w:r>
      <w:r w:rsidRPr="00851192">
        <w:rPr>
          <w:rFonts w:ascii="Arial" w:hAnsi="Arial" w:cs="Arial"/>
        </w:rPr>
        <w:t xml:space="preserve"> image </w:t>
      </w:r>
      <w:r w:rsidR="00413E02" w:rsidRPr="00851192">
        <w:rPr>
          <w:rFonts w:ascii="Arial" w:hAnsi="Arial" w:cs="Arial"/>
        </w:rPr>
        <w:t>is</w:t>
      </w:r>
      <w:r w:rsidRPr="00851192">
        <w:rPr>
          <w:rFonts w:ascii="Arial" w:hAnsi="Arial" w:cs="Arial"/>
        </w:rPr>
        <w:t xml:space="preserve"> influenced by the salience of an organisations operation of CSR activities</w:t>
      </w:r>
      <w:r w:rsidR="00553E57" w:rsidRPr="00851192">
        <w:rPr>
          <w:rFonts w:ascii="Arial" w:hAnsi="Arial" w:cs="Arial"/>
        </w:rPr>
        <w:t>,</w:t>
      </w:r>
      <w:r w:rsidRPr="00851192">
        <w:rPr>
          <w:rFonts w:ascii="Arial" w:hAnsi="Arial" w:cs="Arial"/>
        </w:rPr>
        <w:t xml:space="preserve"> alongside its perceived incongruence by stakeholders such as a business’s target audience. </w:t>
      </w:r>
      <w:r w:rsidR="00E974DB" w:rsidRPr="00851192">
        <w:rPr>
          <w:rFonts w:ascii="Arial" w:hAnsi="Arial" w:cs="Arial"/>
        </w:rPr>
        <w:t>The importance</w:t>
      </w:r>
      <w:r w:rsidR="00226A43" w:rsidRPr="00851192">
        <w:rPr>
          <w:rFonts w:ascii="Arial" w:hAnsi="Arial" w:cs="Arial"/>
        </w:rPr>
        <w:t xml:space="preserve"> of CSR communication is </w:t>
      </w:r>
      <w:r w:rsidR="005050B1" w:rsidRPr="00851192">
        <w:rPr>
          <w:rFonts w:ascii="Arial" w:hAnsi="Arial" w:cs="Arial"/>
        </w:rPr>
        <w:t>highlighted</w:t>
      </w:r>
      <w:r w:rsidR="00226A43" w:rsidRPr="00851192">
        <w:rPr>
          <w:rFonts w:ascii="Arial" w:hAnsi="Arial" w:cs="Arial"/>
        </w:rPr>
        <w:t xml:space="preserve"> by</w:t>
      </w:r>
      <w:r w:rsidR="00E974DB" w:rsidRPr="00851192">
        <w:rPr>
          <w:rFonts w:ascii="Arial" w:hAnsi="Arial" w:cs="Arial"/>
        </w:rPr>
        <w:t xml:space="preserve"> stakeholder perception</w:t>
      </w:r>
      <w:r w:rsidR="00226A43" w:rsidRPr="00851192">
        <w:rPr>
          <w:rFonts w:ascii="Arial" w:hAnsi="Arial" w:cs="Arial"/>
        </w:rPr>
        <w:t xml:space="preserve"> which is identified to be</w:t>
      </w:r>
      <w:r w:rsidR="00E974DB" w:rsidRPr="00851192">
        <w:rPr>
          <w:rFonts w:ascii="Arial" w:hAnsi="Arial" w:cs="Arial"/>
        </w:rPr>
        <w:t xml:space="preserve"> fundamentally vital </w:t>
      </w:r>
      <w:r w:rsidR="00226A43" w:rsidRPr="00851192">
        <w:rPr>
          <w:rFonts w:ascii="Arial" w:hAnsi="Arial" w:cs="Arial"/>
        </w:rPr>
        <w:t>for</w:t>
      </w:r>
      <w:r w:rsidR="00E974DB" w:rsidRPr="00851192">
        <w:rPr>
          <w:rFonts w:ascii="Arial" w:hAnsi="Arial" w:cs="Arial"/>
        </w:rPr>
        <w:t xml:space="preserve"> long-term sustainability</w:t>
      </w:r>
      <w:r w:rsidR="00C712BC" w:rsidRPr="00851192">
        <w:rPr>
          <w:rFonts w:ascii="Arial" w:hAnsi="Arial" w:cs="Arial"/>
        </w:rPr>
        <w:t xml:space="preserve">, financial </w:t>
      </w:r>
      <w:r w:rsidR="00226A43" w:rsidRPr="00851192">
        <w:rPr>
          <w:rFonts w:ascii="Arial" w:hAnsi="Arial" w:cs="Arial"/>
        </w:rPr>
        <w:t>growth</w:t>
      </w:r>
      <w:r w:rsidR="00553E57" w:rsidRPr="00851192">
        <w:rPr>
          <w:rFonts w:ascii="Arial" w:hAnsi="Arial" w:cs="Arial"/>
        </w:rPr>
        <w:t>,</w:t>
      </w:r>
      <w:r w:rsidR="00E974DB" w:rsidRPr="00851192">
        <w:rPr>
          <w:rFonts w:ascii="Arial" w:hAnsi="Arial" w:cs="Arial"/>
        </w:rPr>
        <w:t xml:space="preserve"> and </w:t>
      </w:r>
      <w:r w:rsidR="00226A43" w:rsidRPr="00851192">
        <w:rPr>
          <w:rFonts w:ascii="Arial" w:hAnsi="Arial" w:cs="Arial"/>
        </w:rPr>
        <w:t xml:space="preserve">the day to day </w:t>
      </w:r>
      <w:r w:rsidR="00E974DB" w:rsidRPr="00851192">
        <w:rPr>
          <w:rFonts w:ascii="Arial" w:hAnsi="Arial" w:cs="Arial"/>
        </w:rPr>
        <w:t xml:space="preserve">operations of a </w:t>
      </w:r>
      <w:r w:rsidR="0067066D" w:rsidRPr="00851192">
        <w:rPr>
          <w:rFonts w:ascii="Arial" w:hAnsi="Arial" w:cs="Arial"/>
        </w:rPr>
        <w:t>business</w:t>
      </w:r>
      <w:r w:rsidR="00E974DB" w:rsidRPr="00851192">
        <w:rPr>
          <w:rFonts w:ascii="Arial" w:hAnsi="Arial" w:cs="Arial"/>
        </w:rPr>
        <w:t xml:space="preserve"> </w:t>
      </w:r>
      <w:sdt>
        <w:sdtPr>
          <w:rPr>
            <w:rFonts w:ascii="Arial" w:hAnsi="Arial" w:cs="Arial"/>
          </w:rPr>
          <w:id w:val="-1089933305"/>
          <w:citation/>
        </w:sdtPr>
        <w:sdtEndPr/>
        <w:sdtContent>
          <w:r w:rsidR="00E974DB" w:rsidRPr="00851192">
            <w:rPr>
              <w:rFonts w:ascii="Arial" w:hAnsi="Arial" w:cs="Arial"/>
            </w:rPr>
            <w:fldChar w:fldCharType="begin"/>
          </w:r>
          <w:r w:rsidR="00E974DB" w:rsidRPr="00851192">
            <w:rPr>
              <w:rFonts w:ascii="Arial" w:hAnsi="Arial" w:cs="Arial"/>
            </w:rPr>
            <w:instrText xml:space="preserve"> CITATION Cos13 \l 2057 </w:instrText>
          </w:r>
          <w:r w:rsidR="00E974DB" w:rsidRPr="00851192">
            <w:rPr>
              <w:rFonts w:ascii="Arial" w:hAnsi="Arial" w:cs="Arial"/>
            </w:rPr>
            <w:fldChar w:fldCharType="separate"/>
          </w:r>
          <w:r w:rsidR="002D17EA" w:rsidRPr="00851192">
            <w:rPr>
              <w:rFonts w:ascii="Arial" w:hAnsi="Arial" w:cs="Arial"/>
              <w:noProof/>
            </w:rPr>
            <w:t>(Costa &amp; Menichini, 2013)</w:t>
          </w:r>
          <w:r w:rsidR="00E974DB" w:rsidRPr="00851192">
            <w:rPr>
              <w:rFonts w:ascii="Arial" w:hAnsi="Arial" w:cs="Arial"/>
            </w:rPr>
            <w:fldChar w:fldCharType="end"/>
          </w:r>
        </w:sdtContent>
      </w:sdt>
      <w:r w:rsidR="00E974DB" w:rsidRPr="00851192">
        <w:rPr>
          <w:rFonts w:ascii="Arial" w:hAnsi="Arial" w:cs="Arial"/>
        </w:rPr>
        <w:t xml:space="preserve">. </w:t>
      </w:r>
      <w:r w:rsidR="00413E02" w:rsidRPr="00851192">
        <w:rPr>
          <w:rFonts w:ascii="Arial" w:hAnsi="Arial" w:cs="Arial"/>
        </w:rPr>
        <w:t xml:space="preserve">Costa and </w:t>
      </w:r>
      <w:proofErr w:type="spellStart"/>
      <w:r w:rsidR="00413E02" w:rsidRPr="00851192">
        <w:rPr>
          <w:rFonts w:ascii="Arial" w:hAnsi="Arial" w:cs="Arial"/>
        </w:rPr>
        <w:t>Menichini</w:t>
      </w:r>
      <w:proofErr w:type="spellEnd"/>
      <w:r w:rsidR="00413E02" w:rsidRPr="00851192">
        <w:rPr>
          <w:rFonts w:ascii="Arial" w:hAnsi="Arial" w:cs="Arial"/>
        </w:rPr>
        <w:t xml:space="preserve"> (2013) use the</w:t>
      </w:r>
      <w:r w:rsidR="00E974DB" w:rsidRPr="00851192">
        <w:rPr>
          <w:rFonts w:ascii="Arial" w:hAnsi="Arial" w:cs="Arial"/>
        </w:rPr>
        <w:t xml:space="preserve"> analogy</w:t>
      </w:r>
      <w:r w:rsidR="0067066D" w:rsidRPr="00851192">
        <w:rPr>
          <w:rFonts w:ascii="Arial" w:hAnsi="Arial" w:cs="Arial"/>
        </w:rPr>
        <w:t>;</w:t>
      </w:r>
      <w:r w:rsidR="00E974DB" w:rsidRPr="00851192">
        <w:rPr>
          <w:rFonts w:ascii="Arial" w:hAnsi="Arial" w:cs="Arial"/>
        </w:rPr>
        <w:t xml:space="preserve"> “</w:t>
      </w:r>
      <w:r w:rsidR="00E974DB" w:rsidRPr="00851192">
        <w:rPr>
          <w:rFonts w:ascii="Arial" w:hAnsi="Arial" w:cs="Arial"/>
          <w:i/>
        </w:rPr>
        <w:t>if a tree falls in the forest and no one is around to hear it, does it make a sound?</w:t>
      </w:r>
      <w:proofErr w:type="gramStart"/>
      <w:r w:rsidR="00E974DB" w:rsidRPr="00851192">
        <w:rPr>
          <w:rFonts w:ascii="Arial" w:hAnsi="Arial" w:cs="Arial"/>
          <w:i/>
        </w:rPr>
        <w:t>”</w:t>
      </w:r>
      <w:r w:rsidR="00413E02" w:rsidRPr="00851192">
        <w:rPr>
          <w:rFonts w:ascii="Arial" w:hAnsi="Arial" w:cs="Arial"/>
          <w:i/>
        </w:rPr>
        <w:t>.</w:t>
      </w:r>
      <w:proofErr w:type="gramEnd"/>
      <w:r w:rsidR="00413E02" w:rsidRPr="00851192">
        <w:rPr>
          <w:rFonts w:ascii="Arial" w:hAnsi="Arial" w:cs="Arial"/>
          <w:i/>
        </w:rPr>
        <w:t xml:space="preserve"> </w:t>
      </w:r>
      <w:r w:rsidR="00413E02" w:rsidRPr="00851192">
        <w:rPr>
          <w:rFonts w:ascii="Arial" w:hAnsi="Arial" w:cs="Arial"/>
        </w:rPr>
        <w:t>The analogy</w:t>
      </w:r>
      <w:r w:rsidR="00E974DB" w:rsidRPr="00851192">
        <w:rPr>
          <w:rFonts w:ascii="Arial" w:hAnsi="Arial" w:cs="Arial"/>
          <w:i/>
        </w:rPr>
        <w:t xml:space="preserve"> </w:t>
      </w:r>
      <w:r w:rsidR="00E974DB" w:rsidRPr="00851192">
        <w:rPr>
          <w:rFonts w:ascii="Arial" w:hAnsi="Arial" w:cs="Arial"/>
        </w:rPr>
        <w:t xml:space="preserve">raises </w:t>
      </w:r>
      <w:r w:rsidR="0067066D" w:rsidRPr="00851192">
        <w:rPr>
          <w:rFonts w:ascii="Arial" w:hAnsi="Arial" w:cs="Arial"/>
        </w:rPr>
        <w:t>the</w:t>
      </w:r>
      <w:r w:rsidR="00E974DB" w:rsidRPr="00851192">
        <w:rPr>
          <w:rFonts w:ascii="Arial" w:hAnsi="Arial" w:cs="Arial"/>
        </w:rPr>
        <w:t xml:space="preserve"> question </w:t>
      </w:r>
      <w:r w:rsidR="00220AB7" w:rsidRPr="00851192">
        <w:rPr>
          <w:rFonts w:ascii="Arial" w:hAnsi="Arial" w:cs="Arial"/>
        </w:rPr>
        <w:t xml:space="preserve">that if </w:t>
      </w:r>
      <w:r w:rsidR="00E974DB" w:rsidRPr="00851192">
        <w:rPr>
          <w:rFonts w:ascii="Arial" w:hAnsi="Arial" w:cs="Arial"/>
        </w:rPr>
        <w:t xml:space="preserve">an organisation has a strong and effective CSR commitment policy but nobody recognises it, </w:t>
      </w:r>
      <w:r w:rsidR="00E974DB" w:rsidRPr="00851192">
        <w:rPr>
          <w:rFonts w:ascii="Arial" w:hAnsi="Arial" w:cs="Arial"/>
        </w:rPr>
        <w:lastRenderedPageBreak/>
        <w:t>does it produce any benefits</w:t>
      </w:r>
      <w:r w:rsidR="00553E57" w:rsidRPr="00851192">
        <w:rPr>
          <w:rFonts w:ascii="Arial" w:hAnsi="Arial" w:cs="Arial"/>
        </w:rPr>
        <w:t>.</w:t>
      </w:r>
      <w:r w:rsidR="00E974DB" w:rsidRPr="00851192">
        <w:rPr>
          <w:rFonts w:ascii="Arial" w:hAnsi="Arial" w:cs="Arial"/>
        </w:rPr>
        <w:t xml:space="preserve"> The power of corporate image and brand reputation may be dependent on how stakeholders perceive </w:t>
      </w:r>
      <w:r w:rsidR="00105FCF" w:rsidRPr="00851192">
        <w:rPr>
          <w:rFonts w:ascii="Arial" w:hAnsi="Arial" w:cs="Arial"/>
        </w:rPr>
        <w:t>the company’s value on social behaviour and societal impact</w:t>
      </w:r>
      <w:r w:rsidR="00C56219" w:rsidRPr="00851192">
        <w:rPr>
          <w:rFonts w:ascii="Arial" w:hAnsi="Arial" w:cs="Arial"/>
        </w:rPr>
        <w:t>.</w:t>
      </w:r>
      <w:r w:rsidR="00553E57" w:rsidRPr="00851192">
        <w:rPr>
          <w:rFonts w:ascii="Arial" w:hAnsi="Arial" w:cs="Arial"/>
        </w:rPr>
        <w:t xml:space="preserve"> However,</w:t>
      </w:r>
      <w:r w:rsidR="00C56219" w:rsidRPr="00851192">
        <w:rPr>
          <w:rFonts w:ascii="Arial" w:hAnsi="Arial" w:cs="Arial"/>
        </w:rPr>
        <w:t xml:space="preserve"> the process and effectiveness of CSR communications tells to be even more important due to the impact it has on its stakeholders</w:t>
      </w:r>
      <w:r w:rsidR="00553E57" w:rsidRPr="00851192">
        <w:rPr>
          <w:rFonts w:ascii="Arial" w:hAnsi="Arial" w:cs="Arial"/>
        </w:rPr>
        <w:t xml:space="preserve"> within the negative externalities </w:t>
      </w:r>
      <w:r w:rsidR="00413E02" w:rsidRPr="00851192">
        <w:rPr>
          <w:rFonts w:ascii="Arial" w:hAnsi="Arial" w:cs="Arial"/>
        </w:rPr>
        <w:t xml:space="preserve">that </w:t>
      </w:r>
      <w:r w:rsidR="00553E57" w:rsidRPr="00851192">
        <w:rPr>
          <w:rFonts w:ascii="Arial" w:hAnsi="Arial" w:cs="Arial"/>
        </w:rPr>
        <w:t xml:space="preserve">the </w:t>
      </w:r>
      <w:r w:rsidR="00AD22E2" w:rsidRPr="00851192">
        <w:rPr>
          <w:rFonts w:ascii="Arial" w:hAnsi="Arial" w:cs="Arial"/>
        </w:rPr>
        <w:t xml:space="preserve">GGI </w:t>
      </w:r>
      <w:r w:rsidR="00413E02" w:rsidRPr="00851192">
        <w:rPr>
          <w:rFonts w:ascii="Arial" w:hAnsi="Arial" w:cs="Arial"/>
        </w:rPr>
        <w:t>has</w:t>
      </w:r>
      <w:r w:rsidR="00553E57" w:rsidRPr="00851192">
        <w:rPr>
          <w:rFonts w:ascii="Arial" w:hAnsi="Arial" w:cs="Arial"/>
        </w:rPr>
        <w:t xml:space="preserve">. </w:t>
      </w:r>
    </w:p>
    <w:p w14:paraId="07C16D95" w14:textId="1510A55A" w:rsidR="006A2CC6" w:rsidRPr="00851192" w:rsidRDefault="00DF7255" w:rsidP="00DF7255">
      <w:pPr>
        <w:pStyle w:val="Heading1"/>
        <w:rPr>
          <w:rFonts w:ascii="Arial" w:hAnsi="Arial" w:cs="Arial"/>
          <w:color w:val="auto"/>
        </w:rPr>
      </w:pPr>
      <w:bookmarkStart w:id="22" w:name="_Toc526434223"/>
      <w:r w:rsidRPr="00851192">
        <w:rPr>
          <w:rFonts w:ascii="Arial" w:hAnsi="Arial" w:cs="Arial"/>
          <w:color w:val="auto"/>
        </w:rPr>
        <w:t>2.1</w:t>
      </w:r>
      <w:r w:rsidR="003B74DC" w:rsidRPr="00851192">
        <w:rPr>
          <w:rFonts w:ascii="Arial" w:hAnsi="Arial" w:cs="Arial"/>
          <w:color w:val="auto"/>
        </w:rPr>
        <w:t>1</w:t>
      </w:r>
      <w:r w:rsidRPr="00851192">
        <w:rPr>
          <w:rFonts w:ascii="Arial" w:hAnsi="Arial" w:cs="Arial"/>
          <w:color w:val="auto"/>
        </w:rPr>
        <w:t xml:space="preserve"> </w:t>
      </w:r>
      <w:r w:rsidR="006A2CC6" w:rsidRPr="00851192">
        <w:rPr>
          <w:rFonts w:ascii="Arial" w:hAnsi="Arial" w:cs="Arial"/>
          <w:color w:val="auto"/>
        </w:rPr>
        <w:t>Power of Stakeholders</w:t>
      </w:r>
      <w:bookmarkEnd w:id="22"/>
    </w:p>
    <w:p w14:paraId="09D033DA" w14:textId="370FB25C" w:rsidR="001B5046" w:rsidRPr="00851192" w:rsidRDefault="00466242" w:rsidP="003B74DC">
      <w:pPr>
        <w:spacing w:line="360" w:lineRule="auto"/>
        <w:jc w:val="both"/>
        <w:rPr>
          <w:rFonts w:ascii="Arial" w:hAnsi="Arial" w:cs="Arial"/>
        </w:rPr>
      </w:pPr>
      <w:r w:rsidRPr="00851192">
        <w:rPr>
          <w:rFonts w:ascii="Arial" w:hAnsi="Arial" w:cs="Arial"/>
        </w:rPr>
        <w:t xml:space="preserve">Although the development of stakeholder management has been driven by greater strategic emphasis to manage stakeholder groups </w:t>
      </w:r>
      <w:r w:rsidR="001D3EBE" w:rsidRPr="00851192">
        <w:rPr>
          <w:rFonts w:ascii="Arial" w:hAnsi="Arial" w:cs="Arial"/>
        </w:rPr>
        <w:t xml:space="preserve">more effectively </w:t>
      </w:r>
      <w:r w:rsidR="00413E02" w:rsidRPr="00851192">
        <w:rPr>
          <w:rFonts w:ascii="Arial" w:hAnsi="Arial" w:cs="Arial"/>
        </w:rPr>
        <w:t>through</w:t>
      </w:r>
      <w:r w:rsidRPr="00851192">
        <w:rPr>
          <w:rFonts w:ascii="Arial" w:hAnsi="Arial" w:cs="Arial"/>
        </w:rPr>
        <w:t xml:space="preserve"> the promotion of CSR initiatives</w:t>
      </w:r>
      <w:r w:rsidR="00954F24" w:rsidRPr="00851192">
        <w:rPr>
          <w:rFonts w:ascii="Arial" w:hAnsi="Arial" w:cs="Arial"/>
        </w:rPr>
        <w:t>;</w:t>
      </w:r>
      <w:r w:rsidRPr="00851192">
        <w:rPr>
          <w:rFonts w:ascii="Arial" w:hAnsi="Arial" w:cs="Arial"/>
        </w:rPr>
        <w:t xml:space="preserve"> some stakeholder groups may cause implications for organisations depending on the </w:t>
      </w:r>
      <w:r w:rsidR="001D3EBE" w:rsidRPr="00851192">
        <w:rPr>
          <w:rFonts w:ascii="Arial" w:hAnsi="Arial" w:cs="Arial"/>
        </w:rPr>
        <w:t>bargaining</w:t>
      </w:r>
      <w:r w:rsidRPr="00851192">
        <w:rPr>
          <w:rFonts w:ascii="Arial" w:hAnsi="Arial" w:cs="Arial"/>
        </w:rPr>
        <w:t xml:space="preserve"> power a group or individual may have. It is important to note the challenges which </w:t>
      </w:r>
      <w:r w:rsidR="001D3EBE" w:rsidRPr="00851192">
        <w:rPr>
          <w:rFonts w:ascii="Arial" w:hAnsi="Arial" w:cs="Arial"/>
        </w:rPr>
        <w:t xml:space="preserve">organisations may face when </w:t>
      </w:r>
      <w:r w:rsidRPr="00851192">
        <w:rPr>
          <w:rFonts w:ascii="Arial" w:hAnsi="Arial" w:cs="Arial"/>
        </w:rPr>
        <w:t>operating within a market where external stakeholders such as consumers may have either low or high bargaining power.</w:t>
      </w:r>
      <w:r w:rsidR="00413E02" w:rsidRPr="00851192">
        <w:rPr>
          <w:rFonts w:ascii="Arial" w:hAnsi="Arial" w:cs="Arial"/>
        </w:rPr>
        <w:t xml:space="preserve"> This is in retrospect </w:t>
      </w:r>
      <w:r w:rsidR="00940781" w:rsidRPr="00851192">
        <w:rPr>
          <w:rFonts w:ascii="Arial" w:hAnsi="Arial" w:cs="Arial"/>
        </w:rPr>
        <w:t xml:space="preserve">for </w:t>
      </w:r>
      <w:r w:rsidR="00553E57" w:rsidRPr="00851192">
        <w:rPr>
          <w:rFonts w:ascii="Arial" w:hAnsi="Arial" w:cs="Arial"/>
        </w:rPr>
        <w:t>GGO’s</w:t>
      </w:r>
      <w:r w:rsidR="00940781" w:rsidRPr="00851192">
        <w:rPr>
          <w:rFonts w:ascii="Arial" w:hAnsi="Arial" w:cs="Arial"/>
        </w:rPr>
        <w:t xml:space="preserve"> to understand how powerful stakeholders are within individual </w:t>
      </w:r>
      <w:r w:rsidR="00413E02" w:rsidRPr="00851192">
        <w:rPr>
          <w:rFonts w:ascii="Arial" w:hAnsi="Arial" w:cs="Arial"/>
        </w:rPr>
        <w:t>inter</w:t>
      </w:r>
      <w:r w:rsidR="00940781" w:rsidRPr="00851192">
        <w:rPr>
          <w:rFonts w:ascii="Arial" w:hAnsi="Arial" w:cs="Arial"/>
        </w:rPr>
        <w:t>national markets.</w:t>
      </w:r>
      <w:r w:rsidR="00413E02" w:rsidRPr="00851192">
        <w:rPr>
          <w:rFonts w:ascii="Arial" w:hAnsi="Arial" w:cs="Arial"/>
        </w:rPr>
        <w:t xml:space="preserve"> For example,</w:t>
      </w:r>
      <w:r w:rsidR="00940781" w:rsidRPr="00851192">
        <w:rPr>
          <w:rFonts w:ascii="Arial" w:hAnsi="Arial" w:cs="Arial"/>
        </w:rPr>
        <w:t xml:space="preserve"> </w:t>
      </w:r>
      <w:r w:rsidR="00413E02" w:rsidRPr="00851192">
        <w:rPr>
          <w:rFonts w:ascii="Arial" w:hAnsi="Arial" w:cs="Arial"/>
        </w:rPr>
        <w:t>t</w:t>
      </w:r>
      <w:r w:rsidR="00940781" w:rsidRPr="00851192">
        <w:rPr>
          <w:rFonts w:ascii="Arial" w:hAnsi="Arial" w:cs="Arial"/>
        </w:rPr>
        <w:t xml:space="preserve">he way CSR communications </w:t>
      </w:r>
      <w:r w:rsidR="00553E57" w:rsidRPr="00851192">
        <w:rPr>
          <w:rFonts w:ascii="Arial" w:hAnsi="Arial" w:cs="Arial"/>
        </w:rPr>
        <w:t>are</w:t>
      </w:r>
      <w:r w:rsidR="00940781" w:rsidRPr="00851192">
        <w:rPr>
          <w:rFonts w:ascii="Arial" w:hAnsi="Arial" w:cs="Arial"/>
        </w:rPr>
        <w:t xml:space="preserve"> presented within the UK in comparison to different international market</w:t>
      </w:r>
      <w:r w:rsidR="00553E57" w:rsidRPr="00851192">
        <w:rPr>
          <w:rFonts w:ascii="Arial" w:hAnsi="Arial" w:cs="Arial"/>
        </w:rPr>
        <w:t>s</w:t>
      </w:r>
      <w:r w:rsidR="00940781" w:rsidRPr="00851192">
        <w:rPr>
          <w:rFonts w:ascii="Arial" w:hAnsi="Arial" w:cs="Arial"/>
        </w:rPr>
        <w:t xml:space="preserve"> will differ due to how legislation is shaped and </w:t>
      </w:r>
      <w:r w:rsidR="00413E02" w:rsidRPr="00851192">
        <w:rPr>
          <w:rFonts w:ascii="Arial" w:hAnsi="Arial" w:cs="Arial"/>
        </w:rPr>
        <w:t>how</w:t>
      </w:r>
      <w:r w:rsidR="00940781" w:rsidRPr="00851192">
        <w:rPr>
          <w:rFonts w:ascii="Arial" w:hAnsi="Arial" w:cs="Arial"/>
        </w:rPr>
        <w:t xml:space="preserve"> consumer behav</w:t>
      </w:r>
      <w:r w:rsidR="00413E02" w:rsidRPr="00851192">
        <w:rPr>
          <w:rFonts w:ascii="Arial" w:hAnsi="Arial" w:cs="Arial"/>
        </w:rPr>
        <w:t>e</w:t>
      </w:r>
      <w:r w:rsidR="00940781" w:rsidRPr="00851192">
        <w:rPr>
          <w:rFonts w:ascii="Arial" w:hAnsi="Arial" w:cs="Arial"/>
        </w:rPr>
        <w:t xml:space="preserve">. </w:t>
      </w:r>
      <w:r w:rsidR="001D3EBE" w:rsidRPr="00851192">
        <w:rPr>
          <w:rFonts w:ascii="Arial" w:hAnsi="Arial" w:cs="Arial"/>
        </w:rPr>
        <w:t xml:space="preserve">For </w:t>
      </w:r>
      <w:r w:rsidR="00553E57" w:rsidRPr="00851192">
        <w:rPr>
          <w:rFonts w:ascii="Arial" w:hAnsi="Arial" w:cs="Arial"/>
        </w:rPr>
        <w:t>GGO’s</w:t>
      </w:r>
      <w:r w:rsidR="001D3EBE" w:rsidRPr="00851192">
        <w:rPr>
          <w:rFonts w:ascii="Arial" w:hAnsi="Arial" w:cs="Arial"/>
        </w:rPr>
        <w:t xml:space="preserve"> within the </w:t>
      </w:r>
      <w:r w:rsidR="00954F24" w:rsidRPr="00851192">
        <w:rPr>
          <w:rFonts w:ascii="Arial" w:hAnsi="Arial" w:cs="Arial"/>
        </w:rPr>
        <w:t>UK</w:t>
      </w:r>
      <w:r w:rsidR="00B032FF" w:rsidRPr="00851192">
        <w:rPr>
          <w:rFonts w:ascii="Arial" w:hAnsi="Arial" w:cs="Arial"/>
        </w:rPr>
        <w:t xml:space="preserve"> market</w:t>
      </w:r>
      <w:r w:rsidR="001D3EBE" w:rsidRPr="00851192">
        <w:rPr>
          <w:rFonts w:ascii="Arial" w:hAnsi="Arial" w:cs="Arial"/>
        </w:rPr>
        <w:t xml:space="preserve">, an argument towards consumers having high </w:t>
      </w:r>
      <w:r w:rsidR="002E32B0" w:rsidRPr="00851192">
        <w:rPr>
          <w:rFonts w:ascii="Arial" w:hAnsi="Arial" w:cs="Arial"/>
        </w:rPr>
        <w:t>buying</w:t>
      </w:r>
      <w:r w:rsidR="001D3EBE" w:rsidRPr="00851192">
        <w:rPr>
          <w:rFonts w:ascii="Arial" w:hAnsi="Arial" w:cs="Arial"/>
        </w:rPr>
        <w:t xml:space="preserve"> power may be accepted due to</w:t>
      </w:r>
      <w:r w:rsidR="00B032FF" w:rsidRPr="00851192">
        <w:rPr>
          <w:rFonts w:ascii="Arial" w:hAnsi="Arial" w:cs="Arial"/>
        </w:rPr>
        <w:t xml:space="preserve"> the competitive landscape being more volatile. The application of legislation by governing bodies</w:t>
      </w:r>
      <w:r w:rsidR="00413E02" w:rsidRPr="00851192">
        <w:rPr>
          <w:rFonts w:ascii="Arial" w:hAnsi="Arial" w:cs="Arial"/>
        </w:rPr>
        <w:t xml:space="preserve"> and pressure groups</w:t>
      </w:r>
      <w:r w:rsidR="00B032FF" w:rsidRPr="00851192">
        <w:rPr>
          <w:rFonts w:ascii="Arial" w:hAnsi="Arial" w:cs="Arial"/>
        </w:rPr>
        <w:t xml:space="preserve"> lead to </w:t>
      </w:r>
      <w:r w:rsidR="00553E57" w:rsidRPr="00851192">
        <w:rPr>
          <w:rFonts w:ascii="Arial" w:hAnsi="Arial" w:cs="Arial"/>
        </w:rPr>
        <w:t>GGO’s</w:t>
      </w:r>
      <w:r w:rsidR="008E7425" w:rsidRPr="00851192">
        <w:rPr>
          <w:rFonts w:ascii="Arial" w:hAnsi="Arial" w:cs="Arial"/>
        </w:rPr>
        <w:t xml:space="preserve"> to</w:t>
      </w:r>
      <w:r w:rsidR="00B032FF" w:rsidRPr="00851192">
        <w:rPr>
          <w:rFonts w:ascii="Arial" w:hAnsi="Arial" w:cs="Arial"/>
        </w:rPr>
        <w:t xml:space="preserve"> adopting CSR and applying CSR communication as a means to</w:t>
      </w:r>
      <w:r w:rsidR="00413E02" w:rsidRPr="00851192">
        <w:rPr>
          <w:rFonts w:ascii="Arial" w:hAnsi="Arial" w:cs="Arial"/>
        </w:rPr>
        <w:t xml:space="preserve"> control and</w:t>
      </w:r>
      <w:r w:rsidR="00B032FF" w:rsidRPr="00851192">
        <w:rPr>
          <w:rFonts w:ascii="Arial" w:hAnsi="Arial" w:cs="Arial"/>
        </w:rPr>
        <w:t xml:space="preserve"> drive consumer interest</w:t>
      </w:r>
      <w:r w:rsidR="00413E02" w:rsidRPr="00851192">
        <w:rPr>
          <w:rFonts w:ascii="Arial" w:hAnsi="Arial" w:cs="Arial"/>
        </w:rPr>
        <w:t xml:space="preserve"> </w:t>
      </w:r>
      <w:sdt>
        <w:sdtPr>
          <w:rPr>
            <w:rFonts w:ascii="Arial" w:hAnsi="Arial" w:cs="Arial"/>
          </w:rPr>
          <w:id w:val="1249539870"/>
          <w:citation/>
        </w:sdtPr>
        <w:sdtEndPr/>
        <w:sdtContent>
          <w:r w:rsidR="00B032FF" w:rsidRPr="00851192">
            <w:rPr>
              <w:rFonts w:ascii="Arial" w:hAnsi="Arial" w:cs="Arial"/>
            </w:rPr>
            <w:fldChar w:fldCharType="begin"/>
          </w:r>
          <w:r w:rsidR="00B032FF" w:rsidRPr="00851192">
            <w:rPr>
              <w:rFonts w:ascii="Arial" w:hAnsi="Arial" w:cs="Arial"/>
            </w:rPr>
            <w:instrText xml:space="preserve"> CITATION Sae12 \l 2057 </w:instrText>
          </w:r>
          <w:r w:rsidR="00B032FF" w:rsidRPr="00851192">
            <w:rPr>
              <w:rFonts w:ascii="Arial" w:hAnsi="Arial" w:cs="Arial"/>
            </w:rPr>
            <w:fldChar w:fldCharType="separate"/>
          </w:r>
          <w:r w:rsidR="002D17EA" w:rsidRPr="00851192">
            <w:rPr>
              <w:rFonts w:ascii="Arial" w:hAnsi="Arial" w:cs="Arial"/>
              <w:noProof/>
            </w:rPr>
            <w:t>(Saeed &amp; Arshad, 2012)</w:t>
          </w:r>
          <w:r w:rsidR="00B032FF" w:rsidRPr="00851192">
            <w:rPr>
              <w:rFonts w:ascii="Arial" w:hAnsi="Arial" w:cs="Arial"/>
            </w:rPr>
            <w:fldChar w:fldCharType="end"/>
          </w:r>
        </w:sdtContent>
      </w:sdt>
      <w:r w:rsidR="00B032FF" w:rsidRPr="00851192">
        <w:rPr>
          <w:rFonts w:ascii="Arial" w:hAnsi="Arial" w:cs="Arial"/>
        </w:rPr>
        <w:t xml:space="preserve">. </w:t>
      </w:r>
      <w:r w:rsidR="001D3EBE" w:rsidRPr="00851192">
        <w:rPr>
          <w:rFonts w:ascii="Arial" w:hAnsi="Arial" w:cs="Arial"/>
        </w:rPr>
        <w:t xml:space="preserve"> </w:t>
      </w:r>
    </w:p>
    <w:p w14:paraId="1B5C0258" w14:textId="47BB8E16" w:rsidR="009F3CB1" w:rsidRPr="00851192" w:rsidRDefault="00DF7255" w:rsidP="00DF7255">
      <w:pPr>
        <w:pStyle w:val="Heading1"/>
        <w:rPr>
          <w:rFonts w:ascii="Arial" w:hAnsi="Arial" w:cs="Arial"/>
          <w:color w:val="auto"/>
        </w:rPr>
      </w:pPr>
      <w:bookmarkStart w:id="23" w:name="_Toc526434224"/>
      <w:r w:rsidRPr="00851192">
        <w:rPr>
          <w:rFonts w:ascii="Arial" w:hAnsi="Arial" w:cs="Arial"/>
          <w:color w:val="auto"/>
        </w:rPr>
        <w:t>2.1</w:t>
      </w:r>
      <w:r w:rsidR="003B74DC" w:rsidRPr="00851192">
        <w:rPr>
          <w:rFonts w:ascii="Arial" w:hAnsi="Arial" w:cs="Arial"/>
          <w:color w:val="auto"/>
        </w:rPr>
        <w:t>2</w:t>
      </w:r>
      <w:r w:rsidRPr="00851192">
        <w:rPr>
          <w:rFonts w:ascii="Arial" w:hAnsi="Arial" w:cs="Arial"/>
          <w:color w:val="auto"/>
        </w:rPr>
        <w:t xml:space="preserve"> </w:t>
      </w:r>
      <w:r w:rsidR="009F3CB1" w:rsidRPr="00851192">
        <w:rPr>
          <w:rFonts w:ascii="Arial" w:hAnsi="Arial" w:cs="Arial"/>
          <w:color w:val="auto"/>
        </w:rPr>
        <w:t>A Conceptual Model for CSR Communication</w:t>
      </w:r>
      <w:bookmarkEnd w:id="23"/>
      <w:r w:rsidR="000E18BC" w:rsidRPr="00851192">
        <w:rPr>
          <w:rFonts w:ascii="Arial" w:hAnsi="Arial" w:cs="Arial"/>
          <w:color w:val="auto"/>
        </w:rPr>
        <w:t xml:space="preserve"> </w:t>
      </w:r>
    </w:p>
    <w:p w14:paraId="4D1C5728" w14:textId="215A9900" w:rsidR="000E18BC" w:rsidRPr="00851192" w:rsidRDefault="00F66285" w:rsidP="003B74DC">
      <w:pPr>
        <w:spacing w:line="360" w:lineRule="auto"/>
        <w:jc w:val="both"/>
        <w:rPr>
          <w:rFonts w:ascii="Arial" w:hAnsi="Arial" w:cs="Arial"/>
        </w:rPr>
      </w:pPr>
      <w:r w:rsidRPr="00851192">
        <w:rPr>
          <w:rFonts w:ascii="Arial" w:hAnsi="Arial" w:cs="Arial"/>
        </w:rPr>
        <w:t xml:space="preserve">Tata and Prasad (2015) designed a conceptual model for CSR communication to evaluate whether a </w:t>
      </w:r>
      <w:r w:rsidR="00D25900" w:rsidRPr="00851192">
        <w:rPr>
          <w:rFonts w:ascii="Arial" w:hAnsi="Arial" w:cs="Arial"/>
        </w:rPr>
        <w:t>business’s</w:t>
      </w:r>
      <w:r w:rsidRPr="00851192">
        <w:rPr>
          <w:rFonts w:ascii="Arial" w:hAnsi="Arial" w:cs="Arial"/>
        </w:rPr>
        <w:t xml:space="preserve"> current CSR image is incongruent with its </w:t>
      </w:r>
      <w:r w:rsidR="00D25900" w:rsidRPr="00851192">
        <w:rPr>
          <w:rFonts w:ascii="Arial" w:hAnsi="Arial" w:cs="Arial"/>
        </w:rPr>
        <w:t>desired</w:t>
      </w:r>
      <w:r w:rsidRPr="00851192">
        <w:rPr>
          <w:rFonts w:ascii="Arial" w:hAnsi="Arial" w:cs="Arial"/>
        </w:rPr>
        <w:t xml:space="preserve"> CSR image</w:t>
      </w:r>
      <w:r w:rsidR="00A32916" w:rsidRPr="00851192">
        <w:rPr>
          <w:rFonts w:ascii="Arial" w:hAnsi="Arial" w:cs="Arial"/>
        </w:rPr>
        <w:t xml:space="preserve"> </w:t>
      </w:r>
      <w:r w:rsidR="00D25900" w:rsidRPr="00851192">
        <w:rPr>
          <w:rFonts w:ascii="Arial" w:hAnsi="Arial" w:cs="Arial"/>
        </w:rPr>
        <w:t>through the interpretation of</w:t>
      </w:r>
      <w:r w:rsidR="00A32916" w:rsidRPr="00851192">
        <w:rPr>
          <w:rFonts w:ascii="Arial" w:hAnsi="Arial" w:cs="Arial"/>
        </w:rPr>
        <w:t xml:space="preserve"> target audience</w:t>
      </w:r>
      <w:r w:rsidR="00553E57" w:rsidRPr="00851192">
        <w:rPr>
          <w:rFonts w:ascii="Arial" w:hAnsi="Arial" w:cs="Arial"/>
        </w:rPr>
        <w:t>s,</w:t>
      </w:r>
      <w:r w:rsidR="00413E02" w:rsidRPr="00851192">
        <w:rPr>
          <w:rFonts w:ascii="Arial" w:hAnsi="Arial" w:cs="Arial"/>
        </w:rPr>
        <w:t xml:space="preserve"> and</w:t>
      </w:r>
      <w:r w:rsidR="00954F24" w:rsidRPr="00851192">
        <w:rPr>
          <w:rFonts w:ascii="Arial" w:hAnsi="Arial" w:cs="Arial"/>
        </w:rPr>
        <w:t xml:space="preserve"> effectively managing stakeholders</w:t>
      </w:r>
      <w:r w:rsidRPr="00851192">
        <w:rPr>
          <w:rFonts w:ascii="Arial" w:hAnsi="Arial" w:cs="Arial"/>
        </w:rPr>
        <w:t xml:space="preserve">. </w:t>
      </w:r>
      <w:r w:rsidR="00A32916" w:rsidRPr="00851192">
        <w:rPr>
          <w:rFonts w:ascii="Arial" w:hAnsi="Arial" w:cs="Arial"/>
        </w:rPr>
        <w:t xml:space="preserve">Furthermore, Tata and Prasad insist that the model can provide organisations the opportunity to identify and motivate a </w:t>
      </w:r>
      <w:r w:rsidR="00D25900" w:rsidRPr="00851192">
        <w:rPr>
          <w:rFonts w:ascii="Arial" w:hAnsi="Arial" w:cs="Arial"/>
        </w:rPr>
        <w:t>positive</w:t>
      </w:r>
      <w:r w:rsidR="00A32916" w:rsidRPr="00851192">
        <w:rPr>
          <w:rFonts w:ascii="Arial" w:hAnsi="Arial" w:cs="Arial"/>
        </w:rPr>
        <w:t xml:space="preserve"> change to decrease </w:t>
      </w:r>
      <w:r w:rsidR="00D25900" w:rsidRPr="00851192">
        <w:rPr>
          <w:rFonts w:ascii="Arial" w:hAnsi="Arial" w:cs="Arial"/>
        </w:rPr>
        <w:t>incongruence</w:t>
      </w:r>
      <w:r w:rsidR="00A32916" w:rsidRPr="00851192">
        <w:rPr>
          <w:rFonts w:ascii="Arial" w:hAnsi="Arial" w:cs="Arial"/>
        </w:rPr>
        <w:t xml:space="preserve"> of its </w:t>
      </w:r>
      <w:r w:rsidR="00413E02" w:rsidRPr="00851192">
        <w:rPr>
          <w:rFonts w:ascii="Arial" w:hAnsi="Arial" w:cs="Arial"/>
        </w:rPr>
        <w:t>corporate</w:t>
      </w:r>
      <w:r w:rsidR="00A32916" w:rsidRPr="00851192">
        <w:rPr>
          <w:rFonts w:ascii="Arial" w:hAnsi="Arial" w:cs="Arial"/>
        </w:rPr>
        <w:t xml:space="preserve"> Image. Additionally, </w:t>
      </w:r>
      <w:r w:rsidR="00CE3AAF" w:rsidRPr="00851192">
        <w:rPr>
          <w:rFonts w:ascii="Arial" w:hAnsi="Arial" w:cs="Arial"/>
        </w:rPr>
        <w:t xml:space="preserve">Tata and Prasad believe that this can be moderated through the </w:t>
      </w:r>
      <w:r w:rsidR="00413E02" w:rsidRPr="00851192">
        <w:rPr>
          <w:rFonts w:ascii="Arial" w:hAnsi="Arial" w:cs="Arial"/>
        </w:rPr>
        <w:t>business’s</w:t>
      </w:r>
      <w:r w:rsidR="00CE3AAF" w:rsidRPr="00851192">
        <w:rPr>
          <w:rFonts w:ascii="Arial" w:hAnsi="Arial" w:cs="Arial"/>
        </w:rPr>
        <w:t xml:space="preserve"> salience and accessibility within the marketplace. However, it is important for businesses to recognise that the quality of their image and market scope can be impacted by a number of factors. </w:t>
      </w:r>
      <w:r w:rsidR="000E18BC" w:rsidRPr="00851192">
        <w:rPr>
          <w:rFonts w:ascii="Arial" w:hAnsi="Arial" w:cs="Arial"/>
        </w:rPr>
        <w:t xml:space="preserve">These factors are; </w:t>
      </w:r>
    </w:p>
    <w:p w14:paraId="2A44FACF" w14:textId="0C17AFBD" w:rsidR="000E18BC" w:rsidRPr="00851192" w:rsidRDefault="000E18BC" w:rsidP="000E18BC">
      <w:pPr>
        <w:pStyle w:val="ListParagraph"/>
        <w:numPr>
          <w:ilvl w:val="0"/>
          <w:numId w:val="4"/>
        </w:numPr>
        <w:jc w:val="both"/>
        <w:rPr>
          <w:rFonts w:ascii="Arial" w:hAnsi="Arial" w:cs="Arial"/>
          <w:b/>
          <w:u w:val="single"/>
        </w:rPr>
      </w:pPr>
      <w:r w:rsidRPr="00851192">
        <w:rPr>
          <w:rFonts w:ascii="Arial" w:hAnsi="Arial" w:cs="Arial"/>
        </w:rPr>
        <w:t>Importance of CSR Image to a business.</w:t>
      </w:r>
    </w:p>
    <w:p w14:paraId="2AA0B6F6" w14:textId="03BD8C41" w:rsidR="000E18BC" w:rsidRPr="00851192" w:rsidRDefault="000E18BC" w:rsidP="000E18BC">
      <w:pPr>
        <w:pStyle w:val="ListParagraph"/>
        <w:numPr>
          <w:ilvl w:val="0"/>
          <w:numId w:val="4"/>
        </w:numPr>
        <w:jc w:val="both"/>
        <w:rPr>
          <w:rFonts w:ascii="Arial" w:hAnsi="Arial" w:cs="Arial"/>
          <w:b/>
          <w:u w:val="single"/>
        </w:rPr>
      </w:pPr>
      <w:r w:rsidRPr="00851192">
        <w:rPr>
          <w:rFonts w:ascii="Arial" w:hAnsi="Arial" w:cs="Arial"/>
        </w:rPr>
        <w:t>The power of a business.</w:t>
      </w:r>
    </w:p>
    <w:p w14:paraId="5C8C1BBD" w14:textId="646D7A7F" w:rsidR="000E18BC" w:rsidRPr="00851192" w:rsidRDefault="000E18BC" w:rsidP="000E18BC">
      <w:pPr>
        <w:pStyle w:val="ListParagraph"/>
        <w:numPr>
          <w:ilvl w:val="0"/>
          <w:numId w:val="4"/>
        </w:numPr>
        <w:jc w:val="both"/>
        <w:rPr>
          <w:rFonts w:ascii="Arial" w:hAnsi="Arial" w:cs="Arial"/>
          <w:b/>
          <w:u w:val="single"/>
        </w:rPr>
      </w:pPr>
      <w:r w:rsidRPr="00851192">
        <w:rPr>
          <w:rFonts w:ascii="Arial" w:hAnsi="Arial" w:cs="Arial"/>
        </w:rPr>
        <w:t>The status a business holds within a marketplace.</w:t>
      </w:r>
    </w:p>
    <w:p w14:paraId="71008D2F" w14:textId="57015219" w:rsidR="000E18BC" w:rsidRPr="00851192" w:rsidRDefault="000E18BC" w:rsidP="000E18BC">
      <w:pPr>
        <w:pStyle w:val="ListParagraph"/>
        <w:numPr>
          <w:ilvl w:val="0"/>
          <w:numId w:val="4"/>
        </w:numPr>
        <w:jc w:val="both"/>
        <w:rPr>
          <w:rFonts w:ascii="Arial" w:hAnsi="Arial" w:cs="Arial"/>
          <w:b/>
          <w:u w:val="single"/>
        </w:rPr>
      </w:pPr>
      <w:r w:rsidRPr="00851192">
        <w:rPr>
          <w:rFonts w:ascii="Arial" w:hAnsi="Arial" w:cs="Arial"/>
        </w:rPr>
        <w:t>Attractiveness to the businesses target market.</w:t>
      </w:r>
    </w:p>
    <w:p w14:paraId="31158921" w14:textId="60B8E02D" w:rsidR="00DA5D45" w:rsidRPr="00851192" w:rsidRDefault="000E18BC" w:rsidP="00DA5D45">
      <w:pPr>
        <w:pStyle w:val="ListParagraph"/>
        <w:numPr>
          <w:ilvl w:val="0"/>
          <w:numId w:val="4"/>
        </w:numPr>
        <w:jc w:val="both"/>
        <w:rPr>
          <w:rFonts w:ascii="Arial" w:hAnsi="Arial" w:cs="Arial"/>
          <w:b/>
          <w:u w:val="single"/>
        </w:rPr>
      </w:pPr>
      <w:r w:rsidRPr="00851192">
        <w:rPr>
          <w:rFonts w:ascii="Arial" w:hAnsi="Arial" w:cs="Arial"/>
        </w:rPr>
        <w:t>Importance of</w:t>
      </w:r>
      <w:r w:rsidR="00DA5D45" w:rsidRPr="00851192">
        <w:rPr>
          <w:rFonts w:ascii="Arial" w:hAnsi="Arial" w:cs="Arial"/>
        </w:rPr>
        <w:t xml:space="preserve"> CSR Image to the target market.</w:t>
      </w:r>
    </w:p>
    <w:p w14:paraId="3E2E81F3" w14:textId="5EF6026C" w:rsidR="000E18BC" w:rsidRPr="00851192" w:rsidRDefault="000E18BC" w:rsidP="000E18BC">
      <w:pPr>
        <w:pStyle w:val="ListParagraph"/>
        <w:numPr>
          <w:ilvl w:val="0"/>
          <w:numId w:val="4"/>
        </w:numPr>
        <w:jc w:val="both"/>
        <w:rPr>
          <w:rFonts w:ascii="Arial" w:hAnsi="Arial" w:cs="Arial"/>
          <w:b/>
          <w:u w:val="single"/>
        </w:rPr>
      </w:pPr>
      <w:r w:rsidRPr="00851192">
        <w:rPr>
          <w:rFonts w:ascii="Arial" w:hAnsi="Arial" w:cs="Arial"/>
        </w:rPr>
        <w:t>Media attention and influences.</w:t>
      </w:r>
    </w:p>
    <w:p w14:paraId="4046734C" w14:textId="724DECB0" w:rsidR="000E18BC" w:rsidRPr="00851192" w:rsidRDefault="00DA5D45" w:rsidP="000E18BC">
      <w:pPr>
        <w:pStyle w:val="ListParagraph"/>
        <w:numPr>
          <w:ilvl w:val="0"/>
          <w:numId w:val="4"/>
        </w:numPr>
        <w:jc w:val="both"/>
        <w:rPr>
          <w:rFonts w:ascii="Arial" w:hAnsi="Arial" w:cs="Arial"/>
          <w:b/>
          <w:u w:val="single"/>
        </w:rPr>
      </w:pPr>
      <w:r w:rsidRPr="00851192">
        <w:rPr>
          <w:rFonts w:ascii="Arial" w:hAnsi="Arial" w:cs="Arial"/>
          <w:noProof/>
          <w:lang w:eastAsia="en-GB"/>
        </w:rPr>
        <w:lastRenderedPageBreak/>
        <w:drawing>
          <wp:anchor distT="0" distB="0" distL="114300" distR="114300" simplePos="0" relativeHeight="251663360" behindDoc="0" locked="0" layoutInCell="1" allowOverlap="1" wp14:anchorId="706E33F6" wp14:editId="1FF43035">
            <wp:simplePos x="0" y="0"/>
            <wp:positionH relativeFrom="page">
              <wp:posOffset>189865</wp:posOffset>
            </wp:positionH>
            <wp:positionV relativeFrom="paragraph">
              <wp:posOffset>396413</wp:posOffset>
            </wp:positionV>
            <wp:extent cx="7075497" cy="4144488"/>
            <wp:effectExtent l="0" t="0" r="0" b="889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SR communication model.JPG"/>
                    <pic:cNvPicPr/>
                  </pic:nvPicPr>
                  <pic:blipFill>
                    <a:blip r:embed="rId13">
                      <a:extLst>
                        <a:ext uri="{28A0092B-C50C-407E-A947-70E740481C1C}">
                          <a14:useLocalDpi xmlns:a14="http://schemas.microsoft.com/office/drawing/2010/main" val="0"/>
                        </a:ext>
                      </a:extLst>
                    </a:blip>
                    <a:stretch>
                      <a:fillRect/>
                    </a:stretch>
                  </pic:blipFill>
                  <pic:spPr>
                    <a:xfrm>
                      <a:off x="0" y="0"/>
                      <a:ext cx="7075497" cy="4144488"/>
                    </a:xfrm>
                    <a:prstGeom prst="rect">
                      <a:avLst/>
                    </a:prstGeom>
                  </pic:spPr>
                </pic:pic>
              </a:graphicData>
            </a:graphic>
            <wp14:sizeRelH relativeFrom="margin">
              <wp14:pctWidth>0</wp14:pctWidth>
            </wp14:sizeRelH>
            <wp14:sizeRelV relativeFrom="margin">
              <wp14:pctHeight>0</wp14:pctHeight>
            </wp14:sizeRelV>
          </wp:anchor>
        </w:drawing>
      </w:r>
      <w:r w:rsidR="000E18BC" w:rsidRPr="00851192">
        <w:rPr>
          <w:rFonts w:ascii="Arial" w:hAnsi="Arial" w:cs="Arial"/>
        </w:rPr>
        <w:t>Public scrutiny.</w:t>
      </w:r>
    </w:p>
    <w:p w14:paraId="7E977C04" w14:textId="77777777" w:rsidR="00DA5D45" w:rsidRPr="00851192" w:rsidRDefault="00DA5D45" w:rsidP="009C3864">
      <w:pPr>
        <w:jc w:val="center"/>
        <w:rPr>
          <w:rFonts w:ascii="Arial" w:hAnsi="Arial" w:cs="Arial"/>
        </w:rPr>
      </w:pPr>
    </w:p>
    <w:p w14:paraId="29C82025" w14:textId="05C06B76" w:rsidR="000D4A5E" w:rsidRPr="00851192" w:rsidRDefault="009C3864" w:rsidP="005050B1">
      <w:pPr>
        <w:jc w:val="center"/>
        <w:rPr>
          <w:rFonts w:ascii="Arial" w:hAnsi="Arial" w:cs="Arial"/>
        </w:rPr>
      </w:pPr>
      <w:r w:rsidRPr="00851192">
        <w:rPr>
          <w:rFonts w:ascii="Arial" w:hAnsi="Arial" w:cs="Arial"/>
        </w:rPr>
        <w:t>(</w:t>
      </w:r>
      <w:r w:rsidR="001516D4" w:rsidRPr="00851192">
        <w:rPr>
          <w:rFonts w:ascii="Arial" w:hAnsi="Arial" w:cs="Arial"/>
          <w:b/>
          <w:i/>
        </w:rPr>
        <w:t>Figure 2.3</w:t>
      </w:r>
      <w:r w:rsidRPr="00851192">
        <w:rPr>
          <w:rFonts w:ascii="Arial" w:hAnsi="Arial" w:cs="Arial"/>
        </w:rPr>
        <w:t xml:space="preserve">: Tata &amp; Prasad, 2015) </w:t>
      </w:r>
    </w:p>
    <w:p w14:paraId="4FA13F35" w14:textId="63CDAB93" w:rsidR="009C3864" w:rsidRPr="00851192" w:rsidRDefault="00B87881" w:rsidP="003B74DC">
      <w:pPr>
        <w:spacing w:line="360" w:lineRule="auto"/>
        <w:jc w:val="both"/>
        <w:rPr>
          <w:rFonts w:ascii="Arial" w:hAnsi="Arial" w:cs="Arial"/>
        </w:rPr>
      </w:pPr>
      <w:r w:rsidRPr="00851192">
        <w:rPr>
          <w:rFonts w:ascii="Arial" w:hAnsi="Arial" w:cs="Arial"/>
        </w:rPr>
        <w:t>Even so</w:t>
      </w:r>
      <w:r w:rsidR="009C3864" w:rsidRPr="00851192">
        <w:rPr>
          <w:rFonts w:ascii="Arial" w:hAnsi="Arial" w:cs="Arial"/>
        </w:rPr>
        <w:t>, Tata and Prasad believe that there are four dimensions that establish the edifice of CSR communication alongside the model including</w:t>
      </w:r>
      <w:r w:rsidR="00413E02" w:rsidRPr="00851192">
        <w:rPr>
          <w:rFonts w:ascii="Arial" w:hAnsi="Arial" w:cs="Arial"/>
        </w:rPr>
        <w:t>,</w:t>
      </w:r>
      <w:r w:rsidR="009C3864" w:rsidRPr="00851192">
        <w:rPr>
          <w:rFonts w:ascii="Arial" w:hAnsi="Arial" w:cs="Arial"/>
        </w:rPr>
        <w:t xml:space="preserve"> a feedback loop which addresses feedback on the target audience’s</w:t>
      </w:r>
      <w:r w:rsidR="00CA7681" w:rsidRPr="00851192">
        <w:rPr>
          <w:rFonts w:ascii="Arial" w:hAnsi="Arial" w:cs="Arial"/>
        </w:rPr>
        <w:t xml:space="preserve"> interpretation</w:t>
      </w:r>
      <w:r w:rsidRPr="00851192">
        <w:rPr>
          <w:rFonts w:ascii="Arial" w:hAnsi="Arial" w:cs="Arial"/>
        </w:rPr>
        <w:t xml:space="preserve"> on</w:t>
      </w:r>
      <w:r w:rsidR="009C3864" w:rsidRPr="00851192">
        <w:rPr>
          <w:rFonts w:ascii="Arial" w:hAnsi="Arial" w:cs="Arial"/>
        </w:rPr>
        <w:t xml:space="preserve"> the organisation’s CSR communication</w:t>
      </w:r>
      <w:r w:rsidR="00553E57" w:rsidRPr="00851192">
        <w:rPr>
          <w:rFonts w:ascii="Arial" w:hAnsi="Arial" w:cs="Arial"/>
        </w:rPr>
        <w:t>.</w:t>
      </w:r>
      <w:r w:rsidR="00CA7681" w:rsidRPr="00851192">
        <w:rPr>
          <w:rFonts w:ascii="Arial" w:hAnsi="Arial" w:cs="Arial"/>
        </w:rPr>
        <w:t xml:space="preserve"> </w:t>
      </w:r>
      <w:r w:rsidR="00553E57" w:rsidRPr="00851192">
        <w:rPr>
          <w:rFonts w:ascii="Arial" w:hAnsi="Arial" w:cs="Arial"/>
        </w:rPr>
        <w:t>This</w:t>
      </w:r>
      <w:r w:rsidR="00CA7681" w:rsidRPr="00851192">
        <w:rPr>
          <w:rFonts w:ascii="Arial" w:hAnsi="Arial" w:cs="Arial"/>
        </w:rPr>
        <w:t xml:space="preserve"> may lead to influence the development of CSR image a</w:t>
      </w:r>
      <w:r w:rsidR="00413E02" w:rsidRPr="00851192">
        <w:rPr>
          <w:rFonts w:ascii="Arial" w:hAnsi="Arial" w:cs="Arial"/>
        </w:rPr>
        <w:t>nd</w:t>
      </w:r>
      <w:r w:rsidR="00CA7681" w:rsidRPr="00851192">
        <w:rPr>
          <w:rFonts w:ascii="Arial" w:hAnsi="Arial" w:cs="Arial"/>
        </w:rPr>
        <w:t xml:space="preserve"> motivating the businesses to engage in more effective CSR communication methods. The four dimensions </w:t>
      </w:r>
      <w:r w:rsidR="00BC256B" w:rsidRPr="00851192">
        <w:rPr>
          <w:rFonts w:ascii="Arial" w:hAnsi="Arial" w:cs="Arial"/>
        </w:rPr>
        <w:t xml:space="preserve">which add value to how CSR communication is practised by organisations </w:t>
      </w:r>
      <w:r w:rsidR="00CA7681" w:rsidRPr="00851192">
        <w:rPr>
          <w:rFonts w:ascii="Arial" w:hAnsi="Arial" w:cs="Arial"/>
        </w:rPr>
        <w:t>are</w:t>
      </w:r>
      <w:r w:rsidR="009C3864" w:rsidRPr="00851192">
        <w:rPr>
          <w:rFonts w:ascii="Arial" w:hAnsi="Arial" w:cs="Arial"/>
        </w:rPr>
        <w:t xml:space="preserve">; </w:t>
      </w:r>
    </w:p>
    <w:p w14:paraId="2DC10835" w14:textId="522CB9E5" w:rsidR="009C3864" w:rsidRPr="00851192" w:rsidRDefault="009C3864" w:rsidP="009C3864">
      <w:pPr>
        <w:pStyle w:val="ListParagraph"/>
        <w:numPr>
          <w:ilvl w:val="0"/>
          <w:numId w:val="5"/>
        </w:numPr>
        <w:jc w:val="both"/>
        <w:rPr>
          <w:rFonts w:ascii="Arial" w:hAnsi="Arial" w:cs="Arial"/>
        </w:rPr>
      </w:pPr>
      <w:r w:rsidRPr="00851192">
        <w:rPr>
          <w:rFonts w:ascii="Arial" w:hAnsi="Arial" w:cs="Arial"/>
        </w:rPr>
        <w:t xml:space="preserve">Anticipatory and reactive. </w:t>
      </w:r>
    </w:p>
    <w:p w14:paraId="7D87DED4" w14:textId="18E4783C" w:rsidR="009C3864" w:rsidRPr="00851192" w:rsidRDefault="009C3864" w:rsidP="009C3864">
      <w:pPr>
        <w:pStyle w:val="ListParagraph"/>
        <w:numPr>
          <w:ilvl w:val="0"/>
          <w:numId w:val="5"/>
        </w:numPr>
        <w:jc w:val="both"/>
        <w:rPr>
          <w:rFonts w:ascii="Arial" w:hAnsi="Arial" w:cs="Arial"/>
        </w:rPr>
      </w:pPr>
      <w:r w:rsidRPr="00851192">
        <w:rPr>
          <w:rFonts w:ascii="Arial" w:hAnsi="Arial" w:cs="Arial"/>
        </w:rPr>
        <w:t xml:space="preserve">Assertive and protective. </w:t>
      </w:r>
    </w:p>
    <w:p w14:paraId="280B2FD0" w14:textId="0FE55ACF" w:rsidR="009C3864" w:rsidRPr="00851192" w:rsidRDefault="009C3864" w:rsidP="009C3864">
      <w:pPr>
        <w:pStyle w:val="ListParagraph"/>
        <w:numPr>
          <w:ilvl w:val="0"/>
          <w:numId w:val="5"/>
        </w:numPr>
        <w:jc w:val="both"/>
        <w:rPr>
          <w:rFonts w:ascii="Arial" w:hAnsi="Arial" w:cs="Arial"/>
        </w:rPr>
      </w:pPr>
      <w:r w:rsidRPr="00851192">
        <w:rPr>
          <w:rFonts w:ascii="Arial" w:hAnsi="Arial" w:cs="Arial"/>
        </w:rPr>
        <w:t>Direct and indirect.</w:t>
      </w:r>
    </w:p>
    <w:p w14:paraId="54DAC1A8" w14:textId="0269EC5C" w:rsidR="000E18BC" w:rsidRPr="00851192" w:rsidRDefault="009C3864" w:rsidP="009C3864">
      <w:pPr>
        <w:pStyle w:val="ListParagraph"/>
        <w:numPr>
          <w:ilvl w:val="0"/>
          <w:numId w:val="5"/>
        </w:numPr>
        <w:jc w:val="both"/>
        <w:rPr>
          <w:rFonts w:ascii="Arial" w:hAnsi="Arial" w:cs="Arial"/>
        </w:rPr>
      </w:pPr>
      <w:r w:rsidRPr="00851192">
        <w:rPr>
          <w:rFonts w:ascii="Arial" w:hAnsi="Arial" w:cs="Arial"/>
        </w:rPr>
        <w:t xml:space="preserve">Image enhancing and image correcting.  </w:t>
      </w:r>
    </w:p>
    <w:p w14:paraId="67765A33" w14:textId="790D2BDB" w:rsidR="002467DC" w:rsidRPr="00851192" w:rsidRDefault="00413E02" w:rsidP="003B74DC">
      <w:pPr>
        <w:spacing w:line="360" w:lineRule="auto"/>
        <w:jc w:val="both"/>
        <w:rPr>
          <w:rFonts w:ascii="Arial" w:hAnsi="Arial" w:cs="Arial"/>
        </w:rPr>
      </w:pPr>
      <w:r w:rsidRPr="00851192">
        <w:rPr>
          <w:rFonts w:ascii="Arial" w:hAnsi="Arial" w:cs="Arial"/>
        </w:rPr>
        <w:t>To</w:t>
      </w:r>
      <w:r w:rsidR="002467DC" w:rsidRPr="00851192">
        <w:rPr>
          <w:rFonts w:ascii="Arial" w:hAnsi="Arial" w:cs="Arial"/>
        </w:rPr>
        <w:t xml:space="preserve"> ensure that Tat</w:t>
      </w:r>
      <w:r w:rsidR="00B87881" w:rsidRPr="00851192">
        <w:rPr>
          <w:rFonts w:ascii="Arial" w:hAnsi="Arial" w:cs="Arial"/>
        </w:rPr>
        <w:t>a</w:t>
      </w:r>
      <w:r w:rsidR="002467DC" w:rsidRPr="00851192">
        <w:rPr>
          <w:rFonts w:ascii="Arial" w:hAnsi="Arial" w:cs="Arial"/>
        </w:rPr>
        <w:t xml:space="preserve"> and Prasad model is viable and reliant, t</w:t>
      </w:r>
      <w:r w:rsidR="009E32D3" w:rsidRPr="00851192">
        <w:rPr>
          <w:rFonts w:ascii="Arial" w:hAnsi="Arial" w:cs="Arial"/>
        </w:rPr>
        <w:t>he</w:t>
      </w:r>
      <w:r w:rsidR="002467DC" w:rsidRPr="00851192">
        <w:rPr>
          <w:rFonts w:ascii="Arial" w:hAnsi="Arial" w:cs="Arial"/>
        </w:rPr>
        <w:t xml:space="preserve"> first feature of the</w:t>
      </w:r>
      <w:r w:rsidR="009E32D3" w:rsidRPr="00851192">
        <w:rPr>
          <w:rFonts w:ascii="Arial" w:hAnsi="Arial" w:cs="Arial"/>
        </w:rPr>
        <w:t xml:space="preserve"> CSR communication model is designed not to assess CSR communication methods which are implemented and mandatory by law </w:t>
      </w:r>
      <w:r w:rsidR="002467DC" w:rsidRPr="00851192">
        <w:rPr>
          <w:rFonts w:ascii="Arial" w:hAnsi="Arial" w:cs="Arial"/>
        </w:rPr>
        <w:t xml:space="preserve">legislation, but to evaluate the voluntarily efforts made by businesses on CSR initiatives which are premeditated and applied. Additionally, it is also important to note that the model does also recognise that the identity of a business is </w:t>
      </w:r>
      <w:r w:rsidR="002467DC" w:rsidRPr="00851192">
        <w:rPr>
          <w:rFonts w:ascii="Arial" w:hAnsi="Arial" w:cs="Arial"/>
        </w:rPr>
        <w:lastRenderedPageBreak/>
        <w:t xml:space="preserve">acknowledged by its prognosis of CSR initiatives and activities implemented by the people within the organisation. </w:t>
      </w:r>
    </w:p>
    <w:p w14:paraId="59FA85A6" w14:textId="1FFCA295" w:rsidR="000150F2" w:rsidRPr="00851192" w:rsidRDefault="000150F2" w:rsidP="003B74DC">
      <w:pPr>
        <w:spacing w:line="360" w:lineRule="auto"/>
        <w:jc w:val="both"/>
        <w:rPr>
          <w:rFonts w:ascii="Arial" w:hAnsi="Arial" w:cs="Arial"/>
        </w:rPr>
      </w:pPr>
      <w:r w:rsidRPr="00851192">
        <w:rPr>
          <w:rFonts w:ascii="Arial" w:hAnsi="Arial" w:cs="Arial"/>
        </w:rPr>
        <w:t>Firstly</w:t>
      </w:r>
      <w:r w:rsidR="00965AB5" w:rsidRPr="00851192">
        <w:rPr>
          <w:rFonts w:ascii="Arial" w:hAnsi="Arial" w:cs="Arial"/>
        </w:rPr>
        <w:t>,</w:t>
      </w:r>
      <w:r w:rsidRPr="00851192">
        <w:rPr>
          <w:rFonts w:ascii="Arial" w:hAnsi="Arial" w:cs="Arial"/>
        </w:rPr>
        <w:t xml:space="preserve"> </w:t>
      </w:r>
      <w:r w:rsidR="001C67E4" w:rsidRPr="00851192">
        <w:rPr>
          <w:rFonts w:ascii="Arial" w:hAnsi="Arial" w:cs="Arial"/>
        </w:rPr>
        <w:t xml:space="preserve">Tata and Prasad model can be used to assess </w:t>
      </w:r>
      <w:r w:rsidR="00553E57" w:rsidRPr="00851192">
        <w:rPr>
          <w:rFonts w:ascii="Arial" w:hAnsi="Arial" w:cs="Arial"/>
        </w:rPr>
        <w:t>GGO’s</w:t>
      </w:r>
      <w:r w:rsidR="001C67E4" w:rsidRPr="00851192">
        <w:rPr>
          <w:rFonts w:ascii="Arial" w:hAnsi="Arial" w:cs="Arial"/>
        </w:rPr>
        <w:t xml:space="preserve"> image of incongruence and</w:t>
      </w:r>
      <w:r w:rsidRPr="00851192">
        <w:rPr>
          <w:rFonts w:ascii="Arial" w:hAnsi="Arial" w:cs="Arial"/>
        </w:rPr>
        <w:t xml:space="preserve"> evaluate whether the image and identity of </w:t>
      </w:r>
      <w:r w:rsidR="00553E57" w:rsidRPr="00851192">
        <w:rPr>
          <w:rFonts w:ascii="Arial" w:hAnsi="Arial" w:cs="Arial"/>
        </w:rPr>
        <w:t>operators are</w:t>
      </w:r>
      <w:r w:rsidRPr="00851192">
        <w:rPr>
          <w:rFonts w:ascii="Arial" w:hAnsi="Arial" w:cs="Arial"/>
        </w:rPr>
        <w:t xml:space="preserve"> in line with the </w:t>
      </w:r>
      <w:r w:rsidR="001C67E4" w:rsidRPr="00851192">
        <w:rPr>
          <w:rFonts w:ascii="Arial" w:hAnsi="Arial" w:cs="Arial"/>
        </w:rPr>
        <w:t>perception of the target audience</w:t>
      </w:r>
      <w:r w:rsidRPr="00851192">
        <w:rPr>
          <w:rFonts w:ascii="Arial" w:hAnsi="Arial" w:cs="Arial"/>
        </w:rPr>
        <w:t>.</w:t>
      </w:r>
      <w:r w:rsidR="001C67E4" w:rsidRPr="00851192">
        <w:rPr>
          <w:rFonts w:ascii="Arial" w:hAnsi="Arial" w:cs="Arial"/>
        </w:rPr>
        <w:t xml:space="preserve"> This can be achieved through practical means of research through constructive survey of people’s perceptions o</w:t>
      </w:r>
      <w:r w:rsidR="00A36A7E" w:rsidRPr="00851192">
        <w:rPr>
          <w:rFonts w:ascii="Arial" w:hAnsi="Arial" w:cs="Arial"/>
        </w:rPr>
        <w:t>n</w:t>
      </w:r>
      <w:r w:rsidR="001C67E4" w:rsidRPr="00851192">
        <w:rPr>
          <w:rFonts w:ascii="Arial" w:hAnsi="Arial" w:cs="Arial"/>
        </w:rPr>
        <w:t xml:space="preserve"> gambling operator’s commitment to </w:t>
      </w:r>
      <w:r w:rsidR="00553E57" w:rsidRPr="00851192">
        <w:rPr>
          <w:rFonts w:ascii="Arial" w:hAnsi="Arial" w:cs="Arial"/>
        </w:rPr>
        <w:t>be</w:t>
      </w:r>
      <w:r w:rsidR="001C67E4" w:rsidRPr="00851192">
        <w:rPr>
          <w:rFonts w:ascii="Arial" w:hAnsi="Arial" w:cs="Arial"/>
        </w:rPr>
        <w:t xml:space="preserve"> a good corporate citizen and evaluate the </w:t>
      </w:r>
      <w:r w:rsidR="00D25900" w:rsidRPr="00851192">
        <w:rPr>
          <w:rFonts w:ascii="Arial" w:hAnsi="Arial" w:cs="Arial"/>
        </w:rPr>
        <w:t>interpretation</w:t>
      </w:r>
      <w:r w:rsidR="001C67E4" w:rsidRPr="00851192">
        <w:rPr>
          <w:rFonts w:ascii="Arial" w:hAnsi="Arial" w:cs="Arial"/>
        </w:rPr>
        <w:t xml:space="preserve"> of CSR communication. </w:t>
      </w:r>
      <w:r w:rsidR="00553E57" w:rsidRPr="00851192">
        <w:rPr>
          <w:rFonts w:ascii="Arial" w:hAnsi="Arial" w:cs="Arial"/>
        </w:rPr>
        <w:t xml:space="preserve">The application of this exercise has been applied to the dissertation. </w:t>
      </w:r>
    </w:p>
    <w:p w14:paraId="7EA17812" w14:textId="11D5DDA1" w:rsidR="000150F2" w:rsidRPr="00851192" w:rsidRDefault="000150F2" w:rsidP="003B74DC">
      <w:pPr>
        <w:spacing w:line="360" w:lineRule="auto"/>
        <w:jc w:val="both"/>
        <w:rPr>
          <w:rFonts w:ascii="Arial" w:hAnsi="Arial" w:cs="Arial"/>
        </w:rPr>
      </w:pPr>
      <w:r w:rsidRPr="00851192">
        <w:rPr>
          <w:rFonts w:ascii="Arial" w:hAnsi="Arial" w:cs="Arial"/>
        </w:rPr>
        <w:t xml:space="preserve">Secondly, by utilising the principles of impression management theory discussed and applied by Kowalski and Leary (1990) and </w:t>
      </w:r>
      <w:proofErr w:type="spellStart"/>
      <w:r w:rsidRPr="00851192">
        <w:rPr>
          <w:rFonts w:ascii="Arial" w:hAnsi="Arial" w:cs="Arial"/>
        </w:rPr>
        <w:t>Goffmann</w:t>
      </w:r>
      <w:proofErr w:type="spellEnd"/>
      <w:r w:rsidRPr="00851192">
        <w:rPr>
          <w:rFonts w:ascii="Arial" w:hAnsi="Arial" w:cs="Arial"/>
        </w:rPr>
        <w:t xml:space="preserve"> (1959), an investigation on the </w:t>
      </w:r>
      <w:r w:rsidR="00D25900" w:rsidRPr="00851192">
        <w:rPr>
          <w:rFonts w:ascii="Arial" w:hAnsi="Arial" w:cs="Arial"/>
        </w:rPr>
        <w:t>perceived</w:t>
      </w:r>
      <w:r w:rsidRPr="00851192">
        <w:rPr>
          <w:rFonts w:ascii="Arial" w:hAnsi="Arial" w:cs="Arial"/>
        </w:rPr>
        <w:t xml:space="preserve"> </w:t>
      </w:r>
      <w:r w:rsidR="00D25900" w:rsidRPr="00851192">
        <w:rPr>
          <w:rFonts w:ascii="Arial" w:hAnsi="Arial" w:cs="Arial"/>
        </w:rPr>
        <w:t>incongruence</w:t>
      </w:r>
      <w:r w:rsidRPr="00851192">
        <w:rPr>
          <w:rFonts w:ascii="Arial" w:hAnsi="Arial" w:cs="Arial"/>
        </w:rPr>
        <w:t xml:space="preserve"> of </w:t>
      </w:r>
      <w:r w:rsidR="00553E57" w:rsidRPr="00851192">
        <w:rPr>
          <w:rFonts w:ascii="Arial" w:hAnsi="Arial" w:cs="Arial"/>
        </w:rPr>
        <w:t>GGO’s</w:t>
      </w:r>
      <w:r w:rsidRPr="00851192">
        <w:rPr>
          <w:rFonts w:ascii="Arial" w:hAnsi="Arial" w:cs="Arial"/>
        </w:rPr>
        <w:t xml:space="preserve"> between current and desired image can suggest whether </w:t>
      </w:r>
      <w:r w:rsidR="00553E57" w:rsidRPr="00851192">
        <w:rPr>
          <w:rFonts w:ascii="Arial" w:hAnsi="Arial" w:cs="Arial"/>
        </w:rPr>
        <w:t>GGO’s</w:t>
      </w:r>
      <w:r w:rsidRPr="00851192">
        <w:rPr>
          <w:rFonts w:ascii="Arial" w:hAnsi="Arial" w:cs="Arial"/>
        </w:rPr>
        <w:t xml:space="preserve"> have effective means of CSR communication to conform its commitment to society, effective contribution to the management of </w:t>
      </w:r>
      <w:r w:rsidR="00A36A7E" w:rsidRPr="00851192">
        <w:rPr>
          <w:rFonts w:ascii="Arial" w:hAnsi="Arial" w:cs="Arial"/>
        </w:rPr>
        <w:t>PG</w:t>
      </w:r>
      <w:r w:rsidRPr="00851192">
        <w:rPr>
          <w:rFonts w:ascii="Arial" w:hAnsi="Arial" w:cs="Arial"/>
        </w:rPr>
        <w:t>, a</w:t>
      </w:r>
      <w:r w:rsidR="00A36A7E" w:rsidRPr="00851192">
        <w:rPr>
          <w:rFonts w:ascii="Arial" w:hAnsi="Arial" w:cs="Arial"/>
        </w:rPr>
        <w:t>longside</w:t>
      </w:r>
      <w:r w:rsidRPr="00851192">
        <w:rPr>
          <w:rFonts w:ascii="Arial" w:hAnsi="Arial" w:cs="Arial"/>
        </w:rPr>
        <w:t xml:space="preserve"> effective and meaningful contribution to </w:t>
      </w:r>
      <w:r w:rsidR="00D25900" w:rsidRPr="00851192">
        <w:rPr>
          <w:rFonts w:ascii="Arial" w:hAnsi="Arial" w:cs="Arial"/>
        </w:rPr>
        <w:t>purposefulness</w:t>
      </w:r>
      <w:r w:rsidRPr="00851192">
        <w:rPr>
          <w:rFonts w:ascii="Arial" w:hAnsi="Arial" w:cs="Arial"/>
        </w:rPr>
        <w:t xml:space="preserve"> of management. The evaluation of </w:t>
      </w:r>
      <w:r w:rsidR="00A36A7E" w:rsidRPr="00851192">
        <w:rPr>
          <w:rFonts w:ascii="Arial" w:hAnsi="Arial" w:cs="Arial"/>
        </w:rPr>
        <w:t>GGO’s</w:t>
      </w:r>
      <w:r w:rsidRPr="00851192">
        <w:rPr>
          <w:rFonts w:ascii="Arial" w:hAnsi="Arial" w:cs="Arial"/>
        </w:rPr>
        <w:t xml:space="preserve"> within the research may suggest and underline if gambling operators have any disclosure of corporate vision and missions which may hinder its corporate image and </w:t>
      </w:r>
      <w:r w:rsidR="0090453E" w:rsidRPr="00851192">
        <w:rPr>
          <w:rFonts w:ascii="Arial" w:hAnsi="Arial" w:cs="Arial"/>
        </w:rPr>
        <w:t>may be viewed as controversial within different international jurisdictions</w:t>
      </w:r>
      <w:r w:rsidRPr="00851192">
        <w:rPr>
          <w:rFonts w:ascii="Arial" w:hAnsi="Arial" w:cs="Arial"/>
        </w:rPr>
        <w:t xml:space="preserve">. </w:t>
      </w:r>
    </w:p>
    <w:p w14:paraId="6D61070B" w14:textId="6AD0AFD0" w:rsidR="004859E1" w:rsidRPr="00851192" w:rsidRDefault="00DF7255" w:rsidP="00DF7255">
      <w:pPr>
        <w:pStyle w:val="Heading1"/>
        <w:rPr>
          <w:rFonts w:ascii="Arial" w:hAnsi="Arial" w:cs="Arial"/>
          <w:color w:val="auto"/>
        </w:rPr>
      </w:pPr>
      <w:bookmarkStart w:id="24" w:name="_Toc526434225"/>
      <w:r w:rsidRPr="00851192">
        <w:rPr>
          <w:rFonts w:ascii="Arial" w:hAnsi="Arial" w:cs="Arial"/>
          <w:color w:val="auto"/>
        </w:rPr>
        <w:t>2.1</w:t>
      </w:r>
      <w:r w:rsidR="003B74DC" w:rsidRPr="00851192">
        <w:rPr>
          <w:rFonts w:ascii="Arial" w:hAnsi="Arial" w:cs="Arial"/>
          <w:color w:val="auto"/>
        </w:rPr>
        <w:t>3</w:t>
      </w:r>
      <w:r w:rsidRPr="00851192">
        <w:rPr>
          <w:rFonts w:ascii="Arial" w:hAnsi="Arial" w:cs="Arial"/>
          <w:color w:val="auto"/>
        </w:rPr>
        <w:t xml:space="preserve"> </w:t>
      </w:r>
      <w:r w:rsidR="009E4B56" w:rsidRPr="00851192">
        <w:rPr>
          <w:rFonts w:ascii="Arial" w:hAnsi="Arial" w:cs="Arial"/>
          <w:color w:val="auto"/>
        </w:rPr>
        <w:t>A Conceptual</w:t>
      </w:r>
      <w:r w:rsidR="004859E1" w:rsidRPr="00851192">
        <w:rPr>
          <w:rFonts w:ascii="Arial" w:hAnsi="Arial" w:cs="Arial"/>
          <w:color w:val="auto"/>
        </w:rPr>
        <w:t xml:space="preserve"> </w:t>
      </w:r>
      <w:r w:rsidR="009E4B56" w:rsidRPr="00851192">
        <w:rPr>
          <w:rFonts w:ascii="Arial" w:hAnsi="Arial" w:cs="Arial"/>
          <w:color w:val="auto"/>
        </w:rPr>
        <w:t>and Integrated</w:t>
      </w:r>
      <w:r w:rsidR="004859E1" w:rsidRPr="00851192">
        <w:rPr>
          <w:rFonts w:ascii="Arial" w:hAnsi="Arial" w:cs="Arial"/>
          <w:color w:val="auto"/>
        </w:rPr>
        <w:t xml:space="preserve"> Paradig</w:t>
      </w:r>
      <w:r w:rsidR="009E4B56" w:rsidRPr="00851192">
        <w:rPr>
          <w:rFonts w:ascii="Arial" w:hAnsi="Arial" w:cs="Arial"/>
          <w:color w:val="auto"/>
        </w:rPr>
        <w:t>m of CSR and CSR Communication</w:t>
      </w:r>
      <w:bookmarkEnd w:id="24"/>
      <w:r w:rsidR="004859E1" w:rsidRPr="00851192">
        <w:rPr>
          <w:rFonts w:ascii="Arial" w:hAnsi="Arial" w:cs="Arial"/>
          <w:color w:val="auto"/>
        </w:rPr>
        <w:t xml:space="preserve"> </w:t>
      </w:r>
    </w:p>
    <w:p w14:paraId="5C6E45F1" w14:textId="7AABD166" w:rsidR="00B10EDE" w:rsidRPr="00851192" w:rsidRDefault="00B10EDE" w:rsidP="003B74DC">
      <w:pPr>
        <w:spacing w:line="360" w:lineRule="auto"/>
        <w:jc w:val="both"/>
        <w:rPr>
          <w:rFonts w:ascii="Arial" w:hAnsi="Arial" w:cs="Arial"/>
        </w:rPr>
      </w:pPr>
      <w:r w:rsidRPr="00851192">
        <w:rPr>
          <w:rFonts w:ascii="Arial" w:hAnsi="Arial" w:cs="Arial"/>
        </w:rPr>
        <w:t xml:space="preserve">The CSR communication model also has a direct relationship with the ethical and responsibility index and </w:t>
      </w:r>
      <w:r w:rsidR="00A36A7E" w:rsidRPr="00851192">
        <w:rPr>
          <w:rFonts w:ascii="Arial" w:hAnsi="Arial" w:cs="Arial"/>
        </w:rPr>
        <w:t>CSR</w:t>
      </w:r>
      <w:r w:rsidRPr="00851192">
        <w:rPr>
          <w:rFonts w:ascii="Arial" w:hAnsi="Arial" w:cs="Arial"/>
        </w:rPr>
        <w:t xml:space="preserve"> measurement table</w:t>
      </w:r>
      <w:r w:rsidR="007316F8" w:rsidRPr="00851192">
        <w:rPr>
          <w:rFonts w:ascii="Arial" w:hAnsi="Arial" w:cs="Arial"/>
        </w:rPr>
        <w:t xml:space="preserve"> which is also adapted from Tata and Prasad (2015) as a means of best practice for the study. By creating a conceptual framework which can be applied within the study using the table provided and conceptual model for CSR communication, the researcher can use this literature to effectively </w:t>
      </w:r>
      <w:r w:rsidR="009E4B56" w:rsidRPr="00851192">
        <w:rPr>
          <w:rFonts w:ascii="Arial" w:hAnsi="Arial" w:cs="Arial"/>
        </w:rPr>
        <w:t xml:space="preserve">analyse and evaluate </w:t>
      </w:r>
      <w:r w:rsidR="007316F8" w:rsidRPr="00851192">
        <w:rPr>
          <w:rFonts w:ascii="Arial" w:hAnsi="Arial" w:cs="Arial"/>
        </w:rPr>
        <w:t>within the research.</w:t>
      </w:r>
      <w:r w:rsidRPr="00851192">
        <w:rPr>
          <w:rFonts w:ascii="Arial" w:hAnsi="Arial" w:cs="Arial"/>
        </w:rPr>
        <w:t xml:space="preserve"> The</w:t>
      </w:r>
      <w:r w:rsidR="002B13F1" w:rsidRPr="00851192">
        <w:rPr>
          <w:rFonts w:ascii="Arial" w:hAnsi="Arial" w:cs="Arial"/>
        </w:rPr>
        <w:t xml:space="preserve"> table can be discovered within chapter four under (Table 4.1). Tata and Prasad created</w:t>
      </w:r>
      <w:r w:rsidRPr="00851192">
        <w:rPr>
          <w:rFonts w:ascii="Arial" w:hAnsi="Arial" w:cs="Arial"/>
        </w:rPr>
        <w:t xml:space="preserve"> itemised topics within the table</w:t>
      </w:r>
      <w:r w:rsidR="00553E57" w:rsidRPr="00851192">
        <w:rPr>
          <w:rFonts w:ascii="Arial" w:hAnsi="Arial" w:cs="Arial"/>
        </w:rPr>
        <w:t xml:space="preserve"> </w:t>
      </w:r>
      <w:r w:rsidR="002B13F1" w:rsidRPr="00851192">
        <w:rPr>
          <w:rFonts w:ascii="Arial" w:hAnsi="Arial" w:cs="Arial"/>
        </w:rPr>
        <w:t>which are categories</w:t>
      </w:r>
      <w:r w:rsidRPr="00851192">
        <w:rPr>
          <w:rFonts w:ascii="Arial" w:hAnsi="Arial" w:cs="Arial"/>
        </w:rPr>
        <w:t xml:space="preserve"> </w:t>
      </w:r>
      <w:r w:rsidR="002B13F1" w:rsidRPr="00851192">
        <w:rPr>
          <w:rFonts w:ascii="Arial" w:hAnsi="Arial" w:cs="Arial"/>
        </w:rPr>
        <w:t>believed that</w:t>
      </w:r>
      <w:r w:rsidRPr="00851192">
        <w:rPr>
          <w:rFonts w:ascii="Arial" w:hAnsi="Arial" w:cs="Arial"/>
        </w:rPr>
        <w:t xml:space="preserve"> organisations </w:t>
      </w:r>
      <w:r w:rsidR="002B13F1" w:rsidRPr="00851192">
        <w:rPr>
          <w:rFonts w:ascii="Arial" w:hAnsi="Arial" w:cs="Arial"/>
        </w:rPr>
        <w:t xml:space="preserve">should practice </w:t>
      </w:r>
      <w:r w:rsidR="00FA06BD" w:rsidRPr="00851192">
        <w:rPr>
          <w:rFonts w:ascii="Arial" w:hAnsi="Arial" w:cs="Arial"/>
        </w:rPr>
        <w:t>in</w:t>
      </w:r>
      <w:r w:rsidRPr="00851192">
        <w:rPr>
          <w:rFonts w:ascii="Arial" w:hAnsi="Arial" w:cs="Arial"/>
        </w:rPr>
        <w:t xml:space="preserve"> effectively communicat</w:t>
      </w:r>
      <w:r w:rsidR="00FA06BD" w:rsidRPr="00851192">
        <w:rPr>
          <w:rFonts w:ascii="Arial" w:hAnsi="Arial" w:cs="Arial"/>
        </w:rPr>
        <w:t>ing</w:t>
      </w:r>
      <w:r w:rsidRPr="00851192">
        <w:rPr>
          <w:rFonts w:ascii="Arial" w:hAnsi="Arial" w:cs="Arial"/>
        </w:rPr>
        <w:t xml:space="preserve"> CSR practices and </w:t>
      </w:r>
      <w:r w:rsidR="00124694" w:rsidRPr="00851192">
        <w:rPr>
          <w:rFonts w:ascii="Arial" w:hAnsi="Arial" w:cs="Arial"/>
        </w:rPr>
        <w:t>corporate</w:t>
      </w:r>
      <w:r w:rsidRPr="00851192">
        <w:rPr>
          <w:rFonts w:ascii="Arial" w:hAnsi="Arial" w:cs="Arial"/>
        </w:rPr>
        <w:t xml:space="preserve"> values. </w:t>
      </w:r>
      <w:r w:rsidR="002B13F1" w:rsidRPr="00851192">
        <w:rPr>
          <w:rFonts w:ascii="Arial" w:hAnsi="Arial" w:cs="Arial"/>
        </w:rPr>
        <w:t xml:space="preserve">Applied within the context of this research, itemised categories as a </w:t>
      </w:r>
      <w:r w:rsidRPr="00851192">
        <w:rPr>
          <w:rFonts w:ascii="Arial" w:hAnsi="Arial" w:cs="Arial"/>
        </w:rPr>
        <w:t xml:space="preserve">measurement of CSR </w:t>
      </w:r>
      <w:r w:rsidR="002B13F1" w:rsidRPr="00851192">
        <w:rPr>
          <w:rFonts w:ascii="Arial" w:hAnsi="Arial" w:cs="Arial"/>
        </w:rPr>
        <w:t>will be marked in providing a totalling of</w:t>
      </w:r>
      <w:r w:rsidRPr="00851192">
        <w:rPr>
          <w:rFonts w:ascii="Arial" w:hAnsi="Arial" w:cs="Arial"/>
        </w:rPr>
        <w:t xml:space="preserve"> </w:t>
      </w:r>
      <w:r w:rsidR="002B13F1" w:rsidRPr="00851192">
        <w:rPr>
          <w:rFonts w:ascii="Arial" w:hAnsi="Arial" w:cs="Arial"/>
        </w:rPr>
        <w:t>an</w:t>
      </w:r>
      <w:r w:rsidRPr="00851192">
        <w:rPr>
          <w:rFonts w:ascii="Arial" w:hAnsi="Arial" w:cs="Arial"/>
        </w:rPr>
        <w:t xml:space="preserve"> ethical and </w:t>
      </w:r>
      <w:r w:rsidR="002B13F1" w:rsidRPr="00851192">
        <w:rPr>
          <w:rFonts w:ascii="Arial" w:hAnsi="Arial" w:cs="Arial"/>
        </w:rPr>
        <w:t>responsible</w:t>
      </w:r>
      <w:r w:rsidRPr="00851192">
        <w:rPr>
          <w:rFonts w:ascii="Arial" w:hAnsi="Arial" w:cs="Arial"/>
        </w:rPr>
        <w:t xml:space="preserve"> index </w:t>
      </w:r>
      <w:r w:rsidR="002B13F1" w:rsidRPr="00851192">
        <w:rPr>
          <w:rFonts w:ascii="Arial" w:hAnsi="Arial" w:cs="Arial"/>
        </w:rPr>
        <w:t>score. Tata and Pr</w:t>
      </w:r>
      <w:r w:rsidR="00275E6F" w:rsidRPr="00851192">
        <w:rPr>
          <w:rFonts w:ascii="Arial" w:hAnsi="Arial" w:cs="Arial"/>
        </w:rPr>
        <w:t>a</w:t>
      </w:r>
      <w:r w:rsidR="002B13F1" w:rsidRPr="00851192">
        <w:rPr>
          <w:rFonts w:ascii="Arial" w:hAnsi="Arial" w:cs="Arial"/>
        </w:rPr>
        <w:t>sad</w:t>
      </w:r>
      <w:r w:rsidR="00275E6F" w:rsidRPr="00851192">
        <w:rPr>
          <w:rFonts w:ascii="Arial" w:hAnsi="Arial" w:cs="Arial"/>
        </w:rPr>
        <w:t xml:space="preserve"> (2015)</w:t>
      </w:r>
      <w:r w:rsidR="002B13F1" w:rsidRPr="00851192">
        <w:rPr>
          <w:rFonts w:ascii="Arial" w:hAnsi="Arial" w:cs="Arial"/>
        </w:rPr>
        <w:t xml:space="preserve"> believe that organisations such as</w:t>
      </w:r>
      <w:r w:rsidRPr="00851192">
        <w:rPr>
          <w:rFonts w:ascii="Arial" w:hAnsi="Arial" w:cs="Arial"/>
        </w:rPr>
        <w:t xml:space="preserve"> </w:t>
      </w:r>
      <w:r w:rsidR="00553E57" w:rsidRPr="00851192">
        <w:rPr>
          <w:rFonts w:ascii="Arial" w:hAnsi="Arial" w:cs="Arial"/>
        </w:rPr>
        <w:t>GGO’s</w:t>
      </w:r>
      <w:r w:rsidRPr="00851192">
        <w:rPr>
          <w:rFonts w:ascii="Arial" w:hAnsi="Arial" w:cs="Arial"/>
        </w:rPr>
        <w:t xml:space="preserve"> </w:t>
      </w:r>
      <w:r w:rsidR="002B13F1" w:rsidRPr="00851192">
        <w:rPr>
          <w:rFonts w:ascii="Arial" w:hAnsi="Arial" w:cs="Arial"/>
        </w:rPr>
        <w:t xml:space="preserve">can use this exercise </w:t>
      </w:r>
      <w:r w:rsidRPr="00851192">
        <w:rPr>
          <w:rFonts w:ascii="Arial" w:hAnsi="Arial" w:cs="Arial"/>
        </w:rPr>
        <w:t xml:space="preserve">to identify and evaluate any area’s which </w:t>
      </w:r>
      <w:r w:rsidR="002B13F1" w:rsidRPr="00851192">
        <w:rPr>
          <w:rFonts w:ascii="Arial" w:hAnsi="Arial" w:cs="Arial"/>
        </w:rPr>
        <w:t>a</w:t>
      </w:r>
      <w:r w:rsidRPr="00851192">
        <w:rPr>
          <w:rFonts w:ascii="Arial" w:hAnsi="Arial" w:cs="Arial"/>
        </w:rPr>
        <w:t xml:space="preserve"> business may consider </w:t>
      </w:r>
      <w:r w:rsidR="002B13F1" w:rsidRPr="00851192">
        <w:rPr>
          <w:rFonts w:ascii="Arial" w:hAnsi="Arial" w:cs="Arial"/>
        </w:rPr>
        <w:t>as inefficient and in need of improvement. The benefit for this by GGO’s can be through identifying</w:t>
      </w:r>
      <w:r w:rsidRPr="00851192">
        <w:rPr>
          <w:rFonts w:ascii="Arial" w:hAnsi="Arial" w:cs="Arial"/>
        </w:rPr>
        <w:t xml:space="preserve"> incongruence between consumers perception of corporate image against </w:t>
      </w:r>
      <w:r w:rsidR="002B13F1" w:rsidRPr="00851192">
        <w:rPr>
          <w:rFonts w:ascii="Arial" w:hAnsi="Arial" w:cs="Arial"/>
        </w:rPr>
        <w:t>GGO’s</w:t>
      </w:r>
      <w:r w:rsidRPr="00851192">
        <w:rPr>
          <w:rFonts w:ascii="Arial" w:hAnsi="Arial" w:cs="Arial"/>
        </w:rPr>
        <w:t xml:space="preserve"> desire of brand image. </w:t>
      </w:r>
    </w:p>
    <w:p w14:paraId="72C94E91" w14:textId="009FE718" w:rsidR="00124694" w:rsidRPr="00851192" w:rsidRDefault="002B13F1" w:rsidP="003B74DC">
      <w:pPr>
        <w:spacing w:line="360" w:lineRule="auto"/>
        <w:jc w:val="both"/>
        <w:rPr>
          <w:rFonts w:ascii="Arial" w:hAnsi="Arial" w:cs="Arial"/>
        </w:rPr>
      </w:pPr>
      <w:r w:rsidRPr="00851192">
        <w:rPr>
          <w:rFonts w:ascii="Arial" w:hAnsi="Arial" w:cs="Arial"/>
        </w:rPr>
        <w:t>Tata and Prasad (2015) continue to suggest that n</w:t>
      </w:r>
      <w:r w:rsidR="00124694" w:rsidRPr="00851192">
        <w:rPr>
          <w:rFonts w:ascii="Arial" w:hAnsi="Arial" w:cs="Arial"/>
        </w:rPr>
        <w:t xml:space="preserve">egative or undesired </w:t>
      </w:r>
      <w:r w:rsidR="00304F5A" w:rsidRPr="00851192">
        <w:rPr>
          <w:rFonts w:ascii="Arial" w:hAnsi="Arial" w:cs="Arial"/>
        </w:rPr>
        <w:t>marks</w:t>
      </w:r>
      <w:r w:rsidR="00124694" w:rsidRPr="00851192">
        <w:rPr>
          <w:rFonts w:ascii="Arial" w:hAnsi="Arial" w:cs="Arial"/>
        </w:rPr>
        <w:t xml:space="preserve"> within the research may probe </w:t>
      </w:r>
      <w:r w:rsidRPr="00851192">
        <w:rPr>
          <w:rFonts w:ascii="Arial" w:hAnsi="Arial" w:cs="Arial"/>
        </w:rPr>
        <w:t>organisations</w:t>
      </w:r>
      <w:r w:rsidR="00124694" w:rsidRPr="00851192">
        <w:rPr>
          <w:rFonts w:ascii="Arial" w:hAnsi="Arial" w:cs="Arial"/>
        </w:rPr>
        <w:t xml:space="preserve"> to be more attentive to CSR policy, communication</w:t>
      </w:r>
      <w:r w:rsidR="00A36A7E" w:rsidRPr="00851192">
        <w:rPr>
          <w:rFonts w:ascii="Arial" w:hAnsi="Arial" w:cs="Arial"/>
        </w:rPr>
        <w:t>,</w:t>
      </w:r>
      <w:r w:rsidR="00124694" w:rsidRPr="00851192">
        <w:rPr>
          <w:rFonts w:ascii="Arial" w:hAnsi="Arial" w:cs="Arial"/>
        </w:rPr>
        <w:t xml:space="preserve"> and </w:t>
      </w:r>
      <w:r w:rsidR="00124694" w:rsidRPr="00851192">
        <w:rPr>
          <w:rFonts w:ascii="Arial" w:hAnsi="Arial" w:cs="Arial"/>
        </w:rPr>
        <w:lastRenderedPageBreak/>
        <w:t xml:space="preserve">operations. </w:t>
      </w:r>
      <w:r w:rsidRPr="00851192">
        <w:rPr>
          <w:rFonts w:ascii="Arial" w:hAnsi="Arial" w:cs="Arial"/>
        </w:rPr>
        <w:t xml:space="preserve">The prominence for an </w:t>
      </w:r>
      <w:r w:rsidR="001D7BD6" w:rsidRPr="00851192">
        <w:rPr>
          <w:rFonts w:ascii="Arial" w:hAnsi="Arial" w:cs="Arial"/>
        </w:rPr>
        <w:t>exercise such as this for an organisation is due to the belie</w:t>
      </w:r>
      <w:r w:rsidR="00A36A7E" w:rsidRPr="00851192">
        <w:rPr>
          <w:rFonts w:ascii="Arial" w:hAnsi="Arial" w:cs="Arial"/>
        </w:rPr>
        <w:t>f</w:t>
      </w:r>
      <w:r w:rsidR="001D7BD6" w:rsidRPr="00851192">
        <w:rPr>
          <w:rFonts w:ascii="Arial" w:hAnsi="Arial" w:cs="Arial"/>
        </w:rPr>
        <w:t xml:space="preserve"> that there </w:t>
      </w:r>
      <w:r w:rsidR="00124694" w:rsidRPr="00851192">
        <w:rPr>
          <w:rFonts w:ascii="Arial" w:hAnsi="Arial" w:cs="Arial"/>
        </w:rPr>
        <w:t xml:space="preserve">is </w:t>
      </w:r>
      <w:r w:rsidR="001D7BD6" w:rsidRPr="00851192">
        <w:rPr>
          <w:rFonts w:ascii="Arial" w:hAnsi="Arial" w:cs="Arial"/>
        </w:rPr>
        <w:t xml:space="preserve">a </w:t>
      </w:r>
      <w:r w:rsidR="00124694" w:rsidRPr="00851192">
        <w:rPr>
          <w:rFonts w:ascii="Arial" w:hAnsi="Arial" w:cs="Arial"/>
        </w:rPr>
        <w:t>relationship between corporate citizenship</w:t>
      </w:r>
      <w:r w:rsidR="00A36A7E" w:rsidRPr="00851192">
        <w:rPr>
          <w:rFonts w:ascii="Arial" w:hAnsi="Arial" w:cs="Arial"/>
        </w:rPr>
        <w:t>,</w:t>
      </w:r>
      <w:r w:rsidR="00124694" w:rsidRPr="00851192">
        <w:rPr>
          <w:rFonts w:ascii="Arial" w:hAnsi="Arial" w:cs="Arial"/>
        </w:rPr>
        <w:t xml:space="preserve"> and financial performance</w:t>
      </w:r>
      <w:r w:rsidR="001D7BD6" w:rsidRPr="00851192">
        <w:rPr>
          <w:rFonts w:ascii="Arial" w:hAnsi="Arial" w:cs="Arial"/>
        </w:rPr>
        <w:t xml:space="preserve"> as suggested by Freeman (1984)</w:t>
      </w:r>
      <w:r w:rsidR="00124694" w:rsidRPr="00851192">
        <w:rPr>
          <w:rFonts w:ascii="Arial" w:hAnsi="Arial" w:cs="Arial"/>
        </w:rPr>
        <w:t xml:space="preserve">. </w:t>
      </w:r>
      <w:proofErr w:type="spellStart"/>
      <w:r w:rsidR="00891DD9" w:rsidRPr="00851192">
        <w:rPr>
          <w:rFonts w:ascii="Arial" w:hAnsi="Arial" w:cs="Arial"/>
        </w:rPr>
        <w:t>Turyakira</w:t>
      </w:r>
      <w:proofErr w:type="spellEnd"/>
      <w:r w:rsidR="00891DD9" w:rsidRPr="00851192">
        <w:rPr>
          <w:rFonts w:ascii="Arial" w:hAnsi="Arial" w:cs="Arial"/>
        </w:rPr>
        <w:t xml:space="preserve"> (2014) believe</w:t>
      </w:r>
      <w:r w:rsidR="00124694" w:rsidRPr="00851192">
        <w:rPr>
          <w:rFonts w:ascii="Arial" w:hAnsi="Arial" w:cs="Arial"/>
        </w:rPr>
        <w:t>s</w:t>
      </w:r>
      <w:r w:rsidR="00891DD9" w:rsidRPr="00851192">
        <w:rPr>
          <w:rFonts w:ascii="Arial" w:hAnsi="Arial" w:cs="Arial"/>
        </w:rPr>
        <w:t xml:space="preserve"> that there is a direct relationship between</w:t>
      </w:r>
      <w:r w:rsidR="00A36A7E" w:rsidRPr="00851192">
        <w:rPr>
          <w:rFonts w:ascii="Arial" w:hAnsi="Arial" w:cs="Arial"/>
        </w:rPr>
        <w:t xml:space="preserve"> being</w:t>
      </w:r>
      <w:r w:rsidR="00891DD9" w:rsidRPr="00851192">
        <w:rPr>
          <w:rFonts w:ascii="Arial" w:hAnsi="Arial" w:cs="Arial"/>
        </w:rPr>
        <w:t xml:space="preserve"> a good corporate citizen and organisational growth. This hypothesis is confirmed through CSR initiatives and practices carried out by national </w:t>
      </w:r>
      <w:r w:rsidR="00A36A7E" w:rsidRPr="00851192">
        <w:rPr>
          <w:rFonts w:ascii="Arial" w:hAnsi="Arial" w:cs="Arial"/>
        </w:rPr>
        <w:t>and</w:t>
      </w:r>
      <w:r w:rsidR="00891DD9" w:rsidRPr="00851192">
        <w:rPr>
          <w:rFonts w:ascii="Arial" w:hAnsi="Arial" w:cs="Arial"/>
        </w:rPr>
        <w:t xml:space="preserve"> international enterprises</w:t>
      </w:r>
      <w:r w:rsidR="00A36A7E" w:rsidRPr="00851192">
        <w:rPr>
          <w:rFonts w:ascii="Arial" w:hAnsi="Arial" w:cs="Arial"/>
        </w:rPr>
        <w:t xml:space="preserve"> such as Patagonia and Kenco</w:t>
      </w:r>
      <w:r w:rsidR="00891DD9" w:rsidRPr="00851192">
        <w:rPr>
          <w:rFonts w:ascii="Arial" w:hAnsi="Arial" w:cs="Arial"/>
        </w:rPr>
        <w:t xml:space="preserve"> which</w:t>
      </w:r>
      <w:r w:rsidR="00242D9B" w:rsidRPr="00851192">
        <w:rPr>
          <w:rFonts w:ascii="Arial" w:hAnsi="Arial" w:cs="Arial"/>
        </w:rPr>
        <w:t xml:space="preserve"> effectively communicated through channels of CSR communication</w:t>
      </w:r>
      <w:r w:rsidR="00891DD9" w:rsidRPr="00851192">
        <w:rPr>
          <w:rFonts w:ascii="Arial" w:hAnsi="Arial" w:cs="Arial"/>
        </w:rPr>
        <w:t xml:space="preserve"> </w:t>
      </w:r>
      <w:r w:rsidR="00242D9B" w:rsidRPr="00851192">
        <w:rPr>
          <w:rFonts w:ascii="Arial" w:hAnsi="Arial" w:cs="Arial"/>
        </w:rPr>
        <w:t xml:space="preserve">and </w:t>
      </w:r>
      <w:r w:rsidR="00891DD9" w:rsidRPr="00851192">
        <w:rPr>
          <w:rFonts w:ascii="Arial" w:hAnsi="Arial" w:cs="Arial"/>
        </w:rPr>
        <w:t>add value to society.</w:t>
      </w:r>
    </w:p>
    <w:p w14:paraId="76EDEC67" w14:textId="7F37D7C8" w:rsidR="00395639" w:rsidRPr="00851192" w:rsidRDefault="00242D9B" w:rsidP="003B74DC">
      <w:pPr>
        <w:spacing w:line="360" w:lineRule="auto"/>
        <w:jc w:val="both"/>
        <w:rPr>
          <w:rFonts w:ascii="Arial" w:hAnsi="Arial" w:cs="Arial"/>
        </w:rPr>
      </w:pPr>
      <w:r w:rsidRPr="00851192">
        <w:rPr>
          <w:rFonts w:ascii="Arial" w:hAnsi="Arial" w:cs="Arial"/>
        </w:rPr>
        <w:t xml:space="preserve">GVC Holdings, the public limited company which have ownership of </w:t>
      </w:r>
      <w:proofErr w:type="spellStart"/>
      <w:r w:rsidRPr="00851192">
        <w:rPr>
          <w:rFonts w:ascii="Arial" w:hAnsi="Arial" w:cs="Arial"/>
        </w:rPr>
        <w:t>B</w:t>
      </w:r>
      <w:r w:rsidR="00E66A01" w:rsidRPr="00851192">
        <w:rPr>
          <w:rFonts w:ascii="Arial" w:hAnsi="Arial" w:cs="Arial"/>
        </w:rPr>
        <w:t>win</w:t>
      </w:r>
      <w:proofErr w:type="spellEnd"/>
      <w:r w:rsidR="00E66A01" w:rsidRPr="00851192">
        <w:rPr>
          <w:rFonts w:ascii="Arial" w:hAnsi="Arial" w:cs="Arial"/>
        </w:rPr>
        <w:t xml:space="preserve"> </w:t>
      </w:r>
      <w:r w:rsidR="00891DD9" w:rsidRPr="00851192">
        <w:rPr>
          <w:rFonts w:ascii="Arial" w:hAnsi="Arial" w:cs="Arial"/>
        </w:rPr>
        <w:t xml:space="preserve">demonstrate little incongruence between its CSR image and target </w:t>
      </w:r>
      <w:r w:rsidR="00124694" w:rsidRPr="00851192">
        <w:rPr>
          <w:rFonts w:ascii="Arial" w:hAnsi="Arial" w:cs="Arial"/>
        </w:rPr>
        <w:t>audiences’</w:t>
      </w:r>
      <w:r w:rsidR="00891DD9" w:rsidRPr="00851192">
        <w:rPr>
          <w:rFonts w:ascii="Arial" w:hAnsi="Arial" w:cs="Arial"/>
        </w:rPr>
        <w:t xml:space="preserve"> interpretation of the business. </w:t>
      </w:r>
      <w:r w:rsidR="00AF1832" w:rsidRPr="00851192">
        <w:rPr>
          <w:rFonts w:ascii="Arial" w:hAnsi="Arial" w:cs="Arial"/>
        </w:rPr>
        <w:t xml:space="preserve">The organisation </w:t>
      </w:r>
      <w:r w:rsidR="00124694" w:rsidRPr="00851192">
        <w:rPr>
          <w:rFonts w:ascii="Arial" w:hAnsi="Arial" w:cs="Arial"/>
        </w:rPr>
        <w:t>establishes</w:t>
      </w:r>
      <w:r w:rsidR="00AF1832" w:rsidRPr="00851192">
        <w:rPr>
          <w:rFonts w:ascii="Arial" w:hAnsi="Arial" w:cs="Arial"/>
        </w:rPr>
        <w:t xml:space="preserve"> strong values towards environmental impact, modern slavery, </w:t>
      </w:r>
      <w:r w:rsidR="003109BA" w:rsidRPr="00851192">
        <w:rPr>
          <w:rFonts w:ascii="Arial" w:hAnsi="Arial" w:cs="Arial"/>
        </w:rPr>
        <w:t>RG</w:t>
      </w:r>
      <w:r w:rsidR="00AF1832" w:rsidRPr="00851192">
        <w:rPr>
          <w:rFonts w:ascii="Arial" w:hAnsi="Arial" w:cs="Arial"/>
        </w:rPr>
        <w:t xml:space="preserve">, and CSR </w:t>
      </w:r>
      <w:r w:rsidR="00304F5A" w:rsidRPr="00851192">
        <w:rPr>
          <w:rFonts w:ascii="Arial" w:hAnsi="Arial" w:cs="Arial"/>
        </w:rPr>
        <w:t>with</w:t>
      </w:r>
      <w:r w:rsidR="00124694" w:rsidRPr="00851192">
        <w:rPr>
          <w:rFonts w:ascii="Arial" w:hAnsi="Arial" w:cs="Arial"/>
        </w:rPr>
        <w:t xml:space="preserve"> the company having</w:t>
      </w:r>
      <w:r w:rsidR="00AF1832" w:rsidRPr="00851192">
        <w:rPr>
          <w:rFonts w:ascii="Arial" w:hAnsi="Arial" w:cs="Arial"/>
        </w:rPr>
        <w:t xml:space="preserve"> an even greater focus towards charity and community engagement</w:t>
      </w:r>
      <w:r w:rsidR="00304F5A" w:rsidRPr="00851192">
        <w:rPr>
          <w:rFonts w:ascii="Arial" w:hAnsi="Arial" w:cs="Arial"/>
        </w:rPr>
        <w:t xml:space="preserve"> </w:t>
      </w:r>
      <w:sdt>
        <w:sdtPr>
          <w:rPr>
            <w:rFonts w:ascii="Arial" w:hAnsi="Arial" w:cs="Arial"/>
          </w:rPr>
          <w:id w:val="1671595874"/>
          <w:citation/>
        </w:sdtPr>
        <w:sdtEndPr/>
        <w:sdtContent>
          <w:r w:rsidR="00304F5A" w:rsidRPr="00851192">
            <w:rPr>
              <w:rFonts w:ascii="Arial" w:hAnsi="Arial" w:cs="Arial"/>
            </w:rPr>
            <w:fldChar w:fldCharType="begin"/>
          </w:r>
          <w:r w:rsidR="00304F5A" w:rsidRPr="00851192">
            <w:rPr>
              <w:rFonts w:ascii="Arial" w:hAnsi="Arial" w:cs="Arial"/>
            </w:rPr>
            <w:instrText xml:space="preserve"> CITATION GVC16 \l 2057 </w:instrText>
          </w:r>
          <w:r w:rsidR="00304F5A" w:rsidRPr="00851192">
            <w:rPr>
              <w:rFonts w:ascii="Arial" w:hAnsi="Arial" w:cs="Arial"/>
            </w:rPr>
            <w:fldChar w:fldCharType="separate"/>
          </w:r>
          <w:r w:rsidR="002D17EA" w:rsidRPr="00851192">
            <w:rPr>
              <w:rFonts w:ascii="Arial" w:hAnsi="Arial" w:cs="Arial"/>
              <w:noProof/>
            </w:rPr>
            <w:t>(GVC Holdings Plc, 2016)</w:t>
          </w:r>
          <w:r w:rsidR="00304F5A" w:rsidRPr="00851192">
            <w:rPr>
              <w:rFonts w:ascii="Arial" w:hAnsi="Arial" w:cs="Arial"/>
            </w:rPr>
            <w:fldChar w:fldCharType="end"/>
          </w:r>
        </w:sdtContent>
      </w:sdt>
      <w:r w:rsidR="00AF1832" w:rsidRPr="00851192">
        <w:rPr>
          <w:rFonts w:ascii="Arial" w:hAnsi="Arial" w:cs="Arial"/>
        </w:rPr>
        <w:t xml:space="preserve">. The organisation </w:t>
      </w:r>
      <w:r w:rsidR="00304F5A" w:rsidRPr="00851192">
        <w:rPr>
          <w:rFonts w:ascii="Arial" w:hAnsi="Arial" w:cs="Arial"/>
        </w:rPr>
        <w:t>make</w:t>
      </w:r>
      <w:r w:rsidR="00AF1832" w:rsidRPr="00851192">
        <w:rPr>
          <w:rFonts w:ascii="Arial" w:hAnsi="Arial" w:cs="Arial"/>
        </w:rPr>
        <w:t xml:space="preserve"> donations to a variety of </w:t>
      </w:r>
      <w:r w:rsidR="003109BA" w:rsidRPr="00851192">
        <w:rPr>
          <w:rFonts w:ascii="Arial" w:hAnsi="Arial" w:cs="Arial"/>
        </w:rPr>
        <w:t>RG</w:t>
      </w:r>
      <w:r w:rsidR="00AF1832" w:rsidRPr="00851192">
        <w:rPr>
          <w:rFonts w:ascii="Arial" w:hAnsi="Arial" w:cs="Arial"/>
        </w:rPr>
        <w:t xml:space="preserve"> organisations on an international scale. The </w:t>
      </w:r>
      <w:r w:rsidR="00304F5A" w:rsidRPr="00851192">
        <w:rPr>
          <w:rFonts w:ascii="Arial" w:hAnsi="Arial" w:cs="Arial"/>
        </w:rPr>
        <w:t>GGO also</w:t>
      </w:r>
      <w:r w:rsidR="00AF1832" w:rsidRPr="00851192">
        <w:rPr>
          <w:rFonts w:ascii="Arial" w:hAnsi="Arial" w:cs="Arial"/>
        </w:rPr>
        <w:t xml:space="preserve"> encourages </w:t>
      </w:r>
      <w:r w:rsidR="00E66A01" w:rsidRPr="00851192">
        <w:rPr>
          <w:rFonts w:ascii="Arial" w:hAnsi="Arial" w:cs="Arial"/>
        </w:rPr>
        <w:t xml:space="preserve">employees which are part of </w:t>
      </w:r>
      <w:proofErr w:type="spellStart"/>
      <w:r w:rsidR="00E66A01" w:rsidRPr="00851192">
        <w:rPr>
          <w:rFonts w:ascii="Arial" w:hAnsi="Arial" w:cs="Arial"/>
        </w:rPr>
        <w:t>Bwin</w:t>
      </w:r>
      <w:proofErr w:type="spellEnd"/>
      <w:r w:rsidR="00AF1832" w:rsidRPr="00851192">
        <w:rPr>
          <w:rFonts w:ascii="Arial" w:hAnsi="Arial" w:cs="Arial"/>
        </w:rPr>
        <w:t xml:space="preserve"> to spend two days out of office on charitable, environmental and community projects every annum. The organisation </w:t>
      </w:r>
      <w:r w:rsidR="00304F5A" w:rsidRPr="00851192">
        <w:rPr>
          <w:rFonts w:ascii="Arial" w:hAnsi="Arial" w:cs="Arial"/>
        </w:rPr>
        <w:t>shows</w:t>
      </w:r>
      <w:r w:rsidR="00AF1832" w:rsidRPr="00851192">
        <w:rPr>
          <w:rFonts w:ascii="Arial" w:hAnsi="Arial" w:cs="Arial"/>
        </w:rPr>
        <w:t xml:space="preserve"> great philanthropic behaviour</w:t>
      </w:r>
      <w:r w:rsidR="00A36A7E" w:rsidRPr="00851192">
        <w:rPr>
          <w:rFonts w:ascii="Arial" w:hAnsi="Arial" w:cs="Arial"/>
        </w:rPr>
        <w:t xml:space="preserve"> </w:t>
      </w:r>
      <w:r w:rsidR="00A36A7E" w:rsidRPr="00851192">
        <w:rPr>
          <w:rFonts w:ascii="Arial" w:hAnsi="Arial" w:cs="Arial"/>
          <w:noProof/>
        </w:rPr>
        <w:t>(Carroll, 1991)</w:t>
      </w:r>
      <w:r w:rsidR="00AF1832" w:rsidRPr="00851192">
        <w:rPr>
          <w:rFonts w:ascii="Arial" w:hAnsi="Arial" w:cs="Arial"/>
        </w:rPr>
        <w:t xml:space="preserve"> within their CSR and CSR communication</w:t>
      </w:r>
      <w:r w:rsidR="00A36A7E" w:rsidRPr="00851192">
        <w:rPr>
          <w:rFonts w:ascii="Arial" w:hAnsi="Arial" w:cs="Arial"/>
        </w:rPr>
        <w:t xml:space="preserve"> model </w:t>
      </w:r>
      <w:sdt>
        <w:sdtPr>
          <w:rPr>
            <w:rFonts w:ascii="Arial" w:hAnsi="Arial" w:cs="Arial"/>
          </w:rPr>
          <w:id w:val="-1964414763"/>
          <w:citation/>
        </w:sdtPr>
        <w:sdtEndPr/>
        <w:sdtContent>
          <w:r w:rsidR="00A36A7E" w:rsidRPr="00851192">
            <w:rPr>
              <w:rFonts w:ascii="Arial" w:hAnsi="Arial" w:cs="Arial"/>
            </w:rPr>
            <w:fldChar w:fldCharType="begin"/>
          </w:r>
          <w:r w:rsidR="00A36A7E" w:rsidRPr="00851192">
            <w:rPr>
              <w:rFonts w:ascii="Arial" w:hAnsi="Arial" w:cs="Arial"/>
            </w:rPr>
            <w:instrText xml:space="preserve"> CITATION Tat15 \l 2057 </w:instrText>
          </w:r>
          <w:r w:rsidR="00A36A7E" w:rsidRPr="00851192">
            <w:rPr>
              <w:rFonts w:ascii="Arial" w:hAnsi="Arial" w:cs="Arial"/>
            </w:rPr>
            <w:fldChar w:fldCharType="separate"/>
          </w:r>
          <w:r w:rsidR="002D17EA" w:rsidRPr="00851192">
            <w:rPr>
              <w:rFonts w:ascii="Arial" w:hAnsi="Arial" w:cs="Arial"/>
              <w:noProof/>
            </w:rPr>
            <w:t>(Tata &amp; Prasad, 2015)</w:t>
          </w:r>
          <w:r w:rsidR="00A36A7E" w:rsidRPr="00851192">
            <w:rPr>
              <w:rFonts w:ascii="Arial" w:hAnsi="Arial" w:cs="Arial"/>
            </w:rPr>
            <w:fldChar w:fldCharType="end"/>
          </w:r>
        </w:sdtContent>
      </w:sdt>
      <w:r w:rsidR="00AF1832" w:rsidRPr="00851192">
        <w:rPr>
          <w:rFonts w:ascii="Arial" w:hAnsi="Arial" w:cs="Arial"/>
        </w:rPr>
        <w:t xml:space="preserve"> through increasing the contribution to </w:t>
      </w:r>
      <w:r w:rsidR="003109BA" w:rsidRPr="00851192">
        <w:rPr>
          <w:rFonts w:ascii="Arial" w:hAnsi="Arial" w:cs="Arial"/>
        </w:rPr>
        <w:t>RG</w:t>
      </w:r>
      <w:r w:rsidR="00AF1832" w:rsidRPr="00851192">
        <w:rPr>
          <w:rFonts w:ascii="Arial" w:hAnsi="Arial" w:cs="Arial"/>
        </w:rPr>
        <w:t xml:space="preserve"> charities and organisations by 39% in 2016 </w:t>
      </w:r>
      <w:sdt>
        <w:sdtPr>
          <w:rPr>
            <w:rFonts w:ascii="Arial" w:hAnsi="Arial" w:cs="Arial"/>
          </w:rPr>
          <w:id w:val="-1883165290"/>
          <w:citation/>
        </w:sdtPr>
        <w:sdtEndPr/>
        <w:sdtContent>
          <w:r w:rsidR="00AF1832" w:rsidRPr="00851192">
            <w:rPr>
              <w:rFonts w:ascii="Arial" w:hAnsi="Arial" w:cs="Arial"/>
            </w:rPr>
            <w:fldChar w:fldCharType="begin"/>
          </w:r>
          <w:r w:rsidR="00AF1832" w:rsidRPr="00851192">
            <w:rPr>
              <w:rFonts w:ascii="Arial" w:hAnsi="Arial" w:cs="Arial"/>
            </w:rPr>
            <w:instrText xml:space="preserve"> CITATION GVC16 \l 2057 </w:instrText>
          </w:r>
          <w:r w:rsidR="00AF1832" w:rsidRPr="00851192">
            <w:rPr>
              <w:rFonts w:ascii="Arial" w:hAnsi="Arial" w:cs="Arial"/>
            </w:rPr>
            <w:fldChar w:fldCharType="separate"/>
          </w:r>
          <w:r w:rsidR="002D17EA" w:rsidRPr="00851192">
            <w:rPr>
              <w:rFonts w:ascii="Arial" w:hAnsi="Arial" w:cs="Arial"/>
              <w:noProof/>
            </w:rPr>
            <w:t>(GVC Holdings Plc, 2016)</w:t>
          </w:r>
          <w:r w:rsidR="00AF1832" w:rsidRPr="00851192">
            <w:rPr>
              <w:rFonts w:ascii="Arial" w:hAnsi="Arial" w:cs="Arial"/>
            </w:rPr>
            <w:fldChar w:fldCharType="end"/>
          </w:r>
        </w:sdtContent>
      </w:sdt>
      <w:r w:rsidR="00AF1832" w:rsidRPr="00851192">
        <w:rPr>
          <w:rFonts w:ascii="Arial" w:hAnsi="Arial" w:cs="Arial"/>
        </w:rPr>
        <w:t>.</w:t>
      </w:r>
      <w:r w:rsidR="006231BA" w:rsidRPr="00851192">
        <w:rPr>
          <w:rFonts w:ascii="Arial" w:hAnsi="Arial" w:cs="Arial"/>
        </w:rPr>
        <w:t xml:space="preserve"> </w:t>
      </w:r>
    </w:p>
    <w:p w14:paraId="6283F4B2" w14:textId="2F0436F9" w:rsidR="00891DD9" w:rsidRPr="00851192" w:rsidRDefault="00AF1832" w:rsidP="003B74DC">
      <w:pPr>
        <w:spacing w:line="360" w:lineRule="auto"/>
        <w:jc w:val="both"/>
        <w:rPr>
          <w:rFonts w:ascii="Arial" w:hAnsi="Arial" w:cs="Arial"/>
        </w:rPr>
      </w:pPr>
      <w:r w:rsidRPr="00851192">
        <w:rPr>
          <w:rFonts w:ascii="Arial" w:hAnsi="Arial" w:cs="Arial"/>
        </w:rPr>
        <w:t>GVC Holdings</w:t>
      </w:r>
      <w:r w:rsidR="00891DD9" w:rsidRPr="00851192">
        <w:rPr>
          <w:rFonts w:ascii="Arial" w:hAnsi="Arial" w:cs="Arial"/>
        </w:rPr>
        <w:t xml:space="preserve"> exemplify that organisational growth can be achieved through </w:t>
      </w:r>
      <w:r w:rsidR="006163ED" w:rsidRPr="00851192">
        <w:rPr>
          <w:rFonts w:ascii="Arial" w:hAnsi="Arial" w:cs="Arial"/>
        </w:rPr>
        <w:t xml:space="preserve">effectively communicating CSR values which </w:t>
      </w:r>
      <w:r w:rsidR="00B67036" w:rsidRPr="00851192">
        <w:rPr>
          <w:rFonts w:ascii="Arial" w:hAnsi="Arial" w:cs="Arial"/>
        </w:rPr>
        <w:t xml:space="preserve">is in conjunction with its target </w:t>
      </w:r>
      <w:r w:rsidR="00304F5A" w:rsidRPr="00851192">
        <w:rPr>
          <w:rFonts w:ascii="Arial" w:hAnsi="Arial" w:cs="Arial"/>
        </w:rPr>
        <w:t>audience’s</w:t>
      </w:r>
      <w:r w:rsidR="00B67036" w:rsidRPr="00851192">
        <w:rPr>
          <w:rFonts w:ascii="Arial" w:hAnsi="Arial" w:cs="Arial"/>
        </w:rPr>
        <w:t xml:space="preserve"> perception</w:t>
      </w:r>
      <w:r w:rsidR="00A36A7E" w:rsidRPr="00851192">
        <w:rPr>
          <w:rFonts w:ascii="Arial" w:hAnsi="Arial" w:cs="Arial"/>
        </w:rPr>
        <w:t xml:space="preserve">. This leads to the business </w:t>
      </w:r>
      <w:r w:rsidR="00124694" w:rsidRPr="00851192">
        <w:rPr>
          <w:rFonts w:ascii="Arial" w:hAnsi="Arial" w:cs="Arial"/>
        </w:rPr>
        <w:t>retain</w:t>
      </w:r>
      <w:r w:rsidR="00A36A7E" w:rsidRPr="00851192">
        <w:rPr>
          <w:rFonts w:ascii="Arial" w:hAnsi="Arial" w:cs="Arial"/>
        </w:rPr>
        <w:t>ing</w:t>
      </w:r>
      <w:r w:rsidR="00124694" w:rsidRPr="00851192">
        <w:rPr>
          <w:rFonts w:ascii="Arial" w:hAnsi="Arial" w:cs="Arial"/>
        </w:rPr>
        <w:t xml:space="preserve"> and </w:t>
      </w:r>
      <w:r w:rsidR="006163ED" w:rsidRPr="00851192">
        <w:rPr>
          <w:rFonts w:ascii="Arial" w:hAnsi="Arial" w:cs="Arial"/>
        </w:rPr>
        <w:t>gain</w:t>
      </w:r>
      <w:r w:rsidR="00A36A7E" w:rsidRPr="00851192">
        <w:rPr>
          <w:rFonts w:ascii="Arial" w:hAnsi="Arial" w:cs="Arial"/>
        </w:rPr>
        <w:t>ing</w:t>
      </w:r>
      <w:r w:rsidR="006163ED" w:rsidRPr="00851192">
        <w:rPr>
          <w:rFonts w:ascii="Arial" w:hAnsi="Arial" w:cs="Arial"/>
        </w:rPr>
        <w:t xml:space="preserve"> new consumers</w:t>
      </w:r>
      <w:r w:rsidR="00A36A7E" w:rsidRPr="00851192">
        <w:rPr>
          <w:rFonts w:ascii="Arial" w:hAnsi="Arial" w:cs="Arial"/>
        </w:rPr>
        <w:t xml:space="preserve">. </w:t>
      </w:r>
      <w:r w:rsidR="006163ED" w:rsidRPr="00851192">
        <w:rPr>
          <w:rFonts w:ascii="Arial" w:hAnsi="Arial" w:cs="Arial"/>
        </w:rPr>
        <w:t xml:space="preserve"> </w:t>
      </w:r>
      <w:r w:rsidRPr="00851192">
        <w:rPr>
          <w:rFonts w:ascii="Arial" w:hAnsi="Arial" w:cs="Arial"/>
        </w:rPr>
        <w:t>GVC Holdings</w:t>
      </w:r>
      <w:r w:rsidR="00B67036" w:rsidRPr="00851192">
        <w:rPr>
          <w:rFonts w:ascii="Arial" w:hAnsi="Arial" w:cs="Arial"/>
        </w:rPr>
        <w:t xml:space="preserve"> have </w:t>
      </w:r>
      <w:r w:rsidR="006163ED" w:rsidRPr="00851192">
        <w:rPr>
          <w:rFonts w:ascii="Arial" w:hAnsi="Arial" w:cs="Arial"/>
        </w:rPr>
        <w:t>achieved this by</w:t>
      </w:r>
      <w:r w:rsidR="00B67036" w:rsidRPr="00851192">
        <w:rPr>
          <w:rFonts w:ascii="Arial" w:hAnsi="Arial" w:cs="Arial"/>
        </w:rPr>
        <w:t xml:space="preserve"> demons</w:t>
      </w:r>
      <w:r w:rsidR="006163ED" w:rsidRPr="00851192">
        <w:rPr>
          <w:rFonts w:ascii="Arial" w:hAnsi="Arial" w:cs="Arial"/>
        </w:rPr>
        <w:t>trating activity across</w:t>
      </w:r>
      <w:r w:rsidR="00B67036" w:rsidRPr="00851192">
        <w:rPr>
          <w:rFonts w:ascii="Arial" w:hAnsi="Arial" w:cs="Arial"/>
        </w:rPr>
        <w:t xml:space="preserve"> all dimensions of Tata and Prasad’s model. </w:t>
      </w:r>
      <w:r w:rsidR="00A36A7E" w:rsidRPr="00851192">
        <w:rPr>
          <w:rFonts w:ascii="Arial" w:hAnsi="Arial" w:cs="Arial"/>
        </w:rPr>
        <w:t xml:space="preserve">Applied to the literature presented by Tata and Prasad, </w:t>
      </w:r>
      <w:r w:rsidRPr="00851192">
        <w:rPr>
          <w:rFonts w:ascii="Arial" w:hAnsi="Arial" w:cs="Arial"/>
        </w:rPr>
        <w:t>GVC Holdings</w:t>
      </w:r>
      <w:r w:rsidR="00B67036" w:rsidRPr="00851192">
        <w:rPr>
          <w:rFonts w:ascii="Arial" w:hAnsi="Arial" w:cs="Arial"/>
        </w:rPr>
        <w:t xml:space="preserve"> have reacted (a) to societal needs by adding value to national community development programmes to area’s which need it most</w:t>
      </w:r>
      <w:r w:rsidRPr="00851192">
        <w:rPr>
          <w:rFonts w:ascii="Arial" w:hAnsi="Arial" w:cs="Arial"/>
        </w:rPr>
        <w:t xml:space="preserve"> and using employees as a focus to further advance programmes</w:t>
      </w:r>
      <w:r w:rsidR="00B67036" w:rsidRPr="00851192">
        <w:rPr>
          <w:rFonts w:ascii="Arial" w:hAnsi="Arial" w:cs="Arial"/>
        </w:rPr>
        <w:t xml:space="preserve">. The organisation have been assertive of their commitment to CSR initiatives by implementing large quantities of funds to national community development (b). </w:t>
      </w:r>
      <w:r w:rsidRPr="00851192">
        <w:rPr>
          <w:rFonts w:ascii="Arial" w:hAnsi="Arial" w:cs="Arial"/>
        </w:rPr>
        <w:t>GVC Holdings</w:t>
      </w:r>
      <w:r w:rsidR="00B67036" w:rsidRPr="00851192">
        <w:rPr>
          <w:rFonts w:ascii="Arial" w:hAnsi="Arial" w:cs="Arial"/>
        </w:rPr>
        <w:t xml:space="preserve"> have shown </w:t>
      </w:r>
      <w:r w:rsidRPr="00851192">
        <w:rPr>
          <w:rFonts w:ascii="Arial" w:hAnsi="Arial" w:cs="Arial"/>
        </w:rPr>
        <w:t>direction</w:t>
      </w:r>
      <w:r w:rsidR="00B67036" w:rsidRPr="00851192">
        <w:rPr>
          <w:rFonts w:ascii="Arial" w:hAnsi="Arial" w:cs="Arial"/>
        </w:rPr>
        <w:t xml:space="preserve"> with their ethical and investment strategy plan ensuing that CSR initiatives are successfully </w:t>
      </w:r>
      <w:r w:rsidR="00520939" w:rsidRPr="00851192">
        <w:rPr>
          <w:rFonts w:ascii="Arial" w:hAnsi="Arial" w:cs="Arial"/>
        </w:rPr>
        <w:t>executed.</w:t>
      </w:r>
      <w:r w:rsidR="00B67036" w:rsidRPr="00851192">
        <w:rPr>
          <w:rFonts w:ascii="Arial" w:hAnsi="Arial" w:cs="Arial"/>
        </w:rPr>
        <w:t xml:space="preserve"> </w:t>
      </w:r>
      <w:r w:rsidR="00520939" w:rsidRPr="00851192">
        <w:rPr>
          <w:rFonts w:ascii="Arial" w:hAnsi="Arial" w:cs="Arial"/>
        </w:rPr>
        <w:t>This leads on</w:t>
      </w:r>
      <w:r w:rsidR="00B67036" w:rsidRPr="00851192">
        <w:rPr>
          <w:rFonts w:ascii="Arial" w:hAnsi="Arial" w:cs="Arial"/>
        </w:rPr>
        <w:t xml:space="preserve"> to the organisation gaining corporate value</w:t>
      </w:r>
      <w:r w:rsidR="00520939" w:rsidRPr="00851192">
        <w:rPr>
          <w:rFonts w:ascii="Arial" w:hAnsi="Arial" w:cs="Arial"/>
        </w:rPr>
        <w:t xml:space="preserve"> and enhancing the company’s overall brand image (d) achieved by </w:t>
      </w:r>
      <w:r w:rsidR="00891DD9" w:rsidRPr="00851192">
        <w:rPr>
          <w:rFonts w:ascii="Arial" w:hAnsi="Arial" w:cs="Arial"/>
        </w:rPr>
        <w:t xml:space="preserve">developing and implementing a strong ethical investment consensus. </w:t>
      </w:r>
      <w:r w:rsidR="00877C4D" w:rsidRPr="00851192">
        <w:rPr>
          <w:rFonts w:ascii="Arial" w:hAnsi="Arial" w:cs="Arial"/>
        </w:rPr>
        <w:t xml:space="preserve">A </w:t>
      </w:r>
      <w:r w:rsidR="00A36A7E" w:rsidRPr="00851192">
        <w:rPr>
          <w:rFonts w:ascii="Arial" w:hAnsi="Arial" w:cs="Arial"/>
        </w:rPr>
        <w:t>best practice</w:t>
      </w:r>
      <w:r w:rsidR="00877C4D" w:rsidRPr="00851192">
        <w:rPr>
          <w:rFonts w:ascii="Arial" w:hAnsi="Arial" w:cs="Arial"/>
        </w:rPr>
        <w:t xml:space="preserve"> for </w:t>
      </w:r>
      <w:r w:rsidR="00304F5A" w:rsidRPr="00851192">
        <w:rPr>
          <w:rFonts w:ascii="Arial" w:hAnsi="Arial" w:cs="Arial"/>
        </w:rPr>
        <w:t>GGO’s</w:t>
      </w:r>
      <w:r w:rsidR="00877C4D" w:rsidRPr="00851192">
        <w:rPr>
          <w:rFonts w:ascii="Arial" w:hAnsi="Arial" w:cs="Arial"/>
        </w:rPr>
        <w:t xml:space="preserve"> to </w:t>
      </w:r>
      <w:r w:rsidR="00A36A7E" w:rsidRPr="00851192">
        <w:rPr>
          <w:rFonts w:ascii="Arial" w:hAnsi="Arial" w:cs="Arial"/>
        </w:rPr>
        <w:t>apply</w:t>
      </w:r>
      <w:r w:rsidR="00877C4D" w:rsidRPr="00851192">
        <w:rPr>
          <w:rFonts w:ascii="Arial" w:hAnsi="Arial" w:cs="Arial"/>
        </w:rPr>
        <w:t>.</w:t>
      </w:r>
    </w:p>
    <w:p w14:paraId="75963614" w14:textId="5E7D9700" w:rsidR="005D51B6" w:rsidRPr="00851192" w:rsidRDefault="005D51B6" w:rsidP="005D51B6">
      <w:pPr>
        <w:pStyle w:val="Heading1"/>
        <w:rPr>
          <w:rFonts w:ascii="Arial" w:hAnsi="Arial" w:cs="Arial"/>
          <w:color w:val="auto"/>
        </w:rPr>
      </w:pPr>
      <w:bookmarkStart w:id="25" w:name="_Toc526434226"/>
      <w:r w:rsidRPr="00851192">
        <w:rPr>
          <w:rFonts w:ascii="Arial" w:hAnsi="Arial" w:cs="Arial"/>
          <w:color w:val="auto"/>
        </w:rPr>
        <w:t>2.14 Gap in the Literature</w:t>
      </w:r>
      <w:bookmarkEnd w:id="25"/>
    </w:p>
    <w:p w14:paraId="4EB7A087" w14:textId="5A16379D" w:rsidR="005D51B6" w:rsidRPr="00851192" w:rsidRDefault="005D51B6" w:rsidP="003B74DC">
      <w:pPr>
        <w:spacing w:line="360" w:lineRule="auto"/>
        <w:jc w:val="both"/>
        <w:rPr>
          <w:rFonts w:ascii="Arial" w:hAnsi="Arial" w:cs="Arial"/>
        </w:rPr>
      </w:pPr>
      <w:r w:rsidRPr="00851192">
        <w:rPr>
          <w:rFonts w:ascii="Arial" w:hAnsi="Arial" w:cs="Arial"/>
        </w:rPr>
        <w:t xml:space="preserve">The real value of responsibility has not been tested within a global context of the </w:t>
      </w:r>
      <w:r w:rsidR="00AD22E2" w:rsidRPr="00851192">
        <w:rPr>
          <w:rFonts w:ascii="Arial" w:hAnsi="Arial" w:cs="Arial"/>
        </w:rPr>
        <w:t>GGI</w:t>
      </w:r>
      <w:r w:rsidRPr="00851192">
        <w:rPr>
          <w:rFonts w:ascii="Arial" w:hAnsi="Arial" w:cs="Arial"/>
        </w:rPr>
        <w:t xml:space="preserve">. A limitation on the literature has been discovered throughout the dissertation which has led to asking the question of what the real importance of responsibility is within GGO’s and government. Although some nations such as Canada have been identified with practising best </w:t>
      </w:r>
      <w:r w:rsidRPr="00851192">
        <w:rPr>
          <w:rFonts w:ascii="Arial" w:hAnsi="Arial" w:cs="Arial"/>
        </w:rPr>
        <w:lastRenderedPageBreak/>
        <w:t xml:space="preserve">practice measures through efforts of funding research, the financial power of the </w:t>
      </w:r>
      <w:r w:rsidR="00AD22E2" w:rsidRPr="00851192">
        <w:rPr>
          <w:rFonts w:ascii="Arial" w:hAnsi="Arial" w:cs="Arial"/>
        </w:rPr>
        <w:t>GGI</w:t>
      </w:r>
      <w:r w:rsidRPr="00851192">
        <w:rPr>
          <w:rFonts w:ascii="Arial" w:hAnsi="Arial" w:cs="Arial"/>
        </w:rPr>
        <w:t xml:space="preserve"> seems to be too systemically important and vital to governments </w:t>
      </w:r>
      <w:r w:rsidR="00A36A7E" w:rsidRPr="00851192">
        <w:rPr>
          <w:rFonts w:ascii="Arial" w:hAnsi="Arial" w:cs="Arial"/>
        </w:rPr>
        <w:t>such as the</w:t>
      </w:r>
      <w:r w:rsidRPr="00851192">
        <w:rPr>
          <w:rFonts w:ascii="Arial" w:hAnsi="Arial" w:cs="Arial"/>
        </w:rPr>
        <w:t xml:space="preserve"> UK</w:t>
      </w:r>
      <w:r w:rsidR="00A36A7E" w:rsidRPr="00851192">
        <w:rPr>
          <w:rFonts w:ascii="Arial" w:hAnsi="Arial" w:cs="Arial"/>
        </w:rPr>
        <w:t>. Thus,</w:t>
      </w:r>
      <w:r w:rsidRPr="00851192">
        <w:rPr>
          <w:rFonts w:ascii="Arial" w:hAnsi="Arial" w:cs="Arial"/>
        </w:rPr>
        <w:t xml:space="preserve"> outweighing the societal needs of </w:t>
      </w:r>
      <w:r w:rsidR="00A36A7E" w:rsidRPr="00851192">
        <w:rPr>
          <w:rFonts w:ascii="Arial" w:hAnsi="Arial" w:cs="Arial"/>
        </w:rPr>
        <w:t>individuals who suffer from PG</w:t>
      </w:r>
      <w:r w:rsidRPr="00851192">
        <w:rPr>
          <w:rFonts w:ascii="Arial" w:hAnsi="Arial" w:cs="Arial"/>
        </w:rPr>
        <w:t xml:space="preserve">. An extension of literature has been identified from other industries and applied to this dissertation in the context of GGO’s. In the context of CSR communication methods and models, literature from sources have added value to the structure and research of the chapter. </w:t>
      </w:r>
    </w:p>
    <w:p w14:paraId="49C9EC88" w14:textId="3ED04005" w:rsidR="00891DD9" w:rsidRPr="00851192" w:rsidRDefault="00DF7255" w:rsidP="00DF7255">
      <w:pPr>
        <w:pStyle w:val="Heading1"/>
        <w:rPr>
          <w:rFonts w:ascii="Arial" w:hAnsi="Arial" w:cs="Arial"/>
          <w:color w:val="auto"/>
        </w:rPr>
      </w:pPr>
      <w:bookmarkStart w:id="26" w:name="_Toc526434227"/>
      <w:r w:rsidRPr="00851192">
        <w:rPr>
          <w:rFonts w:ascii="Arial" w:hAnsi="Arial" w:cs="Arial"/>
          <w:color w:val="auto"/>
        </w:rPr>
        <w:t xml:space="preserve">2.15 </w:t>
      </w:r>
      <w:r w:rsidR="00EF764D" w:rsidRPr="00851192">
        <w:rPr>
          <w:rFonts w:ascii="Arial" w:hAnsi="Arial" w:cs="Arial"/>
          <w:color w:val="auto"/>
        </w:rPr>
        <w:t>Conclusion</w:t>
      </w:r>
      <w:bookmarkEnd w:id="26"/>
    </w:p>
    <w:p w14:paraId="0801C97E" w14:textId="479BA2A4" w:rsidR="003B74DC" w:rsidRPr="00851192" w:rsidRDefault="006A6220" w:rsidP="003B74DC">
      <w:pPr>
        <w:spacing w:line="360" w:lineRule="auto"/>
        <w:jc w:val="both"/>
        <w:rPr>
          <w:rFonts w:ascii="Arial" w:hAnsi="Arial" w:cs="Arial"/>
        </w:rPr>
      </w:pPr>
      <w:r w:rsidRPr="00851192">
        <w:rPr>
          <w:rFonts w:ascii="Arial" w:hAnsi="Arial" w:cs="Arial"/>
        </w:rPr>
        <w:t xml:space="preserve">The chapter has </w:t>
      </w:r>
      <w:r w:rsidR="00304F5A" w:rsidRPr="00851192">
        <w:rPr>
          <w:rFonts w:ascii="Arial" w:hAnsi="Arial" w:cs="Arial"/>
        </w:rPr>
        <w:t xml:space="preserve">used case studies to contribute towards evaluating the importance of CSR and CSR communication. </w:t>
      </w:r>
      <w:r w:rsidR="00EF764D" w:rsidRPr="00851192">
        <w:rPr>
          <w:rFonts w:ascii="Arial" w:hAnsi="Arial" w:cs="Arial"/>
        </w:rPr>
        <w:t>CSR communication provides a basis</w:t>
      </w:r>
      <w:r w:rsidRPr="00851192">
        <w:rPr>
          <w:rFonts w:ascii="Arial" w:hAnsi="Arial" w:cs="Arial"/>
        </w:rPr>
        <w:t xml:space="preserve"> and method</w:t>
      </w:r>
      <w:r w:rsidR="00EF764D" w:rsidRPr="00851192">
        <w:rPr>
          <w:rFonts w:ascii="Arial" w:hAnsi="Arial" w:cs="Arial"/>
        </w:rPr>
        <w:t xml:space="preserve"> for </w:t>
      </w:r>
      <w:r w:rsidR="00304F5A" w:rsidRPr="00851192">
        <w:rPr>
          <w:rFonts w:ascii="Arial" w:hAnsi="Arial" w:cs="Arial"/>
        </w:rPr>
        <w:t>GGO’s</w:t>
      </w:r>
      <w:r w:rsidR="00EF764D" w:rsidRPr="00851192">
        <w:rPr>
          <w:rFonts w:ascii="Arial" w:hAnsi="Arial" w:cs="Arial"/>
        </w:rPr>
        <w:t xml:space="preserve"> to express CSR commitment </w:t>
      </w:r>
      <w:r w:rsidR="00A36A7E" w:rsidRPr="00851192">
        <w:rPr>
          <w:rFonts w:ascii="Arial" w:hAnsi="Arial" w:cs="Arial"/>
        </w:rPr>
        <w:t>in</w:t>
      </w:r>
      <w:r w:rsidR="00EF764D" w:rsidRPr="00851192">
        <w:rPr>
          <w:rFonts w:ascii="Arial" w:hAnsi="Arial" w:cs="Arial"/>
        </w:rPr>
        <w:t xml:space="preserve"> engaging projects which support community development, </w:t>
      </w:r>
      <w:r w:rsidR="00304F5A" w:rsidRPr="00851192">
        <w:rPr>
          <w:rFonts w:ascii="Arial" w:hAnsi="Arial" w:cs="Arial"/>
        </w:rPr>
        <w:t>PG</w:t>
      </w:r>
      <w:r w:rsidR="00A36A7E" w:rsidRPr="00851192">
        <w:rPr>
          <w:rFonts w:ascii="Arial" w:hAnsi="Arial" w:cs="Arial"/>
        </w:rPr>
        <w:t>,</w:t>
      </w:r>
      <w:r w:rsidR="00EF764D" w:rsidRPr="00851192">
        <w:rPr>
          <w:rFonts w:ascii="Arial" w:hAnsi="Arial" w:cs="Arial"/>
        </w:rPr>
        <w:t xml:space="preserve"> and other schemes which are important to communities</w:t>
      </w:r>
      <w:r w:rsidRPr="00851192">
        <w:rPr>
          <w:rFonts w:ascii="Arial" w:hAnsi="Arial" w:cs="Arial"/>
        </w:rPr>
        <w:t xml:space="preserve"> alongside accumulating consumer interest</w:t>
      </w:r>
      <w:r w:rsidR="00EF764D" w:rsidRPr="00851192">
        <w:rPr>
          <w:rFonts w:ascii="Arial" w:hAnsi="Arial" w:cs="Arial"/>
        </w:rPr>
        <w:t xml:space="preserve">. The practices of these commitments </w:t>
      </w:r>
      <w:r w:rsidR="00304F5A" w:rsidRPr="00851192">
        <w:rPr>
          <w:rFonts w:ascii="Arial" w:hAnsi="Arial" w:cs="Arial"/>
        </w:rPr>
        <w:t>can be</w:t>
      </w:r>
      <w:r w:rsidR="00EF764D" w:rsidRPr="00851192">
        <w:rPr>
          <w:rFonts w:ascii="Arial" w:hAnsi="Arial" w:cs="Arial"/>
        </w:rPr>
        <w:t xml:space="preserve"> effectively communicated through CSR communication across</w:t>
      </w:r>
      <w:r w:rsidR="00304F5A" w:rsidRPr="00851192">
        <w:rPr>
          <w:rFonts w:ascii="Arial" w:hAnsi="Arial" w:cs="Arial"/>
        </w:rPr>
        <w:t xml:space="preserve"> technological</w:t>
      </w:r>
      <w:r w:rsidR="00EF764D" w:rsidRPr="00851192">
        <w:rPr>
          <w:rFonts w:ascii="Arial" w:hAnsi="Arial" w:cs="Arial"/>
        </w:rPr>
        <w:t xml:space="preserve"> platforms which cover large scope and reach all external stakeholders considered within Luo et al., (2017) CSR stakeholder model</w:t>
      </w:r>
      <w:r w:rsidR="00304F5A" w:rsidRPr="00851192">
        <w:rPr>
          <w:rFonts w:ascii="Arial" w:hAnsi="Arial" w:cs="Arial"/>
        </w:rPr>
        <w:t xml:space="preserve"> with</w:t>
      </w:r>
      <w:r w:rsidR="00EF764D" w:rsidRPr="00851192">
        <w:rPr>
          <w:rFonts w:ascii="Arial" w:hAnsi="Arial" w:cs="Arial"/>
        </w:rPr>
        <w:t xml:space="preserve"> </w:t>
      </w:r>
      <w:r w:rsidR="00304F5A" w:rsidRPr="00851192">
        <w:rPr>
          <w:rFonts w:ascii="Arial" w:hAnsi="Arial" w:cs="Arial"/>
        </w:rPr>
        <w:t>t</w:t>
      </w:r>
      <w:r w:rsidR="00824FB2" w:rsidRPr="00851192">
        <w:rPr>
          <w:rFonts w:ascii="Arial" w:hAnsi="Arial" w:cs="Arial"/>
        </w:rPr>
        <w:t xml:space="preserve">he role of stakeholder theory </w:t>
      </w:r>
      <w:r w:rsidR="00304F5A" w:rsidRPr="00851192">
        <w:rPr>
          <w:rFonts w:ascii="Arial" w:hAnsi="Arial" w:cs="Arial"/>
        </w:rPr>
        <w:t xml:space="preserve">being pivotal </w:t>
      </w:r>
      <w:r w:rsidR="00824FB2" w:rsidRPr="00851192">
        <w:rPr>
          <w:rFonts w:ascii="Arial" w:hAnsi="Arial" w:cs="Arial"/>
        </w:rPr>
        <w:t>as highlighted by Freeman and Gilbert (1998)</w:t>
      </w:r>
      <w:r w:rsidR="00304F5A" w:rsidRPr="00851192">
        <w:rPr>
          <w:rFonts w:ascii="Arial" w:hAnsi="Arial" w:cs="Arial"/>
        </w:rPr>
        <w:t>.</w:t>
      </w:r>
      <w:r w:rsidR="00824FB2" w:rsidRPr="00851192">
        <w:rPr>
          <w:rFonts w:ascii="Arial" w:hAnsi="Arial" w:cs="Arial"/>
        </w:rPr>
        <w:t xml:space="preserve"> </w:t>
      </w:r>
      <w:r w:rsidR="00A961B5" w:rsidRPr="00851192">
        <w:rPr>
          <w:rFonts w:ascii="Arial" w:hAnsi="Arial" w:cs="Arial"/>
        </w:rPr>
        <w:t xml:space="preserve">Even so, </w:t>
      </w:r>
      <w:r w:rsidRPr="00851192">
        <w:rPr>
          <w:rFonts w:ascii="Arial" w:hAnsi="Arial" w:cs="Arial"/>
        </w:rPr>
        <w:t xml:space="preserve">without effective methods of CSR communication within a market which has a view of </w:t>
      </w:r>
      <w:r w:rsidR="00304F5A" w:rsidRPr="00851192">
        <w:rPr>
          <w:rFonts w:ascii="Arial" w:hAnsi="Arial" w:cs="Arial"/>
        </w:rPr>
        <w:t xml:space="preserve">having negative externalities, </w:t>
      </w:r>
      <w:r w:rsidRPr="00851192">
        <w:rPr>
          <w:rFonts w:ascii="Arial" w:hAnsi="Arial" w:cs="Arial"/>
        </w:rPr>
        <w:t>the risk and loss of financial value and positioning could lead to impairing the ability of future operations</w:t>
      </w:r>
      <w:r w:rsidR="00A961B5" w:rsidRPr="00851192">
        <w:rPr>
          <w:rFonts w:ascii="Arial" w:hAnsi="Arial" w:cs="Arial"/>
        </w:rPr>
        <w:t xml:space="preserve"> for </w:t>
      </w:r>
      <w:r w:rsidR="00304F5A" w:rsidRPr="00851192">
        <w:rPr>
          <w:rFonts w:ascii="Arial" w:hAnsi="Arial" w:cs="Arial"/>
        </w:rPr>
        <w:t>GGO’s</w:t>
      </w:r>
      <w:r w:rsidR="00824FB2" w:rsidRPr="00851192">
        <w:rPr>
          <w:rFonts w:ascii="Arial" w:hAnsi="Arial" w:cs="Arial"/>
        </w:rPr>
        <w:t xml:space="preserve">. The catalyst </w:t>
      </w:r>
      <w:r w:rsidR="00A961B5" w:rsidRPr="00851192">
        <w:rPr>
          <w:rFonts w:ascii="Arial" w:hAnsi="Arial" w:cs="Arial"/>
        </w:rPr>
        <w:t>for meeting this challenge</w:t>
      </w:r>
      <w:r w:rsidR="00824FB2" w:rsidRPr="00851192">
        <w:rPr>
          <w:rFonts w:ascii="Arial" w:hAnsi="Arial" w:cs="Arial"/>
        </w:rPr>
        <w:t xml:space="preserve"> is founded by the management of a </w:t>
      </w:r>
      <w:r w:rsidR="00304F5A" w:rsidRPr="00851192">
        <w:rPr>
          <w:rFonts w:ascii="Arial" w:hAnsi="Arial" w:cs="Arial"/>
        </w:rPr>
        <w:t xml:space="preserve">global </w:t>
      </w:r>
      <w:r w:rsidR="008629C7" w:rsidRPr="00851192">
        <w:rPr>
          <w:rFonts w:ascii="Arial" w:hAnsi="Arial" w:cs="Arial"/>
        </w:rPr>
        <w:t>operator’s</w:t>
      </w:r>
      <w:r w:rsidR="00824FB2" w:rsidRPr="00851192">
        <w:rPr>
          <w:rFonts w:ascii="Arial" w:hAnsi="Arial" w:cs="Arial"/>
        </w:rPr>
        <w:t xml:space="preserve"> stakeholders and by doing so effectively, </w:t>
      </w:r>
      <w:r w:rsidR="00304F5A" w:rsidRPr="00851192">
        <w:rPr>
          <w:rFonts w:ascii="Arial" w:hAnsi="Arial" w:cs="Arial"/>
        </w:rPr>
        <w:t>GGO’s</w:t>
      </w:r>
      <w:r w:rsidR="00824FB2" w:rsidRPr="00851192">
        <w:rPr>
          <w:rFonts w:ascii="Arial" w:hAnsi="Arial" w:cs="Arial"/>
        </w:rPr>
        <w:t xml:space="preserve"> can adopt an instrumental approach </w:t>
      </w:r>
      <w:r w:rsidR="008629C7" w:rsidRPr="00851192">
        <w:rPr>
          <w:rFonts w:ascii="Arial" w:hAnsi="Arial" w:cs="Arial"/>
        </w:rPr>
        <w:t xml:space="preserve">alongside Tata and Prasad (2015) model </w:t>
      </w:r>
      <w:r w:rsidR="00824FB2" w:rsidRPr="00851192">
        <w:rPr>
          <w:rFonts w:ascii="Arial" w:hAnsi="Arial" w:cs="Arial"/>
        </w:rPr>
        <w:t>to identify any incongruence between themselves and stakeholders.</w:t>
      </w:r>
      <w:r w:rsidR="003576C0" w:rsidRPr="00851192">
        <w:rPr>
          <w:rFonts w:ascii="Arial" w:hAnsi="Arial" w:cs="Arial"/>
        </w:rPr>
        <w:t xml:space="preserve"> Case studies have been applied which</w:t>
      </w:r>
      <w:r w:rsidR="00824FB2" w:rsidRPr="00851192">
        <w:rPr>
          <w:rFonts w:ascii="Arial" w:hAnsi="Arial" w:cs="Arial"/>
        </w:rPr>
        <w:t xml:space="preserve"> </w:t>
      </w:r>
      <w:r w:rsidR="008629C7" w:rsidRPr="00851192">
        <w:rPr>
          <w:rFonts w:ascii="Arial" w:hAnsi="Arial" w:cs="Arial"/>
        </w:rPr>
        <w:t>GGO’s</w:t>
      </w:r>
      <w:r w:rsidR="00EF764D" w:rsidRPr="00851192">
        <w:rPr>
          <w:rFonts w:ascii="Arial" w:hAnsi="Arial" w:cs="Arial"/>
        </w:rPr>
        <w:t xml:space="preserve"> are recognised to display philanthropic responsibilit</w:t>
      </w:r>
      <w:r w:rsidR="003576C0" w:rsidRPr="00851192">
        <w:rPr>
          <w:rFonts w:ascii="Arial" w:hAnsi="Arial" w:cs="Arial"/>
        </w:rPr>
        <w:t>ies</w:t>
      </w:r>
      <w:r w:rsidR="00EF764D" w:rsidRPr="00851192">
        <w:rPr>
          <w:rFonts w:ascii="Arial" w:hAnsi="Arial" w:cs="Arial"/>
        </w:rPr>
        <w:t xml:space="preserve"> which </w:t>
      </w:r>
      <w:r w:rsidR="00417E75" w:rsidRPr="00851192">
        <w:rPr>
          <w:rFonts w:ascii="Arial" w:hAnsi="Arial" w:cs="Arial"/>
        </w:rPr>
        <w:t xml:space="preserve">perceives </w:t>
      </w:r>
      <w:r w:rsidR="00EF764D" w:rsidRPr="00851192">
        <w:rPr>
          <w:rFonts w:ascii="Arial" w:hAnsi="Arial" w:cs="Arial"/>
        </w:rPr>
        <w:t>them to be good global citizen</w:t>
      </w:r>
      <w:r w:rsidR="003576C0" w:rsidRPr="00851192">
        <w:rPr>
          <w:rFonts w:ascii="Arial" w:hAnsi="Arial" w:cs="Arial"/>
        </w:rPr>
        <w:t>s</w:t>
      </w:r>
      <w:r w:rsidR="00EF764D" w:rsidRPr="00851192">
        <w:rPr>
          <w:rFonts w:ascii="Arial" w:hAnsi="Arial" w:cs="Arial"/>
        </w:rPr>
        <w:t xml:space="preserve">. </w:t>
      </w:r>
    </w:p>
    <w:p w14:paraId="06D8CB15" w14:textId="38BB4C70" w:rsidR="009B5120" w:rsidRPr="00851192" w:rsidRDefault="00EF764D" w:rsidP="003B74DC">
      <w:pPr>
        <w:spacing w:line="360" w:lineRule="auto"/>
        <w:jc w:val="both"/>
        <w:rPr>
          <w:rFonts w:ascii="Arial" w:hAnsi="Arial" w:cs="Arial"/>
        </w:rPr>
      </w:pPr>
      <w:r w:rsidRPr="00851192">
        <w:rPr>
          <w:rFonts w:ascii="Arial" w:hAnsi="Arial" w:cs="Arial"/>
        </w:rPr>
        <w:t xml:space="preserve">However, the consistency of CSR practices </w:t>
      </w:r>
      <w:r w:rsidR="008629C7" w:rsidRPr="00851192">
        <w:rPr>
          <w:rFonts w:ascii="Arial" w:hAnsi="Arial" w:cs="Arial"/>
        </w:rPr>
        <w:t>is</w:t>
      </w:r>
      <w:r w:rsidR="003576C0" w:rsidRPr="00851192">
        <w:rPr>
          <w:rFonts w:ascii="Arial" w:hAnsi="Arial" w:cs="Arial"/>
        </w:rPr>
        <w:t xml:space="preserve"> still to be evaluated </w:t>
      </w:r>
      <w:r w:rsidRPr="00851192">
        <w:rPr>
          <w:rFonts w:ascii="Arial" w:hAnsi="Arial" w:cs="Arial"/>
        </w:rPr>
        <w:t xml:space="preserve">across all active international markets </w:t>
      </w:r>
      <w:r w:rsidR="003576C0" w:rsidRPr="00851192">
        <w:rPr>
          <w:rFonts w:ascii="Arial" w:hAnsi="Arial" w:cs="Arial"/>
        </w:rPr>
        <w:t>in comparison to the UK</w:t>
      </w:r>
      <w:r w:rsidR="004C2CDF" w:rsidRPr="00851192">
        <w:rPr>
          <w:rFonts w:ascii="Arial" w:hAnsi="Arial" w:cs="Arial"/>
        </w:rPr>
        <w:t xml:space="preserve">. </w:t>
      </w:r>
      <w:r w:rsidR="00824FB2" w:rsidRPr="00851192">
        <w:rPr>
          <w:rFonts w:ascii="Arial" w:hAnsi="Arial" w:cs="Arial"/>
        </w:rPr>
        <w:t>Th</w:t>
      </w:r>
      <w:r w:rsidR="003576C0" w:rsidRPr="00851192">
        <w:rPr>
          <w:rFonts w:ascii="Arial" w:hAnsi="Arial" w:cs="Arial"/>
        </w:rPr>
        <w:t xml:space="preserve">e study </w:t>
      </w:r>
      <w:r w:rsidR="00824FB2" w:rsidRPr="00851192">
        <w:rPr>
          <w:rFonts w:ascii="Arial" w:hAnsi="Arial" w:cs="Arial"/>
        </w:rPr>
        <w:t>has led to the discovery of theories such as the American psychologist Goffman’s stating</w:t>
      </w:r>
      <w:r w:rsidR="00955052" w:rsidRPr="00851192">
        <w:rPr>
          <w:rFonts w:ascii="Arial" w:hAnsi="Arial" w:cs="Arial"/>
        </w:rPr>
        <w:t xml:space="preserve"> and implying</w:t>
      </w:r>
      <w:r w:rsidR="00824FB2" w:rsidRPr="00851192">
        <w:rPr>
          <w:rFonts w:ascii="Arial" w:hAnsi="Arial" w:cs="Arial"/>
        </w:rPr>
        <w:t xml:space="preserve"> that the behaviour of organisations within the boardroom is not the same </w:t>
      </w:r>
      <w:r w:rsidR="003576C0" w:rsidRPr="00851192">
        <w:rPr>
          <w:rFonts w:ascii="Arial" w:hAnsi="Arial" w:cs="Arial"/>
        </w:rPr>
        <w:t xml:space="preserve">as to being on the </w:t>
      </w:r>
      <w:proofErr w:type="gramStart"/>
      <w:r w:rsidR="003576C0" w:rsidRPr="00851192">
        <w:rPr>
          <w:rFonts w:ascii="Arial" w:hAnsi="Arial" w:cs="Arial"/>
        </w:rPr>
        <w:t>worlds</w:t>
      </w:r>
      <w:proofErr w:type="gramEnd"/>
      <w:r w:rsidR="003576C0" w:rsidRPr="00851192">
        <w:rPr>
          <w:rFonts w:ascii="Arial" w:hAnsi="Arial" w:cs="Arial"/>
        </w:rPr>
        <w:t xml:space="preserve"> stage. </w:t>
      </w:r>
      <w:r w:rsidR="00AF2F4E" w:rsidRPr="00851192">
        <w:rPr>
          <w:rFonts w:ascii="Arial" w:hAnsi="Arial" w:cs="Arial"/>
        </w:rPr>
        <w:t xml:space="preserve">The importance of CSR communication has led to finding a suitable model which identifies key areas which need to be addressed by businesses </w:t>
      </w:r>
      <w:r w:rsidR="008629C7" w:rsidRPr="00851192">
        <w:rPr>
          <w:rFonts w:ascii="Arial" w:hAnsi="Arial" w:cs="Arial"/>
        </w:rPr>
        <w:t>for</w:t>
      </w:r>
      <w:r w:rsidR="00AF2F4E" w:rsidRPr="00851192">
        <w:rPr>
          <w:rFonts w:ascii="Arial" w:hAnsi="Arial" w:cs="Arial"/>
        </w:rPr>
        <w:t xml:space="preserve"> CSR communications to be meaningful</w:t>
      </w:r>
      <w:r w:rsidR="008629C7" w:rsidRPr="00851192">
        <w:rPr>
          <w:rFonts w:ascii="Arial" w:hAnsi="Arial" w:cs="Arial"/>
        </w:rPr>
        <w:t>,</w:t>
      </w:r>
      <w:r w:rsidR="00955052" w:rsidRPr="00851192">
        <w:rPr>
          <w:rFonts w:ascii="Arial" w:hAnsi="Arial" w:cs="Arial"/>
        </w:rPr>
        <w:t xml:space="preserve"> that can also be adopted within a CSR measurement scale </w:t>
      </w:r>
      <w:r w:rsidR="008629C7" w:rsidRPr="00851192">
        <w:rPr>
          <w:rFonts w:ascii="Arial" w:hAnsi="Arial" w:cs="Arial"/>
        </w:rPr>
        <w:t>on</w:t>
      </w:r>
      <w:r w:rsidR="00955052" w:rsidRPr="00851192">
        <w:rPr>
          <w:rFonts w:ascii="Arial" w:hAnsi="Arial" w:cs="Arial"/>
        </w:rPr>
        <w:t xml:space="preserve"> ethical and responsible </w:t>
      </w:r>
      <w:r w:rsidR="008629C7" w:rsidRPr="00851192">
        <w:rPr>
          <w:rFonts w:ascii="Arial" w:hAnsi="Arial" w:cs="Arial"/>
        </w:rPr>
        <w:t>values</w:t>
      </w:r>
      <w:r w:rsidR="00AF2F4E" w:rsidRPr="00851192">
        <w:rPr>
          <w:rFonts w:ascii="Arial" w:hAnsi="Arial" w:cs="Arial"/>
        </w:rPr>
        <w:t xml:space="preserve">. </w:t>
      </w:r>
      <w:r w:rsidR="003576C0" w:rsidRPr="00851192">
        <w:rPr>
          <w:rFonts w:ascii="Arial" w:hAnsi="Arial" w:cs="Arial"/>
        </w:rPr>
        <w:t xml:space="preserve">Tata and Prasad’s </w:t>
      </w:r>
      <w:r w:rsidR="00AF2F4E" w:rsidRPr="00851192">
        <w:rPr>
          <w:rFonts w:ascii="Arial" w:hAnsi="Arial" w:cs="Arial"/>
        </w:rPr>
        <w:t>CSR communication</w:t>
      </w:r>
      <w:r w:rsidR="003576C0" w:rsidRPr="00851192">
        <w:rPr>
          <w:rFonts w:ascii="Arial" w:hAnsi="Arial" w:cs="Arial"/>
        </w:rPr>
        <w:t xml:space="preserve"> model</w:t>
      </w:r>
      <w:r w:rsidR="00AF2F4E" w:rsidRPr="00851192">
        <w:rPr>
          <w:rFonts w:ascii="Arial" w:hAnsi="Arial" w:cs="Arial"/>
        </w:rPr>
        <w:t xml:space="preserve"> has been recognised to be a method for</w:t>
      </w:r>
      <w:r w:rsidR="003576C0" w:rsidRPr="00851192">
        <w:rPr>
          <w:rFonts w:ascii="Arial" w:hAnsi="Arial" w:cs="Arial"/>
        </w:rPr>
        <w:t xml:space="preserve"> the researcher</w:t>
      </w:r>
      <w:r w:rsidR="00955052" w:rsidRPr="00851192">
        <w:rPr>
          <w:rFonts w:ascii="Arial" w:hAnsi="Arial" w:cs="Arial"/>
        </w:rPr>
        <w:t xml:space="preserve"> to identify if consumer</w:t>
      </w:r>
      <w:r w:rsidR="00AF2F4E" w:rsidRPr="00851192">
        <w:rPr>
          <w:rFonts w:ascii="Arial" w:hAnsi="Arial" w:cs="Arial"/>
        </w:rPr>
        <w:t xml:space="preserve"> perception of </w:t>
      </w:r>
      <w:r w:rsidR="00955052" w:rsidRPr="00851192">
        <w:rPr>
          <w:rFonts w:ascii="Arial" w:hAnsi="Arial" w:cs="Arial"/>
        </w:rPr>
        <w:t>corporate identity</w:t>
      </w:r>
      <w:r w:rsidR="00AF2F4E" w:rsidRPr="00851192">
        <w:rPr>
          <w:rFonts w:ascii="Arial" w:hAnsi="Arial" w:cs="Arial"/>
        </w:rPr>
        <w:t xml:space="preserve"> is in conjunction with </w:t>
      </w:r>
      <w:r w:rsidR="003576C0" w:rsidRPr="00851192">
        <w:rPr>
          <w:rFonts w:ascii="Arial" w:hAnsi="Arial" w:cs="Arial"/>
        </w:rPr>
        <w:t>all three GGO’s</w:t>
      </w:r>
      <w:r w:rsidR="00AF2F4E" w:rsidRPr="00851192">
        <w:rPr>
          <w:rFonts w:ascii="Arial" w:hAnsi="Arial" w:cs="Arial"/>
        </w:rPr>
        <w:t xml:space="preserve"> desired brand i</w:t>
      </w:r>
      <w:r w:rsidR="00824FB2" w:rsidRPr="00851192">
        <w:rPr>
          <w:rFonts w:ascii="Arial" w:hAnsi="Arial" w:cs="Arial"/>
        </w:rPr>
        <w:t xml:space="preserve">mage. </w:t>
      </w:r>
      <w:r w:rsidR="00955052" w:rsidRPr="00851192">
        <w:rPr>
          <w:rFonts w:ascii="Arial" w:hAnsi="Arial" w:cs="Arial"/>
        </w:rPr>
        <w:t>This</w:t>
      </w:r>
      <w:r w:rsidR="003576C0" w:rsidRPr="00851192">
        <w:rPr>
          <w:rFonts w:ascii="Arial" w:hAnsi="Arial" w:cs="Arial"/>
        </w:rPr>
        <w:t xml:space="preserve"> practice</w:t>
      </w:r>
      <w:r w:rsidR="00955052" w:rsidRPr="00851192">
        <w:rPr>
          <w:rFonts w:ascii="Arial" w:hAnsi="Arial" w:cs="Arial"/>
        </w:rPr>
        <w:t xml:space="preserve"> is</w:t>
      </w:r>
      <w:r w:rsidR="003576C0" w:rsidRPr="00851192">
        <w:rPr>
          <w:rFonts w:ascii="Arial" w:hAnsi="Arial" w:cs="Arial"/>
        </w:rPr>
        <w:t xml:space="preserve"> also</w:t>
      </w:r>
      <w:r w:rsidR="00955052" w:rsidRPr="00851192">
        <w:rPr>
          <w:rFonts w:ascii="Arial" w:hAnsi="Arial" w:cs="Arial"/>
        </w:rPr>
        <w:t xml:space="preserve"> significant</w:t>
      </w:r>
      <w:r w:rsidR="003576C0" w:rsidRPr="00851192">
        <w:rPr>
          <w:rFonts w:ascii="Arial" w:hAnsi="Arial" w:cs="Arial"/>
        </w:rPr>
        <w:t xml:space="preserve"> for GGO’s</w:t>
      </w:r>
      <w:r w:rsidR="00955052" w:rsidRPr="00851192">
        <w:rPr>
          <w:rFonts w:ascii="Arial" w:hAnsi="Arial" w:cs="Arial"/>
        </w:rPr>
        <w:t xml:space="preserve"> as Tracey (2014) suggests, corporate identity has a direct relationship with financial performance. </w:t>
      </w:r>
      <w:r w:rsidR="003576C0" w:rsidRPr="00851192">
        <w:rPr>
          <w:rFonts w:ascii="Arial" w:hAnsi="Arial" w:cs="Arial"/>
        </w:rPr>
        <w:t xml:space="preserve">The literature discovered such as Luo et al., (2017) ethical and responsible scale alongside Tata and </w:t>
      </w:r>
      <w:r w:rsidR="003576C0" w:rsidRPr="00851192">
        <w:rPr>
          <w:rFonts w:ascii="Arial" w:hAnsi="Arial" w:cs="Arial"/>
        </w:rPr>
        <w:lastRenderedPageBreak/>
        <w:t xml:space="preserve">Prasad’s (2015) conceptual model for CSR communication form as best practice for the researcher to evaluate this dissertations research question. </w:t>
      </w:r>
      <w:r w:rsidR="00CB6F08" w:rsidRPr="00851192">
        <w:rPr>
          <w:rFonts w:ascii="Arial" w:hAnsi="Arial" w:cs="Arial"/>
        </w:rPr>
        <w:t xml:space="preserve"> </w:t>
      </w:r>
    </w:p>
    <w:p w14:paraId="04703CE2" w14:textId="60DC558F" w:rsidR="003B74DC" w:rsidRPr="00851192" w:rsidRDefault="003B74DC" w:rsidP="003B74DC">
      <w:pPr>
        <w:spacing w:line="360" w:lineRule="auto"/>
        <w:jc w:val="both"/>
        <w:rPr>
          <w:rFonts w:ascii="Arial" w:hAnsi="Arial" w:cs="Arial"/>
        </w:rPr>
      </w:pPr>
    </w:p>
    <w:p w14:paraId="7FCB3646" w14:textId="31EE07C7" w:rsidR="003B74DC" w:rsidRPr="00851192" w:rsidRDefault="003B74DC" w:rsidP="003B74DC">
      <w:pPr>
        <w:spacing w:line="360" w:lineRule="auto"/>
        <w:jc w:val="both"/>
        <w:rPr>
          <w:rFonts w:ascii="Arial" w:hAnsi="Arial" w:cs="Arial"/>
        </w:rPr>
      </w:pPr>
    </w:p>
    <w:p w14:paraId="13AD29F3" w14:textId="752EFBC8" w:rsidR="003B74DC" w:rsidRPr="00851192" w:rsidRDefault="003B74DC" w:rsidP="003B74DC">
      <w:pPr>
        <w:spacing w:line="360" w:lineRule="auto"/>
        <w:jc w:val="both"/>
        <w:rPr>
          <w:rFonts w:ascii="Arial" w:hAnsi="Arial" w:cs="Arial"/>
        </w:rPr>
      </w:pPr>
    </w:p>
    <w:p w14:paraId="267E23D0" w14:textId="5030BBA7" w:rsidR="003B74DC" w:rsidRPr="00851192" w:rsidRDefault="003B74DC" w:rsidP="003B74DC">
      <w:pPr>
        <w:spacing w:line="360" w:lineRule="auto"/>
        <w:jc w:val="both"/>
        <w:rPr>
          <w:rFonts w:ascii="Arial" w:hAnsi="Arial" w:cs="Arial"/>
        </w:rPr>
      </w:pPr>
    </w:p>
    <w:p w14:paraId="789BCE61" w14:textId="0C4961D7" w:rsidR="003B74DC" w:rsidRPr="00851192" w:rsidRDefault="003B74DC" w:rsidP="003B74DC">
      <w:pPr>
        <w:spacing w:line="360" w:lineRule="auto"/>
        <w:jc w:val="both"/>
        <w:rPr>
          <w:rFonts w:ascii="Arial" w:hAnsi="Arial" w:cs="Arial"/>
        </w:rPr>
      </w:pPr>
    </w:p>
    <w:p w14:paraId="763B3FA8" w14:textId="5A0605F8" w:rsidR="003B74DC" w:rsidRPr="00851192" w:rsidRDefault="003B74DC" w:rsidP="003B74DC">
      <w:pPr>
        <w:spacing w:line="360" w:lineRule="auto"/>
        <w:jc w:val="both"/>
        <w:rPr>
          <w:rFonts w:ascii="Arial" w:hAnsi="Arial" w:cs="Arial"/>
        </w:rPr>
      </w:pPr>
    </w:p>
    <w:p w14:paraId="341FD156" w14:textId="43AEACB4" w:rsidR="003B74DC" w:rsidRPr="00851192" w:rsidRDefault="003B74DC" w:rsidP="003B74DC">
      <w:pPr>
        <w:spacing w:line="360" w:lineRule="auto"/>
        <w:jc w:val="both"/>
        <w:rPr>
          <w:rFonts w:ascii="Arial" w:hAnsi="Arial" w:cs="Arial"/>
        </w:rPr>
      </w:pPr>
    </w:p>
    <w:p w14:paraId="1F2454C7" w14:textId="4FD51289" w:rsidR="003B74DC" w:rsidRPr="00851192" w:rsidRDefault="003B74DC" w:rsidP="003B74DC">
      <w:pPr>
        <w:spacing w:line="360" w:lineRule="auto"/>
        <w:jc w:val="both"/>
        <w:rPr>
          <w:rFonts w:ascii="Arial" w:hAnsi="Arial" w:cs="Arial"/>
        </w:rPr>
      </w:pPr>
    </w:p>
    <w:p w14:paraId="3C34ED1C" w14:textId="55790EC2" w:rsidR="003B74DC" w:rsidRPr="00851192" w:rsidRDefault="003B74DC" w:rsidP="003B74DC">
      <w:pPr>
        <w:spacing w:line="360" w:lineRule="auto"/>
        <w:jc w:val="both"/>
        <w:rPr>
          <w:rFonts w:ascii="Arial" w:hAnsi="Arial" w:cs="Arial"/>
        </w:rPr>
      </w:pPr>
    </w:p>
    <w:p w14:paraId="2037FC2C" w14:textId="1ED1F9B4" w:rsidR="003B74DC" w:rsidRPr="00851192" w:rsidRDefault="003B74DC" w:rsidP="003B74DC">
      <w:pPr>
        <w:spacing w:line="360" w:lineRule="auto"/>
        <w:jc w:val="both"/>
        <w:rPr>
          <w:rFonts w:ascii="Arial" w:hAnsi="Arial" w:cs="Arial"/>
        </w:rPr>
      </w:pPr>
    </w:p>
    <w:p w14:paraId="7865406F" w14:textId="5F65DE8E" w:rsidR="003B74DC" w:rsidRPr="00851192" w:rsidRDefault="003B74DC" w:rsidP="003B74DC">
      <w:pPr>
        <w:spacing w:line="360" w:lineRule="auto"/>
        <w:jc w:val="both"/>
        <w:rPr>
          <w:rFonts w:ascii="Arial" w:hAnsi="Arial" w:cs="Arial"/>
        </w:rPr>
      </w:pPr>
    </w:p>
    <w:p w14:paraId="6217CDB8" w14:textId="463BE768" w:rsidR="003B74DC" w:rsidRPr="00851192" w:rsidRDefault="003B74DC" w:rsidP="003B74DC">
      <w:pPr>
        <w:spacing w:line="360" w:lineRule="auto"/>
        <w:jc w:val="both"/>
        <w:rPr>
          <w:rFonts w:ascii="Arial" w:hAnsi="Arial" w:cs="Arial"/>
        </w:rPr>
      </w:pPr>
    </w:p>
    <w:p w14:paraId="03295947" w14:textId="645299C2" w:rsidR="003B74DC" w:rsidRPr="00851192" w:rsidRDefault="003B74DC" w:rsidP="003B74DC">
      <w:pPr>
        <w:spacing w:line="360" w:lineRule="auto"/>
        <w:jc w:val="both"/>
        <w:rPr>
          <w:rFonts w:ascii="Arial" w:hAnsi="Arial" w:cs="Arial"/>
        </w:rPr>
      </w:pPr>
    </w:p>
    <w:p w14:paraId="4FE1A4AF" w14:textId="1E77AC10" w:rsidR="003B74DC" w:rsidRPr="00851192" w:rsidRDefault="003B74DC" w:rsidP="003B74DC">
      <w:pPr>
        <w:spacing w:line="360" w:lineRule="auto"/>
        <w:jc w:val="both"/>
        <w:rPr>
          <w:rFonts w:ascii="Arial" w:hAnsi="Arial" w:cs="Arial"/>
        </w:rPr>
      </w:pPr>
    </w:p>
    <w:p w14:paraId="70109729" w14:textId="4783E652" w:rsidR="003B74DC" w:rsidRPr="00851192" w:rsidRDefault="003B74DC" w:rsidP="003B74DC">
      <w:pPr>
        <w:spacing w:line="360" w:lineRule="auto"/>
        <w:jc w:val="both"/>
        <w:rPr>
          <w:rFonts w:ascii="Arial" w:hAnsi="Arial" w:cs="Arial"/>
        </w:rPr>
      </w:pPr>
    </w:p>
    <w:p w14:paraId="2A27BD52" w14:textId="5196AAFC" w:rsidR="003B74DC" w:rsidRPr="00851192" w:rsidRDefault="003B74DC" w:rsidP="003B74DC">
      <w:pPr>
        <w:spacing w:line="360" w:lineRule="auto"/>
        <w:jc w:val="both"/>
        <w:rPr>
          <w:rFonts w:ascii="Arial" w:hAnsi="Arial" w:cs="Arial"/>
        </w:rPr>
      </w:pPr>
    </w:p>
    <w:p w14:paraId="1C2A683B" w14:textId="21ED5B61" w:rsidR="003B74DC" w:rsidRPr="00851192" w:rsidRDefault="003B74DC" w:rsidP="003B74DC">
      <w:pPr>
        <w:spacing w:line="360" w:lineRule="auto"/>
        <w:jc w:val="both"/>
        <w:rPr>
          <w:rFonts w:ascii="Arial" w:hAnsi="Arial" w:cs="Arial"/>
        </w:rPr>
      </w:pPr>
    </w:p>
    <w:p w14:paraId="29D757B4" w14:textId="454C6876" w:rsidR="003B74DC" w:rsidRPr="00851192" w:rsidRDefault="003B74DC" w:rsidP="003B74DC">
      <w:pPr>
        <w:spacing w:line="360" w:lineRule="auto"/>
        <w:jc w:val="both"/>
        <w:rPr>
          <w:rFonts w:ascii="Arial" w:hAnsi="Arial" w:cs="Arial"/>
        </w:rPr>
      </w:pPr>
    </w:p>
    <w:p w14:paraId="1F504911" w14:textId="660FCE9D" w:rsidR="003B74DC" w:rsidRPr="00851192" w:rsidRDefault="003B74DC" w:rsidP="003B74DC">
      <w:pPr>
        <w:spacing w:line="360" w:lineRule="auto"/>
        <w:jc w:val="both"/>
        <w:rPr>
          <w:rFonts w:ascii="Arial" w:hAnsi="Arial" w:cs="Arial"/>
        </w:rPr>
      </w:pPr>
    </w:p>
    <w:p w14:paraId="07765B25" w14:textId="62934274" w:rsidR="003B74DC" w:rsidRPr="00851192" w:rsidRDefault="003B74DC" w:rsidP="003B74DC">
      <w:pPr>
        <w:spacing w:line="360" w:lineRule="auto"/>
        <w:jc w:val="both"/>
        <w:rPr>
          <w:rFonts w:ascii="Arial" w:hAnsi="Arial" w:cs="Arial"/>
        </w:rPr>
      </w:pPr>
    </w:p>
    <w:p w14:paraId="466935D4" w14:textId="4D42F01D" w:rsidR="003B74DC" w:rsidRPr="00851192" w:rsidRDefault="003B74DC" w:rsidP="003B74DC">
      <w:pPr>
        <w:spacing w:line="360" w:lineRule="auto"/>
        <w:jc w:val="both"/>
        <w:rPr>
          <w:rFonts w:ascii="Arial" w:hAnsi="Arial" w:cs="Arial"/>
        </w:rPr>
      </w:pPr>
    </w:p>
    <w:p w14:paraId="1C026A2B" w14:textId="77777777" w:rsidR="003B74DC" w:rsidRPr="00851192" w:rsidRDefault="003B74DC" w:rsidP="003B74DC">
      <w:pPr>
        <w:spacing w:line="360" w:lineRule="auto"/>
        <w:jc w:val="both"/>
        <w:rPr>
          <w:rFonts w:ascii="Arial" w:hAnsi="Arial" w:cs="Arial"/>
        </w:rPr>
      </w:pPr>
    </w:p>
    <w:p w14:paraId="7E5F36BE" w14:textId="3798D0CA" w:rsidR="00A23926" w:rsidRPr="00851192" w:rsidRDefault="00773869" w:rsidP="001A7D5E">
      <w:pPr>
        <w:pStyle w:val="Heading1"/>
        <w:rPr>
          <w:rFonts w:ascii="Arial" w:hAnsi="Arial" w:cs="Arial"/>
          <w:b/>
          <w:color w:val="auto"/>
        </w:rPr>
      </w:pPr>
      <w:r w:rsidRPr="00851192">
        <w:rPr>
          <w:rFonts w:ascii="Arial" w:hAnsi="Arial" w:cs="Arial"/>
          <w:b/>
          <w:color w:val="auto"/>
        </w:rPr>
        <w:lastRenderedPageBreak/>
        <w:t xml:space="preserve">          </w:t>
      </w:r>
      <w:bookmarkStart w:id="27" w:name="_Toc526434228"/>
      <w:r w:rsidR="00A23926" w:rsidRPr="00851192">
        <w:rPr>
          <w:rFonts w:ascii="Arial" w:hAnsi="Arial" w:cs="Arial"/>
          <w:b/>
          <w:color w:val="auto"/>
        </w:rPr>
        <w:t xml:space="preserve">Chapter </w:t>
      </w:r>
      <w:r w:rsidRPr="00851192">
        <w:rPr>
          <w:rFonts w:ascii="Arial" w:hAnsi="Arial" w:cs="Arial"/>
          <w:b/>
          <w:color w:val="auto"/>
        </w:rPr>
        <w:t>Three</w:t>
      </w:r>
      <w:bookmarkEnd w:id="27"/>
    </w:p>
    <w:p w14:paraId="454F0D0C" w14:textId="44098AFC" w:rsidR="001A7D5E" w:rsidRPr="00851192" w:rsidRDefault="001A7D5E" w:rsidP="001A7D5E">
      <w:pPr>
        <w:pStyle w:val="Heading1"/>
        <w:rPr>
          <w:rFonts w:ascii="Arial" w:hAnsi="Arial" w:cs="Arial"/>
          <w:color w:val="auto"/>
        </w:rPr>
      </w:pPr>
      <w:bookmarkStart w:id="28" w:name="_Toc526434229"/>
      <w:r w:rsidRPr="00851192">
        <w:rPr>
          <w:rFonts w:ascii="Arial" w:hAnsi="Arial" w:cs="Arial"/>
          <w:color w:val="auto"/>
        </w:rPr>
        <w:t>3.1 Introduction</w:t>
      </w:r>
      <w:bookmarkEnd w:id="28"/>
    </w:p>
    <w:p w14:paraId="1DE1A5B5" w14:textId="548F0FDF" w:rsidR="00BB0E2F" w:rsidRPr="00851192" w:rsidRDefault="00483464" w:rsidP="003B74DC">
      <w:pPr>
        <w:spacing w:line="360" w:lineRule="auto"/>
        <w:jc w:val="both"/>
        <w:rPr>
          <w:rFonts w:ascii="Arial" w:hAnsi="Arial" w:cs="Arial"/>
        </w:rPr>
      </w:pPr>
      <w:r w:rsidRPr="00851192">
        <w:rPr>
          <w:rFonts w:ascii="Arial" w:hAnsi="Arial" w:cs="Arial"/>
        </w:rPr>
        <w:t xml:space="preserve">The previous chapter demonstrated a comprehensive scope into CSR and CSR communication, highlighting the importance of the business function to an organisation. The previous chapter also demonstrated the gap in research regarding global PG. This chapter sets out to explore the method in evaluating CSR and CSR communication set out by </w:t>
      </w:r>
      <w:r w:rsidR="00AB7F68" w:rsidRPr="00851192">
        <w:rPr>
          <w:rFonts w:ascii="Arial" w:hAnsi="Arial" w:cs="Arial"/>
        </w:rPr>
        <w:t>GGO’s</w:t>
      </w:r>
      <w:r w:rsidRPr="00851192">
        <w:rPr>
          <w:rFonts w:ascii="Arial" w:hAnsi="Arial" w:cs="Arial"/>
        </w:rPr>
        <w:t xml:space="preserve"> alongside the process in ensuring the </w:t>
      </w:r>
      <w:r w:rsidR="00AB7F68" w:rsidRPr="00851192">
        <w:rPr>
          <w:rFonts w:ascii="Arial" w:hAnsi="Arial" w:cs="Arial"/>
        </w:rPr>
        <w:t>findings are</w:t>
      </w:r>
      <w:r w:rsidRPr="00851192">
        <w:rPr>
          <w:rFonts w:ascii="Arial" w:hAnsi="Arial" w:cs="Arial"/>
        </w:rPr>
        <w:t xml:space="preserve"> valid. </w:t>
      </w:r>
    </w:p>
    <w:p w14:paraId="0D7F2ABA" w14:textId="0F2D8F6B" w:rsidR="00792A6B" w:rsidRPr="00851192" w:rsidRDefault="005D51B6" w:rsidP="003B74DC">
      <w:pPr>
        <w:spacing w:line="360" w:lineRule="auto"/>
        <w:jc w:val="both"/>
        <w:rPr>
          <w:rFonts w:ascii="Arial" w:hAnsi="Arial" w:cs="Arial"/>
        </w:rPr>
      </w:pPr>
      <w:r w:rsidRPr="00851192">
        <w:rPr>
          <w:rFonts w:ascii="Arial" w:hAnsi="Arial" w:cs="Arial"/>
        </w:rPr>
        <w:t>A</w:t>
      </w:r>
      <w:r w:rsidR="00AB7F68" w:rsidRPr="00851192">
        <w:rPr>
          <w:rFonts w:ascii="Arial" w:hAnsi="Arial" w:cs="Arial"/>
        </w:rPr>
        <w:t>n</w:t>
      </w:r>
      <w:r w:rsidRPr="00851192">
        <w:rPr>
          <w:rFonts w:ascii="Arial" w:hAnsi="Arial" w:cs="Arial"/>
        </w:rPr>
        <w:t xml:space="preserve"> extensive literature review analysing the importance of CSR and CSR communication within the </w:t>
      </w:r>
      <w:r w:rsidR="00AD22E2" w:rsidRPr="00851192">
        <w:rPr>
          <w:rFonts w:ascii="Arial" w:hAnsi="Arial" w:cs="Arial"/>
        </w:rPr>
        <w:t>GGI</w:t>
      </w:r>
      <w:r w:rsidRPr="00851192">
        <w:rPr>
          <w:rFonts w:ascii="Arial" w:hAnsi="Arial" w:cs="Arial"/>
        </w:rPr>
        <w:t xml:space="preserve"> was achieved in the last chapter. Going forward, the researcher will be looking to achieve the remaining objectives</w:t>
      </w:r>
      <w:r w:rsidR="00792A6B" w:rsidRPr="00851192">
        <w:rPr>
          <w:rFonts w:ascii="Arial" w:hAnsi="Arial" w:cs="Arial"/>
        </w:rPr>
        <w:t>;</w:t>
      </w:r>
    </w:p>
    <w:p w14:paraId="5347FBF2" w14:textId="77777777" w:rsidR="00792A6B" w:rsidRPr="00851192" w:rsidRDefault="00792A6B" w:rsidP="00792A6B">
      <w:pPr>
        <w:pStyle w:val="ListParagraph"/>
        <w:numPr>
          <w:ilvl w:val="0"/>
          <w:numId w:val="26"/>
        </w:numPr>
        <w:rPr>
          <w:rFonts w:ascii="Arial" w:hAnsi="Arial" w:cs="Arial"/>
        </w:rPr>
      </w:pPr>
      <w:r w:rsidRPr="00851192">
        <w:rPr>
          <w:rFonts w:ascii="Arial" w:hAnsi="Arial" w:cs="Arial"/>
        </w:rPr>
        <w:t>To critically evaluate the importance of CSR and CSR communication within the global gambling industry through conducting a content analysis.</w:t>
      </w:r>
      <w:r w:rsidRPr="00851192">
        <w:rPr>
          <w:rFonts w:ascii="Arial" w:hAnsi="Arial" w:cs="Arial"/>
        </w:rPr>
        <w:br/>
      </w:r>
    </w:p>
    <w:p w14:paraId="49E75687" w14:textId="77777777" w:rsidR="00AB69C2" w:rsidRPr="00851192" w:rsidRDefault="00AB69C2" w:rsidP="00AB69C2">
      <w:pPr>
        <w:pStyle w:val="ListParagraph"/>
        <w:numPr>
          <w:ilvl w:val="0"/>
          <w:numId w:val="26"/>
        </w:numPr>
        <w:rPr>
          <w:rFonts w:ascii="Arial" w:hAnsi="Arial" w:cs="Arial"/>
        </w:rPr>
      </w:pPr>
      <w:r w:rsidRPr="00851192">
        <w:rPr>
          <w:rFonts w:ascii="Arial" w:hAnsi="Arial" w:cs="Arial"/>
        </w:rPr>
        <w:t>To critically analyse gamblers opinions of CSR and CSR communication commitments by global gambling operators.</w:t>
      </w:r>
    </w:p>
    <w:p w14:paraId="2D6A6C23" w14:textId="333F9115" w:rsidR="00DD6A17" w:rsidRPr="00851192" w:rsidRDefault="001A7D5E" w:rsidP="001A7D5E">
      <w:pPr>
        <w:pStyle w:val="Heading1"/>
        <w:rPr>
          <w:rFonts w:ascii="Arial" w:hAnsi="Arial" w:cs="Arial"/>
          <w:color w:val="auto"/>
        </w:rPr>
      </w:pPr>
      <w:bookmarkStart w:id="29" w:name="_Toc526434230"/>
      <w:r w:rsidRPr="00851192">
        <w:rPr>
          <w:rFonts w:ascii="Arial" w:hAnsi="Arial" w:cs="Arial"/>
          <w:color w:val="auto"/>
        </w:rPr>
        <w:t>3.</w:t>
      </w:r>
      <w:r w:rsidR="00792A6B" w:rsidRPr="00851192">
        <w:rPr>
          <w:rFonts w:ascii="Arial" w:hAnsi="Arial" w:cs="Arial"/>
          <w:color w:val="auto"/>
        </w:rPr>
        <w:t>2</w:t>
      </w:r>
      <w:r w:rsidRPr="00851192">
        <w:rPr>
          <w:rFonts w:ascii="Arial" w:hAnsi="Arial" w:cs="Arial"/>
          <w:color w:val="auto"/>
        </w:rPr>
        <w:t xml:space="preserve"> </w:t>
      </w:r>
      <w:r w:rsidR="00A23926" w:rsidRPr="00851192">
        <w:rPr>
          <w:rFonts w:ascii="Arial" w:hAnsi="Arial" w:cs="Arial"/>
          <w:color w:val="auto"/>
        </w:rPr>
        <w:t>Research Context</w:t>
      </w:r>
      <w:bookmarkEnd w:id="29"/>
      <w:r w:rsidR="00A01554" w:rsidRPr="00851192">
        <w:rPr>
          <w:rFonts w:ascii="Arial" w:hAnsi="Arial" w:cs="Arial"/>
          <w:color w:val="auto"/>
        </w:rPr>
        <w:t xml:space="preserve"> </w:t>
      </w:r>
    </w:p>
    <w:p w14:paraId="07231E83" w14:textId="05946472" w:rsidR="00F533A2" w:rsidRPr="00851192" w:rsidRDefault="00493236" w:rsidP="003B74DC">
      <w:pPr>
        <w:spacing w:line="360" w:lineRule="auto"/>
        <w:jc w:val="both"/>
        <w:rPr>
          <w:rFonts w:ascii="Arial" w:hAnsi="Arial" w:cs="Arial"/>
        </w:rPr>
      </w:pPr>
      <w:r w:rsidRPr="00851192">
        <w:rPr>
          <w:rFonts w:ascii="Arial" w:hAnsi="Arial" w:cs="Arial"/>
        </w:rPr>
        <w:t>The research method of the dissertation is appropriate for achieving the remaining objectives set. The method,</w:t>
      </w:r>
      <w:r w:rsidR="00F71815" w:rsidRPr="00851192">
        <w:rPr>
          <w:rFonts w:ascii="Arial" w:hAnsi="Arial" w:cs="Arial"/>
        </w:rPr>
        <w:t xml:space="preserve"> a </w:t>
      </w:r>
      <w:r w:rsidR="00C16A06" w:rsidRPr="00851192">
        <w:rPr>
          <w:rFonts w:ascii="Arial" w:hAnsi="Arial" w:cs="Arial"/>
        </w:rPr>
        <w:t xml:space="preserve">pragmatic </w:t>
      </w:r>
      <w:r w:rsidR="00F71815" w:rsidRPr="00851192">
        <w:rPr>
          <w:rFonts w:ascii="Arial" w:hAnsi="Arial" w:cs="Arial"/>
        </w:rPr>
        <w:t>mixed methods approach</w:t>
      </w:r>
      <w:r w:rsidRPr="00851192">
        <w:rPr>
          <w:rFonts w:ascii="Arial" w:hAnsi="Arial" w:cs="Arial"/>
        </w:rPr>
        <w:t>,</w:t>
      </w:r>
      <w:r w:rsidR="00F71815" w:rsidRPr="00851192">
        <w:rPr>
          <w:rFonts w:ascii="Arial" w:hAnsi="Arial" w:cs="Arial"/>
        </w:rPr>
        <w:t xml:space="preserve"> </w:t>
      </w:r>
      <w:r w:rsidRPr="00851192">
        <w:rPr>
          <w:rFonts w:ascii="Arial" w:hAnsi="Arial" w:cs="Arial"/>
        </w:rPr>
        <w:t xml:space="preserve">was </w:t>
      </w:r>
      <w:r w:rsidR="00F71815" w:rsidRPr="00851192">
        <w:rPr>
          <w:rFonts w:ascii="Arial" w:hAnsi="Arial" w:cs="Arial"/>
        </w:rPr>
        <w:t>sequential</w:t>
      </w:r>
      <w:r w:rsidR="00C16A06" w:rsidRPr="00851192">
        <w:rPr>
          <w:rFonts w:ascii="Arial" w:hAnsi="Arial" w:cs="Arial"/>
        </w:rPr>
        <w:t xml:space="preserve"> </w:t>
      </w:r>
      <w:r w:rsidRPr="00851192">
        <w:rPr>
          <w:rFonts w:ascii="Arial" w:hAnsi="Arial" w:cs="Arial"/>
        </w:rPr>
        <w:t>throughout</w:t>
      </w:r>
      <w:r w:rsidR="00C16A06" w:rsidRPr="00851192">
        <w:rPr>
          <w:rFonts w:ascii="Arial" w:hAnsi="Arial" w:cs="Arial"/>
        </w:rPr>
        <w:t xml:space="preserve"> the study</w:t>
      </w:r>
      <w:r w:rsidRPr="00851192">
        <w:rPr>
          <w:rFonts w:ascii="Arial" w:hAnsi="Arial" w:cs="Arial"/>
        </w:rPr>
        <w:t>.</w:t>
      </w:r>
      <w:r w:rsidR="00F71815" w:rsidRPr="00851192">
        <w:rPr>
          <w:rFonts w:ascii="Arial" w:hAnsi="Arial" w:cs="Arial"/>
        </w:rPr>
        <w:t xml:space="preserve"> </w:t>
      </w:r>
      <w:r w:rsidRPr="00851192">
        <w:rPr>
          <w:rFonts w:ascii="Arial" w:hAnsi="Arial" w:cs="Arial"/>
        </w:rPr>
        <w:t>T</w:t>
      </w:r>
      <w:r w:rsidR="00F71815" w:rsidRPr="00851192">
        <w:rPr>
          <w:rFonts w:ascii="Arial" w:hAnsi="Arial" w:cs="Arial"/>
        </w:rPr>
        <w:t xml:space="preserve">he researcher </w:t>
      </w:r>
      <w:r w:rsidRPr="00851192">
        <w:rPr>
          <w:rFonts w:ascii="Arial" w:hAnsi="Arial" w:cs="Arial"/>
        </w:rPr>
        <w:t>conducted</w:t>
      </w:r>
      <w:r w:rsidR="00F71815" w:rsidRPr="00851192">
        <w:rPr>
          <w:rFonts w:ascii="Arial" w:hAnsi="Arial" w:cs="Arial"/>
        </w:rPr>
        <w:t xml:space="preserve"> a content analysis around key </w:t>
      </w:r>
      <w:r w:rsidRPr="00851192">
        <w:rPr>
          <w:rFonts w:ascii="Arial" w:hAnsi="Arial" w:cs="Arial"/>
        </w:rPr>
        <w:t>resources</w:t>
      </w:r>
      <w:r w:rsidR="00A57619" w:rsidRPr="00851192">
        <w:rPr>
          <w:rFonts w:ascii="Arial" w:hAnsi="Arial" w:cs="Arial"/>
        </w:rPr>
        <w:t xml:space="preserve"> such as publicised annual reports and online platforms, providing evidence and opportunity for CSR and CSR communication to be evaluated.</w:t>
      </w:r>
      <w:r w:rsidR="00F71815" w:rsidRPr="00851192">
        <w:rPr>
          <w:rFonts w:ascii="Arial" w:hAnsi="Arial" w:cs="Arial"/>
        </w:rPr>
        <w:t xml:space="preserve"> </w:t>
      </w:r>
      <w:r w:rsidR="00A57619" w:rsidRPr="00851192">
        <w:rPr>
          <w:rFonts w:ascii="Arial" w:hAnsi="Arial" w:cs="Arial"/>
        </w:rPr>
        <w:t>Once analysed and evaluated, the research could effectively shape and conduct an online survey which would evaluate whether commitments by GGO</w:t>
      </w:r>
      <w:r w:rsidR="00AB69C2" w:rsidRPr="00851192">
        <w:rPr>
          <w:rFonts w:ascii="Arial" w:hAnsi="Arial" w:cs="Arial"/>
        </w:rPr>
        <w:t>’s</w:t>
      </w:r>
      <w:r w:rsidR="00A57619" w:rsidRPr="00851192">
        <w:rPr>
          <w:rFonts w:ascii="Arial" w:hAnsi="Arial" w:cs="Arial"/>
        </w:rPr>
        <w:t xml:space="preserve"> were reinforced on the evaluation made by participants. Thus, this would provide the researcher </w:t>
      </w:r>
      <w:r w:rsidR="00AB69C2" w:rsidRPr="00851192">
        <w:rPr>
          <w:rFonts w:ascii="Arial" w:hAnsi="Arial" w:cs="Arial"/>
        </w:rPr>
        <w:t xml:space="preserve">an opportunity </w:t>
      </w:r>
      <w:r w:rsidR="00A57619" w:rsidRPr="00851192">
        <w:rPr>
          <w:rFonts w:ascii="Arial" w:hAnsi="Arial" w:cs="Arial"/>
        </w:rPr>
        <w:t xml:space="preserve">to evaluate whether Freeman (1984) concept on CSR is </w:t>
      </w:r>
      <w:r w:rsidR="00AB69C2" w:rsidRPr="00851192">
        <w:rPr>
          <w:rFonts w:ascii="Arial" w:hAnsi="Arial" w:cs="Arial"/>
        </w:rPr>
        <w:t>adopted</w:t>
      </w:r>
      <w:r w:rsidR="00A57619" w:rsidRPr="00851192">
        <w:rPr>
          <w:rFonts w:ascii="Arial" w:hAnsi="Arial" w:cs="Arial"/>
        </w:rPr>
        <w:t xml:space="preserve"> by GGO’s, or whether Goffman (1959) theory on behaviour is reinforced. This would provide the researcher to critically analyse the importance and value of CSR and CSR communication by GGO’s. </w:t>
      </w:r>
    </w:p>
    <w:p w14:paraId="5C22BBFA" w14:textId="5B83D4CE" w:rsidR="00A23926" w:rsidRPr="00851192" w:rsidRDefault="001A7D5E" w:rsidP="001A7D5E">
      <w:pPr>
        <w:pStyle w:val="Heading1"/>
        <w:rPr>
          <w:rFonts w:ascii="Arial" w:hAnsi="Arial" w:cs="Arial"/>
          <w:color w:val="auto"/>
        </w:rPr>
      </w:pPr>
      <w:bookmarkStart w:id="30" w:name="_Toc526434231"/>
      <w:r w:rsidRPr="00851192">
        <w:rPr>
          <w:rFonts w:ascii="Arial" w:hAnsi="Arial" w:cs="Arial"/>
          <w:color w:val="auto"/>
        </w:rPr>
        <w:t>3.</w:t>
      </w:r>
      <w:r w:rsidR="00C019D2" w:rsidRPr="00851192">
        <w:rPr>
          <w:rFonts w:ascii="Arial" w:hAnsi="Arial" w:cs="Arial"/>
          <w:color w:val="auto"/>
        </w:rPr>
        <w:t>3</w:t>
      </w:r>
      <w:r w:rsidRPr="00851192">
        <w:rPr>
          <w:rFonts w:ascii="Arial" w:hAnsi="Arial" w:cs="Arial"/>
          <w:color w:val="auto"/>
        </w:rPr>
        <w:t xml:space="preserve"> </w:t>
      </w:r>
      <w:r w:rsidR="00A23926" w:rsidRPr="00851192">
        <w:rPr>
          <w:rFonts w:ascii="Arial" w:hAnsi="Arial" w:cs="Arial"/>
          <w:color w:val="auto"/>
        </w:rPr>
        <w:t>Epistemology</w:t>
      </w:r>
      <w:bookmarkEnd w:id="30"/>
    </w:p>
    <w:p w14:paraId="7D1A6A3F" w14:textId="334F4E16" w:rsidR="006D5B64" w:rsidRPr="00851192" w:rsidRDefault="003051B3" w:rsidP="003B74DC">
      <w:pPr>
        <w:spacing w:line="360" w:lineRule="auto"/>
        <w:jc w:val="both"/>
        <w:rPr>
          <w:rFonts w:ascii="Arial" w:hAnsi="Arial" w:cs="Arial"/>
        </w:rPr>
      </w:pPr>
      <w:r w:rsidRPr="00851192">
        <w:rPr>
          <w:rFonts w:ascii="Arial" w:hAnsi="Arial" w:cs="Arial"/>
        </w:rPr>
        <w:t xml:space="preserve">Adapted and applied from </w:t>
      </w:r>
      <w:proofErr w:type="spellStart"/>
      <w:r w:rsidRPr="00851192">
        <w:rPr>
          <w:rFonts w:ascii="Arial" w:hAnsi="Arial" w:cs="Arial"/>
        </w:rPr>
        <w:t>Rubels</w:t>
      </w:r>
      <w:proofErr w:type="spellEnd"/>
      <w:r w:rsidRPr="00851192">
        <w:rPr>
          <w:rFonts w:ascii="Arial" w:hAnsi="Arial" w:cs="Arial"/>
        </w:rPr>
        <w:t xml:space="preserve"> (2006), e</w:t>
      </w:r>
      <w:r w:rsidR="00F84778" w:rsidRPr="00851192">
        <w:rPr>
          <w:rFonts w:ascii="Arial" w:hAnsi="Arial" w:cs="Arial"/>
        </w:rPr>
        <w:t xml:space="preserve">pistemology is an important value and factor </w:t>
      </w:r>
      <w:r w:rsidR="008F057A" w:rsidRPr="00851192">
        <w:rPr>
          <w:rFonts w:ascii="Arial" w:hAnsi="Arial" w:cs="Arial"/>
        </w:rPr>
        <w:t xml:space="preserve">to recognise </w:t>
      </w:r>
      <w:r w:rsidR="00F84778" w:rsidRPr="00851192">
        <w:rPr>
          <w:rFonts w:ascii="Arial" w:hAnsi="Arial" w:cs="Arial"/>
        </w:rPr>
        <w:t>within the dissertation. Firstly</w:t>
      </w:r>
      <w:r w:rsidR="0058044A" w:rsidRPr="00851192">
        <w:rPr>
          <w:rFonts w:ascii="Arial" w:hAnsi="Arial" w:cs="Arial"/>
        </w:rPr>
        <w:t>,</w:t>
      </w:r>
      <w:r w:rsidR="00F84778" w:rsidRPr="00851192">
        <w:rPr>
          <w:rFonts w:ascii="Arial" w:hAnsi="Arial" w:cs="Arial"/>
        </w:rPr>
        <w:t xml:space="preserve"> to understand the meaning behind the concept, epistemology is the theory of knowledge regarding the method, validity and scope within a research alongside identifying the distinction within results between set beliefs (</w:t>
      </w:r>
      <w:r w:rsidR="00F84778" w:rsidRPr="00851192">
        <w:rPr>
          <w:rFonts w:ascii="Arial" w:hAnsi="Arial" w:cs="Arial"/>
          <w:i/>
        </w:rPr>
        <w:t>statements and actions accountable by global gambling operators</w:t>
      </w:r>
      <w:r w:rsidR="00F84778" w:rsidRPr="00851192">
        <w:rPr>
          <w:rFonts w:ascii="Arial" w:hAnsi="Arial" w:cs="Arial"/>
        </w:rPr>
        <w:t>)</w:t>
      </w:r>
      <w:r w:rsidR="008F057A" w:rsidRPr="00851192">
        <w:rPr>
          <w:rFonts w:ascii="Arial" w:hAnsi="Arial" w:cs="Arial"/>
        </w:rPr>
        <w:t>,</w:t>
      </w:r>
      <w:r w:rsidR="00F84778" w:rsidRPr="00851192">
        <w:rPr>
          <w:rFonts w:ascii="Arial" w:hAnsi="Arial" w:cs="Arial"/>
        </w:rPr>
        <w:t xml:space="preserve"> and opinion (</w:t>
      </w:r>
      <w:r w:rsidR="00F84778" w:rsidRPr="00851192">
        <w:rPr>
          <w:rFonts w:ascii="Arial" w:hAnsi="Arial" w:cs="Arial"/>
          <w:i/>
        </w:rPr>
        <w:t>interpretation of public views and values towards global gambling operators means of CSR communication</w:t>
      </w:r>
      <w:r w:rsidR="00F84778" w:rsidRPr="00851192">
        <w:rPr>
          <w:rFonts w:ascii="Arial" w:hAnsi="Arial" w:cs="Arial"/>
        </w:rPr>
        <w:t>)</w:t>
      </w:r>
      <w:r w:rsidRPr="00851192">
        <w:rPr>
          <w:rFonts w:ascii="Arial" w:hAnsi="Arial" w:cs="Arial"/>
        </w:rPr>
        <w:t xml:space="preserve">. </w:t>
      </w:r>
      <w:r w:rsidR="006D5B64" w:rsidRPr="00851192">
        <w:rPr>
          <w:rFonts w:ascii="Arial" w:hAnsi="Arial" w:cs="Arial"/>
        </w:rPr>
        <w:t xml:space="preserve">It is also </w:t>
      </w:r>
      <w:r w:rsidR="006D5B64" w:rsidRPr="00851192">
        <w:rPr>
          <w:rFonts w:ascii="Arial" w:hAnsi="Arial" w:cs="Arial"/>
        </w:rPr>
        <w:lastRenderedPageBreak/>
        <w:t xml:space="preserve">important to note that the dissertation does not solve the problem of PG but does contribute to a greater understanding which is a contribution to problem solving. </w:t>
      </w:r>
    </w:p>
    <w:p w14:paraId="264BEF97" w14:textId="4F617F5B" w:rsidR="00F84778" w:rsidRPr="00851192" w:rsidRDefault="00022F3C" w:rsidP="003B74DC">
      <w:pPr>
        <w:spacing w:line="360" w:lineRule="auto"/>
        <w:jc w:val="both"/>
        <w:rPr>
          <w:rFonts w:ascii="Arial" w:hAnsi="Arial" w:cs="Arial"/>
        </w:rPr>
      </w:pPr>
      <w:r w:rsidRPr="00851192">
        <w:rPr>
          <w:rFonts w:ascii="Arial" w:hAnsi="Arial" w:cs="Arial"/>
        </w:rPr>
        <w:t>For the purposes of the dissertation, it was important to understand</w:t>
      </w:r>
      <w:r w:rsidR="00973DF8" w:rsidRPr="00851192">
        <w:rPr>
          <w:rFonts w:ascii="Arial" w:hAnsi="Arial" w:cs="Arial"/>
        </w:rPr>
        <w:t xml:space="preserve"> and factor </w:t>
      </w:r>
      <w:r w:rsidR="00AB69C2" w:rsidRPr="00851192">
        <w:rPr>
          <w:rFonts w:ascii="Arial" w:hAnsi="Arial" w:cs="Arial"/>
        </w:rPr>
        <w:t>within</w:t>
      </w:r>
      <w:r w:rsidR="00973DF8" w:rsidRPr="00851192">
        <w:rPr>
          <w:rFonts w:ascii="Arial" w:hAnsi="Arial" w:cs="Arial"/>
        </w:rPr>
        <w:t xml:space="preserve"> </w:t>
      </w:r>
      <w:r w:rsidR="00AB69C2" w:rsidRPr="00851192">
        <w:rPr>
          <w:rFonts w:ascii="Arial" w:hAnsi="Arial" w:cs="Arial"/>
        </w:rPr>
        <w:t xml:space="preserve">of </w:t>
      </w:r>
      <w:r w:rsidR="00973DF8" w:rsidRPr="00851192">
        <w:rPr>
          <w:rFonts w:ascii="Arial" w:hAnsi="Arial" w:cs="Arial"/>
        </w:rPr>
        <w:t>the analys</w:t>
      </w:r>
      <w:r w:rsidR="00AB69C2" w:rsidRPr="00851192">
        <w:rPr>
          <w:rFonts w:ascii="Arial" w:hAnsi="Arial" w:cs="Arial"/>
        </w:rPr>
        <w:t>i</w:t>
      </w:r>
      <w:r w:rsidR="00973DF8" w:rsidRPr="00851192">
        <w:rPr>
          <w:rFonts w:ascii="Arial" w:hAnsi="Arial" w:cs="Arial"/>
        </w:rPr>
        <w:t>s of</w:t>
      </w:r>
      <w:r w:rsidR="00AB69C2" w:rsidRPr="00851192">
        <w:rPr>
          <w:rFonts w:ascii="Arial" w:hAnsi="Arial" w:cs="Arial"/>
        </w:rPr>
        <w:t xml:space="preserve"> the</w:t>
      </w:r>
      <w:r w:rsidR="00973DF8" w:rsidRPr="00851192">
        <w:rPr>
          <w:rFonts w:ascii="Arial" w:hAnsi="Arial" w:cs="Arial"/>
        </w:rPr>
        <w:t xml:space="preserve"> content analys</w:t>
      </w:r>
      <w:r w:rsidR="00AB69C2" w:rsidRPr="00851192">
        <w:rPr>
          <w:rFonts w:ascii="Arial" w:hAnsi="Arial" w:cs="Arial"/>
        </w:rPr>
        <w:t>es</w:t>
      </w:r>
      <w:r w:rsidR="006D5B64" w:rsidRPr="00851192">
        <w:rPr>
          <w:rFonts w:ascii="Arial" w:hAnsi="Arial" w:cs="Arial"/>
        </w:rPr>
        <w:t xml:space="preserve"> </w:t>
      </w:r>
      <w:r w:rsidRPr="00851192">
        <w:rPr>
          <w:rFonts w:ascii="Arial" w:hAnsi="Arial" w:cs="Arial"/>
        </w:rPr>
        <w:t>the environment</w:t>
      </w:r>
      <w:r w:rsidR="009A1EC8" w:rsidRPr="00851192">
        <w:rPr>
          <w:rFonts w:ascii="Arial" w:hAnsi="Arial" w:cs="Arial"/>
        </w:rPr>
        <w:t xml:space="preserve"> that</w:t>
      </w:r>
      <w:r w:rsidRPr="00851192">
        <w:rPr>
          <w:rFonts w:ascii="Arial" w:hAnsi="Arial" w:cs="Arial"/>
        </w:rPr>
        <w:t xml:space="preserve"> </w:t>
      </w:r>
      <w:r w:rsidR="00660248" w:rsidRPr="00851192">
        <w:rPr>
          <w:rFonts w:ascii="Arial" w:hAnsi="Arial" w:cs="Arial"/>
        </w:rPr>
        <w:t xml:space="preserve">GGO’s </w:t>
      </w:r>
      <w:r w:rsidRPr="00851192">
        <w:rPr>
          <w:rFonts w:ascii="Arial" w:hAnsi="Arial" w:cs="Arial"/>
        </w:rPr>
        <w:t>operate</w:t>
      </w:r>
      <w:r w:rsidR="00660248" w:rsidRPr="00851192">
        <w:rPr>
          <w:rFonts w:ascii="Arial" w:hAnsi="Arial" w:cs="Arial"/>
        </w:rPr>
        <w:t xml:space="preserve"> </w:t>
      </w:r>
      <w:r w:rsidR="009A1EC8" w:rsidRPr="00851192">
        <w:rPr>
          <w:rFonts w:ascii="Arial" w:hAnsi="Arial" w:cs="Arial"/>
        </w:rPr>
        <w:t>within</w:t>
      </w:r>
      <w:r w:rsidR="00AB69C2" w:rsidRPr="00851192">
        <w:rPr>
          <w:rFonts w:ascii="Arial" w:hAnsi="Arial" w:cs="Arial"/>
        </w:rPr>
        <w:t xml:space="preserve">. These factors or </w:t>
      </w:r>
      <w:proofErr w:type="gramStart"/>
      <w:r w:rsidR="00AB69C2" w:rsidRPr="00851192">
        <w:rPr>
          <w:rFonts w:ascii="Arial" w:hAnsi="Arial" w:cs="Arial"/>
        </w:rPr>
        <w:t xml:space="preserve">influences </w:t>
      </w:r>
      <w:r w:rsidR="009A1EC8" w:rsidRPr="00851192">
        <w:rPr>
          <w:rFonts w:ascii="Arial" w:hAnsi="Arial" w:cs="Arial"/>
        </w:rPr>
        <w:t xml:space="preserve"> </w:t>
      </w:r>
      <w:r w:rsidR="00D34DEB" w:rsidRPr="00851192">
        <w:rPr>
          <w:rFonts w:ascii="Arial" w:hAnsi="Arial" w:cs="Arial"/>
        </w:rPr>
        <w:t>are</w:t>
      </w:r>
      <w:proofErr w:type="gramEnd"/>
      <w:r w:rsidR="00D34DEB" w:rsidRPr="00851192">
        <w:rPr>
          <w:rFonts w:ascii="Arial" w:hAnsi="Arial" w:cs="Arial"/>
        </w:rPr>
        <w:t xml:space="preserve"> </w:t>
      </w:r>
      <w:r w:rsidR="00AB69C2" w:rsidRPr="00851192">
        <w:rPr>
          <w:rFonts w:ascii="Arial" w:hAnsi="Arial" w:cs="Arial"/>
        </w:rPr>
        <w:t>those</w:t>
      </w:r>
      <w:r w:rsidR="00D34DEB" w:rsidRPr="00851192">
        <w:rPr>
          <w:rFonts w:ascii="Arial" w:hAnsi="Arial" w:cs="Arial"/>
        </w:rPr>
        <w:t xml:space="preserve"> </w:t>
      </w:r>
      <w:r w:rsidR="009A1EC8" w:rsidRPr="00851192">
        <w:rPr>
          <w:rFonts w:ascii="Arial" w:hAnsi="Arial" w:cs="Arial"/>
        </w:rPr>
        <w:t xml:space="preserve">such as; </w:t>
      </w:r>
      <w:r w:rsidR="00660248" w:rsidRPr="00851192">
        <w:rPr>
          <w:rFonts w:ascii="Arial" w:hAnsi="Arial" w:cs="Arial"/>
        </w:rPr>
        <w:t>societal needs</w:t>
      </w:r>
      <w:r w:rsidR="009A1EC8" w:rsidRPr="00851192">
        <w:rPr>
          <w:rFonts w:ascii="Arial" w:hAnsi="Arial" w:cs="Arial"/>
        </w:rPr>
        <w:t>, political governance,</w:t>
      </w:r>
      <w:r w:rsidR="00660248" w:rsidRPr="00851192">
        <w:rPr>
          <w:rFonts w:ascii="Arial" w:hAnsi="Arial" w:cs="Arial"/>
        </w:rPr>
        <w:t xml:space="preserve"> and expectations</w:t>
      </w:r>
      <w:r w:rsidR="00D34DEB" w:rsidRPr="00851192">
        <w:rPr>
          <w:rFonts w:ascii="Arial" w:hAnsi="Arial" w:cs="Arial"/>
        </w:rPr>
        <w:t xml:space="preserve"> as </w:t>
      </w:r>
      <w:r w:rsidR="00AB69C2" w:rsidRPr="00851192">
        <w:rPr>
          <w:rFonts w:ascii="Arial" w:hAnsi="Arial" w:cs="Arial"/>
        </w:rPr>
        <w:t>previously highlighted</w:t>
      </w:r>
      <w:r w:rsidR="00D34DEB" w:rsidRPr="00851192">
        <w:rPr>
          <w:rFonts w:ascii="Arial" w:hAnsi="Arial" w:cs="Arial"/>
        </w:rPr>
        <w:t xml:space="preserve"> by </w:t>
      </w:r>
      <w:r w:rsidR="00D34DEB" w:rsidRPr="00851192">
        <w:rPr>
          <w:rFonts w:ascii="Arial" w:hAnsi="Arial" w:cs="Arial"/>
          <w:noProof/>
        </w:rPr>
        <w:t xml:space="preserve">Hunziker (2016), charitable groups </w:t>
      </w:r>
      <w:sdt>
        <w:sdtPr>
          <w:rPr>
            <w:rFonts w:ascii="Arial" w:hAnsi="Arial" w:cs="Arial"/>
            <w:noProof/>
          </w:rPr>
          <w:id w:val="-159857387"/>
          <w:citation/>
        </w:sdtPr>
        <w:sdtEndPr/>
        <w:sdtContent>
          <w:r w:rsidR="00D34DEB" w:rsidRPr="00851192">
            <w:rPr>
              <w:rFonts w:ascii="Arial" w:hAnsi="Arial" w:cs="Arial"/>
              <w:noProof/>
            </w:rPr>
            <w:fldChar w:fldCharType="begin"/>
          </w:r>
          <w:r w:rsidR="00D34DEB" w:rsidRPr="00851192">
            <w:rPr>
              <w:rFonts w:ascii="Arial" w:hAnsi="Arial" w:cs="Arial"/>
              <w:noProof/>
            </w:rPr>
            <w:instrText xml:space="preserve"> CITATION Wil18 \l 2057 </w:instrText>
          </w:r>
          <w:r w:rsidR="00D34DEB" w:rsidRPr="00851192">
            <w:rPr>
              <w:rFonts w:ascii="Arial" w:hAnsi="Arial" w:cs="Arial"/>
              <w:noProof/>
            </w:rPr>
            <w:fldChar w:fldCharType="separate"/>
          </w:r>
          <w:r w:rsidR="002D17EA" w:rsidRPr="00851192">
            <w:rPr>
              <w:rFonts w:ascii="Arial" w:hAnsi="Arial" w:cs="Arial"/>
              <w:noProof/>
            </w:rPr>
            <w:t>(Wilmot, 2018)</w:t>
          </w:r>
          <w:r w:rsidR="00D34DEB" w:rsidRPr="00851192">
            <w:rPr>
              <w:rFonts w:ascii="Arial" w:hAnsi="Arial" w:cs="Arial"/>
              <w:noProof/>
            </w:rPr>
            <w:fldChar w:fldCharType="end"/>
          </w:r>
        </w:sdtContent>
      </w:sdt>
      <w:r w:rsidR="00AE453B" w:rsidRPr="00851192">
        <w:rPr>
          <w:rFonts w:ascii="Arial" w:hAnsi="Arial" w:cs="Arial"/>
          <w:noProof/>
        </w:rPr>
        <w:t>,</w:t>
      </w:r>
      <w:r w:rsidR="00D34DEB" w:rsidRPr="00851192">
        <w:rPr>
          <w:rFonts w:ascii="Arial" w:hAnsi="Arial" w:cs="Arial"/>
          <w:noProof/>
        </w:rPr>
        <w:t xml:space="preserve"> and political case studies such as Kenya </w:t>
      </w:r>
      <w:sdt>
        <w:sdtPr>
          <w:rPr>
            <w:rFonts w:ascii="Arial" w:hAnsi="Arial" w:cs="Arial"/>
            <w:noProof/>
          </w:rPr>
          <w:id w:val="-1257982581"/>
          <w:citation/>
        </w:sdtPr>
        <w:sdtEndPr/>
        <w:sdtContent>
          <w:r w:rsidR="00D34DEB" w:rsidRPr="00851192">
            <w:rPr>
              <w:rFonts w:ascii="Arial" w:hAnsi="Arial" w:cs="Arial"/>
              <w:noProof/>
            </w:rPr>
            <w:fldChar w:fldCharType="begin"/>
          </w:r>
          <w:r w:rsidR="00D34DEB" w:rsidRPr="00851192">
            <w:rPr>
              <w:rFonts w:ascii="Arial" w:hAnsi="Arial" w:cs="Arial"/>
              <w:noProof/>
            </w:rPr>
            <w:instrText xml:space="preserve"> CITATION Bar17 \l 2057 </w:instrText>
          </w:r>
          <w:r w:rsidR="00D34DEB" w:rsidRPr="00851192">
            <w:rPr>
              <w:rFonts w:ascii="Arial" w:hAnsi="Arial" w:cs="Arial"/>
              <w:noProof/>
            </w:rPr>
            <w:fldChar w:fldCharType="separate"/>
          </w:r>
          <w:r w:rsidR="002D17EA" w:rsidRPr="00851192">
            <w:rPr>
              <w:rFonts w:ascii="Arial" w:hAnsi="Arial" w:cs="Arial"/>
              <w:noProof/>
            </w:rPr>
            <w:t>(Barlowe, 2017)</w:t>
          </w:r>
          <w:r w:rsidR="00D34DEB" w:rsidRPr="00851192">
            <w:rPr>
              <w:rFonts w:ascii="Arial" w:hAnsi="Arial" w:cs="Arial"/>
              <w:noProof/>
            </w:rPr>
            <w:fldChar w:fldCharType="end"/>
          </w:r>
        </w:sdtContent>
      </w:sdt>
      <w:r w:rsidR="009A1EC8" w:rsidRPr="00851192">
        <w:rPr>
          <w:rFonts w:ascii="Arial" w:hAnsi="Arial" w:cs="Arial"/>
        </w:rPr>
        <w:t>.</w:t>
      </w:r>
      <w:r w:rsidRPr="00851192">
        <w:rPr>
          <w:rFonts w:ascii="Arial" w:hAnsi="Arial" w:cs="Arial"/>
        </w:rPr>
        <w:t xml:space="preserve"> </w:t>
      </w:r>
      <w:r w:rsidR="009A1EC8" w:rsidRPr="00851192">
        <w:rPr>
          <w:rFonts w:ascii="Arial" w:hAnsi="Arial" w:cs="Arial"/>
        </w:rPr>
        <w:t xml:space="preserve">From this, it is </w:t>
      </w:r>
      <w:r w:rsidR="00D34DEB" w:rsidRPr="00851192">
        <w:rPr>
          <w:rFonts w:ascii="Arial" w:hAnsi="Arial" w:cs="Arial"/>
        </w:rPr>
        <w:t>fundamental</w:t>
      </w:r>
      <w:r w:rsidR="009A1EC8" w:rsidRPr="00851192">
        <w:rPr>
          <w:rFonts w:ascii="Arial" w:hAnsi="Arial" w:cs="Arial"/>
        </w:rPr>
        <w:t xml:space="preserve"> to recognise that</w:t>
      </w:r>
      <w:r w:rsidR="006D5B64" w:rsidRPr="00851192">
        <w:rPr>
          <w:rFonts w:ascii="Arial" w:hAnsi="Arial" w:cs="Arial"/>
        </w:rPr>
        <w:t xml:space="preserve"> </w:t>
      </w:r>
      <w:r w:rsidR="009A1EC8" w:rsidRPr="00851192">
        <w:rPr>
          <w:rFonts w:ascii="Arial" w:hAnsi="Arial" w:cs="Arial"/>
        </w:rPr>
        <w:t>decisions made by external stakeholders</w:t>
      </w:r>
      <w:r w:rsidR="00D34DEB" w:rsidRPr="00851192">
        <w:rPr>
          <w:rFonts w:ascii="Arial" w:hAnsi="Arial" w:cs="Arial"/>
        </w:rPr>
        <w:t xml:space="preserve"> and pressure groups</w:t>
      </w:r>
      <w:r w:rsidR="009A1EC8" w:rsidRPr="00851192">
        <w:rPr>
          <w:rFonts w:ascii="Arial" w:hAnsi="Arial" w:cs="Arial"/>
        </w:rPr>
        <w:t xml:space="preserve"> shape the</w:t>
      </w:r>
      <w:r w:rsidR="006D5B64" w:rsidRPr="00851192">
        <w:rPr>
          <w:rFonts w:ascii="Arial" w:hAnsi="Arial" w:cs="Arial"/>
        </w:rPr>
        <w:t xml:space="preserve"> </w:t>
      </w:r>
      <w:r w:rsidR="00D34DEB" w:rsidRPr="00851192">
        <w:rPr>
          <w:rFonts w:ascii="Arial" w:hAnsi="Arial" w:cs="Arial"/>
        </w:rPr>
        <w:t xml:space="preserve">way CSR communication is effectively </w:t>
      </w:r>
      <w:r w:rsidR="00AE453B" w:rsidRPr="00851192">
        <w:rPr>
          <w:rFonts w:ascii="Arial" w:hAnsi="Arial" w:cs="Arial"/>
        </w:rPr>
        <w:t>communicated</w:t>
      </w:r>
      <w:r w:rsidRPr="00851192">
        <w:rPr>
          <w:rFonts w:ascii="Arial" w:hAnsi="Arial" w:cs="Arial"/>
        </w:rPr>
        <w:t xml:space="preserve">. This </w:t>
      </w:r>
      <w:r w:rsidR="00D34DEB" w:rsidRPr="00851192">
        <w:rPr>
          <w:rFonts w:ascii="Arial" w:hAnsi="Arial" w:cs="Arial"/>
        </w:rPr>
        <w:t xml:space="preserve">primarily </w:t>
      </w:r>
      <w:r w:rsidRPr="00851192">
        <w:rPr>
          <w:rFonts w:ascii="Arial" w:hAnsi="Arial" w:cs="Arial"/>
        </w:rPr>
        <w:t xml:space="preserve">means that the environment </w:t>
      </w:r>
      <w:r w:rsidR="00D34DEB" w:rsidRPr="00851192">
        <w:rPr>
          <w:rFonts w:ascii="Arial" w:hAnsi="Arial" w:cs="Arial"/>
        </w:rPr>
        <w:t>of the industry shapes</w:t>
      </w:r>
      <w:r w:rsidR="00A90C51" w:rsidRPr="00851192">
        <w:rPr>
          <w:rFonts w:ascii="Arial" w:hAnsi="Arial" w:cs="Arial"/>
        </w:rPr>
        <w:t xml:space="preserve"> the way</w:t>
      </w:r>
      <w:r w:rsidRPr="00851192">
        <w:rPr>
          <w:rFonts w:ascii="Arial" w:hAnsi="Arial" w:cs="Arial"/>
        </w:rPr>
        <w:t xml:space="preserve"> CSR actions</w:t>
      </w:r>
      <w:r w:rsidR="00A90C51" w:rsidRPr="00851192">
        <w:rPr>
          <w:rFonts w:ascii="Arial" w:hAnsi="Arial" w:cs="Arial"/>
        </w:rPr>
        <w:t xml:space="preserve"> are made</w:t>
      </w:r>
      <w:r w:rsidRPr="00851192">
        <w:rPr>
          <w:rFonts w:ascii="Arial" w:hAnsi="Arial" w:cs="Arial"/>
        </w:rPr>
        <w:t xml:space="preserve"> and </w:t>
      </w:r>
      <w:r w:rsidR="00D34DEB" w:rsidRPr="00851192">
        <w:rPr>
          <w:rFonts w:ascii="Arial" w:hAnsi="Arial" w:cs="Arial"/>
        </w:rPr>
        <w:t xml:space="preserve">when </w:t>
      </w:r>
      <w:r w:rsidRPr="00851192">
        <w:rPr>
          <w:rFonts w:ascii="Arial" w:hAnsi="Arial" w:cs="Arial"/>
        </w:rPr>
        <w:t xml:space="preserve">CSR communications </w:t>
      </w:r>
      <w:r w:rsidR="00D34DEB" w:rsidRPr="00851192">
        <w:rPr>
          <w:rFonts w:ascii="Arial" w:hAnsi="Arial" w:cs="Arial"/>
        </w:rPr>
        <w:t>is used.</w:t>
      </w:r>
      <w:r w:rsidRPr="00851192">
        <w:rPr>
          <w:rFonts w:ascii="Arial" w:hAnsi="Arial" w:cs="Arial"/>
        </w:rPr>
        <w:t xml:space="preserve"> </w:t>
      </w:r>
    </w:p>
    <w:p w14:paraId="3F8BD81C" w14:textId="54942588" w:rsidR="00A23926" w:rsidRPr="00851192" w:rsidRDefault="001A7D5E" w:rsidP="001A7D5E">
      <w:pPr>
        <w:pStyle w:val="Heading1"/>
        <w:rPr>
          <w:rFonts w:ascii="Arial" w:hAnsi="Arial" w:cs="Arial"/>
          <w:color w:val="auto"/>
        </w:rPr>
      </w:pPr>
      <w:bookmarkStart w:id="31" w:name="_Toc526434232"/>
      <w:r w:rsidRPr="00851192">
        <w:rPr>
          <w:rFonts w:ascii="Arial" w:hAnsi="Arial" w:cs="Arial"/>
          <w:color w:val="auto"/>
        </w:rPr>
        <w:t>3.</w:t>
      </w:r>
      <w:r w:rsidR="00C019D2" w:rsidRPr="00851192">
        <w:rPr>
          <w:rFonts w:ascii="Arial" w:hAnsi="Arial" w:cs="Arial"/>
          <w:color w:val="auto"/>
        </w:rPr>
        <w:t>4</w:t>
      </w:r>
      <w:r w:rsidRPr="00851192">
        <w:rPr>
          <w:rFonts w:ascii="Arial" w:hAnsi="Arial" w:cs="Arial"/>
          <w:color w:val="auto"/>
        </w:rPr>
        <w:t xml:space="preserve"> </w:t>
      </w:r>
      <w:r w:rsidR="00A23926" w:rsidRPr="00851192">
        <w:rPr>
          <w:rFonts w:ascii="Arial" w:hAnsi="Arial" w:cs="Arial"/>
          <w:color w:val="auto"/>
        </w:rPr>
        <w:t>Theoretical Perspective</w:t>
      </w:r>
      <w:bookmarkEnd w:id="31"/>
    </w:p>
    <w:p w14:paraId="5CA5CA57" w14:textId="276F2D6E" w:rsidR="00023253" w:rsidRPr="00851192" w:rsidRDefault="00023253" w:rsidP="003B74DC">
      <w:pPr>
        <w:spacing w:line="360" w:lineRule="auto"/>
        <w:jc w:val="both"/>
        <w:rPr>
          <w:rFonts w:ascii="Arial" w:hAnsi="Arial" w:cs="Arial"/>
        </w:rPr>
      </w:pPr>
      <w:r w:rsidRPr="00851192">
        <w:rPr>
          <w:rFonts w:ascii="Arial" w:hAnsi="Arial" w:cs="Arial"/>
        </w:rPr>
        <w:t>The methodological framework used within the dissertation is a sequential method of research beginning with; a qualitative content analysis of GGO’s annual reports and online platforms, followed by a survey on public interpretation of CSR communications of GGO’s. The process</w:t>
      </w:r>
      <w:r w:rsidR="00500147" w:rsidRPr="00851192">
        <w:rPr>
          <w:rFonts w:ascii="Arial" w:hAnsi="Arial" w:cs="Arial"/>
        </w:rPr>
        <w:t>, a pragmatic approach,</w:t>
      </w:r>
      <w:r w:rsidRPr="00851192">
        <w:rPr>
          <w:rFonts w:ascii="Arial" w:hAnsi="Arial" w:cs="Arial"/>
        </w:rPr>
        <w:t xml:space="preserve"> provide</w:t>
      </w:r>
      <w:r w:rsidR="00716DC9" w:rsidRPr="00851192">
        <w:rPr>
          <w:rFonts w:ascii="Arial" w:hAnsi="Arial" w:cs="Arial"/>
        </w:rPr>
        <w:t>s</w:t>
      </w:r>
      <w:r w:rsidRPr="00851192">
        <w:rPr>
          <w:rFonts w:ascii="Arial" w:hAnsi="Arial" w:cs="Arial"/>
        </w:rPr>
        <w:t xml:space="preserve"> justification and suitability for the research question to be answered in the sequential process it has been completed in </w:t>
      </w:r>
      <w:sdt>
        <w:sdtPr>
          <w:rPr>
            <w:rFonts w:ascii="Arial" w:hAnsi="Arial" w:cs="Arial"/>
          </w:rPr>
          <w:id w:val="-1096856213"/>
          <w:citation/>
        </w:sdtPr>
        <w:sdtEndPr/>
        <w:sdtContent>
          <w:r w:rsidRPr="00851192">
            <w:rPr>
              <w:rFonts w:ascii="Arial" w:hAnsi="Arial" w:cs="Arial"/>
            </w:rPr>
            <w:fldChar w:fldCharType="begin"/>
          </w:r>
          <w:r w:rsidRPr="00851192">
            <w:rPr>
              <w:rFonts w:ascii="Arial" w:hAnsi="Arial" w:cs="Arial"/>
            </w:rPr>
            <w:instrText xml:space="preserve"> CITATION Bry08 \l 2057 </w:instrText>
          </w:r>
          <w:r w:rsidRPr="00851192">
            <w:rPr>
              <w:rFonts w:ascii="Arial" w:hAnsi="Arial" w:cs="Arial"/>
            </w:rPr>
            <w:fldChar w:fldCharType="separate"/>
          </w:r>
          <w:r w:rsidR="002D17EA" w:rsidRPr="00851192">
            <w:rPr>
              <w:rFonts w:ascii="Arial" w:hAnsi="Arial" w:cs="Arial"/>
              <w:noProof/>
            </w:rPr>
            <w:t>(Bryman, 2008)</w:t>
          </w:r>
          <w:r w:rsidRPr="00851192">
            <w:rPr>
              <w:rFonts w:ascii="Arial" w:hAnsi="Arial" w:cs="Arial"/>
            </w:rPr>
            <w:fldChar w:fldCharType="end"/>
          </w:r>
        </w:sdtContent>
      </w:sdt>
      <w:r w:rsidRPr="00851192">
        <w:rPr>
          <w:rFonts w:ascii="Arial" w:hAnsi="Arial" w:cs="Arial"/>
        </w:rPr>
        <w:t xml:space="preserve">. </w:t>
      </w:r>
    </w:p>
    <w:p w14:paraId="7430D560" w14:textId="4B24941B" w:rsidR="00F533A2" w:rsidRPr="00851192" w:rsidRDefault="00F533A2" w:rsidP="003B74DC">
      <w:pPr>
        <w:spacing w:line="360" w:lineRule="auto"/>
        <w:jc w:val="both"/>
        <w:rPr>
          <w:rFonts w:ascii="Arial" w:hAnsi="Arial" w:cs="Arial"/>
          <w:noProof/>
        </w:rPr>
      </w:pPr>
      <w:r w:rsidRPr="00851192">
        <w:rPr>
          <w:rFonts w:ascii="Arial" w:hAnsi="Arial" w:cs="Arial"/>
        </w:rPr>
        <w:t xml:space="preserve">The research onion </w:t>
      </w:r>
      <w:r w:rsidR="00BB4976" w:rsidRPr="00851192">
        <w:rPr>
          <w:rFonts w:ascii="Arial" w:hAnsi="Arial" w:cs="Arial"/>
        </w:rPr>
        <w:t>(</w:t>
      </w:r>
      <w:r w:rsidR="00BB4976" w:rsidRPr="00851192">
        <w:rPr>
          <w:rFonts w:ascii="Arial" w:hAnsi="Arial" w:cs="Arial"/>
          <w:b/>
          <w:i/>
        </w:rPr>
        <w:t>Figure 3.1</w:t>
      </w:r>
      <w:r w:rsidR="00BB4976" w:rsidRPr="00851192">
        <w:rPr>
          <w:rFonts w:ascii="Arial" w:hAnsi="Arial" w:cs="Arial"/>
        </w:rPr>
        <w:t xml:space="preserve">) </w:t>
      </w:r>
      <w:r w:rsidRPr="00851192">
        <w:rPr>
          <w:rFonts w:ascii="Arial" w:hAnsi="Arial" w:cs="Arial"/>
        </w:rPr>
        <w:t xml:space="preserve">highlighted by </w:t>
      </w:r>
      <w:r w:rsidRPr="00851192">
        <w:rPr>
          <w:rFonts w:ascii="Arial" w:hAnsi="Arial" w:cs="Arial"/>
          <w:noProof/>
        </w:rPr>
        <w:t xml:space="preserve">Saunders et al., (2007) </w:t>
      </w:r>
      <w:r w:rsidR="00023253" w:rsidRPr="00851192">
        <w:rPr>
          <w:rFonts w:ascii="Arial" w:hAnsi="Arial" w:cs="Arial"/>
          <w:noProof/>
        </w:rPr>
        <w:t>provides a pathway in which a research methodolgy can be designed. Th</w:t>
      </w:r>
      <w:r w:rsidR="00AE453B" w:rsidRPr="00851192">
        <w:rPr>
          <w:rFonts w:ascii="Arial" w:hAnsi="Arial" w:cs="Arial"/>
          <w:noProof/>
        </w:rPr>
        <w:t>is</w:t>
      </w:r>
      <w:r w:rsidR="00023253" w:rsidRPr="00851192">
        <w:rPr>
          <w:rFonts w:ascii="Arial" w:hAnsi="Arial" w:cs="Arial"/>
          <w:noProof/>
        </w:rPr>
        <w:t xml:space="preserve"> dissertation uses a mixed methods approach using archival research </w:t>
      </w:r>
      <w:r w:rsidR="00AE453B" w:rsidRPr="00851192">
        <w:rPr>
          <w:rFonts w:ascii="Arial" w:hAnsi="Arial" w:cs="Arial"/>
          <w:noProof/>
        </w:rPr>
        <w:t>though</w:t>
      </w:r>
      <w:r w:rsidR="00023253" w:rsidRPr="00851192">
        <w:rPr>
          <w:rFonts w:ascii="Arial" w:hAnsi="Arial" w:cs="Arial"/>
          <w:noProof/>
        </w:rPr>
        <w:t xml:space="preserve"> conducting a content analysis on annual reports alongside online platforms</w:t>
      </w:r>
      <w:r w:rsidR="00AE453B" w:rsidRPr="00851192">
        <w:rPr>
          <w:rFonts w:ascii="Arial" w:hAnsi="Arial" w:cs="Arial"/>
          <w:noProof/>
        </w:rPr>
        <w:t xml:space="preserve">. This is </w:t>
      </w:r>
      <w:r w:rsidR="00023253" w:rsidRPr="00851192">
        <w:rPr>
          <w:rFonts w:ascii="Arial" w:hAnsi="Arial" w:cs="Arial"/>
          <w:noProof/>
        </w:rPr>
        <w:t xml:space="preserve"> followed by a survey which is designed to either reinforce or identify incongruence between how GGO’s are performing against consumers perception. This forms part as a deductive approach which becomes a positivist paradaigm. This method for conducting the research becomes a structured method for aquiring data which will add value to the dissertation in hand (Osborne, 2008).  </w:t>
      </w:r>
    </w:p>
    <w:p w14:paraId="095A439D" w14:textId="169CA0A4" w:rsidR="00C84CDC" w:rsidRPr="00851192" w:rsidRDefault="00C84CDC" w:rsidP="00C84CDC">
      <w:pPr>
        <w:jc w:val="center"/>
        <w:rPr>
          <w:rFonts w:ascii="Arial" w:hAnsi="Arial" w:cs="Arial"/>
        </w:rPr>
      </w:pPr>
      <w:r w:rsidRPr="00851192">
        <w:rPr>
          <w:rFonts w:ascii="Arial" w:hAnsi="Arial" w:cs="Arial"/>
          <w:noProof/>
          <w:lang w:eastAsia="en-GB"/>
        </w:rPr>
        <w:drawing>
          <wp:inline distT="0" distB="0" distL="0" distR="0" wp14:anchorId="3C7E460F" wp14:editId="011ED34B">
            <wp:extent cx="3372928" cy="2518301"/>
            <wp:effectExtent l="19050" t="19050" r="18415" b="158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aunders.JPG"/>
                    <pic:cNvPicPr/>
                  </pic:nvPicPr>
                  <pic:blipFill>
                    <a:blip r:embed="rId14">
                      <a:extLst>
                        <a:ext uri="{28A0092B-C50C-407E-A947-70E740481C1C}">
                          <a14:useLocalDpi xmlns:a14="http://schemas.microsoft.com/office/drawing/2010/main" val="0"/>
                        </a:ext>
                      </a:extLst>
                    </a:blip>
                    <a:stretch>
                      <a:fillRect/>
                    </a:stretch>
                  </pic:blipFill>
                  <pic:spPr>
                    <a:xfrm>
                      <a:off x="0" y="0"/>
                      <a:ext cx="3378466" cy="2522436"/>
                    </a:xfrm>
                    <a:prstGeom prst="rect">
                      <a:avLst/>
                    </a:prstGeom>
                    <a:ln w="12700">
                      <a:solidFill>
                        <a:schemeClr val="tx1"/>
                      </a:solidFill>
                    </a:ln>
                  </pic:spPr>
                </pic:pic>
              </a:graphicData>
            </a:graphic>
          </wp:inline>
        </w:drawing>
      </w:r>
    </w:p>
    <w:p w14:paraId="11CB767E" w14:textId="5B50BC74" w:rsidR="00C84CDC" w:rsidRPr="00851192" w:rsidRDefault="00C84CDC" w:rsidP="00C84CDC">
      <w:pPr>
        <w:jc w:val="center"/>
        <w:rPr>
          <w:rFonts w:ascii="Arial" w:hAnsi="Arial" w:cs="Arial"/>
        </w:rPr>
      </w:pPr>
      <w:r w:rsidRPr="00851192">
        <w:rPr>
          <w:rFonts w:ascii="Arial" w:hAnsi="Arial" w:cs="Arial"/>
        </w:rPr>
        <w:lastRenderedPageBreak/>
        <w:t>(</w:t>
      </w:r>
      <w:r w:rsidRPr="00851192">
        <w:rPr>
          <w:rFonts w:ascii="Arial" w:hAnsi="Arial" w:cs="Arial"/>
          <w:b/>
          <w:i/>
        </w:rPr>
        <w:t>Figure 3</w:t>
      </w:r>
      <w:r w:rsidRPr="00851192">
        <w:rPr>
          <w:rFonts w:ascii="Arial" w:hAnsi="Arial" w:cs="Arial"/>
        </w:rPr>
        <w:t xml:space="preserve">; Saunders et al., 2007) </w:t>
      </w:r>
    </w:p>
    <w:p w14:paraId="210C18FA" w14:textId="7E820C74" w:rsidR="00F1131B" w:rsidRPr="00851192" w:rsidRDefault="00023253" w:rsidP="003B74DC">
      <w:pPr>
        <w:spacing w:before="240" w:line="360" w:lineRule="auto"/>
        <w:jc w:val="both"/>
        <w:rPr>
          <w:rFonts w:ascii="Arial" w:hAnsi="Arial" w:cs="Arial"/>
        </w:rPr>
      </w:pPr>
      <w:r w:rsidRPr="00851192">
        <w:rPr>
          <w:rFonts w:ascii="Arial" w:hAnsi="Arial" w:cs="Arial"/>
        </w:rPr>
        <w:t xml:space="preserve">As reinforced by </w:t>
      </w:r>
      <w:proofErr w:type="spellStart"/>
      <w:r w:rsidRPr="00851192">
        <w:rPr>
          <w:rFonts w:ascii="Arial" w:hAnsi="Arial" w:cs="Arial"/>
        </w:rPr>
        <w:t>Cassell</w:t>
      </w:r>
      <w:proofErr w:type="spellEnd"/>
      <w:r w:rsidRPr="00851192">
        <w:rPr>
          <w:rFonts w:ascii="Arial" w:hAnsi="Arial" w:cs="Arial"/>
        </w:rPr>
        <w:t xml:space="preserve"> and Johnson (2006), the</w:t>
      </w:r>
      <w:r w:rsidR="00EB6966" w:rsidRPr="00851192">
        <w:rPr>
          <w:rFonts w:ascii="Arial" w:hAnsi="Arial" w:cs="Arial"/>
        </w:rPr>
        <w:t xml:space="preserve"> importance of the method used to obtain research is crucial as it must meet the aims and objectives</w:t>
      </w:r>
      <w:r w:rsidR="00AE453B" w:rsidRPr="00851192">
        <w:rPr>
          <w:rFonts w:ascii="Arial" w:hAnsi="Arial" w:cs="Arial"/>
        </w:rPr>
        <w:t xml:space="preserve"> set</w:t>
      </w:r>
      <w:r w:rsidR="00EB6966" w:rsidRPr="00851192">
        <w:rPr>
          <w:rFonts w:ascii="Arial" w:hAnsi="Arial" w:cs="Arial"/>
        </w:rPr>
        <w:t xml:space="preserve"> within the </w:t>
      </w:r>
      <w:r w:rsidR="00AE453B" w:rsidRPr="00851192">
        <w:rPr>
          <w:rFonts w:ascii="Arial" w:hAnsi="Arial" w:cs="Arial"/>
        </w:rPr>
        <w:t>dissertation</w:t>
      </w:r>
      <w:r w:rsidR="00EB6966" w:rsidRPr="00851192">
        <w:rPr>
          <w:rFonts w:ascii="Arial" w:hAnsi="Arial" w:cs="Arial"/>
        </w:rPr>
        <w:t>. The</w:t>
      </w:r>
      <w:r w:rsidR="00D167BF" w:rsidRPr="00851192">
        <w:rPr>
          <w:rFonts w:ascii="Arial" w:hAnsi="Arial" w:cs="Arial"/>
        </w:rPr>
        <w:t xml:space="preserve"> benefits for conducting qualitative data </w:t>
      </w:r>
      <w:r w:rsidRPr="00851192">
        <w:rPr>
          <w:rFonts w:ascii="Arial" w:hAnsi="Arial" w:cs="Arial"/>
        </w:rPr>
        <w:t xml:space="preserve">in the form of a content analysis, </w:t>
      </w:r>
      <w:r w:rsidR="00D167BF" w:rsidRPr="00851192">
        <w:rPr>
          <w:rFonts w:ascii="Arial" w:hAnsi="Arial" w:cs="Arial"/>
        </w:rPr>
        <w:t>provided the research the opportunity to analyse a</w:t>
      </w:r>
      <w:r w:rsidR="00021CFF" w:rsidRPr="00851192">
        <w:rPr>
          <w:rFonts w:ascii="Arial" w:hAnsi="Arial" w:cs="Arial"/>
        </w:rPr>
        <w:t xml:space="preserve">nd evaluate GGO’s </w:t>
      </w:r>
      <w:r w:rsidR="00D167BF" w:rsidRPr="00851192">
        <w:rPr>
          <w:rFonts w:ascii="Arial" w:hAnsi="Arial" w:cs="Arial"/>
        </w:rPr>
        <w:t>in more detail</w:t>
      </w:r>
      <w:r w:rsidR="00EB77D3" w:rsidRPr="00851192">
        <w:rPr>
          <w:rFonts w:ascii="Arial" w:hAnsi="Arial" w:cs="Arial"/>
        </w:rPr>
        <w:t>. Through using statistical analysis within the survey, it provided the opportunity for the researcher to identify any relationships highlighted by those who participated. The benefit for conducting qualitative data is that i</w:t>
      </w:r>
      <w:r w:rsidR="00D167BF" w:rsidRPr="00851192">
        <w:rPr>
          <w:rFonts w:ascii="Arial" w:hAnsi="Arial" w:cs="Arial"/>
        </w:rPr>
        <w:t>t is</w:t>
      </w:r>
      <w:r w:rsidR="00EB77D3" w:rsidRPr="00851192">
        <w:rPr>
          <w:rFonts w:ascii="Arial" w:hAnsi="Arial" w:cs="Arial"/>
        </w:rPr>
        <w:t xml:space="preserve"> </w:t>
      </w:r>
      <w:r w:rsidR="00D167BF" w:rsidRPr="00851192">
        <w:rPr>
          <w:rFonts w:ascii="Arial" w:hAnsi="Arial" w:cs="Arial"/>
        </w:rPr>
        <w:t xml:space="preserve">an open-ended process which creates </w:t>
      </w:r>
      <w:r w:rsidR="00AE453B" w:rsidRPr="00851192">
        <w:rPr>
          <w:rFonts w:ascii="Arial" w:hAnsi="Arial" w:cs="Arial"/>
        </w:rPr>
        <w:t>an</w:t>
      </w:r>
      <w:r w:rsidR="00D167BF" w:rsidRPr="00851192">
        <w:rPr>
          <w:rFonts w:ascii="Arial" w:hAnsi="Arial" w:cs="Arial"/>
        </w:rPr>
        <w:t xml:space="preserve"> opportunity to evaluate samples across </w:t>
      </w:r>
      <w:r w:rsidR="00EB77D3" w:rsidRPr="00851192">
        <w:rPr>
          <w:rFonts w:ascii="Arial" w:hAnsi="Arial" w:cs="Arial"/>
        </w:rPr>
        <w:t xml:space="preserve">all content analyses, identifying and </w:t>
      </w:r>
      <w:r w:rsidR="00D167BF" w:rsidRPr="00851192">
        <w:rPr>
          <w:rFonts w:ascii="Arial" w:hAnsi="Arial" w:cs="Arial"/>
        </w:rPr>
        <w:t>contrasting</w:t>
      </w:r>
      <w:r w:rsidR="00EB77D3" w:rsidRPr="00851192">
        <w:rPr>
          <w:rFonts w:ascii="Arial" w:hAnsi="Arial" w:cs="Arial"/>
        </w:rPr>
        <w:t xml:space="preserve"> the value </w:t>
      </w:r>
      <w:r w:rsidR="00AE453B" w:rsidRPr="00851192">
        <w:rPr>
          <w:rFonts w:ascii="Arial" w:hAnsi="Arial" w:cs="Arial"/>
        </w:rPr>
        <w:t>o</w:t>
      </w:r>
      <w:r w:rsidR="00EB77D3" w:rsidRPr="00851192">
        <w:rPr>
          <w:rFonts w:ascii="Arial" w:hAnsi="Arial" w:cs="Arial"/>
        </w:rPr>
        <w:t>f CSR held by GGO’s alongside</w:t>
      </w:r>
      <w:r w:rsidR="00D167BF" w:rsidRPr="00851192">
        <w:rPr>
          <w:rFonts w:ascii="Arial" w:hAnsi="Arial" w:cs="Arial"/>
        </w:rPr>
        <w:t xml:space="preserve"> CSR communication performance </w:t>
      </w:r>
      <w:sdt>
        <w:sdtPr>
          <w:rPr>
            <w:rFonts w:ascii="Arial" w:hAnsi="Arial" w:cs="Arial"/>
          </w:rPr>
          <w:id w:val="891156535"/>
          <w:citation/>
        </w:sdtPr>
        <w:sdtEndPr/>
        <w:sdtContent>
          <w:r w:rsidR="003051B3" w:rsidRPr="00851192">
            <w:rPr>
              <w:rFonts w:ascii="Arial" w:hAnsi="Arial" w:cs="Arial"/>
            </w:rPr>
            <w:fldChar w:fldCharType="begin"/>
          </w:r>
          <w:r w:rsidR="003051B3" w:rsidRPr="00851192">
            <w:rPr>
              <w:rFonts w:ascii="Arial" w:hAnsi="Arial" w:cs="Arial"/>
            </w:rPr>
            <w:instrText xml:space="preserve"> CITATION Ham13 \l 2057 </w:instrText>
          </w:r>
          <w:r w:rsidR="003051B3" w:rsidRPr="00851192">
            <w:rPr>
              <w:rFonts w:ascii="Arial" w:hAnsi="Arial" w:cs="Arial"/>
            </w:rPr>
            <w:fldChar w:fldCharType="separate"/>
          </w:r>
          <w:r w:rsidR="002D17EA" w:rsidRPr="00851192">
            <w:rPr>
              <w:rFonts w:ascii="Arial" w:hAnsi="Arial" w:cs="Arial"/>
              <w:noProof/>
            </w:rPr>
            <w:t>(Hammersley, 2013)</w:t>
          </w:r>
          <w:r w:rsidR="003051B3" w:rsidRPr="00851192">
            <w:rPr>
              <w:rFonts w:ascii="Arial" w:hAnsi="Arial" w:cs="Arial"/>
            </w:rPr>
            <w:fldChar w:fldCharType="end"/>
          </w:r>
        </w:sdtContent>
      </w:sdt>
      <w:r w:rsidR="003051B3" w:rsidRPr="00851192">
        <w:rPr>
          <w:rFonts w:ascii="Arial" w:hAnsi="Arial" w:cs="Arial"/>
        </w:rPr>
        <w:t>.</w:t>
      </w:r>
      <w:r w:rsidR="00E20ECA" w:rsidRPr="00851192">
        <w:rPr>
          <w:rFonts w:ascii="Arial" w:hAnsi="Arial" w:cs="Arial"/>
        </w:rPr>
        <w:t xml:space="preserve"> Quantitative research </w:t>
      </w:r>
      <w:r w:rsidR="00EB77D3" w:rsidRPr="00851192">
        <w:rPr>
          <w:rFonts w:ascii="Arial" w:hAnsi="Arial" w:cs="Arial"/>
        </w:rPr>
        <w:t xml:space="preserve">such as the survey </w:t>
      </w:r>
      <w:r w:rsidR="00E20ECA" w:rsidRPr="00851192">
        <w:rPr>
          <w:rFonts w:ascii="Arial" w:hAnsi="Arial" w:cs="Arial"/>
        </w:rPr>
        <w:t xml:space="preserve">was useful within the dissertation as it provided the opportunity for statistical analysis to take place. Furthermore, it also considers the positivist </w:t>
      </w:r>
      <w:r w:rsidR="0057669E" w:rsidRPr="00851192">
        <w:rPr>
          <w:rFonts w:ascii="Arial" w:hAnsi="Arial" w:cs="Arial"/>
        </w:rPr>
        <w:t>paradigm which becomes the foundation for structuring a questionnaire through the research concept</w:t>
      </w:r>
      <w:r w:rsidR="00EB77D3" w:rsidRPr="00851192">
        <w:rPr>
          <w:rFonts w:ascii="Arial" w:hAnsi="Arial" w:cs="Arial"/>
        </w:rPr>
        <w:t xml:space="preserve"> (Osborne, 2008)</w:t>
      </w:r>
      <w:r w:rsidR="0057669E" w:rsidRPr="00851192">
        <w:rPr>
          <w:rFonts w:ascii="Arial" w:hAnsi="Arial" w:cs="Arial"/>
        </w:rPr>
        <w:t xml:space="preserve">.  </w:t>
      </w:r>
    </w:p>
    <w:p w14:paraId="371C0588" w14:textId="4913ACF8" w:rsidR="00EB77D3" w:rsidRPr="00851192" w:rsidRDefault="00EB77D3" w:rsidP="00EB77D3">
      <w:pPr>
        <w:pStyle w:val="Heading1"/>
        <w:rPr>
          <w:rFonts w:ascii="Arial" w:hAnsi="Arial" w:cs="Arial"/>
          <w:color w:val="auto"/>
        </w:rPr>
      </w:pPr>
      <w:bookmarkStart w:id="32" w:name="_Toc526434233"/>
      <w:r w:rsidRPr="00851192">
        <w:rPr>
          <w:rFonts w:ascii="Arial" w:hAnsi="Arial" w:cs="Arial"/>
          <w:color w:val="auto"/>
        </w:rPr>
        <w:t>3.</w:t>
      </w:r>
      <w:r w:rsidR="00C019D2" w:rsidRPr="00851192">
        <w:rPr>
          <w:rFonts w:ascii="Arial" w:hAnsi="Arial" w:cs="Arial"/>
          <w:color w:val="auto"/>
        </w:rPr>
        <w:t>5</w:t>
      </w:r>
      <w:r w:rsidRPr="00851192">
        <w:rPr>
          <w:rFonts w:ascii="Arial" w:hAnsi="Arial" w:cs="Arial"/>
          <w:color w:val="auto"/>
        </w:rPr>
        <w:t xml:space="preserve"> Method</w:t>
      </w:r>
      <w:bookmarkEnd w:id="32"/>
    </w:p>
    <w:p w14:paraId="490CFADD" w14:textId="5BD862E1" w:rsidR="00EB77D3" w:rsidRPr="00851192" w:rsidRDefault="00EB77D3" w:rsidP="003B74DC">
      <w:pPr>
        <w:spacing w:line="360" w:lineRule="auto"/>
        <w:jc w:val="both"/>
        <w:rPr>
          <w:rFonts w:ascii="Arial" w:hAnsi="Arial" w:cs="Arial"/>
        </w:rPr>
      </w:pPr>
      <w:r w:rsidRPr="00851192">
        <w:rPr>
          <w:rFonts w:ascii="Arial" w:hAnsi="Arial" w:cs="Arial"/>
        </w:rPr>
        <w:t xml:space="preserve">A content analysis of all three GGO’s was conducted to assess the performance and values of CSR and CSR communication. </w:t>
      </w:r>
    </w:p>
    <w:p w14:paraId="1200BC91" w14:textId="48661F36" w:rsidR="00EB77D3" w:rsidRPr="00851192" w:rsidRDefault="00EB77D3" w:rsidP="003B74DC">
      <w:pPr>
        <w:spacing w:line="360" w:lineRule="auto"/>
        <w:jc w:val="both"/>
        <w:rPr>
          <w:rFonts w:ascii="Arial" w:hAnsi="Arial" w:cs="Arial"/>
        </w:rPr>
      </w:pPr>
      <w:r w:rsidRPr="00851192">
        <w:rPr>
          <w:rFonts w:ascii="Arial" w:hAnsi="Arial" w:cs="Arial"/>
        </w:rPr>
        <w:t xml:space="preserve">The content analysis was applied to Bet 365, </w:t>
      </w:r>
      <w:proofErr w:type="spellStart"/>
      <w:r w:rsidRPr="00851192">
        <w:rPr>
          <w:rFonts w:ascii="Arial" w:hAnsi="Arial" w:cs="Arial"/>
        </w:rPr>
        <w:t>Bwin</w:t>
      </w:r>
      <w:proofErr w:type="spellEnd"/>
      <w:r w:rsidRPr="00851192">
        <w:rPr>
          <w:rFonts w:ascii="Arial" w:hAnsi="Arial" w:cs="Arial"/>
        </w:rPr>
        <w:t>, and Asia-Gaming most recent and available annual report</w:t>
      </w:r>
      <w:r w:rsidR="00AE453B" w:rsidRPr="00851192">
        <w:rPr>
          <w:rFonts w:ascii="Arial" w:hAnsi="Arial" w:cs="Arial"/>
        </w:rPr>
        <w:t>s</w:t>
      </w:r>
      <w:r w:rsidRPr="00851192">
        <w:rPr>
          <w:rFonts w:ascii="Arial" w:hAnsi="Arial" w:cs="Arial"/>
        </w:rPr>
        <w:t xml:space="preserve"> alongside social media platforms such as; Facebook, Weibo, and Twitter. An analysis on social media sites measured CSR communication and the opportunities social media could provide in </w:t>
      </w:r>
      <w:r w:rsidR="00AE453B" w:rsidRPr="00851192">
        <w:rPr>
          <w:rFonts w:ascii="Arial" w:hAnsi="Arial" w:cs="Arial"/>
        </w:rPr>
        <w:t>adding</w:t>
      </w:r>
      <w:r w:rsidRPr="00851192">
        <w:rPr>
          <w:rFonts w:ascii="Arial" w:hAnsi="Arial" w:cs="Arial"/>
        </w:rPr>
        <w:t xml:space="preserve"> further value in CSR communication. Furthermore, an analysis was also thoroughly conducted on operator websites. </w:t>
      </w:r>
    </w:p>
    <w:p w14:paraId="414EB6B4" w14:textId="0B1AC0A0" w:rsidR="00EB77D3" w:rsidRPr="00851192" w:rsidRDefault="00EB77D3" w:rsidP="003B74DC">
      <w:pPr>
        <w:spacing w:line="360" w:lineRule="auto"/>
        <w:jc w:val="both"/>
        <w:rPr>
          <w:rFonts w:ascii="Arial" w:hAnsi="Arial" w:cs="Arial"/>
        </w:rPr>
      </w:pPr>
      <w:r w:rsidRPr="00851192">
        <w:rPr>
          <w:rFonts w:ascii="Arial" w:hAnsi="Arial" w:cs="Arial"/>
        </w:rPr>
        <w:t>To ensure that the content analysis of websites was valid, the researcher decided to constrict the timeframe used to analyse websites of GGO’s to within a 2-day period from the 14</w:t>
      </w:r>
      <w:r w:rsidRPr="00851192">
        <w:rPr>
          <w:rFonts w:ascii="Arial" w:hAnsi="Arial" w:cs="Arial"/>
          <w:vertAlign w:val="superscript"/>
        </w:rPr>
        <w:t>th</w:t>
      </w:r>
      <w:r w:rsidRPr="00851192">
        <w:rPr>
          <w:rFonts w:ascii="Arial" w:hAnsi="Arial" w:cs="Arial"/>
        </w:rPr>
        <w:t xml:space="preserve"> of August to the 16</w:t>
      </w:r>
      <w:r w:rsidRPr="00851192">
        <w:rPr>
          <w:rFonts w:ascii="Arial" w:hAnsi="Arial" w:cs="Arial"/>
          <w:vertAlign w:val="superscript"/>
        </w:rPr>
        <w:t>th</w:t>
      </w:r>
      <w:r w:rsidRPr="00851192">
        <w:rPr>
          <w:rFonts w:ascii="Arial" w:hAnsi="Arial" w:cs="Arial"/>
        </w:rPr>
        <w:t xml:space="preserve"> of August due to the ever-changing nature of the internet content </w:t>
      </w:r>
      <w:sdt>
        <w:sdtPr>
          <w:rPr>
            <w:rFonts w:ascii="Arial" w:hAnsi="Arial" w:cs="Arial"/>
          </w:rPr>
          <w:id w:val="-240565524"/>
          <w:citation/>
        </w:sdtPr>
        <w:sdtEndPr/>
        <w:sdtContent>
          <w:r w:rsidRPr="00851192">
            <w:rPr>
              <w:rFonts w:ascii="Arial" w:hAnsi="Arial" w:cs="Arial"/>
            </w:rPr>
            <w:fldChar w:fldCharType="begin"/>
          </w:r>
          <w:r w:rsidRPr="00851192">
            <w:rPr>
              <w:rFonts w:ascii="Arial" w:hAnsi="Arial" w:cs="Arial"/>
            </w:rPr>
            <w:instrText xml:space="preserve"> CITATION Kim10 \l 2057 </w:instrText>
          </w:r>
          <w:r w:rsidRPr="00851192">
            <w:rPr>
              <w:rFonts w:ascii="Arial" w:hAnsi="Arial" w:cs="Arial"/>
            </w:rPr>
            <w:fldChar w:fldCharType="separate"/>
          </w:r>
          <w:r w:rsidR="002D17EA" w:rsidRPr="00851192">
            <w:rPr>
              <w:rFonts w:ascii="Arial" w:hAnsi="Arial" w:cs="Arial"/>
              <w:noProof/>
            </w:rPr>
            <w:t>(Kim &amp; Kuljis, 2010)</w:t>
          </w:r>
          <w:r w:rsidRPr="00851192">
            <w:rPr>
              <w:rFonts w:ascii="Arial" w:hAnsi="Arial" w:cs="Arial"/>
            </w:rPr>
            <w:fldChar w:fldCharType="end"/>
          </w:r>
        </w:sdtContent>
      </w:sdt>
      <w:r w:rsidRPr="00851192">
        <w:rPr>
          <w:rFonts w:ascii="Arial" w:hAnsi="Arial" w:cs="Arial"/>
        </w:rPr>
        <w:t xml:space="preserve">. </w:t>
      </w:r>
    </w:p>
    <w:p w14:paraId="03C401CB" w14:textId="77777777" w:rsidR="00EB77D3" w:rsidRPr="00851192" w:rsidRDefault="00EB77D3" w:rsidP="003B74DC">
      <w:pPr>
        <w:spacing w:line="360" w:lineRule="auto"/>
        <w:jc w:val="both"/>
        <w:rPr>
          <w:rFonts w:ascii="Arial" w:hAnsi="Arial" w:cs="Arial"/>
        </w:rPr>
      </w:pPr>
      <w:r w:rsidRPr="00851192">
        <w:rPr>
          <w:rFonts w:ascii="Arial" w:hAnsi="Arial" w:cs="Arial"/>
        </w:rPr>
        <w:t xml:space="preserve">The content analysis targeted the values within CSR communication to GGO’s alongside incorporating Crane and </w:t>
      </w:r>
      <w:proofErr w:type="spellStart"/>
      <w:r w:rsidRPr="00851192">
        <w:rPr>
          <w:rFonts w:ascii="Arial" w:hAnsi="Arial" w:cs="Arial"/>
        </w:rPr>
        <w:t>Glozer</w:t>
      </w:r>
      <w:proofErr w:type="spellEnd"/>
      <w:r w:rsidRPr="00851192">
        <w:rPr>
          <w:rFonts w:ascii="Arial" w:hAnsi="Arial" w:cs="Arial"/>
        </w:rPr>
        <w:t xml:space="preserve"> (2008) framework for CSR communication research. The evaluation is displayed within tables which can be identified through a coding technique which is presented in charts demonstrating scores.</w:t>
      </w:r>
    </w:p>
    <w:p w14:paraId="11857987" w14:textId="77777777" w:rsidR="00EB77D3" w:rsidRPr="00851192" w:rsidRDefault="00EB77D3" w:rsidP="003B74DC">
      <w:pPr>
        <w:spacing w:line="360" w:lineRule="auto"/>
        <w:jc w:val="both"/>
        <w:rPr>
          <w:rFonts w:ascii="Arial" w:hAnsi="Arial" w:cs="Arial"/>
        </w:rPr>
      </w:pPr>
      <w:r w:rsidRPr="00851192">
        <w:rPr>
          <w:rFonts w:ascii="Arial" w:hAnsi="Arial" w:cs="Arial"/>
        </w:rPr>
        <w:t xml:space="preserve">The categories and questions within the content analysis were dependent on the following questions; </w:t>
      </w:r>
    </w:p>
    <w:p w14:paraId="4893ED09" w14:textId="77777777" w:rsidR="00EB77D3" w:rsidRPr="00851192" w:rsidRDefault="00EB77D3" w:rsidP="003B74DC">
      <w:pPr>
        <w:pStyle w:val="ListParagraph"/>
        <w:numPr>
          <w:ilvl w:val="0"/>
          <w:numId w:val="9"/>
        </w:numPr>
        <w:spacing w:line="276" w:lineRule="auto"/>
        <w:jc w:val="both"/>
        <w:rPr>
          <w:rFonts w:ascii="Arial" w:hAnsi="Arial" w:cs="Arial"/>
        </w:rPr>
      </w:pPr>
      <w:r w:rsidRPr="00851192">
        <w:rPr>
          <w:rFonts w:ascii="Arial" w:hAnsi="Arial" w:cs="Arial"/>
        </w:rPr>
        <w:t>Clarity of CSR communication.</w:t>
      </w:r>
    </w:p>
    <w:p w14:paraId="6DF94690" w14:textId="77777777" w:rsidR="00EB77D3" w:rsidRPr="00851192" w:rsidRDefault="00EB77D3" w:rsidP="003B74DC">
      <w:pPr>
        <w:pStyle w:val="ListParagraph"/>
        <w:numPr>
          <w:ilvl w:val="0"/>
          <w:numId w:val="9"/>
        </w:numPr>
        <w:spacing w:line="276" w:lineRule="auto"/>
        <w:jc w:val="both"/>
        <w:rPr>
          <w:rFonts w:ascii="Arial" w:hAnsi="Arial" w:cs="Arial"/>
        </w:rPr>
      </w:pPr>
      <w:r w:rsidRPr="00851192">
        <w:rPr>
          <w:rFonts w:ascii="Arial" w:hAnsi="Arial" w:cs="Arial"/>
        </w:rPr>
        <w:t xml:space="preserve">Statement of CSR values by global gambling operators. </w:t>
      </w:r>
    </w:p>
    <w:p w14:paraId="0F14E96B" w14:textId="77777777" w:rsidR="00EB77D3" w:rsidRPr="00851192" w:rsidRDefault="00EB77D3" w:rsidP="003B74DC">
      <w:pPr>
        <w:pStyle w:val="ListParagraph"/>
        <w:numPr>
          <w:ilvl w:val="0"/>
          <w:numId w:val="9"/>
        </w:numPr>
        <w:spacing w:line="276" w:lineRule="auto"/>
        <w:jc w:val="both"/>
        <w:rPr>
          <w:rFonts w:ascii="Arial" w:hAnsi="Arial" w:cs="Arial"/>
        </w:rPr>
      </w:pPr>
      <w:r w:rsidRPr="00851192">
        <w:rPr>
          <w:rFonts w:ascii="Arial" w:hAnsi="Arial" w:cs="Arial"/>
        </w:rPr>
        <w:lastRenderedPageBreak/>
        <w:t xml:space="preserve">How important is CSR communication to global gambling operators, measured on a high or low responsible scale. </w:t>
      </w:r>
    </w:p>
    <w:p w14:paraId="304B5EF3" w14:textId="77777777" w:rsidR="00EB77D3" w:rsidRPr="00851192" w:rsidRDefault="00EB77D3" w:rsidP="003B74DC">
      <w:pPr>
        <w:pStyle w:val="ListParagraph"/>
        <w:numPr>
          <w:ilvl w:val="0"/>
          <w:numId w:val="9"/>
        </w:numPr>
        <w:spacing w:line="276" w:lineRule="auto"/>
        <w:jc w:val="both"/>
        <w:rPr>
          <w:rFonts w:ascii="Arial" w:hAnsi="Arial" w:cs="Arial"/>
        </w:rPr>
      </w:pPr>
      <w:r w:rsidRPr="00851192">
        <w:rPr>
          <w:rFonts w:ascii="Arial" w:hAnsi="Arial" w:cs="Arial"/>
        </w:rPr>
        <w:t xml:space="preserve">Is CSR communication more prominent where the competitive landscape is more </w:t>
      </w:r>
      <w:proofErr w:type="gramStart"/>
      <w:r w:rsidRPr="00851192">
        <w:rPr>
          <w:rFonts w:ascii="Arial" w:hAnsi="Arial" w:cs="Arial"/>
        </w:rPr>
        <w:t>volatile.</w:t>
      </w:r>
      <w:proofErr w:type="gramEnd"/>
    </w:p>
    <w:p w14:paraId="56866924" w14:textId="77777777" w:rsidR="00EB77D3" w:rsidRPr="00851192" w:rsidRDefault="00EB77D3" w:rsidP="003B74DC">
      <w:pPr>
        <w:pStyle w:val="ListParagraph"/>
        <w:numPr>
          <w:ilvl w:val="0"/>
          <w:numId w:val="9"/>
        </w:numPr>
        <w:spacing w:line="276" w:lineRule="auto"/>
        <w:jc w:val="both"/>
        <w:rPr>
          <w:rFonts w:ascii="Arial" w:hAnsi="Arial" w:cs="Arial"/>
        </w:rPr>
      </w:pPr>
      <w:r w:rsidRPr="00851192">
        <w:rPr>
          <w:rFonts w:ascii="Arial" w:hAnsi="Arial" w:cs="Arial"/>
        </w:rPr>
        <w:t xml:space="preserve">Meaningful CSR communication by global gambling operators. </w:t>
      </w:r>
    </w:p>
    <w:p w14:paraId="7D7C7440" w14:textId="74348E1F" w:rsidR="00EB77D3" w:rsidRPr="00851192" w:rsidRDefault="00EB77D3" w:rsidP="003B74DC">
      <w:pPr>
        <w:spacing w:line="360" w:lineRule="auto"/>
        <w:jc w:val="both"/>
        <w:rPr>
          <w:rFonts w:ascii="Arial" w:hAnsi="Arial" w:cs="Arial"/>
        </w:rPr>
      </w:pPr>
      <w:r w:rsidRPr="00851192">
        <w:rPr>
          <w:rFonts w:ascii="Arial" w:hAnsi="Arial" w:cs="Arial"/>
        </w:rPr>
        <w:t>The study then furthered its development and findings from the content analys</w:t>
      </w:r>
      <w:r w:rsidR="00AE453B" w:rsidRPr="00851192">
        <w:rPr>
          <w:rFonts w:ascii="Arial" w:hAnsi="Arial" w:cs="Arial"/>
        </w:rPr>
        <w:t>e</w:t>
      </w:r>
      <w:r w:rsidRPr="00851192">
        <w:rPr>
          <w:rFonts w:ascii="Arial" w:hAnsi="Arial" w:cs="Arial"/>
        </w:rPr>
        <w:t>s which created the online survey</w:t>
      </w:r>
      <w:r w:rsidR="00AE453B" w:rsidRPr="00851192">
        <w:rPr>
          <w:rFonts w:ascii="Arial" w:hAnsi="Arial" w:cs="Arial"/>
        </w:rPr>
        <w:t xml:space="preserve"> which was</w:t>
      </w:r>
      <w:r w:rsidRPr="00851192">
        <w:rPr>
          <w:rFonts w:ascii="Arial" w:hAnsi="Arial" w:cs="Arial"/>
        </w:rPr>
        <w:t xml:space="preserve"> influenced and shaped by the results discovered across all areas of the study. The area’s which the researcher felt needed to be more reinforced with clarity was provided by the survey. </w:t>
      </w:r>
    </w:p>
    <w:p w14:paraId="2A84A3DA" w14:textId="77777777" w:rsidR="00EB77D3" w:rsidRPr="00851192" w:rsidRDefault="00EB77D3" w:rsidP="003B74DC">
      <w:pPr>
        <w:spacing w:line="360" w:lineRule="auto"/>
        <w:jc w:val="both"/>
        <w:rPr>
          <w:rFonts w:ascii="Arial" w:hAnsi="Arial" w:cs="Arial"/>
        </w:rPr>
      </w:pPr>
      <w:r w:rsidRPr="00851192">
        <w:rPr>
          <w:rFonts w:ascii="Arial" w:hAnsi="Arial" w:cs="Arial"/>
        </w:rPr>
        <w:t xml:space="preserve">The results would come to provide the researcher with an insight of firstly if GGO’s CSR communications methods were effective, and how CSR communication could be measured more effectively. </w:t>
      </w:r>
    </w:p>
    <w:p w14:paraId="3D8EAB8D" w14:textId="77777777" w:rsidR="00EB77D3" w:rsidRPr="00851192" w:rsidRDefault="00EB77D3" w:rsidP="003B74DC">
      <w:pPr>
        <w:spacing w:line="360" w:lineRule="auto"/>
        <w:jc w:val="both"/>
        <w:rPr>
          <w:rFonts w:ascii="Arial" w:hAnsi="Arial" w:cs="Arial"/>
        </w:rPr>
      </w:pPr>
      <w:r w:rsidRPr="00851192">
        <w:rPr>
          <w:rFonts w:ascii="Arial" w:hAnsi="Arial" w:cs="Arial"/>
        </w:rPr>
        <w:t xml:space="preserve">The online survey was published on relevant blogs such as </w:t>
      </w:r>
      <w:proofErr w:type="spellStart"/>
      <w:r w:rsidRPr="00851192">
        <w:rPr>
          <w:rFonts w:ascii="Arial" w:hAnsi="Arial" w:cs="Arial"/>
        </w:rPr>
        <w:t>Casinomeister</w:t>
      </w:r>
      <w:proofErr w:type="spellEnd"/>
      <w:r w:rsidRPr="00851192">
        <w:rPr>
          <w:rFonts w:ascii="Arial" w:hAnsi="Arial" w:cs="Arial"/>
        </w:rPr>
        <w:t xml:space="preserve"> alongside social media platforms and targeted RG pages in Canada and Australia. Conversation with RG organisations from the UK, Kenya, and Canada can also be found although recognised as a limitation of the study. Evidence of published surveys can be identified within the appendices under appendix two. </w:t>
      </w:r>
    </w:p>
    <w:p w14:paraId="57A6DA92" w14:textId="416CF597" w:rsidR="00EB77D3" w:rsidRPr="00851192" w:rsidRDefault="00EB77D3" w:rsidP="003B74DC">
      <w:pPr>
        <w:spacing w:line="360" w:lineRule="auto"/>
        <w:jc w:val="both"/>
        <w:rPr>
          <w:rFonts w:ascii="Arial" w:hAnsi="Arial" w:cs="Arial"/>
        </w:rPr>
      </w:pPr>
      <w:r w:rsidRPr="00851192">
        <w:rPr>
          <w:rFonts w:ascii="Arial" w:hAnsi="Arial" w:cs="Arial"/>
        </w:rPr>
        <w:t>The aim of the survey was to identify if values held amongst participants within the survey are in conjunction with the values held by GGO’s</w:t>
      </w:r>
      <w:r w:rsidR="00AE453B" w:rsidRPr="00851192">
        <w:rPr>
          <w:rFonts w:ascii="Arial" w:hAnsi="Arial" w:cs="Arial"/>
        </w:rPr>
        <w:t>. Furthermore</w:t>
      </w:r>
      <w:r w:rsidR="00E27252" w:rsidRPr="00851192">
        <w:rPr>
          <w:rFonts w:ascii="Arial" w:hAnsi="Arial" w:cs="Arial"/>
        </w:rPr>
        <w:t xml:space="preserve">, this is alongside if the </w:t>
      </w:r>
      <w:r w:rsidRPr="00851192">
        <w:rPr>
          <w:rFonts w:ascii="Arial" w:hAnsi="Arial" w:cs="Arial"/>
        </w:rPr>
        <w:t xml:space="preserve">behaviour of operators and desired image of CSR (Kowalski &amp; Leary, 1990; Goffman, 1959; Phillips, 2003; Kotler &amp; Lee, 2005), and the delivery of CSR communication is in fact successful and strongly bounded between consumers and GGO’s (Tata and Prasad, 2015). </w:t>
      </w:r>
    </w:p>
    <w:p w14:paraId="5EE2E275" w14:textId="6D48D3D3" w:rsidR="00A23926" w:rsidRPr="00851192" w:rsidRDefault="001A7D5E" w:rsidP="001A7D5E">
      <w:pPr>
        <w:pStyle w:val="Heading1"/>
        <w:rPr>
          <w:rFonts w:ascii="Arial" w:hAnsi="Arial" w:cs="Arial"/>
          <w:color w:val="auto"/>
        </w:rPr>
      </w:pPr>
      <w:bookmarkStart w:id="33" w:name="_Toc526434234"/>
      <w:r w:rsidRPr="00851192">
        <w:rPr>
          <w:rFonts w:ascii="Arial" w:hAnsi="Arial" w:cs="Arial"/>
          <w:color w:val="auto"/>
        </w:rPr>
        <w:t xml:space="preserve">3.6 </w:t>
      </w:r>
      <w:r w:rsidR="00B87E59" w:rsidRPr="00851192">
        <w:rPr>
          <w:rFonts w:ascii="Arial" w:hAnsi="Arial" w:cs="Arial"/>
          <w:color w:val="auto"/>
        </w:rPr>
        <w:t>Content Analysis</w:t>
      </w:r>
      <w:bookmarkEnd w:id="33"/>
      <w:r w:rsidR="00B87E59" w:rsidRPr="00851192">
        <w:rPr>
          <w:rFonts w:ascii="Arial" w:hAnsi="Arial" w:cs="Arial"/>
          <w:color w:val="auto"/>
        </w:rPr>
        <w:t xml:space="preserve"> </w:t>
      </w:r>
    </w:p>
    <w:p w14:paraId="4F9AF4D2" w14:textId="2E85CF7A" w:rsidR="00350E40" w:rsidRPr="00851192" w:rsidRDefault="00680EBC" w:rsidP="003B74DC">
      <w:pPr>
        <w:spacing w:line="360" w:lineRule="auto"/>
        <w:jc w:val="both"/>
        <w:rPr>
          <w:rFonts w:ascii="Arial" w:hAnsi="Arial" w:cs="Arial"/>
        </w:rPr>
      </w:pPr>
      <w:r w:rsidRPr="00851192">
        <w:rPr>
          <w:rFonts w:ascii="Arial" w:hAnsi="Arial" w:cs="Arial"/>
        </w:rPr>
        <w:t xml:space="preserve">According to GAO (1996), conducting a content analysis allows researchers to filter through large quantities of data in a systematic way. </w:t>
      </w:r>
      <w:r w:rsidR="00712297" w:rsidRPr="00851192">
        <w:rPr>
          <w:rFonts w:ascii="Arial" w:hAnsi="Arial" w:cs="Arial"/>
        </w:rPr>
        <w:t xml:space="preserve">From the perspective of the researcher, by </w:t>
      </w:r>
      <w:r w:rsidR="00350E40" w:rsidRPr="00851192">
        <w:rPr>
          <w:rFonts w:ascii="Arial" w:hAnsi="Arial" w:cs="Arial"/>
        </w:rPr>
        <w:t>conducting a qualitative</w:t>
      </w:r>
      <w:r w:rsidR="00712297" w:rsidRPr="00851192">
        <w:rPr>
          <w:rFonts w:ascii="Arial" w:hAnsi="Arial" w:cs="Arial"/>
        </w:rPr>
        <w:t xml:space="preserve"> content analysis </w:t>
      </w:r>
      <w:r w:rsidR="00894038" w:rsidRPr="00851192">
        <w:rPr>
          <w:rFonts w:ascii="Arial" w:hAnsi="Arial" w:cs="Arial"/>
        </w:rPr>
        <w:t xml:space="preserve">in </w:t>
      </w:r>
      <w:r w:rsidR="00712297" w:rsidRPr="00851192">
        <w:rPr>
          <w:rFonts w:ascii="Arial" w:hAnsi="Arial" w:cs="Arial"/>
        </w:rPr>
        <w:t xml:space="preserve">the dissertation, advantages come to light </w:t>
      </w:r>
      <w:r w:rsidR="00350E40" w:rsidRPr="00851192">
        <w:rPr>
          <w:rFonts w:ascii="Arial" w:hAnsi="Arial" w:cs="Arial"/>
        </w:rPr>
        <w:t xml:space="preserve">through identifying </w:t>
      </w:r>
      <w:r w:rsidR="00712297" w:rsidRPr="00851192">
        <w:rPr>
          <w:rFonts w:ascii="Arial" w:hAnsi="Arial" w:cs="Arial"/>
        </w:rPr>
        <w:t xml:space="preserve">cultural insights within </w:t>
      </w:r>
      <w:r w:rsidR="00350E40" w:rsidRPr="00851192">
        <w:rPr>
          <w:rFonts w:ascii="Arial" w:hAnsi="Arial" w:cs="Arial"/>
        </w:rPr>
        <w:t>GGO’s. Further advantages can be identified such as</w:t>
      </w:r>
      <w:r w:rsidR="00712297" w:rsidRPr="00851192">
        <w:rPr>
          <w:rFonts w:ascii="Arial" w:hAnsi="Arial" w:cs="Arial"/>
        </w:rPr>
        <w:t xml:space="preserve"> </w:t>
      </w:r>
      <w:r w:rsidR="00350E40" w:rsidRPr="00851192">
        <w:rPr>
          <w:rFonts w:ascii="Arial" w:hAnsi="Arial" w:cs="Arial"/>
        </w:rPr>
        <w:t>analysing</w:t>
      </w:r>
      <w:r w:rsidR="00712297" w:rsidRPr="00851192">
        <w:rPr>
          <w:rFonts w:ascii="Arial" w:hAnsi="Arial" w:cs="Arial"/>
        </w:rPr>
        <w:t xml:space="preserve"> communication, </w:t>
      </w:r>
      <w:r w:rsidR="00350E40" w:rsidRPr="00851192">
        <w:rPr>
          <w:rFonts w:ascii="Arial" w:hAnsi="Arial" w:cs="Arial"/>
        </w:rPr>
        <w:t>identifying</w:t>
      </w:r>
      <w:r w:rsidR="00712297" w:rsidRPr="00851192">
        <w:rPr>
          <w:rFonts w:ascii="Arial" w:hAnsi="Arial" w:cs="Arial"/>
        </w:rPr>
        <w:t xml:space="preserve"> best practices, </w:t>
      </w:r>
      <w:r w:rsidR="00350E40" w:rsidRPr="00851192">
        <w:rPr>
          <w:rFonts w:ascii="Arial" w:hAnsi="Arial" w:cs="Arial"/>
        </w:rPr>
        <w:t>the</w:t>
      </w:r>
      <w:r w:rsidR="00712297" w:rsidRPr="00851192">
        <w:rPr>
          <w:rFonts w:ascii="Arial" w:hAnsi="Arial" w:cs="Arial"/>
        </w:rPr>
        <w:t xml:space="preserve"> </w:t>
      </w:r>
      <w:r w:rsidR="00350E40" w:rsidRPr="00851192">
        <w:rPr>
          <w:rFonts w:ascii="Arial" w:hAnsi="Arial" w:cs="Arial"/>
        </w:rPr>
        <w:t>processes</w:t>
      </w:r>
      <w:r w:rsidR="00712297" w:rsidRPr="00851192">
        <w:rPr>
          <w:rFonts w:ascii="Arial" w:hAnsi="Arial" w:cs="Arial"/>
        </w:rPr>
        <w:t xml:space="preserve"> use</w:t>
      </w:r>
      <w:r w:rsidR="00350E40" w:rsidRPr="00851192">
        <w:rPr>
          <w:rFonts w:ascii="Arial" w:hAnsi="Arial" w:cs="Arial"/>
        </w:rPr>
        <w:t>d</w:t>
      </w:r>
      <w:r w:rsidR="00712297" w:rsidRPr="00851192">
        <w:rPr>
          <w:rFonts w:ascii="Arial" w:hAnsi="Arial" w:cs="Arial"/>
        </w:rPr>
        <w:t xml:space="preserve"> </w:t>
      </w:r>
      <w:r w:rsidR="00350E40" w:rsidRPr="00851192">
        <w:rPr>
          <w:rFonts w:ascii="Arial" w:hAnsi="Arial" w:cs="Arial"/>
        </w:rPr>
        <w:t>by GGO’s</w:t>
      </w:r>
      <w:r w:rsidR="00712297" w:rsidRPr="00851192">
        <w:rPr>
          <w:rFonts w:ascii="Arial" w:hAnsi="Arial" w:cs="Arial"/>
        </w:rPr>
        <w:t xml:space="preserve"> on CSR communication, the interpretation on values held by all</w:t>
      </w:r>
      <w:r w:rsidR="00350E40" w:rsidRPr="00851192">
        <w:rPr>
          <w:rFonts w:ascii="Arial" w:hAnsi="Arial" w:cs="Arial"/>
        </w:rPr>
        <w:t xml:space="preserve"> GGO’s</w:t>
      </w:r>
      <w:r w:rsidR="00712297" w:rsidRPr="00851192">
        <w:rPr>
          <w:rFonts w:ascii="Arial" w:hAnsi="Arial" w:cs="Arial"/>
        </w:rPr>
        <w:t xml:space="preserve">, and the ability </w:t>
      </w:r>
      <w:r w:rsidR="00E27252" w:rsidRPr="00851192">
        <w:rPr>
          <w:rFonts w:ascii="Arial" w:hAnsi="Arial" w:cs="Arial"/>
        </w:rPr>
        <w:t>of using</w:t>
      </w:r>
      <w:r w:rsidR="00712297" w:rsidRPr="00851192">
        <w:rPr>
          <w:rFonts w:ascii="Arial" w:hAnsi="Arial" w:cs="Arial"/>
        </w:rPr>
        <w:t xml:space="preserve"> of both quantitative and qualitative methods as supported and adapted by </w:t>
      </w:r>
      <w:sdt>
        <w:sdtPr>
          <w:rPr>
            <w:rFonts w:ascii="Arial" w:hAnsi="Arial" w:cs="Arial"/>
          </w:rPr>
          <w:id w:val="-1668552807"/>
          <w:citation/>
        </w:sdtPr>
        <w:sdtEndPr/>
        <w:sdtContent>
          <w:r w:rsidR="00712297" w:rsidRPr="00851192">
            <w:rPr>
              <w:rFonts w:ascii="Arial" w:hAnsi="Arial" w:cs="Arial"/>
            </w:rPr>
            <w:fldChar w:fldCharType="begin"/>
          </w:r>
          <w:r w:rsidR="00712297" w:rsidRPr="00851192">
            <w:rPr>
              <w:rFonts w:ascii="Arial" w:hAnsi="Arial" w:cs="Arial"/>
            </w:rPr>
            <w:instrText xml:space="preserve"> CITATION Mac05 \l 2057 </w:instrText>
          </w:r>
          <w:r w:rsidR="00712297" w:rsidRPr="00851192">
            <w:rPr>
              <w:rFonts w:ascii="Arial" w:hAnsi="Arial" w:cs="Arial"/>
            </w:rPr>
            <w:fldChar w:fldCharType="separate"/>
          </w:r>
          <w:r w:rsidR="002D17EA" w:rsidRPr="00851192">
            <w:rPr>
              <w:rFonts w:ascii="Arial" w:hAnsi="Arial" w:cs="Arial"/>
              <w:noProof/>
            </w:rPr>
            <w:t>(Macnamara, 2005)</w:t>
          </w:r>
          <w:r w:rsidR="00712297" w:rsidRPr="00851192">
            <w:rPr>
              <w:rFonts w:ascii="Arial" w:hAnsi="Arial" w:cs="Arial"/>
            </w:rPr>
            <w:fldChar w:fldCharType="end"/>
          </w:r>
        </w:sdtContent>
      </w:sdt>
      <w:r w:rsidR="00712297" w:rsidRPr="00851192">
        <w:rPr>
          <w:rFonts w:ascii="Arial" w:hAnsi="Arial" w:cs="Arial"/>
        </w:rPr>
        <w:t>.</w:t>
      </w:r>
      <w:r w:rsidR="008655D5" w:rsidRPr="00851192">
        <w:rPr>
          <w:rFonts w:ascii="Arial" w:hAnsi="Arial" w:cs="Arial"/>
        </w:rPr>
        <w:t xml:space="preserve"> </w:t>
      </w:r>
    </w:p>
    <w:p w14:paraId="46B17CC3" w14:textId="18ABCD77" w:rsidR="007A2862" w:rsidRPr="00851192" w:rsidRDefault="008655D5" w:rsidP="003B74DC">
      <w:pPr>
        <w:spacing w:line="360" w:lineRule="auto"/>
        <w:jc w:val="both"/>
        <w:rPr>
          <w:rFonts w:ascii="Arial" w:hAnsi="Arial" w:cs="Arial"/>
          <w:noProof/>
        </w:rPr>
      </w:pPr>
      <w:r w:rsidRPr="00851192">
        <w:rPr>
          <w:rFonts w:ascii="Arial" w:hAnsi="Arial" w:cs="Arial"/>
        </w:rPr>
        <w:t xml:space="preserve">Furthermore, </w:t>
      </w:r>
      <w:r w:rsidRPr="00851192">
        <w:rPr>
          <w:rFonts w:ascii="Arial" w:hAnsi="Arial" w:cs="Arial"/>
          <w:noProof/>
        </w:rPr>
        <w:t>Krippendorff (1980)</w:t>
      </w:r>
      <w:r w:rsidRPr="00851192">
        <w:rPr>
          <w:rFonts w:ascii="Arial" w:hAnsi="Arial" w:cs="Arial"/>
        </w:rPr>
        <w:t xml:space="preserve"> also extends the advantages of conducting a content analysis are those such as it is flexible, adapts well to unstructured material and numerous sources, unobtrusive, context sensitive, alongside being applied as a tool to analyse large amounts of data. Due to the large scope a content analysis can operate across alongside considering the scale of the research dissertation</w:t>
      </w:r>
      <w:r w:rsidR="00E27252" w:rsidRPr="00851192">
        <w:rPr>
          <w:rFonts w:ascii="Arial" w:hAnsi="Arial" w:cs="Arial"/>
        </w:rPr>
        <w:t>. This</w:t>
      </w:r>
      <w:r w:rsidRPr="00851192">
        <w:rPr>
          <w:rFonts w:ascii="Arial" w:hAnsi="Arial" w:cs="Arial"/>
        </w:rPr>
        <w:t xml:space="preserve"> method provides itself as a useful </w:t>
      </w:r>
      <w:r w:rsidRPr="00851192">
        <w:rPr>
          <w:rFonts w:ascii="Arial" w:hAnsi="Arial" w:cs="Arial"/>
        </w:rPr>
        <w:lastRenderedPageBreak/>
        <w:t>technique to identi</w:t>
      </w:r>
      <w:r w:rsidR="00950B2A" w:rsidRPr="00851192">
        <w:rPr>
          <w:rFonts w:ascii="Arial" w:hAnsi="Arial" w:cs="Arial"/>
        </w:rPr>
        <w:t xml:space="preserve">fy and analyse changes within behaviour amongst all </w:t>
      </w:r>
      <w:r w:rsidR="00894038" w:rsidRPr="00851192">
        <w:rPr>
          <w:rFonts w:ascii="Arial" w:hAnsi="Arial" w:cs="Arial"/>
        </w:rPr>
        <w:t>GGO’s</w:t>
      </w:r>
      <w:r w:rsidR="00950B2A" w:rsidRPr="00851192">
        <w:rPr>
          <w:rFonts w:ascii="Arial" w:hAnsi="Arial" w:cs="Arial"/>
        </w:rPr>
        <w:t xml:space="preserve"> within the study</w:t>
      </w:r>
      <w:r w:rsidR="00894038" w:rsidRPr="00851192">
        <w:rPr>
          <w:rFonts w:ascii="Arial" w:hAnsi="Arial" w:cs="Arial"/>
        </w:rPr>
        <w:t>,</w:t>
      </w:r>
      <w:r w:rsidR="00950B2A" w:rsidRPr="00851192">
        <w:rPr>
          <w:rFonts w:ascii="Arial" w:hAnsi="Arial" w:cs="Arial"/>
        </w:rPr>
        <w:t xml:space="preserve"> alongside adding value to making conclusions </w:t>
      </w:r>
      <w:r w:rsidR="00950B2A" w:rsidRPr="00851192">
        <w:rPr>
          <w:rFonts w:ascii="Arial" w:hAnsi="Arial" w:cs="Arial"/>
          <w:noProof/>
        </w:rPr>
        <w:t>(Weber, 1990; Krippendorff, 1980).</w:t>
      </w:r>
    </w:p>
    <w:p w14:paraId="652C0225" w14:textId="534FA81E" w:rsidR="00A23926" w:rsidRPr="00851192" w:rsidRDefault="001A7D5E" w:rsidP="001A7D5E">
      <w:pPr>
        <w:pStyle w:val="Heading1"/>
        <w:rPr>
          <w:rFonts w:ascii="Arial" w:hAnsi="Arial" w:cs="Arial"/>
          <w:color w:val="auto"/>
        </w:rPr>
      </w:pPr>
      <w:bookmarkStart w:id="34" w:name="_Toc526434235"/>
      <w:r w:rsidRPr="00851192">
        <w:rPr>
          <w:rFonts w:ascii="Arial" w:hAnsi="Arial" w:cs="Arial"/>
          <w:color w:val="auto"/>
        </w:rPr>
        <w:t xml:space="preserve">3.7 </w:t>
      </w:r>
      <w:r w:rsidR="00B87E59" w:rsidRPr="00851192">
        <w:rPr>
          <w:rFonts w:ascii="Arial" w:hAnsi="Arial" w:cs="Arial"/>
          <w:color w:val="auto"/>
        </w:rPr>
        <w:t xml:space="preserve">CSR Communication Consumer </w:t>
      </w:r>
      <w:r w:rsidR="00A01554" w:rsidRPr="00851192">
        <w:rPr>
          <w:rFonts w:ascii="Arial" w:hAnsi="Arial" w:cs="Arial"/>
          <w:color w:val="auto"/>
        </w:rPr>
        <w:t>Survey</w:t>
      </w:r>
      <w:bookmarkEnd w:id="34"/>
      <w:r w:rsidR="00A01554" w:rsidRPr="00851192">
        <w:rPr>
          <w:rFonts w:ascii="Arial" w:hAnsi="Arial" w:cs="Arial"/>
          <w:color w:val="auto"/>
        </w:rPr>
        <w:t xml:space="preserve"> </w:t>
      </w:r>
    </w:p>
    <w:p w14:paraId="104BEABF" w14:textId="0114A6BF" w:rsidR="006F12FE" w:rsidRPr="00851192" w:rsidRDefault="007E3160" w:rsidP="003B74DC">
      <w:pPr>
        <w:spacing w:line="360" w:lineRule="auto"/>
        <w:jc w:val="both"/>
        <w:rPr>
          <w:rFonts w:ascii="Arial" w:hAnsi="Arial" w:cs="Arial"/>
        </w:rPr>
      </w:pPr>
      <w:r w:rsidRPr="00851192">
        <w:rPr>
          <w:rFonts w:ascii="Arial" w:hAnsi="Arial" w:cs="Arial"/>
        </w:rPr>
        <w:t xml:space="preserve">A survey was </w:t>
      </w:r>
      <w:r w:rsidR="00894038" w:rsidRPr="00851192">
        <w:rPr>
          <w:rFonts w:ascii="Arial" w:hAnsi="Arial" w:cs="Arial"/>
        </w:rPr>
        <w:t>publicised</w:t>
      </w:r>
      <w:r w:rsidRPr="00851192">
        <w:rPr>
          <w:rFonts w:ascii="Arial" w:hAnsi="Arial" w:cs="Arial"/>
        </w:rPr>
        <w:t xml:space="preserve"> on appropriate platforms such as blogs and social media for members of society to evaluate their perception of </w:t>
      </w:r>
      <w:r w:rsidR="00894038" w:rsidRPr="00851192">
        <w:rPr>
          <w:rFonts w:ascii="Arial" w:hAnsi="Arial" w:cs="Arial"/>
        </w:rPr>
        <w:t>GGO’s</w:t>
      </w:r>
      <w:r w:rsidRPr="00851192">
        <w:rPr>
          <w:rFonts w:ascii="Arial" w:hAnsi="Arial" w:cs="Arial"/>
        </w:rPr>
        <w:t xml:space="preserve"> performance regarding CSR communication. </w:t>
      </w:r>
      <w:r w:rsidR="0019665A" w:rsidRPr="00851192">
        <w:rPr>
          <w:rFonts w:ascii="Arial" w:hAnsi="Arial" w:cs="Arial"/>
        </w:rPr>
        <w:t>The deadline for the survey to be completed by audiences was the 11</w:t>
      </w:r>
      <w:r w:rsidR="0019665A" w:rsidRPr="00851192">
        <w:rPr>
          <w:rFonts w:ascii="Arial" w:hAnsi="Arial" w:cs="Arial"/>
          <w:vertAlign w:val="superscript"/>
        </w:rPr>
        <w:t>th</w:t>
      </w:r>
      <w:r w:rsidR="0019665A" w:rsidRPr="00851192">
        <w:rPr>
          <w:rFonts w:ascii="Arial" w:hAnsi="Arial" w:cs="Arial"/>
        </w:rPr>
        <w:t xml:space="preserve"> of September 2018. </w:t>
      </w:r>
      <w:r w:rsidRPr="00851192">
        <w:rPr>
          <w:rFonts w:ascii="Arial" w:hAnsi="Arial" w:cs="Arial"/>
        </w:rPr>
        <w:t xml:space="preserve">Although the surveys purpose wasn’t to inform the public on what CSR communication was and if </w:t>
      </w:r>
      <w:r w:rsidR="00894038" w:rsidRPr="00851192">
        <w:rPr>
          <w:rFonts w:ascii="Arial" w:hAnsi="Arial" w:cs="Arial"/>
        </w:rPr>
        <w:t>GGO’s</w:t>
      </w:r>
      <w:r w:rsidRPr="00851192">
        <w:rPr>
          <w:rFonts w:ascii="Arial" w:hAnsi="Arial" w:cs="Arial"/>
        </w:rPr>
        <w:t xml:space="preserve"> were effective at this, the purpose of the survey was to identify participants’ interpretation towards areas within the research which needed to be clarified, further discovered </w:t>
      </w:r>
      <w:r w:rsidR="00894038" w:rsidRPr="00851192">
        <w:rPr>
          <w:rFonts w:ascii="Arial" w:hAnsi="Arial" w:cs="Arial"/>
        </w:rPr>
        <w:t>or</w:t>
      </w:r>
      <w:r w:rsidRPr="00851192">
        <w:rPr>
          <w:rFonts w:ascii="Arial" w:hAnsi="Arial" w:cs="Arial"/>
        </w:rPr>
        <w:t xml:space="preserve"> reinforced. This was done to ensure that the research in hand was valid throughout the dissertation alongside providing an insight to the researcher on the true perceived value and effectiveness of CSR communication </w:t>
      </w:r>
      <w:r w:rsidR="00E27252" w:rsidRPr="00851192">
        <w:rPr>
          <w:rFonts w:ascii="Arial" w:hAnsi="Arial" w:cs="Arial"/>
        </w:rPr>
        <w:t xml:space="preserve">by GGO’s. </w:t>
      </w:r>
    </w:p>
    <w:p w14:paraId="709DE595" w14:textId="39CCC75A" w:rsidR="00A6610A" w:rsidRPr="00851192" w:rsidRDefault="006F12FE" w:rsidP="003B74DC">
      <w:pPr>
        <w:spacing w:line="360" w:lineRule="auto"/>
        <w:jc w:val="both"/>
        <w:rPr>
          <w:rFonts w:ascii="Arial" w:hAnsi="Arial" w:cs="Arial"/>
        </w:rPr>
      </w:pPr>
      <w:r w:rsidRPr="00851192">
        <w:rPr>
          <w:rFonts w:ascii="Arial" w:hAnsi="Arial" w:cs="Arial"/>
        </w:rPr>
        <w:t xml:space="preserve">The first section of the CSR communication consumer survey (questions 1 to 5) provided an opportunity for the researcher to gain an understanding on gambling preferences by participants. The second section (questions 6 – 10) targeted the perceived value in CSR and CSR communication by GGO’s. </w:t>
      </w:r>
      <w:r w:rsidR="007E3160" w:rsidRPr="00851192">
        <w:rPr>
          <w:rFonts w:ascii="Arial" w:hAnsi="Arial" w:cs="Arial"/>
        </w:rPr>
        <w:t xml:space="preserve"> </w:t>
      </w:r>
      <w:r w:rsidR="007169D7" w:rsidRPr="00851192">
        <w:rPr>
          <w:rFonts w:ascii="Arial" w:hAnsi="Arial" w:cs="Arial"/>
        </w:rPr>
        <w:t xml:space="preserve">A copy of the survey can be seen within the appendices under appendix one. </w:t>
      </w:r>
    </w:p>
    <w:p w14:paraId="0008A6DC" w14:textId="1BA31963" w:rsidR="00123C36" w:rsidRPr="00851192" w:rsidRDefault="00123C36" w:rsidP="003B74DC">
      <w:pPr>
        <w:spacing w:line="360" w:lineRule="auto"/>
        <w:jc w:val="both"/>
        <w:rPr>
          <w:rFonts w:ascii="Arial" w:hAnsi="Arial" w:cs="Arial"/>
        </w:rPr>
      </w:pPr>
      <w:r w:rsidRPr="00851192">
        <w:rPr>
          <w:rFonts w:ascii="Arial" w:hAnsi="Arial" w:cs="Arial"/>
        </w:rPr>
        <w:t xml:space="preserve">For the purposes of the analysis </w:t>
      </w:r>
      <w:r w:rsidR="00E27252" w:rsidRPr="00851192">
        <w:rPr>
          <w:rFonts w:ascii="Arial" w:hAnsi="Arial" w:cs="Arial"/>
        </w:rPr>
        <w:t>within</w:t>
      </w:r>
      <w:r w:rsidRPr="00851192">
        <w:rPr>
          <w:rFonts w:ascii="Arial" w:hAnsi="Arial" w:cs="Arial"/>
        </w:rPr>
        <w:t xml:space="preserve"> the research, standard deviation has been applied to the evaluation of findings. A high standard deviation indicate</w:t>
      </w:r>
      <w:r w:rsidR="00E27252" w:rsidRPr="00851192">
        <w:rPr>
          <w:rFonts w:ascii="Arial" w:hAnsi="Arial" w:cs="Arial"/>
        </w:rPr>
        <w:t>d</w:t>
      </w:r>
      <w:r w:rsidRPr="00851192">
        <w:rPr>
          <w:rFonts w:ascii="Arial" w:hAnsi="Arial" w:cs="Arial"/>
        </w:rPr>
        <w:t xml:space="preserve"> towards a wide spread of values where as a lower standard deviation indicated that data provided by participants is close to the mean</w:t>
      </w:r>
      <w:r w:rsidR="00E27252" w:rsidRPr="00851192">
        <w:rPr>
          <w:rFonts w:ascii="Arial" w:hAnsi="Arial" w:cs="Arial"/>
        </w:rPr>
        <w:t xml:space="preserve"> within the evaluated results.</w:t>
      </w:r>
    </w:p>
    <w:p w14:paraId="16DB36C0" w14:textId="5870B150" w:rsidR="00A01554" w:rsidRPr="00851192" w:rsidRDefault="00DF7255" w:rsidP="00DF7255">
      <w:pPr>
        <w:pStyle w:val="Heading1"/>
        <w:rPr>
          <w:rFonts w:ascii="Arial" w:hAnsi="Arial" w:cs="Arial"/>
          <w:color w:val="auto"/>
        </w:rPr>
      </w:pPr>
      <w:bookmarkStart w:id="35" w:name="_Toc526434236"/>
      <w:r w:rsidRPr="00851192">
        <w:rPr>
          <w:rFonts w:ascii="Arial" w:hAnsi="Arial" w:cs="Arial"/>
          <w:color w:val="auto"/>
        </w:rPr>
        <w:t>3.</w:t>
      </w:r>
      <w:r w:rsidR="00C019D2" w:rsidRPr="00851192">
        <w:rPr>
          <w:rFonts w:ascii="Arial" w:hAnsi="Arial" w:cs="Arial"/>
          <w:color w:val="auto"/>
        </w:rPr>
        <w:t>8</w:t>
      </w:r>
      <w:r w:rsidRPr="00851192">
        <w:rPr>
          <w:rFonts w:ascii="Arial" w:hAnsi="Arial" w:cs="Arial"/>
          <w:color w:val="auto"/>
        </w:rPr>
        <w:t xml:space="preserve"> </w:t>
      </w:r>
      <w:r w:rsidR="00A01554" w:rsidRPr="00851192">
        <w:rPr>
          <w:rFonts w:ascii="Arial" w:hAnsi="Arial" w:cs="Arial"/>
          <w:color w:val="auto"/>
        </w:rPr>
        <w:t>Reliability and Validity</w:t>
      </w:r>
      <w:bookmarkEnd w:id="35"/>
      <w:r w:rsidR="00A01554" w:rsidRPr="00851192">
        <w:rPr>
          <w:rFonts w:ascii="Arial" w:hAnsi="Arial" w:cs="Arial"/>
          <w:color w:val="auto"/>
        </w:rPr>
        <w:t xml:space="preserve"> </w:t>
      </w:r>
    </w:p>
    <w:p w14:paraId="5F16905B" w14:textId="1631F352" w:rsidR="00A23926" w:rsidRPr="00851192" w:rsidRDefault="001E62AB" w:rsidP="003B74DC">
      <w:pPr>
        <w:spacing w:line="360" w:lineRule="auto"/>
        <w:jc w:val="both"/>
        <w:rPr>
          <w:rFonts w:ascii="Arial" w:hAnsi="Arial" w:cs="Arial"/>
        </w:rPr>
      </w:pPr>
      <w:proofErr w:type="spellStart"/>
      <w:r w:rsidRPr="00851192">
        <w:rPr>
          <w:rFonts w:ascii="Arial" w:hAnsi="Arial" w:cs="Arial"/>
        </w:rPr>
        <w:t>Stemler</w:t>
      </w:r>
      <w:proofErr w:type="spellEnd"/>
      <w:r w:rsidRPr="00851192">
        <w:rPr>
          <w:rFonts w:ascii="Arial" w:hAnsi="Arial" w:cs="Arial"/>
        </w:rPr>
        <w:t xml:space="preserve"> (2001) identifies that the reliability of a study which consists of a content analysis refers to the reproducibility and stability of the evaluated findings. To ensure that stability is proficient, the researcher re-codes data in the same way as </w:t>
      </w:r>
      <w:r w:rsidR="00534350" w:rsidRPr="00851192">
        <w:rPr>
          <w:rFonts w:ascii="Arial" w:hAnsi="Arial" w:cs="Arial"/>
        </w:rPr>
        <w:t>before,</w:t>
      </w:r>
      <w:r w:rsidRPr="00851192">
        <w:rPr>
          <w:rFonts w:ascii="Arial" w:hAnsi="Arial" w:cs="Arial"/>
        </w:rPr>
        <w:t xml:space="preserve"> </w:t>
      </w:r>
      <w:r w:rsidR="00534350" w:rsidRPr="00851192">
        <w:rPr>
          <w:rFonts w:ascii="Arial" w:hAnsi="Arial" w:cs="Arial"/>
        </w:rPr>
        <w:t>ensuring</w:t>
      </w:r>
      <w:r w:rsidRPr="00851192">
        <w:rPr>
          <w:rFonts w:ascii="Arial" w:hAnsi="Arial" w:cs="Arial"/>
        </w:rPr>
        <w:t xml:space="preserve"> that the process and results </w:t>
      </w:r>
      <w:r w:rsidR="00534350" w:rsidRPr="00851192">
        <w:rPr>
          <w:rFonts w:ascii="Arial" w:hAnsi="Arial" w:cs="Arial"/>
        </w:rPr>
        <w:t>are</w:t>
      </w:r>
      <w:r w:rsidRPr="00851192">
        <w:rPr>
          <w:rFonts w:ascii="Arial" w:hAnsi="Arial" w:cs="Arial"/>
        </w:rPr>
        <w:t xml:space="preserve"> considered to be </w:t>
      </w:r>
      <w:r w:rsidR="00FC2D8A" w:rsidRPr="00851192">
        <w:rPr>
          <w:rFonts w:ascii="Arial" w:hAnsi="Arial" w:cs="Arial"/>
        </w:rPr>
        <w:t>reliable</w:t>
      </w:r>
      <w:r w:rsidRPr="00851192">
        <w:rPr>
          <w:rFonts w:ascii="Arial" w:hAnsi="Arial" w:cs="Arial"/>
        </w:rPr>
        <w:t xml:space="preserve">. </w:t>
      </w:r>
    </w:p>
    <w:p w14:paraId="01975C88" w14:textId="4137B017" w:rsidR="0011644D" w:rsidRPr="00851192" w:rsidRDefault="0011644D" w:rsidP="003B74DC">
      <w:pPr>
        <w:spacing w:line="360" w:lineRule="auto"/>
        <w:jc w:val="both"/>
        <w:rPr>
          <w:rFonts w:ascii="Arial" w:hAnsi="Arial" w:cs="Arial"/>
        </w:rPr>
      </w:pPr>
      <w:r w:rsidRPr="00851192">
        <w:rPr>
          <w:rFonts w:ascii="Arial" w:hAnsi="Arial" w:cs="Arial"/>
        </w:rPr>
        <w:t xml:space="preserve">The validity of the study was measured and controlled through the extent of where </w:t>
      </w:r>
      <w:r w:rsidR="00534350" w:rsidRPr="00851192">
        <w:rPr>
          <w:rFonts w:ascii="Arial" w:hAnsi="Arial" w:cs="Arial"/>
        </w:rPr>
        <w:t xml:space="preserve">the </w:t>
      </w:r>
      <w:r w:rsidRPr="00851192">
        <w:rPr>
          <w:rFonts w:ascii="Arial" w:hAnsi="Arial" w:cs="Arial"/>
        </w:rPr>
        <w:t>survey w</w:t>
      </w:r>
      <w:r w:rsidR="00534350" w:rsidRPr="00851192">
        <w:rPr>
          <w:rFonts w:ascii="Arial" w:hAnsi="Arial" w:cs="Arial"/>
        </w:rPr>
        <w:t>as</w:t>
      </w:r>
      <w:r w:rsidRPr="00851192">
        <w:rPr>
          <w:rFonts w:ascii="Arial" w:hAnsi="Arial" w:cs="Arial"/>
        </w:rPr>
        <w:t xml:space="preserve"> </w:t>
      </w:r>
      <w:r w:rsidR="00534350" w:rsidRPr="00851192">
        <w:rPr>
          <w:rFonts w:ascii="Arial" w:hAnsi="Arial" w:cs="Arial"/>
        </w:rPr>
        <w:t>publicised</w:t>
      </w:r>
      <w:r w:rsidRPr="00851192">
        <w:rPr>
          <w:rFonts w:ascii="Arial" w:hAnsi="Arial" w:cs="Arial"/>
        </w:rPr>
        <w:t xml:space="preserve"> on forums and </w:t>
      </w:r>
      <w:r w:rsidR="00534350" w:rsidRPr="00851192">
        <w:rPr>
          <w:rFonts w:ascii="Arial" w:hAnsi="Arial" w:cs="Arial"/>
        </w:rPr>
        <w:t>pages</w:t>
      </w:r>
      <w:r w:rsidRPr="00851192">
        <w:rPr>
          <w:rFonts w:ascii="Arial" w:hAnsi="Arial" w:cs="Arial"/>
        </w:rPr>
        <w:t xml:space="preserve"> in relation to gambling</w:t>
      </w:r>
      <w:r w:rsidR="00534350" w:rsidRPr="00851192">
        <w:rPr>
          <w:rFonts w:ascii="Arial" w:hAnsi="Arial" w:cs="Arial"/>
        </w:rPr>
        <w:t>,</w:t>
      </w:r>
      <w:r w:rsidRPr="00851192">
        <w:rPr>
          <w:rFonts w:ascii="Arial" w:hAnsi="Arial" w:cs="Arial"/>
        </w:rPr>
        <w:t xml:space="preserve"> alongside social media platforms. A consent to take part in the survey was met before participants continued</w:t>
      </w:r>
      <w:r w:rsidR="00534350" w:rsidRPr="00851192">
        <w:rPr>
          <w:rFonts w:ascii="Arial" w:hAnsi="Arial" w:cs="Arial"/>
        </w:rPr>
        <w:t xml:space="preserve"> as stated per the terms and conditions</w:t>
      </w:r>
      <w:r w:rsidRPr="00851192">
        <w:rPr>
          <w:rFonts w:ascii="Arial" w:hAnsi="Arial" w:cs="Arial"/>
        </w:rPr>
        <w:t xml:space="preserve">. The questions within the survey were shaped to meet the necessary requirements to fulfil the dissertation and reinforce the content analysis, therefore, by means of application, the results acquired within the research of the study become valid and applicable to the objectives </w:t>
      </w:r>
      <w:r w:rsidR="00E27252" w:rsidRPr="00851192">
        <w:rPr>
          <w:rFonts w:ascii="Arial" w:hAnsi="Arial" w:cs="Arial"/>
        </w:rPr>
        <w:t>set within the dissertation</w:t>
      </w:r>
      <w:r w:rsidRPr="00851192">
        <w:rPr>
          <w:rFonts w:ascii="Arial" w:hAnsi="Arial" w:cs="Arial"/>
        </w:rPr>
        <w:t xml:space="preserve"> </w:t>
      </w:r>
      <w:r w:rsidRPr="00851192">
        <w:rPr>
          <w:rFonts w:ascii="Arial" w:hAnsi="Arial" w:cs="Arial"/>
          <w:noProof/>
        </w:rPr>
        <w:t>(Roberts et al., 2006)</w:t>
      </w:r>
      <w:r w:rsidRPr="00851192">
        <w:rPr>
          <w:rFonts w:ascii="Arial" w:hAnsi="Arial" w:cs="Arial"/>
        </w:rPr>
        <w:t xml:space="preserve">. </w:t>
      </w:r>
    </w:p>
    <w:p w14:paraId="774A0018" w14:textId="5BD3616F" w:rsidR="0011644D" w:rsidRPr="00851192" w:rsidRDefault="0011644D" w:rsidP="003B74DC">
      <w:pPr>
        <w:spacing w:line="360" w:lineRule="auto"/>
        <w:jc w:val="both"/>
        <w:rPr>
          <w:rFonts w:ascii="Arial" w:hAnsi="Arial" w:cs="Arial"/>
        </w:rPr>
      </w:pPr>
      <w:r w:rsidRPr="00851192">
        <w:rPr>
          <w:rFonts w:ascii="Arial" w:hAnsi="Arial" w:cs="Arial"/>
        </w:rPr>
        <w:lastRenderedPageBreak/>
        <w:t xml:space="preserve">Three steps were taken to ensure that the research project in hand was reliable and valid. These were; </w:t>
      </w:r>
    </w:p>
    <w:p w14:paraId="40F036A0" w14:textId="3E336802" w:rsidR="0011644D" w:rsidRPr="00851192" w:rsidRDefault="003627C9" w:rsidP="003B74DC">
      <w:pPr>
        <w:pStyle w:val="ListParagraph"/>
        <w:numPr>
          <w:ilvl w:val="0"/>
          <w:numId w:val="11"/>
        </w:numPr>
        <w:spacing w:line="360" w:lineRule="auto"/>
        <w:jc w:val="both"/>
        <w:rPr>
          <w:rFonts w:ascii="Arial" w:hAnsi="Arial" w:cs="Arial"/>
        </w:rPr>
      </w:pPr>
      <w:r w:rsidRPr="00851192">
        <w:rPr>
          <w:rFonts w:ascii="Arial" w:hAnsi="Arial" w:cs="Arial"/>
        </w:rPr>
        <w:t xml:space="preserve">Conduct a content analysis which is based on fact not opinion. The research accumulated within the project consisted of a scoring system which demonstrated levels of CSR communication being displayed across different resources. These made the results valid and applicable due to the content being constructed by </w:t>
      </w:r>
      <w:r w:rsidR="00534350" w:rsidRPr="00851192">
        <w:rPr>
          <w:rFonts w:ascii="Arial" w:hAnsi="Arial" w:cs="Arial"/>
        </w:rPr>
        <w:t>GGO’s</w:t>
      </w:r>
      <w:r w:rsidRPr="00851192">
        <w:rPr>
          <w:rFonts w:ascii="Arial" w:hAnsi="Arial" w:cs="Arial"/>
        </w:rPr>
        <w:t xml:space="preserve"> themselve</w:t>
      </w:r>
      <w:r w:rsidR="000F46B9" w:rsidRPr="00851192">
        <w:rPr>
          <w:rFonts w:ascii="Arial" w:hAnsi="Arial" w:cs="Arial"/>
        </w:rPr>
        <w:t xml:space="preserve">s. However, </w:t>
      </w:r>
      <w:r w:rsidR="003A20BF" w:rsidRPr="00851192">
        <w:rPr>
          <w:rFonts w:ascii="Arial" w:hAnsi="Arial" w:cs="Arial"/>
        </w:rPr>
        <w:t>there was</w:t>
      </w:r>
      <w:r w:rsidR="000F46B9" w:rsidRPr="00851192">
        <w:rPr>
          <w:rFonts w:ascii="Arial" w:hAnsi="Arial" w:cs="Arial"/>
        </w:rPr>
        <w:t xml:space="preserve"> some subjective decision making involved </w:t>
      </w:r>
      <w:r w:rsidR="003A20BF" w:rsidRPr="00851192">
        <w:rPr>
          <w:rFonts w:ascii="Arial" w:hAnsi="Arial" w:cs="Arial"/>
        </w:rPr>
        <w:t xml:space="preserve">but every effort was made to be consistent and independent. Major decisions were discussed with the experienced supervisor. </w:t>
      </w:r>
      <w:r w:rsidR="003C3D90" w:rsidRPr="00851192">
        <w:rPr>
          <w:rFonts w:ascii="Arial" w:hAnsi="Arial" w:cs="Arial"/>
        </w:rPr>
        <w:br/>
      </w:r>
    </w:p>
    <w:p w14:paraId="2EC6F600" w14:textId="53900B64" w:rsidR="003627C9" w:rsidRPr="00851192" w:rsidRDefault="003627C9" w:rsidP="003B74DC">
      <w:pPr>
        <w:pStyle w:val="ListParagraph"/>
        <w:numPr>
          <w:ilvl w:val="0"/>
          <w:numId w:val="11"/>
        </w:numPr>
        <w:spacing w:line="360" w:lineRule="auto"/>
        <w:jc w:val="both"/>
        <w:rPr>
          <w:rFonts w:ascii="Arial" w:hAnsi="Arial" w:cs="Arial"/>
        </w:rPr>
      </w:pPr>
      <w:r w:rsidRPr="00851192">
        <w:rPr>
          <w:rFonts w:ascii="Arial" w:hAnsi="Arial" w:cs="Arial"/>
        </w:rPr>
        <w:t>The survey posted to online platforms targeted the opinions and interpretation of all participants, not only does this make the feedback and answers valid by the individuals who t</w:t>
      </w:r>
      <w:r w:rsidR="00534350" w:rsidRPr="00851192">
        <w:rPr>
          <w:rFonts w:ascii="Arial" w:hAnsi="Arial" w:cs="Arial"/>
        </w:rPr>
        <w:t>ook</w:t>
      </w:r>
      <w:r w:rsidRPr="00851192">
        <w:rPr>
          <w:rFonts w:ascii="Arial" w:hAnsi="Arial" w:cs="Arial"/>
        </w:rPr>
        <w:t xml:space="preserve"> part in the study, but the interpretation becomes a reliable source to identify and evaluate if any incongruence is in place between </w:t>
      </w:r>
      <w:r w:rsidR="00534350" w:rsidRPr="00851192">
        <w:rPr>
          <w:rFonts w:ascii="Arial" w:hAnsi="Arial" w:cs="Arial"/>
        </w:rPr>
        <w:t>GGO’s</w:t>
      </w:r>
      <w:r w:rsidRPr="00851192">
        <w:rPr>
          <w:rFonts w:ascii="Arial" w:hAnsi="Arial" w:cs="Arial"/>
        </w:rPr>
        <w:t xml:space="preserve"> and consumers.</w:t>
      </w:r>
      <w:r w:rsidR="003C3D90" w:rsidRPr="00851192">
        <w:rPr>
          <w:rFonts w:ascii="Arial" w:hAnsi="Arial" w:cs="Arial"/>
        </w:rPr>
        <w:br/>
      </w:r>
    </w:p>
    <w:p w14:paraId="756AA5D5" w14:textId="6D3C1174" w:rsidR="003627C9" w:rsidRPr="00851192" w:rsidRDefault="003627C9" w:rsidP="003B74DC">
      <w:pPr>
        <w:pStyle w:val="ListParagraph"/>
        <w:numPr>
          <w:ilvl w:val="0"/>
          <w:numId w:val="11"/>
        </w:numPr>
        <w:spacing w:line="360" w:lineRule="auto"/>
        <w:jc w:val="both"/>
        <w:rPr>
          <w:rFonts w:ascii="Arial" w:hAnsi="Arial" w:cs="Arial"/>
        </w:rPr>
      </w:pPr>
      <w:r w:rsidRPr="00851192">
        <w:rPr>
          <w:rFonts w:ascii="Arial" w:hAnsi="Arial" w:cs="Arial"/>
        </w:rPr>
        <w:t xml:space="preserve">The results concluded if there was incongruence between consumers and </w:t>
      </w:r>
      <w:r w:rsidR="00534350" w:rsidRPr="00851192">
        <w:rPr>
          <w:rFonts w:ascii="Arial" w:hAnsi="Arial" w:cs="Arial"/>
        </w:rPr>
        <w:t>GGO’s</w:t>
      </w:r>
      <w:r w:rsidRPr="00851192">
        <w:rPr>
          <w:rFonts w:ascii="Arial" w:hAnsi="Arial" w:cs="Arial"/>
        </w:rPr>
        <w:t xml:space="preserve"> and if CSR communication is valued by both parties. This led to determining if CSR is expressed as a valued topic by </w:t>
      </w:r>
      <w:r w:rsidR="00534350" w:rsidRPr="00851192">
        <w:rPr>
          <w:rFonts w:ascii="Arial" w:hAnsi="Arial" w:cs="Arial"/>
        </w:rPr>
        <w:t>GGO’s</w:t>
      </w:r>
      <w:r w:rsidRPr="00851192">
        <w:rPr>
          <w:rFonts w:ascii="Arial" w:hAnsi="Arial" w:cs="Arial"/>
        </w:rPr>
        <w:t xml:space="preserve"> and if CSR communication is effective by means of application toward consumers. </w:t>
      </w:r>
    </w:p>
    <w:p w14:paraId="59AB2021" w14:textId="79299D30" w:rsidR="00DD76E1" w:rsidRPr="00851192" w:rsidRDefault="00DF7255" w:rsidP="00DF7255">
      <w:pPr>
        <w:pStyle w:val="Heading1"/>
        <w:rPr>
          <w:rFonts w:ascii="Arial" w:hAnsi="Arial" w:cs="Arial"/>
          <w:color w:val="auto"/>
        </w:rPr>
      </w:pPr>
      <w:bookmarkStart w:id="36" w:name="_Toc526434237"/>
      <w:r w:rsidRPr="00851192">
        <w:rPr>
          <w:rFonts w:ascii="Arial" w:hAnsi="Arial" w:cs="Arial"/>
          <w:color w:val="auto"/>
        </w:rPr>
        <w:t>3.</w:t>
      </w:r>
      <w:r w:rsidR="00C019D2" w:rsidRPr="00851192">
        <w:rPr>
          <w:rFonts w:ascii="Arial" w:hAnsi="Arial" w:cs="Arial"/>
          <w:color w:val="auto"/>
        </w:rPr>
        <w:t>9</w:t>
      </w:r>
      <w:r w:rsidRPr="00851192">
        <w:rPr>
          <w:rFonts w:ascii="Arial" w:hAnsi="Arial" w:cs="Arial"/>
          <w:color w:val="auto"/>
        </w:rPr>
        <w:t xml:space="preserve"> </w:t>
      </w:r>
      <w:r w:rsidR="004025AC" w:rsidRPr="00851192">
        <w:rPr>
          <w:rFonts w:ascii="Arial" w:hAnsi="Arial" w:cs="Arial"/>
          <w:color w:val="auto"/>
        </w:rPr>
        <w:t>Sampling</w:t>
      </w:r>
      <w:bookmarkEnd w:id="36"/>
    </w:p>
    <w:p w14:paraId="5F118E6A" w14:textId="49101696" w:rsidR="004025AC" w:rsidRPr="00851192" w:rsidRDefault="00DD76E1" w:rsidP="003B74DC">
      <w:pPr>
        <w:spacing w:line="360" w:lineRule="auto"/>
        <w:jc w:val="both"/>
        <w:rPr>
          <w:rFonts w:ascii="Arial" w:hAnsi="Arial" w:cs="Arial"/>
        </w:rPr>
      </w:pPr>
      <w:r w:rsidRPr="00851192">
        <w:rPr>
          <w:rFonts w:ascii="Arial" w:hAnsi="Arial" w:cs="Arial"/>
        </w:rPr>
        <w:t>The type of sampling carried out within th</w:t>
      </w:r>
      <w:r w:rsidR="00E27252" w:rsidRPr="00851192">
        <w:rPr>
          <w:rFonts w:ascii="Arial" w:hAnsi="Arial" w:cs="Arial"/>
        </w:rPr>
        <w:t>e</w:t>
      </w:r>
      <w:r w:rsidRPr="00851192">
        <w:rPr>
          <w:rFonts w:ascii="Arial" w:hAnsi="Arial" w:cs="Arial"/>
        </w:rPr>
        <w:t xml:space="preserve"> dissertation is identified as mixed methods sampling. Firstly, t</w:t>
      </w:r>
      <w:r w:rsidR="004025AC" w:rsidRPr="00851192">
        <w:rPr>
          <w:rFonts w:ascii="Arial" w:hAnsi="Arial" w:cs="Arial"/>
        </w:rPr>
        <w:t xml:space="preserve">he </w:t>
      </w:r>
      <w:r w:rsidRPr="00851192">
        <w:rPr>
          <w:rFonts w:ascii="Arial" w:hAnsi="Arial" w:cs="Arial"/>
        </w:rPr>
        <w:t>purpose</w:t>
      </w:r>
      <w:r w:rsidR="004025AC" w:rsidRPr="00851192">
        <w:rPr>
          <w:rFonts w:ascii="Arial" w:hAnsi="Arial" w:cs="Arial"/>
        </w:rPr>
        <w:t xml:space="preserve"> for sampling is to gain global reach for the CSR communication consumer survey. The types of sampling utilised within the research stage of the dissertation are convenience sampling and purposive sampling. Convenience sampling consist of using a close network environment or population which is close to the researcher </w:t>
      </w:r>
      <w:sdt>
        <w:sdtPr>
          <w:rPr>
            <w:rFonts w:ascii="Arial" w:hAnsi="Arial" w:cs="Arial"/>
          </w:rPr>
          <w:id w:val="-1277861144"/>
          <w:citation/>
        </w:sdtPr>
        <w:sdtEndPr/>
        <w:sdtContent>
          <w:r w:rsidR="004025AC" w:rsidRPr="00851192">
            <w:rPr>
              <w:rFonts w:ascii="Arial" w:hAnsi="Arial" w:cs="Arial"/>
            </w:rPr>
            <w:fldChar w:fldCharType="begin"/>
          </w:r>
          <w:r w:rsidR="004025AC" w:rsidRPr="00851192">
            <w:rPr>
              <w:rFonts w:ascii="Arial" w:hAnsi="Arial" w:cs="Arial"/>
            </w:rPr>
            <w:instrText xml:space="preserve">CITATION Sam \l 2057 </w:instrText>
          </w:r>
          <w:r w:rsidR="004025AC" w:rsidRPr="00851192">
            <w:rPr>
              <w:rFonts w:ascii="Arial" w:hAnsi="Arial" w:cs="Arial"/>
            </w:rPr>
            <w:fldChar w:fldCharType="separate"/>
          </w:r>
          <w:r w:rsidR="002D17EA" w:rsidRPr="00851192">
            <w:rPr>
              <w:rFonts w:ascii="Arial" w:hAnsi="Arial" w:cs="Arial"/>
              <w:noProof/>
            </w:rPr>
            <w:t>(Cochran, 2007)</w:t>
          </w:r>
          <w:r w:rsidR="004025AC" w:rsidRPr="00851192">
            <w:rPr>
              <w:rFonts w:ascii="Arial" w:hAnsi="Arial" w:cs="Arial"/>
            </w:rPr>
            <w:fldChar w:fldCharType="end"/>
          </w:r>
        </w:sdtContent>
      </w:sdt>
      <w:r w:rsidR="004025AC" w:rsidRPr="00851192">
        <w:rPr>
          <w:rFonts w:ascii="Arial" w:hAnsi="Arial" w:cs="Arial"/>
        </w:rPr>
        <w:t>. In the case of the research used within the dissertation, a post was conducted on LinkedIn, a professional networking site aiming to reach</w:t>
      </w:r>
      <w:r w:rsidR="00EE7AA0" w:rsidRPr="00851192">
        <w:rPr>
          <w:rFonts w:ascii="Arial" w:hAnsi="Arial" w:cs="Arial"/>
        </w:rPr>
        <w:t xml:space="preserve"> global</w:t>
      </w:r>
      <w:r w:rsidR="004025AC" w:rsidRPr="00851192">
        <w:rPr>
          <w:rFonts w:ascii="Arial" w:hAnsi="Arial" w:cs="Arial"/>
        </w:rPr>
        <w:t xml:space="preserve"> audiences</w:t>
      </w:r>
      <w:r w:rsidR="00E27252" w:rsidRPr="00851192">
        <w:rPr>
          <w:rFonts w:ascii="Arial" w:hAnsi="Arial" w:cs="Arial"/>
        </w:rPr>
        <w:t xml:space="preserve"> which can be found in (Appendix 2.2)</w:t>
      </w:r>
      <w:r w:rsidR="004025AC" w:rsidRPr="00851192">
        <w:rPr>
          <w:rFonts w:ascii="Arial" w:hAnsi="Arial" w:cs="Arial"/>
        </w:rPr>
        <w:t xml:space="preserve">. </w:t>
      </w:r>
    </w:p>
    <w:p w14:paraId="1BE550E4" w14:textId="79F6B8DB" w:rsidR="004025AC" w:rsidRPr="00851192" w:rsidRDefault="00EE7AA0" w:rsidP="003B74DC">
      <w:pPr>
        <w:spacing w:line="360" w:lineRule="auto"/>
        <w:jc w:val="both"/>
        <w:rPr>
          <w:rFonts w:ascii="Arial" w:hAnsi="Arial" w:cs="Arial"/>
        </w:rPr>
      </w:pPr>
      <w:r w:rsidRPr="00851192">
        <w:rPr>
          <w:rFonts w:ascii="Arial" w:hAnsi="Arial" w:cs="Arial"/>
        </w:rPr>
        <w:t xml:space="preserve">Purposive sampling was carried out by seeking </w:t>
      </w:r>
      <w:proofErr w:type="gramStart"/>
      <w:r w:rsidRPr="00851192">
        <w:rPr>
          <w:rFonts w:ascii="Arial" w:hAnsi="Arial" w:cs="Arial"/>
        </w:rPr>
        <w:t>an</w:t>
      </w:r>
      <w:proofErr w:type="gramEnd"/>
      <w:r w:rsidRPr="00851192">
        <w:rPr>
          <w:rFonts w:ascii="Arial" w:hAnsi="Arial" w:cs="Arial"/>
        </w:rPr>
        <w:t xml:space="preserve"> targeting out expert knowledge which would add value to the research question and objectives</w:t>
      </w:r>
      <w:r w:rsidR="00DD76E1" w:rsidRPr="00851192">
        <w:rPr>
          <w:rFonts w:ascii="Arial" w:hAnsi="Arial" w:cs="Arial"/>
        </w:rPr>
        <w:t xml:space="preserve"> </w:t>
      </w:r>
      <w:sdt>
        <w:sdtPr>
          <w:rPr>
            <w:rFonts w:ascii="Arial" w:hAnsi="Arial" w:cs="Arial"/>
          </w:rPr>
          <w:id w:val="-723607657"/>
          <w:citation/>
        </w:sdtPr>
        <w:sdtEndPr/>
        <w:sdtContent>
          <w:r w:rsidR="00DD76E1" w:rsidRPr="00851192">
            <w:rPr>
              <w:rFonts w:ascii="Arial" w:hAnsi="Arial" w:cs="Arial"/>
            </w:rPr>
            <w:fldChar w:fldCharType="begin"/>
          </w:r>
          <w:r w:rsidR="00DD76E1" w:rsidRPr="00851192">
            <w:rPr>
              <w:rFonts w:ascii="Arial" w:hAnsi="Arial" w:cs="Arial"/>
            </w:rPr>
            <w:instrText xml:space="preserve"> CITATION Ted07 \l 2057 </w:instrText>
          </w:r>
          <w:r w:rsidR="00DD76E1" w:rsidRPr="00851192">
            <w:rPr>
              <w:rFonts w:ascii="Arial" w:hAnsi="Arial" w:cs="Arial"/>
            </w:rPr>
            <w:fldChar w:fldCharType="separate"/>
          </w:r>
          <w:r w:rsidR="002D17EA" w:rsidRPr="00851192">
            <w:rPr>
              <w:rFonts w:ascii="Arial" w:hAnsi="Arial" w:cs="Arial"/>
              <w:noProof/>
            </w:rPr>
            <w:t>(Teddlie &amp; Yu, 2007)</w:t>
          </w:r>
          <w:r w:rsidR="00DD76E1" w:rsidRPr="00851192">
            <w:rPr>
              <w:rFonts w:ascii="Arial" w:hAnsi="Arial" w:cs="Arial"/>
            </w:rPr>
            <w:fldChar w:fldCharType="end"/>
          </w:r>
        </w:sdtContent>
      </w:sdt>
      <w:r w:rsidRPr="00851192">
        <w:rPr>
          <w:rFonts w:ascii="Arial" w:hAnsi="Arial" w:cs="Arial"/>
        </w:rPr>
        <w:t>. This was achieved by applying a research method to an audience which can then be assumed to be a representation of the population.</w:t>
      </w:r>
      <w:r w:rsidR="00FA56A8" w:rsidRPr="00851192">
        <w:rPr>
          <w:rFonts w:ascii="Arial" w:hAnsi="Arial" w:cs="Arial"/>
        </w:rPr>
        <w:t xml:space="preserve"> The audiences chosen were groups regarding PG on Facebook alongside</w:t>
      </w:r>
      <w:r w:rsidRPr="00851192">
        <w:rPr>
          <w:rFonts w:ascii="Arial" w:hAnsi="Arial" w:cs="Arial"/>
        </w:rPr>
        <w:t xml:space="preserve"> </w:t>
      </w:r>
      <w:r w:rsidR="00FA56A8" w:rsidRPr="00851192">
        <w:rPr>
          <w:rFonts w:ascii="Arial" w:hAnsi="Arial" w:cs="Arial"/>
        </w:rPr>
        <w:t xml:space="preserve">a gambling audience on </w:t>
      </w:r>
      <w:proofErr w:type="spellStart"/>
      <w:r w:rsidR="00FA56A8" w:rsidRPr="00851192">
        <w:rPr>
          <w:rFonts w:ascii="Arial" w:hAnsi="Arial" w:cs="Arial"/>
        </w:rPr>
        <w:t>Casinom</w:t>
      </w:r>
      <w:r w:rsidR="00676F8D" w:rsidRPr="00851192">
        <w:rPr>
          <w:rFonts w:ascii="Arial" w:hAnsi="Arial" w:cs="Arial"/>
        </w:rPr>
        <w:t>e</w:t>
      </w:r>
      <w:r w:rsidR="00FA56A8" w:rsidRPr="00851192">
        <w:rPr>
          <w:rFonts w:ascii="Arial" w:hAnsi="Arial" w:cs="Arial"/>
        </w:rPr>
        <w:t>ister</w:t>
      </w:r>
      <w:proofErr w:type="spellEnd"/>
      <w:r w:rsidR="00FA56A8" w:rsidRPr="00851192">
        <w:rPr>
          <w:rFonts w:ascii="Arial" w:hAnsi="Arial" w:cs="Arial"/>
        </w:rPr>
        <w:t xml:space="preserve">. </w:t>
      </w:r>
      <w:r w:rsidRPr="00851192">
        <w:rPr>
          <w:rFonts w:ascii="Arial" w:hAnsi="Arial" w:cs="Arial"/>
        </w:rPr>
        <w:t xml:space="preserve">These forums are directly related to the issues which surround </w:t>
      </w:r>
      <w:r w:rsidR="00534350" w:rsidRPr="00851192">
        <w:rPr>
          <w:rFonts w:ascii="Arial" w:hAnsi="Arial" w:cs="Arial"/>
        </w:rPr>
        <w:t>PG</w:t>
      </w:r>
      <w:r w:rsidRPr="00851192">
        <w:rPr>
          <w:rFonts w:ascii="Arial" w:hAnsi="Arial" w:cs="Arial"/>
        </w:rPr>
        <w:t xml:space="preserve"> and the </w:t>
      </w:r>
      <w:r w:rsidR="00AD22E2" w:rsidRPr="00851192">
        <w:rPr>
          <w:rFonts w:ascii="Arial" w:hAnsi="Arial" w:cs="Arial"/>
        </w:rPr>
        <w:t>GGI.</w:t>
      </w:r>
      <w:r w:rsidRPr="00851192">
        <w:rPr>
          <w:rFonts w:ascii="Arial" w:hAnsi="Arial" w:cs="Arial"/>
        </w:rPr>
        <w:t xml:space="preserve">  </w:t>
      </w:r>
    </w:p>
    <w:p w14:paraId="78AD55B7" w14:textId="6D67E1FB" w:rsidR="00FA56A8" w:rsidRPr="00851192" w:rsidRDefault="00DF7255" w:rsidP="00DF7255">
      <w:pPr>
        <w:pStyle w:val="Heading1"/>
        <w:rPr>
          <w:rFonts w:ascii="Arial" w:hAnsi="Arial" w:cs="Arial"/>
          <w:color w:val="auto"/>
        </w:rPr>
      </w:pPr>
      <w:bookmarkStart w:id="37" w:name="_Toc526434238"/>
      <w:r w:rsidRPr="00851192">
        <w:rPr>
          <w:rFonts w:ascii="Arial" w:hAnsi="Arial" w:cs="Arial"/>
          <w:color w:val="auto"/>
        </w:rPr>
        <w:lastRenderedPageBreak/>
        <w:t>3.1</w:t>
      </w:r>
      <w:r w:rsidR="00C019D2" w:rsidRPr="00851192">
        <w:rPr>
          <w:rFonts w:ascii="Arial" w:hAnsi="Arial" w:cs="Arial"/>
          <w:color w:val="auto"/>
        </w:rPr>
        <w:t>0</w:t>
      </w:r>
      <w:r w:rsidRPr="00851192">
        <w:rPr>
          <w:rFonts w:ascii="Arial" w:hAnsi="Arial" w:cs="Arial"/>
          <w:color w:val="auto"/>
        </w:rPr>
        <w:t xml:space="preserve"> </w:t>
      </w:r>
      <w:r w:rsidR="00FA56A8" w:rsidRPr="00851192">
        <w:rPr>
          <w:rFonts w:ascii="Arial" w:hAnsi="Arial" w:cs="Arial"/>
          <w:color w:val="auto"/>
        </w:rPr>
        <w:t>Delimitations</w:t>
      </w:r>
      <w:bookmarkEnd w:id="37"/>
    </w:p>
    <w:p w14:paraId="6DE251C4" w14:textId="290A0BC1" w:rsidR="008F4604" w:rsidRPr="00851192" w:rsidRDefault="008F4604" w:rsidP="003B74DC">
      <w:pPr>
        <w:spacing w:line="360" w:lineRule="auto"/>
        <w:jc w:val="both"/>
        <w:rPr>
          <w:rFonts w:ascii="Arial" w:hAnsi="Arial" w:cs="Arial"/>
        </w:rPr>
      </w:pPr>
      <w:r w:rsidRPr="00851192">
        <w:rPr>
          <w:rFonts w:ascii="Arial" w:hAnsi="Arial" w:cs="Arial"/>
        </w:rPr>
        <w:t xml:space="preserve">The delimitations of the dissertation </w:t>
      </w:r>
      <w:r w:rsidR="005A6626" w:rsidRPr="00851192">
        <w:rPr>
          <w:rFonts w:ascii="Arial" w:hAnsi="Arial" w:cs="Arial"/>
        </w:rPr>
        <w:t>were</w:t>
      </w:r>
      <w:r w:rsidRPr="00851192">
        <w:rPr>
          <w:rFonts w:ascii="Arial" w:hAnsi="Arial" w:cs="Arial"/>
        </w:rPr>
        <w:t xml:space="preserve"> to stay within the research questions and objectives. The population chosen within the study </w:t>
      </w:r>
      <w:r w:rsidR="00534350" w:rsidRPr="00851192">
        <w:rPr>
          <w:rFonts w:ascii="Arial" w:hAnsi="Arial" w:cs="Arial"/>
        </w:rPr>
        <w:t>did</w:t>
      </w:r>
      <w:r w:rsidRPr="00851192">
        <w:rPr>
          <w:rFonts w:ascii="Arial" w:hAnsi="Arial" w:cs="Arial"/>
        </w:rPr>
        <w:t xml:space="preserve"> not expand. </w:t>
      </w:r>
      <w:r w:rsidR="00534350" w:rsidRPr="00851192">
        <w:rPr>
          <w:rFonts w:ascii="Arial" w:hAnsi="Arial" w:cs="Arial"/>
        </w:rPr>
        <w:t>Completed</w:t>
      </w:r>
      <w:r w:rsidRPr="00851192">
        <w:rPr>
          <w:rFonts w:ascii="Arial" w:hAnsi="Arial" w:cs="Arial"/>
        </w:rPr>
        <w:t xml:space="preserve"> CSR communication consumer survey</w:t>
      </w:r>
      <w:r w:rsidR="00534350" w:rsidRPr="00851192">
        <w:rPr>
          <w:rFonts w:ascii="Arial" w:hAnsi="Arial" w:cs="Arial"/>
        </w:rPr>
        <w:t>s</w:t>
      </w:r>
      <w:r w:rsidRPr="00851192">
        <w:rPr>
          <w:rFonts w:ascii="Arial" w:hAnsi="Arial" w:cs="Arial"/>
        </w:rPr>
        <w:t xml:space="preserve"> </w:t>
      </w:r>
      <w:r w:rsidR="00534350" w:rsidRPr="00851192">
        <w:rPr>
          <w:rFonts w:ascii="Arial" w:hAnsi="Arial" w:cs="Arial"/>
        </w:rPr>
        <w:t xml:space="preserve">were not considered once the deadline had </w:t>
      </w:r>
      <w:r w:rsidR="005A6626" w:rsidRPr="00851192">
        <w:rPr>
          <w:rFonts w:ascii="Arial" w:hAnsi="Arial" w:cs="Arial"/>
        </w:rPr>
        <w:t>surpassed</w:t>
      </w:r>
      <w:r w:rsidR="00534350" w:rsidRPr="00851192">
        <w:rPr>
          <w:rFonts w:ascii="Arial" w:hAnsi="Arial" w:cs="Arial"/>
        </w:rPr>
        <w:t xml:space="preserve">. Participants had the ability to complete the survey only if they had a Google account. This was to limit the number of respondents to one person per account. </w:t>
      </w:r>
      <w:r w:rsidR="005A6626" w:rsidRPr="00851192">
        <w:rPr>
          <w:rFonts w:ascii="Arial" w:hAnsi="Arial" w:cs="Arial"/>
        </w:rPr>
        <w:t>This was done to increase the validity of the research</w:t>
      </w:r>
      <w:r w:rsidRPr="00851192">
        <w:rPr>
          <w:rFonts w:ascii="Arial" w:hAnsi="Arial" w:cs="Arial"/>
        </w:rPr>
        <w:t xml:space="preserve"> </w:t>
      </w:r>
    </w:p>
    <w:p w14:paraId="23CF2D81" w14:textId="124149F8" w:rsidR="00C82926" w:rsidRPr="00851192" w:rsidRDefault="00C82926" w:rsidP="00C82926">
      <w:pPr>
        <w:pStyle w:val="Heading1"/>
        <w:rPr>
          <w:rFonts w:ascii="Arial" w:hAnsi="Arial" w:cs="Arial"/>
          <w:color w:val="000000" w:themeColor="text1"/>
        </w:rPr>
      </w:pPr>
      <w:bookmarkStart w:id="38" w:name="_Toc526434239"/>
      <w:r w:rsidRPr="00851192">
        <w:rPr>
          <w:rFonts w:ascii="Arial" w:hAnsi="Arial" w:cs="Arial"/>
          <w:color w:val="000000" w:themeColor="text1"/>
        </w:rPr>
        <w:t>3.11 Limitations of Methodology</w:t>
      </w:r>
      <w:bookmarkEnd w:id="38"/>
    </w:p>
    <w:p w14:paraId="6DBF7AC5" w14:textId="5C0E6D26" w:rsidR="00C82926" w:rsidRPr="00851192" w:rsidRDefault="00C82926" w:rsidP="003B74DC">
      <w:pPr>
        <w:spacing w:line="360" w:lineRule="auto"/>
        <w:jc w:val="both"/>
        <w:rPr>
          <w:rFonts w:ascii="Arial" w:hAnsi="Arial" w:cs="Arial"/>
          <w:lang w:val="en-US"/>
        </w:rPr>
      </w:pPr>
      <w:r w:rsidRPr="00851192">
        <w:rPr>
          <w:rFonts w:ascii="Arial" w:hAnsi="Arial" w:cs="Arial"/>
          <w:lang w:val="en-US"/>
        </w:rPr>
        <w:t xml:space="preserve">As discovered within </w:t>
      </w:r>
      <w:r w:rsidR="005A6626" w:rsidRPr="00851192">
        <w:rPr>
          <w:rFonts w:ascii="Arial" w:hAnsi="Arial" w:cs="Arial"/>
          <w:lang w:val="en-US"/>
        </w:rPr>
        <w:t>chapter two</w:t>
      </w:r>
      <w:r w:rsidRPr="00851192">
        <w:rPr>
          <w:rFonts w:ascii="Arial" w:hAnsi="Arial" w:cs="Arial"/>
          <w:lang w:val="en-US"/>
        </w:rPr>
        <w:t>, there is a lack of prior research to the topic area on the global rate of PG. However, this has identified a new gap for literature to be conducted within the field. Furthermore, a greater sample size within the survey would have emphasized the relationships and findings discovered within the analysis of the dissertation. Although the sample size is 122 participants, a greater number of participants before the end of the timeframe may have contributed further reinforcement for the evaluation</w:t>
      </w:r>
      <w:r w:rsidR="005A6626" w:rsidRPr="00851192">
        <w:rPr>
          <w:rFonts w:ascii="Arial" w:hAnsi="Arial" w:cs="Arial"/>
          <w:lang w:val="en-US"/>
        </w:rPr>
        <w:t>s</w:t>
      </w:r>
      <w:r w:rsidRPr="00851192">
        <w:rPr>
          <w:rFonts w:ascii="Arial" w:hAnsi="Arial" w:cs="Arial"/>
          <w:lang w:val="en-US"/>
        </w:rPr>
        <w:t xml:space="preserve"> presented. </w:t>
      </w:r>
    </w:p>
    <w:p w14:paraId="278CF22E" w14:textId="66FF5863" w:rsidR="00FA56A8" w:rsidRPr="00851192" w:rsidRDefault="00DF7255" w:rsidP="00DF7255">
      <w:pPr>
        <w:pStyle w:val="Heading1"/>
        <w:rPr>
          <w:rFonts w:ascii="Arial" w:hAnsi="Arial" w:cs="Arial"/>
          <w:color w:val="auto"/>
        </w:rPr>
      </w:pPr>
      <w:bookmarkStart w:id="39" w:name="_Toc526434240"/>
      <w:r w:rsidRPr="00851192">
        <w:rPr>
          <w:rFonts w:ascii="Arial" w:hAnsi="Arial" w:cs="Arial"/>
          <w:color w:val="auto"/>
        </w:rPr>
        <w:t>3.1</w:t>
      </w:r>
      <w:r w:rsidR="00C82926" w:rsidRPr="00851192">
        <w:rPr>
          <w:rFonts w:ascii="Arial" w:hAnsi="Arial" w:cs="Arial"/>
          <w:color w:val="auto"/>
        </w:rPr>
        <w:t>2</w:t>
      </w:r>
      <w:r w:rsidRPr="00851192">
        <w:rPr>
          <w:rFonts w:ascii="Arial" w:hAnsi="Arial" w:cs="Arial"/>
          <w:color w:val="auto"/>
        </w:rPr>
        <w:t xml:space="preserve"> </w:t>
      </w:r>
      <w:r w:rsidR="006F7042" w:rsidRPr="00851192">
        <w:rPr>
          <w:rFonts w:ascii="Arial" w:hAnsi="Arial" w:cs="Arial"/>
          <w:color w:val="auto"/>
        </w:rPr>
        <w:t>Ethical Considerations</w:t>
      </w:r>
      <w:bookmarkEnd w:id="39"/>
    </w:p>
    <w:p w14:paraId="02B68892" w14:textId="74DAED15" w:rsidR="00F533A2" w:rsidRPr="00851192" w:rsidRDefault="00FA56A8" w:rsidP="003B74DC">
      <w:pPr>
        <w:spacing w:line="360" w:lineRule="auto"/>
        <w:jc w:val="both"/>
        <w:rPr>
          <w:rFonts w:ascii="Arial" w:hAnsi="Arial" w:cs="Arial"/>
          <w:noProof/>
        </w:rPr>
      </w:pPr>
      <w:r w:rsidRPr="00851192">
        <w:rPr>
          <w:rFonts w:ascii="Arial" w:hAnsi="Arial" w:cs="Arial"/>
        </w:rPr>
        <w:t xml:space="preserve">It is understood that this is a sensitive research area. However, the researcher is using publicly available material and sample of respondents </w:t>
      </w:r>
      <w:r w:rsidR="002E6D97" w:rsidRPr="00851192">
        <w:rPr>
          <w:rFonts w:ascii="Arial" w:hAnsi="Arial" w:cs="Arial"/>
        </w:rPr>
        <w:t>agreeing</w:t>
      </w:r>
      <w:r w:rsidRPr="00851192">
        <w:rPr>
          <w:rFonts w:ascii="Arial" w:hAnsi="Arial" w:cs="Arial"/>
        </w:rPr>
        <w:t xml:space="preserve"> to terms and conditions through taking part in the survey as stated on the form. </w:t>
      </w:r>
      <w:r w:rsidR="00CD260D" w:rsidRPr="00851192">
        <w:rPr>
          <w:rFonts w:ascii="Arial" w:hAnsi="Arial" w:cs="Arial"/>
        </w:rPr>
        <w:t>Furthermore</w:t>
      </w:r>
      <w:r w:rsidR="00E44980" w:rsidRPr="00851192">
        <w:rPr>
          <w:rFonts w:ascii="Arial" w:hAnsi="Arial" w:cs="Arial"/>
        </w:rPr>
        <w:t xml:space="preserve">, </w:t>
      </w:r>
      <w:r w:rsidR="00E44980" w:rsidRPr="00851192">
        <w:rPr>
          <w:rFonts w:ascii="Arial" w:hAnsi="Arial" w:cs="Arial"/>
          <w:noProof/>
        </w:rPr>
        <w:t xml:space="preserve">Seedhouse (2009) ethical framework was applied within the study </w:t>
      </w:r>
      <w:r w:rsidR="00CD260D" w:rsidRPr="00851192">
        <w:rPr>
          <w:rFonts w:ascii="Arial" w:hAnsi="Arial" w:cs="Arial"/>
          <w:noProof/>
        </w:rPr>
        <w:t xml:space="preserve">due to the sensitivity of the dissertation and the mental health conditions associated with PG. This was applied to provide a safe and comfortable environment for any participants who shared information about personal gambling habits. The framework was applied by using the first section of the grid through creating and respecting autonomy within the published survey. Thus, it would incline the participant to be more honest within the survey, with the most beneficial results coming to light in a process of best practice. </w:t>
      </w:r>
    </w:p>
    <w:p w14:paraId="0DC63E89" w14:textId="3D77ABCA" w:rsidR="00E91C68" w:rsidRPr="00851192" w:rsidRDefault="00E91C68" w:rsidP="00E91C68">
      <w:pPr>
        <w:jc w:val="center"/>
        <w:rPr>
          <w:rFonts w:ascii="Arial" w:hAnsi="Arial" w:cs="Arial"/>
          <w:color w:val="FF0000"/>
        </w:rPr>
      </w:pPr>
      <w:r w:rsidRPr="00851192">
        <w:rPr>
          <w:rFonts w:ascii="Arial" w:hAnsi="Arial" w:cs="Arial"/>
          <w:noProof/>
          <w:color w:val="FF0000"/>
          <w:lang w:eastAsia="en-GB"/>
        </w:rPr>
        <w:lastRenderedPageBreak/>
        <w:drawing>
          <wp:inline distT="0" distB="0" distL="0" distR="0" wp14:anchorId="22C706D8" wp14:editId="2CEDE505">
            <wp:extent cx="3906982" cy="2607145"/>
            <wp:effectExtent l="19050" t="19050" r="17780" b="222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eedhouse.JPG"/>
                    <pic:cNvPicPr/>
                  </pic:nvPicPr>
                  <pic:blipFill>
                    <a:blip r:embed="rId15">
                      <a:extLst>
                        <a:ext uri="{28A0092B-C50C-407E-A947-70E740481C1C}">
                          <a14:useLocalDpi xmlns:a14="http://schemas.microsoft.com/office/drawing/2010/main" val="0"/>
                        </a:ext>
                      </a:extLst>
                    </a:blip>
                    <a:stretch>
                      <a:fillRect/>
                    </a:stretch>
                  </pic:blipFill>
                  <pic:spPr>
                    <a:xfrm>
                      <a:off x="0" y="0"/>
                      <a:ext cx="3913129" cy="2611247"/>
                    </a:xfrm>
                    <a:prstGeom prst="rect">
                      <a:avLst/>
                    </a:prstGeom>
                    <a:ln>
                      <a:solidFill>
                        <a:schemeClr val="tx1"/>
                      </a:solidFill>
                    </a:ln>
                  </pic:spPr>
                </pic:pic>
              </a:graphicData>
            </a:graphic>
          </wp:inline>
        </w:drawing>
      </w:r>
    </w:p>
    <w:p w14:paraId="33062CFD" w14:textId="03FCCFE7" w:rsidR="00E91C68" w:rsidRPr="00851192" w:rsidRDefault="00E91C68" w:rsidP="00E91C68">
      <w:pPr>
        <w:jc w:val="center"/>
        <w:rPr>
          <w:rFonts w:ascii="Arial" w:hAnsi="Arial" w:cs="Arial"/>
        </w:rPr>
      </w:pPr>
      <w:r w:rsidRPr="00851192">
        <w:rPr>
          <w:rFonts w:ascii="Arial" w:hAnsi="Arial" w:cs="Arial"/>
        </w:rPr>
        <w:t>(</w:t>
      </w:r>
      <w:r w:rsidRPr="00851192">
        <w:rPr>
          <w:rFonts w:ascii="Arial" w:hAnsi="Arial" w:cs="Arial"/>
          <w:b/>
          <w:i/>
        </w:rPr>
        <w:t>Figure 3.</w:t>
      </w:r>
      <w:r w:rsidR="003708F8" w:rsidRPr="00851192">
        <w:rPr>
          <w:rFonts w:ascii="Arial" w:hAnsi="Arial" w:cs="Arial"/>
          <w:b/>
          <w:i/>
        </w:rPr>
        <w:t>1</w:t>
      </w:r>
      <w:r w:rsidRPr="00851192">
        <w:rPr>
          <w:rFonts w:ascii="Arial" w:hAnsi="Arial" w:cs="Arial"/>
        </w:rPr>
        <w:t xml:space="preserve">; </w:t>
      </w:r>
      <w:proofErr w:type="spellStart"/>
      <w:r w:rsidRPr="00851192">
        <w:rPr>
          <w:rFonts w:ascii="Arial" w:hAnsi="Arial" w:cs="Arial"/>
        </w:rPr>
        <w:t>Seedhouse</w:t>
      </w:r>
      <w:proofErr w:type="spellEnd"/>
      <w:r w:rsidRPr="00851192">
        <w:rPr>
          <w:rFonts w:ascii="Arial" w:hAnsi="Arial" w:cs="Arial"/>
        </w:rPr>
        <w:t>, 2009)</w:t>
      </w:r>
    </w:p>
    <w:p w14:paraId="73A08E4A" w14:textId="1CE181E7" w:rsidR="00F533A2" w:rsidRPr="00851192" w:rsidRDefault="00C019D2" w:rsidP="00CD260D">
      <w:pPr>
        <w:pStyle w:val="Heading1"/>
        <w:rPr>
          <w:rFonts w:ascii="Arial" w:hAnsi="Arial" w:cs="Arial"/>
          <w:color w:val="000000" w:themeColor="text1"/>
        </w:rPr>
      </w:pPr>
      <w:bookmarkStart w:id="40" w:name="_Toc526434241"/>
      <w:r w:rsidRPr="00851192">
        <w:rPr>
          <w:rFonts w:ascii="Arial" w:hAnsi="Arial" w:cs="Arial"/>
          <w:color w:val="000000" w:themeColor="text1"/>
        </w:rPr>
        <w:t>3.1</w:t>
      </w:r>
      <w:r w:rsidR="00C82926" w:rsidRPr="00851192">
        <w:rPr>
          <w:rFonts w:ascii="Arial" w:hAnsi="Arial" w:cs="Arial"/>
          <w:color w:val="000000" w:themeColor="text1"/>
        </w:rPr>
        <w:t>3</w:t>
      </w:r>
      <w:r w:rsidRPr="00851192">
        <w:rPr>
          <w:rFonts w:ascii="Arial" w:hAnsi="Arial" w:cs="Arial"/>
          <w:color w:val="000000" w:themeColor="text1"/>
        </w:rPr>
        <w:t xml:space="preserve"> </w:t>
      </w:r>
      <w:r w:rsidR="00F533A2" w:rsidRPr="00851192">
        <w:rPr>
          <w:rFonts w:ascii="Arial" w:hAnsi="Arial" w:cs="Arial"/>
          <w:color w:val="000000" w:themeColor="text1"/>
        </w:rPr>
        <w:t>Conclusion</w:t>
      </w:r>
      <w:bookmarkEnd w:id="40"/>
    </w:p>
    <w:p w14:paraId="5905C6A9" w14:textId="26A95B36" w:rsidR="00773869" w:rsidRPr="00851192" w:rsidRDefault="00CD260D" w:rsidP="003B74DC">
      <w:pPr>
        <w:spacing w:line="360" w:lineRule="auto"/>
        <w:jc w:val="both"/>
        <w:rPr>
          <w:rFonts w:ascii="Arial" w:hAnsi="Arial" w:cs="Arial"/>
        </w:rPr>
      </w:pPr>
      <w:r w:rsidRPr="00851192">
        <w:rPr>
          <w:rFonts w:ascii="Arial" w:hAnsi="Arial" w:cs="Arial"/>
        </w:rPr>
        <w:t xml:space="preserve">To conclude the chapter, the pragmatic way for conducting the research created the best and most reliable process in analysing and evaluating findings. </w:t>
      </w:r>
      <w:r w:rsidR="005F17DB" w:rsidRPr="00851192">
        <w:rPr>
          <w:rFonts w:ascii="Arial" w:hAnsi="Arial" w:cs="Arial"/>
        </w:rPr>
        <w:t>C</w:t>
      </w:r>
      <w:r w:rsidRPr="00851192">
        <w:rPr>
          <w:rFonts w:ascii="Arial" w:hAnsi="Arial" w:cs="Arial"/>
        </w:rPr>
        <w:t>ontent analys</w:t>
      </w:r>
      <w:r w:rsidR="005F17DB" w:rsidRPr="00851192">
        <w:rPr>
          <w:rFonts w:ascii="Arial" w:hAnsi="Arial" w:cs="Arial"/>
        </w:rPr>
        <w:t>e</w:t>
      </w:r>
      <w:r w:rsidRPr="00851192">
        <w:rPr>
          <w:rFonts w:ascii="Arial" w:hAnsi="Arial" w:cs="Arial"/>
        </w:rPr>
        <w:t>s on annual reports and online platforms w</w:t>
      </w:r>
      <w:r w:rsidR="005F17DB" w:rsidRPr="00851192">
        <w:rPr>
          <w:rFonts w:ascii="Arial" w:hAnsi="Arial" w:cs="Arial"/>
        </w:rPr>
        <w:t>ere</w:t>
      </w:r>
      <w:r w:rsidRPr="00851192">
        <w:rPr>
          <w:rFonts w:ascii="Arial" w:hAnsi="Arial" w:cs="Arial"/>
        </w:rPr>
        <w:t xml:space="preserve"> best suited in achieving the objective set within the dissertation. This is because of the strong link between CSR practices and CSR communications discovered within annual reports by GGO’s and </w:t>
      </w:r>
      <w:r w:rsidR="00B86E5A" w:rsidRPr="00851192">
        <w:rPr>
          <w:rFonts w:ascii="Arial" w:hAnsi="Arial" w:cs="Arial"/>
        </w:rPr>
        <w:t xml:space="preserve">delivered across online platforms. The content analysis on annual reports is valid and reliable due to it being available to the public domain and published by GGO’s. The survey is key to the research because it provides a different perspective towards CSR practices and CSR communication from the consumer. Thus, creates an environment for the researcher to critically analyse any discrepancies or relationships evaluated between the findings from GGO’s and participants within the survey. </w:t>
      </w:r>
    </w:p>
    <w:p w14:paraId="0691F060" w14:textId="27BF5111" w:rsidR="00773869" w:rsidRPr="00851192" w:rsidRDefault="00773869" w:rsidP="00773869">
      <w:pPr>
        <w:rPr>
          <w:rFonts w:ascii="Arial" w:hAnsi="Arial" w:cs="Arial"/>
        </w:rPr>
      </w:pPr>
    </w:p>
    <w:p w14:paraId="7195C9DF" w14:textId="1A6E61E8" w:rsidR="00773869" w:rsidRPr="00851192" w:rsidRDefault="00773869" w:rsidP="00773869">
      <w:pPr>
        <w:rPr>
          <w:rFonts w:ascii="Arial" w:hAnsi="Arial" w:cs="Arial"/>
        </w:rPr>
      </w:pPr>
    </w:p>
    <w:p w14:paraId="17AEB85B" w14:textId="24E341F1" w:rsidR="00773869" w:rsidRPr="00851192" w:rsidRDefault="00773869" w:rsidP="00773869">
      <w:pPr>
        <w:rPr>
          <w:rFonts w:ascii="Arial" w:hAnsi="Arial" w:cs="Arial"/>
        </w:rPr>
      </w:pPr>
    </w:p>
    <w:p w14:paraId="3D658DF2" w14:textId="0AEFD53D" w:rsidR="00773869" w:rsidRPr="00851192" w:rsidRDefault="00773869" w:rsidP="00773869">
      <w:pPr>
        <w:rPr>
          <w:rFonts w:ascii="Arial" w:hAnsi="Arial" w:cs="Arial"/>
        </w:rPr>
      </w:pPr>
    </w:p>
    <w:p w14:paraId="2DD43771" w14:textId="415FA755" w:rsidR="003B74DC" w:rsidRPr="00851192" w:rsidRDefault="003B74DC" w:rsidP="00773869">
      <w:pPr>
        <w:rPr>
          <w:rFonts w:ascii="Arial" w:hAnsi="Arial" w:cs="Arial"/>
        </w:rPr>
      </w:pPr>
    </w:p>
    <w:p w14:paraId="0DA348CD" w14:textId="4C2CA542" w:rsidR="003B74DC" w:rsidRPr="00851192" w:rsidRDefault="003B74DC" w:rsidP="00773869">
      <w:pPr>
        <w:rPr>
          <w:rFonts w:ascii="Arial" w:hAnsi="Arial" w:cs="Arial"/>
        </w:rPr>
      </w:pPr>
    </w:p>
    <w:p w14:paraId="67CCA513" w14:textId="77777777" w:rsidR="003B74DC" w:rsidRPr="00851192" w:rsidRDefault="003B74DC" w:rsidP="00773869">
      <w:pPr>
        <w:rPr>
          <w:rFonts w:ascii="Arial" w:hAnsi="Arial" w:cs="Arial"/>
        </w:rPr>
      </w:pPr>
    </w:p>
    <w:p w14:paraId="259788EF" w14:textId="77777777" w:rsidR="00773869" w:rsidRPr="00851192" w:rsidRDefault="00773869" w:rsidP="00773869">
      <w:pPr>
        <w:rPr>
          <w:rFonts w:ascii="Arial" w:hAnsi="Arial" w:cs="Arial"/>
        </w:rPr>
      </w:pPr>
    </w:p>
    <w:p w14:paraId="13E95E0A" w14:textId="7A63B3B4" w:rsidR="00D71345" w:rsidRPr="00851192" w:rsidRDefault="00773869" w:rsidP="001A7D5E">
      <w:pPr>
        <w:pStyle w:val="Heading1"/>
        <w:rPr>
          <w:rFonts w:ascii="Arial" w:hAnsi="Arial" w:cs="Arial"/>
          <w:b/>
          <w:color w:val="auto"/>
        </w:rPr>
      </w:pPr>
      <w:r w:rsidRPr="00851192">
        <w:rPr>
          <w:rFonts w:ascii="Arial" w:hAnsi="Arial" w:cs="Arial"/>
          <w:b/>
          <w:color w:val="auto"/>
        </w:rPr>
        <w:lastRenderedPageBreak/>
        <w:t xml:space="preserve">          </w:t>
      </w:r>
      <w:bookmarkStart w:id="41" w:name="_Toc526434242"/>
      <w:r w:rsidR="001A7D5E" w:rsidRPr="00851192">
        <w:rPr>
          <w:rFonts w:ascii="Arial" w:hAnsi="Arial" w:cs="Arial"/>
          <w:b/>
          <w:color w:val="auto"/>
        </w:rPr>
        <w:t>Chapter Four</w:t>
      </w:r>
      <w:bookmarkEnd w:id="41"/>
      <w:r w:rsidR="00D71345" w:rsidRPr="00851192">
        <w:rPr>
          <w:rFonts w:ascii="Arial" w:hAnsi="Arial" w:cs="Arial"/>
          <w:b/>
          <w:color w:val="auto"/>
        </w:rPr>
        <w:t xml:space="preserve"> </w:t>
      </w:r>
    </w:p>
    <w:p w14:paraId="0C106980" w14:textId="2B501675" w:rsidR="009A0013" w:rsidRPr="00851192" w:rsidRDefault="001A7D5E" w:rsidP="001A7D5E">
      <w:pPr>
        <w:pStyle w:val="Heading1"/>
        <w:rPr>
          <w:rFonts w:ascii="Arial" w:hAnsi="Arial" w:cs="Arial"/>
          <w:color w:val="auto"/>
        </w:rPr>
      </w:pPr>
      <w:bookmarkStart w:id="42" w:name="_Toc526434243"/>
      <w:r w:rsidRPr="00851192">
        <w:rPr>
          <w:rFonts w:ascii="Arial" w:hAnsi="Arial" w:cs="Arial"/>
          <w:color w:val="auto"/>
        </w:rPr>
        <w:t xml:space="preserve">4.1 </w:t>
      </w:r>
      <w:r w:rsidR="009A0013" w:rsidRPr="00851192">
        <w:rPr>
          <w:rFonts w:ascii="Arial" w:hAnsi="Arial" w:cs="Arial"/>
          <w:color w:val="auto"/>
        </w:rPr>
        <w:t>Introduction</w:t>
      </w:r>
      <w:bookmarkEnd w:id="42"/>
      <w:r w:rsidR="009A0013" w:rsidRPr="00851192">
        <w:rPr>
          <w:rFonts w:ascii="Arial" w:hAnsi="Arial" w:cs="Arial"/>
          <w:color w:val="auto"/>
        </w:rPr>
        <w:t xml:space="preserve"> </w:t>
      </w:r>
    </w:p>
    <w:p w14:paraId="26988305" w14:textId="7653F2EC" w:rsidR="007B730F" w:rsidRPr="00851192" w:rsidRDefault="005F17DB" w:rsidP="003B74DC">
      <w:pPr>
        <w:spacing w:line="360" w:lineRule="auto"/>
        <w:jc w:val="both"/>
        <w:rPr>
          <w:rFonts w:ascii="Arial" w:hAnsi="Arial" w:cs="Arial"/>
        </w:rPr>
      </w:pPr>
      <w:r w:rsidRPr="00851192">
        <w:rPr>
          <w:rFonts w:ascii="Arial" w:hAnsi="Arial" w:cs="Arial"/>
        </w:rPr>
        <w:t xml:space="preserve">Chapter three presented a pragmatic process for analysis to be carried out within this dissertation. </w:t>
      </w:r>
      <w:r w:rsidR="007B730F" w:rsidRPr="00851192">
        <w:rPr>
          <w:rFonts w:ascii="Arial" w:hAnsi="Arial" w:cs="Arial"/>
        </w:rPr>
        <w:t xml:space="preserve">This chapter seeks to analyse data collected and achieve the remaining objectives of the dissertation; </w:t>
      </w:r>
    </w:p>
    <w:p w14:paraId="614908BA" w14:textId="6FC77CDF" w:rsidR="007B730F" w:rsidRPr="00851192" w:rsidRDefault="007B730F" w:rsidP="00AB69C2">
      <w:pPr>
        <w:pStyle w:val="ListParagraph"/>
        <w:numPr>
          <w:ilvl w:val="0"/>
          <w:numId w:val="29"/>
        </w:numPr>
        <w:rPr>
          <w:rFonts w:ascii="Arial" w:hAnsi="Arial" w:cs="Arial"/>
        </w:rPr>
      </w:pPr>
      <w:r w:rsidRPr="00851192">
        <w:rPr>
          <w:rFonts w:ascii="Arial" w:hAnsi="Arial" w:cs="Arial"/>
        </w:rPr>
        <w:t>To critically evaluate the importance of CSR and CSR communication within the global gambling industry through conducting a content analysis.</w:t>
      </w:r>
      <w:r w:rsidRPr="00851192">
        <w:rPr>
          <w:rFonts w:ascii="Arial" w:hAnsi="Arial" w:cs="Arial"/>
        </w:rPr>
        <w:br/>
      </w:r>
    </w:p>
    <w:p w14:paraId="4AEF5009" w14:textId="77777777" w:rsidR="00AB69C2" w:rsidRPr="00851192" w:rsidRDefault="00AB69C2" w:rsidP="00AB69C2">
      <w:pPr>
        <w:pStyle w:val="ListParagraph"/>
        <w:numPr>
          <w:ilvl w:val="0"/>
          <w:numId w:val="29"/>
        </w:numPr>
        <w:rPr>
          <w:rFonts w:ascii="Arial" w:hAnsi="Arial" w:cs="Arial"/>
        </w:rPr>
      </w:pPr>
      <w:r w:rsidRPr="00851192">
        <w:rPr>
          <w:rFonts w:ascii="Arial" w:hAnsi="Arial" w:cs="Arial"/>
        </w:rPr>
        <w:t>To critically analyse gamblers opinions of CSR and CSR communication commitments by global gambling operators.</w:t>
      </w:r>
    </w:p>
    <w:p w14:paraId="0B00685D" w14:textId="08AF7D45" w:rsidR="007B730F" w:rsidRPr="00851192" w:rsidRDefault="007B730F" w:rsidP="003B74DC">
      <w:pPr>
        <w:spacing w:line="360" w:lineRule="auto"/>
        <w:jc w:val="both"/>
        <w:rPr>
          <w:rFonts w:ascii="Arial" w:hAnsi="Arial" w:cs="Arial"/>
        </w:rPr>
      </w:pPr>
      <w:r w:rsidRPr="00851192">
        <w:rPr>
          <w:rFonts w:ascii="Arial" w:hAnsi="Arial" w:cs="Arial"/>
        </w:rPr>
        <w:t>This chapter is set out in two main sections. Section one, the presentation and analysis o</w:t>
      </w:r>
      <w:r w:rsidR="0029196B" w:rsidRPr="00851192">
        <w:rPr>
          <w:rFonts w:ascii="Arial" w:hAnsi="Arial" w:cs="Arial"/>
        </w:rPr>
        <w:t>n</w:t>
      </w:r>
      <w:r w:rsidRPr="00851192">
        <w:rPr>
          <w:rFonts w:ascii="Arial" w:hAnsi="Arial" w:cs="Arial"/>
        </w:rPr>
        <w:t xml:space="preserve"> findings of the content analysis o</w:t>
      </w:r>
      <w:r w:rsidR="0029196B" w:rsidRPr="00851192">
        <w:rPr>
          <w:rFonts w:ascii="Arial" w:hAnsi="Arial" w:cs="Arial"/>
        </w:rPr>
        <w:t>n</w:t>
      </w:r>
      <w:r w:rsidRPr="00851192">
        <w:rPr>
          <w:rFonts w:ascii="Arial" w:hAnsi="Arial" w:cs="Arial"/>
        </w:rPr>
        <w:t xml:space="preserve"> annual reports, alongside an analysis on websites</w:t>
      </w:r>
      <w:r w:rsidR="0029196B" w:rsidRPr="00851192">
        <w:rPr>
          <w:rFonts w:ascii="Arial" w:hAnsi="Arial" w:cs="Arial"/>
        </w:rPr>
        <w:t>,</w:t>
      </w:r>
      <w:r w:rsidRPr="00851192">
        <w:rPr>
          <w:rFonts w:ascii="Arial" w:hAnsi="Arial" w:cs="Arial"/>
        </w:rPr>
        <w:t xml:space="preserve"> and social media. This is further followed by the second section of the chapter being a presentation </w:t>
      </w:r>
      <w:r w:rsidR="0029196B" w:rsidRPr="00851192">
        <w:rPr>
          <w:rFonts w:ascii="Arial" w:hAnsi="Arial" w:cs="Arial"/>
        </w:rPr>
        <w:t>of key findings within</w:t>
      </w:r>
      <w:r w:rsidRPr="00851192">
        <w:rPr>
          <w:rFonts w:ascii="Arial" w:hAnsi="Arial" w:cs="Arial"/>
        </w:rPr>
        <w:t xml:space="preserve"> the survey.</w:t>
      </w:r>
    </w:p>
    <w:p w14:paraId="6DB9677A" w14:textId="3D995481" w:rsidR="00A95A70" w:rsidRPr="00851192" w:rsidRDefault="001A7D5E" w:rsidP="001A7D5E">
      <w:pPr>
        <w:pStyle w:val="Heading1"/>
        <w:rPr>
          <w:rFonts w:ascii="Arial" w:hAnsi="Arial" w:cs="Arial"/>
          <w:color w:val="auto"/>
        </w:rPr>
      </w:pPr>
      <w:bookmarkStart w:id="43" w:name="_Toc526434244"/>
      <w:r w:rsidRPr="00851192">
        <w:rPr>
          <w:rFonts w:ascii="Arial" w:hAnsi="Arial" w:cs="Arial"/>
          <w:color w:val="auto"/>
        </w:rPr>
        <w:t>4.</w:t>
      </w:r>
      <w:r w:rsidR="00792A6B" w:rsidRPr="00851192">
        <w:rPr>
          <w:rFonts w:ascii="Arial" w:hAnsi="Arial" w:cs="Arial"/>
          <w:color w:val="auto"/>
        </w:rPr>
        <w:t>2</w:t>
      </w:r>
      <w:r w:rsidRPr="00851192">
        <w:rPr>
          <w:rFonts w:ascii="Arial" w:hAnsi="Arial" w:cs="Arial"/>
          <w:color w:val="auto"/>
        </w:rPr>
        <w:t xml:space="preserve"> </w:t>
      </w:r>
      <w:r w:rsidR="00830E29" w:rsidRPr="00851192">
        <w:rPr>
          <w:rFonts w:ascii="Arial" w:hAnsi="Arial" w:cs="Arial"/>
          <w:color w:val="auto"/>
        </w:rPr>
        <w:t>Content Analysis</w:t>
      </w:r>
      <w:bookmarkEnd w:id="43"/>
    </w:p>
    <w:p w14:paraId="19EA91DF" w14:textId="49C5C111" w:rsidR="00C03E1D" w:rsidRPr="00851192" w:rsidRDefault="000B54C9" w:rsidP="003B74DC">
      <w:pPr>
        <w:spacing w:line="360" w:lineRule="auto"/>
        <w:jc w:val="both"/>
        <w:rPr>
          <w:rFonts w:ascii="Arial" w:hAnsi="Arial" w:cs="Arial"/>
        </w:rPr>
      </w:pPr>
      <w:r w:rsidRPr="00851192">
        <w:rPr>
          <w:rFonts w:ascii="Arial" w:hAnsi="Arial" w:cs="Arial"/>
        </w:rPr>
        <w:t xml:space="preserve">A </w:t>
      </w:r>
      <w:r w:rsidR="00830E29" w:rsidRPr="00851192">
        <w:rPr>
          <w:rFonts w:ascii="Arial" w:hAnsi="Arial" w:cs="Arial"/>
        </w:rPr>
        <w:t>content analysis</w:t>
      </w:r>
      <w:r w:rsidRPr="00851192">
        <w:rPr>
          <w:rFonts w:ascii="Arial" w:hAnsi="Arial" w:cs="Arial"/>
        </w:rPr>
        <w:t xml:space="preserve"> </w:t>
      </w:r>
      <w:r w:rsidR="000C5114" w:rsidRPr="00851192">
        <w:rPr>
          <w:rFonts w:ascii="Arial" w:hAnsi="Arial" w:cs="Arial"/>
        </w:rPr>
        <w:t xml:space="preserve">on annual reports </w:t>
      </w:r>
      <w:r w:rsidRPr="00851192">
        <w:rPr>
          <w:rFonts w:ascii="Arial" w:hAnsi="Arial" w:cs="Arial"/>
        </w:rPr>
        <w:t xml:space="preserve">was firstly carried out to </w:t>
      </w:r>
      <w:r w:rsidR="0029196B" w:rsidRPr="00851192">
        <w:rPr>
          <w:rFonts w:ascii="Arial" w:hAnsi="Arial" w:cs="Arial"/>
        </w:rPr>
        <w:t>evaluate</w:t>
      </w:r>
      <w:r w:rsidRPr="00851192">
        <w:rPr>
          <w:rFonts w:ascii="Arial" w:hAnsi="Arial" w:cs="Arial"/>
        </w:rPr>
        <w:t xml:space="preserve"> </w:t>
      </w:r>
      <w:r w:rsidR="00843137" w:rsidRPr="00851192">
        <w:rPr>
          <w:rFonts w:ascii="Arial" w:hAnsi="Arial" w:cs="Arial"/>
        </w:rPr>
        <w:t>GGO’s</w:t>
      </w:r>
      <w:r w:rsidR="00A95A70" w:rsidRPr="00851192">
        <w:rPr>
          <w:rFonts w:ascii="Arial" w:hAnsi="Arial" w:cs="Arial"/>
        </w:rPr>
        <w:t xml:space="preserve"> against the ethical and responsibility index</w:t>
      </w:r>
      <w:r w:rsidRPr="00851192">
        <w:rPr>
          <w:rFonts w:ascii="Arial" w:hAnsi="Arial" w:cs="Arial"/>
        </w:rPr>
        <w:t>. The ethical and responsible index</w:t>
      </w:r>
      <w:r w:rsidR="00A95A70" w:rsidRPr="00851192">
        <w:rPr>
          <w:rFonts w:ascii="Arial" w:hAnsi="Arial" w:cs="Arial"/>
        </w:rPr>
        <w:t xml:space="preserve"> </w:t>
      </w:r>
      <w:r w:rsidR="00843137" w:rsidRPr="00851192">
        <w:rPr>
          <w:rFonts w:ascii="Arial" w:hAnsi="Arial" w:cs="Arial"/>
        </w:rPr>
        <w:t>discussed within chapter two</w:t>
      </w:r>
      <w:r w:rsidR="00FE42D5" w:rsidRPr="00851192">
        <w:rPr>
          <w:rFonts w:ascii="Arial" w:hAnsi="Arial" w:cs="Arial"/>
        </w:rPr>
        <w:t>, categories from (a) to (h)</w:t>
      </w:r>
      <w:r w:rsidR="00843137" w:rsidRPr="00851192">
        <w:rPr>
          <w:rFonts w:ascii="Arial" w:hAnsi="Arial" w:cs="Arial"/>
        </w:rPr>
        <w:t xml:space="preserve"> </w:t>
      </w:r>
      <w:r w:rsidR="00FE42D5" w:rsidRPr="00851192">
        <w:rPr>
          <w:rFonts w:ascii="Arial" w:hAnsi="Arial" w:cs="Arial"/>
        </w:rPr>
        <w:t xml:space="preserve">(Tata and Prasad, 2015), </w:t>
      </w:r>
      <w:r w:rsidR="00C03E1D" w:rsidRPr="00851192">
        <w:rPr>
          <w:rFonts w:ascii="Arial" w:hAnsi="Arial" w:cs="Arial"/>
        </w:rPr>
        <w:t xml:space="preserve">provide as indicators in </w:t>
      </w:r>
      <w:r w:rsidR="00A95A70" w:rsidRPr="00851192">
        <w:rPr>
          <w:rFonts w:ascii="Arial" w:hAnsi="Arial" w:cs="Arial"/>
        </w:rPr>
        <w:t>identify</w:t>
      </w:r>
      <w:r w:rsidR="00FE42D5" w:rsidRPr="00851192">
        <w:rPr>
          <w:rFonts w:ascii="Arial" w:hAnsi="Arial" w:cs="Arial"/>
        </w:rPr>
        <w:t>ing</w:t>
      </w:r>
      <w:r w:rsidR="00A95A70" w:rsidRPr="00851192">
        <w:rPr>
          <w:rFonts w:ascii="Arial" w:hAnsi="Arial" w:cs="Arial"/>
        </w:rPr>
        <w:t xml:space="preserve"> </w:t>
      </w:r>
      <w:r w:rsidR="00FE42D5" w:rsidRPr="00851192">
        <w:rPr>
          <w:rFonts w:ascii="Arial" w:hAnsi="Arial" w:cs="Arial"/>
        </w:rPr>
        <w:t>evidence</w:t>
      </w:r>
      <w:r w:rsidR="00A95A70" w:rsidRPr="00851192">
        <w:rPr>
          <w:rFonts w:ascii="Arial" w:hAnsi="Arial" w:cs="Arial"/>
        </w:rPr>
        <w:t xml:space="preserve"> </w:t>
      </w:r>
      <w:r w:rsidR="00FE42D5" w:rsidRPr="00851192">
        <w:rPr>
          <w:rFonts w:ascii="Arial" w:hAnsi="Arial" w:cs="Arial"/>
        </w:rPr>
        <w:t>by</w:t>
      </w:r>
      <w:r w:rsidR="00A95A70" w:rsidRPr="00851192">
        <w:rPr>
          <w:rFonts w:ascii="Arial" w:hAnsi="Arial" w:cs="Arial"/>
        </w:rPr>
        <w:t xml:space="preserve"> </w:t>
      </w:r>
      <w:r w:rsidR="000C5114" w:rsidRPr="00851192">
        <w:rPr>
          <w:rFonts w:ascii="Arial" w:hAnsi="Arial" w:cs="Arial"/>
        </w:rPr>
        <w:t>GGO’s</w:t>
      </w:r>
      <w:r w:rsidR="00A95A70" w:rsidRPr="00851192">
        <w:rPr>
          <w:rFonts w:ascii="Arial" w:hAnsi="Arial" w:cs="Arial"/>
        </w:rPr>
        <w:t xml:space="preserve"> </w:t>
      </w:r>
      <w:r w:rsidR="00C03E1D" w:rsidRPr="00851192">
        <w:rPr>
          <w:rFonts w:ascii="Arial" w:hAnsi="Arial" w:cs="Arial"/>
        </w:rPr>
        <w:t>regarding their</w:t>
      </w:r>
      <w:r w:rsidR="00FE42D5" w:rsidRPr="00851192">
        <w:rPr>
          <w:rFonts w:ascii="Arial" w:hAnsi="Arial" w:cs="Arial"/>
        </w:rPr>
        <w:t xml:space="preserve"> </w:t>
      </w:r>
      <w:r w:rsidR="00A95A70" w:rsidRPr="00851192">
        <w:rPr>
          <w:rFonts w:ascii="Arial" w:hAnsi="Arial" w:cs="Arial"/>
        </w:rPr>
        <w:t>operations within CSR and CSR communications.</w:t>
      </w:r>
      <w:r w:rsidR="000C5114" w:rsidRPr="00851192">
        <w:rPr>
          <w:rFonts w:ascii="Arial" w:hAnsi="Arial" w:cs="Arial"/>
        </w:rPr>
        <w:t xml:space="preserve"> </w:t>
      </w:r>
      <w:r w:rsidR="00C03E1D" w:rsidRPr="00851192">
        <w:rPr>
          <w:rFonts w:ascii="Arial" w:hAnsi="Arial" w:cs="Arial"/>
        </w:rPr>
        <w:t>From conducting a content analysis, the researcher can identify if Goffman (195</w:t>
      </w:r>
      <w:r w:rsidR="001F06D0" w:rsidRPr="00851192">
        <w:rPr>
          <w:rFonts w:ascii="Arial" w:hAnsi="Arial" w:cs="Arial"/>
        </w:rPr>
        <w:t>9</w:t>
      </w:r>
      <w:r w:rsidR="00C03E1D" w:rsidRPr="00851192">
        <w:rPr>
          <w:rFonts w:ascii="Arial" w:hAnsi="Arial" w:cs="Arial"/>
        </w:rPr>
        <w:t xml:space="preserve">) theory on front and back stage behaviour is adopted by GGO’s or Freeman (1984) notion on CSR. </w:t>
      </w:r>
    </w:p>
    <w:p w14:paraId="7CC39267" w14:textId="428C885F" w:rsidR="00A95A70" w:rsidRPr="00851192" w:rsidRDefault="000D5BAE" w:rsidP="003B74DC">
      <w:pPr>
        <w:spacing w:line="360" w:lineRule="auto"/>
        <w:jc w:val="both"/>
        <w:rPr>
          <w:rFonts w:ascii="Arial" w:hAnsi="Arial" w:cs="Arial"/>
        </w:rPr>
      </w:pPr>
      <w:r w:rsidRPr="00851192">
        <w:rPr>
          <w:rFonts w:ascii="Arial" w:hAnsi="Arial" w:cs="Arial"/>
        </w:rPr>
        <w:t>Tata and Prasad (2015) categories of CSR</w:t>
      </w:r>
      <w:r w:rsidR="000C5114" w:rsidRPr="00851192">
        <w:rPr>
          <w:rFonts w:ascii="Arial" w:hAnsi="Arial" w:cs="Arial"/>
        </w:rPr>
        <w:t xml:space="preserve"> were used as a </w:t>
      </w:r>
      <w:r w:rsidR="005438AB" w:rsidRPr="00851192">
        <w:rPr>
          <w:rFonts w:ascii="Arial" w:hAnsi="Arial" w:cs="Arial"/>
        </w:rPr>
        <w:t>marking criterion</w:t>
      </w:r>
      <w:r w:rsidR="000C5114" w:rsidRPr="00851192">
        <w:rPr>
          <w:rFonts w:ascii="Arial" w:hAnsi="Arial" w:cs="Arial"/>
        </w:rPr>
        <w:t xml:space="preserve"> </w:t>
      </w:r>
      <w:r w:rsidRPr="00851192">
        <w:rPr>
          <w:rFonts w:ascii="Arial" w:hAnsi="Arial" w:cs="Arial"/>
        </w:rPr>
        <w:t>against</w:t>
      </w:r>
      <w:r w:rsidR="000C5114" w:rsidRPr="00851192">
        <w:rPr>
          <w:rFonts w:ascii="Arial" w:hAnsi="Arial" w:cs="Arial"/>
        </w:rPr>
        <w:t xml:space="preserve"> GGO’s</w:t>
      </w:r>
      <w:r w:rsidRPr="00851192">
        <w:rPr>
          <w:rFonts w:ascii="Arial" w:hAnsi="Arial" w:cs="Arial"/>
        </w:rPr>
        <w:t>. If a distinctive quality was</w:t>
      </w:r>
      <w:r w:rsidR="000C5114" w:rsidRPr="00851192">
        <w:rPr>
          <w:rFonts w:ascii="Arial" w:hAnsi="Arial" w:cs="Arial"/>
        </w:rPr>
        <w:t xml:space="preserve"> displayed, a mark would be made </w:t>
      </w:r>
      <w:r w:rsidR="0063002A" w:rsidRPr="00851192">
        <w:rPr>
          <w:rFonts w:ascii="Arial" w:hAnsi="Arial" w:cs="Arial"/>
        </w:rPr>
        <w:t>credited to</w:t>
      </w:r>
      <w:r w:rsidR="000C5114" w:rsidRPr="00851192">
        <w:rPr>
          <w:rFonts w:ascii="Arial" w:hAnsi="Arial" w:cs="Arial"/>
        </w:rPr>
        <w:t xml:space="preserve"> the operator. The idea that on the conclusion of the content analysis, the GGO with the highest marks would</w:t>
      </w:r>
      <w:r w:rsidRPr="00851192">
        <w:rPr>
          <w:rFonts w:ascii="Arial" w:hAnsi="Arial" w:cs="Arial"/>
        </w:rPr>
        <w:t xml:space="preserve"> resemble Freeman (1984) concept of CSR and if scoring low would show characteristics from Goffman</w:t>
      </w:r>
      <w:r w:rsidR="001F06D0" w:rsidRPr="00851192">
        <w:rPr>
          <w:rFonts w:ascii="Arial" w:hAnsi="Arial" w:cs="Arial"/>
        </w:rPr>
        <w:t xml:space="preserve"> (1959)</w:t>
      </w:r>
      <w:r w:rsidRPr="00851192">
        <w:rPr>
          <w:rFonts w:ascii="Arial" w:hAnsi="Arial" w:cs="Arial"/>
        </w:rPr>
        <w:t xml:space="preserve"> theory on front and back stage behaviour. </w:t>
      </w:r>
    </w:p>
    <w:p w14:paraId="604B14B8" w14:textId="4395C3E9" w:rsidR="000D5BAE" w:rsidRPr="00851192" w:rsidRDefault="0029196B" w:rsidP="00A95A70">
      <w:pPr>
        <w:jc w:val="both"/>
        <w:rPr>
          <w:rFonts w:ascii="Arial" w:hAnsi="Arial" w:cs="Arial"/>
        </w:rPr>
      </w:pPr>
      <w:r w:rsidRPr="00851192">
        <w:rPr>
          <w:rFonts w:ascii="Arial" w:hAnsi="Arial" w:cs="Arial"/>
        </w:rPr>
        <w:t>A refreshment of</w:t>
      </w:r>
      <w:r w:rsidR="000D5BAE" w:rsidRPr="00851192">
        <w:rPr>
          <w:rFonts w:ascii="Arial" w:hAnsi="Arial" w:cs="Arial"/>
        </w:rPr>
        <w:t xml:space="preserve"> Tata and Prasad </w:t>
      </w:r>
      <w:r w:rsidRPr="00851192">
        <w:rPr>
          <w:rFonts w:ascii="Arial" w:hAnsi="Arial" w:cs="Arial"/>
        </w:rPr>
        <w:t>(</w:t>
      </w:r>
      <w:r w:rsidR="000D5BAE" w:rsidRPr="00851192">
        <w:rPr>
          <w:rFonts w:ascii="Arial" w:hAnsi="Arial" w:cs="Arial"/>
        </w:rPr>
        <w:t>2015)</w:t>
      </w:r>
      <w:r w:rsidRPr="00851192">
        <w:rPr>
          <w:rFonts w:ascii="Arial" w:hAnsi="Arial" w:cs="Arial"/>
        </w:rPr>
        <w:t xml:space="preserve"> categories of CSR</w:t>
      </w:r>
      <w:r w:rsidR="00BF7771" w:rsidRPr="00851192">
        <w:rPr>
          <w:rFonts w:ascii="Arial" w:hAnsi="Arial" w:cs="Arial"/>
        </w:rPr>
        <w:t xml:space="preserve"> and CSR communication</w:t>
      </w:r>
      <w:r w:rsidR="000D5BAE" w:rsidRPr="00851192">
        <w:rPr>
          <w:rFonts w:ascii="Arial" w:hAnsi="Arial" w:cs="Arial"/>
        </w:rPr>
        <w:t>;</w:t>
      </w:r>
    </w:p>
    <w:p w14:paraId="05556D1D" w14:textId="77777777" w:rsidR="000B54C9" w:rsidRPr="00851192" w:rsidRDefault="000B54C9" w:rsidP="000B54C9">
      <w:pPr>
        <w:pStyle w:val="ListParagraph"/>
        <w:numPr>
          <w:ilvl w:val="0"/>
          <w:numId w:val="16"/>
        </w:numPr>
        <w:jc w:val="both"/>
        <w:rPr>
          <w:rFonts w:ascii="Arial" w:hAnsi="Arial" w:cs="Arial"/>
        </w:rPr>
      </w:pPr>
      <w:r w:rsidRPr="00851192">
        <w:rPr>
          <w:rFonts w:ascii="Arial" w:hAnsi="Arial" w:cs="Arial"/>
        </w:rPr>
        <w:t>Commitments to society.</w:t>
      </w:r>
    </w:p>
    <w:p w14:paraId="39479FD7" w14:textId="77777777" w:rsidR="000B54C9" w:rsidRPr="00851192" w:rsidRDefault="000B54C9" w:rsidP="000B54C9">
      <w:pPr>
        <w:pStyle w:val="ListParagraph"/>
        <w:numPr>
          <w:ilvl w:val="0"/>
          <w:numId w:val="16"/>
        </w:numPr>
        <w:jc w:val="both"/>
        <w:rPr>
          <w:rFonts w:ascii="Arial" w:hAnsi="Arial" w:cs="Arial"/>
        </w:rPr>
      </w:pPr>
      <w:r w:rsidRPr="00851192">
        <w:rPr>
          <w:rFonts w:ascii="Arial" w:hAnsi="Arial" w:cs="Arial"/>
        </w:rPr>
        <w:t>Disclosure of corporate vision and mission.</w:t>
      </w:r>
    </w:p>
    <w:p w14:paraId="0BCBDEB0" w14:textId="77777777" w:rsidR="000B54C9" w:rsidRPr="00851192" w:rsidRDefault="000B54C9" w:rsidP="000B54C9">
      <w:pPr>
        <w:pStyle w:val="ListParagraph"/>
        <w:numPr>
          <w:ilvl w:val="0"/>
          <w:numId w:val="16"/>
        </w:numPr>
        <w:jc w:val="both"/>
        <w:rPr>
          <w:rFonts w:ascii="Arial" w:hAnsi="Arial" w:cs="Arial"/>
        </w:rPr>
      </w:pPr>
      <w:r w:rsidRPr="00851192">
        <w:rPr>
          <w:rFonts w:ascii="Arial" w:hAnsi="Arial" w:cs="Arial"/>
        </w:rPr>
        <w:t>Contribution to and management of problem gambling research.</w:t>
      </w:r>
    </w:p>
    <w:p w14:paraId="272AC8C6" w14:textId="77777777" w:rsidR="000B54C9" w:rsidRPr="00851192" w:rsidRDefault="000B54C9" w:rsidP="000B54C9">
      <w:pPr>
        <w:pStyle w:val="ListParagraph"/>
        <w:numPr>
          <w:ilvl w:val="0"/>
          <w:numId w:val="16"/>
        </w:numPr>
        <w:jc w:val="both"/>
        <w:rPr>
          <w:rFonts w:ascii="Arial" w:hAnsi="Arial" w:cs="Arial"/>
        </w:rPr>
      </w:pPr>
      <w:r w:rsidRPr="00851192">
        <w:rPr>
          <w:rFonts w:ascii="Arial" w:hAnsi="Arial" w:cs="Arial"/>
        </w:rPr>
        <w:t xml:space="preserve">Information to suggest effective and purposeful management. </w:t>
      </w:r>
    </w:p>
    <w:p w14:paraId="2F652EAB" w14:textId="77777777" w:rsidR="000B54C9" w:rsidRPr="00851192" w:rsidRDefault="000B54C9" w:rsidP="000B54C9">
      <w:pPr>
        <w:pStyle w:val="ListParagraph"/>
        <w:numPr>
          <w:ilvl w:val="0"/>
          <w:numId w:val="16"/>
        </w:numPr>
        <w:jc w:val="both"/>
        <w:rPr>
          <w:rFonts w:ascii="Arial" w:hAnsi="Arial" w:cs="Arial"/>
        </w:rPr>
      </w:pPr>
      <w:r w:rsidRPr="00851192">
        <w:rPr>
          <w:rFonts w:ascii="Arial" w:hAnsi="Arial" w:cs="Arial"/>
        </w:rPr>
        <w:t>Opportunity for employee growth.</w:t>
      </w:r>
    </w:p>
    <w:p w14:paraId="57BC2EAF" w14:textId="77777777" w:rsidR="000B54C9" w:rsidRPr="00851192" w:rsidRDefault="000B54C9" w:rsidP="000B54C9">
      <w:pPr>
        <w:pStyle w:val="ListParagraph"/>
        <w:numPr>
          <w:ilvl w:val="0"/>
          <w:numId w:val="16"/>
        </w:numPr>
        <w:jc w:val="both"/>
        <w:rPr>
          <w:rFonts w:ascii="Arial" w:hAnsi="Arial" w:cs="Arial"/>
        </w:rPr>
      </w:pPr>
      <w:r w:rsidRPr="00851192">
        <w:rPr>
          <w:rFonts w:ascii="Arial" w:hAnsi="Arial" w:cs="Arial"/>
        </w:rPr>
        <w:t>Effectively achieve CSR communications to external stakeholders.</w:t>
      </w:r>
    </w:p>
    <w:p w14:paraId="6957E43C" w14:textId="77777777" w:rsidR="000B54C9" w:rsidRPr="00851192" w:rsidRDefault="000B54C9" w:rsidP="000B54C9">
      <w:pPr>
        <w:pStyle w:val="ListParagraph"/>
        <w:numPr>
          <w:ilvl w:val="0"/>
          <w:numId w:val="16"/>
        </w:numPr>
        <w:jc w:val="both"/>
        <w:rPr>
          <w:rFonts w:ascii="Arial" w:hAnsi="Arial" w:cs="Arial"/>
        </w:rPr>
      </w:pPr>
      <w:r w:rsidRPr="00851192">
        <w:rPr>
          <w:rFonts w:ascii="Arial" w:hAnsi="Arial" w:cs="Arial"/>
        </w:rPr>
        <w:t>Contribute towards economic growth.</w:t>
      </w:r>
    </w:p>
    <w:p w14:paraId="2BCA2761" w14:textId="6E3A942C" w:rsidR="000B54C9" w:rsidRPr="00851192" w:rsidRDefault="000B54C9" w:rsidP="00A95A70">
      <w:pPr>
        <w:pStyle w:val="ListParagraph"/>
        <w:numPr>
          <w:ilvl w:val="0"/>
          <w:numId w:val="16"/>
        </w:numPr>
        <w:jc w:val="both"/>
        <w:rPr>
          <w:rFonts w:ascii="Arial" w:hAnsi="Arial" w:cs="Arial"/>
        </w:rPr>
      </w:pPr>
      <w:r w:rsidRPr="00851192">
        <w:rPr>
          <w:rFonts w:ascii="Arial" w:hAnsi="Arial" w:cs="Arial"/>
        </w:rPr>
        <w:t>CSR is valued by global gambling operators.</w:t>
      </w:r>
    </w:p>
    <w:p w14:paraId="4ED943AC" w14:textId="502F165F" w:rsidR="000D5BAE" w:rsidRPr="00851192" w:rsidRDefault="000C5114" w:rsidP="003B74DC">
      <w:pPr>
        <w:spacing w:line="360" w:lineRule="auto"/>
        <w:jc w:val="both"/>
        <w:rPr>
          <w:rFonts w:ascii="Arial" w:hAnsi="Arial" w:cs="Arial"/>
        </w:rPr>
      </w:pPr>
      <w:r w:rsidRPr="00851192">
        <w:rPr>
          <w:rFonts w:ascii="Arial" w:hAnsi="Arial" w:cs="Arial"/>
        </w:rPr>
        <w:t>Furthermore, it is important to note th</w:t>
      </w:r>
      <w:r w:rsidR="00DD696C" w:rsidRPr="00851192">
        <w:rPr>
          <w:rFonts w:ascii="Arial" w:hAnsi="Arial" w:cs="Arial"/>
        </w:rPr>
        <w:t xml:space="preserve">at the research findings across the whole study are plausible. The use of publicised material in annual reports as well as information on social </w:t>
      </w:r>
      <w:r w:rsidR="00DD696C" w:rsidRPr="00851192">
        <w:rPr>
          <w:rFonts w:ascii="Arial" w:hAnsi="Arial" w:cs="Arial"/>
        </w:rPr>
        <w:lastRenderedPageBreak/>
        <w:t xml:space="preserve">media networks presented by GGO’s makes the conclusions credible. The information drawn from participants are original interpretations and views on habits of gambling and image of GGO’s. The transferability of the categories </w:t>
      </w:r>
      <w:r w:rsidR="00A926B7" w:rsidRPr="00851192">
        <w:rPr>
          <w:rFonts w:ascii="Arial" w:hAnsi="Arial" w:cs="Arial"/>
        </w:rPr>
        <w:t>is</w:t>
      </w:r>
      <w:r w:rsidR="00DD696C" w:rsidRPr="00851192">
        <w:rPr>
          <w:rFonts w:ascii="Arial" w:hAnsi="Arial" w:cs="Arial"/>
        </w:rPr>
        <w:t xml:space="preserve"> made across all aspects of</w:t>
      </w:r>
      <w:r w:rsidR="0029196B" w:rsidRPr="00851192">
        <w:rPr>
          <w:rFonts w:ascii="Arial" w:hAnsi="Arial" w:cs="Arial"/>
        </w:rPr>
        <w:t xml:space="preserve"> the</w:t>
      </w:r>
      <w:r w:rsidR="00DD696C" w:rsidRPr="00851192">
        <w:rPr>
          <w:rFonts w:ascii="Arial" w:hAnsi="Arial" w:cs="Arial"/>
        </w:rPr>
        <w:t xml:space="preserve"> analysis and evaluations on GGO’s within the content analysis section. This is done to support the trustworthiness of the criteria presented. The dependability of findings is supported by the cap which is in place </w:t>
      </w:r>
      <w:r w:rsidR="00A926B7" w:rsidRPr="00851192">
        <w:rPr>
          <w:rFonts w:ascii="Arial" w:hAnsi="Arial" w:cs="Arial"/>
        </w:rPr>
        <w:t xml:space="preserve">on the </w:t>
      </w:r>
      <w:r w:rsidR="0029196B" w:rsidRPr="00851192">
        <w:rPr>
          <w:rFonts w:ascii="Arial" w:hAnsi="Arial" w:cs="Arial"/>
        </w:rPr>
        <w:t>survey’s</w:t>
      </w:r>
      <w:r w:rsidR="00A926B7" w:rsidRPr="00851192">
        <w:rPr>
          <w:rFonts w:ascii="Arial" w:hAnsi="Arial" w:cs="Arial"/>
        </w:rPr>
        <w:t xml:space="preserve"> deadline</w:t>
      </w:r>
      <w:r w:rsidR="00DD696C" w:rsidRPr="00851192">
        <w:rPr>
          <w:rFonts w:ascii="Arial" w:hAnsi="Arial" w:cs="Arial"/>
        </w:rPr>
        <w:t>, alongside a timeframe of when content analys</w:t>
      </w:r>
      <w:r w:rsidR="0029196B" w:rsidRPr="00851192">
        <w:rPr>
          <w:rFonts w:ascii="Arial" w:hAnsi="Arial" w:cs="Arial"/>
        </w:rPr>
        <w:t>e</w:t>
      </w:r>
      <w:r w:rsidR="00DD696C" w:rsidRPr="00851192">
        <w:rPr>
          <w:rFonts w:ascii="Arial" w:hAnsi="Arial" w:cs="Arial"/>
        </w:rPr>
        <w:t xml:space="preserve">s </w:t>
      </w:r>
      <w:r w:rsidR="0029196B" w:rsidRPr="00851192">
        <w:rPr>
          <w:rFonts w:ascii="Arial" w:hAnsi="Arial" w:cs="Arial"/>
        </w:rPr>
        <w:t xml:space="preserve">across </w:t>
      </w:r>
      <w:r w:rsidR="00DD696C" w:rsidRPr="00851192">
        <w:rPr>
          <w:rFonts w:ascii="Arial" w:hAnsi="Arial" w:cs="Arial"/>
        </w:rPr>
        <w:t>live online platforms</w:t>
      </w:r>
      <w:r w:rsidR="00A926B7" w:rsidRPr="00851192">
        <w:rPr>
          <w:rFonts w:ascii="Arial" w:hAnsi="Arial" w:cs="Arial"/>
        </w:rPr>
        <w:t xml:space="preserve"> was</w:t>
      </w:r>
      <w:r w:rsidR="00DD696C" w:rsidRPr="00851192">
        <w:rPr>
          <w:rFonts w:ascii="Arial" w:hAnsi="Arial" w:cs="Arial"/>
        </w:rPr>
        <w:t xml:space="preserve"> made. Thus</w:t>
      </w:r>
      <w:r w:rsidR="00DF2DDA" w:rsidRPr="00851192">
        <w:rPr>
          <w:rFonts w:ascii="Arial" w:hAnsi="Arial" w:cs="Arial"/>
        </w:rPr>
        <w:t>,</w:t>
      </w:r>
      <w:r w:rsidR="00DD696C" w:rsidRPr="00851192">
        <w:rPr>
          <w:rFonts w:ascii="Arial" w:hAnsi="Arial" w:cs="Arial"/>
        </w:rPr>
        <w:t xml:space="preserve"> through committing to a short timeframe would increase the stability of findings. </w:t>
      </w:r>
    </w:p>
    <w:p w14:paraId="58534269" w14:textId="2287CD3C" w:rsidR="000C5114" w:rsidRPr="00851192" w:rsidRDefault="000D5BAE" w:rsidP="003B74DC">
      <w:pPr>
        <w:spacing w:line="360" w:lineRule="auto"/>
        <w:jc w:val="both"/>
        <w:rPr>
          <w:rFonts w:ascii="Arial" w:hAnsi="Arial" w:cs="Arial"/>
        </w:rPr>
      </w:pPr>
      <w:r w:rsidRPr="00851192">
        <w:rPr>
          <w:rFonts w:ascii="Arial" w:hAnsi="Arial" w:cs="Arial"/>
        </w:rPr>
        <w:t>Even so</w:t>
      </w:r>
      <w:r w:rsidR="00DF2DDA" w:rsidRPr="00851192">
        <w:rPr>
          <w:rFonts w:ascii="Arial" w:hAnsi="Arial" w:cs="Arial"/>
        </w:rPr>
        <w:t>,</w:t>
      </w:r>
      <w:r w:rsidR="00DD696C" w:rsidRPr="00851192">
        <w:rPr>
          <w:rFonts w:ascii="Arial" w:hAnsi="Arial" w:cs="Arial"/>
        </w:rPr>
        <w:t xml:space="preserve"> the stability of findings by participants of the survey would be strong and credible due to the patterns emerged from the research on perception of GGO’s. The confirmability of the research would be limited due to the lack of research within the area. However, expert interpretation of the study such as the supervisor of the dissertation would agree with the results foreseen within the survey.  </w:t>
      </w:r>
    </w:p>
    <w:p w14:paraId="3A57B7C5" w14:textId="3A89099F" w:rsidR="00A95A70" w:rsidRPr="00851192" w:rsidRDefault="00A95A70" w:rsidP="003B74DC">
      <w:pPr>
        <w:spacing w:line="360" w:lineRule="auto"/>
        <w:jc w:val="both"/>
        <w:rPr>
          <w:rFonts w:ascii="Arial" w:hAnsi="Arial" w:cs="Arial"/>
        </w:rPr>
      </w:pPr>
      <w:r w:rsidRPr="00851192">
        <w:rPr>
          <w:rFonts w:ascii="Arial" w:hAnsi="Arial" w:cs="Arial"/>
        </w:rPr>
        <w:t xml:space="preserve">A </w:t>
      </w:r>
      <w:r w:rsidR="00A926B7" w:rsidRPr="00851192">
        <w:rPr>
          <w:rFonts w:ascii="Arial" w:hAnsi="Arial" w:cs="Arial"/>
        </w:rPr>
        <w:t>CSR</w:t>
      </w:r>
      <w:r w:rsidRPr="00851192">
        <w:rPr>
          <w:rFonts w:ascii="Arial" w:hAnsi="Arial" w:cs="Arial"/>
        </w:rPr>
        <w:t xml:space="preserve"> measurement scale </w:t>
      </w:r>
      <w:r w:rsidR="0093576E" w:rsidRPr="00851192">
        <w:rPr>
          <w:rFonts w:ascii="Arial" w:hAnsi="Arial" w:cs="Arial"/>
        </w:rPr>
        <w:t xml:space="preserve">and mark </w:t>
      </w:r>
      <w:r w:rsidRPr="00851192">
        <w:rPr>
          <w:rFonts w:ascii="Arial" w:hAnsi="Arial" w:cs="Arial"/>
        </w:rPr>
        <w:t>(</w:t>
      </w:r>
      <w:r w:rsidRPr="00851192">
        <w:rPr>
          <w:rFonts w:ascii="Arial" w:hAnsi="Arial" w:cs="Arial"/>
          <w:b/>
          <w:i/>
        </w:rPr>
        <w:t xml:space="preserve">Table </w:t>
      </w:r>
      <w:r w:rsidR="0093576E" w:rsidRPr="00851192">
        <w:rPr>
          <w:rFonts w:ascii="Arial" w:hAnsi="Arial" w:cs="Arial"/>
          <w:b/>
          <w:i/>
        </w:rPr>
        <w:t>4</w:t>
      </w:r>
      <w:r w:rsidR="004006B9" w:rsidRPr="00851192">
        <w:rPr>
          <w:rFonts w:ascii="Arial" w:hAnsi="Arial" w:cs="Arial"/>
          <w:b/>
          <w:i/>
        </w:rPr>
        <w:t>.1</w:t>
      </w:r>
      <w:r w:rsidRPr="00851192">
        <w:rPr>
          <w:rFonts w:ascii="Arial" w:hAnsi="Arial" w:cs="Arial"/>
        </w:rPr>
        <w:t xml:space="preserve">) </w:t>
      </w:r>
      <w:r w:rsidR="0029196B" w:rsidRPr="00851192">
        <w:rPr>
          <w:rFonts w:ascii="Arial" w:hAnsi="Arial" w:cs="Arial"/>
        </w:rPr>
        <w:t xml:space="preserve">adapted from Luo et al., (2017) ethical and responsible scale has been used to evaluate CSR and CSR communication commitments by GGO’s. </w:t>
      </w:r>
    </w:p>
    <w:p w14:paraId="5231D8D5" w14:textId="2E32B57F" w:rsidR="00A95A70" w:rsidRPr="00851192" w:rsidRDefault="000B54C9" w:rsidP="003B74DC">
      <w:pPr>
        <w:spacing w:line="360" w:lineRule="auto"/>
        <w:jc w:val="both"/>
        <w:rPr>
          <w:rFonts w:ascii="Arial" w:hAnsi="Arial" w:cs="Arial"/>
        </w:rPr>
      </w:pPr>
      <w:r w:rsidRPr="00851192">
        <w:rPr>
          <w:rFonts w:ascii="Arial" w:hAnsi="Arial" w:cs="Arial"/>
        </w:rPr>
        <w:t xml:space="preserve">The </w:t>
      </w:r>
      <w:r w:rsidR="007B641D" w:rsidRPr="00851192">
        <w:rPr>
          <w:rFonts w:ascii="Arial" w:hAnsi="Arial" w:cs="Arial"/>
        </w:rPr>
        <w:t>content analysis</w:t>
      </w:r>
      <w:r w:rsidR="0029196B" w:rsidRPr="00851192">
        <w:rPr>
          <w:rFonts w:ascii="Arial" w:hAnsi="Arial" w:cs="Arial"/>
        </w:rPr>
        <w:t xml:space="preserve"> also</w:t>
      </w:r>
      <w:r w:rsidRPr="00851192">
        <w:rPr>
          <w:rFonts w:ascii="Arial" w:hAnsi="Arial" w:cs="Arial"/>
        </w:rPr>
        <w:t xml:space="preserve"> incorporated </w:t>
      </w:r>
      <w:r w:rsidR="007B641D" w:rsidRPr="00851192">
        <w:rPr>
          <w:rFonts w:ascii="Arial" w:hAnsi="Arial" w:cs="Arial"/>
        </w:rPr>
        <w:t xml:space="preserve">and considered </w:t>
      </w:r>
      <w:r w:rsidRPr="00851192">
        <w:rPr>
          <w:rFonts w:ascii="Arial" w:hAnsi="Arial" w:cs="Arial"/>
        </w:rPr>
        <w:t xml:space="preserve">Tata and Prasad’s </w:t>
      </w:r>
      <w:r w:rsidR="0029196B" w:rsidRPr="00851192">
        <w:rPr>
          <w:rFonts w:ascii="Arial" w:hAnsi="Arial" w:cs="Arial"/>
        </w:rPr>
        <w:t xml:space="preserve">conceptual </w:t>
      </w:r>
      <w:r w:rsidRPr="00851192">
        <w:rPr>
          <w:rFonts w:ascii="Arial" w:hAnsi="Arial" w:cs="Arial"/>
        </w:rPr>
        <w:t>model of CSR communication. It is recognised that the implementation of this model</w:t>
      </w:r>
      <w:r w:rsidR="00A95A70" w:rsidRPr="00851192">
        <w:rPr>
          <w:rFonts w:ascii="Arial" w:hAnsi="Arial" w:cs="Arial"/>
        </w:rPr>
        <w:t xml:space="preserve"> is essential for any business </w:t>
      </w:r>
      <w:r w:rsidRPr="00851192">
        <w:rPr>
          <w:rFonts w:ascii="Arial" w:hAnsi="Arial" w:cs="Arial"/>
        </w:rPr>
        <w:t xml:space="preserve">wanting </w:t>
      </w:r>
      <w:r w:rsidR="00A95A70" w:rsidRPr="00851192">
        <w:rPr>
          <w:rFonts w:ascii="Arial" w:hAnsi="Arial" w:cs="Arial"/>
        </w:rPr>
        <w:t xml:space="preserve">to achieve </w:t>
      </w:r>
      <w:r w:rsidRPr="00851192">
        <w:rPr>
          <w:rFonts w:ascii="Arial" w:hAnsi="Arial" w:cs="Arial"/>
        </w:rPr>
        <w:t>in reducing</w:t>
      </w:r>
      <w:r w:rsidR="00A95A70" w:rsidRPr="00851192">
        <w:rPr>
          <w:rFonts w:ascii="Arial" w:hAnsi="Arial" w:cs="Arial"/>
        </w:rPr>
        <w:t xml:space="preserve"> the incongruence between the consumers perception of an organisations brand and the desired image </w:t>
      </w:r>
      <w:r w:rsidR="0029196B" w:rsidRPr="00851192">
        <w:rPr>
          <w:rFonts w:ascii="Arial" w:hAnsi="Arial" w:cs="Arial"/>
        </w:rPr>
        <w:t xml:space="preserve">by </w:t>
      </w:r>
      <w:r w:rsidR="00A95A70" w:rsidRPr="00851192">
        <w:rPr>
          <w:rFonts w:ascii="Arial" w:hAnsi="Arial" w:cs="Arial"/>
        </w:rPr>
        <w:t xml:space="preserve">a business. Furthermore, within the </w:t>
      </w:r>
      <w:r w:rsidRPr="00851192">
        <w:rPr>
          <w:rFonts w:ascii="Arial" w:hAnsi="Arial" w:cs="Arial"/>
        </w:rPr>
        <w:t>analysis</w:t>
      </w:r>
      <w:r w:rsidR="00A95A70" w:rsidRPr="00851192">
        <w:rPr>
          <w:rFonts w:ascii="Arial" w:hAnsi="Arial" w:cs="Arial"/>
        </w:rPr>
        <w:t xml:space="preserve"> of th</w:t>
      </w:r>
      <w:r w:rsidRPr="00851192">
        <w:rPr>
          <w:rFonts w:ascii="Arial" w:hAnsi="Arial" w:cs="Arial"/>
        </w:rPr>
        <w:t>e</w:t>
      </w:r>
      <w:r w:rsidR="00A95A70" w:rsidRPr="00851192">
        <w:rPr>
          <w:rFonts w:ascii="Arial" w:hAnsi="Arial" w:cs="Arial"/>
        </w:rPr>
        <w:t xml:space="preserve"> study, </w:t>
      </w:r>
      <w:r w:rsidR="00A926B7" w:rsidRPr="00851192">
        <w:rPr>
          <w:rFonts w:ascii="Arial" w:hAnsi="Arial" w:cs="Arial"/>
        </w:rPr>
        <w:t>GGO’s</w:t>
      </w:r>
      <w:r w:rsidR="00A95A70" w:rsidRPr="00851192">
        <w:rPr>
          <w:rFonts w:ascii="Arial" w:hAnsi="Arial" w:cs="Arial"/>
        </w:rPr>
        <w:t xml:space="preserve"> </w:t>
      </w:r>
      <w:r w:rsidRPr="00851192">
        <w:rPr>
          <w:rFonts w:ascii="Arial" w:hAnsi="Arial" w:cs="Arial"/>
        </w:rPr>
        <w:t>were</w:t>
      </w:r>
      <w:r w:rsidR="00A95A70" w:rsidRPr="00851192">
        <w:rPr>
          <w:rFonts w:ascii="Arial" w:hAnsi="Arial" w:cs="Arial"/>
        </w:rPr>
        <w:t xml:space="preserve"> evaluated through using annual reports, media, and academia journals to identify, evaluate, and support the scoring of itemised subject areas. </w:t>
      </w:r>
    </w:p>
    <w:p w14:paraId="2F615341" w14:textId="2899A8DB" w:rsidR="00F012BA" w:rsidRPr="00851192" w:rsidRDefault="00F012BA" w:rsidP="00F012BA">
      <w:pPr>
        <w:pStyle w:val="Heading2"/>
        <w:rPr>
          <w:rFonts w:ascii="Arial" w:hAnsi="Arial" w:cs="Arial"/>
          <w:color w:val="auto"/>
        </w:rPr>
      </w:pPr>
      <w:bookmarkStart w:id="44" w:name="_Toc526434245"/>
      <w:r w:rsidRPr="00851192">
        <w:rPr>
          <w:rFonts w:ascii="Arial" w:hAnsi="Arial" w:cs="Arial"/>
          <w:color w:val="auto"/>
        </w:rPr>
        <w:t>4.2.1 Coding</w:t>
      </w:r>
      <w:bookmarkEnd w:id="44"/>
    </w:p>
    <w:p w14:paraId="43C3BF5A" w14:textId="48D87940" w:rsidR="00F012BA" w:rsidRPr="00851192" w:rsidRDefault="00F012BA" w:rsidP="003B74DC">
      <w:pPr>
        <w:spacing w:line="360" w:lineRule="auto"/>
        <w:jc w:val="both"/>
        <w:rPr>
          <w:rFonts w:ascii="Arial" w:hAnsi="Arial" w:cs="Arial"/>
        </w:rPr>
      </w:pPr>
      <w:r w:rsidRPr="00851192">
        <w:rPr>
          <w:rFonts w:ascii="Arial" w:hAnsi="Arial" w:cs="Arial"/>
        </w:rPr>
        <w:t>For identifying and understanding evaluation, the researcher has devised a coding technique which allows readers to clearly identify the value and meaning behind categories which show characteristics of criteria’s being effective and present within the content analysis of annual reports</w:t>
      </w:r>
      <w:r w:rsidR="0029196B" w:rsidRPr="00851192">
        <w:rPr>
          <w:rFonts w:ascii="Arial" w:hAnsi="Arial" w:cs="Arial"/>
        </w:rPr>
        <w:t>. This coding technique has also been carried out on</w:t>
      </w:r>
      <w:r w:rsidRPr="00851192">
        <w:rPr>
          <w:rFonts w:ascii="Arial" w:hAnsi="Arial" w:cs="Arial"/>
        </w:rPr>
        <w:t xml:space="preserve"> websites and social media. An example of this is shown below. </w:t>
      </w:r>
    </w:p>
    <w:p w14:paraId="4790B843" w14:textId="50ADF4A5" w:rsidR="00F012BA" w:rsidRPr="00851192" w:rsidRDefault="00F012BA" w:rsidP="00F012BA">
      <w:pPr>
        <w:jc w:val="center"/>
        <w:rPr>
          <w:rFonts w:ascii="Arial" w:hAnsi="Arial" w:cs="Arial"/>
        </w:rPr>
      </w:pPr>
      <w:r w:rsidRPr="00851192">
        <w:rPr>
          <w:rFonts w:ascii="Arial" w:hAnsi="Arial" w:cs="Arial"/>
          <w:b/>
        </w:rPr>
        <w:t xml:space="preserve">Table </w:t>
      </w:r>
      <w:r w:rsidR="004006B9" w:rsidRPr="00851192">
        <w:rPr>
          <w:rFonts w:ascii="Arial" w:hAnsi="Arial" w:cs="Arial"/>
          <w:b/>
        </w:rPr>
        <w:t>4</w:t>
      </w:r>
      <w:r w:rsidRPr="00851192">
        <w:rPr>
          <w:rFonts w:ascii="Arial" w:hAnsi="Arial" w:cs="Arial"/>
        </w:rPr>
        <w:t xml:space="preserve"> </w:t>
      </w:r>
      <w:r w:rsidR="004006B9" w:rsidRPr="00851192">
        <w:rPr>
          <w:rFonts w:ascii="Arial" w:hAnsi="Arial" w:cs="Arial"/>
        </w:rPr>
        <w:t>Coding Technique to Identify Valued Mark</w:t>
      </w:r>
    </w:p>
    <w:tbl>
      <w:tblPr>
        <w:tblStyle w:val="TableGrid"/>
        <w:tblW w:w="0" w:type="auto"/>
        <w:tblLook w:val="04A0" w:firstRow="1" w:lastRow="0" w:firstColumn="1" w:lastColumn="0" w:noHBand="0" w:noVBand="1"/>
      </w:tblPr>
      <w:tblGrid>
        <w:gridCol w:w="3005"/>
        <w:gridCol w:w="3005"/>
        <w:gridCol w:w="3006"/>
      </w:tblGrid>
      <w:tr w:rsidR="00F012BA" w:rsidRPr="00851192" w14:paraId="25139946" w14:textId="77777777" w:rsidTr="000F6DA4">
        <w:tc>
          <w:tcPr>
            <w:tcW w:w="3005" w:type="dxa"/>
          </w:tcPr>
          <w:p w14:paraId="15F9B0A5" w14:textId="64C611B1" w:rsidR="00F012BA" w:rsidRPr="00851192" w:rsidRDefault="0029196B" w:rsidP="000F6DA4">
            <w:pPr>
              <w:jc w:val="center"/>
              <w:rPr>
                <w:rFonts w:ascii="Arial" w:hAnsi="Arial" w:cs="Arial"/>
                <w:b/>
              </w:rPr>
            </w:pPr>
            <w:r w:rsidRPr="00851192">
              <w:rPr>
                <w:rFonts w:ascii="Arial" w:hAnsi="Arial" w:cs="Arial"/>
                <w:b/>
              </w:rPr>
              <w:t>Dimension</w:t>
            </w:r>
          </w:p>
        </w:tc>
        <w:tc>
          <w:tcPr>
            <w:tcW w:w="3005" w:type="dxa"/>
          </w:tcPr>
          <w:p w14:paraId="26FA564D" w14:textId="081D701C" w:rsidR="00F012BA" w:rsidRPr="00851192" w:rsidRDefault="00F012BA" w:rsidP="000F6DA4">
            <w:pPr>
              <w:jc w:val="center"/>
              <w:rPr>
                <w:rFonts w:ascii="Arial" w:hAnsi="Arial" w:cs="Arial"/>
                <w:b/>
              </w:rPr>
            </w:pPr>
            <w:r w:rsidRPr="00851192">
              <w:rPr>
                <w:rFonts w:ascii="Arial" w:hAnsi="Arial" w:cs="Arial"/>
                <w:b/>
              </w:rPr>
              <w:t>Categories</w:t>
            </w:r>
            <w:r w:rsidR="0029196B" w:rsidRPr="00851192">
              <w:rPr>
                <w:rFonts w:ascii="Arial" w:hAnsi="Arial" w:cs="Arial"/>
                <w:b/>
              </w:rPr>
              <w:t xml:space="preserve"> / Qualities </w:t>
            </w:r>
          </w:p>
        </w:tc>
        <w:tc>
          <w:tcPr>
            <w:tcW w:w="3006" w:type="dxa"/>
          </w:tcPr>
          <w:p w14:paraId="6CCD8FD4" w14:textId="4C2FCD87" w:rsidR="00F012BA" w:rsidRPr="00851192" w:rsidRDefault="00F012BA" w:rsidP="000F6DA4">
            <w:pPr>
              <w:jc w:val="center"/>
              <w:rPr>
                <w:rFonts w:ascii="Arial" w:hAnsi="Arial" w:cs="Arial"/>
                <w:b/>
              </w:rPr>
            </w:pPr>
            <w:r w:rsidRPr="00851192">
              <w:rPr>
                <w:rFonts w:ascii="Arial" w:hAnsi="Arial" w:cs="Arial"/>
                <w:b/>
              </w:rPr>
              <w:t>Coding</w:t>
            </w:r>
            <w:r w:rsidR="0029196B" w:rsidRPr="00851192">
              <w:rPr>
                <w:rFonts w:ascii="Arial" w:hAnsi="Arial" w:cs="Arial"/>
                <w:b/>
              </w:rPr>
              <w:t xml:space="preserve"> / Mark</w:t>
            </w:r>
          </w:p>
        </w:tc>
      </w:tr>
      <w:tr w:rsidR="00F012BA" w:rsidRPr="00851192" w14:paraId="0CAF292C" w14:textId="77777777" w:rsidTr="000F6DA4">
        <w:tc>
          <w:tcPr>
            <w:tcW w:w="3005" w:type="dxa"/>
          </w:tcPr>
          <w:p w14:paraId="7BEBE393" w14:textId="52CA63F4" w:rsidR="00F012BA" w:rsidRPr="00851192" w:rsidRDefault="0029196B" w:rsidP="0029196B">
            <w:pPr>
              <w:jc w:val="center"/>
              <w:rPr>
                <w:rFonts w:ascii="Arial" w:hAnsi="Arial" w:cs="Arial"/>
              </w:rPr>
            </w:pPr>
            <w:r w:rsidRPr="00851192">
              <w:rPr>
                <w:rFonts w:ascii="Arial" w:hAnsi="Arial" w:cs="Arial"/>
              </w:rPr>
              <w:t>Website</w:t>
            </w:r>
          </w:p>
        </w:tc>
        <w:tc>
          <w:tcPr>
            <w:tcW w:w="3005" w:type="dxa"/>
          </w:tcPr>
          <w:p w14:paraId="238673BE" w14:textId="77777777" w:rsidR="00F012BA" w:rsidRPr="00851192" w:rsidRDefault="00F012BA" w:rsidP="00F012BA">
            <w:pPr>
              <w:rPr>
                <w:rFonts w:ascii="Arial" w:hAnsi="Arial" w:cs="Arial"/>
              </w:rPr>
            </w:pPr>
            <w:r w:rsidRPr="00851192">
              <w:rPr>
                <w:rFonts w:ascii="Arial" w:hAnsi="Arial" w:cs="Arial"/>
              </w:rPr>
              <w:t xml:space="preserve">CSR initiative represented on home page. </w:t>
            </w:r>
          </w:p>
        </w:tc>
        <w:tc>
          <w:tcPr>
            <w:tcW w:w="3006" w:type="dxa"/>
          </w:tcPr>
          <w:p w14:paraId="781304E1" w14:textId="0515CD13" w:rsidR="00F012BA" w:rsidRPr="00851192" w:rsidRDefault="00F012BA" w:rsidP="000F6DA4">
            <w:pPr>
              <w:jc w:val="center"/>
              <w:rPr>
                <w:rFonts w:ascii="Arial" w:hAnsi="Arial" w:cs="Arial"/>
              </w:rPr>
            </w:pPr>
            <w:r w:rsidRPr="00851192">
              <w:rPr>
                <w:rFonts w:ascii="Arial" w:hAnsi="Arial" w:cs="Arial"/>
              </w:rPr>
              <w:t>0 = Not Present</w:t>
            </w:r>
            <w:r w:rsidR="00A05166" w:rsidRPr="00851192">
              <w:rPr>
                <w:rFonts w:ascii="Arial" w:hAnsi="Arial" w:cs="Arial"/>
              </w:rPr>
              <w:br/>
              <w:t>1 = Present</w:t>
            </w:r>
          </w:p>
        </w:tc>
      </w:tr>
      <w:tr w:rsidR="00F012BA" w:rsidRPr="00851192" w14:paraId="15FEA535" w14:textId="77777777" w:rsidTr="000F6DA4">
        <w:tc>
          <w:tcPr>
            <w:tcW w:w="3005" w:type="dxa"/>
          </w:tcPr>
          <w:p w14:paraId="36CB3329" w14:textId="77777777" w:rsidR="00F012BA" w:rsidRPr="00851192" w:rsidRDefault="00F012BA" w:rsidP="000F6DA4">
            <w:pPr>
              <w:jc w:val="center"/>
              <w:rPr>
                <w:rFonts w:ascii="Arial" w:hAnsi="Arial" w:cs="Arial"/>
              </w:rPr>
            </w:pPr>
          </w:p>
        </w:tc>
        <w:tc>
          <w:tcPr>
            <w:tcW w:w="3005" w:type="dxa"/>
          </w:tcPr>
          <w:p w14:paraId="2C766BE3" w14:textId="77777777" w:rsidR="00F012BA" w:rsidRPr="00851192" w:rsidRDefault="00F012BA" w:rsidP="00F012BA">
            <w:pPr>
              <w:rPr>
                <w:rFonts w:ascii="Arial" w:hAnsi="Arial" w:cs="Arial"/>
              </w:rPr>
            </w:pPr>
            <w:r w:rsidRPr="00851192">
              <w:rPr>
                <w:rFonts w:ascii="Arial" w:hAnsi="Arial" w:cs="Arial"/>
              </w:rPr>
              <w:t>Link on homepage regarding a CSR topic.</w:t>
            </w:r>
          </w:p>
        </w:tc>
        <w:tc>
          <w:tcPr>
            <w:tcW w:w="3006" w:type="dxa"/>
          </w:tcPr>
          <w:p w14:paraId="56159B96" w14:textId="37CF8731" w:rsidR="00F012BA" w:rsidRPr="00851192" w:rsidRDefault="003B74DC" w:rsidP="000F6DA4">
            <w:pPr>
              <w:jc w:val="center"/>
              <w:rPr>
                <w:rFonts w:ascii="Arial" w:hAnsi="Arial" w:cs="Arial"/>
              </w:rPr>
            </w:pPr>
            <w:r w:rsidRPr="00851192">
              <w:rPr>
                <w:rFonts w:ascii="Arial" w:hAnsi="Arial" w:cs="Arial"/>
              </w:rPr>
              <w:t xml:space="preserve">Bet365 – </w:t>
            </w:r>
            <w:r w:rsidR="00A05166" w:rsidRPr="00851192">
              <w:rPr>
                <w:rFonts w:ascii="Arial" w:hAnsi="Arial" w:cs="Arial"/>
              </w:rPr>
              <w:t>1</w:t>
            </w:r>
            <w:r w:rsidRPr="00851192">
              <w:rPr>
                <w:rFonts w:ascii="Arial" w:hAnsi="Arial" w:cs="Arial"/>
              </w:rPr>
              <w:br/>
            </w:r>
            <w:proofErr w:type="spellStart"/>
            <w:r w:rsidRPr="00851192">
              <w:rPr>
                <w:rFonts w:ascii="Arial" w:hAnsi="Arial" w:cs="Arial"/>
              </w:rPr>
              <w:t>Bwin</w:t>
            </w:r>
            <w:proofErr w:type="spellEnd"/>
            <w:r w:rsidRPr="00851192">
              <w:rPr>
                <w:rFonts w:ascii="Arial" w:hAnsi="Arial" w:cs="Arial"/>
              </w:rPr>
              <w:t xml:space="preserve"> – 1</w:t>
            </w:r>
            <w:r w:rsidRPr="00851192">
              <w:rPr>
                <w:rFonts w:ascii="Arial" w:hAnsi="Arial" w:cs="Arial"/>
              </w:rPr>
              <w:br/>
              <w:t>Asia Gaming - 0</w:t>
            </w:r>
          </w:p>
        </w:tc>
      </w:tr>
      <w:tr w:rsidR="00F012BA" w:rsidRPr="00851192" w14:paraId="3BC3E251" w14:textId="77777777" w:rsidTr="000F6DA4">
        <w:tc>
          <w:tcPr>
            <w:tcW w:w="3005" w:type="dxa"/>
          </w:tcPr>
          <w:p w14:paraId="6514A251" w14:textId="77777777" w:rsidR="00F012BA" w:rsidRPr="00851192" w:rsidRDefault="00F012BA" w:rsidP="000F6DA4">
            <w:pPr>
              <w:jc w:val="center"/>
              <w:rPr>
                <w:rFonts w:ascii="Arial" w:hAnsi="Arial" w:cs="Arial"/>
              </w:rPr>
            </w:pPr>
          </w:p>
        </w:tc>
        <w:tc>
          <w:tcPr>
            <w:tcW w:w="3005" w:type="dxa"/>
          </w:tcPr>
          <w:p w14:paraId="63A3E2E0" w14:textId="77777777" w:rsidR="00F012BA" w:rsidRPr="00851192" w:rsidRDefault="00F012BA" w:rsidP="00F012BA">
            <w:pPr>
              <w:rPr>
                <w:rFonts w:ascii="Arial" w:hAnsi="Arial" w:cs="Arial"/>
              </w:rPr>
            </w:pPr>
            <w:r w:rsidRPr="00851192">
              <w:rPr>
                <w:rFonts w:ascii="Arial" w:hAnsi="Arial" w:cs="Arial"/>
              </w:rPr>
              <w:t>Clearly Shown</w:t>
            </w:r>
          </w:p>
        </w:tc>
        <w:tc>
          <w:tcPr>
            <w:tcW w:w="3006" w:type="dxa"/>
          </w:tcPr>
          <w:p w14:paraId="2143A955" w14:textId="20109923" w:rsidR="00F012BA" w:rsidRPr="00851192" w:rsidRDefault="003B74DC" w:rsidP="000F6DA4">
            <w:pPr>
              <w:jc w:val="center"/>
              <w:rPr>
                <w:rFonts w:ascii="Arial" w:hAnsi="Arial" w:cs="Arial"/>
              </w:rPr>
            </w:pPr>
            <w:r w:rsidRPr="00851192">
              <w:rPr>
                <w:rFonts w:ascii="Arial" w:hAnsi="Arial" w:cs="Arial"/>
              </w:rPr>
              <w:t>Bet365 – 1</w:t>
            </w:r>
            <w:r w:rsidRPr="00851192">
              <w:rPr>
                <w:rFonts w:ascii="Arial" w:hAnsi="Arial" w:cs="Arial"/>
              </w:rPr>
              <w:br/>
            </w:r>
            <w:proofErr w:type="spellStart"/>
            <w:r w:rsidRPr="00851192">
              <w:rPr>
                <w:rFonts w:ascii="Arial" w:hAnsi="Arial" w:cs="Arial"/>
              </w:rPr>
              <w:t>Bwin</w:t>
            </w:r>
            <w:proofErr w:type="spellEnd"/>
            <w:r w:rsidRPr="00851192">
              <w:rPr>
                <w:rFonts w:ascii="Arial" w:hAnsi="Arial" w:cs="Arial"/>
              </w:rPr>
              <w:t xml:space="preserve"> – 1</w:t>
            </w:r>
            <w:r w:rsidRPr="00851192">
              <w:rPr>
                <w:rFonts w:ascii="Arial" w:hAnsi="Arial" w:cs="Arial"/>
              </w:rPr>
              <w:br/>
              <w:t>Asia Gaming - 0</w:t>
            </w:r>
          </w:p>
        </w:tc>
      </w:tr>
    </w:tbl>
    <w:p w14:paraId="14A59567" w14:textId="77777777" w:rsidR="00F012BA" w:rsidRPr="00851192" w:rsidRDefault="00F012BA" w:rsidP="00A95A70">
      <w:pPr>
        <w:jc w:val="both"/>
        <w:rPr>
          <w:rFonts w:ascii="Arial" w:hAnsi="Arial" w:cs="Arial"/>
        </w:rPr>
      </w:pPr>
    </w:p>
    <w:p w14:paraId="1B96CDB3" w14:textId="7B920784" w:rsidR="000B54C9" w:rsidRPr="00851192" w:rsidRDefault="001A7D5E" w:rsidP="001A7D5E">
      <w:pPr>
        <w:pStyle w:val="Heading1"/>
        <w:rPr>
          <w:rFonts w:ascii="Arial" w:hAnsi="Arial" w:cs="Arial"/>
          <w:color w:val="auto"/>
        </w:rPr>
      </w:pPr>
      <w:bookmarkStart w:id="45" w:name="_Toc526434246"/>
      <w:r w:rsidRPr="00851192">
        <w:rPr>
          <w:rFonts w:ascii="Arial" w:hAnsi="Arial" w:cs="Arial"/>
          <w:color w:val="auto"/>
        </w:rPr>
        <w:t xml:space="preserve">4.4 </w:t>
      </w:r>
      <w:r w:rsidR="000B54C9" w:rsidRPr="00851192">
        <w:rPr>
          <w:rFonts w:ascii="Arial" w:hAnsi="Arial" w:cs="Arial"/>
          <w:color w:val="auto"/>
        </w:rPr>
        <w:t>Method of Evaluation</w:t>
      </w:r>
      <w:bookmarkEnd w:id="45"/>
    </w:p>
    <w:p w14:paraId="5C996DB6" w14:textId="306F5D9C" w:rsidR="004C1009" w:rsidRPr="00851192" w:rsidRDefault="00A95A70" w:rsidP="003B74DC">
      <w:pPr>
        <w:spacing w:line="360" w:lineRule="auto"/>
        <w:jc w:val="both"/>
        <w:rPr>
          <w:rFonts w:ascii="Arial" w:hAnsi="Arial" w:cs="Arial"/>
        </w:rPr>
      </w:pPr>
      <w:r w:rsidRPr="00851192">
        <w:rPr>
          <w:rFonts w:ascii="Arial" w:hAnsi="Arial" w:cs="Arial"/>
        </w:rPr>
        <w:t>After accumulating all scores within (</w:t>
      </w:r>
      <w:r w:rsidRPr="00851192">
        <w:rPr>
          <w:rFonts w:ascii="Arial" w:hAnsi="Arial" w:cs="Arial"/>
          <w:b/>
          <w:i/>
        </w:rPr>
        <w:t xml:space="preserve">Table </w:t>
      </w:r>
      <w:r w:rsidR="0093576E" w:rsidRPr="00851192">
        <w:rPr>
          <w:rFonts w:ascii="Arial" w:hAnsi="Arial" w:cs="Arial"/>
          <w:b/>
          <w:i/>
        </w:rPr>
        <w:t>4</w:t>
      </w:r>
      <w:r w:rsidR="004006B9" w:rsidRPr="00851192">
        <w:rPr>
          <w:rFonts w:ascii="Arial" w:hAnsi="Arial" w:cs="Arial"/>
          <w:b/>
          <w:i/>
        </w:rPr>
        <w:t>.1</w:t>
      </w:r>
      <w:r w:rsidRPr="00851192">
        <w:rPr>
          <w:rFonts w:ascii="Arial" w:hAnsi="Arial" w:cs="Arial"/>
        </w:rPr>
        <w:t>), the results provided will then be evaluated into an ethical and responsible identity index</w:t>
      </w:r>
      <w:r w:rsidR="0093576E" w:rsidRPr="00851192">
        <w:rPr>
          <w:rFonts w:ascii="Arial" w:hAnsi="Arial" w:cs="Arial"/>
        </w:rPr>
        <w:t xml:space="preserve"> </w:t>
      </w:r>
      <w:r w:rsidR="00BF7771" w:rsidRPr="00851192">
        <w:rPr>
          <w:rFonts w:ascii="Arial" w:hAnsi="Arial" w:cs="Arial"/>
        </w:rPr>
        <w:t>total</w:t>
      </w:r>
      <w:r w:rsidRPr="00851192">
        <w:rPr>
          <w:rFonts w:ascii="Arial" w:hAnsi="Arial" w:cs="Arial"/>
        </w:rPr>
        <w:t xml:space="preserve"> </w:t>
      </w:r>
      <w:r w:rsidRPr="00851192">
        <w:rPr>
          <w:rFonts w:ascii="Arial" w:hAnsi="Arial" w:cs="Arial"/>
          <w:i/>
        </w:rPr>
        <w:t>(</w:t>
      </w:r>
      <w:r w:rsidRPr="00851192">
        <w:rPr>
          <w:rFonts w:ascii="Arial" w:hAnsi="Arial" w:cs="Arial"/>
          <w:b/>
          <w:i/>
        </w:rPr>
        <w:t xml:space="preserve">Table </w:t>
      </w:r>
      <w:r w:rsidR="0093576E" w:rsidRPr="00851192">
        <w:rPr>
          <w:rFonts w:ascii="Arial" w:hAnsi="Arial" w:cs="Arial"/>
          <w:b/>
          <w:i/>
        </w:rPr>
        <w:t>4.</w:t>
      </w:r>
      <w:r w:rsidR="004006B9" w:rsidRPr="00851192">
        <w:rPr>
          <w:rFonts w:ascii="Arial" w:hAnsi="Arial" w:cs="Arial"/>
          <w:b/>
          <w:i/>
        </w:rPr>
        <w:t>2</w:t>
      </w:r>
      <w:r w:rsidRPr="00851192">
        <w:rPr>
          <w:rFonts w:ascii="Arial" w:hAnsi="Arial" w:cs="Arial"/>
        </w:rPr>
        <w:t xml:space="preserve">) to display an overall evaluation </w:t>
      </w:r>
      <w:r w:rsidR="0093576E" w:rsidRPr="00851192">
        <w:rPr>
          <w:rFonts w:ascii="Arial" w:hAnsi="Arial" w:cs="Arial"/>
        </w:rPr>
        <w:t>GGO’s</w:t>
      </w:r>
      <w:r w:rsidRPr="00851192">
        <w:rPr>
          <w:rFonts w:ascii="Arial" w:hAnsi="Arial" w:cs="Arial"/>
        </w:rPr>
        <w:t xml:space="preserve"> </w:t>
      </w:r>
      <w:r w:rsidR="00BF7771" w:rsidRPr="00851192">
        <w:rPr>
          <w:rFonts w:ascii="Arial" w:hAnsi="Arial" w:cs="Arial"/>
        </w:rPr>
        <w:t xml:space="preserve">commitment Tata and Prasad’s (2015) categories of CSR </w:t>
      </w:r>
      <w:r w:rsidRPr="00851192">
        <w:rPr>
          <w:rFonts w:ascii="Arial" w:hAnsi="Arial" w:cs="Arial"/>
        </w:rPr>
        <w:t>and CSR communication</w:t>
      </w:r>
      <w:r w:rsidR="004C1009" w:rsidRPr="00851192">
        <w:rPr>
          <w:rFonts w:ascii="Arial" w:hAnsi="Arial" w:cs="Arial"/>
        </w:rPr>
        <w:t xml:space="preserve"> (a) to (h)</w:t>
      </w:r>
      <w:r w:rsidR="00BF7771" w:rsidRPr="00851192">
        <w:rPr>
          <w:rFonts w:ascii="Arial" w:hAnsi="Arial" w:cs="Arial"/>
        </w:rPr>
        <w:t>.</w:t>
      </w:r>
      <w:r w:rsidR="0093576E" w:rsidRPr="00851192">
        <w:rPr>
          <w:rFonts w:ascii="Arial" w:hAnsi="Arial" w:cs="Arial"/>
        </w:rPr>
        <w:t xml:space="preserve"> </w:t>
      </w:r>
    </w:p>
    <w:p w14:paraId="5D583C2B" w14:textId="027139EE" w:rsidR="00A95A70" w:rsidRPr="00851192" w:rsidRDefault="0093576E" w:rsidP="003B74DC">
      <w:pPr>
        <w:spacing w:line="360" w:lineRule="auto"/>
        <w:jc w:val="both"/>
        <w:rPr>
          <w:rFonts w:ascii="Arial" w:hAnsi="Arial" w:cs="Arial"/>
        </w:rPr>
      </w:pPr>
      <w:r w:rsidRPr="00851192">
        <w:rPr>
          <w:rFonts w:ascii="Arial" w:hAnsi="Arial" w:cs="Arial"/>
        </w:rPr>
        <w:t>The overall marks range from</w:t>
      </w:r>
      <w:r w:rsidR="00A95A70" w:rsidRPr="00851192">
        <w:rPr>
          <w:rFonts w:ascii="Arial" w:hAnsi="Arial" w:cs="Arial"/>
        </w:rPr>
        <w:t xml:space="preserve"> (</w:t>
      </w:r>
      <w:r w:rsidR="00A95A70" w:rsidRPr="00851192">
        <w:rPr>
          <w:rFonts w:ascii="Arial" w:hAnsi="Arial" w:cs="Arial"/>
          <w:i/>
        </w:rPr>
        <w:t>1 = low</w:t>
      </w:r>
      <w:r w:rsidRPr="00851192">
        <w:rPr>
          <w:rFonts w:ascii="Arial" w:hAnsi="Arial" w:cs="Arial"/>
          <w:i/>
        </w:rPr>
        <w:t xml:space="preserve"> in responsibility</w:t>
      </w:r>
      <w:r w:rsidR="00A95A70" w:rsidRPr="00851192">
        <w:rPr>
          <w:rFonts w:ascii="Arial" w:hAnsi="Arial" w:cs="Arial"/>
          <w:i/>
        </w:rPr>
        <w:t xml:space="preserve"> to 12 = high</w:t>
      </w:r>
      <w:r w:rsidRPr="00851192">
        <w:rPr>
          <w:rFonts w:ascii="Arial" w:hAnsi="Arial" w:cs="Arial"/>
          <w:i/>
        </w:rPr>
        <w:t xml:space="preserve"> in responsibility</w:t>
      </w:r>
      <w:r w:rsidR="00A95A70" w:rsidRPr="00851192">
        <w:rPr>
          <w:rFonts w:ascii="Arial" w:hAnsi="Arial" w:cs="Arial"/>
        </w:rPr>
        <w:t xml:space="preserve">). </w:t>
      </w:r>
      <w:r w:rsidR="008920E3" w:rsidRPr="00851192">
        <w:rPr>
          <w:rFonts w:ascii="Arial" w:hAnsi="Arial" w:cs="Arial"/>
        </w:rPr>
        <w:t>A</w:t>
      </w:r>
      <w:r w:rsidR="00A95A70" w:rsidRPr="00851192">
        <w:rPr>
          <w:rFonts w:ascii="Arial" w:hAnsi="Arial" w:cs="Arial"/>
        </w:rPr>
        <w:t xml:space="preserve">n </w:t>
      </w:r>
      <w:r w:rsidRPr="00851192">
        <w:rPr>
          <w:rFonts w:ascii="Arial" w:hAnsi="Arial" w:cs="Arial"/>
        </w:rPr>
        <w:t xml:space="preserve">evaluation on the key </w:t>
      </w:r>
      <w:r w:rsidR="0044537C" w:rsidRPr="00851192">
        <w:rPr>
          <w:rFonts w:ascii="Arial" w:hAnsi="Arial" w:cs="Arial"/>
        </w:rPr>
        <w:t>findings</w:t>
      </w:r>
      <w:r w:rsidR="004C1009" w:rsidRPr="00851192">
        <w:rPr>
          <w:rFonts w:ascii="Arial" w:hAnsi="Arial" w:cs="Arial"/>
        </w:rPr>
        <w:t xml:space="preserve"> within the study of the content analysis </w:t>
      </w:r>
      <w:r w:rsidR="008920E3" w:rsidRPr="00851192">
        <w:rPr>
          <w:rFonts w:ascii="Arial" w:hAnsi="Arial" w:cs="Arial"/>
        </w:rPr>
        <w:t>within</w:t>
      </w:r>
      <w:r w:rsidR="004C1009" w:rsidRPr="00851192">
        <w:rPr>
          <w:rFonts w:ascii="Arial" w:hAnsi="Arial" w:cs="Arial"/>
        </w:rPr>
        <w:t xml:space="preserve"> annual reports</w:t>
      </w:r>
      <w:r w:rsidR="008920E3" w:rsidRPr="00851192">
        <w:rPr>
          <w:rFonts w:ascii="Arial" w:hAnsi="Arial" w:cs="Arial"/>
        </w:rPr>
        <w:t xml:space="preserve"> is then presented</w:t>
      </w:r>
      <w:r w:rsidR="00A95A70" w:rsidRPr="00851192">
        <w:rPr>
          <w:rFonts w:ascii="Arial" w:hAnsi="Arial" w:cs="Arial"/>
        </w:rPr>
        <w:t xml:space="preserve">.     </w:t>
      </w:r>
    </w:p>
    <w:p w14:paraId="4D0E22DB" w14:textId="44861872" w:rsidR="000B54C9" w:rsidRPr="00851192" w:rsidRDefault="001A7D5E" w:rsidP="001A7D5E">
      <w:pPr>
        <w:pStyle w:val="Heading1"/>
        <w:rPr>
          <w:rFonts w:ascii="Arial" w:hAnsi="Arial" w:cs="Arial"/>
          <w:color w:val="auto"/>
        </w:rPr>
      </w:pPr>
      <w:bookmarkStart w:id="46" w:name="_Toc526434247"/>
      <w:r w:rsidRPr="00851192">
        <w:rPr>
          <w:rFonts w:ascii="Arial" w:hAnsi="Arial" w:cs="Arial"/>
          <w:color w:val="auto"/>
        </w:rPr>
        <w:t xml:space="preserve">4.5 </w:t>
      </w:r>
      <w:r w:rsidR="00830E29" w:rsidRPr="00851192">
        <w:rPr>
          <w:rFonts w:ascii="Arial" w:hAnsi="Arial" w:cs="Arial"/>
          <w:color w:val="auto"/>
        </w:rPr>
        <w:t>Content</w:t>
      </w:r>
      <w:r w:rsidR="000B54C9" w:rsidRPr="00851192">
        <w:rPr>
          <w:rFonts w:ascii="Arial" w:hAnsi="Arial" w:cs="Arial"/>
          <w:color w:val="auto"/>
        </w:rPr>
        <w:t xml:space="preserve"> Analysis</w:t>
      </w:r>
      <w:r w:rsidR="00830E29" w:rsidRPr="00851192">
        <w:rPr>
          <w:rFonts w:ascii="Arial" w:hAnsi="Arial" w:cs="Arial"/>
          <w:color w:val="auto"/>
        </w:rPr>
        <w:t xml:space="preserve"> on Annual Reports</w:t>
      </w:r>
      <w:bookmarkEnd w:id="46"/>
    </w:p>
    <w:p w14:paraId="5BD945E7" w14:textId="1BE1C72A" w:rsidR="00A05166" w:rsidRPr="00851192" w:rsidRDefault="00A95A70" w:rsidP="003B74DC">
      <w:pPr>
        <w:spacing w:line="360" w:lineRule="auto"/>
        <w:jc w:val="both"/>
        <w:rPr>
          <w:rFonts w:ascii="Arial" w:hAnsi="Arial" w:cs="Arial"/>
        </w:rPr>
      </w:pPr>
      <w:r w:rsidRPr="00851192">
        <w:rPr>
          <w:rFonts w:ascii="Arial" w:hAnsi="Arial" w:cs="Arial"/>
        </w:rPr>
        <w:t>It is important to note that items within the ethical and responsibility index are multi-dimensional meaning there can be more than one representative from the ethical and responsibility index which may show characteristics which can be applied to the measurement scale. The gird was formulated by adapting Luo et al., (2017)</w:t>
      </w:r>
      <w:r w:rsidR="00877193" w:rsidRPr="00851192">
        <w:rPr>
          <w:rFonts w:ascii="Arial" w:hAnsi="Arial" w:cs="Arial"/>
        </w:rPr>
        <w:t xml:space="preserve"> evaluation of CSR and Tata and Prasad (2015) categories of CSR and conceptual model for CSR communication</w:t>
      </w:r>
      <w:r w:rsidRPr="00851192">
        <w:rPr>
          <w:rFonts w:ascii="Arial" w:hAnsi="Arial" w:cs="Arial"/>
        </w:rPr>
        <w:t xml:space="preserve"> as a means of </w:t>
      </w:r>
      <w:r w:rsidR="00877193" w:rsidRPr="00851192">
        <w:rPr>
          <w:rFonts w:ascii="Arial" w:hAnsi="Arial" w:cs="Arial"/>
        </w:rPr>
        <w:t>best</w:t>
      </w:r>
      <w:r w:rsidRPr="00851192">
        <w:rPr>
          <w:rFonts w:ascii="Arial" w:hAnsi="Arial" w:cs="Arial"/>
        </w:rPr>
        <w:t xml:space="preserve"> practice to </w:t>
      </w:r>
      <w:r w:rsidR="00877193" w:rsidRPr="00851192">
        <w:rPr>
          <w:rFonts w:ascii="Arial" w:hAnsi="Arial" w:cs="Arial"/>
        </w:rPr>
        <w:t>evaluate</w:t>
      </w:r>
      <w:r w:rsidRPr="00851192">
        <w:rPr>
          <w:rFonts w:ascii="Arial" w:hAnsi="Arial" w:cs="Arial"/>
        </w:rPr>
        <w:t xml:space="preserve"> ethical and responsible index </w:t>
      </w:r>
      <w:r w:rsidR="004C1009" w:rsidRPr="00851192">
        <w:rPr>
          <w:rFonts w:ascii="Arial" w:hAnsi="Arial" w:cs="Arial"/>
        </w:rPr>
        <w:t>measures</w:t>
      </w:r>
      <w:r w:rsidR="00877193" w:rsidRPr="00851192">
        <w:rPr>
          <w:rFonts w:ascii="Arial" w:hAnsi="Arial" w:cs="Arial"/>
        </w:rPr>
        <w:t xml:space="preserve"> by GGO’s</w:t>
      </w:r>
      <w:r w:rsidRPr="00851192">
        <w:rPr>
          <w:rFonts w:ascii="Arial" w:hAnsi="Arial" w:cs="Arial"/>
        </w:rPr>
        <w:t xml:space="preserve">. </w:t>
      </w:r>
    </w:p>
    <w:p w14:paraId="023D2B61" w14:textId="650E2D04" w:rsidR="00A95A70" w:rsidRPr="00851192" w:rsidRDefault="0093576E" w:rsidP="00A95A70">
      <w:pPr>
        <w:jc w:val="center"/>
        <w:rPr>
          <w:rFonts w:ascii="Arial" w:hAnsi="Arial" w:cs="Arial"/>
        </w:rPr>
      </w:pPr>
      <w:r w:rsidRPr="00851192">
        <w:rPr>
          <w:rFonts w:ascii="Arial" w:hAnsi="Arial" w:cs="Arial"/>
          <w:b/>
        </w:rPr>
        <w:t>Table 4</w:t>
      </w:r>
      <w:r w:rsidR="004006B9" w:rsidRPr="00851192">
        <w:rPr>
          <w:rFonts w:ascii="Arial" w:hAnsi="Arial" w:cs="Arial"/>
          <w:b/>
        </w:rPr>
        <w:t>.1</w:t>
      </w:r>
      <w:r w:rsidR="00A95A70" w:rsidRPr="00851192">
        <w:rPr>
          <w:rFonts w:ascii="Arial" w:hAnsi="Arial" w:cs="Arial"/>
          <w:b/>
        </w:rPr>
        <w:t xml:space="preserve"> </w:t>
      </w:r>
      <w:r w:rsidR="00A95A70" w:rsidRPr="00851192">
        <w:rPr>
          <w:rFonts w:ascii="Arial" w:hAnsi="Arial" w:cs="Arial"/>
        </w:rPr>
        <w:t>Corporate Social Responsibility Measurement Scale</w:t>
      </w:r>
      <w:r w:rsidRPr="00851192">
        <w:rPr>
          <w:rFonts w:ascii="Arial" w:hAnsi="Arial" w:cs="Arial"/>
        </w:rPr>
        <w:t xml:space="preserve"> and Mark</w:t>
      </w:r>
    </w:p>
    <w:tbl>
      <w:tblPr>
        <w:tblStyle w:val="TableGrid"/>
        <w:tblW w:w="9067" w:type="dxa"/>
        <w:tblLook w:val="04A0" w:firstRow="1" w:lastRow="0" w:firstColumn="1" w:lastColumn="0" w:noHBand="0" w:noVBand="1"/>
      </w:tblPr>
      <w:tblGrid>
        <w:gridCol w:w="1329"/>
        <w:gridCol w:w="1452"/>
        <w:gridCol w:w="4619"/>
        <w:gridCol w:w="1667"/>
      </w:tblGrid>
      <w:tr w:rsidR="00635780" w:rsidRPr="00851192" w14:paraId="178BC040" w14:textId="77777777" w:rsidTr="008920E3">
        <w:tc>
          <w:tcPr>
            <w:tcW w:w="1237" w:type="dxa"/>
          </w:tcPr>
          <w:p w14:paraId="3DE335F2" w14:textId="77777777" w:rsidR="00635780" w:rsidRPr="00851192" w:rsidRDefault="00635780" w:rsidP="008920E3">
            <w:pPr>
              <w:jc w:val="center"/>
              <w:rPr>
                <w:rFonts w:ascii="Arial" w:hAnsi="Arial" w:cs="Arial"/>
              </w:rPr>
            </w:pPr>
            <w:r w:rsidRPr="00851192">
              <w:rPr>
                <w:rFonts w:ascii="Arial" w:hAnsi="Arial" w:cs="Arial"/>
              </w:rPr>
              <w:t>Identity</w:t>
            </w:r>
          </w:p>
        </w:tc>
        <w:tc>
          <w:tcPr>
            <w:tcW w:w="1372" w:type="dxa"/>
          </w:tcPr>
          <w:p w14:paraId="50996BA4" w14:textId="77777777" w:rsidR="00635780" w:rsidRPr="00851192" w:rsidRDefault="00635780" w:rsidP="008920E3">
            <w:pPr>
              <w:jc w:val="center"/>
              <w:rPr>
                <w:rFonts w:ascii="Arial" w:hAnsi="Arial" w:cs="Arial"/>
              </w:rPr>
            </w:pPr>
            <w:r w:rsidRPr="00851192">
              <w:rPr>
                <w:rFonts w:ascii="Arial" w:hAnsi="Arial" w:cs="Arial"/>
              </w:rPr>
              <w:t>Dimension</w:t>
            </w:r>
          </w:p>
        </w:tc>
        <w:tc>
          <w:tcPr>
            <w:tcW w:w="4757" w:type="dxa"/>
          </w:tcPr>
          <w:p w14:paraId="28C34D8B" w14:textId="2DAD5E96" w:rsidR="00635780" w:rsidRPr="00851192" w:rsidRDefault="004F0DB4" w:rsidP="008920E3">
            <w:pPr>
              <w:jc w:val="center"/>
              <w:rPr>
                <w:rFonts w:ascii="Arial" w:hAnsi="Arial" w:cs="Arial"/>
              </w:rPr>
            </w:pPr>
            <w:r w:rsidRPr="00851192">
              <w:rPr>
                <w:rFonts w:ascii="Arial" w:hAnsi="Arial" w:cs="Arial"/>
              </w:rPr>
              <w:t>Qualities</w:t>
            </w:r>
          </w:p>
        </w:tc>
        <w:tc>
          <w:tcPr>
            <w:tcW w:w="1701" w:type="dxa"/>
          </w:tcPr>
          <w:p w14:paraId="6782949A" w14:textId="77777777" w:rsidR="00635780" w:rsidRPr="00851192" w:rsidRDefault="00635780" w:rsidP="008920E3">
            <w:pPr>
              <w:jc w:val="center"/>
              <w:rPr>
                <w:rFonts w:ascii="Arial" w:hAnsi="Arial" w:cs="Arial"/>
              </w:rPr>
            </w:pPr>
            <w:r w:rsidRPr="00851192">
              <w:rPr>
                <w:rFonts w:ascii="Arial" w:hAnsi="Arial" w:cs="Arial"/>
              </w:rPr>
              <w:t>Mark</w:t>
            </w:r>
          </w:p>
        </w:tc>
      </w:tr>
      <w:tr w:rsidR="00635780" w:rsidRPr="00851192" w14:paraId="10943F0F" w14:textId="77777777" w:rsidTr="008920E3">
        <w:tc>
          <w:tcPr>
            <w:tcW w:w="1237" w:type="dxa"/>
          </w:tcPr>
          <w:p w14:paraId="675B04BB" w14:textId="77777777" w:rsidR="00635780" w:rsidRPr="00851192" w:rsidRDefault="00635780" w:rsidP="008920E3">
            <w:pPr>
              <w:jc w:val="center"/>
              <w:rPr>
                <w:rFonts w:ascii="Arial" w:hAnsi="Arial" w:cs="Arial"/>
              </w:rPr>
            </w:pPr>
            <w:r w:rsidRPr="00851192">
              <w:rPr>
                <w:rFonts w:ascii="Arial" w:hAnsi="Arial" w:cs="Arial"/>
              </w:rPr>
              <w:t>Emp1</w:t>
            </w:r>
            <w:r w:rsidRPr="00851192">
              <w:rPr>
                <w:rFonts w:ascii="Arial" w:hAnsi="Arial" w:cs="Arial"/>
              </w:rPr>
              <w:br/>
              <w:t>(</w:t>
            </w:r>
            <w:proofErr w:type="spellStart"/>
            <w:r w:rsidRPr="00851192">
              <w:rPr>
                <w:rFonts w:ascii="Arial" w:hAnsi="Arial" w:cs="Arial"/>
              </w:rPr>
              <w:t>d,e</w:t>
            </w:r>
            <w:proofErr w:type="spellEnd"/>
            <w:r w:rsidRPr="00851192">
              <w:rPr>
                <w:rFonts w:ascii="Arial" w:hAnsi="Arial" w:cs="Arial"/>
              </w:rPr>
              <w:t>)</w:t>
            </w:r>
          </w:p>
        </w:tc>
        <w:tc>
          <w:tcPr>
            <w:tcW w:w="1372" w:type="dxa"/>
          </w:tcPr>
          <w:p w14:paraId="29D15D97" w14:textId="77777777" w:rsidR="00635780" w:rsidRPr="00851192" w:rsidRDefault="00635780" w:rsidP="008920E3">
            <w:pPr>
              <w:jc w:val="center"/>
              <w:rPr>
                <w:rFonts w:ascii="Arial" w:hAnsi="Arial" w:cs="Arial"/>
              </w:rPr>
            </w:pPr>
            <w:r w:rsidRPr="00851192">
              <w:rPr>
                <w:rFonts w:ascii="Arial" w:hAnsi="Arial" w:cs="Arial"/>
              </w:rPr>
              <w:t>Employee</w:t>
            </w:r>
          </w:p>
        </w:tc>
        <w:tc>
          <w:tcPr>
            <w:tcW w:w="4757" w:type="dxa"/>
          </w:tcPr>
          <w:p w14:paraId="600033A9" w14:textId="674F07A5" w:rsidR="00635780" w:rsidRPr="00851192" w:rsidRDefault="0093576E" w:rsidP="008920E3">
            <w:pPr>
              <w:rPr>
                <w:rFonts w:ascii="Arial" w:hAnsi="Arial" w:cs="Arial"/>
              </w:rPr>
            </w:pPr>
            <w:r w:rsidRPr="00851192">
              <w:rPr>
                <w:rFonts w:ascii="Arial" w:hAnsi="Arial" w:cs="Arial"/>
              </w:rPr>
              <w:t>GGO</w:t>
            </w:r>
            <w:r w:rsidR="004F0DB4" w:rsidRPr="00851192">
              <w:rPr>
                <w:rFonts w:ascii="Arial" w:hAnsi="Arial" w:cs="Arial"/>
              </w:rPr>
              <w:t>’s</w:t>
            </w:r>
            <w:r w:rsidR="00635780" w:rsidRPr="00851192">
              <w:rPr>
                <w:rFonts w:ascii="Arial" w:hAnsi="Arial" w:cs="Arial"/>
              </w:rPr>
              <w:t xml:space="preserve"> provide good conditions for personal development of employees</w:t>
            </w:r>
            <w:r w:rsidR="00A926B7" w:rsidRPr="00851192">
              <w:rPr>
                <w:rFonts w:ascii="Arial" w:hAnsi="Arial" w:cs="Arial"/>
              </w:rPr>
              <w:t>.</w:t>
            </w:r>
          </w:p>
        </w:tc>
        <w:tc>
          <w:tcPr>
            <w:tcW w:w="1701" w:type="dxa"/>
          </w:tcPr>
          <w:p w14:paraId="02CAB104" w14:textId="769700A4" w:rsidR="00635780" w:rsidRPr="00851192" w:rsidRDefault="00635780" w:rsidP="008920E3">
            <w:pPr>
              <w:rPr>
                <w:rFonts w:ascii="Arial" w:hAnsi="Arial" w:cs="Arial"/>
              </w:rPr>
            </w:pPr>
            <w:r w:rsidRPr="00851192">
              <w:rPr>
                <w:rFonts w:ascii="Arial" w:hAnsi="Arial" w:cs="Arial"/>
              </w:rPr>
              <w:t>Bet365 - 1</w:t>
            </w:r>
          </w:p>
          <w:p w14:paraId="34F59908" w14:textId="77777777" w:rsidR="00635780" w:rsidRPr="00851192" w:rsidRDefault="00635780" w:rsidP="008920E3">
            <w:pPr>
              <w:rPr>
                <w:rFonts w:ascii="Arial" w:hAnsi="Arial" w:cs="Arial"/>
              </w:rPr>
            </w:pPr>
            <w:proofErr w:type="spellStart"/>
            <w:r w:rsidRPr="00851192">
              <w:rPr>
                <w:rFonts w:ascii="Arial" w:hAnsi="Arial" w:cs="Arial"/>
              </w:rPr>
              <w:t>Bwin</w:t>
            </w:r>
            <w:proofErr w:type="spellEnd"/>
            <w:r w:rsidRPr="00851192">
              <w:rPr>
                <w:rFonts w:ascii="Arial" w:hAnsi="Arial" w:cs="Arial"/>
              </w:rPr>
              <w:t xml:space="preserve"> - 1</w:t>
            </w:r>
          </w:p>
          <w:p w14:paraId="4CFC92B0" w14:textId="77777777" w:rsidR="00635780" w:rsidRPr="00851192" w:rsidRDefault="00635780" w:rsidP="008920E3">
            <w:pPr>
              <w:rPr>
                <w:rFonts w:ascii="Arial" w:hAnsi="Arial" w:cs="Arial"/>
              </w:rPr>
            </w:pPr>
            <w:r w:rsidRPr="00851192">
              <w:rPr>
                <w:rFonts w:ascii="Arial" w:hAnsi="Arial" w:cs="Arial"/>
              </w:rPr>
              <w:t xml:space="preserve">Asia Gaming - 0 </w:t>
            </w:r>
          </w:p>
        </w:tc>
      </w:tr>
      <w:tr w:rsidR="00635780" w:rsidRPr="00851192" w14:paraId="40A89793" w14:textId="77777777" w:rsidTr="008920E3">
        <w:tc>
          <w:tcPr>
            <w:tcW w:w="1237" w:type="dxa"/>
          </w:tcPr>
          <w:p w14:paraId="2243E31D" w14:textId="77777777" w:rsidR="00635780" w:rsidRPr="00851192" w:rsidRDefault="00635780" w:rsidP="008920E3">
            <w:pPr>
              <w:jc w:val="center"/>
              <w:rPr>
                <w:rFonts w:ascii="Arial" w:hAnsi="Arial" w:cs="Arial"/>
              </w:rPr>
            </w:pPr>
            <w:r w:rsidRPr="00851192">
              <w:rPr>
                <w:rFonts w:ascii="Arial" w:hAnsi="Arial" w:cs="Arial"/>
              </w:rPr>
              <w:t>Emp2</w:t>
            </w:r>
            <w:r w:rsidRPr="00851192">
              <w:rPr>
                <w:rFonts w:ascii="Arial" w:hAnsi="Arial" w:cs="Arial"/>
              </w:rPr>
              <w:br/>
              <w:t>(d)</w:t>
            </w:r>
          </w:p>
        </w:tc>
        <w:tc>
          <w:tcPr>
            <w:tcW w:w="1372" w:type="dxa"/>
          </w:tcPr>
          <w:p w14:paraId="216CA003" w14:textId="77777777" w:rsidR="00635780" w:rsidRPr="00851192" w:rsidRDefault="00635780" w:rsidP="008920E3">
            <w:pPr>
              <w:jc w:val="center"/>
              <w:rPr>
                <w:rFonts w:ascii="Arial" w:hAnsi="Arial" w:cs="Arial"/>
              </w:rPr>
            </w:pPr>
            <w:r w:rsidRPr="00851192">
              <w:rPr>
                <w:rFonts w:ascii="Arial" w:hAnsi="Arial" w:cs="Arial"/>
              </w:rPr>
              <w:t>Employee</w:t>
            </w:r>
          </w:p>
        </w:tc>
        <w:tc>
          <w:tcPr>
            <w:tcW w:w="4757" w:type="dxa"/>
          </w:tcPr>
          <w:p w14:paraId="5F4349B6" w14:textId="0CA31450" w:rsidR="00635780" w:rsidRPr="00851192" w:rsidRDefault="004F0DB4" w:rsidP="008920E3">
            <w:pPr>
              <w:rPr>
                <w:rFonts w:ascii="Arial" w:hAnsi="Arial" w:cs="Arial"/>
              </w:rPr>
            </w:pPr>
            <w:r w:rsidRPr="00851192">
              <w:rPr>
                <w:rFonts w:ascii="Arial" w:hAnsi="Arial" w:cs="Arial"/>
              </w:rPr>
              <w:t>GGO</w:t>
            </w:r>
            <w:r w:rsidR="00635780" w:rsidRPr="00851192">
              <w:rPr>
                <w:rFonts w:ascii="Arial" w:hAnsi="Arial" w:cs="Arial"/>
              </w:rPr>
              <w:t xml:space="preserve"> managers consider employee needs and wants within decision making</w:t>
            </w:r>
            <w:r w:rsidR="00A926B7" w:rsidRPr="00851192">
              <w:rPr>
                <w:rFonts w:ascii="Arial" w:hAnsi="Arial" w:cs="Arial"/>
              </w:rPr>
              <w:t>.</w:t>
            </w:r>
          </w:p>
        </w:tc>
        <w:tc>
          <w:tcPr>
            <w:tcW w:w="1701" w:type="dxa"/>
          </w:tcPr>
          <w:p w14:paraId="336FB4EB" w14:textId="1A0099EE" w:rsidR="00635780" w:rsidRPr="00851192" w:rsidRDefault="00635780" w:rsidP="008920E3">
            <w:pPr>
              <w:rPr>
                <w:rFonts w:ascii="Arial" w:hAnsi="Arial" w:cs="Arial"/>
              </w:rPr>
            </w:pPr>
            <w:r w:rsidRPr="00851192">
              <w:rPr>
                <w:rFonts w:ascii="Arial" w:hAnsi="Arial" w:cs="Arial"/>
              </w:rPr>
              <w:t>Bet365 - 1</w:t>
            </w:r>
          </w:p>
          <w:p w14:paraId="5F7C6121" w14:textId="77777777" w:rsidR="00635780" w:rsidRPr="00851192" w:rsidRDefault="00635780" w:rsidP="008920E3">
            <w:pPr>
              <w:rPr>
                <w:rFonts w:ascii="Arial" w:hAnsi="Arial" w:cs="Arial"/>
              </w:rPr>
            </w:pPr>
            <w:proofErr w:type="spellStart"/>
            <w:r w:rsidRPr="00851192">
              <w:rPr>
                <w:rFonts w:ascii="Arial" w:hAnsi="Arial" w:cs="Arial"/>
              </w:rPr>
              <w:t>Bwin</w:t>
            </w:r>
            <w:proofErr w:type="spellEnd"/>
            <w:r w:rsidRPr="00851192">
              <w:rPr>
                <w:rFonts w:ascii="Arial" w:hAnsi="Arial" w:cs="Arial"/>
              </w:rPr>
              <w:t xml:space="preserve"> - 1</w:t>
            </w:r>
          </w:p>
          <w:p w14:paraId="41A70CF3" w14:textId="77777777" w:rsidR="00635780" w:rsidRPr="00851192" w:rsidRDefault="00635780" w:rsidP="008920E3">
            <w:pPr>
              <w:rPr>
                <w:rFonts w:ascii="Arial" w:hAnsi="Arial" w:cs="Arial"/>
              </w:rPr>
            </w:pPr>
            <w:r w:rsidRPr="00851192">
              <w:rPr>
                <w:rFonts w:ascii="Arial" w:hAnsi="Arial" w:cs="Arial"/>
              </w:rPr>
              <w:t>Asia Gaming - 0</w:t>
            </w:r>
          </w:p>
        </w:tc>
      </w:tr>
      <w:tr w:rsidR="00635780" w:rsidRPr="00851192" w14:paraId="213390A3" w14:textId="77777777" w:rsidTr="008920E3">
        <w:tc>
          <w:tcPr>
            <w:tcW w:w="1237" w:type="dxa"/>
          </w:tcPr>
          <w:p w14:paraId="1ECBBF51" w14:textId="77777777" w:rsidR="00635780" w:rsidRPr="00851192" w:rsidRDefault="00635780" w:rsidP="008920E3">
            <w:pPr>
              <w:jc w:val="center"/>
              <w:rPr>
                <w:rFonts w:ascii="Arial" w:hAnsi="Arial" w:cs="Arial"/>
              </w:rPr>
            </w:pPr>
            <w:r w:rsidRPr="00851192">
              <w:rPr>
                <w:rFonts w:ascii="Arial" w:hAnsi="Arial" w:cs="Arial"/>
              </w:rPr>
              <w:t>Emp3</w:t>
            </w:r>
            <w:r w:rsidRPr="00851192">
              <w:rPr>
                <w:rFonts w:ascii="Arial" w:hAnsi="Arial" w:cs="Arial"/>
              </w:rPr>
              <w:br/>
              <w:t>(d)</w:t>
            </w:r>
          </w:p>
        </w:tc>
        <w:tc>
          <w:tcPr>
            <w:tcW w:w="1372" w:type="dxa"/>
          </w:tcPr>
          <w:p w14:paraId="097742E6" w14:textId="77777777" w:rsidR="00635780" w:rsidRPr="00851192" w:rsidRDefault="00635780" w:rsidP="008920E3">
            <w:pPr>
              <w:jc w:val="center"/>
              <w:rPr>
                <w:rFonts w:ascii="Arial" w:hAnsi="Arial" w:cs="Arial"/>
              </w:rPr>
            </w:pPr>
            <w:r w:rsidRPr="00851192">
              <w:rPr>
                <w:rFonts w:ascii="Arial" w:hAnsi="Arial" w:cs="Arial"/>
              </w:rPr>
              <w:t>Employee</w:t>
            </w:r>
          </w:p>
        </w:tc>
        <w:tc>
          <w:tcPr>
            <w:tcW w:w="4757" w:type="dxa"/>
          </w:tcPr>
          <w:p w14:paraId="3F4E1512" w14:textId="305A20A5" w:rsidR="00635780" w:rsidRPr="00851192" w:rsidRDefault="004F0DB4" w:rsidP="008920E3">
            <w:pPr>
              <w:rPr>
                <w:rFonts w:ascii="Arial" w:hAnsi="Arial" w:cs="Arial"/>
              </w:rPr>
            </w:pPr>
            <w:r w:rsidRPr="00851192">
              <w:rPr>
                <w:rFonts w:ascii="Arial" w:hAnsi="Arial" w:cs="Arial"/>
              </w:rPr>
              <w:t>GGO’s</w:t>
            </w:r>
            <w:r w:rsidR="00635780" w:rsidRPr="00851192">
              <w:rPr>
                <w:rFonts w:ascii="Arial" w:hAnsi="Arial" w:cs="Arial"/>
              </w:rPr>
              <w:t xml:space="preserve"> make fair decisions for and about employees</w:t>
            </w:r>
            <w:r w:rsidR="00A926B7" w:rsidRPr="00851192">
              <w:rPr>
                <w:rFonts w:ascii="Arial" w:hAnsi="Arial" w:cs="Arial"/>
              </w:rPr>
              <w:t>.</w:t>
            </w:r>
          </w:p>
        </w:tc>
        <w:tc>
          <w:tcPr>
            <w:tcW w:w="1701" w:type="dxa"/>
          </w:tcPr>
          <w:p w14:paraId="318B3120" w14:textId="241DF470" w:rsidR="00635780" w:rsidRPr="00851192" w:rsidRDefault="00635780" w:rsidP="008920E3">
            <w:pPr>
              <w:rPr>
                <w:rFonts w:ascii="Arial" w:hAnsi="Arial" w:cs="Arial"/>
              </w:rPr>
            </w:pPr>
            <w:r w:rsidRPr="00851192">
              <w:rPr>
                <w:rFonts w:ascii="Arial" w:hAnsi="Arial" w:cs="Arial"/>
              </w:rPr>
              <w:t>Bet365 - 1</w:t>
            </w:r>
          </w:p>
          <w:p w14:paraId="43E86D72" w14:textId="77777777" w:rsidR="00635780" w:rsidRPr="00851192" w:rsidRDefault="00635780" w:rsidP="008920E3">
            <w:pPr>
              <w:rPr>
                <w:rFonts w:ascii="Arial" w:hAnsi="Arial" w:cs="Arial"/>
              </w:rPr>
            </w:pPr>
            <w:proofErr w:type="spellStart"/>
            <w:r w:rsidRPr="00851192">
              <w:rPr>
                <w:rFonts w:ascii="Arial" w:hAnsi="Arial" w:cs="Arial"/>
              </w:rPr>
              <w:t>Bwin</w:t>
            </w:r>
            <w:proofErr w:type="spellEnd"/>
            <w:r w:rsidRPr="00851192">
              <w:rPr>
                <w:rFonts w:ascii="Arial" w:hAnsi="Arial" w:cs="Arial"/>
              </w:rPr>
              <w:t xml:space="preserve"> - 1</w:t>
            </w:r>
          </w:p>
          <w:p w14:paraId="46BB7991" w14:textId="77777777" w:rsidR="00635780" w:rsidRPr="00851192" w:rsidRDefault="00635780" w:rsidP="008920E3">
            <w:pPr>
              <w:rPr>
                <w:rFonts w:ascii="Arial" w:hAnsi="Arial" w:cs="Arial"/>
              </w:rPr>
            </w:pPr>
            <w:r w:rsidRPr="00851192">
              <w:rPr>
                <w:rFonts w:ascii="Arial" w:hAnsi="Arial" w:cs="Arial"/>
              </w:rPr>
              <w:t>Asia Gaming - 0</w:t>
            </w:r>
          </w:p>
        </w:tc>
      </w:tr>
      <w:tr w:rsidR="00635780" w:rsidRPr="00851192" w14:paraId="3D232924" w14:textId="77777777" w:rsidTr="008920E3">
        <w:tc>
          <w:tcPr>
            <w:tcW w:w="1237" w:type="dxa"/>
          </w:tcPr>
          <w:p w14:paraId="52407257" w14:textId="77777777" w:rsidR="00635780" w:rsidRPr="00851192" w:rsidRDefault="00635780" w:rsidP="008920E3">
            <w:pPr>
              <w:jc w:val="center"/>
              <w:rPr>
                <w:rFonts w:ascii="Arial" w:hAnsi="Arial" w:cs="Arial"/>
              </w:rPr>
            </w:pPr>
            <w:r w:rsidRPr="00851192">
              <w:rPr>
                <w:rFonts w:ascii="Arial" w:hAnsi="Arial" w:cs="Arial"/>
              </w:rPr>
              <w:t>Emp4</w:t>
            </w:r>
            <w:r w:rsidRPr="00851192">
              <w:rPr>
                <w:rFonts w:ascii="Arial" w:hAnsi="Arial" w:cs="Arial"/>
              </w:rPr>
              <w:br/>
              <w:t>(</w:t>
            </w:r>
            <w:proofErr w:type="spellStart"/>
            <w:r w:rsidRPr="00851192">
              <w:rPr>
                <w:rFonts w:ascii="Arial" w:hAnsi="Arial" w:cs="Arial"/>
              </w:rPr>
              <w:t>a,d</w:t>
            </w:r>
            <w:proofErr w:type="spellEnd"/>
            <w:r w:rsidRPr="00851192">
              <w:rPr>
                <w:rFonts w:ascii="Arial" w:hAnsi="Arial" w:cs="Arial"/>
              </w:rPr>
              <w:t>)</w:t>
            </w:r>
          </w:p>
        </w:tc>
        <w:tc>
          <w:tcPr>
            <w:tcW w:w="1372" w:type="dxa"/>
          </w:tcPr>
          <w:p w14:paraId="0D6F4522" w14:textId="77777777" w:rsidR="00635780" w:rsidRPr="00851192" w:rsidRDefault="00635780" w:rsidP="008920E3">
            <w:pPr>
              <w:jc w:val="center"/>
              <w:rPr>
                <w:rFonts w:ascii="Arial" w:hAnsi="Arial" w:cs="Arial"/>
              </w:rPr>
            </w:pPr>
            <w:r w:rsidRPr="00851192">
              <w:rPr>
                <w:rFonts w:ascii="Arial" w:hAnsi="Arial" w:cs="Arial"/>
              </w:rPr>
              <w:t>Employee</w:t>
            </w:r>
          </w:p>
        </w:tc>
        <w:tc>
          <w:tcPr>
            <w:tcW w:w="4757" w:type="dxa"/>
          </w:tcPr>
          <w:p w14:paraId="00BBCE72" w14:textId="662EE6D3" w:rsidR="00635780" w:rsidRPr="00851192" w:rsidRDefault="004F0DB4" w:rsidP="008920E3">
            <w:pPr>
              <w:rPr>
                <w:rFonts w:ascii="Arial" w:hAnsi="Arial" w:cs="Arial"/>
              </w:rPr>
            </w:pPr>
            <w:r w:rsidRPr="00851192">
              <w:rPr>
                <w:rFonts w:ascii="Arial" w:hAnsi="Arial" w:cs="Arial"/>
              </w:rPr>
              <w:t>GGO’s</w:t>
            </w:r>
            <w:r w:rsidR="00635780" w:rsidRPr="00851192">
              <w:rPr>
                <w:rFonts w:ascii="Arial" w:hAnsi="Arial" w:cs="Arial"/>
              </w:rPr>
              <w:t xml:space="preserve"> provide excellent work and life conditions for employees</w:t>
            </w:r>
            <w:r w:rsidR="00A926B7" w:rsidRPr="00851192">
              <w:rPr>
                <w:rFonts w:ascii="Arial" w:hAnsi="Arial" w:cs="Arial"/>
              </w:rPr>
              <w:t>.</w:t>
            </w:r>
          </w:p>
        </w:tc>
        <w:tc>
          <w:tcPr>
            <w:tcW w:w="1701" w:type="dxa"/>
          </w:tcPr>
          <w:p w14:paraId="3FEB9B85" w14:textId="2C373046" w:rsidR="00635780" w:rsidRPr="00851192" w:rsidRDefault="00635780" w:rsidP="008920E3">
            <w:pPr>
              <w:rPr>
                <w:rFonts w:ascii="Arial" w:hAnsi="Arial" w:cs="Arial"/>
              </w:rPr>
            </w:pPr>
            <w:r w:rsidRPr="00851192">
              <w:rPr>
                <w:rFonts w:ascii="Arial" w:hAnsi="Arial" w:cs="Arial"/>
              </w:rPr>
              <w:t>Bet365 - 1</w:t>
            </w:r>
          </w:p>
          <w:p w14:paraId="4CBA0852" w14:textId="77777777" w:rsidR="00635780" w:rsidRPr="00851192" w:rsidRDefault="00635780" w:rsidP="008920E3">
            <w:pPr>
              <w:rPr>
                <w:rFonts w:ascii="Arial" w:hAnsi="Arial" w:cs="Arial"/>
              </w:rPr>
            </w:pPr>
            <w:proofErr w:type="spellStart"/>
            <w:r w:rsidRPr="00851192">
              <w:rPr>
                <w:rFonts w:ascii="Arial" w:hAnsi="Arial" w:cs="Arial"/>
              </w:rPr>
              <w:t>Bwin</w:t>
            </w:r>
            <w:proofErr w:type="spellEnd"/>
            <w:r w:rsidRPr="00851192">
              <w:rPr>
                <w:rFonts w:ascii="Arial" w:hAnsi="Arial" w:cs="Arial"/>
              </w:rPr>
              <w:t xml:space="preserve"> - 1</w:t>
            </w:r>
          </w:p>
          <w:p w14:paraId="17DE1047" w14:textId="77777777" w:rsidR="00635780" w:rsidRPr="00851192" w:rsidRDefault="00635780" w:rsidP="008920E3">
            <w:pPr>
              <w:rPr>
                <w:rFonts w:ascii="Arial" w:hAnsi="Arial" w:cs="Arial"/>
              </w:rPr>
            </w:pPr>
            <w:r w:rsidRPr="00851192">
              <w:rPr>
                <w:rFonts w:ascii="Arial" w:hAnsi="Arial" w:cs="Arial"/>
              </w:rPr>
              <w:t>Asia Gaming - 0</w:t>
            </w:r>
          </w:p>
        </w:tc>
      </w:tr>
      <w:tr w:rsidR="00635780" w:rsidRPr="00851192" w14:paraId="3AF89425" w14:textId="77777777" w:rsidTr="008920E3">
        <w:tc>
          <w:tcPr>
            <w:tcW w:w="1237" w:type="dxa"/>
          </w:tcPr>
          <w:p w14:paraId="08EE3082" w14:textId="77777777" w:rsidR="00635780" w:rsidRPr="00851192" w:rsidRDefault="00635780" w:rsidP="008920E3">
            <w:pPr>
              <w:jc w:val="center"/>
              <w:rPr>
                <w:rFonts w:ascii="Arial" w:hAnsi="Arial" w:cs="Arial"/>
              </w:rPr>
            </w:pPr>
            <w:r w:rsidRPr="00851192">
              <w:rPr>
                <w:rFonts w:ascii="Arial" w:hAnsi="Arial" w:cs="Arial"/>
              </w:rPr>
              <w:t>Emp5</w:t>
            </w:r>
            <w:r w:rsidRPr="00851192">
              <w:rPr>
                <w:rFonts w:ascii="Arial" w:hAnsi="Arial" w:cs="Arial"/>
              </w:rPr>
              <w:br/>
              <w:t>(e)</w:t>
            </w:r>
          </w:p>
        </w:tc>
        <w:tc>
          <w:tcPr>
            <w:tcW w:w="1372" w:type="dxa"/>
          </w:tcPr>
          <w:p w14:paraId="34C7AA51" w14:textId="77777777" w:rsidR="00635780" w:rsidRPr="00851192" w:rsidRDefault="00635780" w:rsidP="008920E3">
            <w:pPr>
              <w:jc w:val="center"/>
              <w:rPr>
                <w:rFonts w:ascii="Arial" w:hAnsi="Arial" w:cs="Arial"/>
              </w:rPr>
            </w:pPr>
            <w:r w:rsidRPr="00851192">
              <w:rPr>
                <w:rFonts w:ascii="Arial" w:hAnsi="Arial" w:cs="Arial"/>
              </w:rPr>
              <w:t>Employee</w:t>
            </w:r>
          </w:p>
        </w:tc>
        <w:tc>
          <w:tcPr>
            <w:tcW w:w="4757" w:type="dxa"/>
          </w:tcPr>
          <w:p w14:paraId="6ADDBD04" w14:textId="535104B8" w:rsidR="00635780" w:rsidRPr="00851192" w:rsidRDefault="004F0DB4" w:rsidP="008920E3">
            <w:pPr>
              <w:rPr>
                <w:rFonts w:ascii="Arial" w:hAnsi="Arial" w:cs="Arial"/>
              </w:rPr>
            </w:pPr>
            <w:r w:rsidRPr="00851192">
              <w:rPr>
                <w:rFonts w:ascii="Arial" w:hAnsi="Arial" w:cs="Arial"/>
              </w:rPr>
              <w:t>GGO’s</w:t>
            </w:r>
            <w:r w:rsidR="00635780" w:rsidRPr="00851192">
              <w:rPr>
                <w:rFonts w:ascii="Arial" w:hAnsi="Arial" w:cs="Arial"/>
              </w:rPr>
              <w:t xml:space="preserve"> offer training and career opportunities for employees</w:t>
            </w:r>
            <w:r w:rsidR="00A926B7" w:rsidRPr="00851192">
              <w:rPr>
                <w:rFonts w:ascii="Arial" w:hAnsi="Arial" w:cs="Arial"/>
              </w:rPr>
              <w:t>.</w:t>
            </w:r>
          </w:p>
        </w:tc>
        <w:tc>
          <w:tcPr>
            <w:tcW w:w="1701" w:type="dxa"/>
          </w:tcPr>
          <w:p w14:paraId="57A92941" w14:textId="5C43C120" w:rsidR="00635780" w:rsidRPr="00851192" w:rsidRDefault="00635780" w:rsidP="008920E3">
            <w:pPr>
              <w:rPr>
                <w:rFonts w:ascii="Arial" w:hAnsi="Arial" w:cs="Arial"/>
              </w:rPr>
            </w:pPr>
            <w:r w:rsidRPr="00851192">
              <w:rPr>
                <w:rFonts w:ascii="Arial" w:hAnsi="Arial" w:cs="Arial"/>
              </w:rPr>
              <w:t>Bet365 – 1</w:t>
            </w:r>
          </w:p>
          <w:p w14:paraId="0FA0848C" w14:textId="77777777" w:rsidR="00635780" w:rsidRPr="00851192" w:rsidRDefault="00635780" w:rsidP="008920E3">
            <w:pPr>
              <w:rPr>
                <w:rFonts w:ascii="Arial" w:hAnsi="Arial" w:cs="Arial"/>
              </w:rPr>
            </w:pPr>
            <w:proofErr w:type="spellStart"/>
            <w:r w:rsidRPr="00851192">
              <w:rPr>
                <w:rFonts w:ascii="Arial" w:hAnsi="Arial" w:cs="Arial"/>
              </w:rPr>
              <w:t>Bwin</w:t>
            </w:r>
            <w:proofErr w:type="spellEnd"/>
            <w:r w:rsidRPr="00851192">
              <w:rPr>
                <w:rFonts w:ascii="Arial" w:hAnsi="Arial" w:cs="Arial"/>
              </w:rPr>
              <w:t xml:space="preserve"> – 1</w:t>
            </w:r>
          </w:p>
          <w:p w14:paraId="1C09B1D9" w14:textId="77777777" w:rsidR="00635780" w:rsidRPr="00851192" w:rsidRDefault="00635780" w:rsidP="008920E3">
            <w:pPr>
              <w:rPr>
                <w:rFonts w:ascii="Arial" w:hAnsi="Arial" w:cs="Arial"/>
              </w:rPr>
            </w:pPr>
            <w:r w:rsidRPr="00851192">
              <w:rPr>
                <w:rFonts w:ascii="Arial" w:hAnsi="Arial" w:cs="Arial"/>
              </w:rPr>
              <w:t>Asia Gaming – 1</w:t>
            </w:r>
          </w:p>
        </w:tc>
      </w:tr>
      <w:tr w:rsidR="00635780" w:rsidRPr="00851192" w14:paraId="44B71408" w14:textId="77777777" w:rsidTr="008920E3">
        <w:tc>
          <w:tcPr>
            <w:tcW w:w="1237" w:type="dxa"/>
          </w:tcPr>
          <w:p w14:paraId="6D581FC3" w14:textId="77777777" w:rsidR="00635780" w:rsidRPr="00851192" w:rsidRDefault="00635780" w:rsidP="008920E3">
            <w:pPr>
              <w:jc w:val="center"/>
              <w:rPr>
                <w:rFonts w:ascii="Arial" w:hAnsi="Arial" w:cs="Arial"/>
              </w:rPr>
            </w:pPr>
            <w:r w:rsidRPr="00851192">
              <w:rPr>
                <w:rFonts w:ascii="Arial" w:hAnsi="Arial" w:cs="Arial"/>
              </w:rPr>
              <w:t>Emp6</w:t>
            </w:r>
            <w:r w:rsidRPr="00851192">
              <w:rPr>
                <w:rFonts w:ascii="Arial" w:hAnsi="Arial" w:cs="Arial"/>
              </w:rPr>
              <w:br/>
              <w:t>(</w:t>
            </w:r>
            <w:proofErr w:type="spellStart"/>
            <w:r w:rsidRPr="00851192">
              <w:rPr>
                <w:rFonts w:ascii="Arial" w:hAnsi="Arial" w:cs="Arial"/>
              </w:rPr>
              <w:t>c,d</w:t>
            </w:r>
            <w:proofErr w:type="spellEnd"/>
            <w:r w:rsidRPr="00851192">
              <w:rPr>
                <w:rFonts w:ascii="Arial" w:hAnsi="Arial" w:cs="Arial"/>
              </w:rPr>
              <w:t>)</w:t>
            </w:r>
          </w:p>
        </w:tc>
        <w:tc>
          <w:tcPr>
            <w:tcW w:w="1372" w:type="dxa"/>
          </w:tcPr>
          <w:p w14:paraId="68C77140" w14:textId="77777777" w:rsidR="00635780" w:rsidRPr="00851192" w:rsidRDefault="00635780" w:rsidP="008920E3">
            <w:pPr>
              <w:jc w:val="center"/>
              <w:rPr>
                <w:rFonts w:ascii="Arial" w:hAnsi="Arial" w:cs="Arial"/>
              </w:rPr>
            </w:pPr>
            <w:r w:rsidRPr="00851192">
              <w:rPr>
                <w:rFonts w:ascii="Arial" w:hAnsi="Arial" w:cs="Arial"/>
              </w:rPr>
              <w:t>Employee</w:t>
            </w:r>
          </w:p>
        </w:tc>
        <w:tc>
          <w:tcPr>
            <w:tcW w:w="4757" w:type="dxa"/>
          </w:tcPr>
          <w:p w14:paraId="4650965E" w14:textId="6E2317B2" w:rsidR="00635780" w:rsidRPr="00851192" w:rsidRDefault="004F0DB4" w:rsidP="008920E3">
            <w:pPr>
              <w:rPr>
                <w:rFonts w:ascii="Arial" w:hAnsi="Arial" w:cs="Arial"/>
              </w:rPr>
            </w:pPr>
            <w:r w:rsidRPr="00851192">
              <w:rPr>
                <w:rFonts w:ascii="Arial" w:hAnsi="Arial" w:cs="Arial"/>
              </w:rPr>
              <w:t>GGO’s</w:t>
            </w:r>
            <w:r w:rsidR="00635780" w:rsidRPr="00851192">
              <w:rPr>
                <w:rFonts w:ascii="Arial" w:hAnsi="Arial" w:cs="Arial"/>
              </w:rPr>
              <w:t xml:space="preserve"> have an action plan towards </w:t>
            </w:r>
            <w:r w:rsidR="00A926B7" w:rsidRPr="00851192">
              <w:rPr>
                <w:rFonts w:ascii="Arial" w:hAnsi="Arial" w:cs="Arial"/>
              </w:rPr>
              <w:t xml:space="preserve">PG </w:t>
            </w:r>
            <w:r w:rsidR="00635780" w:rsidRPr="00851192">
              <w:rPr>
                <w:rFonts w:ascii="Arial" w:hAnsi="Arial" w:cs="Arial"/>
              </w:rPr>
              <w:t>for employees</w:t>
            </w:r>
            <w:r w:rsidR="00A926B7" w:rsidRPr="00851192">
              <w:rPr>
                <w:rFonts w:ascii="Arial" w:hAnsi="Arial" w:cs="Arial"/>
              </w:rPr>
              <w:t>.</w:t>
            </w:r>
          </w:p>
        </w:tc>
        <w:tc>
          <w:tcPr>
            <w:tcW w:w="1701" w:type="dxa"/>
          </w:tcPr>
          <w:p w14:paraId="1CA56021" w14:textId="2E54BE58" w:rsidR="00635780" w:rsidRPr="00851192" w:rsidRDefault="00635780" w:rsidP="008920E3">
            <w:pPr>
              <w:rPr>
                <w:rFonts w:ascii="Arial" w:hAnsi="Arial" w:cs="Arial"/>
              </w:rPr>
            </w:pPr>
            <w:r w:rsidRPr="00851192">
              <w:rPr>
                <w:rFonts w:ascii="Arial" w:hAnsi="Arial" w:cs="Arial"/>
              </w:rPr>
              <w:t>Bet365 - 1</w:t>
            </w:r>
          </w:p>
          <w:p w14:paraId="0F658C83" w14:textId="77777777" w:rsidR="00635780" w:rsidRPr="00851192" w:rsidRDefault="00635780" w:rsidP="008920E3">
            <w:pPr>
              <w:rPr>
                <w:rFonts w:ascii="Arial" w:hAnsi="Arial" w:cs="Arial"/>
              </w:rPr>
            </w:pPr>
            <w:proofErr w:type="spellStart"/>
            <w:r w:rsidRPr="00851192">
              <w:rPr>
                <w:rFonts w:ascii="Arial" w:hAnsi="Arial" w:cs="Arial"/>
              </w:rPr>
              <w:t>Bwin</w:t>
            </w:r>
            <w:proofErr w:type="spellEnd"/>
            <w:r w:rsidRPr="00851192">
              <w:rPr>
                <w:rFonts w:ascii="Arial" w:hAnsi="Arial" w:cs="Arial"/>
              </w:rPr>
              <w:t xml:space="preserve"> - 1</w:t>
            </w:r>
          </w:p>
          <w:p w14:paraId="45CC2BBF" w14:textId="77777777" w:rsidR="00635780" w:rsidRPr="00851192" w:rsidRDefault="00635780" w:rsidP="008920E3">
            <w:pPr>
              <w:rPr>
                <w:rFonts w:ascii="Arial" w:hAnsi="Arial" w:cs="Arial"/>
              </w:rPr>
            </w:pPr>
            <w:r w:rsidRPr="00851192">
              <w:rPr>
                <w:rFonts w:ascii="Arial" w:hAnsi="Arial" w:cs="Arial"/>
              </w:rPr>
              <w:lastRenderedPageBreak/>
              <w:t>Asia Gaming - 0</w:t>
            </w:r>
          </w:p>
        </w:tc>
      </w:tr>
      <w:tr w:rsidR="00635780" w:rsidRPr="00851192" w14:paraId="79013C77" w14:textId="77777777" w:rsidTr="008920E3">
        <w:tc>
          <w:tcPr>
            <w:tcW w:w="1237" w:type="dxa"/>
          </w:tcPr>
          <w:p w14:paraId="3E8841FC" w14:textId="595A8F3D" w:rsidR="00635780" w:rsidRPr="00851192" w:rsidRDefault="0044537C" w:rsidP="008920E3">
            <w:pPr>
              <w:jc w:val="center"/>
              <w:rPr>
                <w:rFonts w:ascii="Arial" w:hAnsi="Arial" w:cs="Arial"/>
              </w:rPr>
            </w:pPr>
            <w:r w:rsidRPr="00851192">
              <w:rPr>
                <w:rFonts w:ascii="Arial" w:hAnsi="Arial" w:cs="Arial"/>
              </w:rPr>
              <w:lastRenderedPageBreak/>
              <w:t>St</w:t>
            </w:r>
            <w:r w:rsidR="00635780" w:rsidRPr="00851192">
              <w:rPr>
                <w:rFonts w:ascii="Arial" w:hAnsi="Arial" w:cs="Arial"/>
              </w:rPr>
              <w:t>a1</w:t>
            </w:r>
            <w:r w:rsidR="00635780" w:rsidRPr="00851192">
              <w:rPr>
                <w:rFonts w:ascii="Arial" w:hAnsi="Arial" w:cs="Arial"/>
              </w:rPr>
              <w:br/>
              <w:t>(f)</w:t>
            </w:r>
          </w:p>
        </w:tc>
        <w:tc>
          <w:tcPr>
            <w:tcW w:w="1372" w:type="dxa"/>
          </w:tcPr>
          <w:p w14:paraId="0C583A8A" w14:textId="6326709B" w:rsidR="00635780" w:rsidRPr="00851192" w:rsidRDefault="00635780" w:rsidP="0044537C">
            <w:pPr>
              <w:jc w:val="center"/>
              <w:rPr>
                <w:rFonts w:ascii="Arial" w:hAnsi="Arial" w:cs="Arial"/>
              </w:rPr>
            </w:pPr>
            <w:r w:rsidRPr="00851192">
              <w:rPr>
                <w:rFonts w:ascii="Arial" w:hAnsi="Arial" w:cs="Arial"/>
              </w:rPr>
              <w:t>S</w:t>
            </w:r>
            <w:r w:rsidR="0044537C" w:rsidRPr="00851192">
              <w:rPr>
                <w:rFonts w:ascii="Arial" w:hAnsi="Arial" w:cs="Arial"/>
              </w:rPr>
              <w:t>take</w:t>
            </w:r>
            <w:r w:rsidRPr="00851192">
              <w:rPr>
                <w:rFonts w:ascii="Arial" w:hAnsi="Arial" w:cs="Arial"/>
              </w:rPr>
              <w:t>holder</w:t>
            </w:r>
          </w:p>
        </w:tc>
        <w:tc>
          <w:tcPr>
            <w:tcW w:w="4757" w:type="dxa"/>
          </w:tcPr>
          <w:p w14:paraId="2FCA7961" w14:textId="67E7541A" w:rsidR="00635780" w:rsidRPr="00851192" w:rsidRDefault="004F0DB4" w:rsidP="008920E3">
            <w:pPr>
              <w:rPr>
                <w:rFonts w:ascii="Arial" w:hAnsi="Arial" w:cs="Arial"/>
              </w:rPr>
            </w:pPr>
            <w:r w:rsidRPr="00851192">
              <w:rPr>
                <w:rFonts w:ascii="Arial" w:hAnsi="Arial" w:cs="Arial"/>
              </w:rPr>
              <w:t>GGO’s</w:t>
            </w:r>
            <w:r w:rsidR="00635780" w:rsidRPr="00851192">
              <w:rPr>
                <w:rFonts w:ascii="Arial" w:hAnsi="Arial" w:cs="Arial"/>
              </w:rPr>
              <w:t xml:space="preserve"> effectively practice CSR communications</w:t>
            </w:r>
            <w:r w:rsidR="00A926B7" w:rsidRPr="00851192">
              <w:rPr>
                <w:rFonts w:ascii="Arial" w:hAnsi="Arial" w:cs="Arial"/>
              </w:rPr>
              <w:t>.</w:t>
            </w:r>
          </w:p>
        </w:tc>
        <w:tc>
          <w:tcPr>
            <w:tcW w:w="1701" w:type="dxa"/>
          </w:tcPr>
          <w:p w14:paraId="059F4F64" w14:textId="04170805" w:rsidR="00635780" w:rsidRPr="00851192" w:rsidRDefault="00635780" w:rsidP="008920E3">
            <w:pPr>
              <w:rPr>
                <w:rFonts w:ascii="Arial" w:hAnsi="Arial" w:cs="Arial"/>
              </w:rPr>
            </w:pPr>
            <w:r w:rsidRPr="00851192">
              <w:rPr>
                <w:rFonts w:ascii="Arial" w:hAnsi="Arial" w:cs="Arial"/>
              </w:rPr>
              <w:t>Bet365 – 1</w:t>
            </w:r>
          </w:p>
          <w:p w14:paraId="4BB557F0" w14:textId="77777777" w:rsidR="00635780" w:rsidRPr="00851192" w:rsidRDefault="00635780" w:rsidP="008920E3">
            <w:pPr>
              <w:rPr>
                <w:rFonts w:ascii="Arial" w:hAnsi="Arial" w:cs="Arial"/>
              </w:rPr>
            </w:pPr>
            <w:proofErr w:type="spellStart"/>
            <w:r w:rsidRPr="00851192">
              <w:rPr>
                <w:rFonts w:ascii="Arial" w:hAnsi="Arial" w:cs="Arial"/>
              </w:rPr>
              <w:t>Bwin</w:t>
            </w:r>
            <w:proofErr w:type="spellEnd"/>
            <w:r w:rsidRPr="00851192">
              <w:rPr>
                <w:rFonts w:ascii="Arial" w:hAnsi="Arial" w:cs="Arial"/>
              </w:rPr>
              <w:t xml:space="preserve"> – 1</w:t>
            </w:r>
          </w:p>
          <w:p w14:paraId="06FB7D44" w14:textId="77777777" w:rsidR="00635780" w:rsidRPr="00851192" w:rsidRDefault="00635780" w:rsidP="008920E3">
            <w:pPr>
              <w:rPr>
                <w:rFonts w:ascii="Arial" w:hAnsi="Arial" w:cs="Arial"/>
              </w:rPr>
            </w:pPr>
            <w:r w:rsidRPr="00851192">
              <w:rPr>
                <w:rFonts w:ascii="Arial" w:hAnsi="Arial" w:cs="Arial"/>
              </w:rPr>
              <w:t>Asia Gaming – 1</w:t>
            </w:r>
          </w:p>
        </w:tc>
      </w:tr>
      <w:tr w:rsidR="00635780" w:rsidRPr="00851192" w14:paraId="089B5550" w14:textId="77777777" w:rsidTr="008920E3">
        <w:tc>
          <w:tcPr>
            <w:tcW w:w="1237" w:type="dxa"/>
          </w:tcPr>
          <w:p w14:paraId="3F79AC39" w14:textId="7DE467FD" w:rsidR="00635780" w:rsidRPr="00851192" w:rsidRDefault="0044537C" w:rsidP="008920E3">
            <w:pPr>
              <w:jc w:val="center"/>
              <w:rPr>
                <w:rFonts w:ascii="Arial" w:hAnsi="Arial" w:cs="Arial"/>
              </w:rPr>
            </w:pPr>
            <w:r w:rsidRPr="00851192">
              <w:rPr>
                <w:rFonts w:ascii="Arial" w:hAnsi="Arial" w:cs="Arial"/>
              </w:rPr>
              <w:t>St</w:t>
            </w:r>
            <w:r w:rsidR="00635780" w:rsidRPr="00851192">
              <w:rPr>
                <w:rFonts w:ascii="Arial" w:hAnsi="Arial" w:cs="Arial"/>
              </w:rPr>
              <w:t>a2</w:t>
            </w:r>
            <w:r w:rsidR="00635780" w:rsidRPr="00851192">
              <w:rPr>
                <w:rFonts w:ascii="Arial" w:hAnsi="Arial" w:cs="Arial"/>
              </w:rPr>
              <w:br/>
              <w:t>(b)</w:t>
            </w:r>
          </w:p>
        </w:tc>
        <w:tc>
          <w:tcPr>
            <w:tcW w:w="1372" w:type="dxa"/>
          </w:tcPr>
          <w:p w14:paraId="39D0DE73" w14:textId="2190EA51" w:rsidR="00635780" w:rsidRPr="00851192" w:rsidRDefault="00635780" w:rsidP="0044537C">
            <w:pPr>
              <w:jc w:val="center"/>
              <w:rPr>
                <w:rFonts w:ascii="Arial" w:hAnsi="Arial" w:cs="Arial"/>
              </w:rPr>
            </w:pPr>
            <w:r w:rsidRPr="00851192">
              <w:rPr>
                <w:rFonts w:ascii="Arial" w:hAnsi="Arial" w:cs="Arial"/>
              </w:rPr>
              <w:t>S</w:t>
            </w:r>
            <w:r w:rsidR="0044537C" w:rsidRPr="00851192">
              <w:rPr>
                <w:rFonts w:ascii="Arial" w:hAnsi="Arial" w:cs="Arial"/>
              </w:rPr>
              <w:t>take</w:t>
            </w:r>
            <w:r w:rsidRPr="00851192">
              <w:rPr>
                <w:rFonts w:ascii="Arial" w:hAnsi="Arial" w:cs="Arial"/>
              </w:rPr>
              <w:t>holder</w:t>
            </w:r>
          </w:p>
        </w:tc>
        <w:tc>
          <w:tcPr>
            <w:tcW w:w="4757" w:type="dxa"/>
          </w:tcPr>
          <w:p w14:paraId="1CF2B028" w14:textId="2B659143" w:rsidR="00635780" w:rsidRPr="00851192" w:rsidRDefault="004F0DB4" w:rsidP="008920E3">
            <w:pPr>
              <w:rPr>
                <w:rFonts w:ascii="Arial" w:hAnsi="Arial" w:cs="Arial"/>
              </w:rPr>
            </w:pPr>
            <w:r w:rsidRPr="00851192">
              <w:rPr>
                <w:rFonts w:ascii="Arial" w:hAnsi="Arial" w:cs="Arial"/>
              </w:rPr>
              <w:t>GGO’s</w:t>
            </w:r>
            <w:r w:rsidR="00635780" w:rsidRPr="00851192">
              <w:rPr>
                <w:rFonts w:ascii="Arial" w:hAnsi="Arial" w:cs="Arial"/>
              </w:rPr>
              <w:t xml:space="preserve"> are headquartered in low tax </w:t>
            </w:r>
            <w:r w:rsidR="004C3D3C" w:rsidRPr="00851192">
              <w:rPr>
                <w:rFonts w:ascii="Arial" w:hAnsi="Arial" w:cs="Arial"/>
              </w:rPr>
              <w:t>jurisdictions.</w:t>
            </w:r>
          </w:p>
        </w:tc>
        <w:tc>
          <w:tcPr>
            <w:tcW w:w="1701" w:type="dxa"/>
          </w:tcPr>
          <w:p w14:paraId="255CA1DC" w14:textId="029B5753" w:rsidR="00635780" w:rsidRPr="00851192" w:rsidRDefault="00635780" w:rsidP="008920E3">
            <w:pPr>
              <w:rPr>
                <w:rFonts w:ascii="Arial" w:hAnsi="Arial" w:cs="Arial"/>
              </w:rPr>
            </w:pPr>
            <w:r w:rsidRPr="00851192">
              <w:rPr>
                <w:rFonts w:ascii="Arial" w:hAnsi="Arial" w:cs="Arial"/>
              </w:rPr>
              <w:t>Bet365 – 1</w:t>
            </w:r>
          </w:p>
          <w:p w14:paraId="6DBA38A8" w14:textId="77777777" w:rsidR="00635780" w:rsidRPr="00851192" w:rsidRDefault="00635780" w:rsidP="008920E3">
            <w:pPr>
              <w:rPr>
                <w:rFonts w:ascii="Arial" w:hAnsi="Arial" w:cs="Arial"/>
              </w:rPr>
            </w:pPr>
            <w:proofErr w:type="spellStart"/>
            <w:r w:rsidRPr="00851192">
              <w:rPr>
                <w:rFonts w:ascii="Arial" w:hAnsi="Arial" w:cs="Arial"/>
              </w:rPr>
              <w:t>Bwin</w:t>
            </w:r>
            <w:proofErr w:type="spellEnd"/>
            <w:r w:rsidRPr="00851192">
              <w:rPr>
                <w:rFonts w:ascii="Arial" w:hAnsi="Arial" w:cs="Arial"/>
              </w:rPr>
              <w:t xml:space="preserve"> – 1</w:t>
            </w:r>
          </w:p>
          <w:p w14:paraId="1C1C66AA" w14:textId="77777777" w:rsidR="00635780" w:rsidRPr="00851192" w:rsidRDefault="00635780" w:rsidP="008920E3">
            <w:pPr>
              <w:rPr>
                <w:rFonts w:ascii="Arial" w:hAnsi="Arial" w:cs="Arial"/>
              </w:rPr>
            </w:pPr>
            <w:r w:rsidRPr="00851192">
              <w:rPr>
                <w:rFonts w:ascii="Arial" w:hAnsi="Arial" w:cs="Arial"/>
              </w:rPr>
              <w:t>Asia Gaming – 1</w:t>
            </w:r>
          </w:p>
        </w:tc>
      </w:tr>
      <w:tr w:rsidR="00635780" w:rsidRPr="00851192" w14:paraId="39429E92" w14:textId="77777777" w:rsidTr="008920E3">
        <w:tc>
          <w:tcPr>
            <w:tcW w:w="1237" w:type="dxa"/>
          </w:tcPr>
          <w:p w14:paraId="4A249177" w14:textId="680EA21A" w:rsidR="00635780" w:rsidRPr="00851192" w:rsidRDefault="00635780" w:rsidP="0044537C">
            <w:pPr>
              <w:jc w:val="center"/>
              <w:rPr>
                <w:rFonts w:ascii="Arial" w:hAnsi="Arial" w:cs="Arial"/>
              </w:rPr>
            </w:pPr>
            <w:r w:rsidRPr="00851192">
              <w:rPr>
                <w:rFonts w:ascii="Arial" w:hAnsi="Arial" w:cs="Arial"/>
              </w:rPr>
              <w:t>S</w:t>
            </w:r>
            <w:r w:rsidR="0044537C" w:rsidRPr="00851192">
              <w:rPr>
                <w:rFonts w:ascii="Arial" w:hAnsi="Arial" w:cs="Arial"/>
              </w:rPr>
              <w:t>ta</w:t>
            </w:r>
            <w:r w:rsidRPr="00851192">
              <w:rPr>
                <w:rFonts w:ascii="Arial" w:hAnsi="Arial" w:cs="Arial"/>
              </w:rPr>
              <w:t>3</w:t>
            </w:r>
            <w:r w:rsidRPr="00851192">
              <w:rPr>
                <w:rFonts w:ascii="Arial" w:hAnsi="Arial" w:cs="Arial"/>
              </w:rPr>
              <w:br/>
              <w:t>(h)</w:t>
            </w:r>
          </w:p>
        </w:tc>
        <w:tc>
          <w:tcPr>
            <w:tcW w:w="1372" w:type="dxa"/>
          </w:tcPr>
          <w:p w14:paraId="77ED4CEE" w14:textId="3D774155" w:rsidR="00635780" w:rsidRPr="00851192" w:rsidRDefault="00635780" w:rsidP="0044537C">
            <w:pPr>
              <w:jc w:val="center"/>
              <w:rPr>
                <w:rFonts w:ascii="Arial" w:hAnsi="Arial" w:cs="Arial"/>
              </w:rPr>
            </w:pPr>
            <w:r w:rsidRPr="00851192">
              <w:rPr>
                <w:rFonts w:ascii="Arial" w:hAnsi="Arial" w:cs="Arial"/>
              </w:rPr>
              <w:t>S</w:t>
            </w:r>
            <w:r w:rsidR="0044537C" w:rsidRPr="00851192">
              <w:rPr>
                <w:rFonts w:ascii="Arial" w:hAnsi="Arial" w:cs="Arial"/>
              </w:rPr>
              <w:t>take</w:t>
            </w:r>
            <w:r w:rsidRPr="00851192">
              <w:rPr>
                <w:rFonts w:ascii="Arial" w:hAnsi="Arial" w:cs="Arial"/>
              </w:rPr>
              <w:t>holder</w:t>
            </w:r>
          </w:p>
        </w:tc>
        <w:tc>
          <w:tcPr>
            <w:tcW w:w="4757" w:type="dxa"/>
          </w:tcPr>
          <w:p w14:paraId="65AD4A55" w14:textId="2FEC5318" w:rsidR="00635780" w:rsidRPr="00851192" w:rsidRDefault="004F0DB4" w:rsidP="008920E3">
            <w:pPr>
              <w:rPr>
                <w:rFonts w:ascii="Arial" w:hAnsi="Arial" w:cs="Arial"/>
              </w:rPr>
            </w:pPr>
            <w:r w:rsidRPr="00851192">
              <w:rPr>
                <w:rFonts w:ascii="Arial" w:hAnsi="Arial" w:cs="Arial"/>
              </w:rPr>
              <w:t>GGO’s</w:t>
            </w:r>
            <w:r w:rsidR="00635780" w:rsidRPr="00851192">
              <w:rPr>
                <w:rFonts w:ascii="Arial" w:hAnsi="Arial" w:cs="Arial"/>
              </w:rPr>
              <w:t xml:space="preserve"> have a strong structure for CSR communications</w:t>
            </w:r>
            <w:r w:rsidR="00A926B7" w:rsidRPr="00851192">
              <w:rPr>
                <w:rFonts w:ascii="Arial" w:hAnsi="Arial" w:cs="Arial"/>
              </w:rPr>
              <w:t>.</w:t>
            </w:r>
          </w:p>
        </w:tc>
        <w:tc>
          <w:tcPr>
            <w:tcW w:w="1701" w:type="dxa"/>
          </w:tcPr>
          <w:p w14:paraId="44099318" w14:textId="1C71C4C6" w:rsidR="00635780" w:rsidRPr="00851192" w:rsidRDefault="00635780" w:rsidP="008920E3">
            <w:pPr>
              <w:rPr>
                <w:rFonts w:ascii="Arial" w:hAnsi="Arial" w:cs="Arial"/>
              </w:rPr>
            </w:pPr>
            <w:r w:rsidRPr="00851192">
              <w:rPr>
                <w:rFonts w:ascii="Arial" w:hAnsi="Arial" w:cs="Arial"/>
              </w:rPr>
              <w:t>Bet365 – 1</w:t>
            </w:r>
          </w:p>
          <w:p w14:paraId="3E5CCEFE" w14:textId="77777777" w:rsidR="00635780" w:rsidRPr="00851192" w:rsidRDefault="00635780" w:rsidP="008920E3">
            <w:pPr>
              <w:rPr>
                <w:rFonts w:ascii="Arial" w:hAnsi="Arial" w:cs="Arial"/>
              </w:rPr>
            </w:pPr>
            <w:proofErr w:type="spellStart"/>
            <w:r w:rsidRPr="00851192">
              <w:rPr>
                <w:rFonts w:ascii="Arial" w:hAnsi="Arial" w:cs="Arial"/>
              </w:rPr>
              <w:t>Bwin</w:t>
            </w:r>
            <w:proofErr w:type="spellEnd"/>
            <w:r w:rsidRPr="00851192">
              <w:rPr>
                <w:rFonts w:ascii="Arial" w:hAnsi="Arial" w:cs="Arial"/>
              </w:rPr>
              <w:t xml:space="preserve"> – 1</w:t>
            </w:r>
          </w:p>
          <w:p w14:paraId="097DC6DC" w14:textId="77777777" w:rsidR="00635780" w:rsidRPr="00851192" w:rsidRDefault="00635780" w:rsidP="008920E3">
            <w:pPr>
              <w:rPr>
                <w:rFonts w:ascii="Arial" w:hAnsi="Arial" w:cs="Arial"/>
              </w:rPr>
            </w:pPr>
            <w:r w:rsidRPr="00851192">
              <w:rPr>
                <w:rFonts w:ascii="Arial" w:hAnsi="Arial" w:cs="Arial"/>
              </w:rPr>
              <w:t>Asia Gaming – 1</w:t>
            </w:r>
          </w:p>
        </w:tc>
      </w:tr>
      <w:tr w:rsidR="00635780" w:rsidRPr="00851192" w14:paraId="5DF6D89E" w14:textId="77777777" w:rsidTr="008920E3">
        <w:tc>
          <w:tcPr>
            <w:tcW w:w="1237" w:type="dxa"/>
          </w:tcPr>
          <w:p w14:paraId="4BCA06CD" w14:textId="5975D628" w:rsidR="00635780" w:rsidRPr="00851192" w:rsidRDefault="0044537C" w:rsidP="008920E3">
            <w:pPr>
              <w:jc w:val="center"/>
              <w:rPr>
                <w:rFonts w:ascii="Arial" w:hAnsi="Arial" w:cs="Arial"/>
              </w:rPr>
            </w:pPr>
            <w:r w:rsidRPr="00851192">
              <w:rPr>
                <w:rFonts w:ascii="Arial" w:hAnsi="Arial" w:cs="Arial"/>
              </w:rPr>
              <w:t>St</w:t>
            </w:r>
            <w:r w:rsidR="00635780" w:rsidRPr="00851192">
              <w:rPr>
                <w:rFonts w:ascii="Arial" w:hAnsi="Arial" w:cs="Arial"/>
              </w:rPr>
              <w:t>a4</w:t>
            </w:r>
            <w:r w:rsidR="00635780" w:rsidRPr="00851192">
              <w:rPr>
                <w:rFonts w:ascii="Arial" w:hAnsi="Arial" w:cs="Arial"/>
              </w:rPr>
              <w:br/>
              <w:t>(</w:t>
            </w:r>
            <w:proofErr w:type="spellStart"/>
            <w:r w:rsidR="00635780" w:rsidRPr="00851192">
              <w:rPr>
                <w:rFonts w:ascii="Arial" w:hAnsi="Arial" w:cs="Arial"/>
              </w:rPr>
              <w:t>b,h</w:t>
            </w:r>
            <w:proofErr w:type="spellEnd"/>
            <w:r w:rsidR="00635780" w:rsidRPr="00851192">
              <w:rPr>
                <w:rFonts w:ascii="Arial" w:hAnsi="Arial" w:cs="Arial"/>
              </w:rPr>
              <w:t>)</w:t>
            </w:r>
          </w:p>
        </w:tc>
        <w:tc>
          <w:tcPr>
            <w:tcW w:w="1372" w:type="dxa"/>
          </w:tcPr>
          <w:p w14:paraId="2073D66B" w14:textId="36EB743E" w:rsidR="00635780" w:rsidRPr="00851192" w:rsidRDefault="00635780" w:rsidP="0044537C">
            <w:pPr>
              <w:jc w:val="center"/>
              <w:rPr>
                <w:rFonts w:ascii="Arial" w:hAnsi="Arial" w:cs="Arial"/>
              </w:rPr>
            </w:pPr>
            <w:r w:rsidRPr="00851192">
              <w:rPr>
                <w:rFonts w:ascii="Arial" w:hAnsi="Arial" w:cs="Arial"/>
              </w:rPr>
              <w:t>S</w:t>
            </w:r>
            <w:r w:rsidR="0044537C" w:rsidRPr="00851192">
              <w:rPr>
                <w:rFonts w:ascii="Arial" w:hAnsi="Arial" w:cs="Arial"/>
              </w:rPr>
              <w:t>take</w:t>
            </w:r>
            <w:r w:rsidRPr="00851192">
              <w:rPr>
                <w:rFonts w:ascii="Arial" w:hAnsi="Arial" w:cs="Arial"/>
              </w:rPr>
              <w:t>holder</w:t>
            </w:r>
          </w:p>
        </w:tc>
        <w:tc>
          <w:tcPr>
            <w:tcW w:w="4757" w:type="dxa"/>
          </w:tcPr>
          <w:p w14:paraId="16F58896" w14:textId="6D0690C2" w:rsidR="00635780" w:rsidRPr="00851192" w:rsidRDefault="004F0DB4" w:rsidP="008920E3">
            <w:pPr>
              <w:rPr>
                <w:rFonts w:ascii="Arial" w:hAnsi="Arial" w:cs="Arial"/>
              </w:rPr>
            </w:pPr>
            <w:r w:rsidRPr="00851192">
              <w:rPr>
                <w:rFonts w:ascii="Arial" w:hAnsi="Arial" w:cs="Arial"/>
              </w:rPr>
              <w:t>GGO’s</w:t>
            </w:r>
            <w:r w:rsidR="00635780" w:rsidRPr="00851192">
              <w:rPr>
                <w:rFonts w:ascii="Arial" w:hAnsi="Arial" w:cs="Arial"/>
              </w:rPr>
              <w:t xml:space="preserve"> effectively communicate attractiveness of organisation to consumers which is reflected and evaluated through sustained and incremented financial growth (5 year evaluation)</w:t>
            </w:r>
            <w:r w:rsidR="00A926B7" w:rsidRPr="00851192">
              <w:rPr>
                <w:rFonts w:ascii="Arial" w:hAnsi="Arial" w:cs="Arial"/>
              </w:rPr>
              <w:t>.</w:t>
            </w:r>
          </w:p>
        </w:tc>
        <w:tc>
          <w:tcPr>
            <w:tcW w:w="1701" w:type="dxa"/>
          </w:tcPr>
          <w:p w14:paraId="6485A16E" w14:textId="5396AD8F" w:rsidR="00635780" w:rsidRPr="00851192" w:rsidRDefault="00635780" w:rsidP="008920E3">
            <w:pPr>
              <w:rPr>
                <w:rFonts w:ascii="Arial" w:hAnsi="Arial" w:cs="Arial"/>
              </w:rPr>
            </w:pPr>
            <w:r w:rsidRPr="00851192">
              <w:rPr>
                <w:rFonts w:ascii="Arial" w:hAnsi="Arial" w:cs="Arial"/>
              </w:rPr>
              <w:t>Bet365 – 1</w:t>
            </w:r>
          </w:p>
          <w:p w14:paraId="758EE8FA" w14:textId="77777777" w:rsidR="00635780" w:rsidRPr="00851192" w:rsidRDefault="00635780" w:rsidP="008920E3">
            <w:pPr>
              <w:rPr>
                <w:rFonts w:ascii="Arial" w:hAnsi="Arial" w:cs="Arial"/>
              </w:rPr>
            </w:pPr>
            <w:proofErr w:type="spellStart"/>
            <w:r w:rsidRPr="00851192">
              <w:rPr>
                <w:rFonts w:ascii="Arial" w:hAnsi="Arial" w:cs="Arial"/>
              </w:rPr>
              <w:t>Bwin</w:t>
            </w:r>
            <w:proofErr w:type="spellEnd"/>
            <w:r w:rsidRPr="00851192">
              <w:rPr>
                <w:rFonts w:ascii="Arial" w:hAnsi="Arial" w:cs="Arial"/>
              </w:rPr>
              <w:t xml:space="preserve"> – 1</w:t>
            </w:r>
          </w:p>
          <w:p w14:paraId="068CADDE" w14:textId="77777777" w:rsidR="00635780" w:rsidRPr="00851192" w:rsidRDefault="00635780" w:rsidP="008920E3">
            <w:pPr>
              <w:rPr>
                <w:rFonts w:ascii="Arial" w:hAnsi="Arial" w:cs="Arial"/>
              </w:rPr>
            </w:pPr>
            <w:r w:rsidRPr="00851192">
              <w:rPr>
                <w:rFonts w:ascii="Arial" w:hAnsi="Arial" w:cs="Arial"/>
              </w:rPr>
              <w:t>Asia Gaming – 1</w:t>
            </w:r>
          </w:p>
        </w:tc>
      </w:tr>
      <w:tr w:rsidR="00635780" w:rsidRPr="00851192" w14:paraId="3BDD8115" w14:textId="77777777" w:rsidTr="008920E3">
        <w:tc>
          <w:tcPr>
            <w:tcW w:w="1237" w:type="dxa"/>
          </w:tcPr>
          <w:p w14:paraId="61E0FD5D" w14:textId="304DF142" w:rsidR="00635780" w:rsidRPr="00851192" w:rsidRDefault="0044537C" w:rsidP="008920E3">
            <w:pPr>
              <w:jc w:val="center"/>
              <w:rPr>
                <w:rFonts w:ascii="Arial" w:hAnsi="Arial" w:cs="Arial"/>
              </w:rPr>
            </w:pPr>
            <w:r w:rsidRPr="00851192">
              <w:rPr>
                <w:rFonts w:ascii="Arial" w:hAnsi="Arial" w:cs="Arial"/>
              </w:rPr>
              <w:t>St</w:t>
            </w:r>
            <w:r w:rsidR="00635780" w:rsidRPr="00851192">
              <w:rPr>
                <w:rFonts w:ascii="Arial" w:hAnsi="Arial" w:cs="Arial"/>
              </w:rPr>
              <w:t>a5</w:t>
            </w:r>
            <w:r w:rsidR="00635780" w:rsidRPr="00851192">
              <w:rPr>
                <w:rFonts w:ascii="Arial" w:hAnsi="Arial" w:cs="Arial"/>
              </w:rPr>
              <w:br/>
              <w:t>(b)</w:t>
            </w:r>
          </w:p>
        </w:tc>
        <w:tc>
          <w:tcPr>
            <w:tcW w:w="1372" w:type="dxa"/>
          </w:tcPr>
          <w:p w14:paraId="0F64BC12" w14:textId="154149AA" w:rsidR="00635780" w:rsidRPr="00851192" w:rsidRDefault="00635780" w:rsidP="0044537C">
            <w:pPr>
              <w:jc w:val="center"/>
              <w:rPr>
                <w:rFonts w:ascii="Arial" w:hAnsi="Arial" w:cs="Arial"/>
              </w:rPr>
            </w:pPr>
            <w:r w:rsidRPr="00851192">
              <w:rPr>
                <w:rFonts w:ascii="Arial" w:hAnsi="Arial" w:cs="Arial"/>
              </w:rPr>
              <w:t>S</w:t>
            </w:r>
            <w:r w:rsidR="0044537C" w:rsidRPr="00851192">
              <w:rPr>
                <w:rFonts w:ascii="Arial" w:hAnsi="Arial" w:cs="Arial"/>
              </w:rPr>
              <w:t>take</w:t>
            </w:r>
            <w:r w:rsidRPr="00851192">
              <w:rPr>
                <w:rFonts w:ascii="Arial" w:hAnsi="Arial" w:cs="Arial"/>
              </w:rPr>
              <w:t>holder</w:t>
            </w:r>
          </w:p>
        </w:tc>
        <w:tc>
          <w:tcPr>
            <w:tcW w:w="4757" w:type="dxa"/>
          </w:tcPr>
          <w:p w14:paraId="268FA581" w14:textId="37199F71" w:rsidR="00635780" w:rsidRPr="00851192" w:rsidRDefault="004F0DB4" w:rsidP="008920E3">
            <w:pPr>
              <w:rPr>
                <w:rFonts w:ascii="Arial" w:hAnsi="Arial" w:cs="Arial"/>
              </w:rPr>
            </w:pPr>
            <w:r w:rsidRPr="00851192">
              <w:rPr>
                <w:rFonts w:ascii="Arial" w:hAnsi="Arial" w:cs="Arial"/>
              </w:rPr>
              <w:t>GGO’s</w:t>
            </w:r>
            <w:r w:rsidR="00635780" w:rsidRPr="00851192">
              <w:rPr>
                <w:rFonts w:ascii="Arial" w:hAnsi="Arial" w:cs="Arial"/>
              </w:rPr>
              <w:t xml:space="preserve"> effectively communicate to consumers to reduce incongruence on consumer perception and desired brand identity</w:t>
            </w:r>
            <w:r w:rsidR="00A926B7" w:rsidRPr="00851192">
              <w:rPr>
                <w:rFonts w:ascii="Arial" w:hAnsi="Arial" w:cs="Arial"/>
              </w:rPr>
              <w:t>.</w:t>
            </w:r>
          </w:p>
        </w:tc>
        <w:tc>
          <w:tcPr>
            <w:tcW w:w="1701" w:type="dxa"/>
          </w:tcPr>
          <w:p w14:paraId="6FCD0AB8" w14:textId="568D1852" w:rsidR="00635780" w:rsidRPr="00851192" w:rsidRDefault="00635780" w:rsidP="008920E3">
            <w:pPr>
              <w:rPr>
                <w:rFonts w:ascii="Arial" w:hAnsi="Arial" w:cs="Arial"/>
              </w:rPr>
            </w:pPr>
            <w:r w:rsidRPr="00851192">
              <w:rPr>
                <w:rFonts w:ascii="Arial" w:hAnsi="Arial" w:cs="Arial"/>
              </w:rPr>
              <w:t>Bet365 – 1</w:t>
            </w:r>
          </w:p>
          <w:p w14:paraId="28213247" w14:textId="77777777" w:rsidR="00635780" w:rsidRPr="00851192" w:rsidRDefault="00635780" w:rsidP="008920E3">
            <w:pPr>
              <w:rPr>
                <w:rFonts w:ascii="Arial" w:hAnsi="Arial" w:cs="Arial"/>
              </w:rPr>
            </w:pPr>
            <w:proofErr w:type="spellStart"/>
            <w:r w:rsidRPr="00851192">
              <w:rPr>
                <w:rFonts w:ascii="Arial" w:hAnsi="Arial" w:cs="Arial"/>
              </w:rPr>
              <w:t>Bwin</w:t>
            </w:r>
            <w:proofErr w:type="spellEnd"/>
            <w:r w:rsidRPr="00851192">
              <w:rPr>
                <w:rFonts w:ascii="Arial" w:hAnsi="Arial" w:cs="Arial"/>
              </w:rPr>
              <w:t xml:space="preserve"> – 1</w:t>
            </w:r>
          </w:p>
          <w:p w14:paraId="1C9283F8" w14:textId="77777777" w:rsidR="00635780" w:rsidRPr="00851192" w:rsidRDefault="00635780" w:rsidP="008920E3">
            <w:pPr>
              <w:rPr>
                <w:rFonts w:ascii="Arial" w:hAnsi="Arial" w:cs="Arial"/>
              </w:rPr>
            </w:pPr>
            <w:r w:rsidRPr="00851192">
              <w:rPr>
                <w:rFonts w:ascii="Arial" w:hAnsi="Arial" w:cs="Arial"/>
              </w:rPr>
              <w:t>Asia Gaming – 1</w:t>
            </w:r>
          </w:p>
        </w:tc>
      </w:tr>
      <w:tr w:rsidR="00635780" w:rsidRPr="00851192" w14:paraId="3C50797D" w14:textId="77777777" w:rsidTr="008920E3">
        <w:tc>
          <w:tcPr>
            <w:tcW w:w="1237" w:type="dxa"/>
          </w:tcPr>
          <w:p w14:paraId="3BADE11D" w14:textId="77777777" w:rsidR="00635780" w:rsidRPr="00851192" w:rsidRDefault="00635780" w:rsidP="008920E3">
            <w:pPr>
              <w:jc w:val="center"/>
              <w:rPr>
                <w:rFonts w:ascii="Arial" w:hAnsi="Arial" w:cs="Arial"/>
              </w:rPr>
            </w:pPr>
            <w:r w:rsidRPr="00851192">
              <w:rPr>
                <w:rFonts w:ascii="Arial" w:hAnsi="Arial" w:cs="Arial"/>
              </w:rPr>
              <w:t>Con1</w:t>
            </w:r>
            <w:r w:rsidRPr="00851192">
              <w:rPr>
                <w:rFonts w:ascii="Arial" w:hAnsi="Arial" w:cs="Arial"/>
              </w:rPr>
              <w:br/>
              <w:t>(h)</w:t>
            </w:r>
          </w:p>
        </w:tc>
        <w:tc>
          <w:tcPr>
            <w:tcW w:w="1372" w:type="dxa"/>
          </w:tcPr>
          <w:p w14:paraId="18A1F140" w14:textId="77777777" w:rsidR="00635780" w:rsidRPr="00851192" w:rsidRDefault="00635780" w:rsidP="008920E3">
            <w:pPr>
              <w:jc w:val="center"/>
              <w:rPr>
                <w:rFonts w:ascii="Arial" w:hAnsi="Arial" w:cs="Arial"/>
              </w:rPr>
            </w:pPr>
            <w:r w:rsidRPr="00851192">
              <w:rPr>
                <w:rFonts w:ascii="Arial" w:hAnsi="Arial" w:cs="Arial"/>
              </w:rPr>
              <w:t>Consumer</w:t>
            </w:r>
          </w:p>
        </w:tc>
        <w:tc>
          <w:tcPr>
            <w:tcW w:w="4757" w:type="dxa"/>
          </w:tcPr>
          <w:p w14:paraId="17B0E451" w14:textId="5FAAD0D0" w:rsidR="00635780" w:rsidRPr="00851192" w:rsidRDefault="004F0DB4" w:rsidP="00DB34F4">
            <w:pPr>
              <w:rPr>
                <w:rFonts w:ascii="Arial" w:hAnsi="Arial" w:cs="Arial"/>
              </w:rPr>
            </w:pPr>
            <w:r w:rsidRPr="00851192">
              <w:rPr>
                <w:rFonts w:ascii="Arial" w:hAnsi="Arial" w:cs="Arial"/>
              </w:rPr>
              <w:t>GGO’s</w:t>
            </w:r>
            <w:r w:rsidR="00635780" w:rsidRPr="00851192">
              <w:rPr>
                <w:rFonts w:ascii="Arial" w:hAnsi="Arial" w:cs="Arial"/>
              </w:rPr>
              <w:t xml:space="preserve"> </w:t>
            </w:r>
            <w:r w:rsidR="00DB34F4" w:rsidRPr="00851192">
              <w:rPr>
                <w:rFonts w:ascii="Arial" w:hAnsi="Arial" w:cs="Arial"/>
              </w:rPr>
              <w:t>claim</w:t>
            </w:r>
            <w:r w:rsidR="005B4206" w:rsidRPr="00851192">
              <w:rPr>
                <w:rFonts w:ascii="Arial" w:hAnsi="Arial" w:cs="Arial"/>
              </w:rPr>
              <w:t xml:space="preserve"> that they </w:t>
            </w:r>
            <w:r w:rsidR="00635780" w:rsidRPr="00851192">
              <w:rPr>
                <w:rFonts w:ascii="Arial" w:hAnsi="Arial" w:cs="Arial"/>
              </w:rPr>
              <w:t>effectively practice CSR within all active global markets</w:t>
            </w:r>
            <w:r w:rsidR="00A926B7" w:rsidRPr="00851192">
              <w:rPr>
                <w:rFonts w:ascii="Arial" w:hAnsi="Arial" w:cs="Arial"/>
              </w:rPr>
              <w:t>.</w:t>
            </w:r>
          </w:p>
        </w:tc>
        <w:tc>
          <w:tcPr>
            <w:tcW w:w="1701" w:type="dxa"/>
          </w:tcPr>
          <w:p w14:paraId="7833B683" w14:textId="7DEAE5AA" w:rsidR="00635780" w:rsidRPr="00851192" w:rsidRDefault="00635780" w:rsidP="008920E3">
            <w:pPr>
              <w:rPr>
                <w:rFonts w:ascii="Arial" w:hAnsi="Arial" w:cs="Arial"/>
              </w:rPr>
            </w:pPr>
            <w:r w:rsidRPr="00851192">
              <w:rPr>
                <w:rFonts w:ascii="Arial" w:hAnsi="Arial" w:cs="Arial"/>
              </w:rPr>
              <w:t xml:space="preserve">Bet365 – </w:t>
            </w:r>
            <w:r w:rsidR="005B4206" w:rsidRPr="00851192">
              <w:rPr>
                <w:rFonts w:ascii="Arial" w:hAnsi="Arial" w:cs="Arial"/>
              </w:rPr>
              <w:t>1</w:t>
            </w:r>
          </w:p>
          <w:p w14:paraId="72EDBD8B" w14:textId="6A79181D" w:rsidR="00635780" w:rsidRPr="00851192" w:rsidRDefault="00635780" w:rsidP="008920E3">
            <w:pPr>
              <w:rPr>
                <w:rFonts w:ascii="Arial" w:hAnsi="Arial" w:cs="Arial"/>
              </w:rPr>
            </w:pPr>
            <w:proofErr w:type="spellStart"/>
            <w:r w:rsidRPr="00851192">
              <w:rPr>
                <w:rFonts w:ascii="Arial" w:hAnsi="Arial" w:cs="Arial"/>
              </w:rPr>
              <w:t>Bwin</w:t>
            </w:r>
            <w:proofErr w:type="spellEnd"/>
            <w:r w:rsidRPr="00851192">
              <w:rPr>
                <w:rFonts w:ascii="Arial" w:hAnsi="Arial" w:cs="Arial"/>
              </w:rPr>
              <w:t xml:space="preserve"> – </w:t>
            </w:r>
            <w:r w:rsidR="005B4206" w:rsidRPr="00851192">
              <w:rPr>
                <w:rFonts w:ascii="Arial" w:hAnsi="Arial" w:cs="Arial"/>
              </w:rPr>
              <w:t>1</w:t>
            </w:r>
          </w:p>
          <w:p w14:paraId="258D6460" w14:textId="3EF77E72" w:rsidR="00635780" w:rsidRPr="00851192" w:rsidRDefault="00635780" w:rsidP="005B4206">
            <w:pPr>
              <w:rPr>
                <w:rFonts w:ascii="Arial" w:hAnsi="Arial" w:cs="Arial"/>
              </w:rPr>
            </w:pPr>
            <w:r w:rsidRPr="00851192">
              <w:rPr>
                <w:rFonts w:ascii="Arial" w:hAnsi="Arial" w:cs="Arial"/>
              </w:rPr>
              <w:t xml:space="preserve">Asia Gaming – </w:t>
            </w:r>
            <w:r w:rsidR="005B4206" w:rsidRPr="00851192">
              <w:rPr>
                <w:rFonts w:ascii="Arial" w:hAnsi="Arial" w:cs="Arial"/>
              </w:rPr>
              <w:t>1</w:t>
            </w:r>
          </w:p>
        </w:tc>
      </w:tr>
      <w:tr w:rsidR="00635780" w:rsidRPr="00851192" w14:paraId="7559F69F" w14:textId="77777777" w:rsidTr="008920E3">
        <w:tc>
          <w:tcPr>
            <w:tcW w:w="1237" w:type="dxa"/>
          </w:tcPr>
          <w:p w14:paraId="7651763E" w14:textId="77777777" w:rsidR="00635780" w:rsidRPr="00851192" w:rsidRDefault="00635780" w:rsidP="008920E3">
            <w:pPr>
              <w:jc w:val="center"/>
              <w:rPr>
                <w:rFonts w:ascii="Arial" w:hAnsi="Arial" w:cs="Arial"/>
              </w:rPr>
            </w:pPr>
            <w:r w:rsidRPr="00851192">
              <w:rPr>
                <w:rFonts w:ascii="Arial" w:hAnsi="Arial" w:cs="Arial"/>
              </w:rPr>
              <w:t>Con2</w:t>
            </w:r>
            <w:r w:rsidRPr="00851192">
              <w:rPr>
                <w:rFonts w:ascii="Arial" w:hAnsi="Arial" w:cs="Arial"/>
              </w:rPr>
              <w:br/>
              <w:t>(h)</w:t>
            </w:r>
          </w:p>
        </w:tc>
        <w:tc>
          <w:tcPr>
            <w:tcW w:w="1372" w:type="dxa"/>
          </w:tcPr>
          <w:p w14:paraId="2E320D74" w14:textId="77777777" w:rsidR="00635780" w:rsidRPr="00851192" w:rsidRDefault="00635780" w:rsidP="008920E3">
            <w:pPr>
              <w:jc w:val="center"/>
              <w:rPr>
                <w:rFonts w:ascii="Arial" w:hAnsi="Arial" w:cs="Arial"/>
              </w:rPr>
            </w:pPr>
            <w:r w:rsidRPr="00851192">
              <w:rPr>
                <w:rFonts w:ascii="Arial" w:hAnsi="Arial" w:cs="Arial"/>
              </w:rPr>
              <w:t>Consumer</w:t>
            </w:r>
          </w:p>
        </w:tc>
        <w:tc>
          <w:tcPr>
            <w:tcW w:w="4757" w:type="dxa"/>
          </w:tcPr>
          <w:p w14:paraId="513AE864" w14:textId="360B0425" w:rsidR="00635780" w:rsidRPr="00851192" w:rsidRDefault="004F0DB4" w:rsidP="00DB34F4">
            <w:pPr>
              <w:rPr>
                <w:rFonts w:ascii="Arial" w:hAnsi="Arial" w:cs="Arial"/>
              </w:rPr>
            </w:pPr>
            <w:r w:rsidRPr="00851192">
              <w:rPr>
                <w:rFonts w:ascii="Arial" w:hAnsi="Arial" w:cs="Arial"/>
              </w:rPr>
              <w:t>GGO’s</w:t>
            </w:r>
            <w:r w:rsidR="00635780" w:rsidRPr="00851192">
              <w:rPr>
                <w:rFonts w:ascii="Arial" w:hAnsi="Arial" w:cs="Arial"/>
              </w:rPr>
              <w:t xml:space="preserve"> </w:t>
            </w:r>
            <w:r w:rsidR="00DB34F4" w:rsidRPr="00851192">
              <w:rPr>
                <w:rFonts w:ascii="Arial" w:hAnsi="Arial" w:cs="Arial"/>
              </w:rPr>
              <w:t>claim</w:t>
            </w:r>
            <w:r w:rsidR="005B4206" w:rsidRPr="00851192">
              <w:rPr>
                <w:rFonts w:ascii="Arial" w:hAnsi="Arial" w:cs="Arial"/>
              </w:rPr>
              <w:t xml:space="preserve"> that they </w:t>
            </w:r>
            <w:r w:rsidR="00635780" w:rsidRPr="00851192">
              <w:rPr>
                <w:rFonts w:ascii="Arial" w:hAnsi="Arial" w:cs="Arial"/>
              </w:rPr>
              <w:t>effectively practice CSR within global markets whereby legislation or movements associated with problem gambling or cultural beliefs</w:t>
            </w:r>
            <w:r w:rsidR="00A926B7" w:rsidRPr="00851192">
              <w:rPr>
                <w:rFonts w:ascii="Arial" w:hAnsi="Arial" w:cs="Arial"/>
              </w:rPr>
              <w:t>.</w:t>
            </w:r>
          </w:p>
        </w:tc>
        <w:tc>
          <w:tcPr>
            <w:tcW w:w="1701" w:type="dxa"/>
          </w:tcPr>
          <w:p w14:paraId="5BF22895" w14:textId="3779AFD5" w:rsidR="00635780" w:rsidRPr="00851192" w:rsidRDefault="00635780" w:rsidP="008920E3">
            <w:pPr>
              <w:rPr>
                <w:rFonts w:ascii="Arial" w:hAnsi="Arial" w:cs="Arial"/>
              </w:rPr>
            </w:pPr>
            <w:r w:rsidRPr="00851192">
              <w:rPr>
                <w:rFonts w:ascii="Arial" w:hAnsi="Arial" w:cs="Arial"/>
              </w:rPr>
              <w:t>Bet365 – 1</w:t>
            </w:r>
          </w:p>
          <w:p w14:paraId="740BB750" w14:textId="77777777" w:rsidR="00635780" w:rsidRPr="00851192" w:rsidRDefault="00635780" w:rsidP="008920E3">
            <w:pPr>
              <w:rPr>
                <w:rFonts w:ascii="Arial" w:hAnsi="Arial" w:cs="Arial"/>
              </w:rPr>
            </w:pPr>
            <w:proofErr w:type="spellStart"/>
            <w:r w:rsidRPr="00851192">
              <w:rPr>
                <w:rFonts w:ascii="Arial" w:hAnsi="Arial" w:cs="Arial"/>
              </w:rPr>
              <w:t>Bwin</w:t>
            </w:r>
            <w:proofErr w:type="spellEnd"/>
            <w:r w:rsidRPr="00851192">
              <w:rPr>
                <w:rFonts w:ascii="Arial" w:hAnsi="Arial" w:cs="Arial"/>
              </w:rPr>
              <w:t xml:space="preserve"> – 1</w:t>
            </w:r>
          </w:p>
          <w:p w14:paraId="00847A71" w14:textId="77777777" w:rsidR="00635780" w:rsidRPr="00851192" w:rsidRDefault="00635780" w:rsidP="008920E3">
            <w:pPr>
              <w:rPr>
                <w:rFonts w:ascii="Arial" w:hAnsi="Arial" w:cs="Arial"/>
              </w:rPr>
            </w:pPr>
            <w:r w:rsidRPr="00851192">
              <w:rPr>
                <w:rFonts w:ascii="Arial" w:hAnsi="Arial" w:cs="Arial"/>
              </w:rPr>
              <w:t>Asia Gaming – 1</w:t>
            </w:r>
          </w:p>
        </w:tc>
      </w:tr>
      <w:tr w:rsidR="00635780" w:rsidRPr="00851192" w14:paraId="62820EFE" w14:textId="77777777" w:rsidTr="008920E3">
        <w:tc>
          <w:tcPr>
            <w:tcW w:w="1237" w:type="dxa"/>
          </w:tcPr>
          <w:p w14:paraId="17572D19" w14:textId="77777777" w:rsidR="00635780" w:rsidRPr="00851192" w:rsidRDefault="00635780" w:rsidP="008920E3">
            <w:pPr>
              <w:jc w:val="center"/>
              <w:rPr>
                <w:rFonts w:ascii="Arial" w:hAnsi="Arial" w:cs="Arial"/>
              </w:rPr>
            </w:pPr>
            <w:r w:rsidRPr="00851192">
              <w:rPr>
                <w:rFonts w:ascii="Arial" w:hAnsi="Arial" w:cs="Arial"/>
              </w:rPr>
              <w:t>Con3</w:t>
            </w:r>
            <w:r w:rsidRPr="00851192">
              <w:rPr>
                <w:rFonts w:ascii="Arial" w:hAnsi="Arial" w:cs="Arial"/>
              </w:rPr>
              <w:br/>
              <w:t>(</w:t>
            </w:r>
            <w:proofErr w:type="spellStart"/>
            <w:r w:rsidRPr="00851192">
              <w:rPr>
                <w:rFonts w:ascii="Arial" w:hAnsi="Arial" w:cs="Arial"/>
              </w:rPr>
              <w:t>a,c,d,f,h</w:t>
            </w:r>
            <w:proofErr w:type="spellEnd"/>
            <w:r w:rsidRPr="00851192">
              <w:rPr>
                <w:rFonts w:ascii="Arial" w:hAnsi="Arial" w:cs="Arial"/>
              </w:rPr>
              <w:t>)</w:t>
            </w:r>
          </w:p>
        </w:tc>
        <w:tc>
          <w:tcPr>
            <w:tcW w:w="1372" w:type="dxa"/>
          </w:tcPr>
          <w:p w14:paraId="0669D65A" w14:textId="77777777" w:rsidR="00635780" w:rsidRPr="00851192" w:rsidRDefault="00635780" w:rsidP="008920E3">
            <w:pPr>
              <w:jc w:val="center"/>
              <w:rPr>
                <w:rFonts w:ascii="Arial" w:hAnsi="Arial" w:cs="Arial"/>
              </w:rPr>
            </w:pPr>
            <w:r w:rsidRPr="00851192">
              <w:rPr>
                <w:rFonts w:ascii="Arial" w:hAnsi="Arial" w:cs="Arial"/>
              </w:rPr>
              <w:t>Consumer</w:t>
            </w:r>
          </w:p>
        </w:tc>
        <w:tc>
          <w:tcPr>
            <w:tcW w:w="4757" w:type="dxa"/>
          </w:tcPr>
          <w:p w14:paraId="2550EC00" w14:textId="2BAA0EEA" w:rsidR="00635780" w:rsidRPr="00851192" w:rsidRDefault="004F0DB4" w:rsidP="00DB34F4">
            <w:pPr>
              <w:rPr>
                <w:rFonts w:ascii="Arial" w:hAnsi="Arial" w:cs="Arial"/>
              </w:rPr>
            </w:pPr>
            <w:r w:rsidRPr="00851192">
              <w:rPr>
                <w:rFonts w:ascii="Arial" w:hAnsi="Arial" w:cs="Arial"/>
              </w:rPr>
              <w:t>GGO’s</w:t>
            </w:r>
            <w:r w:rsidR="00635780" w:rsidRPr="00851192">
              <w:rPr>
                <w:rFonts w:ascii="Arial" w:hAnsi="Arial" w:cs="Arial"/>
              </w:rPr>
              <w:t xml:space="preserve"> </w:t>
            </w:r>
            <w:r w:rsidR="00DB34F4" w:rsidRPr="00851192">
              <w:rPr>
                <w:rFonts w:ascii="Arial" w:hAnsi="Arial" w:cs="Arial"/>
              </w:rPr>
              <w:t xml:space="preserve">claim they </w:t>
            </w:r>
            <w:r w:rsidR="00635780" w:rsidRPr="00851192">
              <w:rPr>
                <w:rFonts w:ascii="Arial" w:hAnsi="Arial" w:cs="Arial"/>
              </w:rPr>
              <w:t xml:space="preserve">have effective means of communication on websites towards the issues associated with </w:t>
            </w:r>
            <w:r w:rsidR="00A926B7" w:rsidRPr="00851192">
              <w:rPr>
                <w:rFonts w:ascii="Arial" w:hAnsi="Arial" w:cs="Arial"/>
              </w:rPr>
              <w:t>PG.</w:t>
            </w:r>
          </w:p>
        </w:tc>
        <w:tc>
          <w:tcPr>
            <w:tcW w:w="1701" w:type="dxa"/>
          </w:tcPr>
          <w:p w14:paraId="2C7A8368" w14:textId="525B48A2" w:rsidR="00635780" w:rsidRPr="00851192" w:rsidRDefault="00635780" w:rsidP="008920E3">
            <w:pPr>
              <w:rPr>
                <w:rFonts w:ascii="Arial" w:hAnsi="Arial" w:cs="Arial"/>
              </w:rPr>
            </w:pPr>
            <w:r w:rsidRPr="00851192">
              <w:rPr>
                <w:rFonts w:ascii="Arial" w:hAnsi="Arial" w:cs="Arial"/>
              </w:rPr>
              <w:t>Bet365 – 1</w:t>
            </w:r>
          </w:p>
          <w:p w14:paraId="73100A97" w14:textId="77777777" w:rsidR="00635780" w:rsidRPr="00851192" w:rsidRDefault="00635780" w:rsidP="008920E3">
            <w:pPr>
              <w:rPr>
                <w:rFonts w:ascii="Arial" w:hAnsi="Arial" w:cs="Arial"/>
              </w:rPr>
            </w:pPr>
            <w:proofErr w:type="spellStart"/>
            <w:r w:rsidRPr="00851192">
              <w:rPr>
                <w:rFonts w:ascii="Arial" w:hAnsi="Arial" w:cs="Arial"/>
              </w:rPr>
              <w:t>Bwin</w:t>
            </w:r>
            <w:proofErr w:type="spellEnd"/>
            <w:r w:rsidRPr="00851192">
              <w:rPr>
                <w:rFonts w:ascii="Arial" w:hAnsi="Arial" w:cs="Arial"/>
              </w:rPr>
              <w:t xml:space="preserve"> – 1</w:t>
            </w:r>
          </w:p>
          <w:p w14:paraId="49732C94" w14:textId="77777777" w:rsidR="00635780" w:rsidRPr="00851192" w:rsidRDefault="00635780" w:rsidP="008920E3">
            <w:pPr>
              <w:rPr>
                <w:rFonts w:ascii="Arial" w:hAnsi="Arial" w:cs="Arial"/>
              </w:rPr>
            </w:pPr>
            <w:r w:rsidRPr="00851192">
              <w:rPr>
                <w:rFonts w:ascii="Arial" w:hAnsi="Arial" w:cs="Arial"/>
              </w:rPr>
              <w:t>Asia Gaming – 1</w:t>
            </w:r>
          </w:p>
        </w:tc>
      </w:tr>
      <w:tr w:rsidR="00635780" w:rsidRPr="00851192" w14:paraId="3F85FA6F" w14:textId="77777777" w:rsidTr="008920E3">
        <w:tc>
          <w:tcPr>
            <w:tcW w:w="1237" w:type="dxa"/>
          </w:tcPr>
          <w:p w14:paraId="32860F53" w14:textId="77777777" w:rsidR="00635780" w:rsidRPr="00851192" w:rsidRDefault="00635780" w:rsidP="008920E3">
            <w:pPr>
              <w:jc w:val="center"/>
              <w:rPr>
                <w:rFonts w:ascii="Arial" w:hAnsi="Arial" w:cs="Arial"/>
              </w:rPr>
            </w:pPr>
            <w:r w:rsidRPr="00851192">
              <w:rPr>
                <w:rFonts w:ascii="Arial" w:hAnsi="Arial" w:cs="Arial"/>
              </w:rPr>
              <w:t>Con4</w:t>
            </w:r>
            <w:r w:rsidRPr="00851192">
              <w:rPr>
                <w:rFonts w:ascii="Arial" w:hAnsi="Arial" w:cs="Arial"/>
              </w:rPr>
              <w:br/>
              <w:t>(</w:t>
            </w:r>
            <w:proofErr w:type="spellStart"/>
            <w:r w:rsidRPr="00851192">
              <w:rPr>
                <w:rFonts w:ascii="Arial" w:hAnsi="Arial" w:cs="Arial"/>
              </w:rPr>
              <w:t>b,d,f</w:t>
            </w:r>
            <w:proofErr w:type="spellEnd"/>
            <w:r w:rsidRPr="00851192">
              <w:rPr>
                <w:rFonts w:ascii="Arial" w:hAnsi="Arial" w:cs="Arial"/>
              </w:rPr>
              <w:t>)</w:t>
            </w:r>
          </w:p>
        </w:tc>
        <w:tc>
          <w:tcPr>
            <w:tcW w:w="1372" w:type="dxa"/>
          </w:tcPr>
          <w:p w14:paraId="5C06AFF4" w14:textId="77777777" w:rsidR="00635780" w:rsidRPr="00851192" w:rsidRDefault="00635780" w:rsidP="008920E3">
            <w:pPr>
              <w:jc w:val="center"/>
              <w:rPr>
                <w:rFonts w:ascii="Arial" w:hAnsi="Arial" w:cs="Arial"/>
              </w:rPr>
            </w:pPr>
            <w:r w:rsidRPr="00851192">
              <w:rPr>
                <w:rFonts w:ascii="Arial" w:hAnsi="Arial" w:cs="Arial"/>
              </w:rPr>
              <w:t>Consumer</w:t>
            </w:r>
          </w:p>
        </w:tc>
        <w:tc>
          <w:tcPr>
            <w:tcW w:w="4757" w:type="dxa"/>
          </w:tcPr>
          <w:p w14:paraId="07990474" w14:textId="53D42D57" w:rsidR="00635780" w:rsidRPr="00851192" w:rsidRDefault="004F0DB4" w:rsidP="008920E3">
            <w:pPr>
              <w:rPr>
                <w:rFonts w:ascii="Arial" w:hAnsi="Arial" w:cs="Arial"/>
              </w:rPr>
            </w:pPr>
            <w:r w:rsidRPr="00851192">
              <w:rPr>
                <w:rFonts w:ascii="Arial" w:hAnsi="Arial" w:cs="Arial"/>
              </w:rPr>
              <w:t>GGO’s</w:t>
            </w:r>
            <w:r w:rsidR="00635780" w:rsidRPr="00851192">
              <w:rPr>
                <w:rFonts w:ascii="Arial" w:hAnsi="Arial" w:cs="Arial"/>
              </w:rPr>
              <w:t xml:space="preserve"> makes an effort to identify consumer needs within all active international markets through CSR communication</w:t>
            </w:r>
            <w:r w:rsidR="00A926B7" w:rsidRPr="00851192">
              <w:rPr>
                <w:rFonts w:ascii="Arial" w:hAnsi="Arial" w:cs="Arial"/>
              </w:rPr>
              <w:t>.</w:t>
            </w:r>
          </w:p>
        </w:tc>
        <w:tc>
          <w:tcPr>
            <w:tcW w:w="1701" w:type="dxa"/>
          </w:tcPr>
          <w:p w14:paraId="144C7D55" w14:textId="12FE48EB" w:rsidR="00635780" w:rsidRPr="00851192" w:rsidRDefault="00635780" w:rsidP="008920E3">
            <w:pPr>
              <w:rPr>
                <w:rFonts w:ascii="Arial" w:hAnsi="Arial" w:cs="Arial"/>
              </w:rPr>
            </w:pPr>
            <w:r w:rsidRPr="00851192">
              <w:rPr>
                <w:rFonts w:ascii="Arial" w:hAnsi="Arial" w:cs="Arial"/>
              </w:rPr>
              <w:t>Bet365 – 0</w:t>
            </w:r>
          </w:p>
          <w:p w14:paraId="5570D947" w14:textId="77777777" w:rsidR="00635780" w:rsidRPr="00851192" w:rsidRDefault="00635780" w:rsidP="008920E3">
            <w:pPr>
              <w:rPr>
                <w:rFonts w:ascii="Arial" w:hAnsi="Arial" w:cs="Arial"/>
              </w:rPr>
            </w:pPr>
            <w:proofErr w:type="spellStart"/>
            <w:r w:rsidRPr="00851192">
              <w:rPr>
                <w:rFonts w:ascii="Arial" w:hAnsi="Arial" w:cs="Arial"/>
              </w:rPr>
              <w:t>Bwin</w:t>
            </w:r>
            <w:proofErr w:type="spellEnd"/>
            <w:r w:rsidRPr="00851192">
              <w:rPr>
                <w:rFonts w:ascii="Arial" w:hAnsi="Arial" w:cs="Arial"/>
              </w:rPr>
              <w:t xml:space="preserve"> – 0</w:t>
            </w:r>
          </w:p>
          <w:p w14:paraId="654C69DC" w14:textId="77777777" w:rsidR="00635780" w:rsidRPr="00851192" w:rsidRDefault="00635780" w:rsidP="008920E3">
            <w:pPr>
              <w:rPr>
                <w:rFonts w:ascii="Arial" w:hAnsi="Arial" w:cs="Arial"/>
              </w:rPr>
            </w:pPr>
            <w:r w:rsidRPr="00851192">
              <w:rPr>
                <w:rFonts w:ascii="Arial" w:hAnsi="Arial" w:cs="Arial"/>
              </w:rPr>
              <w:t>Asia Gaming – 0</w:t>
            </w:r>
          </w:p>
        </w:tc>
      </w:tr>
      <w:tr w:rsidR="00635780" w:rsidRPr="00851192" w14:paraId="6193B1A2" w14:textId="77777777" w:rsidTr="008920E3">
        <w:tc>
          <w:tcPr>
            <w:tcW w:w="1237" w:type="dxa"/>
          </w:tcPr>
          <w:p w14:paraId="11E5422E" w14:textId="77777777" w:rsidR="00635780" w:rsidRPr="00851192" w:rsidRDefault="00635780" w:rsidP="008920E3">
            <w:pPr>
              <w:jc w:val="center"/>
              <w:rPr>
                <w:rFonts w:ascii="Arial" w:hAnsi="Arial" w:cs="Arial"/>
              </w:rPr>
            </w:pPr>
            <w:r w:rsidRPr="00851192">
              <w:rPr>
                <w:rFonts w:ascii="Arial" w:hAnsi="Arial" w:cs="Arial"/>
              </w:rPr>
              <w:t>Con5</w:t>
            </w:r>
            <w:r w:rsidRPr="00851192">
              <w:rPr>
                <w:rFonts w:ascii="Arial" w:hAnsi="Arial" w:cs="Arial"/>
              </w:rPr>
              <w:br/>
              <w:t>(</w:t>
            </w:r>
            <w:proofErr w:type="spellStart"/>
            <w:r w:rsidRPr="00851192">
              <w:rPr>
                <w:rFonts w:ascii="Arial" w:hAnsi="Arial" w:cs="Arial"/>
              </w:rPr>
              <w:t>b,d,f</w:t>
            </w:r>
            <w:proofErr w:type="spellEnd"/>
            <w:r w:rsidRPr="00851192">
              <w:rPr>
                <w:rFonts w:ascii="Arial" w:hAnsi="Arial" w:cs="Arial"/>
              </w:rPr>
              <w:t>)</w:t>
            </w:r>
          </w:p>
        </w:tc>
        <w:tc>
          <w:tcPr>
            <w:tcW w:w="1372" w:type="dxa"/>
          </w:tcPr>
          <w:p w14:paraId="232887A0" w14:textId="77777777" w:rsidR="00635780" w:rsidRPr="00851192" w:rsidRDefault="00635780" w:rsidP="008920E3">
            <w:pPr>
              <w:jc w:val="center"/>
              <w:rPr>
                <w:rFonts w:ascii="Arial" w:hAnsi="Arial" w:cs="Arial"/>
              </w:rPr>
            </w:pPr>
            <w:r w:rsidRPr="00851192">
              <w:rPr>
                <w:rFonts w:ascii="Arial" w:hAnsi="Arial" w:cs="Arial"/>
              </w:rPr>
              <w:t>Consumer</w:t>
            </w:r>
          </w:p>
        </w:tc>
        <w:tc>
          <w:tcPr>
            <w:tcW w:w="4757" w:type="dxa"/>
          </w:tcPr>
          <w:p w14:paraId="64E7BF58" w14:textId="6C13EF67" w:rsidR="00635780" w:rsidRPr="00851192" w:rsidRDefault="004F0DB4" w:rsidP="008920E3">
            <w:pPr>
              <w:rPr>
                <w:rFonts w:ascii="Arial" w:hAnsi="Arial" w:cs="Arial"/>
              </w:rPr>
            </w:pPr>
            <w:r w:rsidRPr="00851192">
              <w:rPr>
                <w:rFonts w:ascii="Arial" w:hAnsi="Arial" w:cs="Arial"/>
              </w:rPr>
              <w:t>GGO’s make</w:t>
            </w:r>
            <w:r w:rsidR="00635780" w:rsidRPr="00851192">
              <w:rPr>
                <w:rFonts w:ascii="Arial" w:hAnsi="Arial" w:cs="Arial"/>
              </w:rPr>
              <w:t xml:space="preserve"> an effort to identify consumer needs within active international markets whereby legislation or movements are implemented to </w:t>
            </w:r>
            <w:proofErr w:type="gramStart"/>
            <w:r w:rsidR="00635780" w:rsidRPr="00851192">
              <w:rPr>
                <w:rFonts w:ascii="Arial" w:hAnsi="Arial" w:cs="Arial"/>
              </w:rPr>
              <w:t>associated</w:t>
            </w:r>
            <w:proofErr w:type="gramEnd"/>
            <w:r w:rsidR="00635780" w:rsidRPr="00851192">
              <w:rPr>
                <w:rFonts w:ascii="Arial" w:hAnsi="Arial" w:cs="Arial"/>
              </w:rPr>
              <w:t xml:space="preserve"> with </w:t>
            </w:r>
            <w:r w:rsidR="00A926B7" w:rsidRPr="00851192">
              <w:rPr>
                <w:rFonts w:ascii="Arial" w:hAnsi="Arial" w:cs="Arial"/>
              </w:rPr>
              <w:t>PG</w:t>
            </w:r>
            <w:r w:rsidR="00635780" w:rsidRPr="00851192">
              <w:rPr>
                <w:rFonts w:ascii="Arial" w:hAnsi="Arial" w:cs="Arial"/>
              </w:rPr>
              <w:t xml:space="preserve"> or cultural beliefs through effective means of CSR communication</w:t>
            </w:r>
            <w:r w:rsidR="00A926B7" w:rsidRPr="00851192">
              <w:rPr>
                <w:rFonts w:ascii="Arial" w:hAnsi="Arial" w:cs="Arial"/>
              </w:rPr>
              <w:t>.</w:t>
            </w:r>
          </w:p>
        </w:tc>
        <w:tc>
          <w:tcPr>
            <w:tcW w:w="1701" w:type="dxa"/>
          </w:tcPr>
          <w:p w14:paraId="29A471FB" w14:textId="40401F96" w:rsidR="00635780" w:rsidRPr="00851192" w:rsidRDefault="00635780" w:rsidP="008920E3">
            <w:pPr>
              <w:rPr>
                <w:rFonts w:ascii="Arial" w:hAnsi="Arial" w:cs="Arial"/>
              </w:rPr>
            </w:pPr>
            <w:r w:rsidRPr="00851192">
              <w:rPr>
                <w:rFonts w:ascii="Arial" w:hAnsi="Arial" w:cs="Arial"/>
              </w:rPr>
              <w:t>Bet365 – 1</w:t>
            </w:r>
          </w:p>
          <w:p w14:paraId="24B569F3" w14:textId="77777777" w:rsidR="00635780" w:rsidRPr="00851192" w:rsidRDefault="00635780" w:rsidP="008920E3">
            <w:pPr>
              <w:rPr>
                <w:rFonts w:ascii="Arial" w:hAnsi="Arial" w:cs="Arial"/>
              </w:rPr>
            </w:pPr>
            <w:proofErr w:type="spellStart"/>
            <w:r w:rsidRPr="00851192">
              <w:rPr>
                <w:rFonts w:ascii="Arial" w:hAnsi="Arial" w:cs="Arial"/>
              </w:rPr>
              <w:t>Bwin</w:t>
            </w:r>
            <w:proofErr w:type="spellEnd"/>
            <w:r w:rsidRPr="00851192">
              <w:rPr>
                <w:rFonts w:ascii="Arial" w:hAnsi="Arial" w:cs="Arial"/>
              </w:rPr>
              <w:t xml:space="preserve"> – 1</w:t>
            </w:r>
          </w:p>
          <w:p w14:paraId="5EAE58DB" w14:textId="77777777" w:rsidR="00635780" w:rsidRPr="00851192" w:rsidRDefault="00635780" w:rsidP="008920E3">
            <w:pPr>
              <w:rPr>
                <w:rFonts w:ascii="Arial" w:hAnsi="Arial" w:cs="Arial"/>
              </w:rPr>
            </w:pPr>
            <w:r w:rsidRPr="00851192">
              <w:rPr>
                <w:rFonts w:ascii="Arial" w:hAnsi="Arial" w:cs="Arial"/>
              </w:rPr>
              <w:t>Asia Gaming – 1</w:t>
            </w:r>
          </w:p>
        </w:tc>
      </w:tr>
      <w:tr w:rsidR="00635780" w:rsidRPr="00851192" w14:paraId="0C491151" w14:textId="77777777" w:rsidTr="008920E3">
        <w:tc>
          <w:tcPr>
            <w:tcW w:w="1237" w:type="dxa"/>
          </w:tcPr>
          <w:p w14:paraId="7A127927" w14:textId="77777777" w:rsidR="00635780" w:rsidRPr="00851192" w:rsidRDefault="00635780" w:rsidP="008920E3">
            <w:pPr>
              <w:jc w:val="center"/>
              <w:rPr>
                <w:rFonts w:ascii="Arial" w:hAnsi="Arial" w:cs="Arial"/>
              </w:rPr>
            </w:pPr>
            <w:r w:rsidRPr="00851192">
              <w:rPr>
                <w:rFonts w:ascii="Arial" w:hAnsi="Arial" w:cs="Arial"/>
              </w:rPr>
              <w:t>Con6</w:t>
            </w:r>
            <w:r w:rsidRPr="00851192">
              <w:rPr>
                <w:rFonts w:ascii="Arial" w:hAnsi="Arial" w:cs="Arial"/>
              </w:rPr>
              <w:br/>
              <w:t>(b)</w:t>
            </w:r>
          </w:p>
        </w:tc>
        <w:tc>
          <w:tcPr>
            <w:tcW w:w="1372" w:type="dxa"/>
          </w:tcPr>
          <w:p w14:paraId="31BEBD30" w14:textId="77777777" w:rsidR="00635780" w:rsidRPr="00851192" w:rsidRDefault="00635780" w:rsidP="008920E3">
            <w:pPr>
              <w:jc w:val="center"/>
              <w:rPr>
                <w:rFonts w:ascii="Arial" w:hAnsi="Arial" w:cs="Arial"/>
              </w:rPr>
            </w:pPr>
            <w:r w:rsidRPr="00851192">
              <w:rPr>
                <w:rFonts w:ascii="Arial" w:hAnsi="Arial" w:cs="Arial"/>
              </w:rPr>
              <w:t>Consumer</w:t>
            </w:r>
          </w:p>
        </w:tc>
        <w:tc>
          <w:tcPr>
            <w:tcW w:w="4757" w:type="dxa"/>
          </w:tcPr>
          <w:p w14:paraId="7D6CA330" w14:textId="2A9055FC" w:rsidR="00635780" w:rsidRPr="00851192" w:rsidRDefault="004F0DB4" w:rsidP="004F0DB4">
            <w:pPr>
              <w:rPr>
                <w:rFonts w:ascii="Arial" w:hAnsi="Arial" w:cs="Arial"/>
              </w:rPr>
            </w:pPr>
            <w:r w:rsidRPr="00851192">
              <w:rPr>
                <w:rFonts w:ascii="Arial" w:hAnsi="Arial" w:cs="Arial"/>
              </w:rPr>
              <w:t>GGO</w:t>
            </w:r>
            <w:r w:rsidR="00635780" w:rsidRPr="00851192">
              <w:rPr>
                <w:rFonts w:ascii="Arial" w:hAnsi="Arial" w:cs="Arial"/>
              </w:rPr>
              <w:t xml:space="preserve"> use social media for communication</w:t>
            </w:r>
            <w:r w:rsidR="00A926B7" w:rsidRPr="00851192">
              <w:rPr>
                <w:rFonts w:ascii="Arial" w:hAnsi="Arial" w:cs="Arial"/>
              </w:rPr>
              <w:t>.</w:t>
            </w:r>
          </w:p>
        </w:tc>
        <w:tc>
          <w:tcPr>
            <w:tcW w:w="1701" w:type="dxa"/>
          </w:tcPr>
          <w:p w14:paraId="4BBD76F3" w14:textId="77088A84" w:rsidR="00635780" w:rsidRPr="00851192" w:rsidRDefault="00635780" w:rsidP="008920E3">
            <w:pPr>
              <w:rPr>
                <w:rFonts w:ascii="Arial" w:hAnsi="Arial" w:cs="Arial"/>
              </w:rPr>
            </w:pPr>
            <w:r w:rsidRPr="00851192">
              <w:rPr>
                <w:rFonts w:ascii="Arial" w:hAnsi="Arial" w:cs="Arial"/>
              </w:rPr>
              <w:t>Bet365 – 1</w:t>
            </w:r>
          </w:p>
          <w:p w14:paraId="3E8934B3" w14:textId="77777777" w:rsidR="00635780" w:rsidRPr="00851192" w:rsidRDefault="00635780" w:rsidP="008920E3">
            <w:pPr>
              <w:rPr>
                <w:rFonts w:ascii="Arial" w:hAnsi="Arial" w:cs="Arial"/>
              </w:rPr>
            </w:pPr>
            <w:proofErr w:type="spellStart"/>
            <w:r w:rsidRPr="00851192">
              <w:rPr>
                <w:rFonts w:ascii="Arial" w:hAnsi="Arial" w:cs="Arial"/>
              </w:rPr>
              <w:t>Bwin</w:t>
            </w:r>
            <w:proofErr w:type="spellEnd"/>
            <w:r w:rsidRPr="00851192">
              <w:rPr>
                <w:rFonts w:ascii="Arial" w:hAnsi="Arial" w:cs="Arial"/>
              </w:rPr>
              <w:t xml:space="preserve"> – 1</w:t>
            </w:r>
          </w:p>
          <w:p w14:paraId="30B78A80" w14:textId="77777777" w:rsidR="00635780" w:rsidRPr="00851192" w:rsidRDefault="00635780" w:rsidP="008920E3">
            <w:pPr>
              <w:rPr>
                <w:rFonts w:ascii="Arial" w:hAnsi="Arial" w:cs="Arial"/>
              </w:rPr>
            </w:pPr>
            <w:r w:rsidRPr="00851192">
              <w:rPr>
                <w:rFonts w:ascii="Arial" w:hAnsi="Arial" w:cs="Arial"/>
              </w:rPr>
              <w:t>Asia Gaming – 1</w:t>
            </w:r>
          </w:p>
        </w:tc>
      </w:tr>
      <w:tr w:rsidR="00635780" w:rsidRPr="00851192" w14:paraId="1C0DE33B" w14:textId="77777777" w:rsidTr="008920E3">
        <w:tc>
          <w:tcPr>
            <w:tcW w:w="1237" w:type="dxa"/>
          </w:tcPr>
          <w:p w14:paraId="6A2A0878" w14:textId="77777777" w:rsidR="00635780" w:rsidRPr="00851192" w:rsidRDefault="00635780" w:rsidP="008920E3">
            <w:pPr>
              <w:jc w:val="center"/>
              <w:rPr>
                <w:rFonts w:ascii="Arial" w:hAnsi="Arial" w:cs="Arial"/>
              </w:rPr>
            </w:pPr>
            <w:r w:rsidRPr="00851192">
              <w:rPr>
                <w:rFonts w:ascii="Arial" w:hAnsi="Arial" w:cs="Arial"/>
              </w:rPr>
              <w:t>Con7</w:t>
            </w:r>
            <w:r w:rsidRPr="00851192">
              <w:rPr>
                <w:rFonts w:ascii="Arial" w:hAnsi="Arial" w:cs="Arial"/>
              </w:rPr>
              <w:br/>
              <w:t>(</w:t>
            </w:r>
            <w:proofErr w:type="spellStart"/>
            <w:r w:rsidRPr="00851192">
              <w:rPr>
                <w:rFonts w:ascii="Arial" w:hAnsi="Arial" w:cs="Arial"/>
              </w:rPr>
              <w:t>a,c</w:t>
            </w:r>
            <w:proofErr w:type="spellEnd"/>
            <w:r w:rsidRPr="00851192">
              <w:rPr>
                <w:rFonts w:ascii="Arial" w:hAnsi="Arial" w:cs="Arial"/>
              </w:rPr>
              <w:t>)</w:t>
            </w:r>
            <w:r w:rsidRPr="00851192">
              <w:rPr>
                <w:rFonts w:ascii="Arial" w:hAnsi="Arial" w:cs="Arial"/>
              </w:rPr>
              <w:br/>
            </w:r>
          </w:p>
        </w:tc>
        <w:tc>
          <w:tcPr>
            <w:tcW w:w="1372" w:type="dxa"/>
          </w:tcPr>
          <w:p w14:paraId="6993DEB3" w14:textId="77777777" w:rsidR="00635780" w:rsidRPr="00851192" w:rsidRDefault="00635780" w:rsidP="008920E3">
            <w:pPr>
              <w:jc w:val="center"/>
              <w:rPr>
                <w:rFonts w:ascii="Arial" w:hAnsi="Arial" w:cs="Arial"/>
              </w:rPr>
            </w:pPr>
            <w:r w:rsidRPr="00851192">
              <w:rPr>
                <w:rFonts w:ascii="Arial" w:hAnsi="Arial" w:cs="Arial"/>
              </w:rPr>
              <w:t>Consumer</w:t>
            </w:r>
          </w:p>
        </w:tc>
        <w:tc>
          <w:tcPr>
            <w:tcW w:w="4757" w:type="dxa"/>
          </w:tcPr>
          <w:p w14:paraId="68D36393" w14:textId="20D51B98" w:rsidR="00635780" w:rsidRPr="00851192" w:rsidRDefault="004F0DB4" w:rsidP="008920E3">
            <w:pPr>
              <w:rPr>
                <w:rFonts w:ascii="Arial" w:hAnsi="Arial" w:cs="Arial"/>
              </w:rPr>
            </w:pPr>
            <w:r w:rsidRPr="00851192">
              <w:rPr>
                <w:rFonts w:ascii="Arial" w:hAnsi="Arial" w:cs="Arial"/>
              </w:rPr>
              <w:t>GGO’s</w:t>
            </w:r>
            <w:r w:rsidR="00635780" w:rsidRPr="00851192">
              <w:rPr>
                <w:rFonts w:ascii="Arial" w:hAnsi="Arial" w:cs="Arial"/>
              </w:rPr>
              <w:t xml:space="preserve"> use social media for the intentional use of active campaigns on </w:t>
            </w:r>
            <w:r w:rsidR="00A926B7" w:rsidRPr="00851192">
              <w:rPr>
                <w:rFonts w:ascii="Arial" w:hAnsi="Arial" w:cs="Arial"/>
              </w:rPr>
              <w:t>PG.</w:t>
            </w:r>
          </w:p>
        </w:tc>
        <w:tc>
          <w:tcPr>
            <w:tcW w:w="1701" w:type="dxa"/>
          </w:tcPr>
          <w:p w14:paraId="109FE37C" w14:textId="1DB6DFAB" w:rsidR="00635780" w:rsidRPr="00851192" w:rsidRDefault="00635780" w:rsidP="008920E3">
            <w:pPr>
              <w:rPr>
                <w:rFonts w:ascii="Arial" w:hAnsi="Arial" w:cs="Arial"/>
              </w:rPr>
            </w:pPr>
            <w:r w:rsidRPr="00851192">
              <w:rPr>
                <w:rFonts w:ascii="Arial" w:hAnsi="Arial" w:cs="Arial"/>
              </w:rPr>
              <w:t>Bet365 – 0</w:t>
            </w:r>
          </w:p>
          <w:p w14:paraId="60E6C0CB" w14:textId="77777777" w:rsidR="00635780" w:rsidRPr="00851192" w:rsidRDefault="00635780" w:rsidP="008920E3">
            <w:pPr>
              <w:rPr>
                <w:rFonts w:ascii="Arial" w:hAnsi="Arial" w:cs="Arial"/>
              </w:rPr>
            </w:pPr>
            <w:proofErr w:type="spellStart"/>
            <w:r w:rsidRPr="00851192">
              <w:rPr>
                <w:rFonts w:ascii="Arial" w:hAnsi="Arial" w:cs="Arial"/>
              </w:rPr>
              <w:t>Bwin</w:t>
            </w:r>
            <w:proofErr w:type="spellEnd"/>
            <w:r w:rsidRPr="00851192">
              <w:rPr>
                <w:rFonts w:ascii="Arial" w:hAnsi="Arial" w:cs="Arial"/>
              </w:rPr>
              <w:t xml:space="preserve"> – 0</w:t>
            </w:r>
          </w:p>
          <w:p w14:paraId="0F7F2728" w14:textId="77777777" w:rsidR="00635780" w:rsidRPr="00851192" w:rsidRDefault="00635780" w:rsidP="008920E3">
            <w:pPr>
              <w:rPr>
                <w:rFonts w:ascii="Arial" w:hAnsi="Arial" w:cs="Arial"/>
              </w:rPr>
            </w:pPr>
            <w:r w:rsidRPr="00851192">
              <w:rPr>
                <w:rFonts w:ascii="Arial" w:hAnsi="Arial" w:cs="Arial"/>
              </w:rPr>
              <w:t>Asia Gaming – 0</w:t>
            </w:r>
          </w:p>
        </w:tc>
      </w:tr>
      <w:tr w:rsidR="00635780" w:rsidRPr="00851192" w14:paraId="175BFD31" w14:textId="77777777" w:rsidTr="008920E3">
        <w:tc>
          <w:tcPr>
            <w:tcW w:w="1237" w:type="dxa"/>
          </w:tcPr>
          <w:p w14:paraId="5BD2FCAA" w14:textId="77777777" w:rsidR="00635780" w:rsidRPr="00851192" w:rsidRDefault="00635780" w:rsidP="008920E3">
            <w:pPr>
              <w:jc w:val="center"/>
              <w:rPr>
                <w:rFonts w:ascii="Arial" w:hAnsi="Arial" w:cs="Arial"/>
              </w:rPr>
            </w:pPr>
            <w:r w:rsidRPr="00851192">
              <w:rPr>
                <w:rFonts w:ascii="Arial" w:hAnsi="Arial" w:cs="Arial"/>
              </w:rPr>
              <w:lastRenderedPageBreak/>
              <w:t>Con8</w:t>
            </w:r>
            <w:r w:rsidRPr="00851192">
              <w:rPr>
                <w:rFonts w:ascii="Arial" w:hAnsi="Arial" w:cs="Arial"/>
              </w:rPr>
              <w:br/>
              <w:t>(</w:t>
            </w:r>
            <w:proofErr w:type="spellStart"/>
            <w:r w:rsidRPr="00851192">
              <w:rPr>
                <w:rFonts w:ascii="Arial" w:hAnsi="Arial" w:cs="Arial"/>
              </w:rPr>
              <w:t>b,d</w:t>
            </w:r>
            <w:proofErr w:type="spellEnd"/>
            <w:r w:rsidRPr="00851192">
              <w:rPr>
                <w:rFonts w:ascii="Arial" w:hAnsi="Arial" w:cs="Arial"/>
              </w:rPr>
              <w:t>)</w:t>
            </w:r>
          </w:p>
        </w:tc>
        <w:tc>
          <w:tcPr>
            <w:tcW w:w="1372" w:type="dxa"/>
          </w:tcPr>
          <w:p w14:paraId="4833E25E" w14:textId="77777777" w:rsidR="00635780" w:rsidRPr="00851192" w:rsidRDefault="00635780" w:rsidP="008920E3">
            <w:pPr>
              <w:jc w:val="center"/>
              <w:rPr>
                <w:rFonts w:ascii="Arial" w:hAnsi="Arial" w:cs="Arial"/>
              </w:rPr>
            </w:pPr>
            <w:r w:rsidRPr="00851192">
              <w:rPr>
                <w:rFonts w:ascii="Arial" w:hAnsi="Arial" w:cs="Arial"/>
              </w:rPr>
              <w:t>Consumer</w:t>
            </w:r>
          </w:p>
        </w:tc>
        <w:tc>
          <w:tcPr>
            <w:tcW w:w="4757" w:type="dxa"/>
          </w:tcPr>
          <w:p w14:paraId="09801D79" w14:textId="0F581E7D" w:rsidR="00635780" w:rsidRPr="00851192" w:rsidRDefault="004F0DB4" w:rsidP="008920E3">
            <w:pPr>
              <w:rPr>
                <w:rFonts w:ascii="Arial" w:hAnsi="Arial" w:cs="Arial"/>
              </w:rPr>
            </w:pPr>
            <w:r w:rsidRPr="00851192">
              <w:rPr>
                <w:rFonts w:ascii="Arial" w:hAnsi="Arial" w:cs="Arial"/>
              </w:rPr>
              <w:t>GGO’s</w:t>
            </w:r>
            <w:r w:rsidR="00635780" w:rsidRPr="00851192">
              <w:rPr>
                <w:rFonts w:ascii="Arial" w:hAnsi="Arial" w:cs="Arial"/>
              </w:rPr>
              <w:t xml:space="preserve"> use social media to </w:t>
            </w:r>
            <w:r w:rsidR="00A926B7" w:rsidRPr="00851192">
              <w:rPr>
                <w:rFonts w:ascii="Arial" w:hAnsi="Arial" w:cs="Arial"/>
              </w:rPr>
              <w:t>PG.</w:t>
            </w:r>
          </w:p>
        </w:tc>
        <w:tc>
          <w:tcPr>
            <w:tcW w:w="1701" w:type="dxa"/>
          </w:tcPr>
          <w:p w14:paraId="12F75EF6" w14:textId="0BAF6463" w:rsidR="00635780" w:rsidRPr="00851192" w:rsidRDefault="00635780" w:rsidP="008920E3">
            <w:pPr>
              <w:rPr>
                <w:rFonts w:ascii="Arial" w:hAnsi="Arial" w:cs="Arial"/>
              </w:rPr>
            </w:pPr>
            <w:r w:rsidRPr="00851192">
              <w:rPr>
                <w:rFonts w:ascii="Arial" w:hAnsi="Arial" w:cs="Arial"/>
              </w:rPr>
              <w:t>Bet365 – 1</w:t>
            </w:r>
          </w:p>
          <w:p w14:paraId="3702B917" w14:textId="77777777" w:rsidR="00635780" w:rsidRPr="00851192" w:rsidRDefault="00635780" w:rsidP="008920E3">
            <w:pPr>
              <w:rPr>
                <w:rFonts w:ascii="Arial" w:hAnsi="Arial" w:cs="Arial"/>
              </w:rPr>
            </w:pPr>
            <w:proofErr w:type="spellStart"/>
            <w:r w:rsidRPr="00851192">
              <w:rPr>
                <w:rFonts w:ascii="Arial" w:hAnsi="Arial" w:cs="Arial"/>
              </w:rPr>
              <w:t>Bwin</w:t>
            </w:r>
            <w:proofErr w:type="spellEnd"/>
            <w:r w:rsidRPr="00851192">
              <w:rPr>
                <w:rFonts w:ascii="Arial" w:hAnsi="Arial" w:cs="Arial"/>
              </w:rPr>
              <w:t xml:space="preserve"> – 1</w:t>
            </w:r>
          </w:p>
          <w:p w14:paraId="7E838A42" w14:textId="77777777" w:rsidR="00635780" w:rsidRPr="00851192" w:rsidRDefault="00635780" w:rsidP="008920E3">
            <w:pPr>
              <w:rPr>
                <w:rFonts w:ascii="Arial" w:hAnsi="Arial" w:cs="Arial"/>
              </w:rPr>
            </w:pPr>
            <w:r w:rsidRPr="00851192">
              <w:rPr>
                <w:rFonts w:ascii="Arial" w:hAnsi="Arial" w:cs="Arial"/>
              </w:rPr>
              <w:t>Asia Gaming – 1</w:t>
            </w:r>
          </w:p>
        </w:tc>
      </w:tr>
      <w:tr w:rsidR="00635780" w:rsidRPr="00851192" w14:paraId="6E6CE2C3" w14:textId="77777777" w:rsidTr="008920E3">
        <w:tc>
          <w:tcPr>
            <w:tcW w:w="1237" w:type="dxa"/>
          </w:tcPr>
          <w:p w14:paraId="3F0CF3FA" w14:textId="77777777" w:rsidR="00635780" w:rsidRPr="00851192" w:rsidRDefault="00635780" w:rsidP="008920E3">
            <w:pPr>
              <w:jc w:val="center"/>
              <w:rPr>
                <w:rFonts w:ascii="Arial" w:hAnsi="Arial" w:cs="Arial"/>
              </w:rPr>
            </w:pPr>
            <w:r w:rsidRPr="00851192">
              <w:rPr>
                <w:rFonts w:ascii="Arial" w:hAnsi="Arial" w:cs="Arial"/>
              </w:rPr>
              <w:t>Env1</w:t>
            </w:r>
            <w:r w:rsidRPr="00851192">
              <w:rPr>
                <w:rFonts w:ascii="Arial" w:hAnsi="Arial" w:cs="Arial"/>
              </w:rPr>
              <w:br/>
              <w:t>(</w:t>
            </w:r>
            <w:proofErr w:type="spellStart"/>
            <w:r w:rsidRPr="00851192">
              <w:rPr>
                <w:rFonts w:ascii="Arial" w:hAnsi="Arial" w:cs="Arial"/>
              </w:rPr>
              <w:t>b,d</w:t>
            </w:r>
            <w:proofErr w:type="spellEnd"/>
            <w:r w:rsidRPr="00851192">
              <w:rPr>
                <w:rFonts w:ascii="Arial" w:hAnsi="Arial" w:cs="Arial"/>
              </w:rPr>
              <w:t>)</w:t>
            </w:r>
          </w:p>
        </w:tc>
        <w:tc>
          <w:tcPr>
            <w:tcW w:w="1372" w:type="dxa"/>
          </w:tcPr>
          <w:p w14:paraId="6EF899FB" w14:textId="77777777" w:rsidR="00635780" w:rsidRPr="00851192" w:rsidRDefault="00635780" w:rsidP="008920E3">
            <w:pPr>
              <w:jc w:val="center"/>
              <w:rPr>
                <w:rFonts w:ascii="Arial" w:hAnsi="Arial" w:cs="Arial"/>
              </w:rPr>
            </w:pPr>
            <w:r w:rsidRPr="00851192">
              <w:rPr>
                <w:rFonts w:ascii="Arial" w:hAnsi="Arial" w:cs="Arial"/>
              </w:rPr>
              <w:t>Environment</w:t>
            </w:r>
          </w:p>
        </w:tc>
        <w:tc>
          <w:tcPr>
            <w:tcW w:w="4757" w:type="dxa"/>
          </w:tcPr>
          <w:p w14:paraId="52381C0E" w14:textId="11D22FC9" w:rsidR="00635780" w:rsidRPr="00851192" w:rsidRDefault="004F0DB4" w:rsidP="008920E3">
            <w:pPr>
              <w:rPr>
                <w:rFonts w:ascii="Arial" w:hAnsi="Arial" w:cs="Arial"/>
              </w:rPr>
            </w:pPr>
            <w:r w:rsidRPr="00851192">
              <w:rPr>
                <w:rFonts w:ascii="Arial" w:hAnsi="Arial" w:cs="Arial"/>
              </w:rPr>
              <w:t>GGO’s</w:t>
            </w:r>
            <w:r w:rsidR="00635780" w:rsidRPr="00851192">
              <w:rPr>
                <w:rFonts w:ascii="Arial" w:hAnsi="Arial" w:cs="Arial"/>
              </w:rPr>
              <w:t xml:space="preserve"> are committed to some form of environmental cause</w:t>
            </w:r>
            <w:r w:rsidR="00A926B7" w:rsidRPr="00851192">
              <w:rPr>
                <w:rFonts w:ascii="Arial" w:hAnsi="Arial" w:cs="Arial"/>
              </w:rPr>
              <w:t>.</w:t>
            </w:r>
          </w:p>
        </w:tc>
        <w:tc>
          <w:tcPr>
            <w:tcW w:w="1701" w:type="dxa"/>
          </w:tcPr>
          <w:p w14:paraId="4D993840" w14:textId="62AAE575" w:rsidR="00635780" w:rsidRPr="00851192" w:rsidRDefault="00635780" w:rsidP="008920E3">
            <w:pPr>
              <w:rPr>
                <w:rFonts w:ascii="Arial" w:hAnsi="Arial" w:cs="Arial"/>
              </w:rPr>
            </w:pPr>
            <w:r w:rsidRPr="00851192">
              <w:rPr>
                <w:rFonts w:ascii="Arial" w:hAnsi="Arial" w:cs="Arial"/>
              </w:rPr>
              <w:t>Bet365 – 1</w:t>
            </w:r>
          </w:p>
          <w:p w14:paraId="0A0FD010" w14:textId="77777777" w:rsidR="00635780" w:rsidRPr="00851192" w:rsidRDefault="00635780" w:rsidP="008920E3">
            <w:pPr>
              <w:rPr>
                <w:rFonts w:ascii="Arial" w:hAnsi="Arial" w:cs="Arial"/>
              </w:rPr>
            </w:pPr>
            <w:proofErr w:type="spellStart"/>
            <w:r w:rsidRPr="00851192">
              <w:rPr>
                <w:rFonts w:ascii="Arial" w:hAnsi="Arial" w:cs="Arial"/>
              </w:rPr>
              <w:t>Bwin</w:t>
            </w:r>
            <w:proofErr w:type="spellEnd"/>
            <w:r w:rsidRPr="00851192">
              <w:rPr>
                <w:rFonts w:ascii="Arial" w:hAnsi="Arial" w:cs="Arial"/>
              </w:rPr>
              <w:t xml:space="preserve"> – 1</w:t>
            </w:r>
          </w:p>
          <w:p w14:paraId="1BAD9D01" w14:textId="77777777" w:rsidR="00635780" w:rsidRPr="00851192" w:rsidRDefault="00635780" w:rsidP="008920E3">
            <w:pPr>
              <w:rPr>
                <w:rFonts w:ascii="Arial" w:hAnsi="Arial" w:cs="Arial"/>
              </w:rPr>
            </w:pPr>
            <w:r w:rsidRPr="00851192">
              <w:rPr>
                <w:rFonts w:ascii="Arial" w:hAnsi="Arial" w:cs="Arial"/>
              </w:rPr>
              <w:t>Asia Gaming – 1</w:t>
            </w:r>
          </w:p>
        </w:tc>
      </w:tr>
      <w:tr w:rsidR="00635780" w:rsidRPr="00851192" w14:paraId="5ABB77C4" w14:textId="77777777" w:rsidTr="008920E3">
        <w:tc>
          <w:tcPr>
            <w:tcW w:w="1237" w:type="dxa"/>
          </w:tcPr>
          <w:p w14:paraId="624443E8" w14:textId="77777777" w:rsidR="00635780" w:rsidRPr="00851192" w:rsidRDefault="00635780" w:rsidP="008920E3">
            <w:pPr>
              <w:jc w:val="center"/>
              <w:rPr>
                <w:rFonts w:ascii="Arial" w:hAnsi="Arial" w:cs="Arial"/>
              </w:rPr>
            </w:pPr>
            <w:r w:rsidRPr="00851192">
              <w:rPr>
                <w:rFonts w:ascii="Arial" w:hAnsi="Arial" w:cs="Arial"/>
              </w:rPr>
              <w:t>Env2</w:t>
            </w:r>
            <w:r w:rsidRPr="00851192">
              <w:rPr>
                <w:rFonts w:ascii="Arial" w:hAnsi="Arial" w:cs="Arial"/>
              </w:rPr>
              <w:br/>
              <w:t>(</w:t>
            </w:r>
            <w:proofErr w:type="spellStart"/>
            <w:r w:rsidRPr="00851192">
              <w:rPr>
                <w:rFonts w:ascii="Arial" w:hAnsi="Arial" w:cs="Arial"/>
              </w:rPr>
              <w:t>b,f</w:t>
            </w:r>
            <w:proofErr w:type="spellEnd"/>
            <w:r w:rsidRPr="00851192">
              <w:rPr>
                <w:rFonts w:ascii="Arial" w:hAnsi="Arial" w:cs="Arial"/>
              </w:rPr>
              <w:t>)</w:t>
            </w:r>
          </w:p>
        </w:tc>
        <w:tc>
          <w:tcPr>
            <w:tcW w:w="1372" w:type="dxa"/>
          </w:tcPr>
          <w:p w14:paraId="6FEDF8DD" w14:textId="77777777" w:rsidR="00635780" w:rsidRPr="00851192" w:rsidRDefault="00635780" w:rsidP="008920E3">
            <w:pPr>
              <w:jc w:val="center"/>
              <w:rPr>
                <w:rFonts w:ascii="Arial" w:hAnsi="Arial" w:cs="Arial"/>
              </w:rPr>
            </w:pPr>
            <w:r w:rsidRPr="00851192">
              <w:rPr>
                <w:rFonts w:ascii="Arial" w:hAnsi="Arial" w:cs="Arial"/>
              </w:rPr>
              <w:t xml:space="preserve">Environment  </w:t>
            </w:r>
          </w:p>
        </w:tc>
        <w:tc>
          <w:tcPr>
            <w:tcW w:w="4757" w:type="dxa"/>
          </w:tcPr>
          <w:p w14:paraId="17713178" w14:textId="56B250CA" w:rsidR="00635780" w:rsidRPr="00851192" w:rsidRDefault="004F0DB4" w:rsidP="008920E3">
            <w:pPr>
              <w:rPr>
                <w:rFonts w:ascii="Arial" w:hAnsi="Arial" w:cs="Arial"/>
              </w:rPr>
            </w:pPr>
            <w:r w:rsidRPr="00851192">
              <w:rPr>
                <w:rFonts w:ascii="Arial" w:hAnsi="Arial" w:cs="Arial"/>
              </w:rPr>
              <w:t>GGO’s</w:t>
            </w:r>
            <w:r w:rsidR="00635780" w:rsidRPr="00851192">
              <w:rPr>
                <w:rFonts w:ascii="Arial" w:hAnsi="Arial" w:cs="Arial"/>
              </w:rPr>
              <w:t xml:space="preserve"> effectively communicate environmental causes</w:t>
            </w:r>
            <w:r w:rsidR="00A926B7" w:rsidRPr="00851192">
              <w:rPr>
                <w:rFonts w:ascii="Arial" w:hAnsi="Arial" w:cs="Arial"/>
              </w:rPr>
              <w:t>.</w:t>
            </w:r>
          </w:p>
        </w:tc>
        <w:tc>
          <w:tcPr>
            <w:tcW w:w="1701" w:type="dxa"/>
          </w:tcPr>
          <w:p w14:paraId="6C8393BF" w14:textId="51319BE2" w:rsidR="00635780" w:rsidRPr="00851192" w:rsidRDefault="00635780" w:rsidP="008920E3">
            <w:pPr>
              <w:rPr>
                <w:rFonts w:ascii="Arial" w:hAnsi="Arial" w:cs="Arial"/>
              </w:rPr>
            </w:pPr>
            <w:r w:rsidRPr="00851192">
              <w:rPr>
                <w:rFonts w:ascii="Arial" w:hAnsi="Arial" w:cs="Arial"/>
              </w:rPr>
              <w:t>Bet365 - 1</w:t>
            </w:r>
          </w:p>
          <w:p w14:paraId="0EC7E759" w14:textId="77777777" w:rsidR="00635780" w:rsidRPr="00851192" w:rsidRDefault="00635780" w:rsidP="008920E3">
            <w:pPr>
              <w:rPr>
                <w:rFonts w:ascii="Arial" w:hAnsi="Arial" w:cs="Arial"/>
              </w:rPr>
            </w:pPr>
            <w:proofErr w:type="spellStart"/>
            <w:r w:rsidRPr="00851192">
              <w:rPr>
                <w:rFonts w:ascii="Arial" w:hAnsi="Arial" w:cs="Arial"/>
              </w:rPr>
              <w:t>Bwin</w:t>
            </w:r>
            <w:proofErr w:type="spellEnd"/>
            <w:r w:rsidRPr="00851192">
              <w:rPr>
                <w:rFonts w:ascii="Arial" w:hAnsi="Arial" w:cs="Arial"/>
              </w:rPr>
              <w:t xml:space="preserve"> - 1</w:t>
            </w:r>
          </w:p>
          <w:p w14:paraId="2602F69C" w14:textId="77777777" w:rsidR="00635780" w:rsidRPr="00851192" w:rsidRDefault="00635780" w:rsidP="008920E3">
            <w:pPr>
              <w:rPr>
                <w:rFonts w:ascii="Arial" w:hAnsi="Arial" w:cs="Arial"/>
              </w:rPr>
            </w:pPr>
            <w:r w:rsidRPr="00851192">
              <w:rPr>
                <w:rFonts w:ascii="Arial" w:hAnsi="Arial" w:cs="Arial"/>
              </w:rPr>
              <w:t>Asia Gaming - 0</w:t>
            </w:r>
          </w:p>
        </w:tc>
      </w:tr>
      <w:tr w:rsidR="00635780" w:rsidRPr="00851192" w14:paraId="4A24CDB3" w14:textId="77777777" w:rsidTr="008920E3">
        <w:tc>
          <w:tcPr>
            <w:tcW w:w="1237" w:type="dxa"/>
          </w:tcPr>
          <w:p w14:paraId="64EE83C6" w14:textId="77777777" w:rsidR="00635780" w:rsidRPr="00851192" w:rsidRDefault="00635780" w:rsidP="008920E3">
            <w:pPr>
              <w:jc w:val="center"/>
              <w:rPr>
                <w:rFonts w:ascii="Arial" w:hAnsi="Arial" w:cs="Arial"/>
              </w:rPr>
            </w:pPr>
            <w:r w:rsidRPr="00851192">
              <w:rPr>
                <w:rFonts w:ascii="Arial" w:hAnsi="Arial" w:cs="Arial"/>
              </w:rPr>
              <w:t>Com1</w:t>
            </w:r>
            <w:r w:rsidRPr="00851192">
              <w:rPr>
                <w:rFonts w:ascii="Arial" w:hAnsi="Arial" w:cs="Arial"/>
              </w:rPr>
              <w:br/>
              <w:t>(a)</w:t>
            </w:r>
          </w:p>
        </w:tc>
        <w:tc>
          <w:tcPr>
            <w:tcW w:w="1372" w:type="dxa"/>
          </w:tcPr>
          <w:p w14:paraId="2D424083" w14:textId="77777777" w:rsidR="00635780" w:rsidRPr="00851192" w:rsidRDefault="00635780" w:rsidP="008920E3">
            <w:pPr>
              <w:jc w:val="center"/>
              <w:rPr>
                <w:rFonts w:ascii="Arial" w:hAnsi="Arial" w:cs="Arial"/>
              </w:rPr>
            </w:pPr>
            <w:r w:rsidRPr="00851192">
              <w:rPr>
                <w:rFonts w:ascii="Arial" w:hAnsi="Arial" w:cs="Arial"/>
              </w:rPr>
              <w:t>Community</w:t>
            </w:r>
          </w:p>
        </w:tc>
        <w:tc>
          <w:tcPr>
            <w:tcW w:w="4757" w:type="dxa"/>
          </w:tcPr>
          <w:p w14:paraId="61B1A58C" w14:textId="2C8DCB05" w:rsidR="00635780" w:rsidRPr="00851192" w:rsidRDefault="004F0DB4" w:rsidP="008920E3">
            <w:pPr>
              <w:rPr>
                <w:rFonts w:ascii="Arial" w:hAnsi="Arial" w:cs="Arial"/>
              </w:rPr>
            </w:pPr>
            <w:r w:rsidRPr="00851192">
              <w:rPr>
                <w:rFonts w:ascii="Arial" w:hAnsi="Arial" w:cs="Arial"/>
              </w:rPr>
              <w:t>GGO’s</w:t>
            </w:r>
            <w:r w:rsidR="00635780" w:rsidRPr="00851192">
              <w:rPr>
                <w:rFonts w:ascii="Arial" w:hAnsi="Arial" w:cs="Arial"/>
              </w:rPr>
              <w:t xml:space="preserve"> play a role within society that goes beyond profit generation</w:t>
            </w:r>
            <w:r w:rsidR="00A926B7" w:rsidRPr="00851192">
              <w:rPr>
                <w:rFonts w:ascii="Arial" w:hAnsi="Arial" w:cs="Arial"/>
              </w:rPr>
              <w:t>.</w:t>
            </w:r>
          </w:p>
        </w:tc>
        <w:tc>
          <w:tcPr>
            <w:tcW w:w="1701" w:type="dxa"/>
          </w:tcPr>
          <w:p w14:paraId="2C83041E" w14:textId="773619E5" w:rsidR="0093576E" w:rsidRPr="00851192" w:rsidRDefault="0093576E" w:rsidP="0093576E">
            <w:pPr>
              <w:rPr>
                <w:rFonts w:ascii="Arial" w:hAnsi="Arial" w:cs="Arial"/>
              </w:rPr>
            </w:pPr>
            <w:r w:rsidRPr="00851192">
              <w:rPr>
                <w:rFonts w:ascii="Arial" w:hAnsi="Arial" w:cs="Arial"/>
              </w:rPr>
              <w:t>Bet365 – 0</w:t>
            </w:r>
          </w:p>
          <w:p w14:paraId="3941C612" w14:textId="77777777" w:rsidR="0093576E" w:rsidRPr="00851192" w:rsidRDefault="0093576E" w:rsidP="0093576E">
            <w:pPr>
              <w:rPr>
                <w:rFonts w:ascii="Arial" w:hAnsi="Arial" w:cs="Arial"/>
              </w:rPr>
            </w:pPr>
            <w:proofErr w:type="spellStart"/>
            <w:r w:rsidRPr="00851192">
              <w:rPr>
                <w:rFonts w:ascii="Arial" w:hAnsi="Arial" w:cs="Arial"/>
              </w:rPr>
              <w:t>Bwin</w:t>
            </w:r>
            <w:proofErr w:type="spellEnd"/>
            <w:r w:rsidRPr="00851192">
              <w:rPr>
                <w:rFonts w:ascii="Arial" w:hAnsi="Arial" w:cs="Arial"/>
              </w:rPr>
              <w:t xml:space="preserve"> – 0</w:t>
            </w:r>
          </w:p>
          <w:p w14:paraId="79B2599D" w14:textId="30C59383" w:rsidR="00635780" w:rsidRPr="00851192" w:rsidRDefault="0093576E" w:rsidP="0093576E">
            <w:pPr>
              <w:rPr>
                <w:rFonts w:ascii="Arial" w:hAnsi="Arial" w:cs="Arial"/>
              </w:rPr>
            </w:pPr>
            <w:r w:rsidRPr="00851192">
              <w:rPr>
                <w:rFonts w:ascii="Arial" w:hAnsi="Arial" w:cs="Arial"/>
              </w:rPr>
              <w:t>Asi</w:t>
            </w:r>
            <w:r w:rsidR="00A926B7" w:rsidRPr="00851192">
              <w:rPr>
                <w:rFonts w:ascii="Arial" w:hAnsi="Arial" w:cs="Arial"/>
              </w:rPr>
              <w:t>a</w:t>
            </w:r>
            <w:r w:rsidRPr="00851192">
              <w:rPr>
                <w:rFonts w:ascii="Arial" w:hAnsi="Arial" w:cs="Arial"/>
              </w:rPr>
              <w:t xml:space="preserve"> Gaming – 0</w:t>
            </w:r>
          </w:p>
        </w:tc>
      </w:tr>
      <w:tr w:rsidR="00635780" w:rsidRPr="00851192" w14:paraId="4EBFA8BC" w14:textId="77777777" w:rsidTr="008920E3">
        <w:tc>
          <w:tcPr>
            <w:tcW w:w="1237" w:type="dxa"/>
          </w:tcPr>
          <w:p w14:paraId="00F43B00" w14:textId="77777777" w:rsidR="00635780" w:rsidRPr="00851192" w:rsidRDefault="00635780" w:rsidP="008920E3">
            <w:pPr>
              <w:jc w:val="center"/>
              <w:rPr>
                <w:rFonts w:ascii="Arial" w:hAnsi="Arial" w:cs="Arial"/>
              </w:rPr>
            </w:pPr>
            <w:r w:rsidRPr="00851192">
              <w:rPr>
                <w:rFonts w:ascii="Arial" w:hAnsi="Arial" w:cs="Arial"/>
              </w:rPr>
              <w:t>Com2</w:t>
            </w:r>
            <w:r w:rsidRPr="00851192">
              <w:rPr>
                <w:rFonts w:ascii="Arial" w:hAnsi="Arial" w:cs="Arial"/>
              </w:rPr>
              <w:br/>
              <w:t>(</w:t>
            </w:r>
            <w:proofErr w:type="spellStart"/>
            <w:r w:rsidRPr="00851192">
              <w:rPr>
                <w:rFonts w:ascii="Arial" w:hAnsi="Arial" w:cs="Arial"/>
              </w:rPr>
              <w:t>a,g</w:t>
            </w:r>
            <w:proofErr w:type="spellEnd"/>
            <w:r w:rsidRPr="00851192">
              <w:rPr>
                <w:rFonts w:ascii="Arial" w:hAnsi="Arial" w:cs="Arial"/>
              </w:rPr>
              <w:t>)</w:t>
            </w:r>
          </w:p>
        </w:tc>
        <w:tc>
          <w:tcPr>
            <w:tcW w:w="1372" w:type="dxa"/>
          </w:tcPr>
          <w:p w14:paraId="348822DA" w14:textId="77777777" w:rsidR="00635780" w:rsidRPr="00851192" w:rsidRDefault="00635780" w:rsidP="008920E3">
            <w:pPr>
              <w:jc w:val="center"/>
              <w:rPr>
                <w:rFonts w:ascii="Arial" w:hAnsi="Arial" w:cs="Arial"/>
              </w:rPr>
            </w:pPr>
            <w:r w:rsidRPr="00851192">
              <w:rPr>
                <w:rFonts w:ascii="Arial" w:hAnsi="Arial" w:cs="Arial"/>
              </w:rPr>
              <w:t xml:space="preserve">Community </w:t>
            </w:r>
          </w:p>
        </w:tc>
        <w:tc>
          <w:tcPr>
            <w:tcW w:w="4757" w:type="dxa"/>
          </w:tcPr>
          <w:p w14:paraId="65ADD358" w14:textId="00B14AC3" w:rsidR="00635780" w:rsidRPr="00851192" w:rsidRDefault="00A926B7" w:rsidP="008920E3">
            <w:pPr>
              <w:rPr>
                <w:rFonts w:ascii="Arial" w:hAnsi="Arial" w:cs="Arial"/>
              </w:rPr>
            </w:pPr>
            <w:r w:rsidRPr="00851192">
              <w:rPr>
                <w:rFonts w:ascii="Arial" w:hAnsi="Arial" w:cs="Arial"/>
              </w:rPr>
              <w:t>GGO’s</w:t>
            </w:r>
            <w:r w:rsidR="00635780" w:rsidRPr="00851192">
              <w:rPr>
                <w:rFonts w:ascii="Arial" w:hAnsi="Arial" w:cs="Arial"/>
              </w:rPr>
              <w:t xml:space="preserve"> target sustainable development for society</w:t>
            </w:r>
            <w:r w:rsidRPr="00851192">
              <w:rPr>
                <w:rFonts w:ascii="Arial" w:hAnsi="Arial" w:cs="Arial"/>
              </w:rPr>
              <w:t>.</w:t>
            </w:r>
          </w:p>
        </w:tc>
        <w:tc>
          <w:tcPr>
            <w:tcW w:w="1701" w:type="dxa"/>
          </w:tcPr>
          <w:p w14:paraId="5891CD9E" w14:textId="26B8C98E" w:rsidR="00635780" w:rsidRPr="00851192" w:rsidRDefault="00635780" w:rsidP="008920E3">
            <w:pPr>
              <w:rPr>
                <w:rFonts w:ascii="Arial" w:hAnsi="Arial" w:cs="Arial"/>
              </w:rPr>
            </w:pPr>
            <w:r w:rsidRPr="00851192">
              <w:rPr>
                <w:rFonts w:ascii="Arial" w:hAnsi="Arial" w:cs="Arial"/>
              </w:rPr>
              <w:t>Bet365 – 1</w:t>
            </w:r>
          </w:p>
          <w:p w14:paraId="6C8A051B" w14:textId="77777777" w:rsidR="00635780" w:rsidRPr="00851192" w:rsidRDefault="00635780" w:rsidP="008920E3">
            <w:pPr>
              <w:rPr>
                <w:rFonts w:ascii="Arial" w:hAnsi="Arial" w:cs="Arial"/>
              </w:rPr>
            </w:pPr>
            <w:proofErr w:type="spellStart"/>
            <w:r w:rsidRPr="00851192">
              <w:rPr>
                <w:rFonts w:ascii="Arial" w:hAnsi="Arial" w:cs="Arial"/>
              </w:rPr>
              <w:t>Bwin</w:t>
            </w:r>
            <w:proofErr w:type="spellEnd"/>
            <w:r w:rsidRPr="00851192">
              <w:rPr>
                <w:rFonts w:ascii="Arial" w:hAnsi="Arial" w:cs="Arial"/>
              </w:rPr>
              <w:t xml:space="preserve"> – 1</w:t>
            </w:r>
          </w:p>
          <w:p w14:paraId="05F2CD6E" w14:textId="77777777" w:rsidR="00635780" w:rsidRPr="00851192" w:rsidRDefault="00635780" w:rsidP="008920E3">
            <w:pPr>
              <w:rPr>
                <w:rFonts w:ascii="Arial" w:hAnsi="Arial" w:cs="Arial"/>
              </w:rPr>
            </w:pPr>
            <w:r w:rsidRPr="00851192">
              <w:rPr>
                <w:rFonts w:ascii="Arial" w:hAnsi="Arial" w:cs="Arial"/>
              </w:rPr>
              <w:t>Asia Gaming – 1</w:t>
            </w:r>
          </w:p>
        </w:tc>
      </w:tr>
      <w:tr w:rsidR="00635780" w:rsidRPr="00851192" w14:paraId="48E24249" w14:textId="77777777" w:rsidTr="008920E3">
        <w:tc>
          <w:tcPr>
            <w:tcW w:w="1237" w:type="dxa"/>
          </w:tcPr>
          <w:p w14:paraId="29B921D8" w14:textId="77777777" w:rsidR="00635780" w:rsidRPr="00851192" w:rsidRDefault="00635780" w:rsidP="008920E3">
            <w:pPr>
              <w:jc w:val="center"/>
              <w:rPr>
                <w:rFonts w:ascii="Arial" w:hAnsi="Arial" w:cs="Arial"/>
              </w:rPr>
            </w:pPr>
            <w:r w:rsidRPr="00851192">
              <w:rPr>
                <w:rFonts w:ascii="Arial" w:hAnsi="Arial" w:cs="Arial"/>
              </w:rPr>
              <w:t>Com3</w:t>
            </w:r>
            <w:r w:rsidRPr="00851192">
              <w:rPr>
                <w:rFonts w:ascii="Arial" w:hAnsi="Arial" w:cs="Arial"/>
              </w:rPr>
              <w:br/>
              <w:t>(</w:t>
            </w:r>
            <w:proofErr w:type="spellStart"/>
            <w:r w:rsidRPr="00851192">
              <w:rPr>
                <w:rFonts w:ascii="Arial" w:hAnsi="Arial" w:cs="Arial"/>
              </w:rPr>
              <w:t>a,h</w:t>
            </w:r>
            <w:proofErr w:type="spellEnd"/>
            <w:r w:rsidRPr="00851192">
              <w:rPr>
                <w:rFonts w:ascii="Arial" w:hAnsi="Arial" w:cs="Arial"/>
              </w:rPr>
              <w:t>)</w:t>
            </w:r>
          </w:p>
        </w:tc>
        <w:tc>
          <w:tcPr>
            <w:tcW w:w="1372" w:type="dxa"/>
          </w:tcPr>
          <w:p w14:paraId="3E542460" w14:textId="77777777" w:rsidR="00635780" w:rsidRPr="00851192" w:rsidRDefault="00635780" w:rsidP="008920E3">
            <w:pPr>
              <w:jc w:val="center"/>
              <w:rPr>
                <w:rFonts w:ascii="Arial" w:hAnsi="Arial" w:cs="Arial"/>
              </w:rPr>
            </w:pPr>
            <w:r w:rsidRPr="00851192">
              <w:rPr>
                <w:rFonts w:ascii="Arial" w:hAnsi="Arial" w:cs="Arial"/>
              </w:rPr>
              <w:t>Community</w:t>
            </w:r>
          </w:p>
        </w:tc>
        <w:tc>
          <w:tcPr>
            <w:tcW w:w="4757" w:type="dxa"/>
          </w:tcPr>
          <w:p w14:paraId="3D044699" w14:textId="654C70BF" w:rsidR="00635780" w:rsidRPr="00851192" w:rsidRDefault="00635780" w:rsidP="008920E3">
            <w:pPr>
              <w:rPr>
                <w:rFonts w:ascii="Arial" w:hAnsi="Arial" w:cs="Arial"/>
              </w:rPr>
            </w:pPr>
            <w:r w:rsidRPr="00851192">
              <w:rPr>
                <w:rFonts w:ascii="Arial" w:hAnsi="Arial" w:cs="Arial"/>
              </w:rPr>
              <w:t>G</w:t>
            </w:r>
            <w:r w:rsidR="00A926B7" w:rsidRPr="00851192">
              <w:rPr>
                <w:rFonts w:ascii="Arial" w:hAnsi="Arial" w:cs="Arial"/>
              </w:rPr>
              <w:t xml:space="preserve">GO’s </w:t>
            </w:r>
            <w:r w:rsidRPr="00851192">
              <w:rPr>
                <w:rFonts w:ascii="Arial" w:hAnsi="Arial" w:cs="Arial"/>
              </w:rPr>
              <w:t>react to societal needs within all active international markets</w:t>
            </w:r>
            <w:r w:rsidR="00A926B7" w:rsidRPr="00851192">
              <w:rPr>
                <w:rFonts w:ascii="Arial" w:hAnsi="Arial" w:cs="Arial"/>
              </w:rPr>
              <w:t>.</w:t>
            </w:r>
          </w:p>
        </w:tc>
        <w:tc>
          <w:tcPr>
            <w:tcW w:w="1701" w:type="dxa"/>
          </w:tcPr>
          <w:p w14:paraId="68153F9C" w14:textId="1A191292" w:rsidR="00635780" w:rsidRPr="00851192" w:rsidRDefault="00635780" w:rsidP="008920E3">
            <w:pPr>
              <w:rPr>
                <w:rFonts w:ascii="Arial" w:hAnsi="Arial" w:cs="Arial"/>
              </w:rPr>
            </w:pPr>
            <w:r w:rsidRPr="00851192">
              <w:rPr>
                <w:rFonts w:ascii="Arial" w:hAnsi="Arial" w:cs="Arial"/>
              </w:rPr>
              <w:t>Bet365 – 0</w:t>
            </w:r>
          </w:p>
          <w:p w14:paraId="12363052" w14:textId="77777777" w:rsidR="00635780" w:rsidRPr="00851192" w:rsidRDefault="00635780" w:rsidP="008920E3">
            <w:pPr>
              <w:rPr>
                <w:rFonts w:ascii="Arial" w:hAnsi="Arial" w:cs="Arial"/>
              </w:rPr>
            </w:pPr>
            <w:proofErr w:type="spellStart"/>
            <w:r w:rsidRPr="00851192">
              <w:rPr>
                <w:rFonts w:ascii="Arial" w:hAnsi="Arial" w:cs="Arial"/>
              </w:rPr>
              <w:t>Bwin</w:t>
            </w:r>
            <w:proofErr w:type="spellEnd"/>
            <w:r w:rsidRPr="00851192">
              <w:rPr>
                <w:rFonts w:ascii="Arial" w:hAnsi="Arial" w:cs="Arial"/>
              </w:rPr>
              <w:t xml:space="preserve"> – 0</w:t>
            </w:r>
          </w:p>
          <w:p w14:paraId="43E87BCD" w14:textId="77777777" w:rsidR="00635780" w:rsidRPr="00851192" w:rsidRDefault="00635780" w:rsidP="008920E3">
            <w:pPr>
              <w:rPr>
                <w:rFonts w:ascii="Arial" w:hAnsi="Arial" w:cs="Arial"/>
              </w:rPr>
            </w:pPr>
            <w:r w:rsidRPr="00851192">
              <w:rPr>
                <w:rFonts w:ascii="Arial" w:hAnsi="Arial" w:cs="Arial"/>
              </w:rPr>
              <w:t>Asia Gaming – 0</w:t>
            </w:r>
          </w:p>
        </w:tc>
      </w:tr>
      <w:tr w:rsidR="00635780" w:rsidRPr="00851192" w14:paraId="71BF512B" w14:textId="77777777" w:rsidTr="008920E3">
        <w:tc>
          <w:tcPr>
            <w:tcW w:w="1237" w:type="dxa"/>
          </w:tcPr>
          <w:p w14:paraId="2B15CA0E" w14:textId="77777777" w:rsidR="00635780" w:rsidRPr="00851192" w:rsidRDefault="00635780" w:rsidP="008920E3">
            <w:pPr>
              <w:jc w:val="center"/>
              <w:rPr>
                <w:rFonts w:ascii="Arial" w:hAnsi="Arial" w:cs="Arial"/>
              </w:rPr>
            </w:pPr>
            <w:r w:rsidRPr="00851192">
              <w:rPr>
                <w:rFonts w:ascii="Arial" w:hAnsi="Arial" w:cs="Arial"/>
              </w:rPr>
              <w:t>Com4</w:t>
            </w:r>
            <w:r w:rsidRPr="00851192">
              <w:rPr>
                <w:rFonts w:ascii="Arial" w:hAnsi="Arial" w:cs="Arial"/>
              </w:rPr>
              <w:br/>
              <w:t>(</w:t>
            </w:r>
            <w:proofErr w:type="spellStart"/>
            <w:r w:rsidRPr="00851192">
              <w:rPr>
                <w:rFonts w:ascii="Arial" w:hAnsi="Arial" w:cs="Arial"/>
              </w:rPr>
              <w:t>a,h</w:t>
            </w:r>
            <w:proofErr w:type="spellEnd"/>
            <w:r w:rsidRPr="00851192">
              <w:rPr>
                <w:rFonts w:ascii="Arial" w:hAnsi="Arial" w:cs="Arial"/>
              </w:rPr>
              <w:t>)</w:t>
            </w:r>
          </w:p>
        </w:tc>
        <w:tc>
          <w:tcPr>
            <w:tcW w:w="1372" w:type="dxa"/>
          </w:tcPr>
          <w:p w14:paraId="7DF54543" w14:textId="77777777" w:rsidR="00635780" w:rsidRPr="00851192" w:rsidRDefault="00635780" w:rsidP="008920E3">
            <w:pPr>
              <w:jc w:val="center"/>
              <w:rPr>
                <w:rFonts w:ascii="Arial" w:hAnsi="Arial" w:cs="Arial"/>
              </w:rPr>
            </w:pPr>
            <w:r w:rsidRPr="00851192">
              <w:rPr>
                <w:rFonts w:ascii="Arial" w:hAnsi="Arial" w:cs="Arial"/>
              </w:rPr>
              <w:t>Community</w:t>
            </w:r>
          </w:p>
        </w:tc>
        <w:tc>
          <w:tcPr>
            <w:tcW w:w="4757" w:type="dxa"/>
          </w:tcPr>
          <w:p w14:paraId="456F14CC" w14:textId="7C2EC324" w:rsidR="00635780" w:rsidRPr="00851192" w:rsidRDefault="00A926B7" w:rsidP="008920E3">
            <w:pPr>
              <w:rPr>
                <w:rFonts w:ascii="Arial" w:hAnsi="Arial" w:cs="Arial"/>
              </w:rPr>
            </w:pPr>
            <w:r w:rsidRPr="00851192">
              <w:rPr>
                <w:rFonts w:ascii="Arial" w:hAnsi="Arial" w:cs="Arial"/>
              </w:rPr>
              <w:t>GGO’s</w:t>
            </w:r>
            <w:r w:rsidR="00635780" w:rsidRPr="00851192">
              <w:rPr>
                <w:rFonts w:ascii="Arial" w:hAnsi="Arial" w:cs="Arial"/>
              </w:rPr>
              <w:t xml:space="preserve"> react to societal needs within markets which have legislation or movement to challenge the issues associated with </w:t>
            </w:r>
            <w:r w:rsidRPr="00851192">
              <w:rPr>
                <w:rFonts w:ascii="Arial" w:hAnsi="Arial" w:cs="Arial"/>
              </w:rPr>
              <w:t>PG.</w:t>
            </w:r>
            <w:r w:rsidR="00635780" w:rsidRPr="00851192">
              <w:rPr>
                <w:rFonts w:ascii="Arial" w:hAnsi="Arial" w:cs="Arial"/>
              </w:rPr>
              <w:t xml:space="preserve"> </w:t>
            </w:r>
          </w:p>
        </w:tc>
        <w:tc>
          <w:tcPr>
            <w:tcW w:w="1701" w:type="dxa"/>
          </w:tcPr>
          <w:p w14:paraId="517DC0E2" w14:textId="4EEA378A" w:rsidR="00635780" w:rsidRPr="00851192" w:rsidRDefault="00635780" w:rsidP="008920E3">
            <w:pPr>
              <w:rPr>
                <w:rFonts w:ascii="Arial" w:hAnsi="Arial" w:cs="Arial"/>
              </w:rPr>
            </w:pPr>
            <w:r w:rsidRPr="00851192">
              <w:rPr>
                <w:rFonts w:ascii="Arial" w:hAnsi="Arial" w:cs="Arial"/>
              </w:rPr>
              <w:t>Bet365 – 1</w:t>
            </w:r>
          </w:p>
          <w:p w14:paraId="605D71B8" w14:textId="77777777" w:rsidR="00635780" w:rsidRPr="00851192" w:rsidRDefault="00635780" w:rsidP="008920E3">
            <w:pPr>
              <w:rPr>
                <w:rFonts w:ascii="Arial" w:hAnsi="Arial" w:cs="Arial"/>
              </w:rPr>
            </w:pPr>
            <w:proofErr w:type="spellStart"/>
            <w:r w:rsidRPr="00851192">
              <w:rPr>
                <w:rFonts w:ascii="Arial" w:hAnsi="Arial" w:cs="Arial"/>
              </w:rPr>
              <w:t>Bwin</w:t>
            </w:r>
            <w:proofErr w:type="spellEnd"/>
            <w:r w:rsidRPr="00851192">
              <w:rPr>
                <w:rFonts w:ascii="Arial" w:hAnsi="Arial" w:cs="Arial"/>
              </w:rPr>
              <w:t xml:space="preserve"> – 1</w:t>
            </w:r>
          </w:p>
          <w:p w14:paraId="7BE094F4" w14:textId="77777777" w:rsidR="00635780" w:rsidRPr="00851192" w:rsidRDefault="00635780" w:rsidP="008920E3">
            <w:pPr>
              <w:rPr>
                <w:rFonts w:ascii="Arial" w:hAnsi="Arial" w:cs="Arial"/>
              </w:rPr>
            </w:pPr>
            <w:r w:rsidRPr="00851192">
              <w:rPr>
                <w:rFonts w:ascii="Arial" w:hAnsi="Arial" w:cs="Arial"/>
              </w:rPr>
              <w:t>Asia Gaming – 1</w:t>
            </w:r>
          </w:p>
        </w:tc>
      </w:tr>
      <w:tr w:rsidR="00635780" w:rsidRPr="00851192" w14:paraId="1E60751C" w14:textId="77777777" w:rsidTr="008920E3">
        <w:tc>
          <w:tcPr>
            <w:tcW w:w="1237" w:type="dxa"/>
          </w:tcPr>
          <w:p w14:paraId="5399DAA0" w14:textId="77777777" w:rsidR="00635780" w:rsidRPr="00851192" w:rsidRDefault="00635780" w:rsidP="008920E3">
            <w:pPr>
              <w:jc w:val="center"/>
              <w:rPr>
                <w:rFonts w:ascii="Arial" w:hAnsi="Arial" w:cs="Arial"/>
              </w:rPr>
            </w:pPr>
            <w:r w:rsidRPr="00851192">
              <w:rPr>
                <w:rFonts w:ascii="Arial" w:hAnsi="Arial" w:cs="Arial"/>
              </w:rPr>
              <w:t>Com5</w:t>
            </w:r>
            <w:r w:rsidRPr="00851192">
              <w:rPr>
                <w:rFonts w:ascii="Arial" w:hAnsi="Arial" w:cs="Arial"/>
              </w:rPr>
              <w:br/>
              <w:t>(</w:t>
            </w:r>
            <w:proofErr w:type="spellStart"/>
            <w:r w:rsidRPr="00851192">
              <w:rPr>
                <w:rFonts w:ascii="Arial" w:hAnsi="Arial" w:cs="Arial"/>
              </w:rPr>
              <w:t>a,b,c,d,f,h</w:t>
            </w:r>
            <w:proofErr w:type="spellEnd"/>
            <w:r w:rsidRPr="00851192">
              <w:rPr>
                <w:rFonts w:ascii="Arial" w:hAnsi="Arial" w:cs="Arial"/>
              </w:rPr>
              <w:t>)</w:t>
            </w:r>
          </w:p>
        </w:tc>
        <w:tc>
          <w:tcPr>
            <w:tcW w:w="1372" w:type="dxa"/>
          </w:tcPr>
          <w:p w14:paraId="50651DA4" w14:textId="77777777" w:rsidR="00635780" w:rsidRPr="00851192" w:rsidRDefault="00635780" w:rsidP="008920E3">
            <w:pPr>
              <w:jc w:val="center"/>
              <w:rPr>
                <w:rFonts w:ascii="Arial" w:hAnsi="Arial" w:cs="Arial"/>
              </w:rPr>
            </w:pPr>
            <w:r w:rsidRPr="00851192">
              <w:rPr>
                <w:rFonts w:ascii="Arial" w:hAnsi="Arial" w:cs="Arial"/>
              </w:rPr>
              <w:t>Community</w:t>
            </w:r>
          </w:p>
        </w:tc>
        <w:tc>
          <w:tcPr>
            <w:tcW w:w="4757" w:type="dxa"/>
          </w:tcPr>
          <w:p w14:paraId="522EFD89" w14:textId="679F8259" w:rsidR="00635780" w:rsidRPr="00851192" w:rsidRDefault="00635780" w:rsidP="008920E3">
            <w:pPr>
              <w:rPr>
                <w:rFonts w:ascii="Arial" w:hAnsi="Arial" w:cs="Arial"/>
              </w:rPr>
            </w:pPr>
            <w:r w:rsidRPr="00851192">
              <w:rPr>
                <w:rFonts w:ascii="Arial" w:hAnsi="Arial" w:cs="Arial"/>
              </w:rPr>
              <w:t xml:space="preserve">Gambling operators financially contribute towards projects which aid </w:t>
            </w:r>
            <w:r w:rsidR="00A926B7" w:rsidRPr="00851192">
              <w:rPr>
                <w:rFonts w:ascii="Arial" w:hAnsi="Arial" w:cs="Arial"/>
              </w:rPr>
              <w:t>PG.</w:t>
            </w:r>
          </w:p>
        </w:tc>
        <w:tc>
          <w:tcPr>
            <w:tcW w:w="1701" w:type="dxa"/>
          </w:tcPr>
          <w:p w14:paraId="6FC14C41" w14:textId="0A61946F" w:rsidR="00635780" w:rsidRPr="00851192" w:rsidRDefault="00635780" w:rsidP="008920E3">
            <w:pPr>
              <w:rPr>
                <w:rFonts w:ascii="Arial" w:hAnsi="Arial" w:cs="Arial"/>
              </w:rPr>
            </w:pPr>
            <w:r w:rsidRPr="00851192">
              <w:rPr>
                <w:rFonts w:ascii="Arial" w:hAnsi="Arial" w:cs="Arial"/>
              </w:rPr>
              <w:t>Bet365 – 1</w:t>
            </w:r>
          </w:p>
          <w:p w14:paraId="6597517F" w14:textId="77777777" w:rsidR="00635780" w:rsidRPr="00851192" w:rsidRDefault="00635780" w:rsidP="008920E3">
            <w:pPr>
              <w:rPr>
                <w:rFonts w:ascii="Arial" w:hAnsi="Arial" w:cs="Arial"/>
              </w:rPr>
            </w:pPr>
            <w:proofErr w:type="spellStart"/>
            <w:r w:rsidRPr="00851192">
              <w:rPr>
                <w:rFonts w:ascii="Arial" w:hAnsi="Arial" w:cs="Arial"/>
              </w:rPr>
              <w:t>Bwin</w:t>
            </w:r>
            <w:proofErr w:type="spellEnd"/>
            <w:r w:rsidRPr="00851192">
              <w:rPr>
                <w:rFonts w:ascii="Arial" w:hAnsi="Arial" w:cs="Arial"/>
              </w:rPr>
              <w:t xml:space="preserve"> – 0</w:t>
            </w:r>
          </w:p>
          <w:p w14:paraId="791E66F3" w14:textId="77777777" w:rsidR="00635780" w:rsidRPr="00851192" w:rsidRDefault="00635780" w:rsidP="008920E3">
            <w:pPr>
              <w:rPr>
                <w:rFonts w:ascii="Arial" w:hAnsi="Arial" w:cs="Arial"/>
              </w:rPr>
            </w:pPr>
            <w:r w:rsidRPr="00851192">
              <w:rPr>
                <w:rFonts w:ascii="Arial" w:hAnsi="Arial" w:cs="Arial"/>
              </w:rPr>
              <w:t>Asia Gaming – 0</w:t>
            </w:r>
          </w:p>
        </w:tc>
      </w:tr>
      <w:tr w:rsidR="00635780" w:rsidRPr="00851192" w14:paraId="5F34ADDF" w14:textId="77777777" w:rsidTr="008920E3">
        <w:tc>
          <w:tcPr>
            <w:tcW w:w="1237" w:type="dxa"/>
          </w:tcPr>
          <w:p w14:paraId="75797E52" w14:textId="77777777" w:rsidR="00635780" w:rsidRPr="00851192" w:rsidRDefault="00635780" w:rsidP="008920E3">
            <w:pPr>
              <w:jc w:val="center"/>
              <w:rPr>
                <w:rFonts w:ascii="Arial" w:hAnsi="Arial" w:cs="Arial"/>
              </w:rPr>
            </w:pPr>
            <w:r w:rsidRPr="00851192">
              <w:rPr>
                <w:rFonts w:ascii="Arial" w:hAnsi="Arial" w:cs="Arial"/>
              </w:rPr>
              <w:t>Com6</w:t>
            </w:r>
            <w:r w:rsidRPr="00851192">
              <w:rPr>
                <w:rFonts w:ascii="Arial" w:hAnsi="Arial" w:cs="Arial"/>
              </w:rPr>
              <w:br/>
              <w:t>(</w:t>
            </w:r>
            <w:proofErr w:type="spellStart"/>
            <w:r w:rsidRPr="00851192">
              <w:rPr>
                <w:rFonts w:ascii="Arial" w:hAnsi="Arial" w:cs="Arial"/>
              </w:rPr>
              <w:t>a,d,h</w:t>
            </w:r>
            <w:proofErr w:type="spellEnd"/>
            <w:r w:rsidRPr="00851192">
              <w:rPr>
                <w:rFonts w:ascii="Arial" w:hAnsi="Arial" w:cs="Arial"/>
              </w:rPr>
              <w:t>)</w:t>
            </w:r>
          </w:p>
        </w:tc>
        <w:tc>
          <w:tcPr>
            <w:tcW w:w="1372" w:type="dxa"/>
          </w:tcPr>
          <w:p w14:paraId="50F0171C" w14:textId="77777777" w:rsidR="00635780" w:rsidRPr="00851192" w:rsidRDefault="00635780" w:rsidP="008920E3">
            <w:pPr>
              <w:jc w:val="center"/>
              <w:rPr>
                <w:rFonts w:ascii="Arial" w:hAnsi="Arial" w:cs="Arial"/>
              </w:rPr>
            </w:pPr>
            <w:r w:rsidRPr="00851192">
              <w:rPr>
                <w:rFonts w:ascii="Arial" w:hAnsi="Arial" w:cs="Arial"/>
              </w:rPr>
              <w:t>Community</w:t>
            </w:r>
          </w:p>
        </w:tc>
        <w:tc>
          <w:tcPr>
            <w:tcW w:w="4757" w:type="dxa"/>
          </w:tcPr>
          <w:p w14:paraId="25B368D0" w14:textId="7E493410" w:rsidR="00635780" w:rsidRPr="00851192" w:rsidRDefault="00635780" w:rsidP="008920E3">
            <w:pPr>
              <w:rPr>
                <w:rFonts w:ascii="Arial" w:hAnsi="Arial" w:cs="Arial"/>
              </w:rPr>
            </w:pPr>
            <w:r w:rsidRPr="00851192">
              <w:rPr>
                <w:rFonts w:ascii="Arial" w:hAnsi="Arial" w:cs="Arial"/>
              </w:rPr>
              <w:t>G</w:t>
            </w:r>
            <w:r w:rsidR="00A926B7" w:rsidRPr="00851192">
              <w:rPr>
                <w:rFonts w:ascii="Arial" w:hAnsi="Arial" w:cs="Arial"/>
              </w:rPr>
              <w:t xml:space="preserve">GO’s </w:t>
            </w:r>
            <w:r w:rsidRPr="00851192">
              <w:rPr>
                <w:rFonts w:ascii="Arial" w:hAnsi="Arial" w:cs="Arial"/>
              </w:rPr>
              <w:t>care about public psychological issues</w:t>
            </w:r>
            <w:r w:rsidR="00A926B7" w:rsidRPr="00851192">
              <w:rPr>
                <w:rFonts w:ascii="Arial" w:hAnsi="Arial" w:cs="Arial"/>
              </w:rPr>
              <w:t>.</w:t>
            </w:r>
          </w:p>
        </w:tc>
        <w:tc>
          <w:tcPr>
            <w:tcW w:w="1701" w:type="dxa"/>
          </w:tcPr>
          <w:p w14:paraId="6EC8ACA8" w14:textId="5C881DFF" w:rsidR="00635780" w:rsidRPr="00851192" w:rsidRDefault="00635780" w:rsidP="008920E3">
            <w:pPr>
              <w:rPr>
                <w:rFonts w:ascii="Arial" w:hAnsi="Arial" w:cs="Arial"/>
              </w:rPr>
            </w:pPr>
            <w:r w:rsidRPr="00851192">
              <w:rPr>
                <w:rFonts w:ascii="Arial" w:hAnsi="Arial" w:cs="Arial"/>
              </w:rPr>
              <w:t>Bet365 – 1</w:t>
            </w:r>
          </w:p>
          <w:p w14:paraId="2394929B" w14:textId="77777777" w:rsidR="00635780" w:rsidRPr="00851192" w:rsidRDefault="00635780" w:rsidP="008920E3">
            <w:pPr>
              <w:rPr>
                <w:rFonts w:ascii="Arial" w:hAnsi="Arial" w:cs="Arial"/>
              </w:rPr>
            </w:pPr>
            <w:proofErr w:type="spellStart"/>
            <w:r w:rsidRPr="00851192">
              <w:rPr>
                <w:rFonts w:ascii="Arial" w:hAnsi="Arial" w:cs="Arial"/>
              </w:rPr>
              <w:t>Bwin</w:t>
            </w:r>
            <w:proofErr w:type="spellEnd"/>
            <w:r w:rsidRPr="00851192">
              <w:rPr>
                <w:rFonts w:ascii="Arial" w:hAnsi="Arial" w:cs="Arial"/>
              </w:rPr>
              <w:t xml:space="preserve"> – 1</w:t>
            </w:r>
          </w:p>
          <w:p w14:paraId="15C91B9A" w14:textId="77777777" w:rsidR="00635780" w:rsidRPr="00851192" w:rsidRDefault="00635780" w:rsidP="008920E3">
            <w:pPr>
              <w:rPr>
                <w:rFonts w:ascii="Arial" w:hAnsi="Arial" w:cs="Arial"/>
              </w:rPr>
            </w:pPr>
            <w:r w:rsidRPr="00851192">
              <w:rPr>
                <w:rFonts w:ascii="Arial" w:hAnsi="Arial" w:cs="Arial"/>
              </w:rPr>
              <w:t>Asia Gaming – 1</w:t>
            </w:r>
          </w:p>
        </w:tc>
      </w:tr>
      <w:tr w:rsidR="00635780" w:rsidRPr="00851192" w14:paraId="205A7373" w14:textId="77777777" w:rsidTr="008920E3">
        <w:tc>
          <w:tcPr>
            <w:tcW w:w="1237" w:type="dxa"/>
          </w:tcPr>
          <w:p w14:paraId="02FF366E" w14:textId="77777777" w:rsidR="00635780" w:rsidRPr="00851192" w:rsidRDefault="00635780" w:rsidP="008920E3">
            <w:pPr>
              <w:jc w:val="center"/>
              <w:rPr>
                <w:rFonts w:ascii="Arial" w:hAnsi="Arial" w:cs="Arial"/>
              </w:rPr>
            </w:pPr>
            <w:r w:rsidRPr="00851192">
              <w:rPr>
                <w:rFonts w:ascii="Arial" w:hAnsi="Arial" w:cs="Arial"/>
              </w:rPr>
              <w:t>Gov1</w:t>
            </w:r>
            <w:r w:rsidRPr="00851192">
              <w:rPr>
                <w:rFonts w:ascii="Arial" w:hAnsi="Arial" w:cs="Arial"/>
              </w:rPr>
              <w:br/>
              <w:t>(b)</w:t>
            </w:r>
          </w:p>
        </w:tc>
        <w:tc>
          <w:tcPr>
            <w:tcW w:w="1372" w:type="dxa"/>
          </w:tcPr>
          <w:p w14:paraId="13D7DB74" w14:textId="77777777" w:rsidR="00635780" w:rsidRPr="00851192" w:rsidRDefault="00635780" w:rsidP="008920E3">
            <w:pPr>
              <w:jc w:val="center"/>
              <w:rPr>
                <w:rFonts w:ascii="Arial" w:hAnsi="Arial" w:cs="Arial"/>
              </w:rPr>
            </w:pPr>
            <w:r w:rsidRPr="00851192">
              <w:rPr>
                <w:rFonts w:ascii="Arial" w:hAnsi="Arial" w:cs="Arial"/>
              </w:rPr>
              <w:t>Government</w:t>
            </w:r>
          </w:p>
        </w:tc>
        <w:tc>
          <w:tcPr>
            <w:tcW w:w="4757" w:type="dxa"/>
          </w:tcPr>
          <w:p w14:paraId="5B0A9B2D" w14:textId="6370920E" w:rsidR="00635780" w:rsidRPr="00851192" w:rsidRDefault="00635780" w:rsidP="008920E3">
            <w:pPr>
              <w:rPr>
                <w:rFonts w:ascii="Arial" w:hAnsi="Arial" w:cs="Arial"/>
              </w:rPr>
            </w:pPr>
            <w:r w:rsidRPr="00851192">
              <w:rPr>
                <w:rFonts w:ascii="Arial" w:hAnsi="Arial" w:cs="Arial"/>
              </w:rPr>
              <w:t>Licensing conditions have led global gambling operators to identify a suitable political jurisdiction to add value towards profit maximisation</w:t>
            </w:r>
            <w:r w:rsidR="00A926B7" w:rsidRPr="00851192">
              <w:rPr>
                <w:rFonts w:ascii="Arial" w:hAnsi="Arial" w:cs="Arial"/>
              </w:rPr>
              <w:t>.</w:t>
            </w:r>
          </w:p>
        </w:tc>
        <w:tc>
          <w:tcPr>
            <w:tcW w:w="1701" w:type="dxa"/>
          </w:tcPr>
          <w:p w14:paraId="40EFFA5E" w14:textId="6CF397E6" w:rsidR="00635780" w:rsidRPr="00851192" w:rsidRDefault="00635780" w:rsidP="008920E3">
            <w:pPr>
              <w:rPr>
                <w:rFonts w:ascii="Arial" w:hAnsi="Arial" w:cs="Arial"/>
              </w:rPr>
            </w:pPr>
            <w:r w:rsidRPr="00851192">
              <w:rPr>
                <w:rFonts w:ascii="Arial" w:hAnsi="Arial" w:cs="Arial"/>
              </w:rPr>
              <w:t>Bet365 – 1</w:t>
            </w:r>
          </w:p>
          <w:p w14:paraId="5164CD00" w14:textId="77777777" w:rsidR="00635780" w:rsidRPr="00851192" w:rsidRDefault="00635780" w:rsidP="008920E3">
            <w:pPr>
              <w:rPr>
                <w:rFonts w:ascii="Arial" w:hAnsi="Arial" w:cs="Arial"/>
              </w:rPr>
            </w:pPr>
            <w:proofErr w:type="spellStart"/>
            <w:r w:rsidRPr="00851192">
              <w:rPr>
                <w:rFonts w:ascii="Arial" w:hAnsi="Arial" w:cs="Arial"/>
              </w:rPr>
              <w:t>Bwin</w:t>
            </w:r>
            <w:proofErr w:type="spellEnd"/>
            <w:r w:rsidRPr="00851192">
              <w:rPr>
                <w:rFonts w:ascii="Arial" w:hAnsi="Arial" w:cs="Arial"/>
              </w:rPr>
              <w:t xml:space="preserve"> – 1</w:t>
            </w:r>
          </w:p>
          <w:p w14:paraId="23196593" w14:textId="77777777" w:rsidR="00635780" w:rsidRPr="00851192" w:rsidRDefault="00635780" w:rsidP="008920E3">
            <w:pPr>
              <w:rPr>
                <w:rFonts w:ascii="Arial" w:hAnsi="Arial" w:cs="Arial"/>
              </w:rPr>
            </w:pPr>
            <w:r w:rsidRPr="00851192">
              <w:rPr>
                <w:rFonts w:ascii="Arial" w:hAnsi="Arial" w:cs="Arial"/>
              </w:rPr>
              <w:t>Asia Gaming – 1</w:t>
            </w:r>
          </w:p>
        </w:tc>
      </w:tr>
      <w:tr w:rsidR="00635780" w:rsidRPr="00851192" w14:paraId="7F54AF18" w14:textId="77777777" w:rsidTr="008920E3">
        <w:tc>
          <w:tcPr>
            <w:tcW w:w="1237" w:type="dxa"/>
          </w:tcPr>
          <w:p w14:paraId="490BBB59" w14:textId="77777777" w:rsidR="00635780" w:rsidRPr="00851192" w:rsidRDefault="00635780" w:rsidP="008920E3">
            <w:pPr>
              <w:jc w:val="center"/>
              <w:rPr>
                <w:rFonts w:ascii="Arial" w:hAnsi="Arial" w:cs="Arial"/>
              </w:rPr>
            </w:pPr>
            <w:r w:rsidRPr="00851192">
              <w:rPr>
                <w:rFonts w:ascii="Arial" w:hAnsi="Arial" w:cs="Arial"/>
              </w:rPr>
              <w:t>Gov2</w:t>
            </w:r>
            <w:r w:rsidRPr="00851192">
              <w:rPr>
                <w:rFonts w:ascii="Arial" w:hAnsi="Arial" w:cs="Arial"/>
              </w:rPr>
              <w:br/>
              <w:t>(</w:t>
            </w:r>
            <w:proofErr w:type="spellStart"/>
            <w:r w:rsidRPr="00851192">
              <w:rPr>
                <w:rFonts w:ascii="Arial" w:hAnsi="Arial" w:cs="Arial"/>
              </w:rPr>
              <w:t>b,d,g</w:t>
            </w:r>
            <w:proofErr w:type="spellEnd"/>
            <w:r w:rsidRPr="00851192">
              <w:rPr>
                <w:rFonts w:ascii="Arial" w:hAnsi="Arial" w:cs="Arial"/>
              </w:rPr>
              <w:t>)</w:t>
            </w:r>
          </w:p>
        </w:tc>
        <w:tc>
          <w:tcPr>
            <w:tcW w:w="1372" w:type="dxa"/>
          </w:tcPr>
          <w:p w14:paraId="621F247D" w14:textId="77777777" w:rsidR="00635780" w:rsidRPr="00851192" w:rsidRDefault="00635780" w:rsidP="008920E3">
            <w:pPr>
              <w:jc w:val="center"/>
              <w:rPr>
                <w:rFonts w:ascii="Arial" w:hAnsi="Arial" w:cs="Arial"/>
              </w:rPr>
            </w:pPr>
            <w:r w:rsidRPr="00851192">
              <w:rPr>
                <w:rFonts w:ascii="Arial" w:hAnsi="Arial" w:cs="Arial"/>
              </w:rPr>
              <w:t>Government</w:t>
            </w:r>
          </w:p>
        </w:tc>
        <w:tc>
          <w:tcPr>
            <w:tcW w:w="4757" w:type="dxa"/>
          </w:tcPr>
          <w:p w14:paraId="5FC7C379" w14:textId="4038F089" w:rsidR="00635780" w:rsidRPr="00851192" w:rsidRDefault="00A926B7" w:rsidP="008920E3">
            <w:pPr>
              <w:rPr>
                <w:rFonts w:ascii="Arial" w:hAnsi="Arial" w:cs="Arial"/>
              </w:rPr>
            </w:pPr>
            <w:r w:rsidRPr="00851192">
              <w:rPr>
                <w:rFonts w:ascii="Arial" w:hAnsi="Arial" w:cs="Arial"/>
              </w:rPr>
              <w:t>GGO’s</w:t>
            </w:r>
            <w:r w:rsidR="00635780" w:rsidRPr="00851192">
              <w:rPr>
                <w:rFonts w:ascii="Arial" w:hAnsi="Arial" w:cs="Arial"/>
              </w:rPr>
              <w:t xml:space="preserve"> are recognised to have great power within countries which rely on gambling as a source of economic growth</w:t>
            </w:r>
            <w:r w:rsidRPr="00851192">
              <w:rPr>
                <w:rFonts w:ascii="Arial" w:hAnsi="Arial" w:cs="Arial"/>
              </w:rPr>
              <w:t>.</w:t>
            </w:r>
          </w:p>
        </w:tc>
        <w:tc>
          <w:tcPr>
            <w:tcW w:w="1701" w:type="dxa"/>
          </w:tcPr>
          <w:p w14:paraId="0DA2E0A9" w14:textId="581751B5" w:rsidR="00635780" w:rsidRPr="00851192" w:rsidRDefault="00635780" w:rsidP="008920E3">
            <w:pPr>
              <w:rPr>
                <w:rFonts w:ascii="Arial" w:hAnsi="Arial" w:cs="Arial"/>
              </w:rPr>
            </w:pPr>
            <w:r w:rsidRPr="00851192">
              <w:rPr>
                <w:rFonts w:ascii="Arial" w:hAnsi="Arial" w:cs="Arial"/>
              </w:rPr>
              <w:t>Bet365 – 1</w:t>
            </w:r>
          </w:p>
          <w:p w14:paraId="3C9175DB" w14:textId="77777777" w:rsidR="00635780" w:rsidRPr="00851192" w:rsidRDefault="00635780" w:rsidP="008920E3">
            <w:pPr>
              <w:rPr>
                <w:rFonts w:ascii="Arial" w:hAnsi="Arial" w:cs="Arial"/>
              </w:rPr>
            </w:pPr>
            <w:proofErr w:type="spellStart"/>
            <w:r w:rsidRPr="00851192">
              <w:rPr>
                <w:rFonts w:ascii="Arial" w:hAnsi="Arial" w:cs="Arial"/>
              </w:rPr>
              <w:t>Bwin</w:t>
            </w:r>
            <w:proofErr w:type="spellEnd"/>
            <w:r w:rsidRPr="00851192">
              <w:rPr>
                <w:rFonts w:ascii="Arial" w:hAnsi="Arial" w:cs="Arial"/>
              </w:rPr>
              <w:t xml:space="preserve"> – 1</w:t>
            </w:r>
          </w:p>
          <w:p w14:paraId="336330D2" w14:textId="77777777" w:rsidR="00635780" w:rsidRPr="00851192" w:rsidRDefault="00635780" w:rsidP="008920E3">
            <w:pPr>
              <w:rPr>
                <w:rFonts w:ascii="Arial" w:hAnsi="Arial" w:cs="Arial"/>
              </w:rPr>
            </w:pPr>
            <w:r w:rsidRPr="00851192">
              <w:rPr>
                <w:rFonts w:ascii="Arial" w:hAnsi="Arial" w:cs="Arial"/>
              </w:rPr>
              <w:t>Asia Gaming – 1</w:t>
            </w:r>
          </w:p>
        </w:tc>
      </w:tr>
      <w:tr w:rsidR="00635780" w:rsidRPr="00851192" w14:paraId="5DABDE37" w14:textId="77777777" w:rsidTr="008920E3">
        <w:tc>
          <w:tcPr>
            <w:tcW w:w="1237" w:type="dxa"/>
          </w:tcPr>
          <w:p w14:paraId="6ECE1E82" w14:textId="77777777" w:rsidR="00635780" w:rsidRPr="00851192" w:rsidRDefault="00635780" w:rsidP="008920E3">
            <w:pPr>
              <w:jc w:val="center"/>
              <w:rPr>
                <w:rFonts w:ascii="Arial" w:hAnsi="Arial" w:cs="Arial"/>
              </w:rPr>
            </w:pPr>
            <w:proofErr w:type="spellStart"/>
            <w:r w:rsidRPr="00851192">
              <w:rPr>
                <w:rFonts w:ascii="Arial" w:hAnsi="Arial" w:cs="Arial"/>
              </w:rPr>
              <w:t>Gov</w:t>
            </w:r>
            <w:proofErr w:type="spellEnd"/>
            <w:r w:rsidRPr="00851192">
              <w:rPr>
                <w:rFonts w:ascii="Arial" w:hAnsi="Arial" w:cs="Arial"/>
              </w:rPr>
              <w:t xml:space="preserve"> 3</w:t>
            </w:r>
            <w:r w:rsidRPr="00851192">
              <w:rPr>
                <w:rFonts w:ascii="Arial" w:hAnsi="Arial" w:cs="Arial"/>
              </w:rPr>
              <w:br/>
              <w:t>(</w:t>
            </w:r>
            <w:proofErr w:type="spellStart"/>
            <w:r w:rsidRPr="00851192">
              <w:rPr>
                <w:rFonts w:ascii="Arial" w:hAnsi="Arial" w:cs="Arial"/>
              </w:rPr>
              <w:t>b,d</w:t>
            </w:r>
            <w:proofErr w:type="spellEnd"/>
            <w:r w:rsidRPr="00851192">
              <w:rPr>
                <w:rFonts w:ascii="Arial" w:hAnsi="Arial" w:cs="Arial"/>
              </w:rPr>
              <w:t>)</w:t>
            </w:r>
          </w:p>
        </w:tc>
        <w:tc>
          <w:tcPr>
            <w:tcW w:w="1372" w:type="dxa"/>
          </w:tcPr>
          <w:p w14:paraId="7475458D" w14:textId="77777777" w:rsidR="00635780" w:rsidRPr="00851192" w:rsidRDefault="00635780" w:rsidP="008920E3">
            <w:pPr>
              <w:jc w:val="center"/>
              <w:rPr>
                <w:rFonts w:ascii="Arial" w:hAnsi="Arial" w:cs="Arial"/>
              </w:rPr>
            </w:pPr>
            <w:r w:rsidRPr="00851192">
              <w:rPr>
                <w:rFonts w:ascii="Arial" w:hAnsi="Arial" w:cs="Arial"/>
              </w:rPr>
              <w:t>Government</w:t>
            </w:r>
          </w:p>
        </w:tc>
        <w:tc>
          <w:tcPr>
            <w:tcW w:w="4757" w:type="dxa"/>
          </w:tcPr>
          <w:p w14:paraId="51FA3AD1" w14:textId="25EC9D63" w:rsidR="00635780" w:rsidRPr="00851192" w:rsidRDefault="00A926B7" w:rsidP="008920E3">
            <w:pPr>
              <w:rPr>
                <w:rFonts w:ascii="Arial" w:hAnsi="Arial" w:cs="Arial"/>
              </w:rPr>
            </w:pPr>
            <w:r w:rsidRPr="00851192">
              <w:rPr>
                <w:rFonts w:ascii="Arial" w:hAnsi="Arial" w:cs="Arial"/>
              </w:rPr>
              <w:t>GGO’s</w:t>
            </w:r>
            <w:r w:rsidR="00635780" w:rsidRPr="00851192">
              <w:rPr>
                <w:rFonts w:ascii="Arial" w:hAnsi="Arial" w:cs="Arial"/>
              </w:rPr>
              <w:t xml:space="preserve"> act on the basis of international legal regulations</w:t>
            </w:r>
            <w:r w:rsidRPr="00851192">
              <w:rPr>
                <w:rFonts w:ascii="Arial" w:hAnsi="Arial" w:cs="Arial"/>
              </w:rPr>
              <w:t>.</w:t>
            </w:r>
          </w:p>
        </w:tc>
        <w:tc>
          <w:tcPr>
            <w:tcW w:w="1701" w:type="dxa"/>
          </w:tcPr>
          <w:p w14:paraId="07AF42DD" w14:textId="11A67009" w:rsidR="00635780" w:rsidRPr="00851192" w:rsidRDefault="00635780" w:rsidP="008920E3">
            <w:pPr>
              <w:rPr>
                <w:rFonts w:ascii="Arial" w:hAnsi="Arial" w:cs="Arial"/>
              </w:rPr>
            </w:pPr>
            <w:r w:rsidRPr="00851192">
              <w:rPr>
                <w:rFonts w:ascii="Arial" w:hAnsi="Arial" w:cs="Arial"/>
              </w:rPr>
              <w:t>Bet365 – 1</w:t>
            </w:r>
          </w:p>
          <w:p w14:paraId="69A4D114" w14:textId="77777777" w:rsidR="00635780" w:rsidRPr="00851192" w:rsidRDefault="00635780" w:rsidP="008920E3">
            <w:pPr>
              <w:rPr>
                <w:rFonts w:ascii="Arial" w:hAnsi="Arial" w:cs="Arial"/>
              </w:rPr>
            </w:pPr>
            <w:proofErr w:type="spellStart"/>
            <w:r w:rsidRPr="00851192">
              <w:rPr>
                <w:rFonts w:ascii="Arial" w:hAnsi="Arial" w:cs="Arial"/>
              </w:rPr>
              <w:t>Bwin</w:t>
            </w:r>
            <w:proofErr w:type="spellEnd"/>
            <w:r w:rsidRPr="00851192">
              <w:rPr>
                <w:rFonts w:ascii="Arial" w:hAnsi="Arial" w:cs="Arial"/>
              </w:rPr>
              <w:t xml:space="preserve"> – 1</w:t>
            </w:r>
          </w:p>
          <w:p w14:paraId="72F5E054" w14:textId="77777777" w:rsidR="00635780" w:rsidRPr="00851192" w:rsidRDefault="00635780" w:rsidP="008920E3">
            <w:pPr>
              <w:rPr>
                <w:rFonts w:ascii="Arial" w:hAnsi="Arial" w:cs="Arial"/>
              </w:rPr>
            </w:pPr>
            <w:r w:rsidRPr="00851192">
              <w:rPr>
                <w:rFonts w:ascii="Arial" w:hAnsi="Arial" w:cs="Arial"/>
              </w:rPr>
              <w:t>Asia Gaming – 1</w:t>
            </w:r>
          </w:p>
        </w:tc>
      </w:tr>
      <w:tr w:rsidR="00635780" w:rsidRPr="00851192" w14:paraId="0D2850A6" w14:textId="77777777" w:rsidTr="008920E3">
        <w:tc>
          <w:tcPr>
            <w:tcW w:w="1237" w:type="dxa"/>
          </w:tcPr>
          <w:p w14:paraId="2578CCCF" w14:textId="77777777" w:rsidR="00635780" w:rsidRPr="00851192" w:rsidRDefault="00635780" w:rsidP="008920E3">
            <w:pPr>
              <w:jc w:val="center"/>
              <w:rPr>
                <w:rFonts w:ascii="Arial" w:hAnsi="Arial" w:cs="Arial"/>
              </w:rPr>
            </w:pPr>
            <w:r w:rsidRPr="00851192">
              <w:rPr>
                <w:rFonts w:ascii="Arial" w:hAnsi="Arial" w:cs="Arial"/>
              </w:rPr>
              <w:t>Gov4</w:t>
            </w:r>
            <w:r w:rsidRPr="00851192">
              <w:rPr>
                <w:rFonts w:ascii="Arial" w:hAnsi="Arial" w:cs="Arial"/>
              </w:rPr>
              <w:br/>
              <w:t>(</w:t>
            </w:r>
            <w:proofErr w:type="spellStart"/>
            <w:r w:rsidRPr="00851192">
              <w:rPr>
                <w:rFonts w:ascii="Arial" w:hAnsi="Arial" w:cs="Arial"/>
              </w:rPr>
              <w:t>a,c,h</w:t>
            </w:r>
            <w:proofErr w:type="spellEnd"/>
            <w:r w:rsidRPr="00851192">
              <w:rPr>
                <w:rFonts w:ascii="Arial" w:hAnsi="Arial" w:cs="Arial"/>
              </w:rPr>
              <w:t>)</w:t>
            </w:r>
          </w:p>
        </w:tc>
        <w:tc>
          <w:tcPr>
            <w:tcW w:w="1372" w:type="dxa"/>
          </w:tcPr>
          <w:p w14:paraId="2655D919" w14:textId="77777777" w:rsidR="00635780" w:rsidRPr="00851192" w:rsidRDefault="00635780" w:rsidP="008920E3">
            <w:pPr>
              <w:jc w:val="center"/>
              <w:rPr>
                <w:rFonts w:ascii="Arial" w:hAnsi="Arial" w:cs="Arial"/>
              </w:rPr>
            </w:pPr>
            <w:r w:rsidRPr="00851192">
              <w:rPr>
                <w:rFonts w:ascii="Arial" w:hAnsi="Arial" w:cs="Arial"/>
              </w:rPr>
              <w:t>Government</w:t>
            </w:r>
          </w:p>
        </w:tc>
        <w:tc>
          <w:tcPr>
            <w:tcW w:w="4757" w:type="dxa"/>
          </w:tcPr>
          <w:p w14:paraId="46765AE4" w14:textId="3A05FE54" w:rsidR="00635780" w:rsidRPr="00851192" w:rsidRDefault="00A926B7" w:rsidP="008920E3">
            <w:pPr>
              <w:rPr>
                <w:rFonts w:ascii="Arial" w:hAnsi="Arial" w:cs="Arial"/>
              </w:rPr>
            </w:pPr>
            <w:r w:rsidRPr="00851192">
              <w:rPr>
                <w:rFonts w:ascii="Arial" w:hAnsi="Arial" w:cs="Arial"/>
              </w:rPr>
              <w:t>GGO’s</w:t>
            </w:r>
            <w:r w:rsidR="00635780" w:rsidRPr="00851192">
              <w:rPr>
                <w:rFonts w:ascii="Arial" w:hAnsi="Arial" w:cs="Arial"/>
              </w:rPr>
              <w:t xml:space="preserve"> promote </w:t>
            </w:r>
            <w:r w:rsidR="003109BA" w:rsidRPr="00851192">
              <w:rPr>
                <w:rFonts w:ascii="Arial" w:hAnsi="Arial" w:cs="Arial"/>
              </w:rPr>
              <w:t>RG</w:t>
            </w:r>
            <w:r w:rsidR="00635780" w:rsidRPr="00851192">
              <w:rPr>
                <w:rFonts w:ascii="Arial" w:hAnsi="Arial" w:cs="Arial"/>
              </w:rPr>
              <w:t xml:space="preserve"> within all active global markets</w:t>
            </w:r>
            <w:r w:rsidRPr="00851192">
              <w:rPr>
                <w:rFonts w:ascii="Arial" w:hAnsi="Arial" w:cs="Arial"/>
              </w:rPr>
              <w:t>.</w:t>
            </w:r>
          </w:p>
        </w:tc>
        <w:tc>
          <w:tcPr>
            <w:tcW w:w="1701" w:type="dxa"/>
          </w:tcPr>
          <w:p w14:paraId="4589A941" w14:textId="3924D699" w:rsidR="00635780" w:rsidRPr="00851192" w:rsidRDefault="00635780" w:rsidP="008920E3">
            <w:pPr>
              <w:rPr>
                <w:rFonts w:ascii="Arial" w:hAnsi="Arial" w:cs="Arial"/>
              </w:rPr>
            </w:pPr>
            <w:r w:rsidRPr="00851192">
              <w:rPr>
                <w:rFonts w:ascii="Arial" w:hAnsi="Arial" w:cs="Arial"/>
              </w:rPr>
              <w:t>Bet365 – 1</w:t>
            </w:r>
          </w:p>
          <w:p w14:paraId="4D2F06F1" w14:textId="77777777" w:rsidR="00635780" w:rsidRPr="00851192" w:rsidRDefault="00635780" w:rsidP="008920E3">
            <w:pPr>
              <w:rPr>
                <w:rFonts w:ascii="Arial" w:hAnsi="Arial" w:cs="Arial"/>
              </w:rPr>
            </w:pPr>
            <w:proofErr w:type="spellStart"/>
            <w:r w:rsidRPr="00851192">
              <w:rPr>
                <w:rFonts w:ascii="Arial" w:hAnsi="Arial" w:cs="Arial"/>
              </w:rPr>
              <w:t>Bwin</w:t>
            </w:r>
            <w:proofErr w:type="spellEnd"/>
            <w:r w:rsidRPr="00851192">
              <w:rPr>
                <w:rFonts w:ascii="Arial" w:hAnsi="Arial" w:cs="Arial"/>
              </w:rPr>
              <w:t xml:space="preserve"> – 1</w:t>
            </w:r>
          </w:p>
          <w:p w14:paraId="202A2DB6" w14:textId="77777777" w:rsidR="00635780" w:rsidRPr="00851192" w:rsidRDefault="00635780" w:rsidP="008920E3">
            <w:pPr>
              <w:rPr>
                <w:rFonts w:ascii="Arial" w:hAnsi="Arial" w:cs="Arial"/>
              </w:rPr>
            </w:pPr>
            <w:r w:rsidRPr="00851192">
              <w:rPr>
                <w:rFonts w:ascii="Arial" w:hAnsi="Arial" w:cs="Arial"/>
              </w:rPr>
              <w:t>Asia Gaming – 0</w:t>
            </w:r>
          </w:p>
        </w:tc>
      </w:tr>
      <w:tr w:rsidR="00635780" w:rsidRPr="00851192" w14:paraId="526AB5C4" w14:textId="77777777" w:rsidTr="008920E3">
        <w:tc>
          <w:tcPr>
            <w:tcW w:w="1237" w:type="dxa"/>
          </w:tcPr>
          <w:p w14:paraId="5EAAA640" w14:textId="77777777" w:rsidR="00635780" w:rsidRPr="00851192" w:rsidRDefault="00635780" w:rsidP="008920E3">
            <w:pPr>
              <w:jc w:val="center"/>
              <w:rPr>
                <w:rFonts w:ascii="Arial" w:hAnsi="Arial" w:cs="Arial"/>
              </w:rPr>
            </w:pPr>
            <w:r w:rsidRPr="00851192">
              <w:rPr>
                <w:rFonts w:ascii="Arial" w:hAnsi="Arial" w:cs="Arial"/>
              </w:rPr>
              <w:lastRenderedPageBreak/>
              <w:t>Gov5</w:t>
            </w:r>
            <w:r w:rsidRPr="00851192">
              <w:rPr>
                <w:rFonts w:ascii="Arial" w:hAnsi="Arial" w:cs="Arial"/>
              </w:rPr>
              <w:br/>
              <w:t>(</w:t>
            </w:r>
            <w:proofErr w:type="spellStart"/>
            <w:r w:rsidRPr="00851192">
              <w:rPr>
                <w:rFonts w:ascii="Arial" w:hAnsi="Arial" w:cs="Arial"/>
              </w:rPr>
              <w:t>a,c,h</w:t>
            </w:r>
            <w:proofErr w:type="spellEnd"/>
            <w:r w:rsidRPr="00851192">
              <w:rPr>
                <w:rFonts w:ascii="Arial" w:hAnsi="Arial" w:cs="Arial"/>
              </w:rPr>
              <w:t>)</w:t>
            </w:r>
          </w:p>
        </w:tc>
        <w:tc>
          <w:tcPr>
            <w:tcW w:w="1372" w:type="dxa"/>
          </w:tcPr>
          <w:p w14:paraId="53B8DD0F" w14:textId="77777777" w:rsidR="00635780" w:rsidRPr="00851192" w:rsidRDefault="00635780" w:rsidP="008920E3">
            <w:pPr>
              <w:jc w:val="center"/>
              <w:rPr>
                <w:rFonts w:ascii="Arial" w:hAnsi="Arial" w:cs="Arial"/>
              </w:rPr>
            </w:pPr>
            <w:r w:rsidRPr="00851192">
              <w:rPr>
                <w:rFonts w:ascii="Arial" w:hAnsi="Arial" w:cs="Arial"/>
              </w:rPr>
              <w:t>Government</w:t>
            </w:r>
          </w:p>
        </w:tc>
        <w:tc>
          <w:tcPr>
            <w:tcW w:w="4757" w:type="dxa"/>
          </w:tcPr>
          <w:p w14:paraId="7605734B" w14:textId="51F15219" w:rsidR="00635780" w:rsidRPr="00851192" w:rsidRDefault="00A926B7" w:rsidP="008920E3">
            <w:pPr>
              <w:rPr>
                <w:rFonts w:ascii="Arial" w:hAnsi="Arial" w:cs="Arial"/>
              </w:rPr>
            </w:pPr>
            <w:r w:rsidRPr="00851192">
              <w:rPr>
                <w:rFonts w:ascii="Arial" w:hAnsi="Arial" w:cs="Arial"/>
              </w:rPr>
              <w:t>GGO’s</w:t>
            </w:r>
            <w:r w:rsidR="00635780" w:rsidRPr="00851192">
              <w:rPr>
                <w:rFonts w:ascii="Arial" w:hAnsi="Arial" w:cs="Arial"/>
              </w:rPr>
              <w:t xml:space="preserve"> promote </w:t>
            </w:r>
            <w:r w:rsidR="003109BA" w:rsidRPr="00851192">
              <w:rPr>
                <w:rFonts w:ascii="Arial" w:hAnsi="Arial" w:cs="Arial"/>
              </w:rPr>
              <w:t>RG</w:t>
            </w:r>
            <w:r w:rsidR="00635780" w:rsidRPr="00851192">
              <w:rPr>
                <w:rFonts w:ascii="Arial" w:hAnsi="Arial" w:cs="Arial"/>
              </w:rPr>
              <w:t xml:space="preserve"> within active markets which have legislation or external pressures towards challenging</w:t>
            </w:r>
            <w:r w:rsidRPr="00851192">
              <w:rPr>
                <w:rFonts w:ascii="Arial" w:hAnsi="Arial" w:cs="Arial"/>
              </w:rPr>
              <w:t xml:space="preserve"> PG.</w:t>
            </w:r>
          </w:p>
        </w:tc>
        <w:tc>
          <w:tcPr>
            <w:tcW w:w="1701" w:type="dxa"/>
          </w:tcPr>
          <w:p w14:paraId="4A250533" w14:textId="55497071" w:rsidR="00635780" w:rsidRPr="00851192" w:rsidRDefault="00635780" w:rsidP="008920E3">
            <w:pPr>
              <w:rPr>
                <w:rFonts w:ascii="Arial" w:hAnsi="Arial" w:cs="Arial"/>
              </w:rPr>
            </w:pPr>
            <w:r w:rsidRPr="00851192">
              <w:rPr>
                <w:rFonts w:ascii="Arial" w:hAnsi="Arial" w:cs="Arial"/>
              </w:rPr>
              <w:t>Bet365 – 1</w:t>
            </w:r>
          </w:p>
          <w:p w14:paraId="0945403C" w14:textId="77777777" w:rsidR="00635780" w:rsidRPr="00851192" w:rsidRDefault="00635780" w:rsidP="008920E3">
            <w:pPr>
              <w:rPr>
                <w:rFonts w:ascii="Arial" w:hAnsi="Arial" w:cs="Arial"/>
              </w:rPr>
            </w:pPr>
            <w:proofErr w:type="spellStart"/>
            <w:r w:rsidRPr="00851192">
              <w:rPr>
                <w:rFonts w:ascii="Arial" w:hAnsi="Arial" w:cs="Arial"/>
              </w:rPr>
              <w:t>Bwin</w:t>
            </w:r>
            <w:proofErr w:type="spellEnd"/>
            <w:r w:rsidRPr="00851192">
              <w:rPr>
                <w:rFonts w:ascii="Arial" w:hAnsi="Arial" w:cs="Arial"/>
              </w:rPr>
              <w:t xml:space="preserve"> - 1</w:t>
            </w:r>
          </w:p>
          <w:p w14:paraId="40BDF4F2" w14:textId="77777777" w:rsidR="00635780" w:rsidRPr="00851192" w:rsidRDefault="00635780" w:rsidP="008920E3">
            <w:pPr>
              <w:rPr>
                <w:rFonts w:ascii="Arial" w:hAnsi="Arial" w:cs="Arial"/>
              </w:rPr>
            </w:pPr>
            <w:r w:rsidRPr="00851192">
              <w:rPr>
                <w:rFonts w:ascii="Arial" w:hAnsi="Arial" w:cs="Arial"/>
              </w:rPr>
              <w:t>Asia Gaming – 1</w:t>
            </w:r>
          </w:p>
        </w:tc>
      </w:tr>
      <w:tr w:rsidR="00635780" w:rsidRPr="00851192" w14:paraId="6E308D8B" w14:textId="77777777" w:rsidTr="008920E3">
        <w:tc>
          <w:tcPr>
            <w:tcW w:w="1237" w:type="dxa"/>
          </w:tcPr>
          <w:p w14:paraId="62CBEF7A" w14:textId="77777777" w:rsidR="00635780" w:rsidRPr="00851192" w:rsidRDefault="00635780" w:rsidP="008920E3">
            <w:pPr>
              <w:jc w:val="center"/>
              <w:rPr>
                <w:rFonts w:ascii="Arial" w:hAnsi="Arial" w:cs="Arial"/>
              </w:rPr>
            </w:pPr>
            <w:r w:rsidRPr="00851192">
              <w:rPr>
                <w:rFonts w:ascii="Arial" w:hAnsi="Arial" w:cs="Arial"/>
              </w:rPr>
              <w:t>Gov6</w:t>
            </w:r>
            <w:r w:rsidRPr="00851192">
              <w:rPr>
                <w:rFonts w:ascii="Arial" w:hAnsi="Arial" w:cs="Arial"/>
              </w:rPr>
              <w:br/>
              <w:t>(</w:t>
            </w:r>
            <w:proofErr w:type="spellStart"/>
            <w:r w:rsidRPr="00851192">
              <w:rPr>
                <w:rFonts w:ascii="Arial" w:hAnsi="Arial" w:cs="Arial"/>
              </w:rPr>
              <w:t>a,g</w:t>
            </w:r>
            <w:proofErr w:type="spellEnd"/>
            <w:r w:rsidRPr="00851192">
              <w:rPr>
                <w:rFonts w:ascii="Arial" w:hAnsi="Arial" w:cs="Arial"/>
              </w:rPr>
              <w:t>)</w:t>
            </w:r>
          </w:p>
        </w:tc>
        <w:tc>
          <w:tcPr>
            <w:tcW w:w="1372" w:type="dxa"/>
          </w:tcPr>
          <w:p w14:paraId="44AEFBE7" w14:textId="77777777" w:rsidR="00635780" w:rsidRPr="00851192" w:rsidRDefault="00635780" w:rsidP="008920E3">
            <w:pPr>
              <w:jc w:val="center"/>
              <w:rPr>
                <w:rFonts w:ascii="Arial" w:hAnsi="Arial" w:cs="Arial"/>
              </w:rPr>
            </w:pPr>
            <w:r w:rsidRPr="00851192">
              <w:rPr>
                <w:rFonts w:ascii="Arial" w:hAnsi="Arial" w:cs="Arial"/>
              </w:rPr>
              <w:t>Government</w:t>
            </w:r>
          </w:p>
        </w:tc>
        <w:tc>
          <w:tcPr>
            <w:tcW w:w="4757" w:type="dxa"/>
          </w:tcPr>
          <w:p w14:paraId="0802ABEE" w14:textId="56EF87B1" w:rsidR="00635780" w:rsidRPr="00851192" w:rsidRDefault="00A926B7" w:rsidP="008920E3">
            <w:pPr>
              <w:rPr>
                <w:rFonts w:ascii="Arial" w:hAnsi="Arial" w:cs="Arial"/>
              </w:rPr>
            </w:pPr>
            <w:r w:rsidRPr="00851192">
              <w:rPr>
                <w:rFonts w:ascii="Arial" w:hAnsi="Arial" w:cs="Arial"/>
              </w:rPr>
              <w:t>GGO’s</w:t>
            </w:r>
            <w:r w:rsidR="00635780" w:rsidRPr="00851192">
              <w:rPr>
                <w:rFonts w:ascii="Arial" w:hAnsi="Arial" w:cs="Arial"/>
              </w:rPr>
              <w:t xml:space="preserve"> are a source of gambling tourism and effectively achieve CSR communication to contribute towards economic growth</w:t>
            </w:r>
            <w:r w:rsidRPr="00851192">
              <w:rPr>
                <w:rFonts w:ascii="Arial" w:hAnsi="Arial" w:cs="Arial"/>
              </w:rPr>
              <w:t>.</w:t>
            </w:r>
          </w:p>
        </w:tc>
        <w:tc>
          <w:tcPr>
            <w:tcW w:w="1701" w:type="dxa"/>
          </w:tcPr>
          <w:p w14:paraId="698A8939" w14:textId="7D6B761D" w:rsidR="00635780" w:rsidRPr="00851192" w:rsidRDefault="00635780" w:rsidP="008920E3">
            <w:pPr>
              <w:rPr>
                <w:rFonts w:ascii="Arial" w:hAnsi="Arial" w:cs="Arial"/>
              </w:rPr>
            </w:pPr>
            <w:r w:rsidRPr="00851192">
              <w:rPr>
                <w:rFonts w:ascii="Arial" w:hAnsi="Arial" w:cs="Arial"/>
              </w:rPr>
              <w:t>Bet365 – 1</w:t>
            </w:r>
          </w:p>
          <w:p w14:paraId="02BF3FA7" w14:textId="77777777" w:rsidR="00635780" w:rsidRPr="00851192" w:rsidRDefault="00635780" w:rsidP="008920E3">
            <w:pPr>
              <w:rPr>
                <w:rFonts w:ascii="Arial" w:hAnsi="Arial" w:cs="Arial"/>
              </w:rPr>
            </w:pPr>
            <w:proofErr w:type="spellStart"/>
            <w:r w:rsidRPr="00851192">
              <w:rPr>
                <w:rFonts w:ascii="Arial" w:hAnsi="Arial" w:cs="Arial"/>
              </w:rPr>
              <w:t>Bwin</w:t>
            </w:r>
            <w:proofErr w:type="spellEnd"/>
            <w:r w:rsidRPr="00851192">
              <w:rPr>
                <w:rFonts w:ascii="Arial" w:hAnsi="Arial" w:cs="Arial"/>
              </w:rPr>
              <w:t xml:space="preserve"> - 1</w:t>
            </w:r>
          </w:p>
          <w:p w14:paraId="7DF9AB60" w14:textId="77777777" w:rsidR="00635780" w:rsidRPr="00851192" w:rsidRDefault="00635780" w:rsidP="008920E3">
            <w:pPr>
              <w:rPr>
                <w:rFonts w:ascii="Arial" w:hAnsi="Arial" w:cs="Arial"/>
              </w:rPr>
            </w:pPr>
            <w:r w:rsidRPr="00851192">
              <w:rPr>
                <w:rFonts w:ascii="Arial" w:hAnsi="Arial" w:cs="Arial"/>
              </w:rPr>
              <w:t>Asia Gaming – 1</w:t>
            </w:r>
          </w:p>
        </w:tc>
      </w:tr>
    </w:tbl>
    <w:p w14:paraId="2B0CF695" w14:textId="77777777" w:rsidR="003B1C9B" w:rsidRPr="00851192" w:rsidRDefault="003B1C9B" w:rsidP="00A95A70">
      <w:pPr>
        <w:rPr>
          <w:rFonts w:ascii="Arial" w:hAnsi="Arial" w:cs="Arial"/>
          <w:b/>
        </w:rPr>
      </w:pPr>
    </w:p>
    <w:p w14:paraId="6DB05BF2" w14:textId="6D89626A" w:rsidR="00A95A70" w:rsidRPr="00851192" w:rsidRDefault="00A95A70" w:rsidP="00A95A70">
      <w:pPr>
        <w:jc w:val="center"/>
        <w:rPr>
          <w:rFonts w:ascii="Arial" w:hAnsi="Arial" w:cs="Arial"/>
        </w:rPr>
      </w:pPr>
      <w:r w:rsidRPr="00851192">
        <w:rPr>
          <w:rFonts w:ascii="Arial" w:hAnsi="Arial" w:cs="Arial"/>
          <w:b/>
        </w:rPr>
        <w:t xml:space="preserve">Table </w:t>
      </w:r>
      <w:r w:rsidR="0093576E" w:rsidRPr="00851192">
        <w:rPr>
          <w:rFonts w:ascii="Arial" w:hAnsi="Arial" w:cs="Arial"/>
          <w:b/>
        </w:rPr>
        <w:t>4.</w:t>
      </w:r>
      <w:r w:rsidR="004006B9" w:rsidRPr="00851192">
        <w:rPr>
          <w:rFonts w:ascii="Arial" w:hAnsi="Arial" w:cs="Arial"/>
          <w:b/>
        </w:rPr>
        <w:t>2</w:t>
      </w:r>
      <w:r w:rsidRPr="00851192">
        <w:rPr>
          <w:rFonts w:ascii="Arial" w:hAnsi="Arial" w:cs="Arial"/>
          <w:b/>
        </w:rPr>
        <w:t xml:space="preserve"> </w:t>
      </w:r>
      <w:r w:rsidRPr="00851192">
        <w:rPr>
          <w:rFonts w:ascii="Arial" w:hAnsi="Arial" w:cs="Arial"/>
        </w:rPr>
        <w:t xml:space="preserve">Ethical and Responsible Index </w:t>
      </w:r>
      <w:r w:rsidR="0093576E" w:rsidRPr="00851192">
        <w:rPr>
          <w:rFonts w:ascii="Arial" w:hAnsi="Arial" w:cs="Arial"/>
        </w:rPr>
        <w:t>Marks</w:t>
      </w:r>
      <w:r w:rsidR="004C1009" w:rsidRPr="00851192">
        <w:rPr>
          <w:rFonts w:ascii="Arial" w:hAnsi="Arial" w:cs="Arial"/>
        </w:rPr>
        <w:t xml:space="preserve"> against </w:t>
      </w:r>
      <w:r w:rsidR="005F4D2A" w:rsidRPr="00851192">
        <w:rPr>
          <w:rFonts w:ascii="Arial" w:hAnsi="Arial" w:cs="Arial"/>
        </w:rPr>
        <w:t>Tata and Prasad’s (2015) Categories of CSR and CSR communication</w:t>
      </w:r>
    </w:p>
    <w:tbl>
      <w:tblPr>
        <w:tblStyle w:val="TableGrid"/>
        <w:tblW w:w="0" w:type="auto"/>
        <w:tblLook w:val="04A0" w:firstRow="1" w:lastRow="0" w:firstColumn="1" w:lastColumn="0" w:noHBand="0" w:noVBand="1"/>
      </w:tblPr>
      <w:tblGrid>
        <w:gridCol w:w="3005"/>
        <w:gridCol w:w="3005"/>
        <w:gridCol w:w="3006"/>
      </w:tblGrid>
      <w:tr w:rsidR="00A95A70" w:rsidRPr="00851192" w14:paraId="39B939C1" w14:textId="77777777" w:rsidTr="00292DA5">
        <w:tc>
          <w:tcPr>
            <w:tcW w:w="3005" w:type="dxa"/>
          </w:tcPr>
          <w:p w14:paraId="21C43393" w14:textId="13BF7317" w:rsidR="00A95A70" w:rsidRPr="00851192" w:rsidRDefault="004C1009" w:rsidP="00292DA5">
            <w:pPr>
              <w:jc w:val="center"/>
              <w:rPr>
                <w:rFonts w:ascii="Arial" w:hAnsi="Arial" w:cs="Arial"/>
                <w:b/>
              </w:rPr>
            </w:pPr>
            <w:r w:rsidRPr="00851192">
              <w:rPr>
                <w:rFonts w:ascii="Arial" w:hAnsi="Arial" w:cs="Arial"/>
                <w:b/>
              </w:rPr>
              <w:t>Item</w:t>
            </w:r>
          </w:p>
        </w:tc>
        <w:tc>
          <w:tcPr>
            <w:tcW w:w="3005" w:type="dxa"/>
          </w:tcPr>
          <w:p w14:paraId="7EFB4E2A" w14:textId="77777777" w:rsidR="00A95A70" w:rsidRPr="00851192" w:rsidRDefault="00A95A70" w:rsidP="00292DA5">
            <w:pPr>
              <w:jc w:val="center"/>
              <w:rPr>
                <w:rFonts w:ascii="Arial" w:hAnsi="Arial" w:cs="Arial"/>
                <w:b/>
              </w:rPr>
            </w:pPr>
            <w:r w:rsidRPr="00851192">
              <w:rPr>
                <w:rFonts w:ascii="Arial" w:hAnsi="Arial" w:cs="Arial"/>
                <w:b/>
              </w:rPr>
              <w:t>Ethical and Responsible Identity</w:t>
            </w:r>
          </w:p>
        </w:tc>
        <w:tc>
          <w:tcPr>
            <w:tcW w:w="3006" w:type="dxa"/>
          </w:tcPr>
          <w:p w14:paraId="09F29134" w14:textId="265A4EB9" w:rsidR="00A95A70" w:rsidRPr="00851192" w:rsidRDefault="00ED555F" w:rsidP="004F0DB4">
            <w:pPr>
              <w:jc w:val="center"/>
              <w:rPr>
                <w:rFonts w:ascii="Arial" w:hAnsi="Arial" w:cs="Arial"/>
                <w:b/>
              </w:rPr>
            </w:pPr>
            <w:r w:rsidRPr="00851192">
              <w:rPr>
                <w:rFonts w:ascii="Arial" w:hAnsi="Arial" w:cs="Arial"/>
                <w:b/>
              </w:rPr>
              <w:t>Mark</w:t>
            </w:r>
            <w:r w:rsidR="00A95A70" w:rsidRPr="00851192">
              <w:rPr>
                <w:rFonts w:ascii="Arial" w:hAnsi="Arial" w:cs="Arial"/>
                <w:b/>
              </w:rPr>
              <w:t xml:space="preserve"> and Company Which Displays </w:t>
            </w:r>
            <w:r w:rsidR="004F0DB4" w:rsidRPr="00851192">
              <w:rPr>
                <w:rFonts w:ascii="Arial" w:hAnsi="Arial" w:cs="Arial"/>
                <w:b/>
              </w:rPr>
              <w:t>Qualities</w:t>
            </w:r>
          </w:p>
        </w:tc>
      </w:tr>
      <w:tr w:rsidR="00A95A70" w:rsidRPr="00851192" w14:paraId="24550F4A" w14:textId="77777777" w:rsidTr="00292DA5">
        <w:tc>
          <w:tcPr>
            <w:tcW w:w="3005" w:type="dxa"/>
          </w:tcPr>
          <w:p w14:paraId="11E96DFE" w14:textId="77777777" w:rsidR="00A95A70" w:rsidRPr="00851192" w:rsidRDefault="00A95A70" w:rsidP="00292DA5">
            <w:pPr>
              <w:jc w:val="center"/>
              <w:rPr>
                <w:rFonts w:ascii="Arial" w:hAnsi="Arial" w:cs="Arial"/>
              </w:rPr>
            </w:pPr>
            <w:r w:rsidRPr="00851192">
              <w:rPr>
                <w:rFonts w:ascii="Arial" w:hAnsi="Arial" w:cs="Arial"/>
              </w:rPr>
              <w:t>(a)</w:t>
            </w:r>
          </w:p>
        </w:tc>
        <w:tc>
          <w:tcPr>
            <w:tcW w:w="3005" w:type="dxa"/>
          </w:tcPr>
          <w:p w14:paraId="432D6AB0" w14:textId="77777777" w:rsidR="00A95A70" w:rsidRPr="00851192" w:rsidRDefault="00A95A70" w:rsidP="00A926B7">
            <w:pPr>
              <w:rPr>
                <w:rFonts w:ascii="Arial" w:hAnsi="Arial" w:cs="Arial"/>
              </w:rPr>
            </w:pPr>
            <w:r w:rsidRPr="00851192">
              <w:rPr>
                <w:rFonts w:ascii="Arial" w:hAnsi="Arial" w:cs="Arial"/>
              </w:rPr>
              <w:t>Commitments to society.</w:t>
            </w:r>
          </w:p>
        </w:tc>
        <w:tc>
          <w:tcPr>
            <w:tcW w:w="3006" w:type="dxa"/>
          </w:tcPr>
          <w:p w14:paraId="4062AB5E" w14:textId="1E9F394A" w:rsidR="00A95A70" w:rsidRPr="00851192" w:rsidRDefault="00ED555F" w:rsidP="00635780">
            <w:pPr>
              <w:jc w:val="center"/>
              <w:rPr>
                <w:rFonts w:ascii="Arial" w:hAnsi="Arial" w:cs="Arial"/>
              </w:rPr>
            </w:pPr>
            <w:r w:rsidRPr="00851192">
              <w:rPr>
                <w:rFonts w:ascii="Arial" w:hAnsi="Arial" w:cs="Arial"/>
              </w:rPr>
              <w:t xml:space="preserve">Bet365 – </w:t>
            </w:r>
            <w:r w:rsidR="00635780" w:rsidRPr="00851192">
              <w:rPr>
                <w:rFonts w:ascii="Arial" w:hAnsi="Arial" w:cs="Arial"/>
              </w:rPr>
              <w:t>8</w:t>
            </w:r>
            <w:r w:rsidRPr="00851192">
              <w:rPr>
                <w:rFonts w:ascii="Arial" w:hAnsi="Arial" w:cs="Arial"/>
              </w:rPr>
              <w:br/>
            </w:r>
            <w:proofErr w:type="spellStart"/>
            <w:r w:rsidRPr="00851192">
              <w:rPr>
                <w:rFonts w:ascii="Arial" w:hAnsi="Arial" w:cs="Arial"/>
              </w:rPr>
              <w:t>Bwin</w:t>
            </w:r>
            <w:proofErr w:type="spellEnd"/>
            <w:r w:rsidRPr="00851192">
              <w:rPr>
                <w:rFonts w:ascii="Arial" w:hAnsi="Arial" w:cs="Arial"/>
              </w:rPr>
              <w:t xml:space="preserve"> – </w:t>
            </w:r>
            <w:r w:rsidR="00635780" w:rsidRPr="00851192">
              <w:rPr>
                <w:rFonts w:ascii="Arial" w:hAnsi="Arial" w:cs="Arial"/>
              </w:rPr>
              <w:t>7</w:t>
            </w:r>
            <w:r w:rsidRPr="00851192">
              <w:rPr>
                <w:rFonts w:ascii="Arial" w:hAnsi="Arial" w:cs="Arial"/>
              </w:rPr>
              <w:br/>
              <w:t>Asia Gaming</w:t>
            </w:r>
            <w:r w:rsidR="00A95A70" w:rsidRPr="00851192">
              <w:rPr>
                <w:rFonts w:ascii="Arial" w:hAnsi="Arial" w:cs="Arial"/>
              </w:rPr>
              <w:t xml:space="preserve"> – 6</w:t>
            </w:r>
          </w:p>
        </w:tc>
      </w:tr>
      <w:tr w:rsidR="00A95A70" w:rsidRPr="00851192" w14:paraId="73F22234" w14:textId="77777777" w:rsidTr="00292DA5">
        <w:tc>
          <w:tcPr>
            <w:tcW w:w="3005" w:type="dxa"/>
          </w:tcPr>
          <w:p w14:paraId="6E385110" w14:textId="77777777" w:rsidR="00A95A70" w:rsidRPr="00851192" w:rsidRDefault="00A95A70" w:rsidP="00292DA5">
            <w:pPr>
              <w:jc w:val="center"/>
              <w:rPr>
                <w:rFonts w:ascii="Arial" w:hAnsi="Arial" w:cs="Arial"/>
              </w:rPr>
            </w:pPr>
            <w:r w:rsidRPr="00851192">
              <w:rPr>
                <w:rFonts w:ascii="Arial" w:hAnsi="Arial" w:cs="Arial"/>
              </w:rPr>
              <w:t>(b)</w:t>
            </w:r>
          </w:p>
        </w:tc>
        <w:tc>
          <w:tcPr>
            <w:tcW w:w="3005" w:type="dxa"/>
          </w:tcPr>
          <w:p w14:paraId="018AC216" w14:textId="77777777" w:rsidR="00A95A70" w:rsidRPr="00851192" w:rsidRDefault="00A95A70" w:rsidP="00A926B7">
            <w:pPr>
              <w:rPr>
                <w:rFonts w:ascii="Arial" w:hAnsi="Arial" w:cs="Arial"/>
              </w:rPr>
            </w:pPr>
            <w:r w:rsidRPr="00851192">
              <w:rPr>
                <w:rFonts w:ascii="Arial" w:hAnsi="Arial" w:cs="Arial"/>
              </w:rPr>
              <w:t>Disclosure of corporate vision and mission.</w:t>
            </w:r>
          </w:p>
          <w:p w14:paraId="43446F6D" w14:textId="77777777" w:rsidR="00A95A70" w:rsidRPr="00851192" w:rsidRDefault="00A95A70" w:rsidP="00A926B7">
            <w:pPr>
              <w:rPr>
                <w:rFonts w:ascii="Arial" w:hAnsi="Arial" w:cs="Arial"/>
              </w:rPr>
            </w:pPr>
          </w:p>
        </w:tc>
        <w:tc>
          <w:tcPr>
            <w:tcW w:w="3006" w:type="dxa"/>
          </w:tcPr>
          <w:p w14:paraId="33739399" w14:textId="5D657E02" w:rsidR="00A95A70" w:rsidRPr="00851192" w:rsidRDefault="00ED555F" w:rsidP="00292DA5">
            <w:pPr>
              <w:jc w:val="center"/>
              <w:rPr>
                <w:rFonts w:ascii="Arial" w:hAnsi="Arial" w:cs="Arial"/>
              </w:rPr>
            </w:pPr>
            <w:r w:rsidRPr="00851192">
              <w:rPr>
                <w:rFonts w:ascii="Arial" w:hAnsi="Arial" w:cs="Arial"/>
              </w:rPr>
              <w:t>Bet365 – 11</w:t>
            </w:r>
            <w:r w:rsidRPr="00851192">
              <w:rPr>
                <w:rFonts w:ascii="Arial" w:hAnsi="Arial" w:cs="Arial"/>
              </w:rPr>
              <w:br/>
            </w:r>
            <w:proofErr w:type="spellStart"/>
            <w:r w:rsidRPr="00851192">
              <w:rPr>
                <w:rFonts w:ascii="Arial" w:hAnsi="Arial" w:cs="Arial"/>
              </w:rPr>
              <w:t>Bwin</w:t>
            </w:r>
            <w:proofErr w:type="spellEnd"/>
            <w:r w:rsidRPr="00851192">
              <w:rPr>
                <w:rFonts w:ascii="Arial" w:hAnsi="Arial" w:cs="Arial"/>
              </w:rPr>
              <w:t xml:space="preserve"> – 11</w:t>
            </w:r>
            <w:r w:rsidRPr="00851192">
              <w:rPr>
                <w:rFonts w:ascii="Arial" w:hAnsi="Arial" w:cs="Arial"/>
              </w:rPr>
              <w:br/>
              <w:t>Asia Gaming</w:t>
            </w:r>
            <w:r w:rsidR="00A95A70" w:rsidRPr="00851192">
              <w:rPr>
                <w:rFonts w:ascii="Arial" w:hAnsi="Arial" w:cs="Arial"/>
              </w:rPr>
              <w:t xml:space="preserve"> – 10</w:t>
            </w:r>
          </w:p>
        </w:tc>
      </w:tr>
      <w:tr w:rsidR="00A95A70" w:rsidRPr="00851192" w14:paraId="1316F19E" w14:textId="77777777" w:rsidTr="00292DA5">
        <w:tc>
          <w:tcPr>
            <w:tcW w:w="3005" w:type="dxa"/>
          </w:tcPr>
          <w:p w14:paraId="2B172BFD" w14:textId="77777777" w:rsidR="00A95A70" w:rsidRPr="00851192" w:rsidRDefault="00A95A70" w:rsidP="00292DA5">
            <w:pPr>
              <w:jc w:val="center"/>
              <w:rPr>
                <w:rFonts w:ascii="Arial" w:hAnsi="Arial" w:cs="Arial"/>
              </w:rPr>
            </w:pPr>
            <w:r w:rsidRPr="00851192">
              <w:rPr>
                <w:rFonts w:ascii="Arial" w:hAnsi="Arial" w:cs="Arial"/>
              </w:rPr>
              <w:t>(c)</w:t>
            </w:r>
          </w:p>
        </w:tc>
        <w:tc>
          <w:tcPr>
            <w:tcW w:w="3005" w:type="dxa"/>
          </w:tcPr>
          <w:p w14:paraId="32FF4F92" w14:textId="77777777" w:rsidR="00A95A70" w:rsidRPr="00851192" w:rsidRDefault="00A95A70" w:rsidP="00A926B7">
            <w:pPr>
              <w:rPr>
                <w:rFonts w:ascii="Arial" w:hAnsi="Arial" w:cs="Arial"/>
              </w:rPr>
            </w:pPr>
            <w:r w:rsidRPr="00851192">
              <w:rPr>
                <w:rFonts w:ascii="Arial" w:hAnsi="Arial" w:cs="Arial"/>
              </w:rPr>
              <w:t>Contribution to and management of problem gambling research.</w:t>
            </w:r>
          </w:p>
        </w:tc>
        <w:tc>
          <w:tcPr>
            <w:tcW w:w="3006" w:type="dxa"/>
          </w:tcPr>
          <w:p w14:paraId="079C5288" w14:textId="021EF4C0" w:rsidR="00A95A70" w:rsidRPr="00851192" w:rsidRDefault="00ED555F" w:rsidP="00635780">
            <w:pPr>
              <w:jc w:val="center"/>
              <w:rPr>
                <w:rFonts w:ascii="Arial" w:hAnsi="Arial" w:cs="Arial"/>
              </w:rPr>
            </w:pPr>
            <w:r w:rsidRPr="00851192">
              <w:rPr>
                <w:rFonts w:ascii="Arial" w:hAnsi="Arial" w:cs="Arial"/>
              </w:rPr>
              <w:t>Be</w:t>
            </w:r>
            <w:r w:rsidR="00A926B7" w:rsidRPr="00851192">
              <w:rPr>
                <w:rFonts w:ascii="Arial" w:hAnsi="Arial" w:cs="Arial"/>
              </w:rPr>
              <w:t>t</w:t>
            </w:r>
            <w:r w:rsidRPr="00851192">
              <w:rPr>
                <w:rFonts w:ascii="Arial" w:hAnsi="Arial" w:cs="Arial"/>
              </w:rPr>
              <w:t xml:space="preserve">365 – </w:t>
            </w:r>
            <w:r w:rsidR="00635780" w:rsidRPr="00851192">
              <w:rPr>
                <w:rFonts w:ascii="Arial" w:hAnsi="Arial" w:cs="Arial"/>
              </w:rPr>
              <w:t>5</w:t>
            </w:r>
            <w:r w:rsidRPr="00851192">
              <w:rPr>
                <w:rFonts w:ascii="Arial" w:hAnsi="Arial" w:cs="Arial"/>
              </w:rPr>
              <w:br/>
            </w:r>
            <w:proofErr w:type="spellStart"/>
            <w:r w:rsidRPr="00851192">
              <w:rPr>
                <w:rFonts w:ascii="Arial" w:hAnsi="Arial" w:cs="Arial"/>
              </w:rPr>
              <w:t>Bwin</w:t>
            </w:r>
            <w:proofErr w:type="spellEnd"/>
            <w:r w:rsidR="00635780" w:rsidRPr="00851192">
              <w:rPr>
                <w:rFonts w:ascii="Arial" w:hAnsi="Arial" w:cs="Arial"/>
              </w:rPr>
              <w:t xml:space="preserve"> – 4</w:t>
            </w:r>
            <w:r w:rsidRPr="00851192">
              <w:rPr>
                <w:rFonts w:ascii="Arial" w:hAnsi="Arial" w:cs="Arial"/>
              </w:rPr>
              <w:br/>
              <w:t>Asia Gaming</w:t>
            </w:r>
            <w:r w:rsidR="00A95A70" w:rsidRPr="00851192">
              <w:rPr>
                <w:rFonts w:ascii="Arial" w:hAnsi="Arial" w:cs="Arial"/>
              </w:rPr>
              <w:t xml:space="preserve"> – 3</w:t>
            </w:r>
          </w:p>
        </w:tc>
      </w:tr>
      <w:tr w:rsidR="00A95A70" w:rsidRPr="00851192" w14:paraId="60026553" w14:textId="77777777" w:rsidTr="00292DA5">
        <w:tc>
          <w:tcPr>
            <w:tcW w:w="3005" w:type="dxa"/>
          </w:tcPr>
          <w:p w14:paraId="723FF570" w14:textId="77777777" w:rsidR="00A95A70" w:rsidRPr="00851192" w:rsidRDefault="00A95A70" w:rsidP="00292DA5">
            <w:pPr>
              <w:jc w:val="center"/>
              <w:rPr>
                <w:rFonts w:ascii="Arial" w:hAnsi="Arial" w:cs="Arial"/>
              </w:rPr>
            </w:pPr>
            <w:r w:rsidRPr="00851192">
              <w:rPr>
                <w:rFonts w:ascii="Arial" w:hAnsi="Arial" w:cs="Arial"/>
              </w:rPr>
              <w:t>(d)</w:t>
            </w:r>
          </w:p>
        </w:tc>
        <w:tc>
          <w:tcPr>
            <w:tcW w:w="3005" w:type="dxa"/>
          </w:tcPr>
          <w:p w14:paraId="1AB7CEFD" w14:textId="77777777" w:rsidR="00A95A70" w:rsidRPr="00851192" w:rsidRDefault="00A95A70" w:rsidP="00A926B7">
            <w:pPr>
              <w:rPr>
                <w:rFonts w:ascii="Arial" w:hAnsi="Arial" w:cs="Arial"/>
              </w:rPr>
            </w:pPr>
            <w:r w:rsidRPr="00851192">
              <w:rPr>
                <w:rFonts w:ascii="Arial" w:hAnsi="Arial" w:cs="Arial"/>
              </w:rPr>
              <w:t>Information to suggest effective and purposeful management.</w:t>
            </w:r>
          </w:p>
        </w:tc>
        <w:tc>
          <w:tcPr>
            <w:tcW w:w="3006" w:type="dxa"/>
          </w:tcPr>
          <w:p w14:paraId="188C78C9" w14:textId="78A0282A" w:rsidR="00A95A70" w:rsidRPr="00851192" w:rsidRDefault="00ED555F" w:rsidP="00ED555F">
            <w:pPr>
              <w:jc w:val="center"/>
              <w:rPr>
                <w:rFonts w:ascii="Arial" w:hAnsi="Arial" w:cs="Arial"/>
              </w:rPr>
            </w:pPr>
            <w:r w:rsidRPr="00851192">
              <w:rPr>
                <w:rFonts w:ascii="Arial" w:hAnsi="Arial" w:cs="Arial"/>
              </w:rPr>
              <w:t>Bet365 – 12</w:t>
            </w:r>
            <w:r w:rsidRPr="00851192">
              <w:rPr>
                <w:rFonts w:ascii="Arial" w:hAnsi="Arial" w:cs="Arial"/>
              </w:rPr>
              <w:br/>
            </w:r>
            <w:proofErr w:type="spellStart"/>
            <w:r w:rsidRPr="00851192">
              <w:rPr>
                <w:rFonts w:ascii="Arial" w:hAnsi="Arial" w:cs="Arial"/>
              </w:rPr>
              <w:t>Bwin</w:t>
            </w:r>
            <w:proofErr w:type="spellEnd"/>
            <w:r w:rsidRPr="00851192">
              <w:rPr>
                <w:rFonts w:ascii="Arial" w:hAnsi="Arial" w:cs="Arial"/>
              </w:rPr>
              <w:t xml:space="preserve"> – 11</w:t>
            </w:r>
            <w:r w:rsidRPr="00851192">
              <w:rPr>
                <w:rFonts w:ascii="Arial" w:hAnsi="Arial" w:cs="Arial"/>
              </w:rPr>
              <w:br/>
              <w:t>Asia Gaming</w:t>
            </w:r>
            <w:r w:rsidR="00A95A70" w:rsidRPr="00851192">
              <w:rPr>
                <w:rFonts w:ascii="Arial" w:hAnsi="Arial" w:cs="Arial"/>
              </w:rPr>
              <w:t xml:space="preserve"> – 6</w:t>
            </w:r>
          </w:p>
        </w:tc>
      </w:tr>
      <w:tr w:rsidR="00A95A70" w:rsidRPr="00851192" w14:paraId="238FC830" w14:textId="77777777" w:rsidTr="00292DA5">
        <w:tc>
          <w:tcPr>
            <w:tcW w:w="3005" w:type="dxa"/>
          </w:tcPr>
          <w:p w14:paraId="56F604BB" w14:textId="77777777" w:rsidR="00A95A70" w:rsidRPr="00851192" w:rsidRDefault="00A95A70" w:rsidP="00292DA5">
            <w:pPr>
              <w:jc w:val="center"/>
              <w:rPr>
                <w:rFonts w:ascii="Arial" w:hAnsi="Arial" w:cs="Arial"/>
              </w:rPr>
            </w:pPr>
            <w:r w:rsidRPr="00851192">
              <w:rPr>
                <w:rFonts w:ascii="Arial" w:hAnsi="Arial" w:cs="Arial"/>
              </w:rPr>
              <w:t>(e)</w:t>
            </w:r>
          </w:p>
        </w:tc>
        <w:tc>
          <w:tcPr>
            <w:tcW w:w="3005" w:type="dxa"/>
          </w:tcPr>
          <w:p w14:paraId="37206322" w14:textId="77777777" w:rsidR="00A95A70" w:rsidRPr="00851192" w:rsidRDefault="00A95A70" w:rsidP="00A926B7">
            <w:pPr>
              <w:rPr>
                <w:rFonts w:ascii="Arial" w:hAnsi="Arial" w:cs="Arial"/>
              </w:rPr>
            </w:pPr>
            <w:r w:rsidRPr="00851192">
              <w:rPr>
                <w:rFonts w:ascii="Arial" w:hAnsi="Arial" w:cs="Arial"/>
              </w:rPr>
              <w:t>Opportunity for employee growth.</w:t>
            </w:r>
          </w:p>
          <w:p w14:paraId="7087EA16" w14:textId="77777777" w:rsidR="00A95A70" w:rsidRPr="00851192" w:rsidRDefault="00A95A70" w:rsidP="00A926B7">
            <w:pPr>
              <w:rPr>
                <w:rFonts w:ascii="Arial" w:hAnsi="Arial" w:cs="Arial"/>
              </w:rPr>
            </w:pPr>
          </w:p>
        </w:tc>
        <w:tc>
          <w:tcPr>
            <w:tcW w:w="3006" w:type="dxa"/>
          </w:tcPr>
          <w:p w14:paraId="292C4CEC" w14:textId="3331B8DD" w:rsidR="00A95A70" w:rsidRPr="00851192" w:rsidRDefault="00ED555F" w:rsidP="00292DA5">
            <w:pPr>
              <w:jc w:val="center"/>
              <w:rPr>
                <w:rFonts w:ascii="Arial" w:hAnsi="Arial" w:cs="Arial"/>
              </w:rPr>
            </w:pPr>
            <w:r w:rsidRPr="00851192">
              <w:rPr>
                <w:rFonts w:ascii="Arial" w:hAnsi="Arial" w:cs="Arial"/>
              </w:rPr>
              <w:t>Bet365 – 2</w:t>
            </w:r>
            <w:r w:rsidRPr="00851192">
              <w:rPr>
                <w:rFonts w:ascii="Arial" w:hAnsi="Arial" w:cs="Arial"/>
              </w:rPr>
              <w:br/>
            </w:r>
            <w:proofErr w:type="spellStart"/>
            <w:r w:rsidRPr="00851192">
              <w:rPr>
                <w:rFonts w:ascii="Arial" w:hAnsi="Arial" w:cs="Arial"/>
              </w:rPr>
              <w:t>Bwin</w:t>
            </w:r>
            <w:proofErr w:type="spellEnd"/>
            <w:r w:rsidR="00A95A70" w:rsidRPr="00851192">
              <w:rPr>
                <w:rFonts w:ascii="Arial" w:hAnsi="Arial" w:cs="Arial"/>
              </w:rPr>
              <w:t xml:space="preserve"> </w:t>
            </w:r>
            <w:r w:rsidRPr="00851192">
              <w:rPr>
                <w:rFonts w:ascii="Arial" w:hAnsi="Arial" w:cs="Arial"/>
              </w:rPr>
              <w:t>– 2</w:t>
            </w:r>
            <w:r w:rsidRPr="00851192">
              <w:rPr>
                <w:rFonts w:ascii="Arial" w:hAnsi="Arial" w:cs="Arial"/>
              </w:rPr>
              <w:br/>
              <w:t>Asia Gaming</w:t>
            </w:r>
            <w:r w:rsidR="00A95A70" w:rsidRPr="00851192">
              <w:rPr>
                <w:rFonts w:ascii="Arial" w:hAnsi="Arial" w:cs="Arial"/>
              </w:rPr>
              <w:t xml:space="preserve"> – 1</w:t>
            </w:r>
          </w:p>
        </w:tc>
      </w:tr>
      <w:tr w:rsidR="00A95A70" w:rsidRPr="00851192" w14:paraId="1B404EA0" w14:textId="77777777" w:rsidTr="00292DA5">
        <w:tc>
          <w:tcPr>
            <w:tcW w:w="3005" w:type="dxa"/>
          </w:tcPr>
          <w:p w14:paraId="5DFF93BB" w14:textId="77777777" w:rsidR="00A95A70" w:rsidRPr="00851192" w:rsidRDefault="00A95A70" w:rsidP="00292DA5">
            <w:pPr>
              <w:jc w:val="center"/>
              <w:rPr>
                <w:rFonts w:ascii="Arial" w:hAnsi="Arial" w:cs="Arial"/>
              </w:rPr>
            </w:pPr>
            <w:r w:rsidRPr="00851192">
              <w:rPr>
                <w:rFonts w:ascii="Arial" w:hAnsi="Arial" w:cs="Arial"/>
              </w:rPr>
              <w:t>(f)</w:t>
            </w:r>
          </w:p>
        </w:tc>
        <w:tc>
          <w:tcPr>
            <w:tcW w:w="3005" w:type="dxa"/>
          </w:tcPr>
          <w:p w14:paraId="30D352EA" w14:textId="77777777" w:rsidR="00A95A70" w:rsidRPr="00851192" w:rsidRDefault="00A95A70" w:rsidP="00A926B7">
            <w:pPr>
              <w:rPr>
                <w:rFonts w:ascii="Arial" w:hAnsi="Arial" w:cs="Arial"/>
              </w:rPr>
            </w:pPr>
            <w:r w:rsidRPr="00851192">
              <w:rPr>
                <w:rFonts w:ascii="Arial" w:hAnsi="Arial" w:cs="Arial"/>
              </w:rPr>
              <w:t>Effectively achieve CSR communications to external stakeholders.</w:t>
            </w:r>
          </w:p>
        </w:tc>
        <w:tc>
          <w:tcPr>
            <w:tcW w:w="3006" w:type="dxa"/>
          </w:tcPr>
          <w:p w14:paraId="362096A7" w14:textId="158DCC88" w:rsidR="00A95A70" w:rsidRPr="00851192" w:rsidRDefault="00ED555F" w:rsidP="00292DA5">
            <w:pPr>
              <w:jc w:val="center"/>
              <w:rPr>
                <w:rFonts w:ascii="Arial" w:hAnsi="Arial" w:cs="Arial"/>
              </w:rPr>
            </w:pPr>
            <w:r w:rsidRPr="00851192">
              <w:rPr>
                <w:rFonts w:ascii="Arial" w:hAnsi="Arial" w:cs="Arial"/>
              </w:rPr>
              <w:t>Bet365 – 3</w:t>
            </w:r>
            <w:r w:rsidRPr="00851192">
              <w:rPr>
                <w:rFonts w:ascii="Arial" w:hAnsi="Arial" w:cs="Arial"/>
              </w:rPr>
              <w:br/>
            </w:r>
            <w:proofErr w:type="spellStart"/>
            <w:r w:rsidRPr="00851192">
              <w:rPr>
                <w:rFonts w:ascii="Arial" w:hAnsi="Arial" w:cs="Arial"/>
              </w:rPr>
              <w:t>Bwin</w:t>
            </w:r>
            <w:proofErr w:type="spellEnd"/>
            <w:r w:rsidRPr="00851192">
              <w:rPr>
                <w:rFonts w:ascii="Arial" w:hAnsi="Arial" w:cs="Arial"/>
              </w:rPr>
              <w:t xml:space="preserve"> – 3</w:t>
            </w:r>
            <w:r w:rsidRPr="00851192">
              <w:rPr>
                <w:rFonts w:ascii="Arial" w:hAnsi="Arial" w:cs="Arial"/>
              </w:rPr>
              <w:br/>
              <w:t>Asia Gaming</w:t>
            </w:r>
            <w:r w:rsidR="00A95A70" w:rsidRPr="00851192">
              <w:rPr>
                <w:rFonts w:ascii="Arial" w:hAnsi="Arial" w:cs="Arial"/>
              </w:rPr>
              <w:t xml:space="preserve"> – 3</w:t>
            </w:r>
          </w:p>
        </w:tc>
      </w:tr>
      <w:tr w:rsidR="00A95A70" w:rsidRPr="00851192" w14:paraId="27078331" w14:textId="77777777" w:rsidTr="00292DA5">
        <w:tc>
          <w:tcPr>
            <w:tcW w:w="3005" w:type="dxa"/>
          </w:tcPr>
          <w:p w14:paraId="0D150E52" w14:textId="77777777" w:rsidR="00A95A70" w:rsidRPr="00851192" w:rsidRDefault="00A95A70" w:rsidP="00292DA5">
            <w:pPr>
              <w:jc w:val="center"/>
              <w:rPr>
                <w:rFonts w:ascii="Arial" w:hAnsi="Arial" w:cs="Arial"/>
              </w:rPr>
            </w:pPr>
            <w:r w:rsidRPr="00851192">
              <w:rPr>
                <w:rFonts w:ascii="Arial" w:hAnsi="Arial" w:cs="Arial"/>
              </w:rPr>
              <w:t>(g)</w:t>
            </w:r>
          </w:p>
        </w:tc>
        <w:tc>
          <w:tcPr>
            <w:tcW w:w="3005" w:type="dxa"/>
          </w:tcPr>
          <w:p w14:paraId="7BD30A1F" w14:textId="77777777" w:rsidR="00A95A70" w:rsidRPr="00851192" w:rsidRDefault="00A95A70" w:rsidP="00A926B7">
            <w:pPr>
              <w:rPr>
                <w:rFonts w:ascii="Arial" w:hAnsi="Arial" w:cs="Arial"/>
              </w:rPr>
            </w:pPr>
            <w:r w:rsidRPr="00851192">
              <w:rPr>
                <w:rFonts w:ascii="Arial" w:hAnsi="Arial" w:cs="Arial"/>
              </w:rPr>
              <w:t>Contribute towards economic growth.</w:t>
            </w:r>
          </w:p>
          <w:p w14:paraId="6A383927" w14:textId="77777777" w:rsidR="00A95A70" w:rsidRPr="00851192" w:rsidRDefault="00A95A70" w:rsidP="00A926B7">
            <w:pPr>
              <w:rPr>
                <w:rFonts w:ascii="Arial" w:hAnsi="Arial" w:cs="Arial"/>
              </w:rPr>
            </w:pPr>
          </w:p>
        </w:tc>
        <w:tc>
          <w:tcPr>
            <w:tcW w:w="3006" w:type="dxa"/>
          </w:tcPr>
          <w:p w14:paraId="09F56A9B" w14:textId="7BEC3380" w:rsidR="00A95A70" w:rsidRPr="00851192" w:rsidRDefault="00ED555F" w:rsidP="00292DA5">
            <w:pPr>
              <w:jc w:val="center"/>
              <w:rPr>
                <w:rFonts w:ascii="Arial" w:hAnsi="Arial" w:cs="Arial"/>
              </w:rPr>
            </w:pPr>
            <w:r w:rsidRPr="00851192">
              <w:rPr>
                <w:rFonts w:ascii="Arial" w:hAnsi="Arial" w:cs="Arial"/>
              </w:rPr>
              <w:t>Bet365 – 4</w:t>
            </w:r>
            <w:r w:rsidRPr="00851192">
              <w:rPr>
                <w:rFonts w:ascii="Arial" w:hAnsi="Arial" w:cs="Arial"/>
              </w:rPr>
              <w:br/>
            </w:r>
            <w:proofErr w:type="spellStart"/>
            <w:r w:rsidRPr="00851192">
              <w:rPr>
                <w:rFonts w:ascii="Arial" w:hAnsi="Arial" w:cs="Arial"/>
              </w:rPr>
              <w:t>Bwin</w:t>
            </w:r>
            <w:proofErr w:type="spellEnd"/>
            <w:r w:rsidRPr="00851192">
              <w:rPr>
                <w:rFonts w:ascii="Arial" w:hAnsi="Arial" w:cs="Arial"/>
              </w:rPr>
              <w:t xml:space="preserve"> – 3</w:t>
            </w:r>
            <w:r w:rsidRPr="00851192">
              <w:rPr>
                <w:rFonts w:ascii="Arial" w:hAnsi="Arial" w:cs="Arial"/>
              </w:rPr>
              <w:br/>
              <w:t>Asia Gaming</w:t>
            </w:r>
            <w:r w:rsidR="00A95A70" w:rsidRPr="00851192">
              <w:rPr>
                <w:rFonts w:ascii="Arial" w:hAnsi="Arial" w:cs="Arial"/>
              </w:rPr>
              <w:t xml:space="preserve"> – 3</w:t>
            </w:r>
          </w:p>
        </w:tc>
      </w:tr>
      <w:tr w:rsidR="00A95A70" w:rsidRPr="00851192" w14:paraId="3869BEDB" w14:textId="77777777" w:rsidTr="00292DA5">
        <w:trPr>
          <w:trHeight w:val="70"/>
        </w:trPr>
        <w:tc>
          <w:tcPr>
            <w:tcW w:w="3005" w:type="dxa"/>
          </w:tcPr>
          <w:p w14:paraId="6640C232" w14:textId="77777777" w:rsidR="00A95A70" w:rsidRPr="00851192" w:rsidRDefault="00A95A70" w:rsidP="00292DA5">
            <w:pPr>
              <w:jc w:val="center"/>
              <w:rPr>
                <w:rFonts w:ascii="Arial" w:hAnsi="Arial" w:cs="Arial"/>
              </w:rPr>
            </w:pPr>
            <w:r w:rsidRPr="00851192">
              <w:rPr>
                <w:rFonts w:ascii="Arial" w:hAnsi="Arial" w:cs="Arial"/>
              </w:rPr>
              <w:t>(h)</w:t>
            </w:r>
          </w:p>
        </w:tc>
        <w:tc>
          <w:tcPr>
            <w:tcW w:w="3005" w:type="dxa"/>
          </w:tcPr>
          <w:p w14:paraId="5D66D85F" w14:textId="77777777" w:rsidR="00A95A70" w:rsidRPr="00851192" w:rsidRDefault="00A95A70" w:rsidP="00A926B7">
            <w:pPr>
              <w:rPr>
                <w:rFonts w:ascii="Arial" w:hAnsi="Arial" w:cs="Arial"/>
              </w:rPr>
            </w:pPr>
            <w:r w:rsidRPr="00851192">
              <w:rPr>
                <w:rFonts w:ascii="Arial" w:hAnsi="Arial" w:cs="Arial"/>
              </w:rPr>
              <w:t>CSR is valued by global gambling operators.</w:t>
            </w:r>
          </w:p>
          <w:p w14:paraId="4D87970B" w14:textId="77777777" w:rsidR="00A95A70" w:rsidRPr="00851192" w:rsidRDefault="00A95A70" w:rsidP="00A926B7">
            <w:pPr>
              <w:rPr>
                <w:rFonts w:ascii="Arial" w:hAnsi="Arial" w:cs="Arial"/>
              </w:rPr>
            </w:pPr>
          </w:p>
        </w:tc>
        <w:tc>
          <w:tcPr>
            <w:tcW w:w="3006" w:type="dxa"/>
          </w:tcPr>
          <w:p w14:paraId="65BA555D" w14:textId="2F80BB40" w:rsidR="00A95A70" w:rsidRPr="00851192" w:rsidRDefault="00ED555F" w:rsidP="005B4206">
            <w:pPr>
              <w:jc w:val="center"/>
              <w:rPr>
                <w:rFonts w:ascii="Arial" w:hAnsi="Arial" w:cs="Arial"/>
              </w:rPr>
            </w:pPr>
            <w:r w:rsidRPr="00851192">
              <w:rPr>
                <w:rFonts w:ascii="Arial" w:hAnsi="Arial" w:cs="Arial"/>
              </w:rPr>
              <w:t xml:space="preserve">Bet365 – </w:t>
            </w:r>
            <w:r w:rsidR="005B4206" w:rsidRPr="00851192">
              <w:rPr>
                <w:rFonts w:ascii="Arial" w:hAnsi="Arial" w:cs="Arial"/>
              </w:rPr>
              <w:t>6</w:t>
            </w:r>
            <w:r w:rsidR="00635780" w:rsidRPr="00851192">
              <w:rPr>
                <w:rFonts w:ascii="Arial" w:hAnsi="Arial" w:cs="Arial"/>
              </w:rPr>
              <w:br/>
            </w:r>
            <w:proofErr w:type="spellStart"/>
            <w:r w:rsidR="00635780" w:rsidRPr="00851192">
              <w:rPr>
                <w:rFonts w:ascii="Arial" w:hAnsi="Arial" w:cs="Arial"/>
              </w:rPr>
              <w:t>Bwin</w:t>
            </w:r>
            <w:proofErr w:type="spellEnd"/>
            <w:r w:rsidR="00635780" w:rsidRPr="00851192">
              <w:rPr>
                <w:rFonts w:ascii="Arial" w:hAnsi="Arial" w:cs="Arial"/>
              </w:rPr>
              <w:t xml:space="preserve"> – </w:t>
            </w:r>
            <w:r w:rsidR="005B4206" w:rsidRPr="00851192">
              <w:rPr>
                <w:rFonts w:ascii="Arial" w:hAnsi="Arial" w:cs="Arial"/>
              </w:rPr>
              <w:t>6</w:t>
            </w:r>
            <w:r w:rsidRPr="00851192">
              <w:rPr>
                <w:rFonts w:ascii="Arial" w:hAnsi="Arial" w:cs="Arial"/>
              </w:rPr>
              <w:br/>
              <w:t>Asia Gaming</w:t>
            </w:r>
            <w:r w:rsidR="00A95A70" w:rsidRPr="00851192">
              <w:rPr>
                <w:rFonts w:ascii="Arial" w:hAnsi="Arial" w:cs="Arial"/>
              </w:rPr>
              <w:t xml:space="preserve"> – </w:t>
            </w:r>
            <w:r w:rsidR="005B4206" w:rsidRPr="00851192">
              <w:rPr>
                <w:rFonts w:ascii="Arial" w:hAnsi="Arial" w:cs="Arial"/>
              </w:rPr>
              <w:t>6</w:t>
            </w:r>
          </w:p>
        </w:tc>
      </w:tr>
    </w:tbl>
    <w:p w14:paraId="4BCBAAE1" w14:textId="2F02C3D8" w:rsidR="00A95A70" w:rsidRPr="00851192" w:rsidRDefault="00A95A70" w:rsidP="00A95A70">
      <w:pPr>
        <w:rPr>
          <w:rFonts w:ascii="Arial" w:hAnsi="Arial" w:cs="Arial"/>
          <w:b/>
        </w:rPr>
      </w:pPr>
    </w:p>
    <w:tbl>
      <w:tblPr>
        <w:tblStyle w:val="TableGrid"/>
        <w:tblW w:w="0" w:type="auto"/>
        <w:tblLook w:val="04A0" w:firstRow="1" w:lastRow="0" w:firstColumn="1" w:lastColumn="0" w:noHBand="0" w:noVBand="1"/>
      </w:tblPr>
      <w:tblGrid>
        <w:gridCol w:w="4508"/>
        <w:gridCol w:w="4508"/>
      </w:tblGrid>
      <w:tr w:rsidR="005312DD" w:rsidRPr="00851192" w14:paraId="563E88EE" w14:textId="77777777" w:rsidTr="005312DD">
        <w:tc>
          <w:tcPr>
            <w:tcW w:w="4508" w:type="dxa"/>
          </w:tcPr>
          <w:p w14:paraId="50F53CA1" w14:textId="573D5811" w:rsidR="005312DD" w:rsidRPr="00851192" w:rsidRDefault="005312DD" w:rsidP="005312DD">
            <w:pPr>
              <w:jc w:val="center"/>
              <w:rPr>
                <w:rFonts w:ascii="Arial" w:hAnsi="Arial" w:cs="Arial"/>
                <w:b/>
              </w:rPr>
            </w:pPr>
            <w:r w:rsidRPr="00851192">
              <w:rPr>
                <w:rFonts w:ascii="Arial" w:hAnsi="Arial" w:cs="Arial"/>
                <w:b/>
              </w:rPr>
              <w:t>Global Gambling Operator</w:t>
            </w:r>
          </w:p>
        </w:tc>
        <w:tc>
          <w:tcPr>
            <w:tcW w:w="4508" w:type="dxa"/>
          </w:tcPr>
          <w:p w14:paraId="6B23C4B7" w14:textId="71C71862" w:rsidR="005312DD" w:rsidRPr="00851192" w:rsidRDefault="005312DD" w:rsidP="005312DD">
            <w:pPr>
              <w:jc w:val="center"/>
              <w:rPr>
                <w:rFonts w:ascii="Arial" w:hAnsi="Arial" w:cs="Arial"/>
                <w:b/>
              </w:rPr>
            </w:pPr>
            <w:r w:rsidRPr="00851192">
              <w:rPr>
                <w:rFonts w:ascii="Arial" w:hAnsi="Arial" w:cs="Arial"/>
                <w:b/>
              </w:rPr>
              <w:t>Overall Responsibility and Ethical Index Mark</w:t>
            </w:r>
          </w:p>
        </w:tc>
      </w:tr>
      <w:tr w:rsidR="005312DD" w:rsidRPr="00851192" w14:paraId="5E399A85" w14:textId="77777777" w:rsidTr="005312DD">
        <w:tc>
          <w:tcPr>
            <w:tcW w:w="4508" w:type="dxa"/>
          </w:tcPr>
          <w:p w14:paraId="3817F465" w14:textId="3E344159" w:rsidR="005312DD" w:rsidRPr="00851192" w:rsidRDefault="005312DD" w:rsidP="00A95A70">
            <w:pPr>
              <w:rPr>
                <w:rFonts w:ascii="Arial" w:hAnsi="Arial" w:cs="Arial"/>
                <w:b/>
              </w:rPr>
            </w:pPr>
            <w:r w:rsidRPr="00851192">
              <w:rPr>
                <w:rFonts w:ascii="Arial" w:hAnsi="Arial" w:cs="Arial"/>
                <w:b/>
              </w:rPr>
              <w:t>Bet 365</w:t>
            </w:r>
          </w:p>
        </w:tc>
        <w:tc>
          <w:tcPr>
            <w:tcW w:w="4508" w:type="dxa"/>
          </w:tcPr>
          <w:p w14:paraId="0A0789AE" w14:textId="6E72E6D9" w:rsidR="005312DD" w:rsidRPr="00851192" w:rsidRDefault="005312DD" w:rsidP="00A95A70">
            <w:pPr>
              <w:rPr>
                <w:rFonts w:ascii="Arial" w:hAnsi="Arial" w:cs="Arial"/>
                <w:b/>
              </w:rPr>
            </w:pPr>
            <w:r w:rsidRPr="00851192">
              <w:rPr>
                <w:rFonts w:ascii="Arial" w:hAnsi="Arial" w:cs="Arial"/>
                <w:b/>
              </w:rPr>
              <w:t>51 out of 96</w:t>
            </w:r>
          </w:p>
        </w:tc>
      </w:tr>
      <w:tr w:rsidR="005312DD" w:rsidRPr="00851192" w14:paraId="11847E30" w14:textId="77777777" w:rsidTr="005312DD">
        <w:tc>
          <w:tcPr>
            <w:tcW w:w="4508" w:type="dxa"/>
          </w:tcPr>
          <w:p w14:paraId="62E9D700" w14:textId="60E19B48" w:rsidR="005312DD" w:rsidRPr="00851192" w:rsidRDefault="005312DD" w:rsidP="00A95A70">
            <w:pPr>
              <w:rPr>
                <w:rFonts w:ascii="Arial" w:hAnsi="Arial" w:cs="Arial"/>
                <w:b/>
              </w:rPr>
            </w:pPr>
            <w:proofErr w:type="spellStart"/>
            <w:r w:rsidRPr="00851192">
              <w:rPr>
                <w:rFonts w:ascii="Arial" w:hAnsi="Arial" w:cs="Arial"/>
                <w:b/>
              </w:rPr>
              <w:t>Bwin</w:t>
            </w:r>
            <w:proofErr w:type="spellEnd"/>
          </w:p>
        </w:tc>
        <w:tc>
          <w:tcPr>
            <w:tcW w:w="4508" w:type="dxa"/>
          </w:tcPr>
          <w:p w14:paraId="3FEA106A" w14:textId="76CA6842" w:rsidR="005312DD" w:rsidRPr="00851192" w:rsidRDefault="005312DD" w:rsidP="00A95A70">
            <w:pPr>
              <w:rPr>
                <w:rFonts w:ascii="Arial" w:hAnsi="Arial" w:cs="Arial"/>
                <w:b/>
              </w:rPr>
            </w:pPr>
            <w:r w:rsidRPr="00851192">
              <w:rPr>
                <w:rFonts w:ascii="Arial" w:hAnsi="Arial" w:cs="Arial"/>
                <w:b/>
              </w:rPr>
              <w:t>47 out of 96</w:t>
            </w:r>
          </w:p>
        </w:tc>
      </w:tr>
      <w:tr w:rsidR="005312DD" w:rsidRPr="00851192" w14:paraId="256D4B04" w14:textId="77777777" w:rsidTr="005312DD">
        <w:trPr>
          <w:trHeight w:val="70"/>
        </w:trPr>
        <w:tc>
          <w:tcPr>
            <w:tcW w:w="4508" w:type="dxa"/>
          </w:tcPr>
          <w:p w14:paraId="22E9BC73" w14:textId="048918D2" w:rsidR="005312DD" w:rsidRPr="00851192" w:rsidRDefault="005312DD" w:rsidP="00A95A70">
            <w:pPr>
              <w:rPr>
                <w:rFonts w:ascii="Arial" w:hAnsi="Arial" w:cs="Arial"/>
                <w:b/>
              </w:rPr>
            </w:pPr>
            <w:r w:rsidRPr="00851192">
              <w:rPr>
                <w:rFonts w:ascii="Arial" w:hAnsi="Arial" w:cs="Arial"/>
                <w:b/>
              </w:rPr>
              <w:t>Asia Gaming</w:t>
            </w:r>
          </w:p>
        </w:tc>
        <w:tc>
          <w:tcPr>
            <w:tcW w:w="4508" w:type="dxa"/>
          </w:tcPr>
          <w:p w14:paraId="7BEF466A" w14:textId="42A1CA96" w:rsidR="005312DD" w:rsidRPr="00851192" w:rsidRDefault="005312DD" w:rsidP="00A95A70">
            <w:pPr>
              <w:rPr>
                <w:rFonts w:ascii="Arial" w:hAnsi="Arial" w:cs="Arial"/>
                <w:b/>
              </w:rPr>
            </w:pPr>
            <w:r w:rsidRPr="00851192">
              <w:rPr>
                <w:rFonts w:ascii="Arial" w:hAnsi="Arial" w:cs="Arial"/>
                <w:b/>
              </w:rPr>
              <w:t>38 out of 96</w:t>
            </w:r>
          </w:p>
        </w:tc>
      </w:tr>
    </w:tbl>
    <w:p w14:paraId="511D84F4" w14:textId="14087BE4" w:rsidR="007B7E50" w:rsidRPr="00851192" w:rsidRDefault="007B7E50" w:rsidP="00A95A70">
      <w:pPr>
        <w:rPr>
          <w:rFonts w:ascii="Arial" w:hAnsi="Arial" w:cs="Arial"/>
          <w:b/>
        </w:rPr>
      </w:pPr>
    </w:p>
    <w:p w14:paraId="24859E64" w14:textId="0CB19AAD" w:rsidR="007B7E50" w:rsidRPr="00851192" w:rsidRDefault="007B7E50" w:rsidP="00A95A70">
      <w:pPr>
        <w:rPr>
          <w:rFonts w:ascii="Arial" w:hAnsi="Arial" w:cs="Arial"/>
          <w:b/>
          <w:color w:val="FF0000"/>
        </w:rPr>
      </w:pPr>
      <w:r w:rsidRPr="00851192">
        <w:rPr>
          <w:rFonts w:ascii="Arial" w:hAnsi="Arial" w:cs="Arial"/>
          <w:b/>
          <w:noProof/>
          <w:color w:val="FF0000"/>
          <w:lang w:eastAsia="en-GB"/>
        </w:rPr>
        <w:lastRenderedPageBreak/>
        <mc:AlternateContent>
          <mc:Choice Requires="wps">
            <w:drawing>
              <wp:anchor distT="45720" distB="45720" distL="114300" distR="114300" simplePos="0" relativeHeight="251800576" behindDoc="0" locked="0" layoutInCell="1" allowOverlap="1" wp14:anchorId="1487A5BC" wp14:editId="135D1E4F">
                <wp:simplePos x="0" y="0"/>
                <wp:positionH relativeFrom="page">
                  <wp:posOffset>5520690</wp:posOffset>
                </wp:positionH>
                <wp:positionV relativeFrom="paragraph">
                  <wp:posOffset>814168</wp:posOffset>
                </wp:positionV>
                <wp:extent cx="2039815" cy="1404620"/>
                <wp:effectExtent l="0" t="0" r="0" b="0"/>
                <wp:wrapNone/>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39815" cy="1404620"/>
                        </a:xfrm>
                        <a:prstGeom prst="rect">
                          <a:avLst/>
                        </a:prstGeom>
                        <a:solidFill>
                          <a:srgbClr val="FFFFFF"/>
                        </a:solidFill>
                        <a:ln w="9525">
                          <a:noFill/>
                          <a:miter lim="800000"/>
                          <a:headEnd/>
                          <a:tailEnd/>
                        </a:ln>
                      </wps:spPr>
                      <wps:txbx>
                        <w:txbxContent>
                          <w:p w14:paraId="542900EE" w14:textId="73806787" w:rsidR="005B7C1E" w:rsidRDefault="005B7C1E">
                            <w:r>
                              <w:t>Bet365 – Blue Correlation Line</w:t>
                            </w:r>
                            <w:r>
                              <w:br/>
                            </w:r>
                            <w:proofErr w:type="spellStart"/>
                            <w:r>
                              <w:t>Bwin</w:t>
                            </w:r>
                            <w:proofErr w:type="spellEnd"/>
                            <w:r>
                              <w:t xml:space="preserve"> – Orange Correlation Line</w:t>
                            </w:r>
                            <w:r>
                              <w:br/>
                              <w:t>Asia Gaming – Green Correlation Line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1487A5BC" id="_x0000_t202" coordsize="21600,21600" o:spt="202" path="m,l,21600r21600,l21600,xe">
                <v:stroke joinstyle="miter"/>
                <v:path gradientshapeok="t" o:connecttype="rect"/>
              </v:shapetype>
              <v:shape id="Text Box 2" o:spid="_x0000_s1026" type="#_x0000_t202" style="position:absolute;margin-left:434.7pt;margin-top:64.1pt;width:160.6pt;height:110.6pt;z-index:251800576;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" stroked="f">
                <v:textbox style="mso-fit-shape-to-text:t">
                  <w:txbxContent>
                    <w:p w14:paraId="542900EE" w14:textId="73806787" w:rsidR="005B7C1E" w:rsidRDefault="005B7C1E">
                      <w:r>
                        <w:t>Bet365 – Blue Correlation Line</w:t>
                      </w:r>
                      <w:r>
                        <w:br/>
                        <w:t>Bwin – Orange Correlation Line</w:t>
                      </w:r>
                      <w:r>
                        <w:br/>
                        <w:t>Asia Gaming – Green Correlation Line</w:t>
                      </w:r>
                    </w:p>
                  </w:txbxContent>
                </v:textbox>
                <w10:wrap anchorx="page"/>
              </v:shape>
            </w:pict>
          </mc:Fallback>
        </mc:AlternateContent>
      </w:r>
      <w:r w:rsidRPr="00851192">
        <w:rPr>
          <w:rFonts w:ascii="Arial" w:hAnsi="Arial" w:cs="Arial"/>
          <w:noProof/>
          <w:lang w:eastAsia="en-GB"/>
        </w:rPr>
        <w:drawing>
          <wp:inline distT="0" distB="0" distL="0" distR="0" wp14:anchorId="54B1AD9D" wp14:editId="62CAA780">
            <wp:extent cx="4555331" cy="2743200"/>
            <wp:effectExtent l="0" t="0" r="17145" b="0"/>
            <wp:docPr id="17" name="Chart 17">
              <a:extLst xmlns:a="http://schemas.openxmlformats.org/drawingml/2006/main">
                <a:ext uri="{FF2B5EF4-FFF2-40B4-BE49-F238E27FC236}">
                  <a16:creationId xmlns:a16="http://schemas.microsoft.com/office/drawing/2014/main" id="{D3FF1929-816D-47D1-8116-03E877B033B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9A08A28" w14:textId="77777777" w:rsidR="007B7E50" w:rsidRPr="00851192" w:rsidRDefault="007B7E50" w:rsidP="00A95A70">
      <w:pPr>
        <w:rPr>
          <w:rFonts w:ascii="Arial" w:hAnsi="Arial" w:cs="Arial"/>
          <w:b/>
          <w:color w:val="FF0000"/>
        </w:rPr>
      </w:pPr>
    </w:p>
    <w:p w14:paraId="181FF157" w14:textId="7C8345F7" w:rsidR="006D6A8F" w:rsidRPr="00851192" w:rsidRDefault="001A7D5E" w:rsidP="001A7D5E">
      <w:pPr>
        <w:pStyle w:val="Heading2"/>
        <w:rPr>
          <w:rFonts w:ascii="Arial" w:hAnsi="Arial" w:cs="Arial"/>
          <w:color w:val="auto"/>
        </w:rPr>
      </w:pPr>
      <w:bookmarkStart w:id="47" w:name="_Toc526434248"/>
      <w:r w:rsidRPr="00851192">
        <w:rPr>
          <w:rFonts w:ascii="Arial" w:hAnsi="Arial" w:cs="Arial"/>
          <w:color w:val="auto"/>
        </w:rPr>
        <w:t xml:space="preserve">4.5.1 </w:t>
      </w:r>
      <w:r w:rsidR="00562881" w:rsidRPr="00851192">
        <w:rPr>
          <w:rFonts w:ascii="Arial" w:hAnsi="Arial" w:cs="Arial"/>
          <w:color w:val="auto"/>
        </w:rPr>
        <w:t xml:space="preserve">Key </w:t>
      </w:r>
      <w:r w:rsidR="006D6A8F" w:rsidRPr="00851192">
        <w:rPr>
          <w:rFonts w:ascii="Arial" w:hAnsi="Arial" w:cs="Arial"/>
          <w:color w:val="auto"/>
        </w:rPr>
        <w:t>Findings from Content Analysis of Annual Reports</w:t>
      </w:r>
      <w:bookmarkEnd w:id="47"/>
    </w:p>
    <w:p w14:paraId="35D63A06" w14:textId="7B02FA68" w:rsidR="005312DD" w:rsidRPr="00851192" w:rsidRDefault="005312DD" w:rsidP="003B74DC">
      <w:pPr>
        <w:spacing w:line="360" w:lineRule="auto"/>
        <w:jc w:val="both"/>
        <w:rPr>
          <w:rFonts w:ascii="Arial" w:hAnsi="Arial" w:cs="Arial"/>
        </w:rPr>
      </w:pPr>
      <w:r w:rsidRPr="00851192">
        <w:rPr>
          <w:rFonts w:ascii="Arial" w:hAnsi="Arial" w:cs="Arial"/>
        </w:rPr>
        <w:t xml:space="preserve">The overall marks reflect how responsible GGO’s are against </w:t>
      </w:r>
      <w:r w:rsidR="00FF7401" w:rsidRPr="00851192">
        <w:rPr>
          <w:rFonts w:ascii="Arial" w:hAnsi="Arial" w:cs="Arial"/>
        </w:rPr>
        <w:t>Luo et al., (2017)</w:t>
      </w:r>
      <w:r w:rsidRPr="00851192">
        <w:rPr>
          <w:rFonts w:ascii="Arial" w:hAnsi="Arial" w:cs="Arial"/>
        </w:rPr>
        <w:t xml:space="preserve"> responsible and ethical index. </w:t>
      </w:r>
      <w:r w:rsidR="007B7E50" w:rsidRPr="00851192">
        <w:rPr>
          <w:rFonts w:ascii="Arial" w:hAnsi="Arial" w:cs="Arial"/>
        </w:rPr>
        <w:t xml:space="preserve">The correlation graph demonstrates the GGO with the highest frequency therefore demonstrating a higher ethical and responsible index mark within the study. </w:t>
      </w:r>
      <w:r w:rsidRPr="00851192">
        <w:rPr>
          <w:rFonts w:ascii="Arial" w:hAnsi="Arial" w:cs="Arial"/>
        </w:rPr>
        <w:t xml:space="preserve">However, this does not necessarily mean the GGO with the highest score are the most responsible or ethical. It is important to note that external influences such as competitive landscape and political environment may shape the way GGO’s behave leading </w:t>
      </w:r>
      <w:r w:rsidR="007B18A9" w:rsidRPr="00851192">
        <w:rPr>
          <w:rFonts w:ascii="Arial" w:hAnsi="Arial" w:cs="Arial"/>
        </w:rPr>
        <w:t>to the only true discovery of value towards CSR measures and CSR communication being the measurement and extent to which GGO go in implement</w:t>
      </w:r>
      <w:r w:rsidR="00D5473C" w:rsidRPr="00851192">
        <w:rPr>
          <w:rFonts w:ascii="Arial" w:hAnsi="Arial" w:cs="Arial"/>
        </w:rPr>
        <w:t xml:space="preserve"> </w:t>
      </w:r>
      <w:r w:rsidR="007B18A9" w:rsidRPr="00851192">
        <w:rPr>
          <w:rFonts w:ascii="Arial" w:hAnsi="Arial" w:cs="Arial"/>
        </w:rPr>
        <w:t xml:space="preserve">RG </w:t>
      </w:r>
      <w:r w:rsidR="00D5473C" w:rsidRPr="00851192">
        <w:rPr>
          <w:rFonts w:ascii="Arial" w:hAnsi="Arial" w:cs="Arial"/>
        </w:rPr>
        <w:t xml:space="preserve">functions </w:t>
      </w:r>
      <w:r w:rsidR="007B18A9" w:rsidRPr="00851192">
        <w:rPr>
          <w:rFonts w:ascii="Arial" w:hAnsi="Arial" w:cs="Arial"/>
        </w:rPr>
        <w:t>across online platforms.</w:t>
      </w:r>
      <w:r w:rsidRPr="00851192">
        <w:rPr>
          <w:rFonts w:ascii="Arial" w:hAnsi="Arial" w:cs="Arial"/>
        </w:rPr>
        <w:t xml:space="preserve"> </w:t>
      </w:r>
    </w:p>
    <w:p w14:paraId="514FFC4F" w14:textId="517EA54B" w:rsidR="006D6A8F" w:rsidRPr="00851192" w:rsidRDefault="001A7D5E" w:rsidP="001A7D5E">
      <w:pPr>
        <w:pStyle w:val="Heading2"/>
        <w:rPr>
          <w:rFonts w:ascii="Arial" w:hAnsi="Arial" w:cs="Arial"/>
          <w:color w:val="auto"/>
        </w:rPr>
      </w:pPr>
      <w:bookmarkStart w:id="48" w:name="_Toc526434249"/>
      <w:r w:rsidRPr="00851192">
        <w:rPr>
          <w:rFonts w:ascii="Arial" w:hAnsi="Arial" w:cs="Arial"/>
          <w:color w:val="auto"/>
        </w:rPr>
        <w:t>4.5.2 G</w:t>
      </w:r>
      <w:r w:rsidR="006D6A8F" w:rsidRPr="00851192">
        <w:rPr>
          <w:rFonts w:ascii="Arial" w:hAnsi="Arial" w:cs="Arial"/>
          <w:color w:val="auto"/>
        </w:rPr>
        <w:t>lobal Gambling Operator’</w:t>
      </w:r>
      <w:r w:rsidR="008920E3" w:rsidRPr="00851192">
        <w:rPr>
          <w:rFonts w:ascii="Arial" w:hAnsi="Arial" w:cs="Arial"/>
          <w:color w:val="auto"/>
        </w:rPr>
        <w:t xml:space="preserve">s </w:t>
      </w:r>
      <w:r w:rsidR="00833AB4" w:rsidRPr="00851192">
        <w:rPr>
          <w:rFonts w:ascii="Arial" w:hAnsi="Arial" w:cs="Arial"/>
          <w:color w:val="auto"/>
        </w:rPr>
        <w:t>and</w:t>
      </w:r>
      <w:r w:rsidR="006D6A8F" w:rsidRPr="00851192">
        <w:rPr>
          <w:rFonts w:ascii="Arial" w:hAnsi="Arial" w:cs="Arial"/>
          <w:color w:val="auto"/>
        </w:rPr>
        <w:t xml:space="preserve"> Employees</w:t>
      </w:r>
      <w:bookmarkEnd w:id="48"/>
    </w:p>
    <w:p w14:paraId="0130397F" w14:textId="3C84E2F6" w:rsidR="006D6A8F" w:rsidRPr="00851192" w:rsidRDefault="006D6A8F" w:rsidP="0003183E">
      <w:pPr>
        <w:spacing w:line="360" w:lineRule="auto"/>
        <w:jc w:val="both"/>
        <w:rPr>
          <w:rFonts w:ascii="Arial" w:hAnsi="Arial" w:cs="Arial"/>
        </w:rPr>
      </w:pPr>
      <w:r w:rsidRPr="00851192">
        <w:rPr>
          <w:rFonts w:ascii="Arial" w:hAnsi="Arial" w:cs="Arial"/>
        </w:rPr>
        <w:t xml:space="preserve">Bet365 and </w:t>
      </w:r>
      <w:proofErr w:type="spellStart"/>
      <w:r w:rsidRPr="00851192">
        <w:rPr>
          <w:rFonts w:ascii="Arial" w:hAnsi="Arial" w:cs="Arial"/>
        </w:rPr>
        <w:t>Bwin</w:t>
      </w:r>
      <w:proofErr w:type="spellEnd"/>
      <w:r w:rsidRPr="00851192">
        <w:rPr>
          <w:rFonts w:ascii="Arial" w:hAnsi="Arial" w:cs="Arial"/>
        </w:rPr>
        <w:t xml:space="preserve"> show a great emphasis towards employee engagement and a strategic pathway towards professional development alongside the implementation of employee programmes. Both organisations have schemes in place to encourage graduates to become part of the organisation as well as sound support </w:t>
      </w:r>
      <w:r w:rsidR="00AF6D92" w:rsidRPr="00851192">
        <w:rPr>
          <w:rFonts w:ascii="Arial" w:hAnsi="Arial" w:cs="Arial"/>
        </w:rPr>
        <w:t>by</w:t>
      </w:r>
      <w:r w:rsidRPr="00851192">
        <w:rPr>
          <w:rFonts w:ascii="Arial" w:hAnsi="Arial" w:cs="Arial"/>
        </w:rPr>
        <w:t xml:space="preserve"> the GGO to all employees through supportive and responsive human resource departments. A great deal towards employe</w:t>
      </w:r>
      <w:r w:rsidR="005B4206" w:rsidRPr="00851192">
        <w:rPr>
          <w:rFonts w:ascii="Arial" w:hAnsi="Arial" w:cs="Arial"/>
        </w:rPr>
        <w:t xml:space="preserve">e welfare is adopted by both </w:t>
      </w:r>
      <w:r w:rsidR="00AC5021" w:rsidRPr="00851192">
        <w:rPr>
          <w:rFonts w:ascii="Arial" w:hAnsi="Arial" w:cs="Arial"/>
        </w:rPr>
        <w:t>GGO’s</w:t>
      </w:r>
      <w:r w:rsidRPr="00851192">
        <w:rPr>
          <w:rFonts w:ascii="Arial" w:hAnsi="Arial" w:cs="Arial"/>
        </w:rPr>
        <w:t xml:space="preserve"> which </w:t>
      </w:r>
      <w:r w:rsidR="00AC5021" w:rsidRPr="00851192">
        <w:rPr>
          <w:rFonts w:ascii="Arial" w:hAnsi="Arial" w:cs="Arial"/>
        </w:rPr>
        <w:t>both are noticeably</w:t>
      </w:r>
      <w:r w:rsidRPr="00851192">
        <w:rPr>
          <w:rFonts w:ascii="Arial" w:hAnsi="Arial" w:cs="Arial"/>
        </w:rPr>
        <w:t xml:space="preserve"> headquartered within Europe and considered as part of the western hemisphere.</w:t>
      </w:r>
      <w:r w:rsidR="00562881" w:rsidRPr="00851192">
        <w:rPr>
          <w:rFonts w:ascii="Arial" w:hAnsi="Arial" w:cs="Arial"/>
        </w:rPr>
        <w:t xml:space="preserve"> This could be led due to the competition amongst GGO’s and a source to increase brand identity</w:t>
      </w:r>
      <w:r w:rsidR="00CF4EFA" w:rsidRPr="00851192">
        <w:rPr>
          <w:rFonts w:ascii="Arial" w:hAnsi="Arial" w:cs="Arial"/>
        </w:rPr>
        <w:t xml:space="preserve"> and performance</w:t>
      </w:r>
      <w:r w:rsidR="00562881" w:rsidRPr="00851192">
        <w:rPr>
          <w:rFonts w:ascii="Arial" w:hAnsi="Arial" w:cs="Arial"/>
        </w:rPr>
        <w:t xml:space="preserve"> (</w:t>
      </w:r>
      <w:proofErr w:type="spellStart"/>
      <w:r w:rsidR="00562881" w:rsidRPr="00851192">
        <w:rPr>
          <w:rFonts w:ascii="Arial" w:hAnsi="Arial" w:cs="Arial"/>
        </w:rPr>
        <w:t>Balmer</w:t>
      </w:r>
      <w:proofErr w:type="spellEnd"/>
      <w:r w:rsidR="00562881" w:rsidRPr="00851192">
        <w:rPr>
          <w:rFonts w:ascii="Arial" w:hAnsi="Arial" w:cs="Arial"/>
        </w:rPr>
        <w:t xml:space="preserve"> et al., 2007</w:t>
      </w:r>
      <w:r w:rsidR="00CF4EFA" w:rsidRPr="00851192">
        <w:rPr>
          <w:rFonts w:ascii="Arial" w:hAnsi="Arial" w:cs="Arial"/>
        </w:rPr>
        <w:t>; Freeman and Gilbert, 1998</w:t>
      </w:r>
      <w:r w:rsidR="00562881" w:rsidRPr="00851192">
        <w:rPr>
          <w:rFonts w:ascii="Arial" w:hAnsi="Arial" w:cs="Arial"/>
        </w:rPr>
        <w:t>).</w:t>
      </w:r>
      <w:r w:rsidRPr="00851192">
        <w:rPr>
          <w:rFonts w:ascii="Arial" w:hAnsi="Arial" w:cs="Arial"/>
        </w:rPr>
        <w:t xml:space="preserve"> However, Asia Gaming do not demonstrate a great emphasis towards employee engagement and initiatives</w:t>
      </w:r>
      <w:r w:rsidR="00AC5021" w:rsidRPr="00851192">
        <w:rPr>
          <w:rFonts w:ascii="Arial" w:hAnsi="Arial" w:cs="Arial"/>
        </w:rPr>
        <w:t xml:space="preserve"> which could hinder relationships with stakeholders as previously highlighted by </w:t>
      </w:r>
      <w:r w:rsidR="00AC5021" w:rsidRPr="00851192">
        <w:rPr>
          <w:rFonts w:ascii="Arial" w:hAnsi="Arial" w:cs="Arial"/>
          <w:noProof/>
        </w:rPr>
        <w:t>Argenti and Druckermiller (2002)</w:t>
      </w:r>
      <w:r w:rsidRPr="00851192">
        <w:rPr>
          <w:rFonts w:ascii="Arial" w:hAnsi="Arial" w:cs="Arial"/>
        </w:rPr>
        <w:t>. An assumption that this could be driven due to the business model Asia-Gaming have adopted being not only a provider of gambling across online platforms, but a supplier of gambling products such as</w:t>
      </w:r>
      <w:r w:rsidR="0003759B" w:rsidRPr="00851192">
        <w:rPr>
          <w:rFonts w:ascii="Arial" w:hAnsi="Arial" w:cs="Arial"/>
        </w:rPr>
        <w:t xml:space="preserve"> </w:t>
      </w:r>
      <w:r w:rsidR="0003759B" w:rsidRPr="00851192">
        <w:rPr>
          <w:rFonts w:ascii="Arial" w:hAnsi="Arial" w:cs="Arial"/>
        </w:rPr>
        <w:lastRenderedPageBreak/>
        <w:t xml:space="preserve">machines. However, all GGO’s do have career and professional development schemes in place. Through conducting an ethical and responsible identity evaluation on GGO’s with employees, Bet365 are viewed to have the most effective CSR measures with marks being the highest. </w:t>
      </w:r>
      <w:r w:rsidRPr="00851192">
        <w:rPr>
          <w:rFonts w:ascii="Arial" w:hAnsi="Arial" w:cs="Arial"/>
        </w:rPr>
        <w:t xml:space="preserve">     </w:t>
      </w:r>
    </w:p>
    <w:p w14:paraId="739D24C7" w14:textId="0DFDB76F" w:rsidR="0044537C" w:rsidRPr="00851192" w:rsidRDefault="001A7D5E" w:rsidP="001A7D5E">
      <w:pPr>
        <w:pStyle w:val="Heading2"/>
        <w:rPr>
          <w:rFonts w:ascii="Arial" w:hAnsi="Arial" w:cs="Arial"/>
          <w:color w:val="auto"/>
        </w:rPr>
      </w:pPr>
      <w:bookmarkStart w:id="49" w:name="_Toc526434250"/>
      <w:r w:rsidRPr="00851192">
        <w:rPr>
          <w:rFonts w:ascii="Arial" w:hAnsi="Arial" w:cs="Arial"/>
          <w:color w:val="auto"/>
        </w:rPr>
        <w:t xml:space="preserve">4.5.3 </w:t>
      </w:r>
      <w:r w:rsidR="0044537C" w:rsidRPr="00851192">
        <w:rPr>
          <w:rFonts w:ascii="Arial" w:hAnsi="Arial" w:cs="Arial"/>
          <w:color w:val="auto"/>
        </w:rPr>
        <w:t xml:space="preserve">Global Gambling Operator’s </w:t>
      </w:r>
      <w:r w:rsidR="00FB1DD9" w:rsidRPr="00851192">
        <w:rPr>
          <w:rFonts w:ascii="Arial" w:hAnsi="Arial" w:cs="Arial"/>
          <w:color w:val="auto"/>
        </w:rPr>
        <w:t>and</w:t>
      </w:r>
      <w:r w:rsidR="0044537C" w:rsidRPr="00851192">
        <w:rPr>
          <w:rFonts w:ascii="Arial" w:hAnsi="Arial" w:cs="Arial"/>
          <w:color w:val="auto"/>
        </w:rPr>
        <w:t xml:space="preserve"> Stakeholders</w:t>
      </w:r>
      <w:bookmarkEnd w:id="49"/>
    </w:p>
    <w:p w14:paraId="1FDE22D7" w14:textId="29716F5C" w:rsidR="0044537C" w:rsidRPr="00851192" w:rsidRDefault="0044537C" w:rsidP="0003183E">
      <w:pPr>
        <w:spacing w:line="360" w:lineRule="auto"/>
        <w:jc w:val="both"/>
        <w:rPr>
          <w:rFonts w:ascii="Arial" w:hAnsi="Arial" w:cs="Arial"/>
        </w:rPr>
      </w:pPr>
      <w:r w:rsidRPr="00851192">
        <w:rPr>
          <w:rFonts w:ascii="Arial" w:hAnsi="Arial" w:cs="Arial"/>
        </w:rPr>
        <w:t>All GGO’s present effective means of CSR communication to shareholders. Not only has it been recognised within the study that it is</w:t>
      </w:r>
      <w:r w:rsidR="001D5A33" w:rsidRPr="00851192">
        <w:rPr>
          <w:rFonts w:ascii="Arial" w:hAnsi="Arial" w:cs="Arial"/>
        </w:rPr>
        <w:t xml:space="preserve"> a</w:t>
      </w:r>
      <w:r w:rsidRPr="00851192">
        <w:rPr>
          <w:rFonts w:ascii="Arial" w:hAnsi="Arial" w:cs="Arial"/>
        </w:rPr>
        <w:t xml:space="preserve"> vital source and practice to achieve reducing incongruence between consumers and the desired brand identity, but it is also important to achieve a good relationship between brand vision and its shareholders perception. </w:t>
      </w:r>
      <w:r w:rsidR="00F820A0" w:rsidRPr="00851192">
        <w:rPr>
          <w:rFonts w:ascii="Arial" w:hAnsi="Arial" w:cs="Arial"/>
        </w:rPr>
        <w:t xml:space="preserve">The governance and practices of both Bet365 and </w:t>
      </w:r>
      <w:proofErr w:type="spellStart"/>
      <w:r w:rsidR="00F820A0" w:rsidRPr="00851192">
        <w:rPr>
          <w:rFonts w:ascii="Arial" w:hAnsi="Arial" w:cs="Arial"/>
        </w:rPr>
        <w:t>Bwin</w:t>
      </w:r>
      <w:proofErr w:type="spellEnd"/>
      <w:r w:rsidR="00F820A0" w:rsidRPr="00851192">
        <w:rPr>
          <w:rFonts w:ascii="Arial" w:hAnsi="Arial" w:cs="Arial"/>
        </w:rPr>
        <w:t xml:space="preserve"> as supposed to Asia Gaming are diverse with a stronger focus from shareholder value to stakeholder value recognised in both western operators. A strategy potentially to adjust to CSR and reducing incongruence (</w:t>
      </w:r>
      <w:proofErr w:type="spellStart"/>
      <w:r w:rsidR="00F820A0" w:rsidRPr="00851192">
        <w:rPr>
          <w:rFonts w:ascii="Arial" w:hAnsi="Arial" w:cs="Arial"/>
        </w:rPr>
        <w:t>Blanpain</w:t>
      </w:r>
      <w:proofErr w:type="spellEnd"/>
      <w:r w:rsidR="00F820A0" w:rsidRPr="00851192">
        <w:rPr>
          <w:rFonts w:ascii="Arial" w:hAnsi="Arial" w:cs="Arial"/>
        </w:rPr>
        <w:t xml:space="preserve"> et al., 2010). Important stakeholders such as investors will be pleased to learn that GGO’s are headquartered within low tax jurisdictions. All GGO’s display a strong structure to CSR communications. GGO’s demonstrate the responsibility of financial return as supported by both Freeman (1984), and Friedman (1970), however the method of doing so are diverse between Asia Gaming and both Bet365 and </w:t>
      </w:r>
      <w:proofErr w:type="spellStart"/>
      <w:r w:rsidR="00F820A0" w:rsidRPr="00851192">
        <w:rPr>
          <w:rFonts w:ascii="Arial" w:hAnsi="Arial" w:cs="Arial"/>
        </w:rPr>
        <w:t>Bwin</w:t>
      </w:r>
      <w:proofErr w:type="spellEnd"/>
      <w:r w:rsidR="00F820A0" w:rsidRPr="00851192">
        <w:rPr>
          <w:rFonts w:ascii="Arial" w:hAnsi="Arial" w:cs="Arial"/>
        </w:rPr>
        <w:t xml:space="preserve">.  </w:t>
      </w:r>
    </w:p>
    <w:p w14:paraId="3F45CD10" w14:textId="45BC6D72" w:rsidR="005B4206" w:rsidRPr="00851192" w:rsidRDefault="001A7D5E" w:rsidP="001A7D5E">
      <w:pPr>
        <w:pStyle w:val="Heading2"/>
        <w:rPr>
          <w:rFonts w:ascii="Arial" w:hAnsi="Arial" w:cs="Arial"/>
          <w:color w:val="auto"/>
        </w:rPr>
      </w:pPr>
      <w:bookmarkStart w:id="50" w:name="_Toc526434251"/>
      <w:r w:rsidRPr="00851192">
        <w:rPr>
          <w:rFonts w:ascii="Arial" w:hAnsi="Arial" w:cs="Arial"/>
          <w:color w:val="auto"/>
        </w:rPr>
        <w:t xml:space="preserve">4.5.4 </w:t>
      </w:r>
      <w:r w:rsidR="005B4206" w:rsidRPr="00851192">
        <w:rPr>
          <w:rFonts w:ascii="Arial" w:hAnsi="Arial" w:cs="Arial"/>
          <w:color w:val="auto"/>
        </w:rPr>
        <w:t xml:space="preserve">Global Gambling Operator’s </w:t>
      </w:r>
      <w:r w:rsidR="00FB1DD9" w:rsidRPr="00851192">
        <w:rPr>
          <w:rFonts w:ascii="Arial" w:hAnsi="Arial" w:cs="Arial"/>
          <w:color w:val="auto"/>
        </w:rPr>
        <w:t>and</w:t>
      </w:r>
      <w:r w:rsidR="005B4206" w:rsidRPr="00851192">
        <w:rPr>
          <w:rFonts w:ascii="Arial" w:hAnsi="Arial" w:cs="Arial"/>
          <w:color w:val="auto"/>
        </w:rPr>
        <w:t xml:space="preserve"> Consumers</w:t>
      </w:r>
      <w:bookmarkEnd w:id="50"/>
    </w:p>
    <w:p w14:paraId="05959589" w14:textId="5A563184" w:rsidR="0061151B" w:rsidRPr="00851192" w:rsidRDefault="005B4206" w:rsidP="0003183E">
      <w:pPr>
        <w:spacing w:line="360" w:lineRule="auto"/>
        <w:jc w:val="both"/>
        <w:rPr>
          <w:rFonts w:ascii="Arial" w:hAnsi="Arial" w:cs="Arial"/>
        </w:rPr>
      </w:pPr>
      <w:r w:rsidRPr="00851192">
        <w:rPr>
          <w:rFonts w:ascii="Arial" w:hAnsi="Arial" w:cs="Arial"/>
        </w:rPr>
        <w:t>All operators present that they implement CSR measures within all active markets i</w:t>
      </w:r>
      <w:r w:rsidR="00DB34F4" w:rsidRPr="00851192">
        <w:rPr>
          <w:rFonts w:ascii="Arial" w:hAnsi="Arial" w:cs="Arial"/>
        </w:rPr>
        <w:t xml:space="preserve">ncluding those which endure greater external pressures such as third-party movements towards PG. </w:t>
      </w:r>
      <w:r w:rsidR="00CB076D" w:rsidRPr="00851192">
        <w:rPr>
          <w:rFonts w:ascii="Arial" w:hAnsi="Arial" w:cs="Arial"/>
        </w:rPr>
        <w:t>GGO’s</w:t>
      </w:r>
      <w:r w:rsidR="00DB34F4" w:rsidRPr="00851192">
        <w:rPr>
          <w:rFonts w:ascii="Arial" w:hAnsi="Arial" w:cs="Arial"/>
        </w:rPr>
        <w:t xml:space="preserve"> claim that effective means of CSR communications are present on websites, and other associated online platforms</w:t>
      </w:r>
      <w:r w:rsidR="0052737B" w:rsidRPr="00851192">
        <w:rPr>
          <w:rFonts w:ascii="Arial" w:hAnsi="Arial" w:cs="Arial"/>
        </w:rPr>
        <w:t xml:space="preserve"> which comply with CSR policy </w:t>
      </w:r>
      <w:sdt>
        <w:sdtPr>
          <w:rPr>
            <w:rFonts w:ascii="Arial" w:hAnsi="Arial" w:cs="Arial"/>
          </w:rPr>
          <w:id w:val="-1353723643"/>
          <w:citation/>
        </w:sdtPr>
        <w:sdtEndPr/>
        <w:sdtContent>
          <w:r w:rsidR="0052737B" w:rsidRPr="00851192">
            <w:rPr>
              <w:rFonts w:ascii="Arial" w:hAnsi="Arial" w:cs="Arial"/>
            </w:rPr>
            <w:fldChar w:fldCharType="begin"/>
          </w:r>
          <w:r w:rsidR="0052737B" w:rsidRPr="00851192">
            <w:rPr>
              <w:rFonts w:ascii="Arial" w:hAnsi="Arial" w:cs="Arial"/>
            </w:rPr>
            <w:instrText xml:space="preserve"> CITATION Dah08 \l 2057 </w:instrText>
          </w:r>
          <w:r w:rsidR="0052737B" w:rsidRPr="00851192">
            <w:rPr>
              <w:rFonts w:ascii="Arial" w:hAnsi="Arial" w:cs="Arial"/>
            </w:rPr>
            <w:fldChar w:fldCharType="separate"/>
          </w:r>
          <w:r w:rsidR="002D17EA" w:rsidRPr="00851192">
            <w:rPr>
              <w:rFonts w:ascii="Arial" w:hAnsi="Arial" w:cs="Arial"/>
              <w:noProof/>
            </w:rPr>
            <w:t>(Dahlsrud, 2008)</w:t>
          </w:r>
          <w:r w:rsidR="0052737B" w:rsidRPr="00851192">
            <w:rPr>
              <w:rFonts w:ascii="Arial" w:hAnsi="Arial" w:cs="Arial"/>
            </w:rPr>
            <w:fldChar w:fldCharType="end"/>
          </w:r>
        </w:sdtContent>
      </w:sdt>
      <w:r w:rsidR="0052737B" w:rsidRPr="00851192">
        <w:rPr>
          <w:rFonts w:ascii="Arial" w:hAnsi="Arial" w:cs="Arial"/>
        </w:rPr>
        <w:t xml:space="preserve"> and focus on being a good global citizen</w:t>
      </w:r>
      <w:r w:rsidR="0052737B" w:rsidRPr="00851192">
        <w:rPr>
          <w:rFonts w:ascii="Arial" w:hAnsi="Arial" w:cs="Arial"/>
          <w:noProof/>
        </w:rPr>
        <w:t xml:space="preserve"> (Carroll, 1991)</w:t>
      </w:r>
      <w:r w:rsidR="00DB34F4" w:rsidRPr="00851192">
        <w:rPr>
          <w:rFonts w:ascii="Arial" w:hAnsi="Arial" w:cs="Arial"/>
        </w:rPr>
        <w:t xml:space="preserve">. </w:t>
      </w:r>
      <w:r w:rsidR="00CB076D" w:rsidRPr="00851192">
        <w:rPr>
          <w:rFonts w:ascii="Arial" w:hAnsi="Arial" w:cs="Arial"/>
        </w:rPr>
        <w:t>All operators</w:t>
      </w:r>
      <w:r w:rsidR="00DB34F4" w:rsidRPr="00851192">
        <w:rPr>
          <w:rFonts w:ascii="Arial" w:hAnsi="Arial" w:cs="Arial"/>
        </w:rPr>
        <w:t xml:space="preserve"> present that activities associated to the issues arisen around of gamblers welfare are met through supportive avenues. The activities presented by GGO</w:t>
      </w:r>
      <w:r w:rsidR="00CB076D" w:rsidRPr="00851192">
        <w:rPr>
          <w:rFonts w:ascii="Arial" w:hAnsi="Arial" w:cs="Arial"/>
        </w:rPr>
        <w:t>’s</w:t>
      </w:r>
      <w:r w:rsidR="00DB34F4" w:rsidRPr="00851192">
        <w:rPr>
          <w:rFonts w:ascii="Arial" w:hAnsi="Arial" w:cs="Arial"/>
        </w:rPr>
        <w:t xml:space="preserve"> can be considered as good measurements in conducting CSR as previously highlighted by (Luo et al., 2017). An evaluation that CSR communication towards consumers within the western hemisphere in comparison to the eastern do differ due to </w:t>
      </w:r>
      <w:r w:rsidR="00A052C9" w:rsidRPr="00851192">
        <w:rPr>
          <w:rFonts w:ascii="Arial" w:hAnsi="Arial" w:cs="Arial"/>
        </w:rPr>
        <w:t>the external pressures which are present towards PG in the west. In some parts of the east, gambling is r</w:t>
      </w:r>
      <w:r w:rsidR="0061151B" w:rsidRPr="00851192">
        <w:rPr>
          <w:rFonts w:ascii="Arial" w:hAnsi="Arial" w:cs="Arial"/>
        </w:rPr>
        <w:t>ecognised as a source of tourist</w:t>
      </w:r>
      <w:r w:rsidR="00A052C9" w:rsidRPr="00851192">
        <w:rPr>
          <w:rFonts w:ascii="Arial" w:hAnsi="Arial" w:cs="Arial"/>
        </w:rPr>
        <w:t xml:space="preserve"> economic growth which within some </w:t>
      </w:r>
      <w:r w:rsidR="0061151B" w:rsidRPr="00851192">
        <w:rPr>
          <w:rFonts w:ascii="Arial" w:hAnsi="Arial" w:cs="Arial"/>
        </w:rPr>
        <w:t>political</w:t>
      </w:r>
      <w:r w:rsidR="00A052C9" w:rsidRPr="00851192">
        <w:rPr>
          <w:rFonts w:ascii="Arial" w:hAnsi="Arial" w:cs="Arial"/>
        </w:rPr>
        <w:t xml:space="preserve"> </w:t>
      </w:r>
      <w:r w:rsidR="0061151B" w:rsidRPr="00851192">
        <w:rPr>
          <w:rFonts w:ascii="Arial" w:hAnsi="Arial" w:cs="Arial"/>
        </w:rPr>
        <w:t>jurisdictions</w:t>
      </w:r>
      <w:r w:rsidR="00A052C9" w:rsidRPr="00851192">
        <w:rPr>
          <w:rFonts w:ascii="Arial" w:hAnsi="Arial" w:cs="Arial"/>
        </w:rPr>
        <w:t xml:space="preserve"> are recognised to be heavily </w:t>
      </w:r>
      <w:r w:rsidR="0061151B" w:rsidRPr="00851192">
        <w:rPr>
          <w:rFonts w:ascii="Arial" w:hAnsi="Arial" w:cs="Arial"/>
        </w:rPr>
        <w:t>dependent</w:t>
      </w:r>
      <w:r w:rsidR="00A052C9" w:rsidRPr="00851192">
        <w:rPr>
          <w:rFonts w:ascii="Arial" w:hAnsi="Arial" w:cs="Arial"/>
        </w:rPr>
        <w:t xml:space="preserve"> on (Entertainment Asia Gaming, 2017; Gambling Compliance, 2017). Even so, the lack of external pressures towards PG may suggest this. </w:t>
      </w:r>
      <w:r w:rsidR="00BD4BE9" w:rsidRPr="00851192">
        <w:rPr>
          <w:rFonts w:ascii="Arial" w:hAnsi="Arial" w:cs="Arial"/>
        </w:rPr>
        <w:t xml:space="preserve">All GGO’s claim to have means of CSR communication across online platforms. </w:t>
      </w:r>
      <w:r w:rsidR="00A01704" w:rsidRPr="00851192">
        <w:rPr>
          <w:rFonts w:ascii="Arial" w:hAnsi="Arial" w:cs="Arial"/>
        </w:rPr>
        <w:t>However</w:t>
      </w:r>
      <w:r w:rsidR="00BD4BE9" w:rsidRPr="00851192">
        <w:rPr>
          <w:rFonts w:ascii="Arial" w:hAnsi="Arial" w:cs="Arial"/>
        </w:rPr>
        <w:t>,</w:t>
      </w:r>
      <w:r w:rsidR="0061151B" w:rsidRPr="00851192">
        <w:rPr>
          <w:rFonts w:ascii="Arial" w:hAnsi="Arial" w:cs="Arial"/>
        </w:rPr>
        <w:t xml:space="preserve"> no operator has an original ca</w:t>
      </w:r>
      <w:r w:rsidR="00A01704" w:rsidRPr="00851192">
        <w:rPr>
          <w:rFonts w:ascii="Arial" w:hAnsi="Arial" w:cs="Arial"/>
        </w:rPr>
        <w:t xml:space="preserve">mpaign associated to the issues of PG. </w:t>
      </w:r>
      <w:r w:rsidR="0061151B" w:rsidRPr="00851192">
        <w:rPr>
          <w:rFonts w:ascii="Arial" w:hAnsi="Arial" w:cs="Arial"/>
        </w:rPr>
        <w:t xml:space="preserve">Annual reports from all GGO’s suggest that technology and online platforms provide a source of staying connected and monitoring target markets. Online platforms such as social media are used to </w:t>
      </w:r>
      <w:r w:rsidR="0061151B" w:rsidRPr="00851192">
        <w:rPr>
          <w:rFonts w:ascii="Arial" w:hAnsi="Arial" w:cs="Arial"/>
        </w:rPr>
        <w:lastRenderedPageBreak/>
        <w:t>monitor trends and also promote the operations of the business</w:t>
      </w:r>
      <w:r w:rsidR="0052737B" w:rsidRPr="00851192">
        <w:rPr>
          <w:rFonts w:ascii="Arial" w:hAnsi="Arial" w:cs="Arial"/>
        </w:rPr>
        <w:t xml:space="preserve"> (gambling advertisement) as strongly supported by Friedman (1970).</w:t>
      </w:r>
      <w:r w:rsidR="0061151B" w:rsidRPr="00851192">
        <w:rPr>
          <w:rFonts w:ascii="Arial" w:hAnsi="Arial" w:cs="Arial"/>
        </w:rPr>
        <w:t xml:space="preserve"> </w:t>
      </w:r>
    </w:p>
    <w:p w14:paraId="5F6124B9" w14:textId="24855DAC" w:rsidR="0064227E" w:rsidRPr="00851192" w:rsidRDefault="001A7D5E" w:rsidP="001A7D5E">
      <w:pPr>
        <w:pStyle w:val="Heading2"/>
        <w:rPr>
          <w:rFonts w:ascii="Arial" w:hAnsi="Arial" w:cs="Arial"/>
          <w:color w:val="auto"/>
        </w:rPr>
      </w:pPr>
      <w:bookmarkStart w:id="51" w:name="_Toc526434252"/>
      <w:r w:rsidRPr="00851192">
        <w:rPr>
          <w:rFonts w:ascii="Arial" w:hAnsi="Arial" w:cs="Arial"/>
          <w:color w:val="auto"/>
        </w:rPr>
        <w:t xml:space="preserve">4.5.5 </w:t>
      </w:r>
      <w:r w:rsidR="0064227E" w:rsidRPr="00851192">
        <w:rPr>
          <w:rFonts w:ascii="Arial" w:hAnsi="Arial" w:cs="Arial"/>
          <w:color w:val="auto"/>
        </w:rPr>
        <w:t xml:space="preserve">Global Gambling Operator’s </w:t>
      </w:r>
      <w:r w:rsidR="00FB1DD9" w:rsidRPr="00851192">
        <w:rPr>
          <w:rFonts w:ascii="Arial" w:hAnsi="Arial" w:cs="Arial"/>
          <w:color w:val="auto"/>
        </w:rPr>
        <w:t>and</w:t>
      </w:r>
      <w:r w:rsidR="0064227E" w:rsidRPr="00851192">
        <w:rPr>
          <w:rFonts w:ascii="Arial" w:hAnsi="Arial" w:cs="Arial"/>
          <w:color w:val="auto"/>
        </w:rPr>
        <w:t xml:space="preserve"> Environmental Factors</w:t>
      </w:r>
      <w:bookmarkEnd w:id="51"/>
    </w:p>
    <w:p w14:paraId="4EA3C807" w14:textId="3BB3F32E" w:rsidR="0064227E" w:rsidRPr="00851192" w:rsidRDefault="00F71601" w:rsidP="0003183E">
      <w:pPr>
        <w:spacing w:line="360" w:lineRule="auto"/>
        <w:jc w:val="both"/>
        <w:rPr>
          <w:rFonts w:ascii="Arial" w:hAnsi="Arial" w:cs="Arial"/>
        </w:rPr>
      </w:pPr>
      <w:r w:rsidRPr="00851192">
        <w:rPr>
          <w:rFonts w:ascii="Arial" w:hAnsi="Arial" w:cs="Arial"/>
        </w:rPr>
        <w:t xml:space="preserve">Within the study, </w:t>
      </w:r>
      <w:r w:rsidR="004B4150" w:rsidRPr="00851192">
        <w:rPr>
          <w:rFonts w:ascii="Arial" w:hAnsi="Arial" w:cs="Arial"/>
        </w:rPr>
        <w:t xml:space="preserve">some aspects of </w:t>
      </w:r>
      <w:r w:rsidRPr="00851192">
        <w:rPr>
          <w:rFonts w:ascii="Arial" w:hAnsi="Arial" w:cs="Arial"/>
        </w:rPr>
        <w:t xml:space="preserve">societal influences are considered under environmental factors. </w:t>
      </w:r>
      <w:r w:rsidR="0064227E" w:rsidRPr="00851192">
        <w:rPr>
          <w:rFonts w:ascii="Arial" w:hAnsi="Arial" w:cs="Arial"/>
        </w:rPr>
        <w:t xml:space="preserve">Both Bet365 and </w:t>
      </w:r>
      <w:proofErr w:type="spellStart"/>
      <w:r w:rsidR="0064227E" w:rsidRPr="00851192">
        <w:rPr>
          <w:rFonts w:ascii="Arial" w:hAnsi="Arial" w:cs="Arial"/>
        </w:rPr>
        <w:t>Bwin</w:t>
      </w:r>
      <w:proofErr w:type="spellEnd"/>
      <w:r w:rsidR="0064227E" w:rsidRPr="00851192">
        <w:rPr>
          <w:rFonts w:ascii="Arial" w:hAnsi="Arial" w:cs="Arial"/>
        </w:rPr>
        <w:t xml:space="preserve"> suggest that they add value to environmental causes such as societal development</w:t>
      </w:r>
      <w:r w:rsidR="0052737B" w:rsidRPr="00851192">
        <w:rPr>
          <w:rFonts w:ascii="Arial" w:hAnsi="Arial" w:cs="Arial"/>
        </w:rPr>
        <w:t xml:space="preserve"> demonstrating philanthropic qualities (Carrol, 2012)</w:t>
      </w:r>
      <w:r w:rsidR="0064227E" w:rsidRPr="00851192">
        <w:rPr>
          <w:rFonts w:ascii="Arial" w:hAnsi="Arial" w:cs="Arial"/>
        </w:rPr>
        <w:t>. Evidence of Bet</w:t>
      </w:r>
      <w:r w:rsidR="0052737B" w:rsidRPr="00851192">
        <w:rPr>
          <w:rFonts w:ascii="Arial" w:hAnsi="Arial" w:cs="Arial"/>
        </w:rPr>
        <w:t xml:space="preserve"> </w:t>
      </w:r>
      <w:r w:rsidR="007C59BA" w:rsidRPr="00851192">
        <w:rPr>
          <w:rFonts w:ascii="Arial" w:hAnsi="Arial" w:cs="Arial"/>
        </w:rPr>
        <w:t xml:space="preserve">365 is presented by the Denise Coates Foundation (Charity </w:t>
      </w:r>
      <w:r w:rsidRPr="00851192">
        <w:rPr>
          <w:rFonts w:ascii="Arial" w:hAnsi="Arial" w:cs="Arial"/>
        </w:rPr>
        <w:t>Commission</w:t>
      </w:r>
      <w:r w:rsidR="007C59BA" w:rsidRPr="00851192">
        <w:rPr>
          <w:rFonts w:ascii="Arial" w:hAnsi="Arial" w:cs="Arial"/>
        </w:rPr>
        <w:t xml:space="preserve"> UK Government, 2017)</w:t>
      </w:r>
      <w:r w:rsidR="009A1B00" w:rsidRPr="00851192">
        <w:rPr>
          <w:rFonts w:ascii="Arial" w:hAnsi="Arial" w:cs="Arial"/>
        </w:rPr>
        <w:t>, although no evidence is suggested by other GGO’s within the analysis of annual reports</w:t>
      </w:r>
      <w:r w:rsidR="007C59BA" w:rsidRPr="00851192">
        <w:rPr>
          <w:rFonts w:ascii="Arial" w:hAnsi="Arial" w:cs="Arial"/>
        </w:rPr>
        <w:t xml:space="preserve">. Within presented annual reports, both western operators comment about the issues associated with PG along with other suggested measures of CSR and CSR communication </w:t>
      </w:r>
      <w:r w:rsidR="0052737B" w:rsidRPr="00851192">
        <w:rPr>
          <w:rFonts w:ascii="Arial" w:hAnsi="Arial" w:cs="Arial"/>
        </w:rPr>
        <w:t>being</w:t>
      </w:r>
      <w:r w:rsidR="007C59BA" w:rsidRPr="00851192">
        <w:rPr>
          <w:rFonts w:ascii="Arial" w:hAnsi="Arial" w:cs="Arial"/>
        </w:rPr>
        <w:t xml:space="preserve"> implemented across operational platforms. These are in the form of</w:t>
      </w:r>
      <w:r w:rsidR="0052737B" w:rsidRPr="00851192">
        <w:rPr>
          <w:rFonts w:ascii="Arial" w:hAnsi="Arial" w:cs="Arial"/>
        </w:rPr>
        <w:t>;</w:t>
      </w:r>
      <w:r w:rsidR="007C59BA" w:rsidRPr="00851192">
        <w:rPr>
          <w:rFonts w:ascii="Arial" w:hAnsi="Arial" w:cs="Arial"/>
        </w:rPr>
        <w:t xml:space="preserve"> self-exclusion, </w:t>
      </w:r>
      <w:r w:rsidR="003109BA" w:rsidRPr="00851192">
        <w:rPr>
          <w:rFonts w:ascii="Arial" w:hAnsi="Arial" w:cs="Arial"/>
        </w:rPr>
        <w:t xml:space="preserve">RG </w:t>
      </w:r>
      <w:r w:rsidR="007C59BA" w:rsidRPr="00851192">
        <w:rPr>
          <w:rFonts w:ascii="Arial" w:hAnsi="Arial" w:cs="Arial"/>
        </w:rPr>
        <w:t xml:space="preserve">statements, secure transaction, fair gaming, and problem gambling support. All of which </w:t>
      </w:r>
      <w:r w:rsidR="00025EEF" w:rsidRPr="00851192">
        <w:rPr>
          <w:rFonts w:ascii="Arial" w:hAnsi="Arial" w:cs="Arial"/>
        </w:rPr>
        <w:t>can be identified as forms of truly legitimate and responsible behaviour of a business (</w:t>
      </w:r>
      <w:proofErr w:type="spellStart"/>
      <w:r w:rsidR="00025EEF" w:rsidRPr="00851192">
        <w:rPr>
          <w:rFonts w:ascii="Arial" w:hAnsi="Arial" w:cs="Arial"/>
        </w:rPr>
        <w:t>Rendtorff</w:t>
      </w:r>
      <w:proofErr w:type="spellEnd"/>
      <w:r w:rsidR="00025EEF" w:rsidRPr="00851192">
        <w:rPr>
          <w:rFonts w:ascii="Arial" w:hAnsi="Arial" w:cs="Arial"/>
        </w:rPr>
        <w:t xml:space="preserve">, 2009), although hindering financial performance which could be considered as irresponsible (Friedman, 1970). </w:t>
      </w:r>
    </w:p>
    <w:p w14:paraId="0FCD957B" w14:textId="1E98E4D2" w:rsidR="004B4150" w:rsidRPr="00851192" w:rsidRDefault="001A7D5E" w:rsidP="001A7D5E">
      <w:pPr>
        <w:pStyle w:val="Heading2"/>
        <w:rPr>
          <w:rFonts w:ascii="Arial" w:hAnsi="Arial" w:cs="Arial"/>
          <w:color w:val="auto"/>
        </w:rPr>
      </w:pPr>
      <w:bookmarkStart w:id="52" w:name="_Toc526434253"/>
      <w:r w:rsidRPr="00851192">
        <w:rPr>
          <w:rFonts w:ascii="Arial" w:hAnsi="Arial" w:cs="Arial"/>
          <w:color w:val="auto"/>
        </w:rPr>
        <w:t xml:space="preserve">4.5.6 </w:t>
      </w:r>
      <w:r w:rsidR="004B4150" w:rsidRPr="00851192">
        <w:rPr>
          <w:rFonts w:ascii="Arial" w:hAnsi="Arial" w:cs="Arial"/>
          <w:color w:val="auto"/>
        </w:rPr>
        <w:t xml:space="preserve">Global Gambling Operator’s </w:t>
      </w:r>
      <w:r w:rsidR="00FB1DD9" w:rsidRPr="00851192">
        <w:rPr>
          <w:rFonts w:ascii="Arial" w:hAnsi="Arial" w:cs="Arial"/>
          <w:color w:val="auto"/>
        </w:rPr>
        <w:t>and</w:t>
      </w:r>
      <w:r w:rsidR="004B4150" w:rsidRPr="00851192">
        <w:rPr>
          <w:rFonts w:ascii="Arial" w:hAnsi="Arial" w:cs="Arial"/>
          <w:color w:val="auto"/>
        </w:rPr>
        <w:t xml:space="preserve"> Communities</w:t>
      </w:r>
      <w:bookmarkEnd w:id="52"/>
    </w:p>
    <w:p w14:paraId="3521AED2" w14:textId="77777777" w:rsidR="00DD6645" w:rsidRPr="00851192" w:rsidRDefault="004B4150" w:rsidP="0003183E">
      <w:pPr>
        <w:spacing w:line="360" w:lineRule="auto"/>
        <w:jc w:val="both"/>
        <w:rPr>
          <w:rFonts w:ascii="Arial" w:hAnsi="Arial" w:cs="Arial"/>
        </w:rPr>
      </w:pPr>
      <w:r w:rsidRPr="00851192">
        <w:rPr>
          <w:rFonts w:ascii="Arial" w:hAnsi="Arial" w:cs="Arial"/>
        </w:rPr>
        <w:t xml:space="preserve">Regarding the study, society is also considered </w:t>
      </w:r>
      <w:r w:rsidR="00CB076D" w:rsidRPr="00851192">
        <w:rPr>
          <w:rFonts w:ascii="Arial" w:hAnsi="Arial" w:cs="Arial"/>
        </w:rPr>
        <w:t>as</w:t>
      </w:r>
      <w:r w:rsidRPr="00851192">
        <w:rPr>
          <w:rFonts w:ascii="Arial" w:hAnsi="Arial" w:cs="Arial"/>
        </w:rPr>
        <w:t xml:space="preserve"> communities. From the interpretation of the researcher, no evidence is suggested that any of the GGO’s within the study play a role within society that goes beyond profitability. Due to the</w:t>
      </w:r>
      <w:r w:rsidR="0052737B" w:rsidRPr="00851192">
        <w:rPr>
          <w:rFonts w:ascii="Arial" w:hAnsi="Arial" w:cs="Arial"/>
        </w:rPr>
        <w:t xml:space="preserve"> negative externalities</w:t>
      </w:r>
      <w:r w:rsidRPr="00851192">
        <w:rPr>
          <w:rFonts w:ascii="Arial" w:hAnsi="Arial" w:cs="Arial"/>
        </w:rPr>
        <w:t xml:space="preserve"> associated with the industry, a comparison to other industries may suggest that the lack of conviction in challenging </w:t>
      </w:r>
      <w:r w:rsidR="00384924" w:rsidRPr="00851192">
        <w:rPr>
          <w:rFonts w:ascii="Arial" w:hAnsi="Arial" w:cs="Arial"/>
        </w:rPr>
        <w:t>a</w:t>
      </w:r>
      <w:r w:rsidRPr="00851192">
        <w:rPr>
          <w:rFonts w:ascii="Arial" w:hAnsi="Arial" w:cs="Arial"/>
        </w:rPr>
        <w:t xml:space="preserve"> societal implication </w:t>
      </w:r>
      <w:r w:rsidR="0052737B" w:rsidRPr="00851192">
        <w:rPr>
          <w:rFonts w:ascii="Arial" w:hAnsi="Arial" w:cs="Arial"/>
        </w:rPr>
        <w:t xml:space="preserve">that </w:t>
      </w:r>
      <w:r w:rsidRPr="00851192">
        <w:rPr>
          <w:rFonts w:ascii="Arial" w:hAnsi="Arial" w:cs="Arial"/>
        </w:rPr>
        <w:t xml:space="preserve">PG could damage brand identity and hinder </w:t>
      </w:r>
      <w:r w:rsidR="0052737B" w:rsidRPr="00851192">
        <w:rPr>
          <w:rFonts w:ascii="Arial" w:hAnsi="Arial" w:cs="Arial"/>
        </w:rPr>
        <w:t>performance</w:t>
      </w:r>
      <w:r w:rsidRPr="00851192">
        <w:rPr>
          <w:rFonts w:ascii="Arial" w:hAnsi="Arial" w:cs="Arial"/>
        </w:rPr>
        <w:t xml:space="preserve">. Although, arguments </w:t>
      </w:r>
      <w:r w:rsidR="008C5D14" w:rsidRPr="00851192">
        <w:rPr>
          <w:rFonts w:ascii="Arial" w:hAnsi="Arial" w:cs="Arial"/>
        </w:rPr>
        <w:t>suggesting</w:t>
      </w:r>
      <w:r w:rsidRPr="00851192">
        <w:rPr>
          <w:rFonts w:ascii="Arial" w:hAnsi="Arial" w:cs="Arial"/>
        </w:rPr>
        <w:t xml:space="preserve"> that</w:t>
      </w:r>
      <w:r w:rsidR="008C5D14" w:rsidRPr="00851192">
        <w:rPr>
          <w:rFonts w:ascii="Arial" w:hAnsi="Arial" w:cs="Arial"/>
        </w:rPr>
        <w:t xml:space="preserve"> by</w:t>
      </w:r>
      <w:r w:rsidRPr="00851192">
        <w:rPr>
          <w:rFonts w:ascii="Arial" w:hAnsi="Arial" w:cs="Arial"/>
        </w:rPr>
        <w:t xml:space="preserve"> </w:t>
      </w:r>
      <w:r w:rsidR="008C5D14" w:rsidRPr="00851192">
        <w:rPr>
          <w:rFonts w:ascii="Arial" w:hAnsi="Arial" w:cs="Arial"/>
        </w:rPr>
        <w:t>GGO’s have greater responsibilities such as profit generation</w:t>
      </w:r>
      <w:r w:rsidR="0052737B" w:rsidRPr="00851192">
        <w:rPr>
          <w:rFonts w:ascii="Arial" w:hAnsi="Arial" w:cs="Arial"/>
        </w:rPr>
        <w:t>. This is</w:t>
      </w:r>
      <w:r w:rsidR="008C5D14" w:rsidRPr="00851192">
        <w:rPr>
          <w:rFonts w:ascii="Arial" w:hAnsi="Arial" w:cs="Arial"/>
        </w:rPr>
        <w:t xml:space="preserve"> due to the nature on how a business should</w:t>
      </w:r>
      <w:r w:rsidR="00CB076D" w:rsidRPr="00851192">
        <w:rPr>
          <w:rFonts w:ascii="Arial" w:hAnsi="Arial" w:cs="Arial"/>
        </w:rPr>
        <w:t xml:space="preserve"> naturally</w:t>
      </w:r>
      <w:r w:rsidR="008C5D14" w:rsidRPr="00851192">
        <w:rPr>
          <w:rFonts w:ascii="Arial" w:hAnsi="Arial" w:cs="Arial"/>
        </w:rPr>
        <w:t xml:space="preserve"> perform (</w:t>
      </w:r>
      <w:proofErr w:type="spellStart"/>
      <w:r w:rsidR="008C5D14" w:rsidRPr="00851192">
        <w:rPr>
          <w:rFonts w:ascii="Arial" w:hAnsi="Arial" w:cs="Arial"/>
        </w:rPr>
        <w:t>Argenti</w:t>
      </w:r>
      <w:proofErr w:type="spellEnd"/>
      <w:r w:rsidR="008C5D14" w:rsidRPr="00851192">
        <w:rPr>
          <w:rFonts w:ascii="Arial" w:hAnsi="Arial" w:cs="Arial"/>
        </w:rPr>
        <w:t xml:space="preserve"> &amp; </w:t>
      </w:r>
      <w:proofErr w:type="spellStart"/>
      <w:r w:rsidR="008C5D14" w:rsidRPr="00851192">
        <w:rPr>
          <w:rFonts w:ascii="Arial" w:hAnsi="Arial" w:cs="Arial"/>
        </w:rPr>
        <w:t>Druckermiller</w:t>
      </w:r>
      <w:proofErr w:type="spellEnd"/>
      <w:r w:rsidR="008C5D14" w:rsidRPr="00851192">
        <w:rPr>
          <w:rFonts w:ascii="Arial" w:hAnsi="Arial" w:cs="Arial"/>
        </w:rPr>
        <w:t xml:space="preserve">, 2002; Friedman, 1970; Tracey, 2014). Whereas </w:t>
      </w:r>
      <w:r w:rsidR="0052737B" w:rsidRPr="00851192">
        <w:rPr>
          <w:rFonts w:ascii="Arial" w:hAnsi="Arial" w:cs="Arial"/>
        </w:rPr>
        <w:t>literature</w:t>
      </w:r>
      <w:r w:rsidR="008C5D14" w:rsidRPr="00851192">
        <w:rPr>
          <w:rFonts w:ascii="Arial" w:hAnsi="Arial" w:cs="Arial"/>
        </w:rPr>
        <w:t xml:space="preserve"> </w:t>
      </w:r>
      <w:r w:rsidR="00CB076D" w:rsidRPr="00851192">
        <w:rPr>
          <w:rFonts w:ascii="Arial" w:hAnsi="Arial" w:cs="Arial"/>
        </w:rPr>
        <w:t>suggests</w:t>
      </w:r>
      <w:r w:rsidR="008C5D14" w:rsidRPr="00851192">
        <w:rPr>
          <w:rFonts w:ascii="Arial" w:hAnsi="Arial" w:cs="Arial"/>
        </w:rPr>
        <w:t xml:space="preserve"> that a greater emphasis towards stakeholder</w:t>
      </w:r>
      <w:r w:rsidR="0052737B" w:rsidRPr="00851192">
        <w:rPr>
          <w:rFonts w:ascii="Arial" w:hAnsi="Arial" w:cs="Arial"/>
        </w:rPr>
        <w:t xml:space="preserve"> management</w:t>
      </w:r>
      <w:r w:rsidR="008C5D14" w:rsidRPr="00851192">
        <w:rPr>
          <w:rFonts w:ascii="Arial" w:hAnsi="Arial" w:cs="Arial"/>
        </w:rPr>
        <w:t xml:space="preserve"> should be implemented</w:t>
      </w:r>
      <w:r w:rsidR="0052737B" w:rsidRPr="00851192">
        <w:rPr>
          <w:rFonts w:ascii="Arial" w:hAnsi="Arial" w:cs="Arial"/>
        </w:rPr>
        <w:t>,</w:t>
      </w:r>
      <w:r w:rsidR="008C5D14" w:rsidRPr="00851192">
        <w:rPr>
          <w:rFonts w:ascii="Arial" w:hAnsi="Arial" w:cs="Arial"/>
        </w:rPr>
        <w:t xml:space="preserve"> and that financial performance would not be hindered </w:t>
      </w:r>
      <w:r w:rsidR="0052737B" w:rsidRPr="00851192">
        <w:rPr>
          <w:rFonts w:ascii="Arial" w:hAnsi="Arial" w:cs="Arial"/>
        </w:rPr>
        <w:t>but</w:t>
      </w:r>
      <w:r w:rsidR="008C5D14" w:rsidRPr="00851192">
        <w:rPr>
          <w:rFonts w:ascii="Arial" w:hAnsi="Arial" w:cs="Arial"/>
        </w:rPr>
        <w:t xml:space="preserve"> will still experience great benefits from being more responsible (Phillips, 2003; </w:t>
      </w:r>
      <w:r w:rsidR="0052737B" w:rsidRPr="00851192">
        <w:rPr>
          <w:rFonts w:ascii="Arial" w:hAnsi="Arial" w:cs="Arial"/>
        </w:rPr>
        <w:t xml:space="preserve">Freeman, 1984; </w:t>
      </w:r>
      <w:proofErr w:type="spellStart"/>
      <w:r w:rsidR="008C5D14" w:rsidRPr="00851192">
        <w:rPr>
          <w:rFonts w:ascii="Arial" w:hAnsi="Arial" w:cs="Arial"/>
        </w:rPr>
        <w:t>Podnar</w:t>
      </w:r>
      <w:proofErr w:type="spellEnd"/>
      <w:r w:rsidR="008C5D14" w:rsidRPr="00851192">
        <w:rPr>
          <w:rFonts w:ascii="Arial" w:hAnsi="Arial" w:cs="Arial"/>
        </w:rPr>
        <w:t>, 2008; Smith, 2007)</w:t>
      </w:r>
      <w:r w:rsidR="00384924" w:rsidRPr="00851192">
        <w:rPr>
          <w:rFonts w:ascii="Arial" w:hAnsi="Arial" w:cs="Arial"/>
        </w:rPr>
        <w:t>.</w:t>
      </w:r>
      <w:r w:rsidR="008C5D14" w:rsidRPr="00851192">
        <w:rPr>
          <w:rFonts w:ascii="Arial" w:hAnsi="Arial" w:cs="Arial"/>
        </w:rPr>
        <w:t xml:space="preserve"> </w:t>
      </w:r>
    </w:p>
    <w:p w14:paraId="46E91CF2" w14:textId="1C5605C8" w:rsidR="0044537C" w:rsidRPr="00851192" w:rsidRDefault="007231B3" w:rsidP="0003183E">
      <w:pPr>
        <w:spacing w:line="360" w:lineRule="auto"/>
        <w:jc w:val="both"/>
        <w:rPr>
          <w:rFonts w:ascii="Arial" w:hAnsi="Arial" w:cs="Arial"/>
        </w:rPr>
      </w:pPr>
      <w:r w:rsidRPr="00851192">
        <w:rPr>
          <w:rFonts w:ascii="Arial" w:hAnsi="Arial" w:cs="Arial"/>
        </w:rPr>
        <w:t xml:space="preserve">In contrast to going beyond profit </w:t>
      </w:r>
      <w:r w:rsidR="00DD6645" w:rsidRPr="00851192">
        <w:rPr>
          <w:rFonts w:ascii="Arial" w:hAnsi="Arial" w:cs="Arial"/>
        </w:rPr>
        <w:t>generation</w:t>
      </w:r>
      <w:r w:rsidRPr="00851192">
        <w:rPr>
          <w:rFonts w:ascii="Arial" w:hAnsi="Arial" w:cs="Arial"/>
        </w:rPr>
        <w:t>, all GGO’s suggest they play a vital role within society such as employment and long</w:t>
      </w:r>
      <w:r w:rsidR="00CB076D" w:rsidRPr="00851192">
        <w:rPr>
          <w:rFonts w:ascii="Arial" w:hAnsi="Arial" w:cs="Arial"/>
        </w:rPr>
        <w:t>-</w:t>
      </w:r>
      <w:r w:rsidRPr="00851192">
        <w:rPr>
          <w:rFonts w:ascii="Arial" w:hAnsi="Arial" w:cs="Arial"/>
        </w:rPr>
        <w:t xml:space="preserve">term sustainability which adds value within itself to being socially responsible and </w:t>
      </w:r>
      <w:r w:rsidR="00DD6645" w:rsidRPr="00851192">
        <w:rPr>
          <w:rFonts w:ascii="Arial" w:hAnsi="Arial" w:cs="Arial"/>
        </w:rPr>
        <w:t>demonstrate</w:t>
      </w:r>
      <w:r w:rsidRPr="00851192">
        <w:rPr>
          <w:rFonts w:ascii="Arial" w:hAnsi="Arial" w:cs="Arial"/>
        </w:rPr>
        <w:t xml:space="preserve"> philanthropic qualities</w:t>
      </w:r>
      <w:r w:rsidR="00C26C19" w:rsidRPr="00851192">
        <w:rPr>
          <w:rFonts w:ascii="Arial" w:hAnsi="Arial" w:cs="Arial"/>
        </w:rPr>
        <w:t xml:space="preserve"> </w:t>
      </w:r>
      <w:r w:rsidR="00DD6645" w:rsidRPr="00851192">
        <w:rPr>
          <w:rFonts w:ascii="Arial" w:hAnsi="Arial" w:cs="Arial"/>
        </w:rPr>
        <w:t>which</w:t>
      </w:r>
      <w:r w:rsidR="00C26C19" w:rsidRPr="00851192">
        <w:rPr>
          <w:rFonts w:ascii="Arial" w:hAnsi="Arial" w:cs="Arial"/>
        </w:rPr>
        <w:t xml:space="preserve"> is embedded </w:t>
      </w:r>
      <w:r w:rsidR="00DD6645" w:rsidRPr="00851192">
        <w:rPr>
          <w:rFonts w:ascii="Arial" w:hAnsi="Arial" w:cs="Arial"/>
        </w:rPr>
        <w:t>deliver</w:t>
      </w:r>
      <w:r w:rsidR="00C26C19" w:rsidRPr="00851192">
        <w:rPr>
          <w:rFonts w:ascii="Arial" w:hAnsi="Arial" w:cs="Arial"/>
        </w:rPr>
        <w:t xml:space="preserve"> sustainable value </w:t>
      </w:r>
      <w:r w:rsidR="00DD6645" w:rsidRPr="00851192">
        <w:rPr>
          <w:rFonts w:ascii="Arial" w:hAnsi="Arial" w:cs="Arial"/>
        </w:rPr>
        <w:t>to</w:t>
      </w:r>
      <w:r w:rsidR="00C26C19" w:rsidRPr="00851192">
        <w:rPr>
          <w:rFonts w:ascii="Arial" w:hAnsi="Arial" w:cs="Arial"/>
        </w:rPr>
        <w:t xml:space="preserve"> society (</w:t>
      </w:r>
      <w:proofErr w:type="spellStart"/>
      <w:r w:rsidR="00C26C19" w:rsidRPr="00851192">
        <w:rPr>
          <w:rFonts w:ascii="Arial" w:hAnsi="Arial" w:cs="Arial"/>
        </w:rPr>
        <w:t>Brundtland</w:t>
      </w:r>
      <w:proofErr w:type="spellEnd"/>
      <w:r w:rsidR="00C26C19" w:rsidRPr="00851192">
        <w:rPr>
          <w:rFonts w:ascii="Arial" w:hAnsi="Arial" w:cs="Arial"/>
        </w:rPr>
        <w:t xml:space="preserve">, 1987; </w:t>
      </w:r>
      <w:proofErr w:type="spellStart"/>
      <w:r w:rsidR="00C26C19" w:rsidRPr="00851192">
        <w:rPr>
          <w:rFonts w:ascii="Arial" w:hAnsi="Arial" w:cs="Arial"/>
        </w:rPr>
        <w:t>Balmer</w:t>
      </w:r>
      <w:proofErr w:type="spellEnd"/>
      <w:r w:rsidR="00C26C19" w:rsidRPr="00851192">
        <w:rPr>
          <w:rFonts w:ascii="Arial" w:hAnsi="Arial" w:cs="Arial"/>
        </w:rPr>
        <w:t xml:space="preserve">, </w:t>
      </w:r>
      <w:proofErr w:type="spellStart"/>
      <w:r w:rsidR="00C26C19" w:rsidRPr="00851192">
        <w:rPr>
          <w:rFonts w:ascii="Arial" w:hAnsi="Arial" w:cs="Arial"/>
        </w:rPr>
        <w:t>Gray</w:t>
      </w:r>
      <w:proofErr w:type="spellEnd"/>
      <w:r w:rsidR="00C26C19" w:rsidRPr="00851192">
        <w:rPr>
          <w:rFonts w:ascii="Arial" w:hAnsi="Arial" w:cs="Arial"/>
        </w:rPr>
        <w:t xml:space="preserve">, &amp; </w:t>
      </w:r>
      <w:proofErr w:type="spellStart"/>
      <w:r w:rsidR="00C26C19" w:rsidRPr="00851192">
        <w:rPr>
          <w:rFonts w:ascii="Arial" w:hAnsi="Arial" w:cs="Arial"/>
        </w:rPr>
        <w:t>Fukukawa</w:t>
      </w:r>
      <w:proofErr w:type="spellEnd"/>
      <w:r w:rsidR="00C26C19" w:rsidRPr="00851192">
        <w:rPr>
          <w:rFonts w:ascii="Arial" w:hAnsi="Arial" w:cs="Arial"/>
        </w:rPr>
        <w:t xml:space="preserve">, 2007; Scherer &amp; Palazzo, 2007; </w:t>
      </w:r>
      <w:proofErr w:type="spellStart"/>
      <w:r w:rsidR="00C26C19" w:rsidRPr="00851192">
        <w:rPr>
          <w:rFonts w:ascii="Arial" w:hAnsi="Arial" w:cs="Arial"/>
        </w:rPr>
        <w:t>Hunziker</w:t>
      </w:r>
      <w:proofErr w:type="spellEnd"/>
      <w:r w:rsidR="00C26C19" w:rsidRPr="00851192">
        <w:rPr>
          <w:rFonts w:ascii="Arial" w:hAnsi="Arial" w:cs="Arial"/>
        </w:rPr>
        <w:t xml:space="preserve">, 2016; Carroll, </w:t>
      </w:r>
      <w:proofErr w:type="spellStart"/>
      <w:r w:rsidR="00C26C19" w:rsidRPr="00851192">
        <w:rPr>
          <w:rFonts w:ascii="Arial" w:hAnsi="Arial" w:cs="Arial"/>
        </w:rPr>
        <w:t>Lipartito</w:t>
      </w:r>
      <w:proofErr w:type="spellEnd"/>
      <w:r w:rsidR="00C26C19" w:rsidRPr="00851192">
        <w:rPr>
          <w:rFonts w:ascii="Arial" w:hAnsi="Arial" w:cs="Arial"/>
        </w:rPr>
        <w:t xml:space="preserve">, Post, &amp; </w:t>
      </w:r>
      <w:proofErr w:type="spellStart"/>
      <w:r w:rsidR="00C26C19" w:rsidRPr="00851192">
        <w:rPr>
          <w:rFonts w:ascii="Arial" w:hAnsi="Arial" w:cs="Arial"/>
        </w:rPr>
        <w:t>Werhane</w:t>
      </w:r>
      <w:proofErr w:type="spellEnd"/>
      <w:r w:rsidR="00C26C19" w:rsidRPr="00851192">
        <w:rPr>
          <w:rFonts w:ascii="Arial" w:hAnsi="Arial" w:cs="Arial"/>
        </w:rPr>
        <w:t>, 2012).</w:t>
      </w:r>
      <w:r w:rsidR="002D53DE" w:rsidRPr="00851192">
        <w:rPr>
          <w:rFonts w:ascii="Arial" w:hAnsi="Arial" w:cs="Arial"/>
        </w:rPr>
        <w:t xml:space="preserve"> GGO’s are identified to have more measures of CSR than Asia Gaming in the east. This could be due to a more reactive measure </w:t>
      </w:r>
      <w:sdt>
        <w:sdtPr>
          <w:rPr>
            <w:rFonts w:ascii="Arial" w:hAnsi="Arial" w:cs="Arial"/>
          </w:rPr>
          <w:id w:val="815542424"/>
          <w:citation/>
        </w:sdtPr>
        <w:sdtEndPr/>
        <w:sdtContent>
          <w:r w:rsidR="00CB076D" w:rsidRPr="00851192">
            <w:rPr>
              <w:rFonts w:ascii="Arial" w:hAnsi="Arial" w:cs="Arial"/>
            </w:rPr>
            <w:fldChar w:fldCharType="begin"/>
          </w:r>
          <w:r w:rsidR="00CB076D" w:rsidRPr="00851192">
            <w:rPr>
              <w:rFonts w:ascii="Arial" w:hAnsi="Arial" w:cs="Arial"/>
            </w:rPr>
            <w:instrText xml:space="preserve"> CITATION Tat15 \l 2057 </w:instrText>
          </w:r>
          <w:r w:rsidR="00CB076D" w:rsidRPr="00851192">
            <w:rPr>
              <w:rFonts w:ascii="Arial" w:hAnsi="Arial" w:cs="Arial"/>
            </w:rPr>
            <w:fldChar w:fldCharType="separate"/>
          </w:r>
          <w:r w:rsidR="002D17EA" w:rsidRPr="00851192">
            <w:rPr>
              <w:rFonts w:ascii="Arial" w:hAnsi="Arial" w:cs="Arial"/>
              <w:noProof/>
            </w:rPr>
            <w:t>(Tata &amp; Prasad, 2015)</w:t>
          </w:r>
          <w:r w:rsidR="00CB076D" w:rsidRPr="00851192">
            <w:rPr>
              <w:rFonts w:ascii="Arial" w:hAnsi="Arial" w:cs="Arial"/>
            </w:rPr>
            <w:fldChar w:fldCharType="end"/>
          </w:r>
        </w:sdtContent>
      </w:sdt>
      <w:r w:rsidR="00CB076D" w:rsidRPr="00851192">
        <w:rPr>
          <w:rFonts w:ascii="Arial" w:hAnsi="Arial" w:cs="Arial"/>
        </w:rPr>
        <w:t xml:space="preserve"> </w:t>
      </w:r>
      <w:r w:rsidR="002D53DE" w:rsidRPr="00851192">
        <w:rPr>
          <w:rFonts w:ascii="Arial" w:hAnsi="Arial" w:cs="Arial"/>
        </w:rPr>
        <w:t xml:space="preserve">needed to be taken within a much more competitive landscape in the western hemisphere, alongside greater external pressures. </w:t>
      </w:r>
      <w:r w:rsidR="000513EC" w:rsidRPr="00851192">
        <w:rPr>
          <w:rFonts w:ascii="Arial" w:hAnsi="Arial" w:cs="Arial"/>
        </w:rPr>
        <w:t xml:space="preserve">All GGO’s claim they have a degree of care towards the </w:t>
      </w:r>
      <w:r w:rsidR="00CB076D" w:rsidRPr="00851192">
        <w:rPr>
          <w:rFonts w:ascii="Arial" w:hAnsi="Arial" w:cs="Arial"/>
        </w:rPr>
        <w:t>psychological</w:t>
      </w:r>
      <w:r w:rsidR="000513EC" w:rsidRPr="00851192">
        <w:rPr>
          <w:rFonts w:ascii="Arial" w:hAnsi="Arial" w:cs="Arial"/>
        </w:rPr>
        <w:t xml:space="preserve"> issues as</w:t>
      </w:r>
      <w:r w:rsidR="00CB076D" w:rsidRPr="00851192">
        <w:rPr>
          <w:rFonts w:ascii="Arial" w:hAnsi="Arial" w:cs="Arial"/>
        </w:rPr>
        <w:t>sociated</w:t>
      </w:r>
      <w:r w:rsidR="000513EC" w:rsidRPr="00851192">
        <w:rPr>
          <w:rFonts w:ascii="Arial" w:hAnsi="Arial" w:cs="Arial"/>
        </w:rPr>
        <w:t xml:space="preserve"> with </w:t>
      </w:r>
      <w:r w:rsidR="000513EC" w:rsidRPr="00851192">
        <w:rPr>
          <w:rFonts w:ascii="Arial" w:hAnsi="Arial" w:cs="Arial"/>
        </w:rPr>
        <w:lastRenderedPageBreak/>
        <w:t>PG.</w:t>
      </w:r>
      <w:r w:rsidR="00DD6645" w:rsidRPr="00851192">
        <w:rPr>
          <w:rFonts w:ascii="Arial" w:hAnsi="Arial" w:cs="Arial"/>
        </w:rPr>
        <w:t xml:space="preserve"> These factors partially demonstrate the importance and value of CSR and CSR communication to GGO’s.</w:t>
      </w:r>
    </w:p>
    <w:p w14:paraId="6FDA9F0F" w14:textId="5BFE175D" w:rsidR="000513EC" w:rsidRPr="00851192" w:rsidRDefault="001A7D5E" w:rsidP="001A7D5E">
      <w:pPr>
        <w:pStyle w:val="Heading2"/>
        <w:rPr>
          <w:rFonts w:ascii="Arial" w:hAnsi="Arial" w:cs="Arial"/>
          <w:color w:val="auto"/>
        </w:rPr>
      </w:pPr>
      <w:bookmarkStart w:id="53" w:name="_Toc526434254"/>
      <w:r w:rsidRPr="00851192">
        <w:rPr>
          <w:rFonts w:ascii="Arial" w:hAnsi="Arial" w:cs="Arial"/>
          <w:color w:val="auto"/>
        </w:rPr>
        <w:t xml:space="preserve">4.5.7 </w:t>
      </w:r>
      <w:r w:rsidR="000513EC" w:rsidRPr="00851192">
        <w:rPr>
          <w:rFonts w:ascii="Arial" w:hAnsi="Arial" w:cs="Arial"/>
          <w:color w:val="auto"/>
        </w:rPr>
        <w:t xml:space="preserve">Global Gambling Operator’s </w:t>
      </w:r>
      <w:r w:rsidR="00FB1DD9" w:rsidRPr="00851192">
        <w:rPr>
          <w:rFonts w:ascii="Arial" w:hAnsi="Arial" w:cs="Arial"/>
          <w:color w:val="auto"/>
        </w:rPr>
        <w:t>and</w:t>
      </w:r>
      <w:r w:rsidR="000513EC" w:rsidRPr="00851192">
        <w:rPr>
          <w:rFonts w:ascii="Arial" w:hAnsi="Arial" w:cs="Arial"/>
          <w:color w:val="auto"/>
        </w:rPr>
        <w:t xml:space="preserve"> Governments</w:t>
      </w:r>
      <w:bookmarkEnd w:id="53"/>
    </w:p>
    <w:p w14:paraId="2EB8EBE7" w14:textId="76AEBDEC" w:rsidR="00A95A70" w:rsidRPr="00851192" w:rsidRDefault="000513EC" w:rsidP="0003183E">
      <w:pPr>
        <w:spacing w:line="360" w:lineRule="auto"/>
        <w:jc w:val="both"/>
        <w:rPr>
          <w:rFonts w:ascii="Arial" w:hAnsi="Arial" w:cs="Arial"/>
        </w:rPr>
      </w:pPr>
      <w:r w:rsidRPr="00851192">
        <w:rPr>
          <w:rFonts w:ascii="Arial" w:hAnsi="Arial" w:cs="Arial"/>
        </w:rPr>
        <w:t>The bargaining power of GGO’s against governments is deemed to be more powerful within political jurisdictions where gambling is recognised as a source of tourism economic growth</w:t>
      </w:r>
      <w:r w:rsidR="00DD6645" w:rsidRPr="00851192">
        <w:rPr>
          <w:rFonts w:ascii="Arial" w:hAnsi="Arial" w:cs="Arial"/>
        </w:rPr>
        <w:t xml:space="preserve"> </w:t>
      </w:r>
      <w:sdt>
        <w:sdtPr>
          <w:rPr>
            <w:rFonts w:ascii="Arial" w:hAnsi="Arial" w:cs="Arial"/>
          </w:rPr>
          <w:id w:val="-751044329"/>
          <w:citation/>
        </w:sdtPr>
        <w:sdtEndPr/>
        <w:sdtContent>
          <w:r w:rsidR="00DD6645" w:rsidRPr="00851192">
            <w:rPr>
              <w:rFonts w:ascii="Arial" w:hAnsi="Arial" w:cs="Arial"/>
            </w:rPr>
            <w:fldChar w:fldCharType="begin"/>
          </w:r>
          <w:r w:rsidR="00DD6645" w:rsidRPr="00851192">
            <w:rPr>
              <w:rFonts w:ascii="Arial" w:hAnsi="Arial" w:cs="Arial"/>
            </w:rPr>
            <w:instrText xml:space="preserve"> CITATION Ent17 \l 2057 </w:instrText>
          </w:r>
          <w:r w:rsidR="00DD6645" w:rsidRPr="00851192">
            <w:rPr>
              <w:rFonts w:ascii="Arial" w:hAnsi="Arial" w:cs="Arial"/>
            </w:rPr>
            <w:fldChar w:fldCharType="separate"/>
          </w:r>
          <w:r w:rsidR="002D17EA" w:rsidRPr="00851192">
            <w:rPr>
              <w:rFonts w:ascii="Arial" w:hAnsi="Arial" w:cs="Arial"/>
              <w:noProof/>
            </w:rPr>
            <w:t>(Entertainment Asia Gaming, 2017)</w:t>
          </w:r>
          <w:r w:rsidR="00DD6645" w:rsidRPr="00851192">
            <w:rPr>
              <w:rFonts w:ascii="Arial" w:hAnsi="Arial" w:cs="Arial"/>
            </w:rPr>
            <w:fldChar w:fldCharType="end"/>
          </w:r>
        </w:sdtContent>
      </w:sdt>
      <w:r w:rsidRPr="00851192">
        <w:rPr>
          <w:rFonts w:ascii="Arial" w:hAnsi="Arial" w:cs="Arial"/>
        </w:rPr>
        <w:t xml:space="preserve">. Due to the reliance political jurisdictions such as Nepal have on tourism gambling, the presence of CSR and CSR communication are less frequent if not, never delivered. Gambling within the western hemisphere is recognised for being </w:t>
      </w:r>
      <w:r w:rsidR="00DD6645" w:rsidRPr="00851192">
        <w:rPr>
          <w:rFonts w:ascii="Arial" w:hAnsi="Arial" w:cs="Arial"/>
        </w:rPr>
        <w:t>generated by</w:t>
      </w:r>
      <w:r w:rsidRPr="00851192">
        <w:rPr>
          <w:rFonts w:ascii="Arial" w:hAnsi="Arial" w:cs="Arial"/>
        </w:rPr>
        <w:t xml:space="preserve"> government </w:t>
      </w:r>
      <w:r w:rsidR="00DD6645" w:rsidRPr="00851192">
        <w:rPr>
          <w:rFonts w:ascii="Arial" w:hAnsi="Arial" w:cs="Arial"/>
        </w:rPr>
        <w:t>such as the national lottery and by</w:t>
      </w:r>
      <w:r w:rsidRPr="00851192">
        <w:rPr>
          <w:rFonts w:ascii="Arial" w:hAnsi="Arial" w:cs="Arial"/>
        </w:rPr>
        <w:t xml:space="preserve"> P</w:t>
      </w:r>
      <w:r w:rsidR="00CB076D" w:rsidRPr="00851192">
        <w:rPr>
          <w:rFonts w:ascii="Arial" w:hAnsi="Arial" w:cs="Arial"/>
        </w:rPr>
        <w:t>lc</w:t>
      </w:r>
      <w:r w:rsidR="00DD6645" w:rsidRPr="00851192">
        <w:rPr>
          <w:rFonts w:ascii="Arial" w:hAnsi="Arial" w:cs="Arial"/>
        </w:rPr>
        <w:t>’s</w:t>
      </w:r>
      <w:r w:rsidRPr="00851192">
        <w:rPr>
          <w:rFonts w:ascii="Arial" w:hAnsi="Arial" w:cs="Arial"/>
        </w:rPr>
        <w:t xml:space="preserve">. The implementation of the national lottery is identified as a source of raising funds for charitable projects. The financial power that GGO’s have within a globalised context is attractive to many governments. The opportunity for low taxation in political jurisdictions such as Gibraltar, Cayman Islands and the Isle of Man </w:t>
      </w:r>
      <w:r w:rsidR="00CE0A29" w:rsidRPr="00851192">
        <w:rPr>
          <w:rFonts w:ascii="Arial" w:hAnsi="Arial" w:cs="Arial"/>
        </w:rPr>
        <w:t xml:space="preserve">keep GGO’s </w:t>
      </w:r>
      <w:r w:rsidR="00DD6645" w:rsidRPr="00851192">
        <w:rPr>
          <w:rFonts w:ascii="Arial" w:hAnsi="Arial" w:cs="Arial"/>
        </w:rPr>
        <w:t>embedded within</w:t>
      </w:r>
      <w:r w:rsidR="00CE0A29" w:rsidRPr="00851192">
        <w:rPr>
          <w:rFonts w:ascii="Arial" w:hAnsi="Arial" w:cs="Arial"/>
        </w:rPr>
        <w:t xml:space="preserve"> the UK government to ensure </w:t>
      </w:r>
      <w:r w:rsidR="00DD6645" w:rsidRPr="00851192">
        <w:rPr>
          <w:rFonts w:ascii="Arial" w:hAnsi="Arial" w:cs="Arial"/>
        </w:rPr>
        <w:t>financial contribution to the tax man.</w:t>
      </w:r>
      <w:r w:rsidR="00CE0A29" w:rsidRPr="00851192">
        <w:rPr>
          <w:rFonts w:ascii="Arial" w:hAnsi="Arial" w:cs="Arial"/>
        </w:rPr>
        <w:t xml:space="preserve"> </w:t>
      </w:r>
    </w:p>
    <w:p w14:paraId="073EDB7B" w14:textId="26FB181B" w:rsidR="00A95A70" w:rsidRPr="00851192" w:rsidRDefault="001A7D5E" w:rsidP="001A7D5E">
      <w:pPr>
        <w:pStyle w:val="Heading1"/>
        <w:rPr>
          <w:rFonts w:ascii="Arial" w:hAnsi="Arial" w:cs="Arial"/>
          <w:color w:val="auto"/>
        </w:rPr>
      </w:pPr>
      <w:bookmarkStart w:id="54" w:name="_Toc526434255"/>
      <w:r w:rsidRPr="00851192">
        <w:rPr>
          <w:rFonts w:ascii="Arial" w:hAnsi="Arial" w:cs="Arial"/>
          <w:color w:val="auto"/>
        </w:rPr>
        <w:t xml:space="preserve">4.6 </w:t>
      </w:r>
      <w:r w:rsidR="00A95A70" w:rsidRPr="00851192">
        <w:rPr>
          <w:rFonts w:ascii="Arial" w:hAnsi="Arial" w:cs="Arial"/>
          <w:color w:val="auto"/>
        </w:rPr>
        <w:t xml:space="preserve">Key </w:t>
      </w:r>
      <w:r w:rsidR="0044537C" w:rsidRPr="00851192">
        <w:rPr>
          <w:rFonts w:ascii="Arial" w:hAnsi="Arial" w:cs="Arial"/>
          <w:color w:val="auto"/>
        </w:rPr>
        <w:t>themes emerged</w:t>
      </w:r>
      <w:r w:rsidR="00A95A70" w:rsidRPr="00851192">
        <w:rPr>
          <w:rFonts w:ascii="Arial" w:hAnsi="Arial" w:cs="Arial"/>
          <w:color w:val="auto"/>
        </w:rPr>
        <w:t xml:space="preserve"> from</w:t>
      </w:r>
      <w:r w:rsidR="00FB1DD9" w:rsidRPr="00851192">
        <w:rPr>
          <w:rFonts w:ascii="Arial" w:hAnsi="Arial" w:cs="Arial"/>
          <w:color w:val="auto"/>
        </w:rPr>
        <w:t xml:space="preserve"> Qualitative</w:t>
      </w:r>
      <w:r w:rsidR="00A95A70" w:rsidRPr="00851192">
        <w:rPr>
          <w:rFonts w:ascii="Arial" w:hAnsi="Arial" w:cs="Arial"/>
          <w:color w:val="auto"/>
        </w:rPr>
        <w:t xml:space="preserve"> </w:t>
      </w:r>
      <w:r w:rsidR="00830E29" w:rsidRPr="00851192">
        <w:rPr>
          <w:rFonts w:ascii="Arial" w:hAnsi="Arial" w:cs="Arial"/>
          <w:color w:val="auto"/>
        </w:rPr>
        <w:t>Content Analysis</w:t>
      </w:r>
      <w:r w:rsidR="0044537C" w:rsidRPr="00851192">
        <w:rPr>
          <w:rFonts w:ascii="Arial" w:hAnsi="Arial" w:cs="Arial"/>
          <w:color w:val="auto"/>
        </w:rPr>
        <w:t xml:space="preserve"> of Annual Reports</w:t>
      </w:r>
      <w:bookmarkEnd w:id="54"/>
    </w:p>
    <w:p w14:paraId="1176BA01" w14:textId="79B3D871" w:rsidR="00A95A70" w:rsidRPr="00851192" w:rsidRDefault="00A95A70" w:rsidP="0003183E">
      <w:pPr>
        <w:spacing w:line="360" w:lineRule="auto"/>
        <w:jc w:val="both"/>
        <w:rPr>
          <w:rFonts w:ascii="Arial" w:hAnsi="Arial" w:cs="Arial"/>
        </w:rPr>
      </w:pPr>
      <w:r w:rsidRPr="00851192">
        <w:rPr>
          <w:rFonts w:ascii="Arial" w:hAnsi="Arial" w:cs="Arial"/>
        </w:rPr>
        <w:t xml:space="preserve">These results have important implications for CSR communication and the validity of </w:t>
      </w:r>
      <w:r w:rsidR="00CB076D" w:rsidRPr="00851192">
        <w:rPr>
          <w:rFonts w:ascii="Arial" w:hAnsi="Arial" w:cs="Arial"/>
        </w:rPr>
        <w:t xml:space="preserve">GGO’s </w:t>
      </w:r>
      <w:r w:rsidRPr="00851192">
        <w:rPr>
          <w:rFonts w:ascii="Arial" w:hAnsi="Arial" w:cs="Arial"/>
        </w:rPr>
        <w:t xml:space="preserve">commitment to the issues which surround </w:t>
      </w:r>
      <w:r w:rsidR="00CB076D" w:rsidRPr="00851192">
        <w:rPr>
          <w:rFonts w:ascii="Arial" w:hAnsi="Arial" w:cs="Arial"/>
        </w:rPr>
        <w:t>PG</w:t>
      </w:r>
      <w:r w:rsidRPr="00851192">
        <w:rPr>
          <w:rFonts w:ascii="Arial" w:hAnsi="Arial" w:cs="Arial"/>
        </w:rPr>
        <w:t xml:space="preserve">. Although this is a case example on </w:t>
      </w:r>
      <w:r w:rsidR="00CB076D" w:rsidRPr="00851192">
        <w:rPr>
          <w:rFonts w:ascii="Arial" w:hAnsi="Arial" w:cs="Arial"/>
        </w:rPr>
        <w:t>GGO’s</w:t>
      </w:r>
      <w:r w:rsidRPr="00851192">
        <w:rPr>
          <w:rFonts w:ascii="Arial" w:hAnsi="Arial" w:cs="Arial"/>
        </w:rPr>
        <w:t xml:space="preserve"> measurement of ethical and responsible behaviour, the study still aims to discover if </w:t>
      </w:r>
      <w:r w:rsidR="00CB076D" w:rsidRPr="00851192">
        <w:rPr>
          <w:rFonts w:ascii="Arial" w:hAnsi="Arial" w:cs="Arial"/>
        </w:rPr>
        <w:t>GGO’s</w:t>
      </w:r>
      <w:r w:rsidRPr="00851192">
        <w:rPr>
          <w:rFonts w:ascii="Arial" w:hAnsi="Arial" w:cs="Arial"/>
        </w:rPr>
        <w:t xml:space="preserve"> CSR communication practices enhance the corporate image of the business from the perspective of the public alongside the importance of CSR communication </w:t>
      </w:r>
      <w:r w:rsidR="00DD6645" w:rsidRPr="00851192">
        <w:rPr>
          <w:rFonts w:ascii="Arial" w:hAnsi="Arial" w:cs="Arial"/>
        </w:rPr>
        <w:t>by</w:t>
      </w:r>
      <w:r w:rsidRPr="00851192">
        <w:rPr>
          <w:rFonts w:ascii="Arial" w:hAnsi="Arial" w:cs="Arial"/>
        </w:rPr>
        <w:t xml:space="preserve"> global operators. It is evidential that the licencing agreement within international jurisdictions shape the way </w:t>
      </w:r>
      <w:r w:rsidR="00CB076D" w:rsidRPr="00851192">
        <w:rPr>
          <w:rFonts w:ascii="Arial" w:hAnsi="Arial" w:cs="Arial"/>
        </w:rPr>
        <w:t>GGO’</w:t>
      </w:r>
      <w:r w:rsidRPr="00851192">
        <w:rPr>
          <w:rFonts w:ascii="Arial" w:hAnsi="Arial" w:cs="Arial"/>
        </w:rPr>
        <w:t xml:space="preserve">s behave as also suggested by </w:t>
      </w:r>
      <w:r w:rsidR="00CB076D" w:rsidRPr="00851192">
        <w:rPr>
          <w:rFonts w:ascii="Arial" w:hAnsi="Arial" w:cs="Arial"/>
          <w:noProof/>
        </w:rPr>
        <w:t>Murray (1998) and within case studies such as Kenya and Canada</w:t>
      </w:r>
      <w:r w:rsidR="00DD6645" w:rsidRPr="00851192">
        <w:rPr>
          <w:rFonts w:ascii="Arial" w:hAnsi="Arial" w:cs="Arial"/>
          <w:noProof/>
        </w:rPr>
        <w:t xml:space="preserve"> (Barlowe, 2017; Fantini &amp; Diem, 2018)</w:t>
      </w:r>
      <w:r w:rsidRPr="00851192">
        <w:rPr>
          <w:rFonts w:ascii="Arial" w:hAnsi="Arial" w:cs="Arial"/>
        </w:rPr>
        <w:t xml:space="preserve">. </w:t>
      </w:r>
    </w:p>
    <w:p w14:paraId="745FE4AC" w14:textId="202DBE54" w:rsidR="00A95A70" w:rsidRPr="00851192" w:rsidRDefault="00A95A70" w:rsidP="0003183E">
      <w:pPr>
        <w:spacing w:line="360" w:lineRule="auto"/>
        <w:jc w:val="both"/>
        <w:rPr>
          <w:rFonts w:ascii="Arial" w:hAnsi="Arial" w:cs="Arial"/>
        </w:rPr>
      </w:pPr>
      <w:r w:rsidRPr="00851192">
        <w:rPr>
          <w:rFonts w:ascii="Arial" w:hAnsi="Arial" w:cs="Arial"/>
        </w:rPr>
        <w:t>The comparison between the UK as a case example and nations which are considered as emerging gambling markets such as Colombia and Brazil</w:t>
      </w:r>
      <w:r w:rsidR="00DD6645" w:rsidRPr="00851192">
        <w:rPr>
          <w:rFonts w:ascii="Arial" w:hAnsi="Arial" w:cs="Arial"/>
        </w:rPr>
        <w:t xml:space="preserve"> </w:t>
      </w:r>
      <w:sdt>
        <w:sdtPr>
          <w:rPr>
            <w:rFonts w:ascii="Arial" w:hAnsi="Arial" w:cs="Arial"/>
          </w:rPr>
          <w:id w:val="670221985"/>
          <w:citation/>
        </w:sdtPr>
        <w:sdtEndPr/>
        <w:sdtContent>
          <w:r w:rsidR="00DD6645" w:rsidRPr="00851192">
            <w:rPr>
              <w:rFonts w:ascii="Arial" w:hAnsi="Arial" w:cs="Arial"/>
            </w:rPr>
            <w:fldChar w:fldCharType="begin"/>
          </w:r>
          <w:r w:rsidR="00DD6645" w:rsidRPr="00851192">
            <w:rPr>
              <w:rFonts w:ascii="Arial" w:hAnsi="Arial" w:cs="Arial"/>
            </w:rPr>
            <w:instrText xml:space="preserve"> CITATION KPM18 \l 2057 </w:instrText>
          </w:r>
          <w:r w:rsidR="00DD6645" w:rsidRPr="00851192">
            <w:rPr>
              <w:rFonts w:ascii="Arial" w:hAnsi="Arial" w:cs="Arial"/>
            </w:rPr>
            <w:fldChar w:fldCharType="separate"/>
          </w:r>
          <w:r w:rsidR="002D17EA" w:rsidRPr="00851192">
            <w:rPr>
              <w:rFonts w:ascii="Arial" w:hAnsi="Arial" w:cs="Arial"/>
              <w:noProof/>
            </w:rPr>
            <w:t>(KPMG, 2018)</w:t>
          </w:r>
          <w:r w:rsidR="00DD6645" w:rsidRPr="00851192">
            <w:rPr>
              <w:rFonts w:ascii="Arial" w:hAnsi="Arial" w:cs="Arial"/>
            </w:rPr>
            <w:fldChar w:fldCharType="end"/>
          </w:r>
        </w:sdtContent>
      </w:sdt>
      <w:r w:rsidRPr="00851192">
        <w:rPr>
          <w:rFonts w:ascii="Arial" w:hAnsi="Arial" w:cs="Arial"/>
        </w:rPr>
        <w:t>, alongside established tourism gambling destinations such as Macau, a province within China, has led to provide evidence that global operators show the characteristic trait of ethical fading when operating within jurisdictions which have limited legislation. This ultimately influences how an operator may behave within the market place which has low tax licencing present alongside limited political governanc</w:t>
      </w:r>
      <w:r w:rsidR="00DD6645" w:rsidRPr="00851192">
        <w:rPr>
          <w:rFonts w:ascii="Arial" w:hAnsi="Arial" w:cs="Arial"/>
        </w:rPr>
        <w:t>e</w:t>
      </w:r>
      <w:r w:rsidRPr="00851192">
        <w:rPr>
          <w:rFonts w:ascii="Arial" w:hAnsi="Arial" w:cs="Arial"/>
        </w:rPr>
        <w:t xml:space="preserve">. </w:t>
      </w:r>
      <w:r w:rsidR="00CB076D" w:rsidRPr="00851192">
        <w:rPr>
          <w:rFonts w:ascii="Arial" w:hAnsi="Arial" w:cs="Arial"/>
        </w:rPr>
        <w:t>Through</w:t>
      </w:r>
      <w:r w:rsidRPr="00851192">
        <w:rPr>
          <w:rFonts w:ascii="Arial" w:hAnsi="Arial" w:cs="Arial"/>
        </w:rPr>
        <w:t xml:space="preserve"> </w:t>
      </w:r>
      <w:r w:rsidR="00CB076D" w:rsidRPr="00851192">
        <w:rPr>
          <w:rFonts w:ascii="Arial" w:hAnsi="Arial" w:cs="Arial"/>
        </w:rPr>
        <w:t>evaluating a</w:t>
      </w:r>
      <w:r w:rsidR="00DD6645" w:rsidRPr="00851192">
        <w:rPr>
          <w:rFonts w:ascii="Arial" w:hAnsi="Arial" w:cs="Arial"/>
        </w:rPr>
        <w:t>nnual reports</w:t>
      </w:r>
      <w:r w:rsidRPr="00851192">
        <w:rPr>
          <w:rFonts w:ascii="Arial" w:hAnsi="Arial" w:cs="Arial"/>
        </w:rPr>
        <w:t xml:space="preserve">, it can be identified and </w:t>
      </w:r>
      <w:r w:rsidR="00CB076D" w:rsidRPr="00851192">
        <w:rPr>
          <w:rFonts w:ascii="Arial" w:hAnsi="Arial" w:cs="Arial"/>
        </w:rPr>
        <w:t>reinforced</w:t>
      </w:r>
      <w:r w:rsidRPr="00851192">
        <w:rPr>
          <w:rFonts w:ascii="Arial" w:hAnsi="Arial" w:cs="Arial"/>
        </w:rPr>
        <w:t xml:space="preserve"> that there is discrepancy between the communication from </w:t>
      </w:r>
      <w:r w:rsidR="00DD6645" w:rsidRPr="00851192">
        <w:rPr>
          <w:rFonts w:ascii="Arial" w:hAnsi="Arial" w:cs="Arial"/>
        </w:rPr>
        <w:t>GGO’s</w:t>
      </w:r>
      <w:r w:rsidRPr="00851192">
        <w:rPr>
          <w:rFonts w:ascii="Arial" w:hAnsi="Arial" w:cs="Arial"/>
        </w:rPr>
        <w:t xml:space="preserve"> and their ethical business framework. This causes reasoning for this dissertation to further explore, identify, analyse, and evaluate the value of CSR communications to </w:t>
      </w:r>
      <w:r w:rsidR="00CB076D" w:rsidRPr="00851192">
        <w:rPr>
          <w:rFonts w:ascii="Arial" w:hAnsi="Arial" w:cs="Arial"/>
        </w:rPr>
        <w:t>GGO’s</w:t>
      </w:r>
      <w:r w:rsidRPr="00851192">
        <w:rPr>
          <w:rFonts w:ascii="Arial" w:hAnsi="Arial" w:cs="Arial"/>
        </w:rPr>
        <w:t xml:space="preserve"> and its consumers. </w:t>
      </w:r>
    </w:p>
    <w:p w14:paraId="3117CD99" w14:textId="58BE88A6" w:rsidR="00830E29" w:rsidRPr="00851192" w:rsidRDefault="001A7D5E" w:rsidP="001A7D5E">
      <w:pPr>
        <w:pStyle w:val="Heading1"/>
        <w:rPr>
          <w:rFonts w:ascii="Arial" w:hAnsi="Arial" w:cs="Arial"/>
          <w:color w:val="auto"/>
        </w:rPr>
      </w:pPr>
      <w:bookmarkStart w:id="55" w:name="_Toc526434256"/>
      <w:r w:rsidRPr="00851192">
        <w:rPr>
          <w:rFonts w:ascii="Arial" w:hAnsi="Arial" w:cs="Arial"/>
          <w:color w:val="auto"/>
        </w:rPr>
        <w:lastRenderedPageBreak/>
        <w:t xml:space="preserve">4.7 </w:t>
      </w:r>
      <w:r w:rsidR="00FB1DD9" w:rsidRPr="00851192">
        <w:rPr>
          <w:rFonts w:ascii="Arial" w:hAnsi="Arial" w:cs="Arial"/>
          <w:color w:val="auto"/>
        </w:rPr>
        <w:t xml:space="preserve">Qualitative </w:t>
      </w:r>
      <w:r w:rsidR="00830E29" w:rsidRPr="00851192">
        <w:rPr>
          <w:rFonts w:ascii="Arial" w:hAnsi="Arial" w:cs="Arial"/>
          <w:color w:val="auto"/>
        </w:rPr>
        <w:t>Content Analysis of Online Platforms</w:t>
      </w:r>
      <w:bookmarkEnd w:id="55"/>
    </w:p>
    <w:p w14:paraId="2E090213" w14:textId="230CDB8A" w:rsidR="003B1C9B" w:rsidRPr="00851192" w:rsidRDefault="003F6017" w:rsidP="0003183E">
      <w:pPr>
        <w:spacing w:line="360" w:lineRule="auto"/>
        <w:jc w:val="both"/>
        <w:rPr>
          <w:rFonts w:ascii="Arial" w:hAnsi="Arial" w:cs="Arial"/>
        </w:rPr>
      </w:pPr>
      <w:r w:rsidRPr="00851192">
        <w:rPr>
          <w:rFonts w:ascii="Arial" w:hAnsi="Arial" w:cs="Arial"/>
        </w:rPr>
        <w:t>The following table illustrate</w:t>
      </w:r>
      <w:r w:rsidR="00965AB5" w:rsidRPr="00851192">
        <w:rPr>
          <w:rFonts w:ascii="Arial" w:hAnsi="Arial" w:cs="Arial"/>
        </w:rPr>
        <w:t>s the</w:t>
      </w:r>
      <w:r w:rsidRPr="00851192">
        <w:rPr>
          <w:rFonts w:ascii="Arial" w:hAnsi="Arial" w:cs="Arial"/>
        </w:rPr>
        <w:t xml:space="preserve"> criteria within the analysis and evaluation of </w:t>
      </w:r>
      <w:r w:rsidR="00DD6645" w:rsidRPr="00851192">
        <w:rPr>
          <w:rFonts w:ascii="Arial" w:hAnsi="Arial" w:cs="Arial"/>
        </w:rPr>
        <w:t>online platforms</w:t>
      </w:r>
      <w:r w:rsidRPr="00851192">
        <w:rPr>
          <w:rFonts w:ascii="Arial" w:hAnsi="Arial" w:cs="Arial"/>
        </w:rPr>
        <w:t xml:space="preserve">. </w:t>
      </w:r>
      <w:r w:rsidR="00965AB5" w:rsidRPr="00851192">
        <w:rPr>
          <w:rFonts w:ascii="Arial" w:hAnsi="Arial" w:cs="Arial"/>
        </w:rPr>
        <w:t xml:space="preserve">Key findings </w:t>
      </w:r>
      <w:r w:rsidR="009B75A0" w:rsidRPr="00851192">
        <w:rPr>
          <w:rFonts w:ascii="Arial" w:hAnsi="Arial" w:cs="Arial"/>
        </w:rPr>
        <w:t>from</w:t>
      </w:r>
      <w:r w:rsidR="00965AB5" w:rsidRPr="00851192">
        <w:rPr>
          <w:rFonts w:ascii="Arial" w:hAnsi="Arial" w:cs="Arial"/>
        </w:rPr>
        <w:t xml:space="preserve"> the research have been presented within the chapter </w:t>
      </w:r>
      <w:r w:rsidR="009B75A0" w:rsidRPr="00851192">
        <w:rPr>
          <w:rFonts w:ascii="Arial" w:hAnsi="Arial" w:cs="Arial"/>
        </w:rPr>
        <w:t>with analysis</w:t>
      </w:r>
      <w:r w:rsidR="00965AB5" w:rsidRPr="00851192">
        <w:rPr>
          <w:rFonts w:ascii="Arial" w:hAnsi="Arial" w:cs="Arial"/>
        </w:rPr>
        <w:t xml:space="preserve"> tables </w:t>
      </w:r>
      <w:r w:rsidR="009B75A0" w:rsidRPr="00851192">
        <w:rPr>
          <w:rFonts w:ascii="Arial" w:hAnsi="Arial" w:cs="Arial"/>
        </w:rPr>
        <w:t>being identified</w:t>
      </w:r>
      <w:r w:rsidR="00965AB5" w:rsidRPr="00851192">
        <w:rPr>
          <w:rFonts w:ascii="Arial" w:hAnsi="Arial" w:cs="Arial"/>
        </w:rPr>
        <w:t xml:space="preserve"> in the appendices</w:t>
      </w:r>
      <w:r w:rsidR="009B75A0" w:rsidRPr="00851192">
        <w:rPr>
          <w:rFonts w:ascii="Arial" w:hAnsi="Arial" w:cs="Arial"/>
        </w:rPr>
        <w:t xml:space="preserve"> </w:t>
      </w:r>
      <w:r w:rsidR="00965AB5" w:rsidRPr="00851192">
        <w:rPr>
          <w:rFonts w:ascii="Arial" w:hAnsi="Arial" w:cs="Arial"/>
        </w:rPr>
        <w:t xml:space="preserve">as reference to the evaluation. </w:t>
      </w:r>
      <w:r w:rsidRPr="00851192">
        <w:rPr>
          <w:rFonts w:ascii="Arial" w:hAnsi="Arial" w:cs="Arial"/>
        </w:rPr>
        <w:t xml:space="preserve">Through identifying 14 categories within the analysis of all three </w:t>
      </w:r>
      <w:r w:rsidR="00E561BB" w:rsidRPr="00851192">
        <w:rPr>
          <w:rFonts w:ascii="Arial" w:hAnsi="Arial" w:cs="Arial"/>
        </w:rPr>
        <w:t>GGO’s</w:t>
      </w:r>
      <w:r w:rsidRPr="00851192">
        <w:rPr>
          <w:rFonts w:ascii="Arial" w:hAnsi="Arial" w:cs="Arial"/>
        </w:rPr>
        <w:t xml:space="preserve">, the researcher has carried </w:t>
      </w:r>
      <w:r w:rsidR="00904904" w:rsidRPr="00851192">
        <w:rPr>
          <w:rFonts w:ascii="Arial" w:hAnsi="Arial" w:cs="Arial"/>
        </w:rPr>
        <w:t>out</w:t>
      </w:r>
      <w:r w:rsidRPr="00851192">
        <w:rPr>
          <w:rFonts w:ascii="Arial" w:hAnsi="Arial" w:cs="Arial"/>
        </w:rPr>
        <w:t xml:space="preserve"> a critical </w:t>
      </w:r>
      <w:r w:rsidR="0016282A" w:rsidRPr="00851192">
        <w:rPr>
          <w:rFonts w:ascii="Arial" w:hAnsi="Arial" w:cs="Arial"/>
        </w:rPr>
        <w:t>evaluation across</w:t>
      </w:r>
      <w:r w:rsidR="00CC0344" w:rsidRPr="00851192">
        <w:rPr>
          <w:rFonts w:ascii="Arial" w:hAnsi="Arial" w:cs="Arial"/>
        </w:rPr>
        <w:t xml:space="preserve"> websites, and</w:t>
      </w:r>
      <w:r w:rsidRPr="00851192">
        <w:rPr>
          <w:rFonts w:ascii="Arial" w:hAnsi="Arial" w:cs="Arial"/>
        </w:rPr>
        <w:t xml:space="preserve"> </w:t>
      </w:r>
      <w:r w:rsidR="00E561BB" w:rsidRPr="00851192">
        <w:rPr>
          <w:rFonts w:ascii="Arial" w:hAnsi="Arial" w:cs="Arial"/>
        </w:rPr>
        <w:t xml:space="preserve">social media platforms </w:t>
      </w:r>
      <w:r w:rsidR="00CB076D" w:rsidRPr="00851192">
        <w:rPr>
          <w:rFonts w:ascii="Arial" w:hAnsi="Arial" w:cs="Arial"/>
          <w:noProof/>
        </w:rPr>
        <w:t>(Bet365 Twitter Account, 2018; Bet365 Facebook Account, 2018; Bet365</w:t>
      </w:r>
      <w:r w:rsidR="00146146" w:rsidRPr="00851192">
        <w:rPr>
          <w:rFonts w:ascii="Arial" w:hAnsi="Arial" w:cs="Arial"/>
          <w:noProof/>
        </w:rPr>
        <w:t xml:space="preserve"> </w:t>
      </w:r>
      <w:r w:rsidR="00CB076D" w:rsidRPr="00851192">
        <w:rPr>
          <w:rFonts w:ascii="Arial" w:hAnsi="Arial" w:cs="Arial"/>
          <w:noProof/>
        </w:rPr>
        <w:t>Website, 2018; Bwin Twitter Account, 2018; Bwin Website, 2018; Asia Gaming Facebook Account, 2018; Asia Gaming Weibo Account, 2018; Asia Gaming Gambling Website, 2018; Asia Gaming Website, 2018)</w:t>
      </w:r>
      <w:r w:rsidRPr="00851192">
        <w:rPr>
          <w:rFonts w:ascii="Arial" w:hAnsi="Arial" w:cs="Arial"/>
        </w:rPr>
        <w:t xml:space="preserve">. The research has given verification on personal rating on how clear information is perceived alongside what was discovered. </w:t>
      </w:r>
    </w:p>
    <w:p w14:paraId="0DEC85AA" w14:textId="77777777" w:rsidR="003B1C9B" w:rsidRPr="00851192" w:rsidRDefault="003B1C9B" w:rsidP="00A95A70">
      <w:pPr>
        <w:jc w:val="both"/>
        <w:rPr>
          <w:rFonts w:ascii="Arial" w:hAnsi="Arial" w:cs="Arial"/>
        </w:rPr>
      </w:pPr>
    </w:p>
    <w:p w14:paraId="380D9851" w14:textId="5675C38E" w:rsidR="009A0013" w:rsidRPr="00851192" w:rsidRDefault="009A0013" w:rsidP="009A0013">
      <w:pPr>
        <w:jc w:val="center"/>
        <w:rPr>
          <w:rFonts w:ascii="Arial" w:hAnsi="Arial" w:cs="Arial"/>
        </w:rPr>
      </w:pPr>
      <w:r w:rsidRPr="00851192">
        <w:rPr>
          <w:rFonts w:ascii="Arial" w:hAnsi="Arial" w:cs="Arial"/>
          <w:b/>
        </w:rPr>
        <w:t xml:space="preserve">Table </w:t>
      </w:r>
      <w:r w:rsidR="00783EA0" w:rsidRPr="00851192">
        <w:rPr>
          <w:rFonts w:ascii="Arial" w:hAnsi="Arial" w:cs="Arial"/>
          <w:b/>
        </w:rPr>
        <w:t>4.</w:t>
      </w:r>
      <w:r w:rsidR="00BC0411" w:rsidRPr="00851192">
        <w:rPr>
          <w:rFonts w:ascii="Arial" w:hAnsi="Arial" w:cs="Arial"/>
          <w:b/>
        </w:rPr>
        <w:t>4</w:t>
      </w:r>
      <w:r w:rsidRPr="00851192">
        <w:rPr>
          <w:rFonts w:ascii="Arial" w:hAnsi="Arial" w:cs="Arial"/>
        </w:rPr>
        <w:t xml:space="preserve"> </w:t>
      </w:r>
      <w:r w:rsidR="005B2CE6" w:rsidRPr="00851192">
        <w:rPr>
          <w:rFonts w:ascii="Arial" w:hAnsi="Arial" w:cs="Arial"/>
        </w:rPr>
        <w:t xml:space="preserve">Categories for </w:t>
      </w:r>
      <w:r w:rsidRPr="00851192">
        <w:rPr>
          <w:rFonts w:ascii="Arial" w:hAnsi="Arial" w:cs="Arial"/>
        </w:rPr>
        <w:t>Voluntary Responsible Internet Gaming Information</w:t>
      </w:r>
    </w:p>
    <w:tbl>
      <w:tblPr>
        <w:tblStyle w:val="TableGrid"/>
        <w:tblW w:w="0" w:type="auto"/>
        <w:jc w:val="center"/>
        <w:tblLook w:val="04A0" w:firstRow="1" w:lastRow="0" w:firstColumn="1" w:lastColumn="0" w:noHBand="0" w:noVBand="1"/>
      </w:tblPr>
      <w:tblGrid>
        <w:gridCol w:w="1840"/>
        <w:gridCol w:w="1840"/>
        <w:gridCol w:w="1840"/>
        <w:gridCol w:w="1840"/>
      </w:tblGrid>
      <w:tr w:rsidR="009A0013" w:rsidRPr="00851192" w14:paraId="6B423452" w14:textId="77777777" w:rsidTr="009A0013">
        <w:trPr>
          <w:trHeight w:val="572"/>
          <w:jc w:val="center"/>
        </w:trPr>
        <w:tc>
          <w:tcPr>
            <w:tcW w:w="1840" w:type="dxa"/>
            <w:tcBorders>
              <w:top w:val="single" w:sz="4" w:space="0" w:color="auto"/>
              <w:left w:val="single" w:sz="4" w:space="0" w:color="auto"/>
              <w:bottom w:val="single" w:sz="4" w:space="0" w:color="auto"/>
              <w:right w:val="single" w:sz="4" w:space="0" w:color="auto"/>
            </w:tcBorders>
            <w:hideMark/>
          </w:tcPr>
          <w:p w14:paraId="7C993DA7" w14:textId="77777777" w:rsidR="009A0013" w:rsidRPr="00851192" w:rsidRDefault="009A0013">
            <w:pPr>
              <w:jc w:val="center"/>
              <w:rPr>
                <w:rFonts w:ascii="Arial" w:hAnsi="Arial" w:cs="Arial"/>
                <w:b/>
              </w:rPr>
            </w:pPr>
            <w:r w:rsidRPr="00851192">
              <w:rPr>
                <w:rFonts w:ascii="Arial" w:hAnsi="Arial" w:cs="Arial"/>
                <w:b/>
              </w:rPr>
              <w:t>Categories</w:t>
            </w:r>
          </w:p>
        </w:tc>
        <w:tc>
          <w:tcPr>
            <w:tcW w:w="1840" w:type="dxa"/>
            <w:tcBorders>
              <w:top w:val="single" w:sz="4" w:space="0" w:color="auto"/>
              <w:left w:val="single" w:sz="4" w:space="0" w:color="auto"/>
              <w:bottom w:val="single" w:sz="4" w:space="0" w:color="auto"/>
              <w:right w:val="single" w:sz="4" w:space="0" w:color="auto"/>
            </w:tcBorders>
            <w:hideMark/>
          </w:tcPr>
          <w:p w14:paraId="1DDF34E5" w14:textId="69C675B7" w:rsidR="009A0013" w:rsidRPr="00851192" w:rsidRDefault="009A0013">
            <w:pPr>
              <w:jc w:val="center"/>
              <w:rPr>
                <w:rFonts w:ascii="Arial" w:hAnsi="Arial" w:cs="Arial"/>
                <w:b/>
              </w:rPr>
            </w:pPr>
            <w:r w:rsidRPr="00851192">
              <w:rPr>
                <w:rFonts w:ascii="Arial" w:hAnsi="Arial" w:cs="Arial"/>
                <w:b/>
              </w:rPr>
              <w:t>B</w:t>
            </w:r>
            <w:r w:rsidR="00146146" w:rsidRPr="00851192">
              <w:rPr>
                <w:rFonts w:ascii="Arial" w:hAnsi="Arial" w:cs="Arial"/>
                <w:b/>
              </w:rPr>
              <w:t>et</w:t>
            </w:r>
            <w:r w:rsidRPr="00851192">
              <w:rPr>
                <w:rFonts w:ascii="Arial" w:hAnsi="Arial" w:cs="Arial"/>
                <w:b/>
              </w:rPr>
              <w:t>365</w:t>
            </w:r>
            <w:r w:rsidRPr="00851192">
              <w:rPr>
                <w:rFonts w:ascii="Arial" w:hAnsi="Arial" w:cs="Arial"/>
                <w:b/>
              </w:rPr>
              <w:br/>
            </w:r>
            <w:r w:rsidRPr="00851192">
              <w:rPr>
                <w:rFonts w:ascii="Segoe UI Symbol" w:hAnsi="Segoe UI Symbol" w:cs="Segoe UI Symbol"/>
                <w:b/>
                <w:shd w:val="clear" w:color="auto" w:fill="FFFFFF"/>
              </w:rPr>
              <w:t>✓</w:t>
            </w:r>
            <w:r w:rsidRPr="00851192">
              <w:rPr>
                <w:rFonts w:ascii="Arial" w:hAnsi="Arial" w:cs="Arial"/>
                <w:b/>
                <w:shd w:val="clear" w:color="auto" w:fill="FFFFFF"/>
              </w:rPr>
              <w:t xml:space="preserve"> / </w:t>
            </w:r>
            <w:r w:rsidRPr="00851192">
              <w:rPr>
                <w:rFonts w:ascii="Segoe UI Symbol" w:hAnsi="Segoe UI Symbol" w:cs="Segoe UI Symbol"/>
                <w:b/>
                <w:shd w:val="clear" w:color="auto" w:fill="FFFFFF"/>
              </w:rPr>
              <w:t>☓</w:t>
            </w:r>
          </w:p>
        </w:tc>
        <w:tc>
          <w:tcPr>
            <w:tcW w:w="1840" w:type="dxa"/>
            <w:tcBorders>
              <w:top w:val="single" w:sz="4" w:space="0" w:color="auto"/>
              <w:left w:val="single" w:sz="4" w:space="0" w:color="auto"/>
              <w:bottom w:val="single" w:sz="4" w:space="0" w:color="auto"/>
              <w:right w:val="single" w:sz="4" w:space="0" w:color="auto"/>
            </w:tcBorders>
            <w:hideMark/>
          </w:tcPr>
          <w:p w14:paraId="16FCE72C" w14:textId="15C62751" w:rsidR="009A0013" w:rsidRPr="00851192" w:rsidRDefault="009A0013">
            <w:pPr>
              <w:jc w:val="center"/>
              <w:rPr>
                <w:rFonts w:ascii="Arial" w:hAnsi="Arial" w:cs="Arial"/>
                <w:b/>
              </w:rPr>
            </w:pPr>
            <w:proofErr w:type="spellStart"/>
            <w:r w:rsidRPr="00851192">
              <w:rPr>
                <w:rFonts w:ascii="Arial" w:hAnsi="Arial" w:cs="Arial"/>
                <w:b/>
              </w:rPr>
              <w:t>Bwin</w:t>
            </w:r>
            <w:proofErr w:type="spellEnd"/>
            <w:r w:rsidRPr="00851192">
              <w:rPr>
                <w:rFonts w:ascii="Arial" w:hAnsi="Arial" w:cs="Arial"/>
                <w:b/>
              </w:rPr>
              <w:br/>
            </w:r>
            <w:r w:rsidRPr="00851192">
              <w:rPr>
                <w:rFonts w:ascii="Segoe UI Symbol" w:hAnsi="Segoe UI Symbol" w:cs="Segoe UI Symbol"/>
                <w:b/>
                <w:shd w:val="clear" w:color="auto" w:fill="FFFFFF"/>
              </w:rPr>
              <w:t>✓</w:t>
            </w:r>
            <w:r w:rsidRPr="00851192">
              <w:rPr>
                <w:rFonts w:ascii="Arial" w:hAnsi="Arial" w:cs="Arial"/>
                <w:b/>
                <w:shd w:val="clear" w:color="auto" w:fill="FFFFFF"/>
              </w:rPr>
              <w:t xml:space="preserve"> / </w:t>
            </w:r>
            <w:r w:rsidRPr="00851192">
              <w:rPr>
                <w:rFonts w:ascii="Segoe UI Symbol" w:hAnsi="Segoe UI Symbol" w:cs="Segoe UI Symbol"/>
                <w:b/>
                <w:shd w:val="clear" w:color="auto" w:fill="FFFFFF"/>
              </w:rPr>
              <w:t>☓</w:t>
            </w:r>
          </w:p>
        </w:tc>
        <w:tc>
          <w:tcPr>
            <w:tcW w:w="1840" w:type="dxa"/>
            <w:tcBorders>
              <w:top w:val="single" w:sz="4" w:space="0" w:color="auto"/>
              <w:left w:val="single" w:sz="4" w:space="0" w:color="auto"/>
              <w:bottom w:val="single" w:sz="4" w:space="0" w:color="auto"/>
              <w:right w:val="single" w:sz="4" w:space="0" w:color="auto"/>
            </w:tcBorders>
            <w:hideMark/>
          </w:tcPr>
          <w:p w14:paraId="7F3D3C60" w14:textId="77777777" w:rsidR="009A0013" w:rsidRPr="00851192" w:rsidRDefault="009A0013">
            <w:pPr>
              <w:jc w:val="center"/>
              <w:rPr>
                <w:rFonts w:ascii="Arial" w:hAnsi="Arial" w:cs="Arial"/>
                <w:b/>
              </w:rPr>
            </w:pPr>
            <w:r w:rsidRPr="00851192">
              <w:rPr>
                <w:rFonts w:ascii="Arial" w:hAnsi="Arial" w:cs="Arial"/>
                <w:b/>
              </w:rPr>
              <w:t>Asia Gaming</w:t>
            </w:r>
            <w:r w:rsidRPr="00851192">
              <w:rPr>
                <w:rFonts w:ascii="Arial" w:hAnsi="Arial" w:cs="Arial"/>
                <w:b/>
              </w:rPr>
              <w:br/>
            </w:r>
            <w:r w:rsidRPr="00851192">
              <w:rPr>
                <w:rFonts w:ascii="Segoe UI Symbol" w:hAnsi="Segoe UI Symbol" w:cs="Segoe UI Symbol"/>
                <w:b/>
                <w:shd w:val="clear" w:color="auto" w:fill="FFFFFF"/>
              </w:rPr>
              <w:t>✓</w:t>
            </w:r>
            <w:r w:rsidRPr="00851192">
              <w:rPr>
                <w:rFonts w:ascii="Arial" w:hAnsi="Arial" w:cs="Arial"/>
                <w:b/>
                <w:shd w:val="clear" w:color="auto" w:fill="FFFFFF"/>
              </w:rPr>
              <w:t xml:space="preserve"> / </w:t>
            </w:r>
            <w:r w:rsidRPr="00851192">
              <w:rPr>
                <w:rFonts w:ascii="Segoe UI Symbol" w:hAnsi="Segoe UI Symbol" w:cs="Segoe UI Symbol"/>
                <w:b/>
                <w:shd w:val="clear" w:color="auto" w:fill="FFFFFF"/>
              </w:rPr>
              <w:t>☓</w:t>
            </w:r>
          </w:p>
        </w:tc>
      </w:tr>
      <w:tr w:rsidR="009A0013" w:rsidRPr="00851192" w14:paraId="2DAFAD8B" w14:textId="77777777" w:rsidTr="009A0013">
        <w:trPr>
          <w:trHeight w:val="556"/>
          <w:jc w:val="center"/>
        </w:trPr>
        <w:tc>
          <w:tcPr>
            <w:tcW w:w="1840" w:type="dxa"/>
            <w:tcBorders>
              <w:top w:val="single" w:sz="4" w:space="0" w:color="auto"/>
              <w:left w:val="single" w:sz="4" w:space="0" w:color="auto"/>
              <w:bottom w:val="single" w:sz="4" w:space="0" w:color="auto"/>
              <w:right w:val="single" w:sz="4" w:space="0" w:color="auto"/>
            </w:tcBorders>
            <w:hideMark/>
          </w:tcPr>
          <w:p w14:paraId="65DE1AF5" w14:textId="77777777" w:rsidR="009A0013" w:rsidRPr="00851192" w:rsidRDefault="009A0013">
            <w:pPr>
              <w:rPr>
                <w:rFonts w:ascii="Arial" w:hAnsi="Arial" w:cs="Arial"/>
                <w:b/>
              </w:rPr>
            </w:pPr>
            <w:r w:rsidRPr="00851192">
              <w:rPr>
                <w:rFonts w:ascii="Arial" w:hAnsi="Arial" w:cs="Arial"/>
                <w:b/>
              </w:rPr>
              <w:t>Responsible Gambling</w:t>
            </w:r>
          </w:p>
        </w:tc>
        <w:tc>
          <w:tcPr>
            <w:tcW w:w="1840" w:type="dxa"/>
            <w:tcBorders>
              <w:top w:val="single" w:sz="4" w:space="0" w:color="auto"/>
              <w:left w:val="single" w:sz="4" w:space="0" w:color="auto"/>
              <w:bottom w:val="single" w:sz="4" w:space="0" w:color="auto"/>
              <w:right w:val="single" w:sz="4" w:space="0" w:color="auto"/>
            </w:tcBorders>
            <w:hideMark/>
          </w:tcPr>
          <w:p w14:paraId="14BD1BDF" w14:textId="77777777" w:rsidR="009A0013" w:rsidRPr="00851192" w:rsidRDefault="009A0013">
            <w:pPr>
              <w:jc w:val="center"/>
              <w:rPr>
                <w:rFonts w:ascii="Arial" w:hAnsi="Arial" w:cs="Arial"/>
              </w:rPr>
            </w:pPr>
            <w:r w:rsidRPr="00851192">
              <w:rPr>
                <w:rFonts w:ascii="Segoe UI Symbol" w:hAnsi="Segoe UI Symbol" w:cs="Segoe UI Symbol"/>
                <w:b/>
                <w:shd w:val="clear" w:color="auto" w:fill="FFFFFF"/>
              </w:rPr>
              <w:t>✓</w:t>
            </w:r>
          </w:p>
        </w:tc>
        <w:tc>
          <w:tcPr>
            <w:tcW w:w="1840" w:type="dxa"/>
            <w:tcBorders>
              <w:top w:val="single" w:sz="4" w:space="0" w:color="auto"/>
              <w:left w:val="single" w:sz="4" w:space="0" w:color="auto"/>
              <w:bottom w:val="single" w:sz="4" w:space="0" w:color="auto"/>
              <w:right w:val="single" w:sz="4" w:space="0" w:color="auto"/>
            </w:tcBorders>
            <w:hideMark/>
          </w:tcPr>
          <w:p w14:paraId="35E2FEF2" w14:textId="77777777" w:rsidR="009A0013" w:rsidRPr="00851192" w:rsidRDefault="009A0013">
            <w:pPr>
              <w:jc w:val="center"/>
              <w:rPr>
                <w:rFonts w:ascii="Arial" w:hAnsi="Arial" w:cs="Arial"/>
              </w:rPr>
            </w:pPr>
            <w:r w:rsidRPr="00851192">
              <w:rPr>
                <w:rFonts w:ascii="Segoe UI Symbol" w:hAnsi="Segoe UI Symbol" w:cs="Segoe UI Symbol"/>
                <w:b/>
                <w:shd w:val="clear" w:color="auto" w:fill="FFFFFF"/>
              </w:rPr>
              <w:t>✓</w:t>
            </w:r>
          </w:p>
        </w:tc>
        <w:tc>
          <w:tcPr>
            <w:tcW w:w="1840" w:type="dxa"/>
            <w:tcBorders>
              <w:top w:val="single" w:sz="4" w:space="0" w:color="auto"/>
              <w:left w:val="single" w:sz="4" w:space="0" w:color="auto"/>
              <w:bottom w:val="single" w:sz="4" w:space="0" w:color="auto"/>
              <w:right w:val="single" w:sz="4" w:space="0" w:color="auto"/>
            </w:tcBorders>
            <w:hideMark/>
          </w:tcPr>
          <w:p w14:paraId="605B67F3" w14:textId="77777777" w:rsidR="009A0013" w:rsidRPr="00851192" w:rsidRDefault="009A0013">
            <w:pPr>
              <w:jc w:val="center"/>
              <w:rPr>
                <w:rFonts w:ascii="Arial" w:hAnsi="Arial" w:cs="Arial"/>
              </w:rPr>
            </w:pPr>
            <w:r w:rsidRPr="00851192">
              <w:rPr>
                <w:rFonts w:ascii="Segoe UI Symbol" w:hAnsi="Segoe UI Symbol" w:cs="Segoe UI Symbol"/>
                <w:b/>
                <w:shd w:val="clear" w:color="auto" w:fill="FFFFFF"/>
              </w:rPr>
              <w:t>☓</w:t>
            </w:r>
          </w:p>
        </w:tc>
      </w:tr>
      <w:tr w:rsidR="009A0013" w:rsidRPr="00851192" w14:paraId="619B9EE4" w14:textId="77777777" w:rsidTr="009A0013">
        <w:trPr>
          <w:trHeight w:val="262"/>
          <w:jc w:val="center"/>
        </w:trPr>
        <w:tc>
          <w:tcPr>
            <w:tcW w:w="1840" w:type="dxa"/>
            <w:tcBorders>
              <w:top w:val="single" w:sz="4" w:space="0" w:color="auto"/>
              <w:left w:val="single" w:sz="4" w:space="0" w:color="auto"/>
              <w:bottom w:val="single" w:sz="4" w:space="0" w:color="auto"/>
              <w:right w:val="single" w:sz="4" w:space="0" w:color="auto"/>
            </w:tcBorders>
            <w:hideMark/>
          </w:tcPr>
          <w:p w14:paraId="47A18649" w14:textId="77777777" w:rsidR="009A0013" w:rsidRPr="00851192" w:rsidRDefault="009A0013">
            <w:pPr>
              <w:rPr>
                <w:rFonts w:ascii="Arial" w:hAnsi="Arial" w:cs="Arial"/>
                <w:b/>
              </w:rPr>
            </w:pPr>
            <w:r w:rsidRPr="00851192">
              <w:rPr>
                <w:rFonts w:ascii="Arial" w:hAnsi="Arial" w:cs="Arial"/>
                <w:b/>
              </w:rPr>
              <w:t>Fair Gaming</w:t>
            </w:r>
          </w:p>
        </w:tc>
        <w:tc>
          <w:tcPr>
            <w:tcW w:w="1840" w:type="dxa"/>
            <w:tcBorders>
              <w:top w:val="single" w:sz="4" w:space="0" w:color="auto"/>
              <w:left w:val="single" w:sz="4" w:space="0" w:color="auto"/>
              <w:bottom w:val="single" w:sz="4" w:space="0" w:color="auto"/>
              <w:right w:val="single" w:sz="4" w:space="0" w:color="auto"/>
            </w:tcBorders>
            <w:hideMark/>
          </w:tcPr>
          <w:p w14:paraId="1AA981BA" w14:textId="77777777" w:rsidR="009A0013" w:rsidRPr="00851192" w:rsidRDefault="009A0013">
            <w:pPr>
              <w:jc w:val="center"/>
              <w:rPr>
                <w:rFonts w:ascii="Arial" w:hAnsi="Arial" w:cs="Arial"/>
                <w:b/>
              </w:rPr>
            </w:pPr>
            <w:r w:rsidRPr="00851192">
              <w:rPr>
                <w:rFonts w:ascii="Segoe UI Symbol" w:hAnsi="Segoe UI Symbol" w:cs="Segoe UI Symbol"/>
                <w:b/>
                <w:shd w:val="clear" w:color="auto" w:fill="FFFFFF"/>
              </w:rPr>
              <w:t>✓</w:t>
            </w:r>
          </w:p>
        </w:tc>
        <w:tc>
          <w:tcPr>
            <w:tcW w:w="1840" w:type="dxa"/>
            <w:tcBorders>
              <w:top w:val="single" w:sz="4" w:space="0" w:color="auto"/>
              <w:left w:val="single" w:sz="4" w:space="0" w:color="auto"/>
              <w:bottom w:val="single" w:sz="4" w:space="0" w:color="auto"/>
              <w:right w:val="single" w:sz="4" w:space="0" w:color="auto"/>
            </w:tcBorders>
            <w:hideMark/>
          </w:tcPr>
          <w:p w14:paraId="73E282ED" w14:textId="77777777" w:rsidR="009A0013" w:rsidRPr="00851192" w:rsidRDefault="009A0013">
            <w:pPr>
              <w:jc w:val="center"/>
              <w:rPr>
                <w:rFonts w:ascii="Arial" w:hAnsi="Arial" w:cs="Arial"/>
              </w:rPr>
            </w:pPr>
            <w:r w:rsidRPr="00851192">
              <w:rPr>
                <w:rFonts w:ascii="Segoe UI Symbol" w:hAnsi="Segoe UI Symbol" w:cs="Segoe UI Symbol"/>
                <w:b/>
                <w:shd w:val="clear" w:color="auto" w:fill="FFFFFF"/>
              </w:rPr>
              <w:t>✓</w:t>
            </w:r>
          </w:p>
        </w:tc>
        <w:tc>
          <w:tcPr>
            <w:tcW w:w="1840" w:type="dxa"/>
            <w:tcBorders>
              <w:top w:val="single" w:sz="4" w:space="0" w:color="auto"/>
              <w:left w:val="single" w:sz="4" w:space="0" w:color="auto"/>
              <w:bottom w:val="single" w:sz="4" w:space="0" w:color="auto"/>
              <w:right w:val="single" w:sz="4" w:space="0" w:color="auto"/>
            </w:tcBorders>
            <w:hideMark/>
          </w:tcPr>
          <w:p w14:paraId="53C5AD71" w14:textId="77777777" w:rsidR="009A0013" w:rsidRPr="00851192" w:rsidRDefault="009A0013">
            <w:pPr>
              <w:jc w:val="center"/>
              <w:rPr>
                <w:rFonts w:ascii="Arial" w:hAnsi="Arial" w:cs="Arial"/>
              </w:rPr>
            </w:pPr>
            <w:r w:rsidRPr="00851192">
              <w:rPr>
                <w:rFonts w:ascii="Segoe UI Symbol" w:hAnsi="Segoe UI Symbol" w:cs="Segoe UI Symbol"/>
                <w:b/>
                <w:shd w:val="clear" w:color="auto" w:fill="FFFFFF"/>
              </w:rPr>
              <w:t>☓</w:t>
            </w:r>
          </w:p>
        </w:tc>
      </w:tr>
      <w:tr w:rsidR="009A0013" w:rsidRPr="00851192" w14:paraId="2251D0E7" w14:textId="77777777" w:rsidTr="009A0013">
        <w:trPr>
          <w:trHeight w:val="819"/>
          <w:jc w:val="center"/>
        </w:trPr>
        <w:tc>
          <w:tcPr>
            <w:tcW w:w="1840" w:type="dxa"/>
            <w:tcBorders>
              <w:top w:val="single" w:sz="4" w:space="0" w:color="auto"/>
              <w:left w:val="single" w:sz="4" w:space="0" w:color="auto"/>
              <w:bottom w:val="single" w:sz="4" w:space="0" w:color="auto"/>
              <w:right w:val="single" w:sz="4" w:space="0" w:color="auto"/>
            </w:tcBorders>
            <w:hideMark/>
          </w:tcPr>
          <w:p w14:paraId="2A2B7EAD" w14:textId="77777777" w:rsidR="009A0013" w:rsidRPr="00851192" w:rsidRDefault="009A0013">
            <w:pPr>
              <w:rPr>
                <w:rFonts w:ascii="Arial" w:hAnsi="Arial" w:cs="Arial"/>
                <w:b/>
              </w:rPr>
            </w:pPr>
            <w:r w:rsidRPr="00851192">
              <w:rPr>
                <w:rFonts w:ascii="Arial" w:hAnsi="Arial" w:cs="Arial"/>
                <w:b/>
              </w:rPr>
              <w:t xml:space="preserve">Ethical / Responsible Statement </w:t>
            </w:r>
          </w:p>
        </w:tc>
        <w:tc>
          <w:tcPr>
            <w:tcW w:w="1840" w:type="dxa"/>
            <w:tcBorders>
              <w:top w:val="single" w:sz="4" w:space="0" w:color="auto"/>
              <w:left w:val="single" w:sz="4" w:space="0" w:color="auto"/>
              <w:bottom w:val="single" w:sz="4" w:space="0" w:color="auto"/>
              <w:right w:val="single" w:sz="4" w:space="0" w:color="auto"/>
            </w:tcBorders>
            <w:hideMark/>
          </w:tcPr>
          <w:p w14:paraId="61A77143" w14:textId="77777777" w:rsidR="009A0013" w:rsidRPr="00851192" w:rsidRDefault="009A0013">
            <w:pPr>
              <w:jc w:val="center"/>
              <w:rPr>
                <w:rFonts w:ascii="Arial" w:hAnsi="Arial" w:cs="Arial"/>
              </w:rPr>
            </w:pPr>
            <w:r w:rsidRPr="00851192">
              <w:rPr>
                <w:rFonts w:ascii="Segoe UI Symbol" w:hAnsi="Segoe UI Symbol" w:cs="Segoe UI Symbol"/>
                <w:b/>
                <w:shd w:val="clear" w:color="auto" w:fill="FFFFFF"/>
              </w:rPr>
              <w:t>✓</w:t>
            </w:r>
          </w:p>
        </w:tc>
        <w:tc>
          <w:tcPr>
            <w:tcW w:w="1840" w:type="dxa"/>
            <w:tcBorders>
              <w:top w:val="single" w:sz="4" w:space="0" w:color="auto"/>
              <w:left w:val="single" w:sz="4" w:space="0" w:color="auto"/>
              <w:bottom w:val="single" w:sz="4" w:space="0" w:color="auto"/>
              <w:right w:val="single" w:sz="4" w:space="0" w:color="auto"/>
            </w:tcBorders>
            <w:hideMark/>
          </w:tcPr>
          <w:p w14:paraId="6FB0FCF1" w14:textId="77777777" w:rsidR="009A0013" w:rsidRPr="00851192" w:rsidRDefault="009A0013">
            <w:pPr>
              <w:jc w:val="center"/>
              <w:rPr>
                <w:rFonts w:ascii="Arial" w:hAnsi="Arial" w:cs="Arial"/>
              </w:rPr>
            </w:pPr>
            <w:r w:rsidRPr="00851192">
              <w:rPr>
                <w:rFonts w:ascii="Segoe UI Symbol" w:hAnsi="Segoe UI Symbol" w:cs="Segoe UI Symbol"/>
                <w:b/>
                <w:shd w:val="clear" w:color="auto" w:fill="FFFFFF"/>
              </w:rPr>
              <w:t>✓</w:t>
            </w:r>
          </w:p>
        </w:tc>
        <w:tc>
          <w:tcPr>
            <w:tcW w:w="1840" w:type="dxa"/>
            <w:tcBorders>
              <w:top w:val="single" w:sz="4" w:space="0" w:color="auto"/>
              <w:left w:val="single" w:sz="4" w:space="0" w:color="auto"/>
              <w:bottom w:val="single" w:sz="4" w:space="0" w:color="auto"/>
              <w:right w:val="single" w:sz="4" w:space="0" w:color="auto"/>
            </w:tcBorders>
            <w:hideMark/>
          </w:tcPr>
          <w:p w14:paraId="73E48F13" w14:textId="77777777" w:rsidR="009A0013" w:rsidRPr="00851192" w:rsidRDefault="009A0013">
            <w:pPr>
              <w:jc w:val="center"/>
              <w:rPr>
                <w:rFonts w:ascii="Arial" w:hAnsi="Arial" w:cs="Arial"/>
              </w:rPr>
            </w:pPr>
            <w:r w:rsidRPr="00851192">
              <w:rPr>
                <w:rFonts w:ascii="Segoe UI Symbol" w:hAnsi="Segoe UI Symbol" w:cs="Segoe UI Symbol"/>
                <w:b/>
                <w:shd w:val="clear" w:color="auto" w:fill="FFFFFF"/>
              </w:rPr>
              <w:t>☓</w:t>
            </w:r>
          </w:p>
        </w:tc>
      </w:tr>
      <w:tr w:rsidR="009A0013" w:rsidRPr="00851192" w14:paraId="6A854F61" w14:textId="77777777" w:rsidTr="009A0013">
        <w:trPr>
          <w:trHeight w:val="835"/>
          <w:jc w:val="center"/>
        </w:trPr>
        <w:tc>
          <w:tcPr>
            <w:tcW w:w="1840" w:type="dxa"/>
            <w:tcBorders>
              <w:top w:val="single" w:sz="4" w:space="0" w:color="auto"/>
              <w:left w:val="single" w:sz="4" w:space="0" w:color="auto"/>
              <w:bottom w:val="single" w:sz="4" w:space="0" w:color="auto"/>
              <w:right w:val="single" w:sz="4" w:space="0" w:color="auto"/>
            </w:tcBorders>
            <w:hideMark/>
          </w:tcPr>
          <w:p w14:paraId="37C7F148" w14:textId="77777777" w:rsidR="009A0013" w:rsidRPr="00851192" w:rsidRDefault="009A0013">
            <w:pPr>
              <w:rPr>
                <w:rFonts w:ascii="Arial" w:hAnsi="Arial" w:cs="Arial"/>
                <w:b/>
              </w:rPr>
            </w:pPr>
            <w:r w:rsidRPr="00851192">
              <w:rPr>
                <w:rFonts w:ascii="Arial" w:hAnsi="Arial" w:cs="Arial"/>
                <w:b/>
              </w:rPr>
              <w:t>Problem Gambling Support</w:t>
            </w:r>
          </w:p>
        </w:tc>
        <w:tc>
          <w:tcPr>
            <w:tcW w:w="1840" w:type="dxa"/>
            <w:tcBorders>
              <w:top w:val="single" w:sz="4" w:space="0" w:color="auto"/>
              <w:left w:val="single" w:sz="4" w:space="0" w:color="auto"/>
              <w:bottom w:val="single" w:sz="4" w:space="0" w:color="auto"/>
              <w:right w:val="single" w:sz="4" w:space="0" w:color="auto"/>
            </w:tcBorders>
            <w:hideMark/>
          </w:tcPr>
          <w:p w14:paraId="0C8015F3" w14:textId="77777777" w:rsidR="009A0013" w:rsidRPr="00851192" w:rsidRDefault="009A0013">
            <w:pPr>
              <w:jc w:val="center"/>
              <w:rPr>
                <w:rFonts w:ascii="Arial" w:hAnsi="Arial" w:cs="Arial"/>
              </w:rPr>
            </w:pPr>
            <w:r w:rsidRPr="00851192">
              <w:rPr>
                <w:rFonts w:ascii="Segoe UI Symbol" w:hAnsi="Segoe UI Symbol" w:cs="Segoe UI Symbol"/>
                <w:b/>
                <w:shd w:val="clear" w:color="auto" w:fill="FFFFFF"/>
              </w:rPr>
              <w:t>☓</w:t>
            </w:r>
          </w:p>
        </w:tc>
        <w:tc>
          <w:tcPr>
            <w:tcW w:w="1840" w:type="dxa"/>
            <w:tcBorders>
              <w:top w:val="single" w:sz="4" w:space="0" w:color="auto"/>
              <w:left w:val="single" w:sz="4" w:space="0" w:color="auto"/>
              <w:bottom w:val="single" w:sz="4" w:space="0" w:color="auto"/>
              <w:right w:val="single" w:sz="4" w:space="0" w:color="auto"/>
            </w:tcBorders>
            <w:hideMark/>
          </w:tcPr>
          <w:p w14:paraId="28D6C6FF" w14:textId="77777777" w:rsidR="009A0013" w:rsidRPr="00851192" w:rsidRDefault="009A0013">
            <w:pPr>
              <w:jc w:val="center"/>
              <w:rPr>
                <w:rFonts w:ascii="Arial" w:hAnsi="Arial" w:cs="Arial"/>
              </w:rPr>
            </w:pPr>
            <w:r w:rsidRPr="00851192">
              <w:rPr>
                <w:rFonts w:ascii="Segoe UI Symbol" w:hAnsi="Segoe UI Symbol" w:cs="Segoe UI Symbol"/>
                <w:b/>
                <w:shd w:val="clear" w:color="auto" w:fill="FFFFFF"/>
              </w:rPr>
              <w:t>☓</w:t>
            </w:r>
          </w:p>
        </w:tc>
        <w:tc>
          <w:tcPr>
            <w:tcW w:w="1840" w:type="dxa"/>
            <w:tcBorders>
              <w:top w:val="single" w:sz="4" w:space="0" w:color="auto"/>
              <w:left w:val="single" w:sz="4" w:space="0" w:color="auto"/>
              <w:bottom w:val="single" w:sz="4" w:space="0" w:color="auto"/>
              <w:right w:val="single" w:sz="4" w:space="0" w:color="auto"/>
            </w:tcBorders>
            <w:hideMark/>
          </w:tcPr>
          <w:p w14:paraId="529CF58F" w14:textId="77777777" w:rsidR="009A0013" w:rsidRPr="00851192" w:rsidRDefault="009A0013">
            <w:pPr>
              <w:jc w:val="center"/>
              <w:rPr>
                <w:rFonts w:ascii="Arial" w:hAnsi="Arial" w:cs="Arial"/>
              </w:rPr>
            </w:pPr>
            <w:r w:rsidRPr="00851192">
              <w:rPr>
                <w:rFonts w:ascii="Segoe UI Symbol" w:hAnsi="Segoe UI Symbol" w:cs="Segoe UI Symbol"/>
                <w:b/>
                <w:shd w:val="clear" w:color="auto" w:fill="FFFFFF"/>
              </w:rPr>
              <w:t>☓</w:t>
            </w:r>
          </w:p>
        </w:tc>
      </w:tr>
      <w:tr w:rsidR="009A0013" w:rsidRPr="00851192" w14:paraId="02A7AFC9" w14:textId="77777777" w:rsidTr="009A0013">
        <w:trPr>
          <w:trHeight w:val="541"/>
          <w:jc w:val="center"/>
        </w:trPr>
        <w:tc>
          <w:tcPr>
            <w:tcW w:w="1840" w:type="dxa"/>
            <w:tcBorders>
              <w:top w:val="single" w:sz="4" w:space="0" w:color="auto"/>
              <w:left w:val="single" w:sz="4" w:space="0" w:color="auto"/>
              <w:bottom w:val="single" w:sz="4" w:space="0" w:color="auto"/>
              <w:right w:val="single" w:sz="4" w:space="0" w:color="auto"/>
            </w:tcBorders>
            <w:hideMark/>
          </w:tcPr>
          <w:p w14:paraId="174333AD" w14:textId="77777777" w:rsidR="009A0013" w:rsidRPr="00851192" w:rsidRDefault="009A0013">
            <w:pPr>
              <w:rPr>
                <w:rFonts w:ascii="Arial" w:hAnsi="Arial" w:cs="Arial"/>
                <w:b/>
              </w:rPr>
            </w:pPr>
            <w:r w:rsidRPr="00851192">
              <w:rPr>
                <w:rFonts w:ascii="Arial" w:hAnsi="Arial" w:cs="Arial"/>
                <w:b/>
              </w:rPr>
              <w:t xml:space="preserve">Self-Exclusion Facility </w:t>
            </w:r>
          </w:p>
        </w:tc>
        <w:tc>
          <w:tcPr>
            <w:tcW w:w="1840" w:type="dxa"/>
            <w:tcBorders>
              <w:top w:val="single" w:sz="4" w:space="0" w:color="auto"/>
              <w:left w:val="single" w:sz="4" w:space="0" w:color="auto"/>
              <w:bottom w:val="single" w:sz="4" w:space="0" w:color="auto"/>
              <w:right w:val="single" w:sz="4" w:space="0" w:color="auto"/>
            </w:tcBorders>
            <w:hideMark/>
          </w:tcPr>
          <w:p w14:paraId="08223BDC" w14:textId="77777777" w:rsidR="009A0013" w:rsidRPr="00851192" w:rsidRDefault="009A0013">
            <w:pPr>
              <w:jc w:val="center"/>
              <w:rPr>
                <w:rFonts w:ascii="Arial" w:hAnsi="Arial" w:cs="Arial"/>
              </w:rPr>
            </w:pPr>
            <w:r w:rsidRPr="00851192">
              <w:rPr>
                <w:rFonts w:ascii="Segoe UI Symbol" w:hAnsi="Segoe UI Symbol" w:cs="Segoe UI Symbol"/>
                <w:b/>
                <w:shd w:val="clear" w:color="auto" w:fill="FFFFFF"/>
              </w:rPr>
              <w:t>✓</w:t>
            </w:r>
          </w:p>
        </w:tc>
        <w:tc>
          <w:tcPr>
            <w:tcW w:w="1840" w:type="dxa"/>
            <w:tcBorders>
              <w:top w:val="single" w:sz="4" w:space="0" w:color="auto"/>
              <w:left w:val="single" w:sz="4" w:space="0" w:color="auto"/>
              <w:bottom w:val="single" w:sz="4" w:space="0" w:color="auto"/>
              <w:right w:val="single" w:sz="4" w:space="0" w:color="auto"/>
            </w:tcBorders>
            <w:hideMark/>
          </w:tcPr>
          <w:p w14:paraId="245F0964" w14:textId="77777777" w:rsidR="009A0013" w:rsidRPr="00851192" w:rsidRDefault="009A0013">
            <w:pPr>
              <w:jc w:val="center"/>
              <w:rPr>
                <w:rFonts w:ascii="Arial" w:hAnsi="Arial" w:cs="Arial"/>
              </w:rPr>
            </w:pPr>
            <w:r w:rsidRPr="00851192">
              <w:rPr>
                <w:rFonts w:ascii="Segoe UI Symbol" w:hAnsi="Segoe UI Symbol" w:cs="Segoe UI Symbol"/>
                <w:b/>
                <w:shd w:val="clear" w:color="auto" w:fill="FFFFFF"/>
              </w:rPr>
              <w:t>✓</w:t>
            </w:r>
          </w:p>
        </w:tc>
        <w:tc>
          <w:tcPr>
            <w:tcW w:w="1840" w:type="dxa"/>
            <w:tcBorders>
              <w:top w:val="single" w:sz="4" w:space="0" w:color="auto"/>
              <w:left w:val="single" w:sz="4" w:space="0" w:color="auto"/>
              <w:bottom w:val="single" w:sz="4" w:space="0" w:color="auto"/>
              <w:right w:val="single" w:sz="4" w:space="0" w:color="auto"/>
            </w:tcBorders>
            <w:hideMark/>
          </w:tcPr>
          <w:p w14:paraId="6CF80A15" w14:textId="1993F217" w:rsidR="009A0013" w:rsidRPr="00851192" w:rsidRDefault="009A0013">
            <w:pPr>
              <w:jc w:val="center"/>
              <w:rPr>
                <w:rFonts w:ascii="Arial" w:hAnsi="Arial" w:cs="Arial"/>
              </w:rPr>
            </w:pPr>
            <w:r w:rsidRPr="00851192">
              <w:rPr>
                <w:rFonts w:ascii="Segoe UI Symbol" w:hAnsi="Segoe UI Symbol" w:cs="Segoe UI Symbol"/>
                <w:b/>
                <w:shd w:val="clear" w:color="auto" w:fill="FFFFFF"/>
              </w:rPr>
              <w:t>☓</w:t>
            </w:r>
          </w:p>
        </w:tc>
      </w:tr>
      <w:tr w:rsidR="009A0013" w:rsidRPr="00851192" w14:paraId="62F5914A" w14:textId="77777777" w:rsidTr="009A0013">
        <w:trPr>
          <w:trHeight w:val="278"/>
          <w:jc w:val="center"/>
        </w:trPr>
        <w:tc>
          <w:tcPr>
            <w:tcW w:w="1840" w:type="dxa"/>
            <w:tcBorders>
              <w:top w:val="single" w:sz="4" w:space="0" w:color="auto"/>
              <w:left w:val="single" w:sz="4" w:space="0" w:color="auto"/>
              <w:bottom w:val="single" w:sz="4" w:space="0" w:color="auto"/>
              <w:right w:val="single" w:sz="4" w:space="0" w:color="auto"/>
            </w:tcBorders>
            <w:hideMark/>
          </w:tcPr>
          <w:p w14:paraId="760F51B6" w14:textId="77777777" w:rsidR="009A0013" w:rsidRPr="00851192" w:rsidRDefault="009A0013">
            <w:pPr>
              <w:rPr>
                <w:rFonts w:ascii="Arial" w:hAnsi="Arial" w:cs="Arial"/>
                <w:b/>
              </w:rPr>
            </w:pPr>
            <w:r w:rsidRPr="00851192">
              <w:rPr>
                <w:rFonts w:ascii="Arial" w:hAnsi="Arial" w:cs="Arial"/>
                <w:b/>
              </w:rPr>
              <w:t>Social Media Presence</w:t>
            </w:r>
          </w:p>
        </w:tc>
        <w:tc>
          <w:tcPr>
            <w:tcW w:w="1840" w:type="dxa"/>
            <w:tcBorders>
              <w:top w:val="single" w:sz="4" w:space="0" w:color="auto"/>
              <w:left w:val="single" w:sz="4" w:space="0" w:color="auto"/>
              <w:bottom w:val="single" w:sz="4" w:space="0" w:color="auto"/>
              <w:right w:val="single" w:sz="4" w:space="0" w:color="auto"/>
            </w:tcBorders>
            <w:hideMark/>
          </w:tcPr>
          <w:p w14:paraId="44BEACF4" w14:textId="77777777" w:rsidR="009A0013" w:rsidRPr="00851192" w:rsidRDefault="009A0013">
            <w:pPr>
              <w:jc w:val="center"/>
              <w:rPr>
                <w:rFonts w:ascii="Arial" w:hAnsi="Arial" w:cs="Arial"/>
              </w:rPr>
            </w:pPr>
            <w:r w:rsidRPr="00851192">
              <w:rPr>
                <w:rFonts w:ascii="Segoe UI Symbol" w:hAnsi="Segoe UI Symbol" w:cs="Segoe UI Symbol"/>
                <w:b/>
                <w:shd w:val="clear" w:color="auto" w:fill="FFFFFF"/>
              </w:rPr>
              <w:t>✓</w:t>
            </w:r>
          </w:p>
        </w:tc>
        <w:tc>
          <w:tcPr>
            <w:tcW w:w="1840" w:type="dxa"/>
            <w:tcBorders>
              <w:top w:val="single" w:sz="4" w:space="0" w:color="auto"/>
              <w:left w:val="single" w:sz="4" w:space="0" w:color="auto"/>
              <w:bottom w:val="single" w:sz="4" w:space="0" w:color="auto"/>
              <w:right w:val="single" w:sz="4" w:space="0" w:color="auto"/>
            </w:tcBorders>
            <w:hideMark/>
          </w:tcPr>
          <w:p w14:paraId="61FDE488" w14:textId="77777777" w:rsidR="009A0013" w:rsidRPr="00851192" w:rsidRDefault="009A0013">
            <w:pPr>
              <w:jc w:val="center"/>
              <w:rPr>
                <w:rFonts w:ascii="Arial" w:hAnsi="Arial" w:cs="Arial"/>
              </w:rPr>
            </w:pPr>
            <w:r w:rsidRPr="00851192">
              <w:rPr>
                <w:rFonts w:ascii="Segoe UI Symbol" w:hAnsi="Segoe UI Symbol" w:cs="Segoe UI Symbol"/>
                <w:b/>
                <w:shd w:val="clear" w:color="auto" w:fill="FFFFFF"/>
              </w:rPr>
              <w:t>✓</w:t>
            </w:r>
          </w:p>
        </w:tc>
        <w:tc>
          <w:tcPr>
            <w:tcW w:w="1840" w:type="dxa"/>
            <w:tcBorders>
              <w:top w:val="single" w:sz="4" w:space="0" w:color="auto"/>
              <w:left w:val="single" w:sz="4" w:space="0" w:color="auto"/>
              <w:bottom w:val="single" w:sz="4" w:space="0" w:color="auto"/>
              <w:right w:val="single" w:sz="4" w:space="0" w:color="auto"/>
            </w:tcBorders>
            <w:hideMark/>
          </w:tcPr>
          <w:p w14:paraId="643511B7" w14:textId="77777777" w:rsidR="009A0013" w:rsidRPr="00851192" w:rsidRDefault="009A0013">
            <w:pPr>
              <w:jc w:val="center"/>
              <w:rPr>
                <w:rFonts w:ascii="Arial" w:hAnsi="Arial" w:cs="Arial"/>
              </w:rPr>
            </w:pPr>
            <w:r w:rsidRPr="00851192">
              <w:rPr>
                <w:rFonts w:ascii="Segoe UI Symbol" w:hAnsi="Segoe UI Symbol" w:cs="Segoe UI Symbol"/>
                <w:b/>
                <w:shd w:val="clear" w:color="auto" w:fill="FFFFFF"/>
              </w:rPr>
              <w:t>✓</w:t>
            </w:r>
          </w:p>
        </w:tc>
      </w:tr>
      <w:tr w:rsidR="009A0013" w:rsidRPr="00851192" w14:paraId="123EF2CC" w14:textId="77777777" w:rsidTr="009A0013">
        <w:trPr>
          <w:trHeight w:val="262"/>
          <w:jc w:val="center"/>
        </w:trPr>
        <w:tc>
          <w:tcPr>
            <w:tcW w:w="1840" w:type="dxa"/>
            <w:tcBorders>
              <w:top w:val="single" w:sz="4" w:space="0" w:color="auto"/>
              <w:left w:val="single" w:sz="4" w:space="0" w:color="auto"/>
              <w:bottom w:val="single" w:sz="4" w:space="0" w:color="auto"/>
              <w:right w:val="single" w:sz="4" w:space="0" w:color="auto"/>
            </w:tcBorders>
            <w:hideMark/>
          </w:tcPr>
          <w:p w14:paraId="01D3AEBC" w14:textId="77777777" w:rsidR="009A0013" w:rsidRPr="00851192" w:rsidRDefault="009A0013">
            <w:pPr>
              <w:rPr>
                <w:rFonts w:ascii="Arial" w:hAnsi="Arial" w:cs="Arial"/>
                <w:b/>
              </w:rPr>
            </w:pPr>
            <w:r w:rsidRPr="00851192">
              <w:rPr>
                <w:rFonts w:ascii="Arial" w:hAnsi="Arial" w:cs="Arial"/>
                <w:b/>
              </w:rPr>
              <w:t>Age Verification</w:t>
            </w:r>
          </w:p>
        </w:tc>
        <w:tc>
          <w:tcPr>
            <w:tcW w:w="1840" w:type="dxa"/>
            <w:tcBorders>
              <w:top w:val="single" w:sz="4" w:space="0" w:color="auto"/>
              <w:left w:val="single" w:sz="4" w:space="0" w:color="auto"/>
              <w:bottom w:val="single" w:sz="4" w:space="0" w:color="auto"/>
              <w:right w:val="single" w:sz="4" w:space="0" w:color="auto"/>
            </w:tcBorders>
            <w:hideMark/>
          </w:tcPr>
          <w:p w14:paraId="30E31686" w14:textId="77777777" w:rsidR="009A0013" w:rsidRPr="00851192" w:rsidRDefault="009A0013">
            <w:pPr>
              <w:jc w:val="center"/>
              <w:rPr>
                <w:rFonts w:ascii="Arial" w:hAnsi="Arial" w:cs="Arial"/>
              </w:rPr>
            </w:pPr>
            <w:r w:rsidRPr="00851192">
              <w:rPr>
                <w:rFonts w:ascii="Segoe UI Symbol" w:hAnsi="Segoe UI Symbol" w:cs="Segoe UI Symbol"/>
                <w:b/>
                <w:shd w:val="clear" w:color="auto" w:fill="FFFFFF"/>
              </w:rPr>
              <w:t>✓</w:t>
            </w:r>
          </w:p>
        </w:tc>
        <w:tc>
          <w:tcPr>
            <w:tcW w:w="1840" w:type="dxa"/>
            <w:tcBorders>
              <w:top w:val="single" w:sz="4" w:space="0" w:color="auto"/>
              <w:left w:val="single" w:sz="4" w:space="0" w:color="auto"/>
              <w:bottom w:val="single" w:sz="4" w:space="0" w:color="auto"/>
              <w:right w:val="single" w:sz="4" w:space="0" w:color="auto"/>
            </w:tcBorders>
            <w:hideMark/>
          </w:tcPr>
          <w:p w14:paraId="12E3DD50" w14:textId="77777777" w:rsidR="009A0013" w:rsidRPr="00851192" w:rsidRDefault="009A0013">
            <w:pPr>
              <w:jc w:val="center"/>
              <w:rPr>
                <w:rFonts w:ascii="Arial" w:hAnsi="Arial" w:cs="Arial"/>
              </w:rPr>
            </w:pPr>
            <w:r w:rsidRPr="00851192">
              <w:rPr>
                <w:rFonts w:ascii="Segoe UI Symbol" w:hAnsi="Segoe UI Symbol" w:cs="Segoe UI Symbol"/>
                <w:b/>
                <w:shd w:val="clear" w:color="auto" w:fill="FFFFFF"/>
              </w:rPr>
              <w:t>✓</w:t>
            </w:r>
          </w:p>
        </w:tc>
        <w:tc>
          <w:tcPr>
            <w:tcW w:w="1840" w:type="dxa"/>
            <w:tcBorders>
              <w:top w:val="single" w:sz="4" w:space="0" w:color="auto"/>
              <w:left w:val="single" w:sz="4" w:space="0" w:color="auto"/>
              <w:bottom w:val="single" w:sz="4" w:space="0" w:color="auto"/>
              <w:right w:val="single" w:sz="4" w:space="0" w:color="auto"/>
            </w:tcBorders>
            <w:hideMark/>
          </w:tcPr>
          <w:p w14:paraId="4AAE0D3E" w14:textId="77777777" w:rsidR="009A0013" w:rsidRPr="00851192" w:rsidRDefault="009A0013">
            <w:pPr>
              <w:jc w:val="center"/>
              <w:rPr>
                <w:rFonts w:ascii="Arial" w:hAnsi="Arial" w:cs="Arial"/>
              </w:rPr>
            </w:pPr>
            <w:r w:rsidRPr="00851192">
              <w:rPr>
                <w:rFonts w:ascii="Segoe UI Symbol" w:hAnsi="Segoe UI Symbol" w:cs="Segoe UI Symbol"/>
                <w:b/>
                <w:shd w:val="clear" w:color="auto" w:fill="FFFFFF"/>
              </w:rPr>
              <w:t>✓</w:t>
            </w:r>
          </w:p>
        </w:tc>
      </w:tr>
      <w:tr w:rsidR="009A0013" w:rsidRPr="00851192" w14:paraId="6093EF58" w14:textId="77777777" w:rsidTr="009A0013">
        <w:trPr>
          <w:trHeight w:val="556"/>
          <w:jc w:val="center"/>
        </w:trPr>
        <w:tc>
          <w:tcPr>
            <w:tcW w:w="1840" w:type="dxa"/>
            <w:tcBorders>
              <w:top w:val="single" w:sz="4" w:space="0" w:color="auto"/>
              <w:left w:val="single" w:sz="4" w:space="0" w:color="auto"/>
              <w:bottom w:val="single" w:sz="4" w:space="0" w:color="auto"/>
              <w:right w:val="single" w:sz="4" w:space="0" w:color="auto"/>
            </w:tcBorders>
            <w:hideMark/>
          </w:tcPr>
          <w:p w14:paraId="13F52579" w14:textId="77777777" w:rsidR="009A0013" w:rsidRPr="00851192" w:rsidRDefault="009A0013">
            <w:pPr>
              <w:rPr>
                <w:rFonts w:ascii="Arial" w:hAnsi="Arial" w:cs="Arial"/>
                <w:b/>
              </w:rPr>
            </w:pPr>
            <w:r w:rsidRPr="00851192">
              <w:rPr>
                <w:rFonts w:ascii="Arial" w:hAnsi="Arial" w:cs="Arial"/>
                <w:b/>
              </w:rPr>
              <w:t>Technical Support</w:t>
            </w:r>
          </w:p>
        </w:tc>
        <w:tc>
          <w:tcPr>
            <w:tcW w:w="1840" w:type="dxa"/>
            <w:tcBorders>
              <w:top w:val="single" w:sz="4" w:space="0" w:color="auto"/>
              <w:left w:val="single" w:sz="4" w:space="0" w:color="auto"/>
              <w:bottom w:val="single" w:sz="4" w:space="0" w:color="auto"/>
              <w:right w:val="single" w:sz="4" w:space="0" w:color="auto"/>
            </w:tcBorders>
            <w:hideMark/>
          </w:tcPr>
          <w:p w14:paraId="3EAB50A0" w14:textId="77777777" w:rsidR="009A0013" w:rsidRPr="00851192" w:rsidRDefault="009A0013">
            <w:pPr>
              <w:jc w:val="center"/>
              <w:rPr>
                <w:rFonts w:ascii="Arial" w:hAnsi="Arial" w:cs="Arial"/>
              </w:rPr>
            </w:pPr>
            <w:r w:rsidRPr="00851192">
              <w:rPr>
                <w:rFonts w:ascii="Segoe UI Symbol" w:hAnsi="Segoe UI Symbol" w:cs="Segoe UI Symbol"/>
                <w:b/>
                <w:shd w:val="clear" w:color="auto" w:fill="FFFFFF"/>
              </w:rPr>
              <w:t>✓</w:t>
            </w:r>
          </w:p>
        </w:tc>
        <w:tc>
          <w:tcPr>
            <w:tcW w:w="1840" w:type="dxa"/>
            <w:tcBorders>
              <w:top w:val="single" w:sz="4" w:space="0" w:color="auto"/>
              <w:left w:val="single" w:sz="4" w:space="0" w:color="auto"/>
              <w:bottom w:val="single" w:sz="4" w:space="0" w:color="auto"/>
              <w:right w:val="single" w:sz="4" w:space="0" w:color="auto"/>
            </w:tcBorders>
            <w:hideMark/>
          </w:tcPr>
          <w:p w14:paraId="4D40D068" w14:textId="77777777" w:rsidR="009A0013" w:rsidRPr="00851192" w:rsidRDefault="009A0013">
            <w:pPr>
              <w:jc w:val="center"/>
              <w:rPr>
                <w:rFonts w:ascii="Arial" w:hAnsi="Arial" w:cs="Arial"/>
              </w:rPr>
            </w:pPr>
            <w:r w:rsidRPr="00851192">
              <w:rPr>
                <w:rFonts w:ascii="Segoe UI Symbol" w:hAnsi="Segoe UI Symbol" w:cs="Segoe UI Symbol"/>
                <w:b/>
                <w:shd w:val="clear" w:color="auto" w:fill="FFFFFF"/>
              </w:rPr>
              <w:t>✓</w:t>
            </w:r>
          </w:p>
        </w:tc>
        <w:tc>
          <w:tcPr>
            <w:tcW w:w="1840" w:type="dxa"/>
            <w:tcBorders>
              <w:top w:val="single" w:sz="4" w:space="0" w:color="auto"/>
              <w:left w:val="single" w:sz="4" w:space="0" w:color="auto"/>
              <w:bottom w:val="single" w:sz="4" w:space="0" w:color="auto"/>
              <w:right w:val="single" w:sz="4" w:space="0" w:color="auto"/>
            </w:tcBorders>
            <w:hideMark/>
          </w:tcPr>
          <w:p w14:paraId="4A880E28" w14:textId="5983B1C5" w:rsidR="009A0013" w:rsidRPr="00851192" w:rsidRDefault="009A0013">
            <w:pPr>
              <w:jc w:val="center"/>
              <w:rPr>
                <w:rFonts w:ascii="Arial" w:hAnsi="Arial" w:cs="Arial"/>
              </w:rPr>
            </w:pPr>
            <w:r w:rsidRPr="00851192">
              <w:rPr>
                <w:rFonts w:ascii="Segoe UI Symbol" w:hAnsi="Segoe UI Symbol" w:cs="Segoe UI Symbol"/>
                <w:b/>
                <w:shd w:val="clear" w:color="auto" w:fill="FFFFFF"/>
              </w:rPr>
              <w:t>✓</w:t>
            </w:r>
          </w:p>
        </w:tc>
      </w:tr>
      <w:tr w:rsidR="009A0013" w:rsidRPr="00851192" w14:paraId="3A20CCBD" w14:textId="77777777" w:rsidTr="009A0013">
        <w:trPr>
          <w:trHeight w:val="556"/>
          <w:jc w:val="center"/>
        </w:trPr>
        <w:tc>
          <w:tcPr>
            <w:tcW w:w="1840" w:type="dxa"/>
            <w:tcBorders>
              <w:top w:val="single" w:sz="4" w:space="0" w:color="auto"/>
              <w:left w:val="single" w:sz="4" w:space="0" w:color="auto"/>
              <w:bottom w:val="single" w:sz="4" w:space="0" w:color="auto"/>
              <w:right w:val="single" w:sz="4" w:space="0" w:color="auto"/>
            </w:tcBorders>
            <w:hideMark/>
          </w:tcPr>
          <w:p w14:paraId="2651E281" w14:textId="77777777" w:rsidR="009A0013" w:rsidRPr="00851192" w:rsidRDefault="009A0013">
            <w:pPr>
              <w:rPr>
                <w:rFonts w:ascii="Arial" w:hAnsi="Arial" w:cs="Arial"/>
                <w:b/>
              </w:rPr>
            </w:pPr>
            <w:r w:rsidRPr="00851192">
              <w:rPr>
                <w:rFonts w:ascii="Arial" w:hAnsi="Arial" w:cs="Arial"/>
                <w:b/>
              </w:rPr>
              <w:t>Level of Technical Support (High, Medium, Low)</w:t>
            </w:r>
          </w:p>
        </w:tc>
        <w:tc>
          <w:tcPr>
            <w:tcW w:w="1840" w:type="dxa"/>
            <w:tcBorders>
              <w:top w:val="single" w:sz="4" w:space="0" w:color="auto"/>
              <w:left w:val="single" w:sz="4" w:space="0" w:color="auto"/>
              <w:bottom w:val="single" w:sz="4" w:space="0" w:color="auto"/>
              <w:right w:val="single" w:sz="4" w:space="0" w:color="auto"/>
            </w:tcBorders>
            <w:hideMark/>
          </w:tcPr>
          <w:p w14:paraId="2E6B390B" w14:textId="77777777" w:rsidR="009A0013" w:rsidRPr="00851192" w:rsidRDefault="009A0013">
            <w:pPr>
              <w:jc w:val="center"/>
              <w:rPr>
                <w:rFonts w:ascii="Arial" w:hAnsi="Arial" w:cs="Arial"/>
              </w:rPr>
            </w:pPr>
            <w:r w:rsidRPr="00851192">
              <w:rPr>
                <w:rFonts w:ascii="Arial" w:hAnsi="Arial" w:cs="Arial"/>
              </w:rPr>
              <w:t>High</w:t>
            </w:r>
          </w:p>
        </w:tc>
        <w:tc>
          <w:tcPr>
            <w:tcW w:w="1840" w:type="dxa"/>
            <w:tcBorders>
              <w:top w:val="single" w:sz="4" w:space="0" w:color="auto"/>
              <w:left w:val="single" w:sz="4" w:space="0" w:color="auto"/>
              <w:bottom w:val="single" w:sz="4" w:space="0" w:color="auto"/>
              <w:right w:val="single" w:sz="4" w:space="0" w:color="auto"/>
            </w:tcBorders>
            <w:hideMark/>
          </w:tcPr>
          <w:p w14:paraId="62782E17" w14:textId="77777777" w:rsidR="009A0013" w:rsidRPr="00851192" w:rsidRDefault="009A0013">
            <w:pPr>
              <w:jc w:val="center"/>
              <w:rPr>
                <w:rFonts w:ascii="Arial" w:hAnsi="Arial" w:cs="Arial"/>
              </w:rPr>
            </w:pPr>
            <w:r w:rsidRPr="00851192">
              <w:rPr>
                <w:rFonts w:ascii="Arial" w:hAnsi="Arial" w:cs="Arial"/>
              </w:rPr>
              <w:t>High</w:t>
            </w:r>
          </w:p>
        </w:tc>
        <w:tc>
          <w:tcPr>
            <w:tcW w:w="1840" w:type="dxa"/>
            <w:tcBorders>
              <w:top w:val="single" w:sz="4" w:space="0" w:color="auto"/>
              <w:left w:val="single" w:sz="4" w:space="0" w:color="auto"/>
              <w:bottom w:val="single" w:sz="4" w:space="0" w:color="auto"/>
              <w:right w:val="single" w:sz="4" w:space="0" w:color="auto"/>
            </w:tcBorders>
            <w:hideMark/>
          </w:tcPr>
          <w:p w14:paraId="378D130E" w14:textId="39D08503" w:rsidR="009A0013" w:rsidRPr="00851192" w:rsidRDefault="009A0013">
            <w:pPr>
              <w:jc w:val="center"/>
              <w:rPr>
                <w:rFonts w:ascii="Arial" w:hAnsi="Arial" w:cs="Arial"/>
              </w:rPr>
            </w:pPr>
            <w:r w:rsidRPr="00851192">
              <w:rPr>
                <w:rFonts w:ascii="Arial" w:hAnsi="Arial" w:cs="Arial"/>
              </w:rPr>
              <w:t>High</w:t>
            </w:r>
          </w:p>
        </w:tc>
      </w:tr>
      <w:tr w:rsidR="009A0013" w:rsidRPr="00851192" w14:paraId="5397C1E1" w14:textId="77777777" w:rsidTr="009A0013">
        <w:trPr>
          <w:trHeight w:val="541"/>
          <w:jc w:val="center"/>
        </w:trPr>
        <w:tc>
          <w:tcPr>
            <w:tcW w:w="1840" w:type="dxa"/>
            <w:tcBorders>
              <w:top w:val="single" w:sz="4" w:space="0" w:color="auto"/>
              <w:left w:val="single" w:sz="4" w:space="0" w:color="auto"/>
              <w:bottom w:val="single" w:sz="4" w:space="0" w:color="auto"/>
              <w:right w:val="single" w:sz="4" w:space="0" w:color="auto"/>
            </w:tcBorders>
            <w:hideMark/>
          </w:tcPr>
          <w:p w14:paraId="175B4189" w14:textId="77777777" w:rsidR="009A0013" w:rsidRPr="00851192" w:rsidRDefault="009A0013">
            <w:pPr>
              <w:rPr>
                <w:rFonts w:ascii="Arial" w:hAnsi="Arial" w:cs="Arial"/>
                <w:b/>
              </w:rPr>
            </w:pPr>
            <w:r w:rsidRPr="00851192">
              <w:rPr>
                <w:rFonts w:ascii="Arial" w:hAnsi="Arial" w:cs="Arial"/>
                <w:b/>
              </w:rPr>
              <w:t>Promotional Gambling Advertisement</w:t>
            </w:r>
          </w:p>
        </w:tc>
        <w:tc>
          <w:tcPr>
            <w:tcW w:w="1840" w:type="dxa"/>
            <w:tcBorders>
              <w:top w:val="single" w:sz="4" w:space="0" w:color="auto"/>
              <w:left w:val="single" w:sz="4" w:space="0" w:color="auto"/>
              <w:bottom w:val="single" w:sz="4" w:space="0" w:color="auto"/>
              <w:right w:val="single" w:sz="4" w:space="0" w:color="auto"/>
            </w:tcBorders>
            <w:hideMark/>
          </w:tcPr>
          <w:p w14:paraId="22EDD434" w14:textId="77777777" w:rsidR="009A0013" w:rsidRPr="00851192" w:rsidRDefault="009A0013">
            <w:pPr>
              <w:jc w:val="center"/>
              <w:rPr>
                <w:rFonts w:ascii="Arial" w:hAnsi="Arial" w:cs="Arial"/>
              </w:rPr>
            </w:pPr>
            <w:r w:rsidRPr="00851192">
              <w:rPr>
                <w:rFonts w:ascii="Segoe UI Symbol" w:hAnsi="Segoe UI Symbol" w:cs="Segoe UI Symbol"/>
                <w:b/>
                <w:shd w:val="clear" w:color="auto" w:fill="FFFFFF"/>
              </w:rPr>
              <w:t>✓</w:t>
            </w:r>
          </w:p>
        </w:tc>
        <w:tc>
          <w:tcPr>
            <w:tcW w:w="1840" w:type="dxa"/>
            <w:tcBorders>
              <w:top w:val="single" w:sz="4" w:space="0" w:color="auto"/>
              <w:left w:val="single" w:sz="4" w:space="0" w:color="auto"/>
              <w:bottom w:val="single" w:sz="4" w:space="0" w:color="auto"/>
              <w:right w:val="single" w:sz="4" w:space="0" w:color="auto"/>
            </w:tcBorders>
            <w:hideMark/>
          </w:tcPr>
          <w:p w14:paraId="18F2818B" w14:textId="77777777" w:rsidR="009A0013" w:rsidRPr="00851192" w:rsidRDefault="009A0013">
            <w:pPr>
              <w:jc w:val="center"/>
              <w:rPr>
                <w:rFonts w:ascii="Arial" w:hAnsi="Arial" w:cs="Arial"/>
              </w:rPr>
            </w:pPr>
            <w:r w:rsidRPr="00851192">
              <w:rPr>
                <w:rFonts w:ascii="Segoe UI Symbol" w:hAnsi="Segoe UI Symbol" w:cs="Segoe UI Symbol"/>
                <w:b/>
                <w:shd w:val="clear" w:color="auto" w:fill="FFFFFF"/>
              </w:rPr>
              <w:t>✓</w:t>
            </w:r>
          </w:p>
        </w:tc>
        <w:tc>
          <w:tcPr>
            <w:tcW w:w="1840" w:type="dxa"/>
            <w:tcBorders>
              <w:top w:val="single" w:sz="4" w:space="0" w:color="auto"/>
              <w:left w:val="single" w:sz="4" w:space="0" w:color="auto"/>
              <w:bottom w:val="single" w:sz="4" w:space="0" w:color="auto"/>
              <w:right w:val="single" w:sz="4" w:space="0" w:color="auto"/>
            </w:tcBorders>
            <w:hideMark/>
          </w:tcPr>
          <w:p w14:paraId="2A60833F" w14:textId="40DBD1AF" w:rsidR="009A0013" w:rsidRPr="00851192" w:rsidRDefault="009A0013">
            <w:pPr>
              <w:jc w:val="center"/>
              <w:rPr>
                <w:rFonts w:ascii="Arial" w:hAnsi="Arial" w:cs="Arial"/>
              </w:rPr>
            </w:pPr>
            <w:r w:rsidRPr="00851192">
              <w:rPr>
                <w:rFonts w:ascii="Segoe UI Symbol" w:hAnsi="Segoe UI Symbol" w:cs="Segoe UI Symbol"/>
                <w:b/>
                <w:shd w:val="clear" w:color="auto" w:fill="FFFFFF"/>
              </w:rPr>
              <w:t>✓</w:t>
            </w:r>
          </w:p>
        </w:tc>
      </w:tr>
      <w:tr w:rsidR="009A0013" w:rsidRPr="00851192" w14:paraId="3F63731D" w14:textId="77777777" w:rsidTr="009A0013">
        <w:trPr>
          <w:trHeight w:val="556"/>
          <w:jc w:val="center"/>
        </w:trPr>
        <w:tc>
          <w:tcPr>
            <w:tcW w:w="1840" w:type="dxa"/>
            <w:tcBorders>
              <w:top w:val="single" w:sz="4" w:space="0" w:color="auto"/>
              <w:left w:val="single" w:sz="4" w:space="0" w:color="auto"/>
              <w:bottom w:val="single" w:sz="4" w:space="0" w:color="auto"/>
              <w:right w:val="single" w:sz="4" w:space="0" w:color="auto"/>
            </w:tcBorders>
            <w:hideMark/>
          </w:tcPr>
          <w:p w14:paraId="7FF5C534" w14:textId="77777777" w:rsidR="009A0013" w:rsidRPr="00851192" w:rsidRDefault="009A0013">
            <w:pPr>
              <w:rPr>
                <w:rFonts w:ascii="Arial" w:hAnsi="Arial" w:cs="Arial"/>
                <w:b/>
              </w:rPr>
            </w:pPr>
            <w:r w:rsidRPr="00851192">
              <w:rPr>
                <w:rFonts w:ascii="Arial" w:hAnsi="Arial" w:cs="Arial"/>
                <w:b/>
              </w:rPr>
              <w:t>Secure Transaction</w:t>
            </w:r>
          </w:p>
        </w:tc>
        <w:tc>
          <w:tcPr>
            <w:tcW w:w="1840" w:type="dxa"/>
            <w:tcBorders>
              <w:top w:val="single" w:sz="4" w:space="0" w:color="auto"/>
              <w:left w:val="single" w:sz="4" w:space="0" w:color="auto"/>
              <w:bottom w:val="single" w:sz="4" w:space="0" w:color="auto"/>
              <w:right w:val="single" w:sz="4" w:space="0" w:color="auto"/>
            </w:tcBorders>
            <w:hideMark/>
          </w:tcPr>
          <w:p w14:paraId="129B4E62" w14:textId="77777777" w:rsidR="009A0013" w:rsidRPr="00851192" w:rsidRDefault="009A0013">
            <w:pPr>
              <w:jc w:val="center"/>
              <w:rPr>
                <w:rFonts w:ascii="Arial" w:hAnsi="Arial" w:cs="Arial"/>
              </w:rPr>
            </w:pPr>
            <w:r w:rsidRPr="00851192">
              <w:rPr>
                <w:rFonts w:ascii="Segoe UI Symbol" w:hAnsi="Segoe UI Symbol" w:cs="Segoe UI Symbol"/>
                <w:b/>
                <w:shd w:val="clear" w:color="auto" w:fill="FFFFFF"/>
              </w:rPr>
              <w:t>✓</w:t>
            </w:r>
          </w:p>
        </w:tc>
        <w:tc>
          <w:tcPr>
            <w:tcW w:w="1840" w:type="dxa"/>
            <w:tcBorders>
              <w:top w:val="single" w:sz="4" w:space="0" w:color="auto"/>
              <w:left w:val="single" w:sz="4" w:space="0" w:color="auto"/>
              <w:bottom w:val="single" w:sz="4" w:space="0" w:color="auto"/>
              <w:right w:val="single" w:sz="4" w:space="0" w:color="auto"/>
            </w:tcBorders>
            <w:hideMark/>
          </w:tcPr>
          <w:p w14:paraId="6B1ACE0E" w14:textId="77777777" w:rsidR="009A0013" w:rsidRPr="00851192" w:rsidRDefault="009A0013">
            <w:pPr>
              <w:jc w:val="center"/>
              <w:rPr>
                <w:rFonts w:ascii="Arial" w:hAnsi="Arial" w:cs="Arial"/>
              </w:rPr>
            </w:pPr>
            <w:r w:rsidRPr="00851192">
              <w:rPr>
                <w:rFonts w:ascii="Segoe UI Symbol" w:hAnsi="Segoe UI Symbol" w:cs="Segoe UI Symbol"/>
                <w:b/>
                <w:shd w:val="clear" w:color="auto" w:fill="FFFFFF"/>
              </w:rPr>
              <w:t>✓</w:t>
            </w:r>
          </w:p>
        </w:tc>
        <w:tc>
          <w:tcPr>
            <w:tcW w:w="1840" w:type="dxa"/>
            <w:tcBorders>
              <w:top w:val="single" w:sz="4" w:space="0" w:color="auto"/>
              <w:left w:val="single" w:sz="4" w:space="0" w:color="auto"/>
              <w:bottom w:val="single" w:sz="4" w:space="0" w:color="auto"/>
              <w:right w:val="single" w:sz="4" w:space="0" w:color="auto"/>
            </w:tcBorders>
            <w:hideMark/>
          </w:tcPr>
          <w:p w14:paraId="7E5FE1B9" w14:textId="3CFCA89E" w:rsidR="009A0013" w:rsidRPr="00851192" w:rsidRDefault="009A0013">
            <w:pPr>
              <w:jc w:val="center"/>
              <w:rPr>
                <w:rFonts w:ascii="Arial" w:hAnsi="Arial" w:cs="Arial"/>
              </w:rPr>
            </w:pPr>
            <w:r w:rsidRPr="00851192">
              <w:rPr>
                <w:rFonts w:ascii="Segoe UI Symbol" w:hAnsi="Segoe UI Symbol" w:cs="Segoe UI Symbol"/>
                <w:b/>
                <w:shd w:val="clear" w:color="auto" w:fill="FFFFFF"/>
              </w:rPr>
              <w:t>✓</w:t>
            </w:r>
          </w:p>
        </w:tc>
      </w:tr>
      <w:tr w:rsidR="009A0013" w:rsidRPr="00851192" w14:paraId="50D3E791" w14:textId="77777777" w:rsidTr="009A0013">
        <w:trPr>
          <w:trHeight w:val="262"/>
          <w:jc w:val="center"/>
        </w:trPr>
        <w:tc>
          <w:tcPr>
            <w:tcW w:w="1840" w:type="dxa"/>
            <w:tcBorders>
              <w:top w:val="single" w:sz="4" w:space="0" w:color="auto"/>
              <w:left w:val="single" w:sz="4" w:space="0" w:color="auto"/>
              <w:bottom w:val="single" w:sz="4" w:space="0" w:color="auto"/>
              <w:right w:val="single" w:sz="4" w:space="0" w:color="auto"/>
            </w:tcBorders>
            <w:hideMark/>
          </w:tcPr>
          <w:p w14:paraId="6543F194" w14:textId="77777777" w:rsidR="009A0013" w:rsidRPr="00851192" w:rsidRDefault="009A0013">
            <w:pPr>
              <w:rPr>
                <w:rFonts w:ascii="Arial" w:hAnsi="Arial" w:cs="Arial"/>
                <w:b/>
              </w:rPr>
            </w:pPr>
            <w:r w:rsidRPr="00851192">
              <w:rPr>
                <w:rFonts w:ascii="Arial" w:hAnsi="Arial" w:cs="Arial"/>
                <w:b/>
              </w:rPr>
              <w:t>Timer</w:t>
            </w:r>
          </w:p>
        </w:tc>
        <w:tc>
          <w:tcPr>
            <w:tcW w:w="1840" w:type="dxa"/>
            <w:tcBorders>
              <w:top w:val="single" w:sz="4" w:space="0" w:color="auto"/>
              <w:left w:val="single" w:sz="4" w:space="0" w:color="auto"/>
              <w:bottom w:val="single" w:sz="4" w:space="0" w:color="auto"/>
              <w:right w:val="single" w:sz="4" w:space="0" w:color="auto"/>
            </w:tcBorders>
            <w:hideMark/>
          </w:tcPr>
          <w:p w14:paraId="7A97B6FE" w14:textId="7344DDEA" w:rsidR="009A0013" w:rsidRPr="00851192" w:rsidRDefault="009A0013">
            <w:pPr>
              <w:jc w:val="center"/>
              <w:rPr>
                <w:rFonts w:ascii="Arial" w:hAnsi="Arial" w:cs="Arial"/>
              </w:rPr>
            </w:pPr>
            <w:r w:rsidRPr="00851192">
              <w:rPr>
                <w:rFonts w:ascii="Segoe UI Symbol" w:hAnsi="Segoe UI Symbol" w:cs="Segoe UI Symbol"/>
                <w:b/>
                <w:shd w:val="clear" w:color="auto" w:fill="FFFFFF"/>
              </w:rPr>
              <w:t>☓</w:t>
            </w:r>
          </w:p>
        </w:tc>
        <w:tc>
          <w:tcPr>
            <w:tcW w:w="1840" w:type="dxa"/>
            <w:tcBorders>
              <w:top w:val="single" w:sz="4" w:space="0" w:color="auto"/>
              <w:left w:val="single" w:sz="4" w:space="0" w:color="auto"/>
              <w:bottom w:val="single" w:sz="4" w:space="0" w:color="auto"/>
              <w:right w:val="single" w:sz="4" w:space="0" w:color="auto"/>
            </w:tcBorders>
            <w:hideMark/>
          </w:tcPr>
          <w:p w14:paraId="2954349F" w14:textId="77777777" w:rsidR="009A0013" w:rsidRPr="00851192" w:rsidRDefault="009A0013">
            <w:pPr>
              <w:jc w:val="center"/>
              <w:rPr>
                <w:rFonts w:ascii="Arial" w:hAnsi="Arial" w:cs="Arial"/>
              </w:rPr>
            </w:pPr>
            <w:r w:rsidRPr="00851192">
              <w:rPr>
                <w:rFonts w:ascii="Segoe UI Symbol" w:hAnsi="Segoe UI Symbol" w:cs="Segoe UI Symbol"/>
                <w:b/>
                <w:shd w:val="clear" w:color="auto" w:fill="FFFFFF"/>
              </w:rPr>
              <w:t>☓</w:t>
            </w:r>
          </w:p>
        </w:tc>
        <w:tc>
          <w:tcPr>
            <w:tcW w:w="1840" w:type="dxa"/>
            <w:tcBorders>
              <w:top w:val="single" w:sz="4" w:space="0" w:color="auto"/>
              <w:left w:val="single" w:sz="4" w:space="0" w:color="auto"/>
              <w:bottom w:val="single" w:sz="4" w:space="0" w:color="auto"/>
              <w:right w:val="single" w:sz="4" w:space="0" w:color="auto"/>
            </w:tcBorders>
            <w:hideMark/>
          </w:tcPr>
          <w:p w14:paraId="1E738577" w14:textId="13A87E5F" w:rsidR="009A0013" w:rsidRPr="00851192" w:rsidRDefault="009A0013">
            <w:pPr>
              <w:jc w:val="center"/>
              <w:rPr>
                <w:rFonts w:ascii="Arial" w:hAnsi="Arial" w:cs="Arial"/>
              </w:rPr>
            </w:pPr>
            <w:r w:rsidRPr="00851192">
              <w:rPr>
                <w:rFonts w:ascii="Segoe UI Symbol" w:hAnsi="Segoe UI Symbol" w:cs="Segoe UI Symbol"/>
                <w:b/>
                <w:shd w:val="clear" w:color="auto" w:fill="FFFFFF"/>
              </w:rPr>
              <w:t>☓</w:t>
            </w:r>
          </w:p>
        </w:tc>
      </w:tr>
      <w:tr w:rsidR="009A0013" w:rsidRPr="00851192" w14:paraId="61D69B0B" w14:textId="77777777" w:rsidTr="009A0013">
        <w:trPr>
          <w:trHeight w:val="262"/>
          <w:jc w:val="center"/>
        </w:trPr>
        <w:tc>
          <w:tcPr>
            <w:tcW w:w="1840" w:type="dxa"/>
            <w:tcBorders>
              <w:top w:val="single" w:sz="4" w:space="0" w:color="auto"/>
              <w:left w:val="single" w:sz="4" w:space="0" w:color="auto"/>
              <w:bottom w:val="single" w:sz="4" w:space="0" w:color="auto"/>
              <w:right w:val="single" w:sz="4" w:space="0" w:color="auto"/>
            </w:tcBorders>
            <w:hideMark/>
          </w:tcPr>
          <w:p w14:paraId="6C678E80" w14:textId="77777777" w:rsidR="009A0013" w:rsidRPr="00851192" w:rsidRDefault="009A0013">
            <w:pPr>
              <w:rPr>
                <w:rFonts w:ascii="Arial" w:hAnsi="Arial" w:cs="Arial"/>
                <w:b/>
              </w:rPr>
            </w:pPr>
            <w:r w:rsidRPr="00851192">
              <w:rPr>
                <w:rFonts w:ascii="Arial" w:hAnsi="Arial" w:cs="Arial"/>
                <w:b/>
              </w:rPr>
              <w:t>Money Balance</w:t>
            </w:r>
          </w:p>
        </w:tc>
        <w:tc>
          <w:tcPr>
            <w:tcW w:w="1840" w:type="dxa"/>
            <w:tcBorders>
              <w:top w:val="single" w:sz="4" w:space="0" w:color="auto"/>
              <w:left w:val="single" w:sz="4" w:space="0" w:color="auto"/>
              <w:bottom w:val="single" w:sz="4" w:space="0" w:color="auto"/>
              <w:right w:val="single" w:sz="4" w:space="0" w:color="auto"/>
            </w:tcBorders>
            <w:hideMark/>
          </w:tcPr>
          <w:p w14:paraId="5BD2A2C2" w14:textId="77777777" w:rsidR="009A0013" w:rsidRPr="00851192" w:rsidRDefault="009A0013">
            <w:pPr>
              <w:jc w:val="center"/>
              <w:rPr>
                <w:rFonts w:ascii="Arial" w:hAnsi="Arial" w:cs="Arial"/>
              </w:rPr>
            </w:pPr>
            <w:r w:rsidRPr="00851192">
              <w:rPr>
                <w:rFonts w:ascii="Segoe UI Symbol" w:hAnsi="Segoe UI Symbol" w:cs="Segoe UI Symbol"/>
                <w:b/>
                <w:shd w:val="clear" w:color="auto" w:fill="FFFFFF"/>
              </w:rPr>
              <w:t>✓</w:t>
            </w:r>
          </w:p>
        </w:tc>
        <w:tc>
          <w:tcPr>
            <w:tcW w:w="1840" w:type="dxa"/>
            <w:tcBorders>
              <w:top w:val="single" w:sz="4" w:space="0" w:color="auto"/>
              <w:left w:val="single" w:sz="4" w:space="0" w:color="auto"/>
              <w:bottom w:val="single" w:sz="4" w:space="0" w:color="auto"/>
              <w:right w:val="single" w:sz="4" w:space="0" w:color="auto"/>
            </w:tcBorders>
            <w:hideMark/>
          </w:tcPr>
          <w:p w14:paraId="3ABAD9CC" w14:textId="77777777" w:rsidR="009A0013" w:rsidRPr="00851192" w:rsidRDefault="009A0013">
            <w:pPr>
              <w:jc w:val="center"/>
              <w:rPr>
                <w:rFonts w:ascii="Arial" w:hAnsi="Arial" w:cs="Arial"/>
              </w:rPr>
            </w:pPr>
            <w:r w:rsidRPr="00851192">
              <w:rPr>
                <w:rFonts w:ascii="Segoe UI Symbol" w:hAnsi="Segoe UI Symbol" w:cs="Segoe UI Symbol"/>
                <w:b/>
                <w:shd w:val="clear" w:color="auto" w:fill="FFFFFF"/>
              </w:rPr>
              <w:t>✓</w:t>
            </w:r>
          </w:p>
        </w:tc>
        <w:tc>
          <w:tcPr>
            <w:tcW w:w="1840" w:type="dxa"/>
            <w:tcBorders>
              <w:top w:val="single" w:sz="4" w:space="0" w:color="auto"/>
              <w:left w:val="single" w:sz="4" w:space="0" w:color="auto"/>
              <w:bottom w:val="single" w:sz="4" w:space="0" w:color="auto"/>
              <w:right w:val="single" w:sz="4" w:space="0" w:color="auto"/>
            </w:tcBorders>
            <w:hideMark/>
          </w:tcPr>
          <w:p w14:paraId="2D424179" w14:textId="77777777" w:rsidR="009A0013" w:rsidRPr="00851192" w:rsidRDefault="009A0013">
            <w:pPr>
              <w:jc w:val="center"/>
              <w:rPr>
                <w:rFonts w:ascii="Arial" w:hAnsi="Arial" w:cs="Arial"/>
              </w:rPr>
            </w:pPr>
            <w:r w:rsidRPr="00851192">
              <w:rPr>
                <w:rFonts w:ascii="Segoe UI Symbol" w:hAnsi="Segoe UI Symbol" w:cs="Segoe UI Symbol"/>
                <w:b/>
                <w:shd w:val="clear" w:color="auto" w:fill="FFFFFF"/>
              </w:rPr>
              <w:t>✓</w:t>
            </w:r>
          </w:p>
        </w:tc>
      </w:tr>
      <w:tr w:rsidR="009A0013" w:rsidRPr="00851192" w14:paraId="2D9BBD24" w14:textId="77777777" w:rsidTr="009A0013">
        <w:trPr>
          <w:trHeight w:val="262"/>
          <w:jc w:val="center"/>
        </w:trPr>
        <w:tc>
          <w:tcPr>
            <w:tcW w:w="1840" w:type="dxa"/>
            <w:tcBorders>
              <w:top w:val="single" w:sz="4" w:space="0" w:color="auto"/>
              <w:left w:val="single" w:sz="4" w:space="0" w:color="auto"/>
              <w:bottom w:val="single" w:sz="4" w:space="0" w:color="auto"/>
              <w:right w:val="single" w:sz="4" w:space="0" w:color="auto"/>
            </w:tcBorders>
            <w:hideMark/>
          </w:tcPr>
          <w:p w14:paraId="0106D7E8" w14:textId="77777777" w:rsidR="009A0013" w:rsidRPr="00851192" w:rsidRDefault="009A0013">
            <w:pPr>
              <w:rPr>
                <w:rFonts w:ascii="Arial" w:hAnsi="Arial" w:cs="Arial"/>
                <w:b/>
              </w:rPr>
            </w:pPr>
            <w:r w:rsidRPr="00851192">
              <w:rPr>
                <w:rFonts w:ascii="Arial" w:hAnsi="Arial" w:cs="Arial"/>
                <w:b/>
              </w:rPr>
              <w:lastRenderedPageBreak/>
              <w:t>Clarity on Rules</w:t>
            </w:r>
          </w:p>
        </w:tc>
        <w:tc>
          <w:tcPr>
            <w:tcW w:w="1840" w:type="dxa"/>
            <w:tcBorders>
              <w:top w:val="single" w:sz="4" w:space="0" w:color="auto"/>
              <w:left w:val="single" w:sz="4" w:space="0" w:color="auto"/>
              <w:bottom w:val="single" w:sz="4" w:space="0" w:color="auto"/>
              <w:right w:val="single" w:sz="4" w:space="0" w:color="auto"/>
            </w:tcBorders>
            <w:hideMark/>
          </w:tcPr>
          <w:p w14:paraId="7E9589C3" w14:textId="31B99C4B" w:rsidR="009A0013" w:rsidRPr="00851192" w:rsidRDefault="009A0013">
            <w:pPr>
              <w:jc w:val="center"/>
              <w:rPr>
                <w:rFonts w:ascii="Arial" w:hAnsi="Arial" w:cs="Arial"/>
              </w:rPr>
            </w:pPr>
            <w:r w:rsidRPr="00851192">
              <w:rPr>
                <w:rFonts w:ascii="Segoe UI Symbol" w:hAnsi="Segoe UI Symbol" w:cs="Segoe UI Symbol"/>
                <w:b/>
                <w:shd w:val="clear" w:color="auto" w:fill="FFFFFF"/>
              </w:rPr>
              <w:t>✓</w:t>
            </w:r>
          </w:p>
        </w:tc>
        <w:tc>
          <w:tcPr>
            <w:tcW w:w="1840" w:type="dxa"/>
            <w:tcBorders>
              <w:top w:val="single" w:sz="4" w:space="0" w:color="auto"/>
              <w:left w:val="single" w:sz="4" w:space="0" w:color="auto"/>
              <w:bottom w:val="single" w:sz="4" w:space="0" w:color="auto"/>
              <w:right w:val="single" w:sz="4" w:space="0" w:color="auto"/>
            </w:tcBorders>
            <w:hideMark/>
          </w:tcPr>
          <w:p w14:paraId="49D2FDAB" w14:textId="262E1B80" w:rsidR="009A0013" w:rsidRPr="00851192" w:rsidRDefault="009A0013">
            <w:pPr>
              <w:jc w:val="center"/>
              <w:rPr>
                <w:rFonts w:ascii="Arial" w:hAnsi="Arial" w:cs="Arial"/>
              </w:rPr>
            </w:pPr>
            <w:r w:rsidRPr="00851192">
              <w:rPr>
                <w:rFonts w:ascii="Segoe UI Symbol" w:hAnsi="Segoe UI Symbol" w:cs="Segoe UI Symbol"/>
                <w:b/>
                <w:shd w:val="clear" w:color="auto" w:fill="FFFFFF"/>
              </w:rPr>
              <w:t>✓</w:t>
            </w:r>
          </w:p>
        </w:tc>
        <w:tc>
          <w:tcPr>
            <w:tcW w:w="1840" w:type="dxa"/>
            <w:tcBorders>
              <w:top w:val="single" w:sz="4" w:space="0" w:color="auto"/>
              <w:left w:val="single" w:sz="4" w:space="0" w:color="auto"/>
              <w:bottom w:val="single" w:sz="4" w:space="0" w:color="auto"/>
              <w:right w:val="single" w:sz="4" w:space="0" w:color="auto"/>
            </w:tcBorders>
            <w:hideMark/>
          </w:tcPr>
          <w:p w14:paraId="3E5A69DB" w14:textId="77777777" w:rsidR="009A0013" w:rsidRPr="00851192" w:rsidRDefault="009A0013">
            <w:pPr>
              <w:jc w:val="center"/>
              <w:rPr>
                <w:rFonts w:ascii="Arial" w:hAnsi="Arial" w:cs="Arial"/>
              </w:rPr>
            </w:pPr>
            <w:r w:rsidRPr="00851192">
              <w:rPr>
                <w:rFonts w:ascii="Segoe UI Symbol" w:hAnsi="Segoe UI Symbol" w:cs="Segoe UI Symbol"/>
                <w:b/>
                <w:shd w:val="clear" w:color="auto" w:fill="FFFFFF"/>
              </w:rPr>
              <w:t>☓</w:t>
            </w:r>
          </w:p>
        </w:tc>
      </w:tr>
      <w:tr w:rsidR="009A0013" w:rsidRPr="00851192" w14:paraId="60548059" w14:textId="77777777" w:rsidTr="009A0013">
        <w:trPr>
          <w:trHeight w:val="262"/>
          <w:jc w:val="center"/>
        </w:trPr>
        <w:tc>
          <w:tcPr>
            <w:tcW w:w="1840" w:type="dxa"/>
            <w:tcBorders>
              <w:top w:val="single" w:sz="4" w:space="0" w:color="auto"/>
              <w:left w:val="single" w:sz="4" w:space="0" w:color="auto"/>
              <w:bottom w:val="single" w:sz="4" w:space="0" w:color="auto"/>
              <w:right w:val="single" w:sz="4" w:space="0" w:color="auto"/>
            </w:tcBorders>
            <w:hideMark/>
          </w:tcPr>
          <w:p w14:paraId="4AB3EBF7" w14:textId="4F5D4F91" w:rsidR="009A0013" w:rsidRPr="00851192" w:rsidRDefault="009A0013">
            <w:pPr>
              <w:rPr>
                <w:rFonts w:ascii="Arial" w:hAnsi="Arial" w:cs="Arial"/>
                <w:b/>
              </w:rPr>
            </w:pPr>
            <w:r w:rsidRPr="00851192">
              <w:rPr>
                <w:rFonts w:ascii="Arial" w:hAnsi="Arial" w:cs="Arial"/>
                <w:b/>
              </w:rPr>
              <w:t xml:space="preserve">Licenced </w:t>
            </w:r>
            <w:r w:rsidR="00345691" w:rsidRPr="00851192">
              <w:rPr>
                <w:rFonts w:ascii="Arial" w:hAnsi="Arial" w:cs="Arial"/>
                <w:b/>
              </w:rPr>
              <w:t>Location</w:t>
            </w:r>
          </w:p>
        </w:tc>
        <w:tc>
          <w:tcPr>
            <w:tcW w:w="1840" w:type="dxa"/>
            <w:tcBorders>
              <w:top w:val="single" w:sz="4" w:space="0" w:color="auto"/>
              <w:left w:val="single" w:sz="4" w:space="0" w:color="auto"/>
              <w:bottom w:val="single" w:sz="4" w:space="0" w:color="auto"/>
              <w:right w:val="single" w:sz="4" w:space="0" w:color="auto"/>
            </w:tcBorders>
            <w:hideMark/>
          </w:tcPr>
          <w:p w14:paraId="73702D0E" w14:textId="2345DE55" w:rsidR="009A0013" w:rsidRPr="00851192" w:rsidRDefault="009A0013">
            <w:pPr>
              <w:jc w:val="center"/>
              <w:rPr>
                <w:rFonts w:ascii="Arial" w:hAnsi="Arial" w:cs="Arial"/>
              </w:rPr>
            </w:pPr>
            <w:r w:rsidRPr="00851192">
              <w:rPr>
                <w:rFonts w:ascii="Arial" w:hAnsi="Arial" w:cs="Arial"/>
              </w:rPr>
              <w:t>Gibraltar</w:t>
            </w:r>
          </w:p>
        </w:tc>
        <w:tc>
          <w:tcPr>
            <w:tcW w:w="1840" w:type="dxa"/>
            <w:tcBorders>
              <w:top w:val="single" w:sz="4" w:space="0" w:color="auto"/>
              <w:left w:val="single" w:sz="4" w:space="0" w:color="auto"/>
              <w:bottom w:val="single" w:sz="4" w:space="0" w:color="auto"/>
              <w:right w:val="single" w:sz="4" w:space="0" w:color="auto"/>
            </w:tcBorders>
            <w:hideMark/>
          </w:tcPr>
          <w:p w14:paraId="317D797C" w14:textId="77777777" w:rsidR="009A0013" w:rsidRPr="00851192" w:rsidRDefault="009A0013">
            <w:pPr>
              <w:jc w:val="center"/>
              <w:rPr>
                <w:rFonts w:ascii="Arial" w:hAnsi="Arial" w:cs="Arial"/>
              </w:rPr>
            </w:pPr>
            <w:r w:rsidRPr="00851192">
              <w:rPr>
                <w:rFonts w:ascii="Arial" w:hAnsi="Arial" w:cs="Arial"/>
              </w:rPr>
              <w:t>Austria</w:t>
            </w:r>
          </w:p>
        </w:tc>
        <w:tc>
          <w:tcPr>
            <w:tcW w:w="1840" w:type="dxa"/>
            <w:tcBorders>
              <w:top w:val="single" w:sz="4" w:space="0" w:color="auto"/>
              <w:left w:val="single" w:sz="4" w:space="0" w:color="auto"/>
              <w:bottom w:val="single" w:sz="4" w:space="0" w:color="auto"/>
              <w:right w:val="single" w:sz="4" w:space="0" w:color="auto"/>
            </w:tcBorders>
            <w:hideMark/>
          </w:tcPr>
          <w:p w14:paraId="35AA4637" w14:textId="77777777" w:rsidR="009A0013" w:rsidRPr="00851192" w:rsidRDefault="009A0013">
            <w:pPr>
              <w:jc w:val="center"/>
              <w:rPr>
                <w:rFonts w:ascii="Arial" w:hAnsi="Arial" w:cs="Arial"/>
              </w:rPr>
            </w:pPr>
            <w:r w:rsidRPr="00851192">
              <w:rPr>
                <w:rFonts w:ascii="Arial" w:hAnsi="Arial" w:cs="Arial"/>
              </w:rPr>
              <w:t>Hong Kong</w:t>
            </w:r>
          </w:p>
        </w:tc>
      </w:tr>
    </w:tbl>
    <w:p w14:paraId="63E74CA3" w14:textId="31B4749F" w:rsidR="005B2CE6" w:rsidRPr="00851192" w:rsidRDefault="005B2CE6" w:rsidP="009A0013">
      <w:pPr>
        <w:rPr>
          <w:rFonts w:ascii="Arial" w:hAnsi="Arial" w:cs="Arial"/>
        </w:rPr>
      </w:pPr>
    </w:p>
    <w:p w14:paraId="7A088284" w14:textId="3330F6D8" w:rsidR="009F0D2A" w:rsidRPr="00851192" w:rsidRDefault="001A7D5E" w:rsidP="001A7D5E">
      <w:pPr>
        <w:pStyle w:val="Heading2"/>
        <w:rPr>
          <w:rFonts w:ascii="Arial" w:hAnsi="Arial" w:cs="Arial"/>
          <w:color w:val="auto"/>
        </w:rPr>
      </w:pPr>
      <w:bookmarkStart w:id="56" w:name="_Toc526434257"/>
      <w:r w:rsidRPr="00851192">
        <w:rPr>
          <w:rFonts w:ascii="Arial" w:hAnsi="Arial" w:cs="Arial"/>
          <w:color w:val="auto"/>
        </w:rPr>
        <w:t xml:space="preserve">4.7.1 </w:t>
      </w:r>
      <w:r w:rsidR="009F0D2A" w:rsidRPr="00851192">
        <w:rPr>
          <w:rFonts w:ascii="Arial" w:hAnsi="Arial" w:cs="Arial"/>
          <w:color w:val="auto"/>
        </w:rPr>
        <w:t>Key Findings</w:t>
      </w:r>
      <w:bookmarkEnd w:id="56"/>
      <w:r w:rsidR="009F0D2A" w:rsidRPr="00851192">
        <w:rPr>
          <w:rFonts w:ascii="Arial" w:hAnsi="Arial" w:cs="Arial"/>
          <w:color w:val="auto"/>
        </w:rPr>
        <w:t xml:space="preserve"> </w:t>
      </w:r>
    </w:p>
    <w:p w14:paraId="787A8C90" w14:textId="4B0BFFD2" w:rsidR="0003183E" w:rsidRPr="00851192" w:rsidRDefault="0003183E" w:rsidP="0003183E">
      <w:pPr>
        <w:rPr>
          <w:rFonts w:ascii="Arial" w:hAnsi="Arial" w:cs="Arial"/>
        </w:rPr>
      </w:pPr>
      <w:r w:rsidRPr="00851192">
        <w:rPr>
          <w:rFonts w:ascii="Arial" w:hAnsi="Arial" w:cs="Arial"/>
        </w:rPr>
        <w:t xml:space="preserve">This section of the content analysis analyses and evaluates any discrepancies between the value GGO’s express CSR and CSR communication and their voluntary action on those values across an online platform. </w:t>
      </w:r>
    </w:p>
    <w:p w14:paraId="6B3E7AB3" w14:textId="254937CD" w:rsidR="005B2CE6" w:rsidRPr="00851192" w:rsidRDefault="001A7D5E" w:rsidP="001A7D5E">
      <w:pPr>
        <w:pStyle w:val="Heading2"/>
        <w:rPr>
          <w:rFonts w:ascii="Arial" w:hAnsi="Arial" w:cs="Arial"/>
          <w:color w:val="auto"/>
        </w:rPr>
      </w:pPr>
      <w:bookmarkStart w:id="57" w:name="_Toc526434258"/>
      <w:r w:rsidRPr="00851192">
        <w:rPr>
          <w:rFonts w:ascii="Arial" w:hAnsi="Arial" w:cs="Arial"/>
          <w:color w:val="auto"/>
        </w:rPr>
        <w:t xml:space="preserve">4.7.2 </w:t>
      </w:r>
      <w:r w:rsidR="005B2CE6" w:rsidRPr="00851192">
        <w:rPr>
          <w:rFonts w:ascii="Arial" w:hAnsi="Arial" w:cs="Arial"/>
          <w:color w:val="auto"/>
        </w:rPr>
        <w:t>Responsible Gambling</w:t>
      </w:r>
      <w:bookmarkEnd w:id="57"/>
    </w:p>
    <w:p w14:paraId="534517E0" w14:textId="526E8279" w:rsidR="005B2CE6" w:rsidRPr="00851192" w:rsidRDefault="005B2CE6" w:rsidP="0003183E">
      <w:pPr>
        <w:spacing w:line="360" w:lineRule="auto"/>
        <w:jc w:val="both"/>
        <w:rPr>
          <w:rFonts w:ascii="Arial" w:hAnsi="Arial" w:cs="Arial"/>
        </w:rPr>
      </w:pPr>
      <w:r w:rsidRPr="00851192">
        <w:rPr>
          <w:rFonts w:ascii="Arial" w:hAnsi="Arial" w:cs="Arial"/>
        </w:rPr>
        <w:t xml:space="preserve">Through identifying and analysing </w:t>
      </w:r>
      <w:r w:rsidR="00146146" w:rsidRPr="00851192">
        <w:rPr>
          <w:rFonts w:ascii="Arial" w:hAnsi="Arial" w:cs="Arial"/>
        </w:rPr>
        <w:t>GGO’s</w:t>
      </w:r>
      <w:r w:rsidRPr="00851192">
        <w:rPr>
          <w:rFonts w:ascii="Arial" w:hAnsi="Arial" w:cs="Arial"/>
        </w:rPr>
        <w:t xml:space="preserve"> behaviour towards practising and providing information on </w:t>
      </w:r>
      <w:r w:rsidR="003109BA" w:rsidRPr="00851192">
        <w:rPr>
          <w:rFonts w:ascii="Arial" w:hAnsi="Arial" w:cs="Arial"/>
        </w:rPr>
        <w:t>RG</w:t>
      </w:r>
      <w:r w:rsidR="005E3EE2" w:rsidRPr="00851192">
        <w:rPr>
          <w:rFonts w:ascii="Arial" w:hAnsi="Arial" w:cs="Arial"/>
        </w:rPr>
        <w:t xml:space="preserve"> (</w:t>
      </w:r>
      <w:r w:rsidR="005E3EE2" w:rsidRPr="00851192">
        <w:rPr>
          <w:rFonts w:ascii="Arial" w:hAnsi="Arial" w:cs="Arial"/>
          <w:b/>
        </w:rPr>
        <w:t>Table 7</w:t>
      </w:r>
      <w:r w:rsidR="005E3EE2" w:rsidRPr="00851192">
        <w:rPr>
          <w:rFonts w:ascii="Arial" w:hAnsi="Arial" w:cs="Arial"/>
        </w:rPr>
        <w:t>)</w:t>
      </w:r>
      <w:r w:rsidRPr="00851192">
        <w:rPr>
          <w:rFonts w:ascii="Arial" w:hAnsi="Arial" w:cs="Arial"/>
        </w:rPr>
        <w:t xml:space="preserve">; </w:t>
      </w:r>
      <w:r w:rsidR="005E3EE2" w:rsidRPr="00851192">
        <w:rPr>
          <w:rFonts w:ascii="Arial" w:hAnsi="Arial" w:cs="Arial"/>
        </w:rPr>
        <w:t xml:space="preserve">commitment made by GGO’s </w:t>
      </w:r>
      <w:r w:rsidRPr="00851192">
        <w:rPr>
          <w:rFonts w:ascii="Arial" w:hAnsi="Arial" w:cs="Arial"/>
        </w:rPr>
        <w:t xml:space="preserve">towards the subject </w:t>
      </w:r>
      <w:r w:rsidR="00E01C8D" w:rsidRPr="00851192">
        <w:rPr>
          <w:rFonts w:ascii="Arial" w:hAnsi="Arial" w:cs="Arial"/>
        </w:rPr>
        <w:t>matter</w:t>
      </w:r>
      <w:r w:rsidRPr="00851192">
        <w:rPr>
          <w:rFonts w:ascii="Arial" w:hAnsi="Arial" w:cs="Arial"/>
        </w:rPr>
        <w:t xml:space="preserve"> displayed across online platforms are at a minimum. </w:t>
      </w:r>
    </w:p>
    <w:p w14:paraId="67CC35A7" w14:textId="0CBE35FF" w:rsidR="00904904" w:rsidRPr="00851192" w:rsidRDefault="007D5213" w:rsidP="0003183E">
      <w:pPr>
        <w:spacing w:line="360" w:lineRule="auto"/>
        <w:jc w:val="both"/>
        <w:rPr>
          <w:rFonts w:ascii="Arial" w:hAnsi="Arial" w:cs="Arial"/>
        </w:rPr>
      </w:pPr>
      <w:r w:rsidRPr="00851192">
        <w:rPr>
          <w:rFonts w:ascii="Arial" w:hAnsi="Arial" w:cs="Arial"/>
        </w:rPr>
        <w:t xml:space="preserve">However, </w:t>
      </w:r>
      <w:r w:rsidR="003109BA" w:rsidRPr="00851192">
        <w:rPr>
          <w:rFonts w:ascii="Arial" w:hAnsi="Arial" w:cs="Arial"/>
        </w:rPr>
        <w:t>RG</w:t>
      </w:r>
      <w:r w:rsidRPr="00851192">
        <w:rPr>
          <w:rFonts w:ascii="Arial" w:hAnsi="Arial" w:cs="Arial"/>
        </w:rPr>
        <w:t xml:space="preserve"> initiatives are supported across </w:t>
      </w:r>
      <w:r w:rsidR="002812C4" w:rsidRPr="00851192">
        <w:rPr>
          <w:rFonts w:ascii="Arial" w:hAnsi="Arial" w:cs="Arial"/>
        </w:rPr>
        <w:t xml:space="preserve">both Bet365 and </w:t>
      </w:r>
      <w:proofErr w:type="spellStart"/>
      <w:r w:rsidR="002812C4" w:rsidRPr="00851192">
        <w:rPr>
          <w:rFonts w:ascii="Arial" w:hAnsi="Arial" w:cs="Arial"/>
        </w:rPr>
        <w:t>Bwin</w:t>
      </w:r>
      <w:proofErr w:type="spellEnd"/>
      <w:r w:rsidR="002812C4" w:rsidRPr="00851192">
        <w:rPr>
          <w:rFonts w:ascii="Arial" w:hAnsi="Arial" w:cs="Arial"/>
        </w:rPr>
        <w:t xml:space="preserve"> </w:t>
      </w:r>
      <w:r w:rsidR="00D06A0F" w:rsidRPr="00851192">
        <w:rPr>
          <w:rFonts w:ascii="Arial" w:hAnsi="Arial" w:cs="Arial"/>
        </w:rPr>
        <w:t>whereas</w:t>
      </w:r>
      <w:r w:rsidR="002812C4" w:rsidRPr="00851192">
        <w:rPr>
          <w:rFonts w:ascii="Arial" w:hAnsi="Arial" w:cs="Arial"/>
        </w:rPr>
        <w:t xml:space="preserve"> not reinforced </w:t>
      </w:r>
      <w:r w:rsidR="00817F08" w:rsidRPr="00851192">
        <w:rPr>
          <w:rFonts w:ascii="Arial" w:hAnsi="Arial" w:cs="Arial"/>
        </w:rPr>
        <w:t>by</w:t>
      </w:r>
      <w:r w:rsidR="002812C4" w:rsidRPr="00851192">
        <w:rPr>
          <w:rFonts w:ascii="Arial" w:hAnsi="Arial" w:cs="Arial"/>
        </w:rPr>
        <w:t xml:space="preserve"> Asia Gaming. Sponsorship and brand recognition for organisations associated with the field are displayed and hyperlinked on both webpages and app interfaces. </w:t>
      </w:r>
      <w:r w:rsidR="00904904" w:rsidRPr="00851192">
        <w:rPr>
          <w:rFonts w:ascii="Arial" w:hAnsi="Arial" w:cs="Arial"/>
        </w:rPr>
        <w:t>However,</w:t>
      </w:r>
      <w:r w:rsidR="002812C4" w:rsidRPr="00851192">
        <w:rPr>
          <w:rFonts w:ascii="Arial" w:hAnsi="Arial" w:cs="Arial"/>
        </w:rPr>
        <w:t xml:space="preserve"> </w:t>
      </w:r>
      <w:r w:rsidR="00EA5F84" w:rsidRPr="00851192">
        <w:rPr>
          <w:rFonts w:ascii="Arial" w:hAnsi="Arial" w:cs="Arial"/>
        </w:rPr>
        <w:t xml:space="preserve">the positioning of logos and content </w:t>
      </w:r>
      <w:r w:rsidR="00CC4DB9" w:rsidRPr="00851192">
        <w:rPr>
          <w:rFonts w:ascii="Arial" w:hAnsi="Arial" w:cs="Arial"/>
        </w:rPr>
        <w:t>is</w:t>
      </w:r>
      <w:r w:rsidR="00EA5F84" w:rsidRPr="00851192">
        <w:rPr>
          <w:rFonts w:ascii="Arial" w:hAnsi="Arial" w:cs="Arial"/>
        </w:rPr>
        <w:t xml:space="preserve"> not at the forefront of both online interfaces</w:t>
      </w:r>
      <w:r w:rsidR="00CC4DB9" w:rsidRPr="00851192">
        <w:rPr>
          <w:rFonts w:ascii="Arial" w:hAnsi="Arial" w:cs="Arial"/>
        </w:rPr>
        <w:t xml:space="preserve"> and additional information is provided on an external link</w:t>
      </w:r>
      <w:r w:rsidR="00904904" w:rsidRPr="00851192">
        <w:rPr>
          <w:rFonts w:ascii="Arial" w:hAnsi="Arial" w:cs="Arial"/>
        </w:rPr>
        <w:t>s</w:t>
      </w:r>
      <w:r w:rsidR="00EA5F84" w:rsidRPr="00851192">
        <w:rPr>
          <w:rFonts w:ascii="Arial" w:hAnsi="Arial" w:cs="Arial"/>
        </w:rPr>
        <w:t xml:space="preserve">. It can be </w:t>
      </w:r>
      <w:r w:rsidR="006E48A6" w:rsidRPr="00851192">
        <w:rPr>
          <w:rFonts w:ascii="Arial" w:hAnsi="Arial" w:cs="Arial"/>
        </w:rPr>
        <w:t>interpreted</w:t>
      </w:r>
      <w:r w:rsidR="00EA5F84" w:rsidRPr="00851192">
        <w:rPr>
          <w:rFonts w:ascii="Arial" w:hAnsi="Arial" w:cs="Arial"/>
        </w:rPr>
        <w:t xml:space="preserve"> that although </w:t>
      </w:r>
      <w:r w:rsidR="00146146" w:rsidRPr="00851192">
        <w:rPr>
          <w:rFonts w:ascii="Arial" w:hAnsi="Arial" w:cs="Arial"/>
        </w:rPr>
        <w:t xml:space="preserve">PG </w:t>
      </w:r>
      <w:r w:rsidR="00EA5F84" w:rsidRPr="00851192">
        <w:rPr>
          <w:rFonts w:ascii="Arial" w:hAnsi="Arial" w:cs="Arial"/>
        </w:rPr>
        <w:t xml:space="preserve">is an issue associated within the industry, </w:t>
      </w:r>
      <w:r w:rsidR="003109BA" w:rsidRPr="00851192">
        <w:rPr>
          <w:rFonts w:ascii="Arial" w:hAnsi="Arial" w:cs="Arial"/>
        </w:rPr>
        <w:t>RG</w:t>
      </w:r>
      <w:r w:rsidR="00EA5F84" w:rsidRPr="00851192">
        <w:rPr>
          <w:rFonts w:ascii="Arial" w:hAnsi="Arial" w:cs="Arial"/>
        </w:rPr>
        <w:t xml:space="preserve"> initiatives are viewed as a disrupter to </w:t>
      </w:r>
      <w:r w:rsidR="00146146" w:rsidRPr="00851192">
        <w:rPr>
          <w:rFonts w:ascii="Arial" w:hAnsi="Arial" w:cs="Arial"/>
        </w:rPr>
        <w:t>GGO’s</w:t>
      </w:r>
      <w:r w:rsidR="00EA5F84" w:rsidRPr="00851192">
        <w:rPr>
          <w:rFonts w:ascii="Arial" w:hAnsi="Arial" w:cs="Arial"/>
        </w:rPr>
        <w:t xml:space="preserve"> business model</w:t>
      </w:r>
      <w:r w:rsidR="00904904" w:rsidRPr="00851192">
        <w:rPr>
          <w:rFonts w:ascii="Arial" w:hAnsi="Arial" w:cs="Arial"/>
        </w:rPr>
        <w:t xml:space="preserve"> due to the layout of interfaces</w:t>
      </w:r>
      <w:r w:rsidR="00EA5F84" w:rsidRPr="00851192">
        <w:rPr>
          <w:rFonts w:ascii="Arial" w:hAnsi="Arial" w:cs="Arial"/>
        </w:rPr>
        <w:t xml:space="preserve">. </w:t>
      </w:r>
    </w:p>
    <w:p w14:paraId="16AD34D2" w14:textId="120FF95F" w:rsidR="00EA5F84" w:rsidRPr="00851192" w:rsidRDefault="00EA5F84" w:rsidP="0003183E">
      <w:pPr>
        <w:spacing w:line="360" w:lineRule="auto"/>
        <w:jc w:val="both"/>
        <w:rPr>
          <w:rFonts w:ascii="Arial" w:hAnsi="Arial" w:cs="Arial"/>
        </w:rPr>
      </w:pPr>
      <w:r w:rsidRPr="00851192">
        <w:rPr>
          <w:rFonts w:ascii="Arial" w:hAnsi="Arial" w:cs="Arial"/>
        </w:rPr>
        <w:t xml:space="preserve">The external pressures of society within active regions of the world alongside government influence have inclined </w:t>
      </w:r>
      <w:r w:rsidR="00146146" w:rsidRPr="00851192">
        <w:rPr>
          <w:rFonts w:ascii="Arial" w:hAnsi="Arial" w:cs="Arial"/>
        </w:rPr>
        <w:t>GGO’s</w:t>
      </w:r>
      <w:r w:rsidRPr="00851192">
        <w:rPr>
          <w:rFonts w:ascii="Arial" w:hAnsi="Arial" w:cs="Arial"/>
        </w:rPr>
        <w:t xml:space="preserve"> to support </w:t>
      </w:r>
      <w:r w:rsidR="00904904" w:rsidRPr="00851192">
        <w:rPr>
          <w:rFonts w:ascii="Arial" w:hAnsi="Arial" w:cs="Arial"/>
        </w:rPr>
        <w:t>RG</w:t>
      </w:r>
      <w:r w:rsidRPr="00851192">
        <w:rPr>
          <w:rFonts w:ascii="Arial" w:hAnsi="Arial" w:cs="Arial"/>
        </w:rPr>
        <w:t xml:space="preserve"> initiatives. The role of CSR communication within the western hemisphere plays a crucial part in how an organisation can </w:t>
      </w:r>
      <w:r w:rsidR="00146146" w:rsidRPr="00851192">
        <w:rPr>
          <w:rFonts w:ascii="Arial" w:hAnsi="Arial" w:cs="Arial"/>
        </w:rPr>
        <w:t>financial</w:t>
      </w:r>
      <w:r w:rsidRPr="00851192">
        <w:rPr>
          <w:rFonts w:ascii="Arial" w:hAnsi="Arial" w:cs="Arial"/>
        </w:rPr>
        <w:t>l</w:t>
      </w:r>
      <w:r w:rsidR="00146146" w:rsidRPr="00851192">
        <w:rPr>
          <w:rFonts w:ascii="Arial" w:hAnsi="Arial" w:cs="Arial"/>
        </w:rPr>
        <w:t>y</w:t>
      </w:r>
      <w:r w:rsidRPr="00851192">
        <w:rPr>
          <w:rFonts w:ascii="Arial" w:hAnsi="Arial" w:cs="Arial"/>
        </w:rPr>
        <w:t xml:space="preserve"> perform</w:t>
      </w:r>
      <w:r w:rsidR="006E48A6" w:rsidRPr="00851192">
        <w:rPr>
          <w:rFonts w:ascii="Arial" w:hAnsi="Arial" w:cs="Arial"/>
        </w:rPr>
        <w:t xml:space="preserve"> and forming corporate identity as supported</w:t>
      </w:r>
      <w:r w:rsidR="00904904" w:rsidRPr="00851192">
        <w:rPr>
          <w:rFonts w:ascii="Arial" w:hAnsi="Arial" w:cs="Arial"/>
        </w:rPr>
        <w:t xml:space="preserve"> by</w:t>
      </w:r>
      <w:r w:rsidR="006E48A6" w:rsidRPr="00851192">
        <w:rPr>
          <w:rFonts w:ascii="Arial" w:hAnsi="Arial" w:cs="Arial"/>
        </w:rPr>
        <w:t xml:space="preserve"> </w:t>
      </w:r>
      <w:r w:rsidR="005354F2" w:rsidRPr="00851192">
        <w:rPr>
          <w:rFonts w:ascii="Arial" w:hAnsi="Arial" w:cs="Arial"/>
          <w:noProof/>
        </w:rPr>
        <w:t>(Tata &amp; Prasad, 2015; Tracey, 2014; Du et al., 2010)</w:t>
      </w:r>
      <w:r w:rsidRPr="00851192">
        <w:rPr>
          <w:rFonts w:ascii="Arial" w:hAnsi="Arial" w:cs="Arial"/>
        </w:rPr>
        <w:t xml:space="preserve">. Through adopting initiatives supported by society, brand image and reputation will still withstand value within the perception of consumers. The balance between brand </w:t>
      </w:r>
      <w:proofErr w:type="gramStart"/>
      <w:r w:rsidRPr="00851192">
        <w:rPr>
          <w:rFonts w:ascii="Arial" w:hAnsi="Arial" w:cs="Arial"/>
        </w:rPr>
        <w:t>value</w:t>
      </w:r>
      <w:proofErr w:type="gramEnd"/>
      <w:r w:rsidRPr="00851192">
        <w:rPr>
          <w:rFonts w:ascii="Arial" w:hAnsi="Arial" w:cs="Arial"/>
        </w:rPr>
        <w:t xml:space="preserve"> outweighs the small margin in profits lost through by </w:t>
      </w:r>
      <w:r w:rsidR="00146146" w:rsidRPr="00851192">
        <w:rPr>
          <w:rFonts w:ascii="Arial" w:hAnsi="Arial" w:cs="Arial"/>
        </w:rPr>
        <w:t>GGO’s</w:t>
      </w:r>
      <w:r w:rsidRPr="00851192">
        <w:rPr>
          <w:rFonts w:ascii="Arial" w:hAnsi="Arial" w:cs="Arial"/>
        </w:rPr>
        <w:t xml:space="preserve"> supporting and incorporating positive CSR measures. </w:t>
      </w:r>
    </w:p>
    <w:p w14:paraId="436BAE70" w14:textId="6034713E" w:rsidR="00EA5F84" w:rsidRPr="00851192" w:rsidRDefault="00EA5F84" w:rsidP="0003183E">
      <w:pPr>
        <w:spacing w:line="360" w:lineRule="auto"/>
        <w:jc w:val="both"/>
        <w:rPr>
          <w:rFonts w:ascii="Arial" w:hAnsi="Arial" w:cs="Arial"/>
        </w:rPr>
      </w:pPr>
      <w:r w:rsidRPr="00851192">
        <w:rPr>
          <w:rFonts w:ascii="Arial" w:hAnsi="Arial" w:cs="Arial"/>
        </w:rPr>
        <w:t xml:space="preserve">The lack of pressures within the eastern hemisphere alongside the lack of governance towards </w:t>
      </w:r>
      <w:r w:rsidR="003109BA" w:rsidRPr="00851192">
        <w:rPr>
          <w:rFonts w:ascii="Arial" w:hAnsi="Arial" w:cs="Arial"/>
        </w:rPr>
        <w:t>RG</w:t>
      </w:r>
      <w:r w:rsidRPr="00851192">
        <w:rPr>
          <w:rFonts w:ascii="Arial" w:hAnsi="Arial" w:cs="Arial"/>
        </w:rPr>
        <w:t xml:space="preserve"> have inclined Asia Gaming not to adopt CSR measures. However, the restriction on consumer interaction with gambling ha</w:t>
      </w:r>
      <w:r w:rsidR="00146146" w:rsidRPr="00851192">
        <w:rPr>
          <w:rFonts w:ascii="Arial" w:hAnsi="Arial" w:cs="Arial"/>
        </w:rPr>
        <w:t>s</w:t>
      </w:r>
      <w:r w:rsidRPr="00851192">
        <w:rPr>
          <w:rFonts w:ascii="Arial" w:hAnsi="Arial" w:cs="Arial"/>
        </w:rPr>
        <w:t xml:space="preserve"> provided an opportunity for the </w:t>
      </w:r>
      <w:r w:rsidR="00146146" w:rsidRPr="00851192">
        <w:rPr>
          <w:rFonts w:ascii="Arial" w:hAnsi="Arial" w:cs="Arial"/>
        </w:rPr>
        <w:t>GGO</w:t>
      </w:r>
      <w:r w:rsidRPr="00851192">
        <w:rPr>
          <w:rFonts w:ascii="Arial" w:hAnsi="Arial" w:cs="Arial"/>
        </w:rPr>
        <w:t xml:space="preserve"> to be diverse within its business model. The </w:t>
      </w:r>
      <w:r w:rsidR="00146146" w:rsidRPr="00851192">
        <w:rPr>
          <w:rFonts w:ascii="Arial" w:hAnsi="Arial" w:cs="Arial"/>
        </w:rPr>
        <w:t>GGO</w:t>
      </w:r>
      <w:r w:rsidRPr="00851192">
        <w:rPr>
          <w:rFonts w:ascii="Arial" w:hAnsi="Arial" w:cs="Arial"/>
        </w:rPr>
        <w:t xml:space="preserve"> sustain large revenue within the manufacturing and creation in gambling products and online applications</w:t>
      </w:r>
      <w:r w:rsidR="00904904" w:rsidRPr="00851192">
        <w:rPr>
          <w:rFonts w:ascii="Arial" w:hAnsi="Arial" w:cs="Arial"/>
        </w:rPr>
        <w:t xml:space="preserve"> </w:t>
      </w:r>
      <w:sdt>
        <w:sdtPr>
          <w:rPr>
            <w:rFonts w:ascii="Arial" w:hAnsi="Arial" w:cs="Arial"/>
          </w:rPr>
          <w:id w:val="-1049912722"/>
          <w:citation/>
        </w:sdtPr>
        <w:sdtEndPr/>
        <w:sdtContent>
          <w:r w:rsidR="00904904" w:rsidRPr="00851192">
            <w:rPr>
              <w:rFonts w:ascii="Arial" w:hAnsi="Arial" w:cs="Arial"/>
            </w:rPr>
            <w:fldChar w:fldCharType="begin"/>
          </w:r>
          <w:r w:rsidR="00904904" w:rsidRPr="00851192">
            <w:rPr>
              <w:rFonts w:ascii="Arial" w:hAnsi="Arial" w:cs="Arial"/>
            </w:rPr>
            <w:instrText xml:space="preserve"> CITATION Ent17 \l 2057 </w:instrText>
          </w:r>
          <w:r w:rsidR="00904904" w:rsidRPr="00851192">
            <w:rPr>
              <w:rFonts w:ascii="Arial" w:hAnsi="Arial" w:cs="Arial"/>
            </w:rPr>
            <w:fldChar w:fldCharType="separate"/>
          </w:r>
          <w:r w:rsidR="002D17EA" w:rsidRPr="00851192">
            <w:rPr>
              <w:rFonts w:ascii="Arial" w:hAnsi="Arial" w:cs="Arial"/>
              <w:noProof/>
            </w:rPr>
            <w:t>(Entertainment Asia Gaming, 2017)</w:t>
          </w:r>
          <w:r w:rsidR="00904904" w:rsidRPr="00851192">
            <w:rPr>
              <w:rFonts w:ascii="Arial" w:hAnsi="Arial" w:cs="Arial"/>
            </w:rPr>
            <w:fldChar w:fldCharType="end"/>
          </w:r>
        </w:sdtContent>
      </w:sdt>
      <w:r w:rsidRPr="00851192">
        <w:rPr>
          <w:rFonts w:ascii="Arial" w:hAnsi="Arial" w:cs="Arial"/>
        </w:rPr>
        <w:t xml:space="preserve">. Although it could be argued that a greater emphasis towards CSR should be taken by an organisation operating within the creation and </w:t>
      </w:r>
      <w:r w:rsidR="006E48A6" w:rsidRPr="00851192">
        <w:rPr>
          <w:rFonts w:ascii="Arial" w:hAnsi="Arial" w:cs="Arial"/>
        </w:rPr>
        <w:t>manufacturing</w:t>
      </w:r>
      <w:r w:rsidRPr="00851192">
        <w:rPr>
          <w:rFonts w:ascii="Arial" w:hAnsi="Arial" w:cs="Arial"/>
        </w:rPr>
        <w:t xml:space="preserve"> of such products</w:t>
      </w:r>
      <w:r w:rsidR="00904904" w:rsidRPr="00851192">
        <w:rPr>
          <w:rFonts w:ascii="Arial" w:hAnsi="Arial" w:cs="Arial"/>
        </w:rPr>
        <w:t>. However,</w:t>
      </w:r>
      <w:r w:rsidRPr="00851192">
        <w:rPr>
          <w:rFonts w:ascii="Arial" w:hAnsi="Arial" w:cs="Arial"/>
        </w:rPr>
        <w:t xml:space="preserve"> </w:t>
      </w:r>
      <w:r w:rsidR="006E48A6" w:rsidRPr="00851192">
        <w:rPr>
          <w:rFonts w:ascii="Arial" w:hAnsi="Arial" w:cs="Arial"/>
        </w:rPr>
        <w:t>the lack of external pressures within the geographic location of Asia Gaming can be identified as a catalyst to continue to promote online gambling</w:t>
      </w:r>
      <w:r w:rsidR="00904904" w:rsidRPr="00851192">
        <w:rPr>
          <w:rFonts w:ascii="Arial" w:hAnsi="Arial" w:cs="Arial"/>
        </w:rPr>
        <w:t xml:space="preserve"> and provide benefits towards stakeholders </w:t>
      </w:r>
      <w:sdt>
        <w:sdtPr>
          <w:rPr>
            <w:rFonts w:ascii="Arial" w:hAnsi="Arial" w:cs="Arial"/>
          </w:rPr>
          <w:id w:val="1405480911"/>
          <w:citation/>
        </w:sdtPr>
        <w:sdtEndPr/>
        <w:sdtContent>
          <w:r w:rsidR="00904904" w:rsidRPr="00851192">
            <w:rPr>
              <w:rFonts w:ascii="Arial" w:hAnsi="Arial" w:cs="Arial"/>
            </w:rPr>
            <w:fldChar w:fldCharType="begin"/>
          </w:r>
          <w:r w:rsidR="00904904" w:rsidRPr="00851192">
            <w:rPr>
              <w:rFonts w:ascii="Arial" w:hAnsi="Arial" w:cs="Arial"/>
            </w:rPr>
            <w:instrText xml:space="preserve"> CITATION Cre12 \l 2057 </w:instrText>
          </w:r>
          <w:r w:rsidR="00904904" w:rsidRPr="00851192">
            <w:rPr>
              <w:rFonts w:ascii="Arial" w:hAnsi="Arial" w:cs="Arial"/>
            </w:rPr>
            <w:fldChar w:fldCharType="separate"/>
          </w:r>
          <w:r w:rsidR="002D17EA" w:rsidRPr="00851192">
            <w:rPr>
              <w:rFonts w:ascii="Arial" w:hAnsi="Arial" w:cs="Arial"/>
              <w:noProof/>
            </w:rPr>
            <w:t>(Creel, 2012)</w:t>
          </w:r>
          <w:r w:rsidR="00904904" w:rsidRPr="00851192">
            <w:rPr>
              <w:rFonts w:ascii="Arial" w:hAnsi="Arial" w:cs="Arial"/>
            </w:rPr>
            <w:fldChar w:fldCharType="end"/>
          </w:r>
        </w:sdtContent>
      </w:sdt>
      <w:r w:rsidR="00904904" w:rsidRPr="00851192">
        <w:rPr>
          <w:rFonts w:ascii="Arial" w:hAnsi="Arial" w:cs="Arial"/>
        </w:rPr>
        <w:t xml:space="preserve"> which is viewed as an important factor of being a good corporate citizen (Carroll, 2012). </w:t>
      </w:r>
      <w:r w:rsidR="006E48A6" w:rsidRPr="00851192">
        <w:rPr>
          <w:rFonts w:ascii="Arial" w:hAnsi="Arial" w:cs="Arial"/>
        </w:rPr>
        <w:t xml:space="preserve"> </w:t>
      </w:r>
    </w:p>
    <w:p w14:paraId="468F20CB" w14:textId="515D88E6" w:rsidR="006E48A6" w:rsidRPr="00851192" w:rsidRDefault="001A7D5E" w:rsidP="001A7D5E">
      <w:pPr>
        <w:pStyle w:val="Heading2"/>
        <w:rPr>
          <w:rFonts w:ascii="Arial" w:hAnsi="Arial" w:cs="Arial"/>
          <w:color w:val="auto"/>
        </w:rPr>
      </w:pPr>
      <w:bookmarkStart w:id="58" w:name="_Toc526434259"/>
      <w:r w:rsidRPr="00851192">
        <w:rPr>
          <w:rFonts w:ascii="Arial" w:hAnsi="Arial" w:cs="Arial"/>
          <w:color w:val="auto"/>
        </w:rPr>
        <w:t xml:space="preserve">4.7.3 </w:t>
      </w:r>
      <w:r w:rsidR="006E48A6" w:rsidRPr="00851192">
        <w:rPr>
          <w:rFonts w:ascii="Arial" w:hAnsi="Arial" w:cs="Arial"/>
          <w:color w:val="auto"/>
        </w:rPr>
        <w:t>Fair Gaming</w:t>
      </w:r>
      <w:bookmarkEnd w:id="58"/>
    </w:p>
    <w:p w14:paraId="6D2F299C" w14:textId="16ABCE0B" w:rsidR="006E48A6" w:rsidRPr="00851192" w:rsidRDefault="00AC7E4C" w:rsidP="0003183E">
      <w:pPr>
        <w:spacing w:line="360" w:lineRule="auto"/>
        <w:jc w:val="both"/>
        <w:rPr>
          <w:rFonts w:ascii="Arial" w:hAnsi="Arial" w:cs="Arial"/>
        </w:rPr>
      </w:pPr>
      <w:r w:rsidRPr="00851192">
        <w:rPr>
          <w:rFonts w:ascii="Arial" w:hAnsi="Arial" w:cs="Arial"/>
        </w:rPr>
        <w:t>A comprehensive background towards fair gaming</w:t>
      </w:r>
      <w:r w:rsidR="005E3EE2" w:rsidRPr="00851192">
        <w:rPr>
          <w:rFonts w:ascii="Arial" w:hAnsi="Arial" w:cs="Arial"/>
        </w:rPr>
        <w:t xml:space="preserve"> (</w:t>
      </w:r>
      <w:r w:rsidR="005E3EE2" w:rsidRPr="00851192">
        <w:rPr>
          <w:rFonts w:ascii="Arial" w:hAnsi="Arial" w:cs="Arial"/>
          <w:b/>
        </w:rPr>
        <w:t>Table 7.</w:t>
      </w:r>
      <w:r w:rsidR="00904904" w:rsidRPr="00851192">
        <w:rPr>
          <w:rFonts w:ascii="Arial" w:hAnsi="Arial" w:cs="Arial"/>
          <w:b/>
        </w:rPr>
        <w:t>1</w:t>
      </w:r>
      <w:r w:rsidR="005E3EE2" w:rsidRPr="00851192">
        <w:rPr>
          <w:rFonts w:ascii="Arial" w:hAnsi="Arial" w:cs="Arial"/>
        </w:rPr>
        <w:t>)</w:t>
      </w:r>
      <w:r w:rsidRPr="00851192">
        <w:rPr>
          <w:rFonts w:ascii="Arial" w:hAnsi="Arial" w:cs="Arial"/>
        </w:rPr>
        <w:t xml:space="preserve"> is displayed by both Bet 365 and </w:t>
      </w:r>
      <w:proofErr w:type="spellStart"/>
      <w:r w:rsidRPr="00851192">
        <w:rPr>
          <w:rFonts w:ascii="Arial" w:hAnsi="Arial" w:cs="Arial"/>
        </w:rPr>
        <w:t>Bwin</w:t>
      </w:r>
      <w:proofErr w:type="spellEnd"/>
      <w:r w:rsidRPr="00851192">
        <w:rPr>
          <w:rFonts w:ascii="Arial" w:hAnsi="Arial" w:cs="Arial"/>
        </w:rPr>
        <w:t xml:space="preserve"> whereas no information of fair gaming is displayed by Asia Gaming. However, products of Asia Gaming do display elements of fair gaming but for the purposes and criteria </w:t>
      </w:r>
      <w:r w:rsidR="00146146" w:rsidRPr="00851192">
        <w:rPr>
          <w:rFonts w:ascii="Arial" w:hAnsi="Arial" w:cs="Arial"/>
        </w:rPr>
        <w:t>of</w:t>
      </w:r>
      <w:r w:rsidRPr="00851192">
        <w:rPr>
          <w:rFonts w:ascii="Arial" w:hAnsi="Arial" w:cs="Arial"/>
        </w:rPr>
        <w:t xml:space="preserve"> this evaluation, the </w:t>
      </w:r>
      <w:r w:rsidR="00146146" w:rsidRPr="00851192">
        <w:rPr>
          <w:rFonts w:ascii="Arial" w:hAnsi="Arial" w:cs="Arial"/>
        </w:rPr>
        <w:t>GGO</w:t>
      </w:r>
      <w:r w:rsidRPr="00851192">
        <w:rPr>
          <w:rFonts w:ascii="Arial" w:hAnsi="Arial" w:cs="Arial"/>
        </w:rPr>
        <w:t xml:space="preserve"> ha</w:t>
      </w:r>
      <w:r w:rsidR="00146146" w:rsidRPr="00851192">
        <w:rPr>
          <w:rFonts w:ascii="Arial" w:hAnsi="Arial" w:cs="Arial"/>
        </w:rPr>
        <w:t>s</w:t>
      </w:r>
      <w:r w:rsidRPr="00851192">
        <w:rPr>
          <w:rFonts w:ascii="Arial" w:hAnsi="Arial" w:cs="Arial"/>
        </w:rPr>
        <w:t xml:space="preserve"> been deemed as not fit. </w:t>
      </w:r>
    </w:p>
    <w:p w14:paraId="1D74B74E" w14:textId="57205921" w:rsidR="00AC7E4C" w:rsidRPr="00851192" w:rsidRDefault="00AC7E4C" w:rsidP="0003183E">
      <w:pPr>
        <w:spacing w:line="360" w:lineRule="auto"/>
        <w:jc w:val="both"/>
        <w:rPr>
          <w:rFonts w:ascii="Arial" w:hAnsi="Arial" w:cs="Arial"/>
          <w:noProof/>
        </w:rPr>
      </w:pPr>
      <w:r w:rsidRPr="00851192">
        <w:rPr>
          <w:rFonts w:ascii="Arial" w:hAnsi="Arial" w:cs="Arial"/>
        </w:rPr>
        <w:t>Bet 365 show adequate responsibility where</w:t>
      </w:r>
      <w:r w:rsidR="00525FC7" w:rsidRPr="00851192">
        <w:rPr>
          <w:rFonts w:ascii="Arial" w:hAnsi="Arial" w:cs="Arial"/>
        </w:rPr>
        <w:t xml:space="preserve">as </w:t>
      </w:r>
      <w:proofErr w:type="spellStart"/>
      <w:r w:rsidR="00525FC7" w:rsidRPr="00851192">
        <w:rPr>
          <w:rFonts w:ascii="Arial" w:hAnsi="Arial" w:cs="Arial"/>
        </w:rPr>
        <w:t>Bwin</w:t>
      </w:r>
      <w:proofErr w:type="spellEnd"/>
      <w:r w:rsidR="00525FC7" w:rsidRPr="00851192">
        <w:rPr>
          <w:rFonts w:ascii="Arial" w:hAnsi="Arial" w:cs="Arial"/>
        </w:rPr>
        <w:t xml:space="preserve"> show philanthropic qualities in being a good global citizen </w:t>
      </w:r>
      <w:r w:rsidR="00525FC7" w:rsidRPr="00851192">
        <w:rPr>
          <w:rFonts w:ascii="Arial" w:hAnsi="Arial" w:cs="Arial"/>
          <w:noProof/>
        </w:rPr>
        <w:t>(Carroll et al., 2012)</w:t>
      </w:r>
      <w:r w:rsidR="00525FC7" w:rsidRPr="00851192">
        <w:rPr>
          <w:rFonts w:ascii="Arial" w:hAnsi="Arial" w:cs="Arial"/>
        </w:rPr>
        <w:t xml:space="preserve">. Not only do both organisations share information on independent bodies which govern the certification and evaluation on fair gaming, but </w:t>
      </w:r>
      <w:proofErr w:type="spellStart"/>
      <w:r w:rsidR="00525FC7" w:rsidRPr="00851192">
        <w:rPr>
          <w:rFonts w:ascii="Arial" w:hAnsi="Arial" w:cs="Arial"/>
        </w:rPr>
        <w:t>Bwin</w:t>
      </w:r>
      <w:proofErr w:type="spellEnd"/>
      <w:r w:rsidR="00525FC7" w:rsidRPr="00851192">
        <w:rPr>
          <w:rFonts w:ascii="Arial" w:hAnsi="Arial" w:cs="Arial"/>
        </w:rPr>
        <w:t>, owned by GVC Holdings</w:t>
      </w:r>
      <w:r w:rsidR="00904904" w:rsidRPr="00851192">
        <w:rPr>
          <w:rFonts w:ascii="Arial" w:hAnsi="Arial" w:cs="Arial"/>
        </w:rPr>
        <w:t>,</w:t>
      </w:r>
      <w:r w:rsidR="00525FC7" w:rsidRPr="00851192">
        <w:rPr>
          <w:rFonts w:ascii="Arial" w:hAnsi="Arial" w:cs="Arial"/>
        </w:rPr>
        <w:t xml:space="preserve"> </w:t>
      </w:r>
      <w:r w:rsidR="00904904" w:rsidRPr="00851192">
        <w:rPr>
          <w:rFonts w:ascii="Arial" w:hAnsi="Arial" w:cs="Arial"/>
        </w:rPr>
        <w:t>publish</w:t>
      </w:r>
      <w:r w:rsidR="00525FC7" w:rsidRPr="00851192">
        <w:rPr>
          <w:rFonts w:ascii="Arial" w:hAnsi="Arial" w:cs="Arial"/>
        </w:rPr>
        <w:t xml:space="preserve"> reports on the process on how fair gaming is ensured by the </w:t>
      </w:r>
      <w:r w:rsidR="00146146" w:rsidRPr="00851192">
        <w:rPr>
          <w:rFonts w:ascii="Arial" w:hAnsi="Arial" w:cs="Arial"/>
        </w:rPr>
        <w:t>GGO</w:t>
      </w:r>
      <w:r w:rsidR="00525FC7" w:rsidRPr="00851192">
        <w:rPr>
          <w:rFonts w:ascii="Arial" w:hAnsi="Arial" w:cs="Arial"/>
        </w:rPr>
        <w:t xml:space="preserve"> alongside the independent body report. To release </w:t>
      </w:r>
      <w:r w:rsidR="00904904" w:rsidRPr="00851192">
        <w:rPr>
          <w:rFonts w:ascii="Arial" w:hAnsi="Arial" w:cs="Arial"/>
        </w:rPr>
        <w:t xml:space="preserve">this </w:t>
      </w:r>
      <w:r w:rsidR="00525FC7" w:rsidRPr="00851192">
        <w:rPr>
          <w:rFonts w:ascii="Arial" w:hAnsi="Arial" w:cs="Arial"/>
        </w:rPr>
        <w:t xml:space="preserve">content, it could be deemed as a strategy by GVC Holdings to reduce incongruence between </w:t>
      </w:r>
      <w:proofErr w:type="spellStart"/>
      <w:r w:rsidR="00525FC7" w:rsidRPr="00851192">
        <w:rPr>
          <w:rFonts w:ascii="Arial" w:hAnsi="Arial" w:cs="Arial"/>
        </w:rPr>
        <w:t>Bwin</w:t>
      </w:r>
      <w:proofErr w:type="spellEnd"/>
      <w:r w:rsidR="00525FC7" w:rsidRPr="00851192">
        <w:rPr>
          <w:rFonts w:ascii="Arial" w:hAnsi="Arial" w:cs="Arial"/>
        </w:rPr>
        <w:t xml:space="preserve"> and its consumers alongside increasing organisation value</w:t>
      </w:r>
      <w:r w:rsidR="007465FD" w:rsidRPr="00851192">
        <w:rPr>
          <w:rFonts w:ascii="Arial" w:hAnsi="Arial" w:cs="Arial"/>
        </w:rPr>
        <w:t>, share price, performance</w:t>
      </w:r>
      <w:r w:rsidR="00904904" w:rsidRPr="00851192">
        <w:rPr>
          <w:rFonts w:ascii="Arial" w:hAnsi="Arial" w:cs="Arial"/>
        </w:rPr>
        <w:t>,</w:t>
      </w:r>
      <w:r w:rsidR="007465FD" w:rsidRPr="00851192">
        <w:rPr>
          <w:rFonts w:ascii="Arial" w:hAnsi="Arial" w:cs="Arial"/>
        </w:rPr>
        <w:t xml:space="preserve"> and sustainability </w:t>
      </w:r>
      <w:r w:rsidR="00525FC7" w:rsidRPr="00851192">
        <w:rPr>
          <w:rFonts w:ascii="Arial" w:hAnsi="Arial" w:cs="Arial"/>
          <w:noProof/>
        </w:rPr>
        <w:t>(Blanpain et al., 2010; Mitroff, 1983).</w:t>
      </w:r>
    </w:p>
    <w:p w14:paraId="7D76040E" w14:textId="0178F4BA" w:rsidR="00DC14FA" w:rsidRPr="00851192" w:rsidRDefault="00DC14FA" w:rsidP="0003183E">
      <w:pPr>
        <w:spacing w:line="360" w:lineRule="auto"/>
        <w:jc w:val="both"/>
        <w:rPr>
          <w:rFonts w:ascii="Arial" w:hAnsi="Arial" w:cs="Arial"/>
        </w:rPr>
      </w:pPr>
      <w:r w:rsidRPr="00851192">
        <w:rPr>
          <w:rFonts w:ascii="Arial" w:hAnsi="Arial" w:cs="Arial"/>
        </w:rPr>
        <w:t xml:space="preserve">An assumption towards effective management of external stakeholders such as potential investors </w:t>
      </w:r>
      <w:r w:rsidR="00904904" w:rsidRPr="00851192">
        <w:rPr>
          <w:rFonts w:ascii="Arial" w:hAnsi="Arial" w:cs="Arial"/>
        </w:rPr>
        <w:t xml:space="preserve">(Creel, 2012), </w:t>
      </w:r>
      <w:r w:rsidRPr="00851192">
        <w:rPr>
          <w:rFonts w:ascii="Arial" w:hAnsi="Arial" w:cs="Arial"/>
        </w:rPr>
        <w:t xml:space="preserve">can also be supported within the conceptual model of CSR communications highlighted by Tata and Prasad (2015) by factors such as </w:t>
      </w:r>
      <w:r w:rsidR="00A736F3" w:rsidRPr="00851192">
        <w:rPr>
          <w:rFonts w:ascii="Arial" w:hAnsi="Arial" w:cs="Arial"/>
        </w:rPr>
        <w:t>(b) the power of a business, (c) the status a business holds within a market place, and (d) attractiveness to the businesses target market</w:t>
      </w:r>
      <w:r w:rsidRPr="00851192">
        <w:rPr>
          <w:rFonts w:ascii="Arial" w:hAnsi="Arial" w:cs="Arial"/>
        </w:rPr>
        <w:t xml:space="preserve">. </w:t>
      </w:r>
    </w:p>
    <w:p w14:paraId="247AF218" w14:textId="2E66388F" w:rsidR="00DC14FA" w:rsidRPr="00851192" w:rsidRDefault="001A7D5E" w:rsidP="001A7D5E">
      <w:pPr>
        <w:pStyle w:val="Heading2"/>
        <w:rPr>
          <w:rFonts w:ascii="Arial" w:hAnsi="Arial" w:cs="Arial"/>
          <w:color w:val="auto"/>
        </w:rPr>
      </w:pPr>
      <w:bookmarkStart w:id="59" w:name="_Toc526434260"/>
      <w:r w:rsidRPr="00851192">
        <w:rPr>
          <w:rFonts w:ascii="Arial" w:hAnsi="Arial" w:cs="Arial"/>
          <w:color w:val="auto"/>
        </w:rPr>
        <w:t xml:space="preserve">4.7.4 </w:t>
      </w:r>
      <w:r w:rsidR="00DC14FA" w:rsidRPr="00851192">
        <w:rPr>
          <w:rFonts w:ascii="Arial" w:hAnsi="Arial" w:cs="Arial"/>
          <w:color w:val="auto"/>
        </w:rPr>
        <w:t>Ethical and Responsible Statement</w:t>
      </w:r>
      <w:bookmarkEnd w:id="59"/>
    </w:p>
    <w:p w14:paraId="1F10E347" w14:textId="30670F1F" w:rsidR="00DC14FA" w:rsidRPr="00851192" w:rsidRDefault="00904904" w:rsidP="0003183E">
      <w:pPr>
        <w:spacing w:line="360" w:lineRule="auto"/>
        <w:jc w:val="both"/>
        <w:rPr>
          <w:rFonts w:ascii="Arial" w:hAnsi="Arial" w:cs="Arial"/>
        </w:rPr>
      </w:pPr>
      <w:r w:rsidRPr="00851192">
        <w:rPr>
          <w:rFonts w:ascii="Arial" w:hAnsi="Arial" w:cs="Arial"/>
        </w:rPr>
        <w:t>Both</w:t>
      </w:r>
      <w:r w:rsidR="00DC14FA" w:rsidRPr="00851192">
        <w:rPr>
          <w:rFonts w:ascii="Arial" w:hAnsi="Arial" w:cs="Arial"/>
        </w:rPr>
        <w:t xml:space="preserve"> Bet365 and </w:t>
      </w:r>
      <w:proofErr w:type="spellStart"/>
      <w:r w:rsidR="00DC14FA" w:rsidRPr="00851192">
        <w:rPr>
          <w:rFonts w:ascii="Arial" w:hAnsi="Arial" w:cs="Arial"/>
        </w:rPr>
        <w:t>Bwin</w:t>
      </w:r>
      <w:proofErr w:type="spellEnd"/>
      <w:r w:rsidR="00DC14FA" w:rsidRPr="00851192">
        <w:rPr>
          <w:rFonts w:ascii="Arial" w:hAnsi="Arial" w:cs="Arial"/>
        </w:rPr>
        <w:t xml:space="preserve"> provid</w:t>
      </w:r>
      <w:r w:rsidRPr="00851192">
        <w:rPr>
          <w:rFonts w:ascii="Arial" w:hAnsi="Arial" w:cs="Arial"/>
        </w:rPr>
        <w:t>e</w:t>
      </w:r>
      <w:r w:rsidR="00DC14FA" w:rsidRPr="00851192">
        <w:rPr>
          <w:rFonts w:ascii="Arial" w:hAnsi="Arial" w:cs="Arial"/>
        </w:rPr>
        <w:t xml:space="preserve"> ethical and responsible statements </w:t>
      </w:r>
      <w:r w:rsidR="005E3EE2" w:rsidRPr="00851192">
        <w:rPr>
          <w:rFonts w:ascii="Arial" w:hAnsi="Arial" w:cs="Arial"/>
        </w:rPr>
        <w:t>(</w:t>
      </w:r>
      <w:r w:rsidR="005E3EE2" w:rsidRPr="00851192">
        <w:rPr>
          <w:rFonts w:ascii="Arial" w:hAnsi="Arial" w:cs="Arial"/>
          <w:b/>
        </w:rPr>
        <w:t>Table 7.</w:t>
      </w:r>
      <w:r w:rsidRPr="00851192">
        <w:rPr>
          <w:rFonts w:ascii="Arial" w:hAnsi="Arial" w:cs="Arial"/>
          <w:b/>
        </w:rPr>
        <w:t>2</w:t>
      </w:r>
      <w:r w:rsidR="005E3EE2" w:rsidRPr="00851192">
        <w:rPr>
          <w:rFonts w:ascii="Arial" w:hAnsi="Arial" w:cs="Arial"/>
        </w:rPr>
        <w:t xml:space="preserve">) </w:t>
      </w:r>
      <w:r w:rsidR="00DC14FA" w:rsidRPr="00851192">
        <w:rPr>
          <w:rFonts w:ascii="Arial" w:hAnsi="Arial" w:cs="Arial"/>
        </w:rPr>
        <w:t xml:space="preserve">on </w:t>
      </w:r>
      <w:r w:rsidR="005E3EE2" w:rsidRPr="00851192">
        <w:rPr>
          <w:rFonts w:ascii="Arial" w:hAnsi="Arial" w:cs="Arial"/>
        </w:rPr>
        <w:t>websites</w:t>
      </w:r>
      <w:r w:rsidR="00DC14FA" w:rsidRPr="00851192">
        <w:rPr>
          <w:rFonts w:ascii="Arial" w:hAnsi="Arial" w:cs="Arial"/>
        </w:rPr>
        <w:t xml:space="preserve"> where as Asia Gaming do not. The criteria consisted of one question, is a statement present on the </w:t>
      </w:r>
      <w:r w:rsidR="00146146" w:rsidRPr="00851192">
        <w:rPr>
          <w:rFonts w:ascii="Arial" w:hAnsi="Arial" w:cs="Arial"/>
        </w:rPr>
        <w:t>GGO’s</w:t>
      </w:r>
      <w:r w:rsidR="00DC14FA" w:rsidRPr="00851192">
        <w:rPr>
          <w:rFonts w:ascii="Arial" w:hAnsi="Arial" w:cs="Arial"/>
        </w:rPr>
        <w:t xml:space="preserve"> website or other related platforms. </w:t>
      </w:r>
      <w:r w:rsidR="00DB3946" w:rsidRPr="00851192">
        <w:rPr>
          <w:rFonts w:ascii="Arial" w:hAnsi="Arial" w:cs="Arial"/>
        </w:rPr>
        <w:t>A link between responsible gaming and ethical / responsible statement come to light with the same interpretation of western and eastern hemisphere behaviour arising.</w:t>
      </w:r>
      <w:r w:rsidR="00BA0CB9" w:rsidRPr="00851192">
        <w:rPr>
          <w:rFonts w:ascii="Arial" w:hAnsi="Arial" w:cs="Arial"/>
        </w:rPr>
        <w:t xml:space="preserve"> By having RG statements on a technological platform, GGO’s have a means of effectively practising CSR communication to a large audience (</w:t>
      </w:r>
      <w:proofErr w:type="spellStart"/>
      <w:r w:rsidR="00BA0CB9" w:rsidRPr="00851192">
        <w:rPr>
          <w:rFonts w:ascii="Arial" w:hAnsi="Arial" w:cs="Arial"/>
        </w:rPr>
        <w:t>Dahlsrud</w:t>
      </w:r>
      <w:proofErr w:type="spellEnd"/>
      <w:r w:rsidR="00BA0CB9" w:rsidRPr="00851192">
        <w:rPr>
          <w:rFonts w:ascii="Arial" w:hAnsi="Arial" w:cs="Arial"/>
        </w:rPr>
        <w:t>, 2008).</w:t>
      </w:r>
    </w:p>
    <w:p w14:paraId="667CC6E1" w14:textId="0B1E8AB6" w:rsidR="003B1C9B" w:rsidRPr="00851192" w:rsidRDefault="00DB3946" w:rsidP="0003183E">
      <w:pPr>
        <w:spacing w:line="360" w:lineRule="auto"/>
        <w:jc w:val="both"/>
        <w:rPr>
          <w:rFonts w:ascii="Arial" w:hAnsi="Arial" w:cs="Arial"/>
        </w:rPr>
      </w:pPr>
      <w:r w:rsidRPr="00851192">
        <w:rPr>
          <w:rFonts w:ascii="Arial" w:hAnsi="Arial" w:cs="Arial"/>
        </w:rPr>
        <w:t>However</w:t>
      </w:r>
      <w:r w:rsidR="001515D4" w:rsidRPr="00851192">
        <w:rPr>
          <w:rFonts w:ascii="Arial" w:hAnsi="Arial" w:cs="Arial"/>
        </w:rPr>
        <w:t>,</w:t>
      </w:r>
      <w:r w:rsidRPr="00851192">
        <w:rPr>
          <w:rFonts w:ascii="Arial" w:hAnsi="Arial" w:cs="Arial"/>
        </w:rPr>
        <w:t xml:space="preserve"> in the case of Asia Gaming, a statement towards its product testing processes are made and displayed within annual reports released by</w:t>
      </w:r>
      <w:r w:rsidR="00146146" w:rsidRPr="00851192">
        <w:rPr>
          <w:rFonts w:ascii="Arial" w:hAnsi="Arial" w:cs="Arial"/>
        </w:rPr>
        <w:t xml:space="preserve"> </w:t>
      </w:r>
      <w:r w:rsidR="00146146" w:rsidRPr="00851192">
        <w:rPr>
          <w:rFonts w:ascii="Arial" w:hAnsi="Arial" w:cs="Arial"/>
          <w:noProof/>
        </w:rPr>
        <w:t>Entertainment Asia Gaming (2017)</w:t>
      </w:r>
      <w:r w:rsidRPr="00851192">
        <w:rPr>
          <w:rFonts w:ascii="Arial" w:hAnsi="Arial" w:cs="Arial"/>
        </w:rPr>
        <w:t>.</w:t>
      </w:r>
    </w:p>
    <w:p w14:paraId="5C7A5811" w14:textId="6002C0B9" w:rsidR="0038277B" w:rsidRPr="00851192" w:rsidRDefault="001A7D5E" w:rsidP="001A7D5E">
      <w:pPr>
        <w:pStyle w:val="Heading2"/>
        <w:rPr>
          <w:rFonts w:ascii="Arial" w:hAnsi="Arial" w:cs="Arial"/>
          <w:color w:val="auto"/>
        </w:rPr>
      </w:pPr>
      <w:bookmarkStart w:id="60" w:name="_Toc526434261"/>
      <w:r w:rsidRPr="00851192">
        <w:rPr>
          <w:rFonts w:ascii="Arial" w:hAnsi="Arial" w:cs="Arial"/>
          <w:color w:val="auto"/>
        </w:rPr>
        <w:t xml:space="preserve">4.7.5 </w:t>
      </w:r>
      <w:r w:rsidR="0038277B" w:rsidRPr="00851192">
        <w:rPr>
          <w:rFonts w:ascii="Arial" w:hAnsi="Arial" w:cs="Arial"/>
          <w:color w:val="auto"/>
        </w:rPr>
        <w:t>Self-Exclusion Facility</w:t>
      </w:r>
      <w:bookmarkEnd w:id="60"/>
    </w:p>
    <w:p w14:paraId="41F2FAE5" w14:textId="03ECD9AA" w:rsidR="00DC14FA" w:rsidRPr="00851192" w:rsidRDefault="001515D4" w:rsidP="0003183E">
      <w:pPr>
        <w:spacing w:line="360" w:lineRule="auto"/>
        <w:jc w:val="both"/>
        <w:rPr>
          <w:rFonts w:ascii="Arial" w:hAnsi="Arial" w:cs="Arial"/>
        </w:rPr>
      </w:pPr>
      <w:r w:rsidRPr="00851192">
        <w:rPr>
          <w:rFonts w:ascii="Arial" w:hAnsi="Arial" w:cs="Arial"/>
        </w:rPr>
        <w:t xml:space="preserve">Bet365 and </w:t>
      </w:r>
      <w:proofErr w:type="spellStart"/>
      <w:r w:rsidRPr="00851192">
        <w:rPr>
          <w:rFonts w:ascii="Arial" w:hAnsi="Arial" w:cs="Arial"/>
        </w:rPr>
        <w:t>Bwin</w:t>
      </w:r>
      <w:proofErr w:type="spellEnd"/>
      <w:r w:rsidRPr="00851192">
        <w:rPr>
          <w:rFonts w:ascii="Arial" w:hAnsi="Arial" w:cs="Arial"/>
        </w:rPr>
        <w:t xml:space="preserve"> both are discovered to provide </w:t>
      </w:r>
      <w:r w:rsidR="00D714AC" w:rsidRPr="00851192">
        <w:rPr>
          <w:rFonts w:ascii="Arial" w:hAnsi="Arial" w:cs="Arial"/>
        </w:rPr>
        <w:t>self-exclusion facilities</w:t>
      </w:r>
      <w:r w:rsidR="005E3EE2" w:rsidRPr="00851192">
        <w:rPr>
          <w:rFonts w:ascii="Arial" w:hAnsi="Arial" w:cs="Arial"/>
        </w:rPr>
        <w:t xml:space="preserve"> (</w:t>
      </w:r>
      <w:r w:rsidR="005E3EE2" w:rsidRPr="00851192">
        <w:rPr>
          <w:rFonts w:ascii="Arial" w:hAnsi="Arial" w:cs="Arial"/>
          <w:b/>
        </w:rPr>
        <w:t>Table 7.</w:t>
      </w:r>
      <w:r w:rsidR="00BA0CB9" w:rsidRPr="00851192">
        <w:rPr>
          <w:rFonts w:ascii="Arial" w:hAnsi="Arial" w:cs="Arial"/>
          <w:b/>
        </w:rPr>
        <w:t>3</w:t>
      </w:r>
      <w:r w:rsidR="005E3EE2" w:rsidRPr="00851192">
        <w:rPr>
          <w:rFonts w:ascii="Arial" w:hAnsi="Arial" w:cs="Arial"/>
        </w:rPr>
        <w:t>)</w:t>
      </w:r>
      <w:r w:rsidR="00D714AC" w:rsidRPr="00851192">
        <w:rPr>
          <w:rFonts w:ascii="Arial" w:hAnsi="Arial" w:cs="Arial"/>
        </w:rPr>
        <w:t xml:space="preserve">. However, the strategy behind the self-exclusion function provided by both organisations finds them both to have fixed periods of time alongside the option of being flexible with </w:t>
      </w:r>
      <w:proofErr w:type="spellStart"/>
      <w:r w:rsidR="00D714AC" w:rsidRPr="00851192">
        <w:rPr>
          <w:rFonts w:ascii="Arial" w:hAnsi="Arial" w:cs="Arial"/>
        </w:rPr>
        <w:t>Bwin</w:t>
      </w:r>
      <w:proofErr w:type="spellEnd"/>
      <w:r w:rsidR="00D714AC" w:rsidRPr="00851192">
        <w:rPr>
          <w:rFonts w:ascii="Arial" w:hAnsi="Arial" w:cs="Arial"/>
        </w:rPr>
        <w:t xml:space="preserve">. Furthermore, </w:t>
      </w:r>
      <w:r w:rsidR="00D714AC" w:rsidRPr="00851192">
        <w:rPr>
          <w:rFonts w:ascii="Arial" w:hAnsi="Arial" w:cs="Arial"/>
        </w:rPr>
        <w:lastRenderedPageBreak/>
        <w:t xml:space="preserve">through testing and evaluating the site, the nature of </w:t>
      </w:r>
      <w:r w:rsidR="00BA0CB9" w:rsidRPr="00851192">
        <w:rPr>
          <w:rFonts w:ascii="Arial" w:hAnsi="Arial" w:cs="Arial"/>
        </w:rPr>
        <w:t>PG</w:t>
      </w:r>
      <w:r w:rsidR="00D714AC" w:rsidRPr="00851192">
        <w:rPr>
          <w:rFonts w:ascii="Arial" w:hAnsi="Arial" w:cs="Arial"/>
        </w:rPr>
        <w:t xml:space="preserve"> </w:t>
      </w:r>
      <w:r w:rsidR="00BA0CB9" w:rsidRPr="00851192">
        <w:rPr>
          <w:rFonts w:ascii="Arial" w:hAnsi="Arial" w:cs="Arial"/>
        </w:rPr>
        <w:t xml:space="preserve">is still </w:t>
      </w:r>
      <w:r w:rsidR="00D714AC" w:rsidRPr="00851192">
        <w:rPr>
          <w:rFonts w:ascii="Arial" w:hAnsi="Arial" w:cs="Arial"/>
        </w:rPr>
        <w:t xml:space="preserve">not defeated if the process of self-excluding is taken by a consumer. </w:t>
      </w:r>
    </w:p>
    <w:p w14:paraId="6EDBE3E0" w14:textId="63E3A58A" w:rsidR="003B1C9B" w:rsidRPr="00851192" w:rsidRDefault="00D714AC" w:rsidP="0003183E">
      <w:pPr>
        <w:spacing w:line="360" w:lineRule="auto"/>
        <w:jc w:val="both"/>
        <w:rPr>
          <w:rFonts w:ascii="Arial" w:hAnsi="Arial" w:cs="Arial"/>
        </w:rPr>
      </w:pPr>
      <w:r w:rsidRPr="00851192">
        <w:rPr>
          <w:rFonts w:ascii="Arial" w:hAnsi="Arial" w:cs="Arial"/>
        </w:rPr>
        <w:t>Asia gaming are found not to offer the service at all. The behaviour of the business strongly promotes gambling and attempts to create a normalised culture that is a young and positive thing to do</w:t>
      </w:r>
      <w:r w:rsidR="00BA0CB9" w:rsidRPr="00851192">
        <w:rPr>
          <w:rFonts w:ascii="Arial" w:hAnsi="Arial" w:cs="Arial"/>
        </w:rPr>
        <w:t xml:space="preserve"> </w:t>
      </w:r>
      <w:sdt>
        <w:sdtPr>
          <w:rPr>
            <w:rFonts w:ascii="Arial" w:hAnsi="Arial" w:cs="Arial"/>
          </w:rPr>
          <w:id w:val="786704682"/>
          <w:citation/>
        </w:sdtPr>
        <w:sdtEndPr/>
        <w:sdtContent>
          <w:r w:rsidR="00BA0CB9" w:rsidRPr="00851192">
            <w:rPr>
              <w:rFonts w:ascii="Arial" w:hAnsi="Arial" w:cs="Arial"/>
            </w:rPr>
            <w:fldChar w:fldCharType="begin"/>
          </w:r>
          <w:r w:rsidR="00BA0CB9" w:rsidRPr="00851192">
            <w:rPr>
              <w:rFonts w:ascii="Arial" w:hAnsi="Arial" w:cs="Arial"/>
            </w:rPr>
            <w:instrText xml:space="preserve"> CITATION Asi18 \l 2057 </w:instrText>
          </w:r>
          <w:r w:rsidR="00BA0CB9" w:rsidRPr="00851192">
            <w:rPr>
              <w:rFonts w:ascii="Arial" w:hAnsi="Arial" w:cs="Arial"/>
            </w:rPr>
            <w:fldChar w:fldCharType="separate"/>
          </w:r>
          <w:r w:rsidR="002D17EA" w:rsidRPr="00851192">
            <w:rPr>
              <w:rFonts w:ascii="Arial" w:hAnsi="Arial" w:cs="Arial"/>
              <w:noProof/>
            </w:rPr>
            <w:t>(Asia Gaming Facebook Account, 2018)</w:t>
          </w:r>
          <w:r w:rsidR="00BA0CB9" w:rsidRPr="00851192">
            <w:rPr>
              <w:rFonts w:ascii="Arial" w:hAnsi="Arial" w:cs="Arial"/>
            </w:rPr>
            <w:fldChar w:fldCharType="end"/>
          </w:r>
        </w:sdtContent>
      </w:sdt>
      <w:r w:rsidR="00BA0CB9" w:rsidRPr="00851192">
        <w:rPr>
          <w:rFonts w:ascii="Arial" w:hAnsi="Arial" w:cs="Arial"/>
        </w:rPr>
        <w:t>,</w:t>
      </w:r>
      <w:r w:rsidRPr="00851192">
        <w:rPr>
          <w:rFonts w:ascii="Arial" w:hAnsi="Arial" w:cs="Arial"/>
        </w:rPr>
        <w:t xml:space="preserve"> with the sole admiration in succeeding financial goals</w:t>
      </w:r>
      <w:r w:rsidR="00BA0CB9" w:rsidRPr="00851192">
        <w:rPr>
          <w:rFonts w:ascii="Arial" w:hAnsi="Arial" w:cs="Arial"/>
        </w:rPr>
        <w:t xml:space="preserve"> </w:t>
      </w:r>
      <w:r w:rsidRPr="00851192">
        <w:rPr>
          <w:rFonts w:ascii="Arial" w:hAnsi="Arial" w:cs="Arial"/>
        </w:rPr>
        <w:t xml:space="preserve">shared by both the </w:t>
      </w:r>
      <w:r w:rsidR="00146146" w:rsidRPr="00851192">
        <w:rPr>
          <w:rFonts w:ascii="Arial" w:hAnsi="Arial" w:cs="Arial"/>
        </w:rPr>
        <w:t>GGO</w:t>
      </w:r>
      <w:r w:rsidRPr="00851192">
        <w:rPr>
          <w:rFonts w:ascii="Arial" w:hAnsi="Arial" w:cs="Arial"/>
        </w:rPr>
        <w:t xml:space="preserve"> and </w:t>
      </w:r>
      <w:r w:rsidR="001C1801" w:rsidRPr="00851192">
        <w:rPr>
          <w:rFonts w:ascii="Arial" w:hAnsi="Arial" w:cs="Arial"/>
          <w:noProof/>
        </w:rPr>
        <w:t>Friedman (1970</w:t>
      </w:r>
      <w:r w:rsidRPr="00851192">
        <w:rPr>
          <w:rFonts w:ascii="Arial" w:hAnsi="Arial" w:cs="Arial"/>
          <w:noProof/>
        </w:rPr>
        <w:t>).</w:t>
      </w:r>
    </w:p>
    <w:p w14:paraId="599C8AD0" w14:textId="5A8EDA9D" w:rsidR="002211A7" w:rsidRPr="00851192" w:rsidRDefault="001A7D5E" w:rsidP="001A7D5E">
      <w:pPr>
        <w:pStyle w:val="Heading2"/>
        <w:rPr>
          <w:rFonts w:ascii="Arial" w:hAnsi="Arial" w:cs="Arial"/>
          <w:color w:val="auto"/>
        </w:rPr>
      </w:pPr>
      <w:bookmarkStart w:id="61" w:name="_Toc526434262"/>
      <w:r w:rsidRPr="00851192">
        <w:rPr>
          <w:rFonts w:ascii="Arial" w:hAnsi="Arial" w:cs="Arial"/>
          <w:color w:val="auto"/>
        </w:rPr>
        <w:t xml:space="preserve">4.7.6 </w:t>
      </w:r>
      <w:r w:rsidR="002211A7" w:rsidRPr="00851192">
        <w:rPr>
          <w:rFonts w:ascii="Arial" w:hAnsi="Arial" w:cs="Arial"/>
          <w:color w:val="auto"/>
        </w:rPr>
        <w:t>Social Media Presence</w:t>
      </w:r>
      <w:bookmarkEnd w:id="61"/>
      <w:r w:rsidR="002211A7" w:rsidRPr="00851192">
        <w:rPr>
          <w:rFonts w:ascii="Arial" w:hAnsi="Arial" w:cs="Arial"/>
          <w:color w:val="auto"/>
        </w:rPr>
        <w:t xml:space="preserve"> </w:t>
      </w:r>
    </w:p>
    <w:p w14:paraId="08602904" w14:textId="6D18BA22" w:rsidR="002211A7" w:rsidRPr="00851192" w:rsidRDefault="002211A7" w:rsidP="0003183E">
      <w:pPr>
        <w:spacing w:line="360" w:lineRule="auto"/>
        <w:jc w:val="both"/>
        <w:rPr>
          <w:rFonts w:ascii="Arial" w:hAnsi="Arial" w:cs="Arial"/>
        </w:rPr>
      </w:pPr>
      <w:r w:rsidRPr="00851192">
        <w:rPr>
          <w:rFonts w:ascii="Arial" w:hAnsi="Arial" w:cs="Arial"/>
        </w:rPr>
        <w:t xml:space="preserve">Within the study, all </w:t>
      </w:r>
      <w:r w:rsidR="00146146" w:rsidRPr="00851192">
        <w:rPr>
          <w:rFonts w:ascii="Arial" w:hAnsi="Arial" w:cs="Arial"/>
        </w:rPr>
        <w:t>GGO’s</w:t>
      </w:r>
      <w:r w:rsidRPr="00851192">
        <w:rPr>
          <w:rFonts w:ascii="Arial" w:hAnsi="Arial" w:cs="Arial"/>
        </w:rPr>
        <w:t xml:space="preserve"> show a </w:t>
      </w:r>
      <w:r w:rsidR="00146146" w:rsidRPr="00851192">
        <w:rPr>
          <w:rFonts w:ascii="Arial" w:hAnsi="Arial" w:cs="Arial"/>
        </w:rPr>
        <w:t>great</w:t>
      </w:r>
      <w:r w:rsidRPr="00851192">
        <w:rPr>
          <w:rFonts w:ascii="Arial" w:hAnsi="Arial" w:cs="Arial"/>
        </w:rPr>
        <w:t xml:space="preserve"> emphasis towards social media presence</w:t>
      </w:r>
      <w:r w:rsidR="005E3EE2" w:rsidRPr="00851192">
        <w:rPr>
          <w:rFonts w:ascii="Arial" w:hAnsi="Arial" w:cs="Arial"/>
        </w:rPr>
        <w:t xml:space="preserve"> (</w:t>
      </w:r>
      <w:r w:rsidR="005E3EE2" w:rsidRPr="00851192">
        <w:rPr>
          <w:rFonts w:ascii="Arial" w:hAnsi="Arial" w:cs="Arial"/>
          <w:b/>
        </w:rPr>
        <w:t>Table 7.</w:t>
      </w:r>
      <w:r w:rsidR="00BA0CB9" w:rsidRPr="00851192">
        <w:rPr>
          <w:rFonts w:ascii="Arial" w:hAnsi="Arial" w:cs="Arial"/>
          <w:b/>
        </w:rPr>
        <w:t>4</w:t>
      </w:r>
      <w:r w:rsidR="005E3EE2" w:rsidRPr="00851192">
        <w:rPr>
          <w:rFonts w:ascii="Arial" w:hAnsi="Arial" w:cs="Arial"/>
        </w:rPr>
        <w:t>)</w:t>
      </w:r>
      <w:r w:rsidRPr="00851192">
        <w:rPr>
          <w:rFonts w:ascii="Arial" w:hAnsi="Arial" w:cs="Arial"/>
        </w:rPr>
        <w:t xml:space="preserve">. All </w:t>
      </w:r>
      <w:r w:rsidR="00146146" w:rsidRPr="00851192">
        <w:rPr>
          <w:rFonts w:ascii="Arial" w:hAnsi="Arial" w:cs="Arial"/>
        </w:rPr>
        <w:t>GGO’s</w:t>
      </w:r>
      <w:r w:rsidRPr="00851192">
        <w:rPr>
          <w:rFonts w:ascii="Arial" w:hAnsi="Arial" w:cs="Arial"/>
        </w:rPr>
        <w:t xml:space="preserve"> show relationships with strong ties towards technical support and promotional gambling advertisement. </w:t>
      </w:r>
    </w:p>
    <w:p w14:paraId="6C1239F2" w14:textId="48340B0D" w:rsidR="002211A7" w:rsidRPr="00851192" w:rsidRDefault="002211A7" w:rsidP="0003183E">
      <w:pPr>
        <w:spacing w:line="360" w:lineRule="auto"/>
        <w:jc w:val="both"/>
        <w:rPr>
          <w:rFonts w:ascii="Arial" w:hAnsi="Arial" w:cs="Arial"/>
        </w:rPr>
      </w:pPr>
      <w:r w:rsidRPr="00851192">
        <w:rPr>
          <w:rFonts w:ascii="Arial" w:hAnsi="Arial" w:cs="Arial"/>
        </w:rPr>
        <w:t>Social media provide</w:t>
      </w:r>
      <w:r w:rsidR="00146146" w:rsidRPr="00851192">
        <w:rPr>
          <w:rFonts w:ascii="Arial" w:hAnsi="Arial" w:cs="Arial"/>
        </w:rPr>
        <w:t>s</w:t>
      </w:r>
      <w:r w:rsidRPr="00851192">
        <w:rPr>
          <w:rFonts w:ascii="Arial" w:hAnsi="Arial" w:cs="Arial"/>
        </w:rPr>
        <w:t xml:space="preserve"> an opportunity and avenue for all </w:t>
      </w:r>
      <w:r w:rsidR="00146146" w:rsidRPr="00851192">
        <w:rPr>
          <w:rFonts w:ascii="Arial" w:hAnsi="Arial" w:cs="Arial"/>
        </w:rPr>
        <w:t>GGO’s</w:t>
      </w:r>
      <w:r w:rsidRPr="00851192">
        <w:rPr>
          <w:rFonts w:ascii="Arial" w:hAnsi="Arial" w:cs="Arial"/>
        </w:rPr>
        <w:t xml:space="preserve"> to effectively communicate to target audiences</w:t>
      </w:r>
      <w:r w:rsidR="00BA0CB9" w:rsidRPr="00851192">
        <w:rPr>
          <w:rFonts w:ascii="Arial" w:hAnsi="Arial" w:cs="Arial"/>
        </w:rPr>
        <w:t xml:space="preserve"> (</w:t>
      </w:r>
      <w:proofErr w:type="spellStart"/>
      <w:r w:rsidR="00BA0CB9" w:rsidRPr="00851192">
        <w:rPr>
          <w:rFonts w:ascii="Arial" w:hAnsi="Arial" w:cs="Arial"/>
        </w:rPr>
        <w:t>Dahlsrud</w:t>
      </w:r>
      <w:proofErr w:type="spellEnd"/>
      <w:r w:rsidR="00BA0CB9" w:rsidRPr="00851192">
        <w:rPr>
          <w:rFonts w:ascii="Arial" w:hAnsi="Arial" w:cs="Arial"/>
        </w:rPr>
        <w:t>, 2008)</w:t>
      </w:r>
      <w:proofErr w:type="gramStart"/>
      <w:r w:rsidR="00BA0CB9" w:rsidRPr="00851192">
        <w:rPr>
          <w:rFonts w:ascii="Arial" w:hAnsi="Arial" w:cs="Arial"/>
        </w:rPr>
        <w:t>.</w:t>
      </w:r>
      <w:r w:rsidRPr="00851192">
        <w:rPr>
          <w:rFonts w:ascii="Arial" w:hAnsi="Arial" w:cs="Arial"/>
        </w:rPr>
        <w:t>.</w:t>
      </w:r>
      <w:proofErr w:type="gramEnd"/>
      <w:r w:rsidRPr="00851192">
        <w:rPr>
          <w:rFonts w:ascii="Arial" w:hAnsi="Arial" w:cs="Arial"/>
        </w:rPr>
        <w:t xml:space="preserve"> Social media is an effective tool for </w:t>
      </w:r>
      <w:r w:rsidR="00146146" w:rsidRPr="00851192">
        <w:rPr>
          <w:rFonts w:ascii="Arial" w:hAnsi="Arial" w:cs="Arial"/>
        </w:rPr>
        <w:t xml:space="preserve">GGO’s </w:t>
      </w:r>
      <w:r w:rsidRPr="00851192">
        <w:rPr>
          <w:rFonts w:ascii="Arial" w:hAnsi="Arial" w:cs="Arial"/>
        </w:rPr>
        <w:t>to analyse and evaluate the perceived incongruence between the brands image and consumers which is represented with</w:t>
      </w:r>
      <w:r w:rsidR="00146146" w:rsidRPr="00851192">
        <w:rPr>
          <w:rFonts w:ascii="Arial" w:hAnsi="Arial" w:cs="Arial"/>
        </w:rPr>
        <w:t>in</w:t>
      </w:r>
      <w:r w:rsidRPr="00851192">
        <w:rPr>
          <w:rFonts w:ascii="Arial" w:hAnsi="Arial" w:cs="Arial"/>
        </w:rPr>
        <w:t xml:space="preserve"> Tata and Prasad’s (2015) model on a conceptual framework for CSR communication. </w:t>
      </w:r>
    </w:p>
    <w:p w14:paraId="43D8B9A1" w14:textId="05C28906" w:rsidR="003B1C9B" w:rsidRPr="00851192" w:rsidRDefault="002211A7" w:rsidP="0003183E">
      <w:pPr>
        <w:spacing w:line="360" w:lineRule="auto"/>
        <w:jc w:val="both"/>
        <w:rPr>
          <w:rFonts w:ascii="Arial" w:hAnsi="Arial" w:cs="Arial"/>
        </w:rPr>
      </w:pPr>
      <w:r w:rsidRPr="00851192">
        <w:rPr>
          <w:rFonts w:ascii="Arial" w:hAnsi="Arial" w:cs="Arial"/>
        </w:rPr>
        <w:t>The competitive landscape within the UK gambling market can be interpreted as being volatile and highly competitive</w:t>
      </w:r>
      <w:r w:rsidR="00BA0CB9" w:rsidRPr="00851192">
        <w:rPr>
          <w:rFonts w:ascii="Arial" w:hAnsi="Arial" w:cs="Arial"/>
        </w:rPr>
        <w:t>.</w:t>
      </w:r>
      <w:r w:rsidRPr="00851192">
        <w:rPr>
          <w:rFonts w:ascii="Arial" w:hAnsi="Arial" w:cs="Arial"/>
        </w:rPr>
        <w:t xml:space="preserve"> Through effectively implementing CSR communication on a technological platform such as social media to </w:t>
      </w:r>
      <w:r w:rsidR="00BA0CB9" w:rsidRPr="00851192">
        <w:rPr>
          <w:rFonts w:ascii="Arial" w:hAnsi="Arial" w:cs="Arial"/>
        </w:rPr>
        <w:t>promote</w:t>
      </w:r>
      <w:r w:rsidRPr="00851192">
        <w:rPr>
          <w:rFonts w:ascii="Arial" w:hAnsi="Arial" w:cs="Arial"/>
        </w:rPr>
        <w:t xml:space="preserve"> the brands CSR image</w:t>
      </w:r>
      <w:r w:rsidR="00146146" w:rsidRPr="00851192">
        <w:rPr>
          <w:rFonts w:ascii="Arial" w:hAnsi="Arial" w:cs="Arial"/>
        </w:rPr>
        <w:t>, GGO’s</w:t>
      </w:r>
      <w:r w:rsidRPr="00851192">
        <w:rPr>
          <w:rFonts w:ascii="Arial" w:hAnsi="Arial" w:cs="Arial"/>
        </w:rPr>
        <w:t xml:space="preserve"> </w:t>
      </w:r>
      <w:r w:rsidR="003109BA" w:rsidRPr="00851192">
        <w:rPr>
          <w:rFonts w:ascii="Arial" w:hAnsi="Arial" w:cs="Arial"/>
        </w:rPr>
        <w:t>cannot</w:t>
      </w:r>
      <w:r w:rsidRPr="00851192">
        <w:rPr>
          <w:rFonts w:ascii="Arial" w:hAnsi="Arial" w:cs="Arial"/>
        </w:rPr>
        <w:t xml:space="preserve"> only promote </w:t>
      </w:r>
      <w:r w:rsidR="003109BA" w:rsidRPr="00851192">
        <w:rPr>
          <w:rFonts w:ascii="Arial" w:hAnsi="Arial" w:cs="Arial"/>
        </w:rPr>
        <w:t>RG</w:t>
      </w:r>
      <w:r w:rsidRPr="00851192">
        <w:rPr>
          <w:rFonts w:ascii="Arial" w:hAnsi="Arial" w:cs="Arial"/>
        </w:rPr>
        <w:t xml:space="preserve"> but also seek a competitive advantage through reducing incongruence. Therefore</w:t>
      </w:r>
      <w:r w:rsidR="001C1801" w:rsidRPr="00851192">
        <w:rPr>
          <w:rFonts w:ascii="Arial" w:hAnsi="Arial" w:cs="Arial"/>
        </w:rPr>
        <w:t>,</w:t>
      </w:r>
      <w:r w:rsidRPr="00851192">
        <w:rPr>
          <w:rFonts w:ascii="Arial" w:hAnsi="Arial" w:cs="Arial"/>
        </w:rPr>
        <w:t xml:space="preserve"> if applied would reinforce Saeed and Ars</w:t>
      </w:r>
      <w:r w:rsidR="006B16D4" w:rsidRPr="00851192">
        <w:rPr>
          <w:rFonts w:ascii="Arial" w:hAnsi="Arial" w:cs="Arial"/>
        </w:rPr>
        <w:t>ha</w:t>
      </w:r>
      <w:r w:rsidRPr="00851192">
        <w:rPr>
          <w:rFonts w:ascii="Arial" w:hAnsi="Arial" w:cs="Arial"/>
        </w:rPr>
        <w:t xml:space="preserve">d (2012) perception on stakeholder power being pivotal for business performance alongside Tracey, </w:t>
      </w:r>
      <w:r w:rsidR="00146146" w:rsidRPr="00851192">
        <w:rPr>
          <w:rFonts w:ascii="Arial" w:hAnsi="Arial" w:cs="Arial"/>
        </w:rPr>
        <w:t>(</w:t>
      </w:r>
      <w:r w:rsidRPr="00851192">
        <w:rPr>
          <w:rFonts w:ascii="Arial" w:hAnsi="Arial" w:cs="Arial"/>
        </w:rPr>
        <w:t>2014</w:t>
      </w:r>
      <w:r w:rsidR="00146146" w:rsidRPr="00851192">
        <w:rPr>
          <w:rFonts w:ascii="Arial" w:hAnsi="Arial" w:cs="Arial"/>
        </w:rPr>
        <w:t>)</w:t>
      </w:r>
      <w:r w:rsidRPr="00851192">
        <w:rPr>
          <w:rFonts w:ascii="Arial" w:hAnsi="Arial" w:cs="Arial"/>
        </w:rPr>
        <w:t xml:space="preserve">; Kotler and Lee, </w:t>
      </w:r>
      <w:r w:rsidR="00146146" w:rsidRPr="00851192">
        <w:rPr>
          <w:rFonts w:ascii="Arial" w:hAnsi="Arial" w:cs="Arial"/>
        </w:rPr>
        <w:t>(</w:t>
      </w:r>
      <w:r w:rsidRPr="00851192">
        <w:rPr>
          <w:rFonts w:ascii="Arial" w:hAnsi="Arial" w:cs="Arial"/>
        </w:rPr>
        <w:t>2005</w:t>
      </w:r>
      <w:r w:rsidR="00146146" w:rsidRPr="00851192">
        <w:rPr>
          <w:rFonts w:ascii="Arial" w:hAnsi="Arial" w:cs="Arial"/>
        </w:rPr>
        <w:t>)</w:t>
      </w:r>
      <w:r w:rsidRPr="00851192">
        <w:rPr>
          <w:rFonts w:ascii="Arial" w:hAnsi="Arial" w:cs="Arial"/>
        </w:rPr>
        <w:t xml:space="preserve">; </w:t>
      </w:r>
      <w:r w:rsidR="00146146" w:rsidRPr="00851192">
        <w:rPr>
          <w:rFonts w:ascii="Arial" w:hAnsi="Arial" w:cs="Arial"/>
        </w:rPr>
        <w:t xml:space="preserve">and </w:t>
      </w:r>
      <w:r w:rsidRPr="00851192">
        <w:rPr>
          <w:rFonts w:ascii="Arial" w:hAnsi="Arial" w:cs="Arial"/>
          <w:noProof/>
        </w:rPr>
        <w:t xml:space="preserve">Hittner &amp; Pohle, </w:t>
      </w:r>
      <w:r w:rsidR="00146146" w:rsidRPr="00851192">
        <w:rPr>
          <w:rFonts w:ascii="Arial" w:hAnsi="Arial" w:cs="Arial"/>
          <w:noProof/>
        </w:rPr>
        <w:t>(</w:t>
      </w:r>
      <w:r w:rsidRPr="00851192">
        <w:rPr>
          <w:rFonts w:ascii="Arial" w:hAnsi="Arial" w:cs="Arial"/>
          <w:noProof/>
        </w:rPr>
        <w:t>2008)</w:t>
      </w:r>
      <w:r w:rsidRPr="00851192">
        <w:rPr>
          <w:rFonts w:ascii="Arial" w:hAnsi="Arial" w:cs="Arial"/>
        </w:rPr>
        <w:t xml:space="preserve"> argument for CSR practices and effective communication on appropriate platforms to enhance corporate identity and performance. </w:t>
      </w:r>
    </w:p>
    <w:p w14:paraId="1AE162F5" w14:textId="4D470597" w:rsidR="002211A7" w:rsidRPr="00851192" w:rsidRDefault="001A7D5E" w:rsidP="001A7D5E">
      <w:pPr>
        <w:pStyle w:val="Heading2"/>
        <w:rPr>
          <w:rFonts w:ascii="Arial" w:hAnsi="Arial" w:cs="Arial"/>
          <w:color w:val="auto"/>
        </w:rPr>
      </w:pPr>
      <w:bookmarkStart w:id="62" w:name="_Toc526434263"/>
      <w:r w:rsidRPr="00851192">
        <w:rPr>
          <w:rFonts w:ascii="Arial" w:hAnsi="Arial" w:cs="Arial"/>
          <w:color w:val="auto"/>
        </w:rPr>
        <w:t xml:space="preserve">4.7.7 </w:t>
      </w:r>
      <w:r w:rsidR="002211A7" w:rsidRPr="00851192">
        <w:rPr>
          <w:rFonts w:ascii="Arial" w:hAnsi="Arial" w:cs="Arial"/>
          <w:color w:val="auto"/>
        </w:rPr>
        <w:t>Age Verification</w:t>
      </w:r>
      <w:bookmarkEnd w:id="62"/>
    </w:p>
    <w:p w14:paraId="14BBBA6F" w14:textId="4D1E1CA5" w:rsidR="003B1C9B" w:rsidRPr="00851192" w:rsidRDefault="008B0C15" w:rsidP="0003183E">
      <w:pPr>
        <w:spacing w:line="360" w:lineRule="auto"/>
        <w:jc w:val="both"/>
        <w:rPr>
          <w:rFonts w:ascii="Arial" w:hAnsi="Arial" w:cs="Arial"/>
        </w:rPr>
      </w:pPr>
      <w:r w:rsidRPr="00851192">
        <w:rPr>
          <w:rFonts w:ascii="Arial" w:hAnsi="Arial" w:cs="Arial"/>
        </w:rPr>
        <w:t>Age verification</w:t>
      </w:r>
      <w:r w:rsidR="005E3EE2" w:rsidRPr="00851192">
        <w:rPr>
          <w:rFonts w:ascii="Arial" w:hAnsi="Arial" w:cs="Arial"/>
        </w:rPr>
        <w:t xml:space="preserve"> (</w:t>
      </w:r>
      <w:r w:rsidR="005E3EE2" w:rsidRPr="00851192">
        <w:rPr>
          <w:rFonts w:ascii="Arial" w:hAnsi="Arial" w:cs="Arial"/>
          <w:b/>
        </w:rPr>
        <w:t>Table 7.</w:t>
      </w:r>
      <w:r w:rsidR="00BA0CB9" w:rsidRPr="00851192">
        <w:rPr>
          <w:rFonts w:ascii="Arial" w:hAnsi="Arial" w:cs="Arial"/>
          <w:b/>
        </w:rPr>
        <w:t>5</w:t>
      </w:r>
      <w:r w:rsidR="005E3EE2" w:rsidRPr="00851192">
        <w:rPr>
          <w:rFonts w:ascii="Arial" w:hAnsi="Arial" w:cs="Arial"/>
        </w:rPr>
        <w:t>)</w:t>
      </w:r>
      <w:r w:rsidRPr="00851192">
        <w:rPr>
          <w:rFonts w:ascii="Arial" w:hAnsi="Arial" w:cs="Arial"/>
        </w:rPr>
        <w:t xml:space="preserve"> is applied by all </w:t>
      </w:r>
      <w:r w:rsidR="00146146" w:rsidRPr="00851192">
        <w:rPr>
          <w:rFonts w:ascii="Arial" w:hAnsi="Arial" w:cs="Arial"/>
        </w:rPr>
        <w:t>GGO’s</w:t>
      </w:r>
      <w:r w:rsidRPr="00851192">
        <w:rPr>
          <w:rFonts w:ascii="Arial" w:hAnsi="Arial" w:cs="Arial"/>
        </w:rPr>
        <w:t xml:space="preserve"> within the study. The extent on whether ag</w:t>
      </w:r>
      <w:r w:rsidR="00146146" w:rsidRPr="00851192">
        <w:rPr>
          <w:rFonts w:ascii="Arial" w:hAnsi="Arial" w:cs="Arial"/>
        </w:rPr>
        <w:t>e</w:t>
      </w:r>
      <w:r w:rsidRPr="00851192">
        <w:rPr>
          <w:rFonts w:ascii="Arial" w:hAnsi="Arial" w:cs="Arial"/>
        </w:rPr>
        <w:t xml:space="preserve"> verification can be combatted by </w:t>
      </w:r>
      <w:r w:rsidR="00146146" w:rsidRPr="00851192">
        <w:rPr>
          <w:rFonts w:ascii="Arial" w:hAnsi="Arial" w:cs="Arial"/>
        </w:rPr>
        <w:t>GGO’s</w:t>
      </w:r>
      <w:r w:rsidRPr="00851192">
        <w:rPr>
          <w:rFonts w:ascii="Arial" w:hAnsi="Arial" w:cs="Arial"/>
        </w:rPr>
        <w:t xml:space="preserve"> is still questionable. B</w:t>
      </w:r>
      <w:r w:rsidR="002211A7" w:rsidRPr="00851192">
        <w:rPr>
          <w:rFonts w:ascii="Arial" w:hAnsi="Arial" w:cs="Arial"/>
        </w:rPr>
        <w:t>et365</w:t>
      </w:r>
      <w:r w:rsidRPr="00851192">
        <w:rPr>
          <w:rFonts w:ascii="Arial" w:hAnsi="Arial" w:cs="Arial"/>
        </w:rPr>
        <w:t xml:space="preserve"> advise </w:t>
      </w:r>
      <w:r w:rsidR="002211A7" w:rsidRPr="00851192">
        <w:rPr>
          <w:rFonts w:ascii="Arial" w:hAnsi="Arial" w:cs="Arial"/>
        </w:rPr>
        <w:t xml:space="preserve">users if any other known users under 18 are reported to the organisation. </w:t>
      </w:r>
    </w:p>
    <w:p w14:paraId="7955C508" w14:textId="1FB7F261" w:rsidR="003B1C9B" w:rsidRPr="00851192" w:rsidRDefault="001A7D5E" w:rsidP="001A7D5E">
      <w:pPr>
        <w:pStyle w:val="Heading2"/>
        <w:rPr>
          <w:rFonts w:ascii="Arial" w:hAnsi="Arial" w:cs="Arial"/>
          <w:color w:val="auto"/>
        </w:rPr>
      </w:pPr>
      <w:bookmarkStart w:id="63" w:name="_Toc526434264"/>
      <w:r w:rsidRPr="00851192">
        <w:rPr>
          <w:rFonts w:ascii="Arial" w:hAnsi="Arial" w:cs="Arial"/>
          <w:color w:val="auto"/>
        </w:rPr>
        <w:t xml:space="preserve">4.7.8 </w:t>
      </w:r>
      <w:r w:rsidR="009F0D2A" w:rsidRPr="00851192">
        <w:rPr>
          <w:rFonts w:ascii="Arial" w:hAnsi="Arial" w:cs="Arial"/>
          <w:color w:val="auto"/>
        </w:rPr>
        <w:t>Technical Support</w:t>
      </w:r>
      <w:bookmarkEnd w:id="63"/>
    </w:p>
    <w:p w14:paraId="177626ED" w14:textId="36B6D00B" w:rsidR="009B75A0" w:rsidRPr="00851192" w:rsidRDefault="009B75A0" w:rsidP="0003183E">
      <w:pPr>
        <w:spacing w:line="360" w:lineRule="auto"/>
        <w:jc w:val="both"/>
        <w:rPr>
          <w:rFonts w:ascii="Arial" w:hAnsi="Arial" w:cs="Arial"/>
        </w:rPr>
      </w:pPr>
      <w:r w:rsidRPr="00851192">
        <w:rPr>
          <w:rFonts w:ascii="Arial" w:hAnsi="Arial" w:cs="Arial"/>
        </w:rPr>
        <w:t xml:space="preserve">Technical support has been identified as fundamentally imperative to the performance of all three </w:t>
      </w:r>
      <w:r w:rsidR="00146146" w:rsidRPr="00851192">
        <w:rPr>
          <w:rFonts w:ascii="Arial" w:hAnsi="Arial" w:cs="Arial"/>
        </w:rPr>
        <w:t>GGO’s</w:t>
      </w:r>
      <w:r w:rsidRPr="00851192">
        <w:rPr>
          <w:rFonts w:ascii="Arial" w:hAnsi="Arial" w:cs="Arial"/>
        </w:rPr>
        <w:t xml:space="preserve"> within the study</w:t>
      </w:r>
      <w:r w:rsidR="005E3EE2" w:rsidRPr="00851192">
        <w:rPr>
          <w:rFonts w:ascii="Arial" w:hAnsi="Arial" w:cs="Arial"/>
        </w:rPr>
        <w:t xml:space="preserve"> (</w:t>
      </w:r>
      <w:r w:rsidR="005E3EE2" w:rsidRPr="00851192">
        <w:rPr>
          <w:rFonts w:ascii="Arial" w:hAnsi="Arial" w:cs="Arial"/>
          <w:b/>
        </w:rPr>
        <w:t>Table 7.</w:t>
      </w:r>
      <w:r w:rsidR="00BA0CB9" w:rsidRPr="00851192">
        <w:rPr>
          <w:rFonts w:ascii="Arial" w:hAnsi="Arial" w:cs="Arial"/>
          <w:b/>
        </w:rPr>
        <w:t>6</w:t>
      </w:r>
      <w:r w:rsidR="005E3EE2" w:rsidRPr="00851192">
        <w:rPr>
          <w:rFonts w:ascii="Arial" w:hAnsi="Arial" w:cs="Arial"/>
        </w:rPr>
        <w:t>)</w:t>
      </w:r>
      <w:r w:rsidRPr="00851192">
        <w:rPr>
          <w:rFonts w:ascii="Arial" w:hAnsi="Arial" w:cs="Arial"/>
        </w:rPr>
        <w:t xml:space="preserve">. The business function is an important factor within the economic engine of all </w:t>
      </w:r>
      <w:r w:rsidR="00146146" w:rsidRPr="00851192">
        <w:rPr>
          <w:rFonts w:ascii="Arial" w:hAnsi="Arial" w:cs="Arial"/>
        </w:rPr>
        <w:t>GGO’s</w:t>
      </w:r>
      <w:r w:rsidRPr="00851192">
        <w:rPr>
          <w:rFonts w:ascii="Arial" w:hAnsi="Arial" w:cs="Arial"/>
        </w:rPr>
        <w:t xml:space="preserve">. </w:t>
      </w:r>
    </w:p>
    <w:p w14:paraId="1BF2621B" w14:textId="6BE9E420" w:rsidR="003B1C9B" w:rsidRPr="00851192" w:rsidRDefault="009B75A0" w:rsidP="0003183E">
      <w:pPr>
        <w:spacing w:line="360" w:lineRule="auto"/>
        <w:jc w:val="both"/>
        <w:rPr>
          <w:rFonts w:ascii="Arial" w:hAnsi="Arial" w:cs="Arial"/>
        </w:rPr>
      </w:pPr>
      <w:r w:rsidRPr="00851192">
        <w:rPr>
          <w:rFonts w:ascii="Arial" w:hAnsi="Arial" w:cs="Arial"/>
        </w:rPr>
        <w:t>Technical support comes in the form of customer service</w:t>
      </w:r>
      <w:r w:rsidR="00146146" w:rsidRPr="00851192">
        <w:rPr>
          <w:rFonts w:ascii="Arial" w:hAnsi="Arial" w:cs="Arial"/>
        </w:rPr>
        <w:t>,</w:t>
      </w:r>
      <w:r w:rsidRPr="00851192">
        <w:rPr>
          <w:rFonts w:ascii="Arial" w:hAnsi="Arial" w:cs="Arial"/>
        </w:rPr>
        <w:t xml:space="preserve"> as well as</w:t>
      </w:r>
      <w:r w:rsidR="00146146" w:rsidRPr="00851192">
        <w:rPr>
          <w:rFonts w:ascii="Arial" w:hAnsi="Arial" w:cs="Arial"/>
        </w:rPr>
        <w:t>,</w:t>
      </w:r>
      <w:r w:rsidRPr="00851192">
        <w:rPr>
          <w:rFonts w:ascii="Arial" w:hAnsi="Arial" w:cs="Arial"/>
        </w:rPr>
        <w:t xml:space="preserve"> B2B and B2C avenues in the case of Asia Gaming. As a sole department, technical supports nature is to support the </w:t>
      </w:r>
      <w:r w:rsidRPr="00851192">
        <w:rPr>
          <w:rFonts w:ascii="Arial" w:hAnsi="Arial" w:cs="Arial"/>
        </w:rPr>
        <w:lastRenderedPageBreak/>
        <w:t xml:space="preserve">businesses needs of productivity and financial performance as in contrast with </w:t>
      </w:r>
      <w:r w:rsidRPr="00851192">
        <w:rPr>
          <w:rFonts w:ascii="Arial" w:hAnsi="Arial" w:cs="Arial"/>
          <w:noProof/>
        </w:rPr>
        <w:t>Bowen (1953) and Friedman (19</w:t>
      </w:r>
      <w:r w:rsidR="00BA0CB9" w:rsidRPr="00851192">
        <w:rPr>
          <w:rFonts w:ascii="Arial" w:hAnsi="Arial" w:cs="Arial"/>
          <w:noProof/>
        </w:rPr>
        <w:t>70</w:t>
      </w:r>
      <w:r w:rsidRPr="00851192">
        <w:rPr>
          <w:rFonts w:ascii="Arial" w:hAnsi="Arial" w:cs="Arial"/>
          <w:noProof/>
        </w:rPr>
        <w:t xml:space="preserve">) </w:t>
      </w:r>
      <w:r w:rsidRPr="00851192">
        <w:rPr>
          <w:rFonts w:ascii="Arial" w:hAnsi="Arial" w:cs="Arial"/>
        </w:rPr>
        <w:t>opinion on a business’s responsibility.</w:t>
      </w:r>
    </w:p>
    <w:p w14:paraId="63EC20FF" w14:textId="063659BD" w:rsidR="00045E4E" w:rsidRPr="00851192" w:rsidRDefault="001A7D5E" w:rsidP="001A7D5E">
      <w:pPr>
        <w:pStyle w:val="Heading2"/>
        <w:rPr>
          <w:rFonts w:ascii="Arial" w:hAnsi="Arial" w:cs="Arial"/>
          <w:color w:val="auto"/>
        </w:rPr>
      </w:pPr>
      <w:bookmarkStart w:id="64" w:name="_Toc526434265"/>
      <w:r w:rsidRPr="00851192">
        <w:rPr>
          <w:rFonts w:ascii="Arial" w:hAnsi="Arial" w:cs="Arial"/>
          <w:color w:val="auto"/>
        </w:rPr>
        <w:t xml:space="preserve">4.7.9 </w:t>
      </w:r>
      <w:r w:rsidR="00045E4E" w:rsidRPr="00851192">
        <w:rPr>
          <w:rFonts w:ascii="Arial" w:hAnsi="Arial" w:cs="Arial"/>
          <w:color w:val="auto"/>
        </w:rPr>
        <w:t>Promotional Gambling Advertisement</w:t>
      </w:r>
      <w:bookmarkEnd w:id="64"/>
    </w:p>
    <w:p w14:paraId="35D2EB55" w14:textId="13E6716E" w:rsidR="00045E4E" w:rsidRPr="00851192" w:rsidRDefault="00045E4E" w:rsidP="0003183E">
      <w:pPr>
        <w:spacing w:line="360" w:lineRule="auto"/>
        <w:jc w:val="both"/>
        <w:rPr>
          <w:rFonts w:ascii="Arial" w:hAnsi="Arial" w:cs="Arial"/>
        </w:rPr>
      </w:pPr>
      <w:r w:rsidRPr="00851192">
        <w:rPr>
          <w:rFonts w:ascii="Arial" w:hAnsi="Arial" w:cs="Arial"/>
        </w:rPr>
        <w:t xml:space="preserve">Within the criteria on promotional gambling advertisement, all three </w:t>
      </w:r>
      <w:r w:rsidR="00146146" w:rsidRPr="00851192">
        <w:rPr>
          <w:rFonts w:ascii="Arial" w:hAnsi="Arial" w:cs="Arial"/>
        </w:rPr>
        <w:t>GGO’s</w:t>
      </w:r>
      <w:r w:rsidRPr="00851192">
        <w:rPr>
          <w:rFonts w:ascii="Arial" w:hAnsi="Arial" w:cs="Arial"/>
        </w:rPr>
        <w:t xml:space="preserve"> within the study </w:t>
      </w:r>
      <w:r w:rsidR="005E3EE2" w:rsidRPr="00851192">
        <w:rPr>
          <w:rFonts w:ascii="Arial" w:hAnsi="Arial" w:cs="Arial"/>
        </w:rPr>
        <w:t>(</w:t>
      </w:r>
      <w:r w:rsidR="005E3EE2" w:rsidRPr="00851192">
        <w:rPr>
          <w:rFonts w:ascii="Arial" w:hAnsi="Arial" w:cs="Arial"/>
          <w:b/>
        </w:rPr>
        <w:t>Table 7.</w:t>
      </w:r>
      <w:r w:rsidR="00BA0CB9" w:rsidRPr="00851192">
        <w:rPr>
          <w:rFonts w:ascii="Arial" w:hAnsi="Arial" w:cs="Arial"/>
          <w:b/>
        </w:rPr>
        <w:t>7</w:t>
      </w:r>
      <w:r w:rsidR="005E3EE2" w:rsidRPr="00851192">
        <w:rPr>
          <w:rFonts w:ascii="Arial" w:hAnsi="Arial" w:cs="Arial"/>
        </w:rPr>
        <w:t xml:space="preserve">) </w:t>
      </w:r>
      <w:r w:rsidRPr="00851192">
        <w:rPr>
          <w:rFonts w:ascii="Arial" w:hAnsi="Arial" w:cs="Arial"/>
        </w:rPr>
        <w:t xml:space="preserve">represent </w:t>
      </w:r>
      <w:r w:rsidR="001C1801" w:rsidRPr="00851192">
        <w:rPr>
          <w:rFonts w:ascii="Arial" w:hAnsi="Arial" w:cs="Arial"/>
        </w:rPr>
        <w:t>Friedman (1970)</w:t>
      </w:r>
      <w:r w:rsidRPr="00851192">
        <w:rPr>
          <w:rFonts w:ascii="Arial" w:hAnsi="Arial" w:cs="Arial"/>
        </w:rPr>
        <w:t xml:space="preserve"> theory on a business’s traditional responsibility. </w:t>
      </w:r>
    </w:p>
    <w:p w14:paraId="0AD405D5" w14:textId="4977DE1E" w:rsidR="00045E4E" w:rsidRPr="00851192" w:rsidRDefault="005D5666" w:rsidP="0003183E">
      <w:pPr>
        <w:spacing w:line="360" w:lineRule="auto"/>
        <w:jc w:val="both"/>
        <w:rPr>
          <w:rFonts w:ascii="Arial" w:hAnsi="Arial" w:cs="Arial"/>
        </w:rPr>
      </w:pPr>
      <w:r w:rsidRPr="00851192">
        <w:rPr>
          <w:rFonts w:ascii="Arial" w:hAnsi="Arial" w:cs="Arial"/>
        </w:rPr>
        <w:t>GGO’s</w:t>
      </w:r>
      <w:r w:rsidR="00B46254" w:rsidRPr="00851192">
        <w:rPr>
          <w:rFonts w:ascii="Arial" w:hAnsi="Arial" w:cs="Arial"/>
        </w:rPr>
        <w:t xml:space="preserve"> have the power and means to promote </w:t>
      </w:r>
      <w:r w:rsidR="003109BA" w:rsidRPr="00851192">
        <w:rPr>
          <w:rFonts w:ascii="Arial" w:hAnsi="Arial" w:cs="Arial"/>
        </w:rPr>
        <w:t>RG</w:t>
      </w:r>
      <w:r w:rsidR="00B46254" w:rsidRPr="00851192">
        <w:rPr>
          <w:rFonts w:ascii="Arial" w:hAnsi="Arial" w:cs="Arial"/>
        </w:rPr>
        <w:t xml:space="preserve"> through advertisement. External pressures and positive CSR carried out by television broadcasters insist on </w:t>
      </w:r>
      <w:r w:rsidR="003109BA" w:rsidRPr="00851192">
        <w:rPr>
          <w:rFonts w:ascii="Arial" w:hAnsi="Arial" w:cs="Arial"/>
        </w:rPr>
        <w:t>RG</w:t>
      </w:r>
      <w:r w:rsidR="00B46254" w:rsidRPr="00851192">
        <w:rPr>
          <w:rFonts w:ascii="Arial" w:hAnsi="Arial" w:cs="Arial"/>
        </w:rPr>
        <w:t xml:space="preserve"> messages being displayed </w:t>
      </w:r>
      <w:r w:rsidR="00BA0CB9" w:rsidRPr="00851192">
        <w:rPr>
          <w:rFonts w:ascii="Arial" w:hAnsi="Arial" w:cs="Arial"/>
        </w:rPr>
        <w:t>on any</w:t>
      </w:r>
      <w:r w:rsidR="00B46254" w:rsidRPr="00851192">
        <w:rPr>
          <w:rFonts w:ascii="Arial" w:hAnsi="Arial" w:cs="Arial"/>
        </w:rPr>
        <w:t xml:space="preserve"> live </w:t>
      </w:r>
      <w:r w:rsidR="00BA0CB9" w:rsidRPr="00851192">
        <w:rPr>
          <w:rFonts w:ascii="Arial" w:hAnsi="Arial" w:cs="Arial"/>
        </w:rPr>
        <w:t>sport</w:t>
      </w:r>
      <w:r w:rsidR="00B46254" w:rsidRPr="00851192">
        <w:rPr>
          <w:rFonts w:ascii="Arial" w:hAnsi="Arial" w:cs="Arial"/>
        </w:rPr>
        <w:t>. In contrast to social media platforms, this is not practised. As highlighted previously</w:t>
      </w:r>
      <w:r w:rsidR="00BA0CB9" w:rsidRPr="00851192">
        <w:rPr>
          <w:rFonts w:ascii="Arial" w:hAnsi="Arial" w:cs="Arial"/>
        </w:rPr>
        <w:t>,</w:t>
      </w:r>
      <w:r w:rsidR="00B46254" w:rsidRPr="00851192">
        <w:rPr>
          <w:rFonts w:ascii="Arial" w:hAnsi="Arial" w:cs="Arial"/>
        </w:rPr>
        <w:t xml:space="preserve"> regarding the incongruence between consumer perception and brand identity, the same interpretation for improvement applies to the category. </w:t>
      </w:r>
    </w:p>
    <w:p w14:paraId="0FCACA82" w14:textId="62536646" w:rsidR="00B46254" w:rsidRPr="00851192" w:rsidRDefault="00B46254" w:rsidP="0003183E">
      <w:pPr>
        <w:spacing w:line="360" w:lineRule="auto"/>
        <w:jc w:val="both"/>
        <w:rPr>
          <w:rFonts w:ascii="Arial" w:hAnsi="Arial" w:cs="Arial"/>
        </w:rPr>
      </w:pPr>
      <w:r w:rsidRPr="00851192">
        <w:rPr>
          <w:rFonts w:ascii="Arial" w:hAnsi="Arial" w:cs="Arial"/>
        </w:rPr>
        <w:t xml:space="preserve">The behaviour perceived by the researcher against </w:t>
      </w:r>
      <w:r w:rsidR="005D5666" w:rsidRPr="00851192">
        <w:rPr>
          <w:rFonts w:ascii="Arial" w:hAnsi="Arial" w:cs="Arial"/>
        </w:rPr>
        <w:t>GGO’s</w:t>
      </w:r>
      <w:r w:rsidRPr="00851192">
        <w:rPr>
          <w:rFonts w:ascii="Arial" w:hAnsi="Arial" w:cs="Arial"/>
        </w:rPr>
        <w:t xml:space="preserve"> causes a reason for thinking </w:t>
      </w:r>
      <w:r w:rsidR="00FB171A" w:rsidRPr="00851192">
        <w:rPr>
          <w:rFonts w:ascii="Arial" w:hAnsi="Arial" w:cs="Arial"/>
        </w:rPr>
        <w:t>that, Friedman</w:t>
      </w:r>
      <w:r w:rsidRPr="00851192">
        <w:rPr>
          <w:rFonts w:ascii="Arial" w:hAnsi="Arial" w:cs="Arial"/>
        </w:rPr>
        <w:t xml:space="preserve"> (1970) is highly reinforced and due to the external environment, such as TV broadcasters’</w:t>
      </w:r>
      <w:r w:rsidR="005D5666" w:rsidRPr="00851192">
        <w:rPr>
          <w:rFonts w:ascii="Arial" w:hAnsi="Arial" w:cs="Arial"/>
        </w:rPr>
        <w:t>,</w:t>
      </w:r>
      <w:r w:rsidRPr="00851192">
        <w:rPr>
          <w:rFonts w:ascii="Arial" w:hAnsi="Arial" w:cs="Arial"/>
        </w:rPr>
        <w:t xml:space="preserve"> measures are taken. </w:t>
      </w:r>
    </w:p>
    <w:p w14:paraId="640C851B" w14:textId="50E45310" w:rsidR="003B1C9B" w:rsidRPr="00851192" w:rsidRDefault="00B46254" w:rsidP="0003183E">
      <w:pPr>
        <w:spacing w:line="360" w:lineRule="auto"/>
        <w:jc w:val="both"/>
        <w:rPr>
          <w:rFonts w:ascii="Arial" w:hAnsi="Arial" w:cs="Arial"/>
        </w:rPr>
      </w:pPr>
      <w:r w:rsidRPr="00851192">
        <w:rPr>
          <w:rFonts w:ascii="Arial" w:hAnsi="Arial" w:cs="Arial"/>
        </w:rPr>
        <w:t xml:space="preserve">However, the power of television and the media </w:t>
      </w:r>
      <w:r w:rsidR="00FB171A" w:rsidRPr="00851192">
        <w:rPr>
          <w:rFonts w:ascii="Arial" w:hAnsi="Arial" w:cs="Arial"/>
        </w:rPr>
        <w:t xml:space="preserve">can determine the perception of its viewers. Through displaying ethical and responsible statements and taking part in activities which drive tailored ethical perceptions, </w:t>
      </w:r>
      <w:r w:rsidR="005D5666" w:rsidRPr="00851192">
        <w:rPr>
          <w:rFonts w:ascii="Arial" w:hAnsi="Arial" w:cs="Arial"/>
        </w:rPr>
        <w:t>GGO’s</w:t>
      </w:r>
      <w:r w:rsidR="00FB171A" w:rsidRPr="00851192">
        <w:rPr>
          <w:rFonts w:ascii="Arial" w:hAnsi="Arial" w:cs="Arial"/>
        </w:rPr>
        <w:t xml:space="preserve"> can deliver effective CSR communications strategically to market its corporate identity to decrease incongruence as supported by </w:t>
      </w:r>
      <w:proofErr w:type="spellStart"/>
      <w:r w:rsidR="00FB171A" w:rsidRPr="00851192">
        <w:rPr>
          <w:rFonts w:ascii="Arial" w:hAnsi="Arial" w:cs="Arial"/>
        </w:rPr>
        <w:t>Balmer</w:t>
      </w:r>
      <w:proofErr w:type="spellEnd"/>
      <w:r w:rsidR="00FB171A" w:rsidRPr="00851192">
        <w:rPr>
          <w:rFonts w:ascii="Arial" w:hAnsi="Arial" w:cs="Arial"/>
        </w:rPr>
        <w:t xml:space="preserve"> et al., (2007). </w:t>
      </w:r>
    </w:p>
    <w:p w14:paraId="14AA475F" w14:textId="6E5F3713" w:rsidR="009A0013" w:rsidRPr="00851192" w:rsidRDefault="001A7D5E" w:rsidP="001A7D5E">
      <w:pPr>
        <w:pStyle w:val="Heading2"/>
        <w:rPr>
          <w:rFonts w:ascii="Arial" w:hAnsi="Arial" w:cs="Arial"/>
          <w:color w:val="auto"/>
        </w:rPr>
      </w:pPr>
      <w:bookmarkStart w:id="65" w:name="_Toc526434266"/>
      <w:r w:rsidRPr="00851192">
        <w:rPr>
          <w:rFonts w:ascii="Arial" w:hAnsi="Arial" w:cs="Arial"/>
          <w:color w:val="auto"/>
        </w:rPr>
        <w:t xml:space="preserve">4.7.10 </w:t>
      </w:r>
      <w:r w:rsidR="001170F3" w:rsidRPr="00851192">
        <w:rPr>
          <w:rFonts w:ascii="Arial" w:hAnsi="Arial" w:cs="Arial"/>
          <w:color w:val="auto"/>
        </w:rPr>
        <w:t>Secure Transaction</w:t>
      </w:r>
      <w:bookmarkEnd w:id="65"/>
    </w:p>
    <w:p w14:paraId="571B970C" w14:textId="53640C03" w:rsidR="001170F3" w:rsidRPr="00851192" w:rsidRDefault="001170F3" w:rsidP="0003183E">
      <w:pPr>
        <w:spacing w:line="360" w:lineRule="auto"/>
        <w:jc w:val="both"/>
        <w:rPr>
          <w:rFonts w:ascii="Arial" w:hAnsi="Arial" w:cs="Arial"/>
        </w:rPr>
      </w:pPr>
      <w:r w:rsidRPr="00851192">
        <w:rPr>
          <w:rFonts w:ascii="Arial" w:hAnsi="Arial" w:cs="Arial"/>
        </w:rPr>
        <w:t xml:space="preserve">All </w:t>
      </w:r>
      <w:r w:rsidR="005D5666" w:rsidRPr="00851192">
        <w:rPr>
          <w:rFonts w:ascii="Arial" w:hAnsi="Arial" w:cs="Arial"/>
        </w:rPr>
        <w:t>GGO’s</w:t>
      </w:r>
      <w:r w:rsidRPr="00851192">
        <w:rPr>
          <w:rFonts w:ascii="Arial" w:hAnsi="Arial" w:cs="Arial"/>
        </w:rPr>
        <w:t xml:space="preserve"> display a philanthropic approach towards secure transaction processes</w:t>
      </w:r>
      <w:r w:rsidR="005E3EE2" w:rsidRPr="00851192">
        <w:rPr>
          <w:rFonts w:ascii="Arial" w:hAnsi="Arial" w:cs="Arial"/>
        </w:rPr>
        <w:t xml:space="preserve"> (</w:t>
      </w:r>
      <w:r w:rsidR="005E3EE2" w:rsidRPr="00851192">
        <w:rPr>
          <w:rFonts w:ascii="Arial" w:hAnsi="Arial" w:cs="Arial"/>
          <w:b/>
        </w:rPr>
        <w:t>Table 7.</w:t>
      </w:r>
      <w:r w:rsidR="00BA0CB9" w:rsidRPr="00851192">
        <w:rPr>
          <w:rFonts w:ascii="Arial" w:hAnsi="Arial" w:cs="Arial"/>
          <w:b/>
        </w:rPr>
        <w:t>8</w:t>
      </w:r>
      <w:r w:rsidR="005E3EE2" w:rsidRPr="00851192">
        <w:rPr>
          <w:rFonts w:ascii="Arial" w:hAnsi="Arial" w:cs="Arial"/>
        </w:rPr>
        <w:t>)</w:t>
      </w:r>
      <w:r w:rsidRPr="00851192">
        <w:rPr>
          <w:rFonts w:ascii="Arial" w:hAnsi="Arial" w:cs="Arial"/>
        </w:rPr>
        <w:t xml:space="preserve">. All operators claim independent auditing with both Bet365 and </w:t>
      </w:r>
      <w:proofErr w:type="spellStart"/>
      <w:r w:rsidRPr="00851192">
        <w:rPr>
          <w:rFonts w:ascii="Arial" w:hAnsi="Arial" w:cs="Arial"/>
        </w:rPr>
        <w:t>Bwin</w:t>
      </w:r>
      <w:proofErr w:type="spellEnd"/>
      <w:r w:rsidRPr="00851192">
        <w:rPr>
          <w:rFonts w:ascii="Arial" w:hAnsi="Arial" w:cs="Arial"/>
        </w:rPr>
        <w:t xml:space="preserve"> displaying findings and evaluation. </w:t>
      </w:r>
    </w:p>
    <w:p w14:paraId="390A61F4" w14:textId="280B49C6" w:rsidR="003B1C9B" w:rsidRPr="00851192" w:rsidRDefault="001170F3" w:rsidP="009A0013">
      <w:pPr>
        <w:rPr>
          <w:rFonts w:ascii="Arial" w:hAnsi="Arial" w:cs="Arial"/>
        </w:rPr>
      </w:pPr>
      <w:r w:rsidRPr="00851192">
        <w:rPr>
          <w:rFonts w:ascii="Arial" w:hAnsi="Arial" w:cs="Arial"/>
        </w:rPr>
        <w:t xml:space="preserve">Asia Gaming claim to have rigorous evaluation by independent bodies but do not share information. </w:t>
      </w:r>
    </w:p>
    <w:p w14:paraId="30A67E44" w14:textId="4B55651F" w:rsidR="001170F3" w:rsidRPr="00851192" w:rsidRDefault="001A7D5E" w:rsidP="001A7D5E">
      <w:pPr>
        <w:pStyle w:val="Heading2"/>
        <w:rPr>
          <w:rFonts w:ascii="Arial" w:hAnsi="Arial" w:cs="Arial"/>
          <w:color w:val="auto"/>
        </w:rPr>
      </w:pPr>
      <w:bookmarkStart w:id="66" w:name="_Toc526434267"/>
      <w:r w:rsidRPr="00851192">
        <w:rPr>
          <w:rFonts w:ascii="Arial" w:hAnsi="Arial" w:cs="Arial"/>
          <w:color w:val="auto"/>
        </w:rPr>
        <w:t xml:space="preserve">4.7.11 </w:t>
      </w:r>
      <w:r w:rsidR="001170F3" w:rsidRPr="00851192">
        <w:rPr>
          <w:rFonts w:ascii="Arial" w:hAnsi="Arial" w:cs="Arial"/>
          <w:color w:val="auto"/>
        </w:rPr>
        <w:t>Money Balance Services</w:t>
      </w:r>
      <w:bookmarkEnd w:id="66"/>
    </w:p>
    <w:p w14:paraId="22B034D0" w14:textId="7B276233" w:rsidR="003B1C9B" w:rsidRPr="00851192" w:rsidRDefault="001362AC" w:rsidP="0003183E">
      <w:pPr>
        <w:spacing w:line="360" w:lineRule="auto"/>
        <w:jc w:val="both"/>
        <w:rPr>
          <w:rFonts w:ascii="Arial" w:hAnsi="Arial" w:cs="Arial"/>
        </w:rPr>
      </w:pPr>
      <w:r w:rsidRPr="00851192">
        <w:rPr>
          <w:rFonts w:ascii="Arial" w:hAnsi="Arial" w:cs="Arial"/>
        </w:rPr>
        <w:t xml:space="preserve">All </w:t>
      </w:r>
      <w:r w:rsidR="005D5666" w:rsidRPr="00851192">
        <w:rPr>
          <w:rFonts w:ascii="Arial" w:hAnsi="Arial" w:cs="Arial"/>
        </w:rPr>
        <w:t>GGO’s</w:t>
      </w:r>
      <w:r w:rsidRPr="00851192">
        <w:rPr>
          <w:rFonts w:ascii="Arial" w:hAnsi="Arial" w:cs="Arial"/>
        </w:rPr>
        <w:t xml:space="preserve"> provide a money balance service</w:t>
      </w:r>
      <w:r w:rsidR="005E3EE2" w:rsidRPr="00851192">
        <w:rPr>
          <w:rFonts w:ascii="Arial" w:hAnsi="Arial" w:cs="Arial"/>
        </w:rPr>
        <w:t xml:space="preserve"> (</w:t>
      </w:r>
      <w:r w:rsidR="005E3EE2" w:rsidRPr="00851192">
        <w:rPr>
          <w:rFonts w:ascii="Arial" w:hAnsi="Arial" w:cs="Arial"/>
          <w:b/>
        </w:rPr>
        <w:t>Table 7.</w:t>
      </w:r>
      <w:r w:rsidR="00BA0CB9" w:rsidRPr="00851192">
        <w:rPr>
          <w:rFonts w:ascii="Arial" w:hAnsi="Arial" w:cs="Arial"/>
          <w:b/>
        </w:rPr>
        <w:t>9</w:t>
      </w:r>
      <w:r w:rsidR="005E3EE2" w:rsidRPr="00851192">
        <w:rPr>
          <w:rFonts w:ascii="Arial" w:hAnsi="Arial" w:cs="Arial"/>
        </w:rPr>
        <w:t>)</w:t>
      </w:r>
      <w:r w:rsidRPr="00851192">
        <w:rPr>
          <w:rFonts w:ascii="Arial" w:hAnsi="Arial" w:cs="Arial"/>
        </w:rPr>
        <w:t xml:space="preserve">. However, none provide a money management service which could be deemed as being socially responsible. </w:t>
      </w:r>
    </w:p>
    <w:p w14:paraId="5019888F" w14:textId="6F2E062E" w:rsidR="00300074" w:rsidRPr="00851192" w:rsidRDefault="001A7D5E" w:rsidP="001A7D5E">
      <w:pPr>
        <w:pStyle w:val="Heading2"/>
        <w:rPr>
          <w:rFonts w:ascii="Arial" w:hAnsi="Arial" w:cs="Arial"/>
          <w:color w:val="auto"/>
        </w:rPr>
      </w:pPr>
      <w:bookmarkStart w:id="67" w:name="_Toc526434268"/>
      <w:r w:rsidRPr="00851192">
        <w:rPr>
          <w:rFonts w:ascii="Arial" w:hAnsi="Arial" w:cs="Arial"/>
          <w:color w:val="auto"/>
        </w:rPr>
        <w:t xml:space="preserve">4.7.12 </w:t>
      </w:r>
      <w:r w:rsidR="00300074" w:rsidRPr="00851192">
        <w:rPr>
          <w:rFonts w:ascii="Arial" w:hAnsi="Arial" w:cs="Arial"/>
          <w:color w:val="auto"/>
        </w:rPr>
        <w:t>Clarity on Rules</w:t>
      </w:r>
      <w:bookmarkEnd w:id="67"/>
    </w:p>
    <w:p w14:paraId="046C638E" w14:textId="6318B6C5" w:rsidR="00300074" w:rsidRPr="00851192" w:rsidRDefault="00300074" w:rsidP="0003183E">
      <w:pPr>
        <w:spacing w:line="360" w:lineRule="auto"/>
        <w:jc w:val="both"/>
        <w:rPr>
          <w:rFonts w:ascii="Arial" w:hAnsi="Arial" w:cs="Arial"/>
        </w:rPr>
      </w:pPr>
      <w:r w:rsidRPr="00851192">
        <w:rPr>
          <w:rFonts w:ascii="Arial" w:hAnsi="Arial" w:cs="Arial"/>
        </w:rPr>
        <w:t xml:space="preserve">The clarity on rules amongst both Bet365 and </w:t>
      </w:r>
      <w:proofErr w:type="spellStart"/>
      <w:r w:rsidRPr="00851192">
        <w:rPr>
          <w:rFonts w:ascii="Arial" w:hAnsi="Arial" w:cs="Arial"/>
        </w:rPr>
        <w:t>Bwin</w:t>
      </w:r>
      <w:proofErr w:type="spellEnd"/>
      <w:r w:rsidRPr="00851192">
        <w:rPr>
          <w:rFonts w:ascii="Arial" w:hAnsi="Arial" w:cs="Arial"/>
        </w:rPr>
        <w:t xml:space="preserve"> is comprehensive and in-depth. However, in the case of Asia Gaming, the clarity on rules is highly inadequate and is not represented</w:t>
      </w:r>
      <w:r w:rsidR="005E3EE2" w:rsidRPr="00851192">
        <w:rPr>
          <w:rFonts w:ascii="Arial" w:hAnsi="Arial" w:cs="Arial"/>
        </w:rPr>
        <w:t xml:space="preserve"> (</w:t>
      </w:r>
      <w:r w:rsidR="005E3EE2" w:rsidRPr="00851192">
        <w:rPr>
          <w:rFonts w:ascii="Arial" w:hAnsi="Arial" w:cs="Arial"/>
          <w:b/>
        </w:rPr>
        <w:t>Table 7.1</w:t>
      </w:r>
      <w:r w:rsidR="00BA0CB9" w:rsidRPr="00851192">
        <w:rPr>
          <w:rFonts w:ascii="Arial" w:hAnsi="Arial" w:cs="Arial"/>
          <w:b/>
        </w:rPr>
        <w:t>0</w:t>
      </w:r>
      <w:r w:rsidR="005E3EE2" w:rsidRPr="00851192">
        <w:rPr>
          <w:rFonts w:ascii="Arial" w:hAnsi="Arial" w:cs="Arial"/>
        </w:rPr>
        <w:t>)</w:t>
      </w:r>
      <w:r w:rsidRPr="00851192">
        <w:rPr>
          <w:rFonts w:ascii="Arial" w:hAnsi="Arial" w:cs="Arial"/>
        </w:rPr>
        <w:t xml:space="preserve">. Rules on how games are played are clarified </w:t>
      </w:r>
      <w:r w:rsidR="00924D9E" w:rsidRPr="00851192">
        <w:rPr>
          <w:rFonts w:ascii="Arial" w:hAnsi="Arial" w:cs="Arial"/>
        </w:rPr>
        <w:t>whereas</w:t>
      </w:r>
      <w:r w:rsidRPr="00851192">
        <w:rPr>
          <w:rFonts w:ascii="Arial" w:hAnsi="Arial" w:cs="Arial"/>
        </w:rPr>
        <w:t xml:space="preserve"> the external rules between the organisation and user are unclear</w:t>
      </w:r>
      <w:r w:rsidR="005E3EE2" w:rsidRPr="00851192">
        <w:rPr>
          <w:rFonts w:ascii="Arial" w:hAnsi="Arial" w:cs="Arial"/>
        </w:rPr>
        <w:t xml:space="preserve"> which may lead to implications such as successfu</w:t>
      </w:r>
      <w:r w:rsidR="005D5666" w:rsidRPr="00851192">
        <w:rPr>
          <w:rFonts w:ascii="Arial" w:hAnsi="Arial" w:cs="Arial"/>
        </w:rPr>
        <w:t>lly</w:t>
      </w:r>
      <w:r w:rsidR="005E3EE2" w:rsidRPr="00851192">
        <w:rPr>
          <w:rFonts w:ascii="Arial" w:hAnsi="Arial" w:cs="Arial"/>
        </w:rPr>
        <w:t xml:space="preserve"> implementing CSR communication </w:t>
      </w:r>
      <w:r w:rsidR="00987533" w:rsidRPr="00851192">
        <w:rPr>
          <w:rFonts w:ascii="Arial" w:hAnsi="Arial" w:cs="Arial"/>
        </w:rPr>
        <w:t>(Tata and Prasad, 2015), or may hinder the long-term sustainability goals set out by GGO’s (</w:t>
      </w:r>
      <w:proofErr w:type="spellStart"/>
      <w:r w:rsidR="00987533" w:rsidRPr="00851192">
        <w:rPr>
          <w:rFonts w:ascii="Arial" w:hAnsi="Arial" w:cs="Arial"/>
        </w:rPr>
        <w:t>Moravcikova</w:t>
      </w:r>
      <w:proofErr w:type="spellEnd"/>
      <w:r w:rsidR="00987533" w:rsidRPr="00851192">
        <w:rPr>
          <w:rFonts w:ascii="Arial" w:hAnsi="Arial" w:cs="Arial"/>
        </w:rPr>
        <w:t>, 2015)</w:t>
      </w:r>
      <w:r w:rsidRPr="00851192">
        <w:rPr>
          <w:rFonts w:ascii="Arial" w:hAnsi="Arial" w:cs="Arial"/>
        </w:rPr>
        <w:t xml:space="preserve">. </w:t>
      </w:r>
    </w:p>
    <w:p w14:paraId="1DFA2F9B" w14:textId="07648FBE" w:rsidR="003B1C9B" w:rsidRPr="00851192" w:rsidRDefault="001A7D5E" w:rsidP="001A7D5E">
      <w:pPr>
        <w:pStyle w:val="Heading1"/>
        <w:rPr>
          <w:rFonts w:ascii="Arial" w:hAnsi="Arial" w:cs="Arial"/>
          <w:color w:val="auto"/>
        </w:rPr>
      </w:pPr>
      <w:bookmarkStart w:id="68" w:name="_Toc526434269"/>
      <w:r w:rsidRPr="00851192">
        <w:rPr>
          <w:rFonts w:ascii="Arial" w:hAnsi="Arial" w:cs="Arial"/>
          <w:color w:val="auto"/>
        </w:rPr>
        <w:lastRenderedPageBreak/>
        <w:t xml:space="preserve">4.8 </w:t>
      </w:r>
      <w:r w:rsidR="009F0D2A" w:rsidRPr="00851192">
        <w:rPr>
          <w:rFonts w:ascii="Arial" w:hAnsi="Arial" w:cs="Arial"/>
          <w:color w:val="auto"/>
        </w:rPr>
        <w:t xml:space="preserve">Key themes emerged from Content Analysis of </w:t>
      </w:r>
      <w:r w:rsidR="007E02D5" w:rsidRPr="00851192">
        <w:rPr>
          <w:rFonts w:ascii="Arial" w:hAnsi="Arial" w:cs="Arial"/>
          <w:color w:val="auto"/>
        </w:rPr>
        <w:t>Online</w:t>
      </w:r>
      <w:r w:rsidR="009F0D2A" w:rsidRPr="00851192">
        <w:rPr>
          <w:rFonts w:ascii="Arial" w:hAnsi="Arial" w:cs="Arial"/>
          <w:color w:val="auto"/>
        </w:rPr>
        <w:t xml:space="preserve"> Platforms</w:t>
      </w:r>
      <w:bookmarkEnd w:id="68"/>
    </w:p>
    <w:p w14:paraId="1E3CB187" w14:textId="162C144E" w:rsidR="003B1C9B" w:rsidRPr="00851192" w:rsidRDefault="00210284" w:rsidP="0003183E">
      <w:pPr>
        <w:spacing w:line="360" w:lineRule="auto"/>
        <w:jc w:val="both"/>
        <w:rPr>
          <w:rFonts w:ascii="Arial" w:hAnsi="Arial" w:cs="Arial"/>
        </w:rPr>
      </w:pPr>
      <w:r w:rsidRPr="00851192">
        <w:rPr>
          <w:rFonts w:ascii="Arial" w:hAnsi="Arial" w:cs="Arial"/>
        </w:rPr>
        <w:t xml:space="preserve">Social media platforms have been evaluated as a method for </w:t>
      </w:r>
      <w:r w:rsidR="00E561BB" w:rsidRPr="00851192">
        <w:rPr>
          <w:rFonts w:ascii="Arial" w:hAnsi="Arial" w:cs="Arial"/>
        </w:rPr>
        <w:t>GGO’s to exploit methods of increasing revenue through the marketing and advertisement of gambling</w:t>
      </w:r>
      <w:r w:rsidR="00BA0CB9" w:rsidRPr="00851192">
        <w:rPr>
          <w:rFonts w:ascii="Arial" w:hAnsi="Arial" w:cs="Arial"/>
        </w:rPr>
        <w:t xml:space="preserve"> which is reinforced by Friedman’s (1970) philosophy</w:t>
      </w:r>
      <w:r w:rsidR="00E561BB" w:rsidRPr="00851192">
        <w:rPr>
          <w:rFonts w:ascii="Arial" w:hAnsi="Arial" w:cs="Arial"/>
        </w:rPr>
        <w:t xml:space="preserve">. Although presumed to do this, minimal evidence suggested that on social media platforms, GGO’s do not practice CSR communication. For a technological sector such as social media which provides opportunity to express and shape opinions, GGO’s do not effectively translate messages portrayed in annual reports which picture the organisation to have philanthropic qualities </w:t>
      </w:r>
      <w:r w:rsidR="00E561BB" w:rsidRPr="00851192">
        <w:rPr>
          <w:rFonts w:ascii="Arial" w:hAnsi="Arial" w:cs="Arial"/>
          <w:noProof/>
        </w:rPr>
        <w:t>(B</w:t>
      </w:r>
      <w:r w:rsidR="005D5666" w:rsidRPr="00851192">
        <w:rPr>
          <w:rFonts w:ascii="Arial" w:hAnsi="Arial" w:cs="Arial"/>
          <w:noProof/>
        </w:rPr>
        <w:t>et</w:t>
      </w:r>
      <w:r w:rsidR="00E561BB" w:rsidRPr="00851192">
        <w:rPr>
          <w:rFonts w:ascii="Arial" w:hAnsi="Arial" w:cs="Arial"/>
          <w:noProof/>
        </w:rPr>
        <w:t>365 Group Limited, 2017; GVC Holdings - Bwin, 2017; Entertainment Asia Gaming, 2017).</w:t>
      </w:r>
    </w:p>
    <w:p w14:paraId="7551C864" w14:textId="7CBBF339" w:rsidR="003B1C9B" w:rsidRPr="00851192" w:rsidRDefault="00C32727" w:rsidP="0003183E">
      <w:pPr>
        <w:spacing w:line="360" w:lineRule="auto"/>
        <w:jc w:val="both"/>
        <w:rPr>
          <w:rFonts w:ascii="Arial" w:hAnsi="Arial" w:cs="Arial"/>
        </w:rPr>
      </w:pPr>
      <w:r w:rsidRPr="00851192">
        <w:rPr>
          <w:rFonts w:ascii="Arial" w:hAnsi="Arial" w:cs="Arial"/>
        </w:rPr>
        <w:t xml:space="preserve">Websites are the drivers of GGO’s economic growth. A strong emphasis towards technical support, marketing and advertisement of gambling, customer service, alongside money balance are at the forefront of the </w:t>
      </w:r>
      <w:r w:rsidR="00843A29" w:rsidRPr="00851192">
        <w:rPr>
          <w:rFonts w:ascii="Arial" w:hAnsi="Arial" w:cs="Arial"/>
        </w:rPr>
        <w:t>business’s</w:t>
      </w:r>
      <w:r w:rsidRPr="00851192">
        <w:rPr>
          <w:rFonts w:ascii="Arial" w:hAnsi="Arial" w:cs="Arial"/>
        </w:rPr>
        <w:t xml:space="preserve"> online platform. </w:t>
      </w:r>
      <w:r w:rsidR="00BA0CB9" w:rsidRPr="00851192">
        <w:rPr>
          <w:rFonts w:ascii="Arial" w:hAnsi="Arial" w:cs="Arial"/>
        </w:rPr>
        <w:t>Retrospectively,</w:t>
      </w:r>
      <w:r w:rsidRPr="00851192">
        <w:rPr>
          <w:rFonts w:ascii="Arial" w:hAnsi="Arial" w:cs="Arial"/>
        </w:rPr>
        <w:t xml:space="preserve"> </w:t>
      </w:r>
      <w:r w:rsidR="00BA0CB9" w:rsidRPr="00851192">
        <w:rPr>
          <w:rFonts w:ascii="Arial" w:hAnsi="Arial" w:cs="Arial"/>
        </w:rPr>
        <w:t>with</w:t>
      </w:r>
      <w:r w:rsidRPr="00851192">
        <w:rPr>
          <w:rFonts w:ascii="Arial" w:hAnsi="Arial" w:cs="Arial"/>
        </w:rPr>
        <w:t xml:space="preserve"> Asia</w:t>
      </w:r>
      <w:r w:rsidR="005D5666" w:rsidRPr="00851192">
        <w:rPr>
          <w:rFonts w:ascii="Arial" w:hAnsi="Arial" w:cs="Arial"/>
        </w:rPr>
        <w:t xml:space="preserve"> </w:t>
      </w:r>
      <w:r w:rsidRPr="00851192">
        <w:rPr>
          <w:rFonts w:ascii="Arial" w:hAnsi="Arial" w:cs="Arial"/>
        </w:rPr>
        <w:t xml:space="preserve">Gaming, the political structure does not allow them to place these functions at the forefront of the businesses online platform but can include its products for consumers to be diverted to. </w:t>
      </w:r>
      <w:r w:rsidR="0010341B" w:rsidRPr="00851192">
        <w:rPr>
          <w:rFonts w:ascii="Arial" w:hAnsi="Arial" w:cs="Arial"/>
        </w:rPr>
        <w:t xml:space="preserve">Main online platforms such as GGO’s websites do not express philanthropic qualities as perceived in annual reports. Although </w:t>
      </w:r>
      <w:r w:rsidR="003109BA" w:rsidRPr="00851192">
        <w:rPr>
          <w:rFonts w:ascii="Arial" w:hAnsi="Arial" w:cs="Arial"/>
        </w:rPr>
        <w:t xml:space="preserve">RG </w:t>
      </w:r>
      <w:r w:rsidR="0010341B" w:rsidRPr="00851192">
        <w:rPr>
          <w:rFonts w:ascii="Arial" w:hAnsi="Arial" w:cs="Arial"/>
        </w:rPr>
        <w:t xml:space="preserve">links and associated CSR practices are in place on Bet365 and </w:t>
      </w:r>
      <w:proofErr w:type="spellStart"/>
      <w:r w:rsidR="0010341B" w:rsidRPr="00851192">
        <w:rPr>
          <w:rFonts w:ascii="Arial" w:hAnsi="Arial" w:cs="Arial"/>
        </w:rPr>
        <w:t>Bwin’s</w:t>
      </w:r>
      <w:proofErr w:type="spellEnd"/>
      <w:r w:rsidR="0010341B" w:rsidRPr="00851192">
        <w:rPr>
          <w:rFonts w:ascii="Arial" w:hAnsi="Arial" w:cs="Arial"/>
        </w:rPr>
        <w:t xml:space="preserve"> website, the prominence of these CSR communication methods are not as effective as they could be. </w:t>
      </w:r>
    </w:p>
    <w:p w14:paraId="06DD9C6C" w14:textId="76494907" w:rsidR="00DC58F0" w:rsidRPr="00851192" w:rsidRDefault="001A7D5E" w:rsidP="001A7D5E">
      <w:pPr>
        <w:pStyle w:val="Heading1"/>
        <w:rPr>
          <w:rFonts w:ascii="Arial" w:hAnsi="Arial" w:cs="Arial"/>
          <w:color w:val="auto"/>
        </w:rPr>
      </w:pPr>
      <w:bookmarkStart w:id="69" w:name="_Toc526434270"/>
      <w:r w:rsidRPr="00851192">
        <w:rPr>
          <w:rFonts w:ascii="Arial" w:hAnsi="Arial" w:cs="Arial"/>
          <w:color w:val="auto"/>
        </w:rPr>
        <w:t xml:space="preserve">4.9 </w:t>
      </w:r>
      <w:r w:rsidR="00C4142B" w:rsidRPr="00851192">
        <w:rPr>
          <w:rFonts w:ascii="Arial" w:hAnsi="Arial" w:cs="Arial"/>
          <w:color w:val="auto"/>
        </w:rPr>
        <w:t>Analysis of</w:t>
      </w:r>
      <w:r w:rsidR="00626F1C" w:rsidRPr="00851192">
        <w:rPr>
          <w:rFonts w:ascii="Arial" w:hAnsi="Arial" w:cs="Arial"/>
          <w:color w:val="auto"/>
        </w:rPr>
        <w:t xml:space="preserve"> Key</w:t>
      </w:r>
      <w:r w:rsidR="00DC58F0" w:rsidRPr="00851192">
        <w:rPr>
          <w:rFonts w:ascii="Arial" w:hAnsi="Arial" w:cs="Arial"/>
          <w:color w:val="auto"/>
        </w:rPr>
        <w:t xml:space="preserve"> Findings</w:t>
      </w:r>
      <w:r w:rsidR="00571796" w:rsidRPr="00851192">
        <w:rPr>
          <w:rFonts w:ascii="Arial" w:hAnsi="Arial" w:cs="Arial"/>
          <w:color w:val="auto"/>
        </w:rPr>
        <w:t xml:space="preserve"> from Consumer CSR Communication Survey</w:t>
      </w:r>
      <w:bookmarkEnd w:id="69"/>
    </w:p>
    <w:p w14:paraId="0204A4C6" w14:textId="5D0852C4" w:rsidR="000D5BAE" w:rsidRPr="00851192" w:rsidRDefault="00843A29" w:rsidP="0003183E">
      <w:pPr>
        <w:spacing w:line="360" w:lineRule="auto"/>
        <w:jc w:val="both"/>
        <w:rPr>
          <w:rFonts w:ascii="Arial" w:hAnsi="Arial" w:cs="Arial"/>
        </w:rPr>
      </w:pPr>
      <w:r w:rsidRPr="00851192">
        <w:rPr>
          <w:rFonts w:ascii="Arial" w:hAnsi="Arial" w:cs="Arial"/>
        </w:rPr>
        <w:t xml:space="preserve">From evaluating all </w:t>
      </w:r>
      <w:r w:rsidR="00A67E7E" w:rsidRPr="00851192">
        <w:rPr>
          <w:rFonts w:ascii="Arial" w:hAnsi="Arial" w:cs="Arial"/>
        </w:rPr>
        <w:t>annual reports</w:t>
      </w:r>
      <w:r w:rsidRPr="00851192">
        <w:rPr>
          <w:rFonts w:ascii="Arial" w:hAnsi="Arial" w:cs="Arial"/>
        </w:rPr>
        <w:t xml:space="preserve"> within the first section of the chapter</w:t>
      </w:r>
      <w:r w:rsidR="00A33B22" w:rsidRPr="00851192">
        <w:rPr>
          <w:rFonts w:ascii="Arial" w:hAnsi="Arial" w:cs="Arial"/>
        </w:rPr>
        <w:t>,</w:t>
      </w:r>
      <w:r w:rsidR="000D5BAE" w:rsidRPr="00851192">
        <w:rPr>
          <w:rFonts w:ascii="Arial" w:hAnsi="Arial" w:cs="Arial"/>
        </w:rPr>
        <w:t xml:space="preserve"> both western GGO’s represent an adequate level of Freeman’s (1984) concept o</w:t>
      </w:r>
      <w:r w:rsidR="00A33B22" w:rsidRPr="00851192">
        <w:rPr>
          <w:rFonts w:ascii="Arial" w:hAnsi="Arial" w:cs="Arial"/>
        </w:rPr>
        <w:t>n</w:t>
      </w:r>
      <w:r w:rsidR="000D5BAE" w:rsidRPr="00851192">
        <w:rPr>
          <w:rFonts w:ascii="Arial" w:hAnsi="Arial" w:cs="Arial"/>
        </w:rPr>
        <w:t xml:space="preserve"> CSR, with Asia Gaming </w:t>
      </w:r>
      <w:r w:rsidR="00A33B22" w:rsidRPr="00851192">
        <w:rPr>
          <w:rFonts w:ascii="Arial" w:hAnsi="Arial" w:cs="Arial"/>
        </w:rPr>
        <w:t>showing less characteristics of Freeman’s notion of CSR.</w:t>
      </w:r>
      <w:r w:rsidR="00A67E7E" w:rsidRPr="00851192">
        <w:rPr>
          <w:rFonts w:ascii="Arial" w:hAnsi="Arial" w:cs="Arial"/>
        </w:rPr>
        <w:t xml:space="preserve"> However, the evaluation from social media platforms suggest a notion of Friedman (1970) philosophy on sole responsibility of a business. </w:t>
      </w:r>
      <w:r w:rsidR="000D5BAE" w:rsidRPr="00851192">
        <w:rPr>
          <w:rFonts w:ascii="Arial" w:hAnsi="Arial" w:cs="Arial"/>
        </w:rPr>
        <w:t xml:space="preserve"> The second part of the analysis being the survey will provide</w:t>
      </w:r>
      <w:r w:rsidR="00A67E7E" w:rsidRPr="00851192">
        <w:rPr>
          <w:rFonts w:ascii="Arial" w:hAnsi="Arial" w:cs="Arial"/>
        </w:rPr>
        <w:t xml:space="preserve"> clarity</w:t>
      </w:r>
      <w:r w:rsidR="000D5BAE" w:rsidRPr="00851192">
        <w:rPr>
          <w:rFonts w:ascii="Arial" w:hAnsi="Arial" w:cs="Arial"/>
        </w:rPr>
        <w:t xml:space="preserve"> either </w:t>
      </w:r>
      <w:r w:rsidR="00A33B22" w:rsidRPr="00851192">
        <w:rPr>
          <w:rFonts w:ascii="Arial" w:hAnsi="Arial" w:cs="Arial"/>
        </w:rPr>
        <w:t>underpinning</w:t>
      </w:r>
      <w:r w:rsidR="000D5BAE" w:rsidRPr="00851192">
        <w:rPr>
          <w:rFonts w:ascii="Arial" w:hAnsi="Arial" w:cs="Arial"/>
        </w:rPr>
        <w:t xml:space="preserve"> the findings evaluated within the first part of the </w:t>
      </w:r>
      <w:r w:rsidRPr="00851192">
        <w:rPr>
          <w:rFonts w:ascii="Arial" w:hAnsi="Arial" w:cs="Arial"/>
        </w:rPr>
        <w:t>chapter or</w:t>
      </w:r>
      <w:r w:rsidR="000D5BAE" w:rsidRPr="00851192">
        <w:rPr>
          <w:rFonts w:ascii="Arial" w:hAnsi="Arial" w:cs="Arial"/>
        </w:rPr>
        <w:t xml:space="preserve"> </w:t>
      </w:r>
      <w:r w:rsidR="00A33B22" w:rsidRPr="00851192">
        <w:rPr>
          <w:rFonts w:ascii="Arial" w:hAnsi="Arial" w:cs="Arial"/>
        </w:rPr>
        <w:t>highlight</w:t>
      </w:r>
      <w:r w:rsidR="000D5BAE" w:rsidRPr="00851192">
        <w:rPr>
          <w:rFonts w:ascii="Arial" w:hAnsi="Arial" w:cs="Arial"/>
        </w:rPr>
        <w:t xml:space="preserve"> incongruence</w:t>
      </w:r>
      <w:r w:rsidR="00A33B22" w:rsidRPr="00851192">
        <w:rPr>
          <w:rFonts w:ascii="Arial" w:hAnsi="Arial" w:cs="Arial"/>
        </w:rPr>
        <w:t xml:space="preserve"> within the findings and consumers perception on brand image, reinforcing Goffman’s (195</w:t>
      </w:r>
      <w:r w:rsidR="001F06D0" w:rsidRPr="00851192">
        <w:rPr>
          <w:rFonts w:ascii="Arial" w:hAnsi="Arial" w:cs="Arial"/>
        </w:rPr>
        <w:t>9</w:t>
      </w:r>
      <w:r w:rsidR="00A33B22" w:rsidRPr="00851192">
        <w:rPr>
          <w:rFonts w:ascii="Arial" w:hAnsi="Arial" w:cs="Arial"/>
        </w:rPr>
        <w:t xml:space="preserve">) concept on front and back stage behaviour. </w:t>
      </w:r>
      <w:r w:rsidR="00FB2F6F" w:rsidRPr="00851192">
        <w:rPr>
          <w:rFonts w:ascii="Arial" w:hAnsi="Arial" w:cs="Arial"/>
        </w:rPr>
        <w:t xml:space="preserve">Whether the findings suggest underpinning of theories or highlighting incongruence, the contrast between the content analyses and findings from the consumer </w:t>
      </w:r>
      <w:r w:rsidR="00A67E7E" w:rsidRPr="00851192">
        <w:rPr>
          <w:rFonts w:ascii="Arial" w:hAnsi="Arial" w:cs="Arial"/>
        </w:rPr>
        <w:t>CSR</w:t>
      </w:r>
      <w:r w:rsidR="00FB2F6F" w:rsidRPr="00851192">
        <w:rPr>
          <w:rFonts w:ascii="Arial" w:hAnsi="Arial" w:cs="Arial"/>
        </w:rPr>
        <w:t xml:space="preserve"> communication survey will add value in critically analysing the importance and value of CSR and CSR communication by GGO’s</w:t>
      </w:r>
      <w:r w:rsidR="00A67E7E" w:rsidRPr="00851192">
        <w:rPr>
          <w:rFonts w:ascii="Arial" w:hAnsi="Arial" w:cs="Arial"/>
        </w:rPr>
        <w:t>.</w:t>
      </w:r>
    </w:p>
    <w:p w14:paraId="73E3EA4C" w14:textId="733FECE0" w:rsidR="0094166C" w:rsidRPr="00851192" w:rsidRDefault="007169D7" w:rsidP="0003183E">
      <w:pPr>
        <w:spacing w:line="360" w:lineRule="auto"/>
        <w:rPr>
          <w:rFonts w:ascii="Arial" w:hAnsi="Arial" w:cs="Arial"/>
        </w:rPr>
      </w:pPr>
      <w:r w:rsidRPr="00851192">
        <w:rPr>
          <w:rFonts w:ascii="Arial" w:hAnsi="Arial" w:cs="Arial"/>
        </w:rPr>
        <w:t xml:space="preserve">A copy of the survey </w:t>
      </w:r>
      <w:r w:rsidR="003D3B9E" w:rsidRPr="00851192">
        <w:rPr>
          <w:rFonts w:ascii="Arial" w:hAnsi="Arial" w:cs="Arial"/>
        </w:rPr>
        <w:t xml:space="preserve">can be identified </w:t>
      </w:r>
      <w:r w:rsidRPr="00851192">
        <w:rPr>
          <w:rFonts w:ascii="Arial" w:hAnsi="Arial" w:cs="Arial"/>
        </w:rPr>
        <w:t xml:space="preserve">under </w:t>
      </w:r>
      <w:r w:rsidR="00A67E7E" w:rsidRPr="00851192">
        <w:rPr>
          <w:rFonts w:ascii="Arial" w:hAnsi="Arial" w:cs="Arial"/>
        </w:rPr>
        <w:t>(Appendix 1)</w:t>
      </w:r>
      <w:r w:rsidR="0094166C" w:rsidRPr="00851192">
        <w:rPr>
          <w:rFonts w:ascii="Arial" w:hAnsi="Arial" w:cs="Arial"/>
        </w:rPr>
        <w:t>.</w:t>
      </w:r>
    </w:p>
    <w:p w14:paraId="09664301" w14:textId="63C60EA6" w:rsidR="00AA3708" w:rsidRPr="00851192" w:rsidRDefault="003D3B9E" w:rsidP="0003183E">
      <w:pPr>
        <w:spacing w:line="360" w:lineRule="auto"/>
        <w:jc w:val="both"/>
        <w:rPr>
          <w:rFonts w:ascii="Arial" w:hAnsi="Arial" w:cs="Arial"/>
        </w:rPr>
      </w:pPr>
      <w:r w:rsidRPr="00851192">
        <w:rPr>
          <w:rFonts w:ascii="Arial" w:hAnsi="Arial" w:cs="Arial"/>
        </w:rPr>
        <w:t>Foremost, t</w:t>
      </w:r>
      <w:r w:rsidR="0094166C" w:rsidRPr="00851192">
        <w:rPr>
          <w:rFonts w:ascii="Arial" w:hAnsi="Arial" w:cs="Arial"/>
        </w:rPr>
        <w:t>he research discovered that most global participants first bec</w:t>
      </w:r>
      <w:r w:rsidRPr="00851192">
        <w:rPr>
          <w:rFonts w:ascii="Arial" w:hAnsi="Arial" w:cs="Arial"/>
        </w:rPr>
        <w:t>ame</w:t>
      </w:r>
      <w:r w:rsidR="0094166C" w:rsidRPr="00851192">
        <w:rPr>
          <w:rFonts w:ascii="Arial" w:hAnsi="Arial" w:cs="Arial"/>
        </w:rPr>
        <w:t xml:space="preserve"> aware o</w:t>
      </w:r>
      <w:r w:rsidR="00DB50FE" w:rsidRPr="00851192">
        <w:rPr>
          <w:rFonts w:ascii="Arial" w:hAnsi="Arial" w:cs="Arial"/>
        </w:rPr>
        <w:t>f</w:t>
      </w:r>
      <w:r w:rsidR="0094166C" w:rsidRPr="00851192">
        <w:rPr>
          <w:rFonts w:ascii="Arial" w:hAnsi="Arial" w:cs="Arial"/>
        </w:rPr>
        <w:t xml:space="preserve"> the concept o</w:t>
      </w:r>
      <w:r w:rsidR="00DB50FE" w:rsidRPr="00851192">
        <w:rPr>
          <w:rFonts w:ascii="Arial" w:hAnsi="Arial" w:cs="Arial"/>
        </w:rPr>
        <w:t>f</w:t>
      </w:r>
      <w:r w:rsidR="0094166C" w:rsidRPr="00851192">
        <w:rPr>
          <w:rFonts w:ascii="Arial" w:hAnsi="Arial" w:cs="Arial"/>
        </w:rPr>
        <w:t xml:space="preserve"> gambling between the ages of 16-18 years old</w:t>
      </w:r>
      <w:r w:rsidR="00C961F0" w:rsidRPr="00851192">
        <w:rPr>
          <w:rFonts w:ascii="Arial" w:hAnsi="Arial" w:cs="Arial"/>
        </w:rPr>
        <w:t xml:space="preserve"> with most participants taking the </w:t>
      </w:r>
      <w:r w:rsidR="00C961F0" w:rsidRPr="00851192">
        <w:rPr>
          <w:rFonts w:ascii="Arial" w:hAnsi="Arial" w:cs="Arial"/>
        </w:rPr>
        <w:lastRenderedPageBreak/>
        <w:t>survey in the UK. The relationship between</w:t>
      </w:r>
      <w:r w:rsidR="00DB50FE" w:rsidRPr="00851192">
        <w:rPr>
          <w:rFonts w:ascii="Arial" w:hAnsi="Arial" w:cs="Arial"/>
        </w:rPr>
        <w:t xml:space="preserve"> deregulation within the UK</w:t>
      </w:r>
      <w:r w:rsidR="00A67E7E" w:rsidRPr="00851192">
        <w:rPr>
          <w:rFonts w:ascii="Arial" w:hAnsi="Arial" w:cs="Arial"/>
        </w:rPr>
        <w:t xml:space="preserve"> by the revisited gambling act of 2005,</w:t>
      </w:r>
      <w:r w:rsidR="00DB50FE" w:rsidRPr="00851192">
        <w:rPr>
          <w:rFonts w:ascii="Arial" w:hAnsi="Arial" w:cs="Arial"/>
        </w:rPr>
        <w:t xml:space="preserve"> marketing of gambling</w:t>
      </w:r>
      <w:r w:rsidR="00272CF3" w:rsidRPr="00851192">
        <w:rPr>
          <w:rFonts w:ascii="Arial" w:hAnsi="Arial" w:cs="Arial"/>
        </w:rPr>
        <w:t>,</w:t>
      </w:r>
      <w:r w:rsidR="00DB50FE" w:rsidRPr="00851192">
        <w:rPr>
          <w:rFonts w:ascii="Arial" w:hAnsi="Arial" w:cs="Arial"/>
        </w:rPr>
        <w:t xml:space="preserve"> a</w:t>
      </w:r>
      <w:r w:rsidR="00272CF3" w:rsidRPr="00851192">
        <w:rPr>
          <w:rFonts w:ascii="Arial" w:hAnsi="Arial" w:cs="Arial"/>
        </w:rPr>
        <w:t>longside</w:t>
      </w:r>
      <w:r w:rsidR="00C961F0" w:rsidRPr="00851192">
        <w:rPr>
          <w:rFonts w:ascii="Arial" w:hAnsi="Arial" w:cs="Arial"/>
        </w:rPr>
        <w:t xml:space="preserve"> the findings within question one may be heavily reflect</w:t>
      </w:r>
      <w:r w:rsidR="00272CF3" w:rsidRPr="00851192">
        <w:rPr>
          <w:rFonts w:ascii="Arial" w:hAnsi="Arial" w:cs="Arial"/>
        </w:rPr>
        <w:t>ed</w:t>
      </w:r>
      <w:r w:rsidR="00C961F0" w:rsidRPr="00851192">
        <w:rPr>
          <w:rFonts w:ascii="Arial" w:hAnsi="Arial" w:cs="Arial"/>
        </w:rPr>
        <w:t xml:space="preserve"> on the exposure of gambling being made to young people </w:t>
      </w:r>
      <w:r w:rsidR="00DB50FE" w:rsidRPr="00851192">
        <w:rPr>
          <w:rFonts w:ascii="Arial" w:hAnsi="Arial" w:cs="Arial"/>
        </w:rPr>
        <w:t>within the UK</w:t>
      </w:r>
      <w:r w:rsidR="00C961F0" w:rsidRPr="00851192">
        <w:rPr>
          <w:rFonts w:ascii="Arial" w:hAnsi="Arial" w:cs="Arial"/>
        </w:rPr>
        <w:t xml:space="preserve">. </w:t>
      </w:r>
      <w:r w:rsidR="00272CF3" w:rsidRPr="00851192">
        <w:rPr>
          <w:rFonts w:ascii="Arial" w:hAnsi="Arial" w:cs="Arial"/>
        </w:rPr>
        <w:t xml:space="preserve">This firstly questions GGO’s policy on CSR measures and operations. </w:t>
      </w:r>
    </w:p>
    <w:p w14:paraId="79E47AA3" w14:textId="77777777" w:rsidR="0094166C" w:rsidRPr="00851192" w:rsidRDefault="0094166C" w:rsidP="0016611F">
      <w:pPr>
        <w:jc w:val="center"/>
        <w:rPr>
          <w:rFonts w:ascii="Arial" w:hAnsi="Arial" w:cs="Arial"/>
          <w:b/>
        </w:rPr>
      </w:pPr>
      <w:r w:rsidRPr="00851192">
        <w:rPr>
          <w:rFonts w:ascii="Arial" w:hAnsi="Arial" w:cs="Arial"/>
          <w:noProof/>
          <w:lang w:eastAsia="en-GB"/>
        </w:rPr>
        <w:drawing>
          <wp:inline distT="0" distB="0" distL="0" distR="0" wp14:anchorId="1F90E9EF" wp14:editId="78586B2F">
            <wp:extent cx="4572000" cy="2743200"/>
            <wp:effectExtent l="0" t="0" r="0" b="0"/>
            <wp:docPr id="6" name="Chart 6">
              <a:extLst xmlns:a="http://schemas.openxmlformats.org/drawingml/2006/main">
                <a:ext uri="{FF2B5EF4-FFF2-40B4-BE49-F238E27FC236}">
                  <a16:creationId xmlns:a16="http://schemas.microsoft.com/office/drawing/2014/main" id="{078D7C09-153A-4876-9E05-A2E9BEEFC41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r w:rsidRPr="00851192">
        <w:rPr>
          <w:rFonts w:ascii="Arial" w:hAnsi="Arial" w:cs="Arial"/>
          <w:b/>
        </w:rPr>
        <w:br/>
      </w:r>
    </w:p>
    <w:tbl>
      <w:tblPr>
        <w:tblW w:w="586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60"/>
        <w:gridCol w:w="1256"/>
        <w:gridCol w:w="1900"/>
      </w:tblGrid>
      <w:tr w:rsidR="0094166C" w:rsidRPr="00851192" w14:paraId="1FE856DC" w14:textId="77777777" w:rsidTr="0094166C">
        <w:trPr>
          <w:trHeight w:val="300"/>
          <w:jc w:val="center"/>
        </w:trPr>
        <w:tc>
          <w:tcPr>
            <w:tcW w:w="2760" w:type="dxa"/>
            <w:shd w:val="clear" w:color="auto" w:fill="auto"/>
            <w:noWrap/>
            <w:vAlign w:val="bottom"/>
            <w:hideMark/>
          </w:tcPr>
          <w:p w14:paraId="4D41A664" w14:textId="77777777" w:rsidR="0094166C" w:rsidRPr="00851192" w:rsidRDefault="0094166C"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Categories</w:t>
            </w:r>
          </w:p>
        </w:tc>
        <w:tc>
          <w:tcPr>
            <w:tcW w:w="1200" w:type="dxa"/>
            <w:shd w:val="clear" w:color="auto" w:fill="auto"/>
            <w:noWrap/>
            <w:vAlign w:val="bottom"/>
            <w:hideMark/>
          </w:tcPr>
          <w:p w14:paraId="6A9928CF" w14:textId="77777777" w:rsidR="0094166C" w:rsidRPr="00851192" w:rsidRDefault="0094166C"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Frequency</w:t>
            </w:r>
          </w:p>
        </w:tc>
        <w:tc>
          <w:tcPr>
            <w:tcW w:w="1900" w:type="dxa"/>
            <w:shd w:val="clear" w:color="auto" w:fill="auto"/>
            <w:noWrap/>
            <w:vAlign w:val="bottom"/>
            <w:hideMark/>
          </w:tcPr>
          <w:p w14:paraId="10BF8F47" w14:textId="77777777" w:rsidR="0094166C" w:rsidRPr="00851192" w:rsidRDefault="0094166C"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 </w:t>
            </w:r>
            <w:r w:rsidRPr="00851192">
              <w:rPr>
                <w:rFonts w:ascii="Arial" w:eastAsia="Times New Roman" w:hAnsi="Arial" w:cs="Arial"/>
                <w:noProof/>
                <w:color w:val="000000"/>
                <w:lang w:eastAsia="en-GB"/>
              </w:rPr>
              <w:drawing>
                <wp:inline distT="0" distB="0" distL="0" distR="0" wp14:anchorId="12CDEC11" wp14:editId="00E60F70">
                  <wp:extent cx="1026543" cy="353044"/>
                  <wp:effectExtent l="0" t="0" r="2540"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 name="standard-deviation-formula.gif"/>
                          <pic:cNvPicPr/>
                        </pic:nvPicPr>
                        <pic:blipFill>
                          <a:blip r:embed="rId18">
                            <a:extLst>
                              <a:ext uri="{28A0092B-C50C-407E-A947-70E740481C1C}">
                                <a14:useLocalDpi xmlns:a14="http://schemas.microsoft.com/office/drawing/2010/main" val="0"/>
                              </a:ext>
                            </a:extLst>
                          </a:blip>
                          <a:stretch>
                            <a:fillRect/>
                          </a:stretch>
                        </pic:blipFill>
                        <pic:spPr>
                          <a:xfrm>
                            <a:off x="0" y="0"/>
                            <a:ext cx="1040953" cy="358000"/>
                          </a:xfrm>
                          <a:prstGeom prst="rect">
                            <a:avLst/>
                          </a:prstGeom>
                        </pic:spPr>
                      </pic:pic>
                    </a:graphicData>
                  </a:graphic>
                </wp:inline>
              </w:drawing>
            </w:r>
          </w:p>
        </w:tc>
      </w:tr>
      <w:tr w:rsidR="0094166C" w:rsidRPr="00851192" w14:paraId="5F880A06" w14:textId="77777777" w:rsidTr="0094166C">
        <w:trPr>
          <w:trHeight w:val="300"/>
          <w:jc w:val="center"/>
        </w:trPr>
        <w:tc>
          <w:tcPr>
            <w:tcW w:w="2760" w:type="dxa"/>
            <w:shd w:val="clear" w:color="auto" w:fill="auto"/>
            <w:noWrap/>
            <w:vAlign w:val="bottom"/>
            <w:hideMark/>
          </w:tcPr>
          <w:p w14:paraId="2F58F503" w14:textId="571D4AF0" w:rsidR="0094166C" w:rsidRPr="00851192" w:rsidRDefault="0094166C"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Under 16</w:t>
            </w:r>
          </w:p>
        </w:tc>
        <w:tc>
          <w:tcPr>
            <w:tcW w:w="1200" w:type="dxa"/>
            <w:shd w:val="clear" w:color="auto" w:fill="auto"/>
            <w:noWrap/>
            <w:vAlign w:val="bottom"/>
            <w:hideMark/>
          </w:tcPr>
          <w:p w14:paraId="02BC4BAF" w14:textId="5F4DAC68" w:rsidR="0094166C" w:rsidRPr="00851192" w:rsidRDefault="0094166C"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33</w:t>
            </w:r>
          </w:p>
        </w:tc>
        <w:tc>
          <w:tcPr>
            <w:tcW w:w="1900" w:type="dxa"/>
            <w:shd w:val="clear" w:color="auto" w:fill="auto"/>
            <w:noWrap/>
            <w:vAlign w:val="bottom"/>
            <w:hideMark/>
          </w:tcPr>
          <w:p w14:paraId="0CB03904" w14:textId="457B4DCD" w:rsidR="0094166C" w:rsidRPr="00851192" w:rsidRDefault="0094166C"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6.25</w:t>
            </w:r>
          </w:p>
        </w:tc>
      </w:tr>
      <w:tr w:rsidR="0094166C" w:rsidRPr="00851192" w14:paraId="227FC7D6" w14:textId="77777777" w:rsidTr="0094166C">
        <w:trPr>
          <w:trHeight w:val="300"/>
          <w:jc w:val="center"/>
        </w:trPr>
        <w:tc>
          <w:tcPr>
            <w:tcW w:w="2760" w:type="dxa"/>
            <w:shd w:val="clear" w:color="auto" w:fill="auto"/>
            <w:noWrap/>
            <w:vAlign w:val="bottom"/>
            <w:hideMark/>
          </w:tcPr>
          <w:p w14:paraId="00F5622A" w14:textId="13583F11" w:rsidR="0094166C" w:rsidRPr="00851192" w:rsidRDefault="0094166C"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Between 16-18</w:t>
            </w:r>
          </w:p>
        </w:tc>
        <w:tc>
          <w:tcPr>
            <w:tcW w:w="1200" w:type="dxa"/>
            <w:shd w:val="clear" w:color="auto" w:fill="auto"/>
            <w:noWrap/>
            <w:vAlign w:val="bottom"/>
            <w:hideMark/>
          </w:tcPr>
          <w:p w14:paraId="60C38F37" w14:textId="75D37B1B" w:rsidR="0094166C" w:rsidRPr="00851192" w:rsidRDefault="0094166C"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65</w:t>
            </w:r>
          </w:p>
        </w:tc>
        <w:tc>
          <w:tcPr>
            <w:tcW w:w="1900" w:type="dxa"/>
            <w:shd w:val="clear" w:color="auto" w:fill="auto"/>
            <w:noWrap/>
            <w:vAlign w:val="bottom"/>
            <w:hideMark/>
          </w:tcPr>
          <w:p w14:paraId="495A2665" w14:textId="6494D256" w:rsidR="0094166C" w:rsidRPr="00851192" w:rsidRDefault="0094166C"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1190.25</w:t>
            </w:r>
          </w:p>
        </w:tc>
      </w:tr>
      <w:tr w:rsidR="0094166C" w:rsidRPr="00851192" w14:paraId="1B871673" w14:textId="77777777" w:rsidTr="0094166C">
        <w:trPr>
          <w:trHeight w:val="300"/>
          <w:jc w:val="center"/>
        </w:trPr>
        <w:tc>
          <w:tcPr>
            <w:tcW w:w="2760" w:type="dxa"/>
            <w:shd w:val="clear" w:color="auto" w:fill="auto"/>
            <w:noWrap/>
            <w:vAlign w:val="bottom"/>
            <w:hideMark/>
          </w:tcPr>
          <w:p w14:paraId="1B2219BD" w14:textId="3FBBCA00" w:rsidR="0094166C" w:rsidRPr="00851192" w:rsidRDefault="0094166C"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Over 18</w:t>
            </w:r>
          </w:p>
        </w:tc>
        <w:tc>
          <w:tcPr>
            <w:tcW w:w="1200" w:type="dxa"/>
            <w:shd w:val="clear" w:color="auto" w:fill="auto"/>
            <w:noWrap/>
            <w:vAlign w:val="bottom"/>
            <w:hideMark/>
          </w:tcPr>
          <w:p w14:paraId="06421598" w14:textId="6911844C" w:rsidR="0094166C" w:rsidRPr="00851192" w:rsidRDefault="0094166C"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20</w:t>
            </w:r>
          </w:p>
        </w:tc>
        <w:tc>
          <w:tcPr>
            <w:tcW w:w="1900" w:type="dxa"/>
            <w:shd w:val="clear" w:color="auto" w:fill="auto"/>
            <w:noWrap/>
            <w:vAlign w:val="bottom"/>
            <w:hideMark/>
          </w:tcPr>
          <w:p w14:paraId="304328F5" w14:textId="2F347C7E" w:rsidR="0094166C" w:rsidRPr="00851192" w:rsidRDefault="0094166C"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-110.25</w:t>
            </w:r>
          </w:p>
        </w:tc>
      </w:tr>
      <w:tr w:rsidR="0094166C" w:rsidRPr="00851192" w14:paraId="6783933B" w14:textId="77777777" w:rsidTr="0094166C">
        <w:trPr>
          <w:trHeight w:val="300"/>
          <w:jc w:val="center"/>
        </w:trPr>
        <w:tc>
          <w:tcPr>
            <w:tcW w:w="2760" w:type="dxa"/>
            <w:shd w:val="clear" w:color="auto" w:fill="auto"/>
            <w:noWrap/>
            <w:vAlign w:val="bottom"/>
            <w:hideMark/>
          </w:tcPr>
          <w:p w14:paraId="2874EC48" w14:textId="744C6003" w:rsidR="0094166C" w:rsidRPr="00851192" w:rsidRDefault="0094166C"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Over 21</w:t>
            </w:r>
          </w:p>
        </w:tc>
        <w:tc>
          <w:tcPr>
            <w:tcW w:w="1200" w:type="dxa"/>
            <w:shd w:val="clear" w:color="auto" w:fill="auto"/>
            <w:noWrap/>
            <w:vAlign w:val="bottom"/>
            <w:hideMark/>
          </w:tcPr>
          <w:p w14:paraId="289949F8" w14:textId="57D0D36A" w:rsidR="0094166C" w:rsidRPr="00851192" w:rsidRDefault="0094166C"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4</w:t>
            </w:r>
          </w:p>
        </w:tc>
        <w:tc>
          <w:tcPr>
            <w:tcW w:w="1900" w:type="dxa"/>
            <w:shd w:val="clear" w:color="auto" w:fill="auto"/>
            <w:noWrap/>
            <w:vAlign w:val="bottom"/>
            <w:hideMark/>
          </w:tcPr>
          <w:p w14:paraId="1BB77155" w14:textId="55A40A7D" w:rsidR="0094166C" w:rsidRPr="00851192" w:rsidRDefault="0094166C"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702.25</w:t>
            </w:r>
          </w:p>
        </w:tc>
      </w:tr>
      <w:tr w:rsidR="0094166C" w:rsidRPr="00851192" w14:paraId="4EAD39B7" w14:textId="77777777" w:rsidTr="0094166C">
        <w:trPr>
          <w:trHeight w:val="300"/>
          <w:jc w:val="center"/>
        </w:trPr>
        <w:tc>
          <w:tcPr>
            <w:tcW w:w="2760" w:type="dxa"/>
            <w:shd w:val="clear" w:color="auto" w:fill="auto"/>
            <w:noWrap/>
            <w:vAlign w:val="bottom"/>
            <w:hideMark/>
          </w:tcPr>
          <w:p w14:paraId="25A42702" w14:textId="77777777" w:rsidR="0094166C" w:rsidRPr="00851192" w:rsidRDefault="0094166C"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Mean =</w:t>
            </w:r>
          </w:p>
        </w:tc>
        <w:tc>
          <w:tcPr>
            <w:tcW w:w="1200" w:type="dxa"/>
            <w:shd w:val="clear" w:color="auto" w:fill="auto"/>
            <w:noWrap/>
            <w:vAlign w:val="bottom"/>
            <w:hideMark/>
          </w:tcPr>
          <w:p w14:paraId="2579432E" w14:textId="0B4784B1" w:rsidR="0094166C" w:rsidRPr="00851192" w:rsidRDefault="0094166C"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30.5</w:t>
            </w:r>
          </w:p>
        </w:tc>
        <w:tc>
          <w:tcPr>
            <w:tcW w:w="1900" w:type="dxa"/>
            <w:shd w:val="clear" w:color="auto" w:fill="auto"/>
            <w:noWrap/>
            <w:vAlign w:val="bottom"/>
            <w:hideMark/>
          </w:tcPr>
          <w:p w14:paraId="3813122E" w14:textId="77777777" w:rsidR="0094166C" w:rsidRPr="00851192" w:rsidRDefault="0094166C"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 </w:t>
            </w:r>
          </w:p>
        </w:tc>
      </w:tr>
      <w:tr w:rsidR="0094166C" w:rsidRPr="00851192" w14:paraId="03B6B1C1" w14:textId="77777777" w:rsidTr="0094166C">
        <w:trPr>
          <w:trHeight w:val="315"/>
          <w:jc w:val="center"/>
        </w:trPr>
        <w:tc>
          <w:tcPr>
            <w:tcW w:w="2760" w:type="dxa"/>
            <w:shd w:val="clear" w:color="auto" w:fill="auto"/>
            <w:noWrap/>
            <w:vAlign w:val="bottom"/>
            <w:hideMark/>
          </w:tcPr>
          <w:p w14:paraId="668BF480" w14:textId="77777777" w:rsidR="0094166C" w:rsidRPr="00851192" w:rsidRDefault="0094166C"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Standard Deviation =</w:t>
            </w:r>
          </w:p>
        </w:tc>
        <w:tc>
          <w:tcPr>
            <w:tcW w:w="1200" w:type="dxa"/>
            <w:shd w:val="clear" w:color="auto" w:fill="auto"/>
            <w:noWrap/>
            <w:vAlign w:val="bottom"/>
            <w:hideMark/>
          </w:tcPr>
          <w:p w14:paraId="222FB63B" w14:textId="77777777" w:rsidR="0094166C" w:rsidRPr="00851192" w:rsidRDefault="0094166C"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 </w:t>
            </w:r>
          </w:p>
        </w:tc>
        <w:tc>
          <w:tcPr>
            <w:tcW w:w="1900" w:type="dxa"/>
            <w:shd w:val="clear" w:color="auto" w:fill="auto"/>
            <w:noWrap/>
            <w:vAlign w:val="bottom"/>
            <w:hideMark/>
          </w:tcPr>
          <w:p w14:paraId="1B6EC635" w14:textId="35F6D9F6" w:rsidR="0094166C" w:rsidRPr="00851192" w:rsidRDefault="0094166C"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21.1453</w:t>
            </w:r>
          </w:p>
        </w:tc>
      </w:tr>
      <w:tr w:rsidR="00F23E01" w:rsidRPr="00851192" w14:paraId="322BAF71" w14:textId="77777777" w:rsidTr="0094166C">
        <w:trPr>
          <w:trHeight w:val="315"/>
          <w:jc w:val="center"/>
        </w:trPr>
        <w:tc>
          <w:tcPr>
            <w:tcW w:w="2760" w:type="dxa"/>
            <w:shd w:val="clear" w:color="auto" w:fill="auto"/>
            <w:noWrap/>
            <w:vAlign w:val="bottom"/>
          </w:tcPr>
          <w:p w14:paraId="14FFBA5A" w14:textId="684CF13C" w:rsidR="00F23E01" w:rsidRPr="00851192" w:rsidRDefault="00F23E01" w:rsidP="00DE3E33">
            <w:pPr>
              <w:spacing w:after="0" w:line="240" w:lineRule="auto"/>
              <w:rPr>
                <w:rFonts w:ascii="Arial" w:eastAsia="Times New Roman" w:hAnsi="Arial" w:cs="Arial"/>
                <w:color w:val="000000"/>
                <w:lang w:eastAsia="en-GB"/>
              </w:rPr>
            </w:pPr>
            <w:r>
              <w:rPr>
                <w:rFonts w:ascii="Arial" w:eastAsia="Times New Roman" w:hAnsi="Arial" w:cs="Arial"/>
                <w:color w:val="000000"/>
                <w:lang w:eastAsia="en-GB"/>
              </w:rPr>
              <w:t>Median =</w:t>
            </w:r>
          </w:p>
        </w:tc>
        <w:tc>
          <w:tcPr>
            <w:tcW w:w="1200" w:type="dxa"/>
            <w:shd w:val="clear" w:color="auto" w:fill="auto"/>
            <w:noWrap/>
            <w:vAlign w:val="bottom"/>
          </w:tcPr>
          <w:p w14:paraId="319CC7A4" w14:textId="77777777" w:rsidR="00F23E01" w:rsidRPr="00851192" w:rsidRDefault="00F23E01" w:rsidP="00DE3E33">
            <w:pPr>
              <w:spacing w:after="0" w:line="240" w:lineRule="auto"/>
              <w:rPr>
                <w:rFonts w:ascii="Arial" w:eastAsia="Times New Roman" w:hAnsi="Arial" w:cs="Arial"/>
                <w:color w:val="000000"/>
                <w:lang w:eastAsia="en-GB"/>
              </w:rPr>
            </w:pPr>
          </w:p>
        </w:tc>
        <w:tc>
          <w:tcPr>
            <w:tcW w:w="1900" w:type="dxa"/>
            <w:shd w:val="clear" w:color="auto" w:fill="auto"/>
            <w:noWrap/>
            <w:vAlign w:val="bottom"/>
          </w:tcPr>
          <w:p w14:paraId="66A3BA37" w14:textId="079BA9A5" w:rsidR="00F23E01" w:rsidRPr="00851192" w:rsidRDefault="00F23E01" w:rsidP="00DE3E33">
            <w:pPr>
              <w:spacing w:after="0" w:line="240" w:lineRule="auto"/>
              <w:jc w:val="right"/>
              <w:rPr>
                <w:rFonts w:ascii="Arial" w:eastAsia="Times New Roman" w:hAnsi="Arial" w:cs="Arial"/>
                <w:color w:val="000000"/>
                <w:lang w:eastAsia="en-GB"/>
              </w:rPr>
            </w:pPr>
            <w:r>
              <w:rPr>
                <w:rFonts w:ascii="Arial" w:eastAsia="Times New Roman" w:hAnsi="Arial" w:cs="Arial"/>
                <w:color w:val="000000"/>
                <w:lang w:eastAsia="en-GB"/>
              </w:rPr>
              <w:t>N = 26.5</w:t>
            </w:r>
          </w:p>
        </w:tc>
      </w:tr>
    </w:tbl>
    <w:p w14:paraId="4A590F6C" w14:textId="4D7E1B27" w:rsidR="00AA3708" w:rsidRPr="00851192" w:rsidRDefault="00AA3708" w:rsidP="0016611F">
      <w:pPr>
        <w:jc w:val="center"/>
        <w:rPr>
          <w:rFonts w:ascii="Arial" w:hAnsi="Arial" w:cs="Arial"/>
          <w:b/>
        </w:rPr>
      </w:pPr>
    </w:p>
    <w:p w14:paraId="16B7E225" w14:textId="77777777" w:rsidR="00AA3708" w:rsidRPr="00851192" w:rsidRDefault="00AA3708" w:rsidP="00DC58F0">
      <w:pPr>
        <w:rPr>
          <w:rFonts w:ascii="Arial" w:hAnsi="Arial" w:cs="Arial"/>
          <w:b/>
        </w:rPr>
      </w:pPr>
    </w:p>
    <w:p w14:paraId="5C560002" w14:textId="77777777" w:rsidR="00AA3708" w:rsidRPr="00851192" w:rsidRDefault="00AA3708" w:rsidP="00DC58F0">
      <w:pPr>
        <w:rPr>
          <w:rFonts w:ascii="Arial" w:hAnsi="Arial" w:cs="Arial"/>
          <w:b/>
        </w:rPr>
      </w:pPr>
    </w:p>
    <w:p w14:paraId="4AEC9C97" w14:textId="21D67245" w:rsidR="00AA3708" w:rsidRPr="00851192" w:rsidRDefault="004523C7" w:rsidP="00DC58F0">
      <w:pPr>
        <w:rPr>
          <w:rFonts w:ascii="Arial" w:hAnsi="Arial" w:cs="Arial"/>
          <w:b/>
        </w:rPr>
      </w:pPr>
      <w:r w:rsidRPr="00851192">
        <w:rPr>
          <w:rFonts w:ascii="Arial" w:hAnsi="Arial" w:cs="Arial"/>
          <w:b/>
          <w:noProof/>
          <w:lang w:eastAsia="en-GB"/>
        </w:rPr>
        <w:lastRenderedPageBreak/>
        <mc:AlternateContent>
          <mc:Choice Requires="wps">
            <w:drawing>
              <wp:anchor distT="45720" distB="45720" distL="114300" distR="114300" simplePos="0" relativeHeight="251666432" behindDoc="0" locked="0" layoutInCell="1" allowOverlap="1" wp14:anchorId="400E38D4" wp14:editId="6750F05B">
                <wp:simplePos x="0" y="0"/>
                <wp:positionH relativeFrom="margin">
                  <wp:align>left</wp:align>
                </wp:positionH>
                <wp:positionV relativeFrom="paragraph">
                  <wp:posOffset>4142707</wp:posOffset>
                </wp:positionV>
                <wp:extent cx="4678680" cy="558739"/>
                <wp:effectExtent l="2857"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4678680" cy="558739"/>
                        </a:xfrm>
                        <a:prstGeom prst="rect">
                          <a:avLst/>
                        </a:prstGeom>
                        <a:solidFill>
                          <a:srgbClr val="FFFFFF"/>
                        </a:solidFill>
                        <a:ln w="9525">
                          <a:noFill/>
                          <a:miter lim="800000"/>
                          <a:headEnd/>
                          <a:tailEnd/>
                        </a:ln>
                      </wps:spPr>
                      <wps:txbx>
                        <w:txbxContent>
                          <w:p w14:paraId="017312E4" w14:textId="749699B8" w:rsidR="005B7C1E" w:rsidRPr="00573B1C" w:rsidRDefault="005B7C1E" w:rsidP="00C55C51">
                            <w:pPr>
                              <w:jc w:val="center"/>
                              <w:rPr>
                                <w:sz w:val="28"/>
                              </w:rPr>
                            </w:pPr>
                            <w:r w:rsidRPr="00573B1C">
                              <w:rPr>
                                <w:b/>
                                <w:sz w:val="28"/>
                                <w:szCs w:val="28"/>
                              </w:rPr>
                              <w:t xml:space="preserve">Figure 4.6 </w:t>
                            </w:r>
                            <w:r w:rsidRPr="00573B1C">
                              <w:rPr>
                                <w:sz w:val="28"/>
                                <w:szCs w:val="28"/>
                              </w:rPr>
                              <w:t>Question Two Geographical</w:t>
                            </w:r>
                            <w:r w:rsidRPr="00573B1C">
                              <w:rPr>
                                <w:sz w:val="32"/>
                              </w:rPr>
                              <w:t xml:space="preserve"> </w:t>
                            </w:r>
                            <w:r w:rsidRPr="00573B1C">
                              <w:rPr>
                                <w:sz w:val="28"/>
                              </w:rPr>
                              <w:t>Location of Participants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400E38D4" id="_x0000_s1027" type="#_x0000_t202" style="position:absolute;margin-left:0;margin-top:326.2pt;width:368.4pt;height:44pt;rotation:-90;z-index:25166643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" stroked="f">
                <v:textbox>
                  <w:txbxContent>
                    <w:p w14:paraId="017312E4" w14:textId="749699B8" w:rsidR="005B7C1E" w:rsidRPr="00573B1C" w:rsidRDefault="005B7C1E" w:rsidP="00C55C51">
                      <w:pPr>
                        <w:jc w:val="center"/>
                        <w:rPr>
                          <w:sz w:val="28"/>
                        </w:rPr>
                      </w:pPr>
                      <w:r w:rsidRPr="00573B1C">
                        <w:rPr>
                          <w:b/>
                          <w:sz w:val="28"/>
                          <w:szCs w:val="28"/>
                        </w:rPr>
                        <w:t xml:space="preserve">Figure 4.6 </w:t>
                      </w:r>
                      <w:r w:rsidRPr="00573B1C">
                        <w:rPr>
                          <w:sz w:val="28"/>
                          <w:szCs w:val="28"/>
                        </w:rPr>
                        <w:t>Question Two Geographical</w:t>
                      </w:r>
                      <w:r w:rsidRPr="00573B1C">
                        <w:rPr>
                          <w:sz w:val="32"/>
                        </w:rPr>
                        <w:t xml:space="preserve"> </w:t>
                      </w:r>
                      <w:r w:rsidRPr="00573B1C">
                        <w:rPr>
                          <w:sz w:val="28"/>
                        </w:rPr>
                        <w:t>Location of Participants</w:t>
                      </w:r>
                    </w:p>
                  </w:txbxContent>
                </v:textbox>
                <w10:wrap anchorx="margin"/>
              </v:shape>
            </w:pict>
          </mc:Fallback>
        </mc:AlternateContent>
      </w:r>
      <w:r w:rsidRPr="00851192">
        <w:rPr>
          <w:rFonts w:ascii="Arial" w:hAnsi="Arial" w:cs="Arial"/>
          <w:noProof/>
          <w:lang w:eastAsia="en-GB"/>
        </w:rPr>
        <w:drawing>
          <wp:anchor distT="0" distB="0" distL="114300" distR="114300" simplePos="0" relativeHeight="251669504" behindDoc="0" locked="0" layoutInCell="1" allowOverlap="1" wp14:anchorId="21D44F71" wp14:editId="54F5005A">
            <wp:simplePos x="0" y="0"/>
            <wp:positionH relativeFrom="margin">
              <wp:posOffset>-1028065</wp:posOffset>
            </wp:positionH>
            <wp:positionV relativeFrom="paragraph">
              <wp:posOffset>1790700</wp:posOffset>
            </wp:positionV>
            <wp:extent cx="8457565" cy="4895215"/>
            <wp:effectExtent l="0" t="9525" r="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Map.png"/>
                    <pic:cNvPicPr/>
                  </pic:nvPicPr>
                  <pic:blipFill>
                    <a:blip r:embed="rId19">
                      <a:extLst>
                        <a:ext uri="{28A0092B-C50C-407E-A947-70E740481C1C}">
                          <a14:useLocalDpi xmlns:a14="http://schemas.microsoft.com/office/drawing/2010/main" val="0"/>
                        </a:ext>
                      </a:extLst>
                    </a:blip>
                    <a:stretch>
                      <a:fillRect/>
                    </a:stretch>
                  </pic:blipFill>
                  <pic:spPr>
                    <a:xfrm rot="16200000">
                      <a:off x="0" y="0"/>
                      <a:ext cx="8457565" cy="4895215"/>
                    </a:xfrm>
                    <a:prstGeom prst="rect">
                      <a:avLst/>
                    </a:prstGeom>
                  </pic:spPr>
                </pic:pic>
              </a:graphicData>
            </a:graphic>
            <wp14:sizeRelH relativeFrom="margin">
              <wp14:pctWidth>0</wp14:pctWidth>
            </wp14:sizeRelH>
            <wp14:sizeRelV relativeFrom="margin">
              <wp14:pctHeight>0</wp14:pctHeight>
            </wp14:sizeRelV>
          </wp:anchor>
        </w:drawing>
      </w:r>
    </w:p>
    <w:p w14:paraId="60D111CF" w14:textId="637A624F" w:rsidR="00AA3708" w:rsidRPr="00851192" w:rsidRDefault="00C961F0" w:rsidP="0003183E">
      <w:pPr>
        <w:spacing w:line="360" w:lineRule="auto"/>
        <w:jc w:val="both"/>
        <w:rPr>
          <w:rFonts w:ascii="Arial" w:hAnsi="Arial" w:cs="Arial"/>
        </w:rPr>
      </w:pPr>
      <w:r w:rsidRPr="00851192">
        <w:rPr>
          <w:rFonts w:ascii="Arial" w:hAnsi="Arial" w:cs="Arial"/>
        </w:rPr>
        <w:lastRenderedPageBreak/>
        <w:t xml:space="preserve">The findings from </w:t>
      </w:r>
      <w:r w:rsidR="00DB50FE" w:rsidRPr="00851192">
        <w:rPr>
          <w:rFonts w:ascii="Arial" w:hAnsi="Arial" w:cs="Arial"/>
        </w:rPr>
        <w:t>the survey</w:t>
      </w:r>
      <w:r w:rsidRPr="00851192">
        <w:rPr>
          <w:rFonts w:ascii="Arial" w:hAnsi="Arial" w:cs="Arial"/>
        </w:rPr>
        <w:t xml:space="preserve"> suggest and reinforce the literature surrounding </w:t>
      </w:r>
      <w:r w:rsidR="001E5793" w:rsidRPr="00851192">
        <w:rPr>
          <w:rFonts w:ascii="Arial" w:hAnsi="Arial" w:cs="Arial"/>
        </w:rPr>
        <w:t xml:space="preserve">the increase in </w:t>
      </w:r>
      <w:r w:rsidRPr="00851192">
        <w:rPr>
          <w:rFonts w:ascii="Arial" w:hAnsi="Arial" w:cs="Arial"/>
        </w:rPr>
        <w:t xml:space="preserve">PG </w:t>
      </w:r>
      <w:r w:rsidR="001E5793" w:rsidRPr="00851192">
        <w:rPr>
          <w:rFonts w:ascii="Arial" w:hAnsi="Arial" w:cs="Arial"/>
        </w:rPr>
        <w:t xml:space="preserve">(Davies, 2017) </w:t>
      </w:r>
      <w:r w:rsidRPr="00851192">
        <w:rPr>
          <w:rFonts w:ascii="Arial" w:hAnsi="Arial" w:cs="Arial"/>
        </w:rPr>
        <w:t xml:space="preserve">alongside </w:t>
      </w:r>
      <w:r w:rsidR="001E5793" w:rsidRPr="00851192">
        <w:rPr>
          <w:rFonts w:ascii="Arial" w:hAnsi="Arial" w:cs="Arial"/>
        </w:rPr>
        <w:t xml:space="preserve">illustrating the power of the global gambling market (KPMG, </w:t>
      </w:r>
      <w:r w:rsidR="00646F33" w:rsidRPr="00851192">
        <w:rPr>
          <w:rFonts w:ascii="Arial" w:hAnsi="Arial" w:cs="Arial"/>
        </w:rPr>
        <w:t>2018)</w:t>
      </w:r>
      <w:r w:rsidR="001E5793" w:rsidRPr="00851192">
        <w:rPr>
          <w:rFonts w:ascii="Arial" w:hAnsi="Arial" w:cs="Arial"/>
        </w:rPr>
        <w:t xml:space="preserve">. </w:t>
      </w:r>
      <w:r w:rsidR="00272CF3" w:rsidRPr="00851192">
        <w:rPr>
          <w:rFonts w:ascii="Arial" w:hAnsi="Arial" w:cs="Arial"/>
        </w:rPr>
        <w:t>Within this section of the survey, g</w:t>
      </w:r>
      <w:r w:rsidR="001E5793" w:rsidRPr="00851192">
        <w:rPr>
          <w:rFonts w:ascii="Arial" w:hAnsi="Arial" w:cs="Arial"/>
        </w:rPr>
        <w:t xml:space="preserve">lobal participants highlight the frequency </w:t>
      </w:r>
      <w:r w:rsidR="00DB50FE" w:rsidRPr="00851192">
        <w:rPr>
          <w:rFonts w:ascii="Arial" w:hAnsi="Arial" w:cs="Arial"/>
        </w:rPr>
        <w:t xml:space="preserve">and characteristics </w:t>
      </w:r>
      <w:r w:rsidR="001E5793" w:rsidRPr="00851192">
        <w:rPr>
          <w:rFonts w:ascii="Arial" w:hAnsi="Arial" w:cs="Arial"/>
        </w:rPr>
        <w:t>of gambling habits</w:t>
      </w:r>
      <w:r w:rsidR="00DB50FE" w:rsidRPr="00851192">
        <w:rPr>
          <w:rFonts w:ascii="Arial" w:hAnsi="Arial" w:cs="Arial"/>
        </w:rPr>
        <w:t xml:space="preserve">. </w:t>
      </w:r>
      <w:r w:rsidR="001E5793" w:rsidRPr="00851192">
        <w:rPr>
          <w:rFonts w:ascii="Arial" w:hAnsi="Arial" w:cs="Arial"/>
        </w:rPr>
        <w:t>The behaviour identified towards gambling more than once a week and above may highlight PG issues</w:t>
      </w:r>
      <w:r w:rsidR="00AC5C73" w:rsidRPr="00851192">
        <w:rPr>
          <w:rFonts w:ascii="Arial" w:hAnsi="Arial" w:cs="Arial"/>
        </w:rPr>
        <w:t xml:space="preserve"> with a</w:t>
      </w:r>
      <w:r w:rsidR="001E5793" w:rsidRPr="00851192">
        <w:rPr>
          <w:rFonts w:ascii="Arial" w:hAnsi="Arial" w:cs="Arial"/>
        </w:rPr>
        <w:t xml:space="preserve"> large proportion of participants </w:t>
      </w:r>
      <w:r w:rsidR="00272CF3" w:rsidRPr="00851192">
        <w:rPr>
          <w:rFonts w:ascii="Arial" w:hAnsi="Arial" w:cs="Arial"/>
        </w:rPr>
        <w:t xml:space="preserve">taking part in the survey from </w:t>
      </w:r>
      <w:r w:rsidR="00AC5C73" w:rsidRPr="00851192">
        <w:rPr>
          <w:rFonts w:ascii="Arial" w:hAnsi="Arial" w:cs="Arial"/>
        </w:rPr>
        <w:t>Europe</w:t>
      </w:r>
      <w:r w:rsidR="00646F33" w:rsidRPr="00851192">
        <w:rPr>
          <w:rFonts w:ascii="Arial" w:hAnsi="Arial" w:cs="Arial"/>
        </w:rPr>
        <w:t>. The</w:t>
      </w:r>
      <w:r w:rsidR="001E5793" w:rsidRPr="00851192">
        <w:rPr>
          <w:rFonts w:ascii="Arial" w:hAnsi="Arial" w:cs="Arial"/>
        </w:rPr>
        <w:t xml:space="preserve"> relationship between gambling habits</w:t>
      </w:r>
      <w:r w:rsidR="00646F33" w:rsidRPr="00851192">
        <w:rPr>
          <w:rFonts w:ascii="Arial" w:hAnsi="Arial" w:cs="Arial"/>
        </w:rPr>
        <w:t xml:space="preserve"> disclosed by participants</w:t>
      </w:r>
      <w:r w:rsidR="001E5793" w:rsidRPr="00851192">
        <w:rPr>
          <w:rFonts w:ascii="Arial" w:hAnsi="Arial" w:cs="Arial"/>
        </w:rPr>
        <w:t>,</w:t>
      </w:r>
      <w:r w:rsidR="00646F33" w:rsidRPr="00851192">
        <w:rPr>
          <w:rFonts w:ascii="Arial" w:hAnsi="Arial" w:cs="Arial"/>
        </w:rPr>
        <w:t xml:space="preserve"> alongside</w:t>
      </w:r>
      <w:r w:rsidR="001E5793" w:rsidRPr="00851192">
        <w:rPr>
          <w:rFonts w:ascii="Arial" w:hAnsi="Arial" w:cs="Arial"/>
        </w:rPr>
        <w:t xml:space="preserve"> </w:t>
      </w:r>
      <w:r w:rsidR="00AC5C73" w:rsidRPr="00851192">
        <w:rPr>
          <w:rFonts w:ascii="Arial" w:hAnsi="Arial" w:cs="Arial"/>
        </w:rPr>
        <w:t>the strength within the European market in comparison to others as highlighted by KPMG (2017) has become</w:t>
      </w:r>
      <w:r w:rsidR="00646F33" w:rsidRPr="00851192">
        <w:rPr>
          <w:rFonts w:ascii="Arial" w:hAnsi="Arial" w:cs="Arial"/>
        </w:rPr>
        <w:t xml:space="preserve"> </w:t>
      </w:r>
      <w:r w:rsidR="00272CF3" w:rsidRPr="00851192">
        <w:rPr>
          <w:rFonts w:ascii="Arial" w:hAnsi="Arial" w:cs="Arial"/>
        </w:rPr>
        <w:t xml:space="preserve">a power </w:t>
      </w:r>
      <w:r w:rsidR="00646F33" w:rsidRPr="00851192">
        <w:rPr>
          <w:rFonts w:ascii="Arial" w:hAnsi="Arial" w:cs="Arial"/>
        </w:rPr>
        <w:t xml:space="preserve">house and catalyst for the </w:t>
      </w:r>
      <w:r w:rsidR="00AD22E2" w:rsidRPr="00851192">
        <w:rPr>
          <w:rFonts w:ascii="Arial" w:hAnsi="Arial" w:cs="Arial"/>
        </w:rPr>
        <w:t>GGI</w:t>
      </w:r>
      <w:r w:rsidR="00646F33" w:rsidRPr="00851192">
        <w:rPr>
          <w:rFonts w:ascii="Arial" w:hAnsi="Arial" w:cs="Arial"/>
        </w:rPr>
        <w:t xml:space="preserve"> to </w:t>
      </w:r>
      <w:r w:rsidR="00AC5C73" w:rsidRPr="00851192">
        <w:rPr>
          <w:rFonts w:ascii="Arial" w:hAnsi="Arial" w:cs="Arial"/>
        </w:rPr>
        <w:t>continue exponential growth as supported by Statista (2018)</w:t>
      </w:r>
      <w:r w:rsidR="00646F33" w:rsidRPr="00851192">
        <w:rPr>
          <w:rFonts w:ascii="Arial" w:hAnsi="Arial" w:cs="Arial"/>
        </w:rPr>
        <w:t xml:space="preserve"> </w:t>
      </w:r>
      <w:r w:rsidR="00AC5C73" w:rsidRPr="00851192">
        <w:rPr>
          <w:rFonts w:ascii="Arial" w:hAnsi="Arial" w:cs="Arial"/>
        </w:rPr>
        <w:t xml:space="preserve">which </w:t>
      </w:r>
      <w:r w:rsidR="00272CF3" w:rsidRPr="00851192">
        <w:rPr>
          <w:rFonts w:ascii="Arial" w:hAnsi="Arial" w:cs="Arial"/>
        </w:rPr>
        <w:t xml:space="preserve">has been identified to </w:t>
      </w:r>
      <w:r w:rsidR="00AC5C73" w:rsidRPr="00851192">
        <w:rPr>
          <w:rFonts w:ascii="Arial" w:hAnsi="Arial" w:cs="Arial"/>
        </w:rPr>
        <w:t>contribute to</w:t>
      </w:r>
      <w:r w:rsidR="00272CF3" w:rsidRPr="00851192">
        <w:rPr>
          <w:rFonts w:ascii="Arial" w:hAnsi="Arial" w:cs="Arial"/>
        </w:rPr>
        <w:t>wards</w:t>
      </w:r>
      <w:r w:rsidR="00646F33" w:rsidRPr="00851192">
        <w:rPr>
          <w:rFonts w:ascii="Arial" w:hAnsi="Arial" w:cs="Arial"/>
        </w:rPr>
        <w:t xml:space="preserve"> PG </w:t>
      </w:r>
      <w:r w:rsidR="00AC5C73" w:rsidRPr="00851192">
        <w:rPr>
          <w:rFonts w:ascii="Arial" w:hAnsi="Arial" w:cs="Arial"/>
        </w:rPr>
        <w:t>being</w:t>
      </w:r>
      <w:r w:rsidR="00646F33" w:rsidRPr="00851192">
        <w:rPr>
          <w:rFonts w:ascii="Arial" w:hAnsi="Arial" w:cs="Arial"/>
        </w:rPr>
        <w:t xml:space="preserve"> more prominent</w:t>
      </w:r>
      <w:r w:rsidR="00AC5C73" w:rsidRPr="00851192">
        <w:rPr>
          <w:rFonts w:ascii="Arial" w:hAnsi="Arial" w:cs="Arial"/>
        </w:rPr>
        <w:t xml:space="preserve"> within society</w:t>
      </w:r>
      <w:r w:rsidR="00646F33" w:rsidRPr="00851192">
        <w:rPr>
          <w:rFonts w:ascii="Arial" w:hAnsi="Arial" w:cs="Arial"/>
        </w:rPr>
        <w:t xml:space="preserve"> </w:t>
      </w:r>
      <w:sdt>
        <w:sdtPr>
          <w:rPr>
            <w:rFonts w:ascii="Arial" w:hAnsi="Arial" w:cs="Arial"/>
          </w:rPr>
          <w:id w:val="1846283434"/>
          <w:citation/>
        </w:sdtPr>
        <w:sdtEndPr/>
        <w:sdtContent>
          <w:r w:rsidR="00646F33" w:rsidRPr="00851192">
            <w:rPr>
              <w:rFonts w:ascii="Arial" w:hAnsi="Arial" w:cs="Arial"/>
            </w:rPr>
            <w:fldChar w:fldCharType="begin"/>
          </w:r>
          <w:r w:rsidR="00646F33" w:rsidRPr="00851192">
            <w:rPr>
              <w:rFonts w:ascii="Arial" w:hAnsi="Arial" w:cs="Arial"/>
            </w:rPr>
            <w:instrText xml:space="preserve"> CITATION Geo14 \l 2057 </w:instrText>
          </w:r>
          <w:r w:rsidR="00646F33" w:rsidRPr="00851192">
            <w:rPr>
              <w:rFonts w:ascii="Arial" w:hAnsi="Arial" w:cs="Arial"/>
            </w:rPr>
            <w:fldChar w:fldCharType="separate"/>
          </w:r>
          <w:r w:rsidR="002D17EA" w:rsidRPr="00851192">
            <w:rPr>
              <w:rFonts w:ascii="Arial" w:hAnsi="Arial" w:cs="Arial"/>
              <w:noProof/>
            </w:rPr>
            <w:t>(George &amp; Bowden-Jones, 2014)</w:t>
          </w:r>
          <w:r w:rsidR="00646F33" w:rsidRPr="00851192">
            <w:rPr>
              <w:rFonts w:ascii="Arial" w:hAnsi="Arial" w:cs="Arial"/>
            </w:rPr>
            <w:fldChar w:fldCharType="end"/>
          </w:r>
        </w:sdtContent>
      </w:sdt>
      <w:r w:rsidR="00646F33" w:rsidRPr="00851192">
        <w:rPr>
          <w:rFonts w:ascii="Arial" w:hAnsi="Arial" w:cs="Arial"/>
        </w:rPr>
        <w:t>.</w:t>
      </w:r>
      <w:r w:rsidR="00DC3C61" w:rsidRPr="00851192">
        <w:rPr>
          <w:rFonts w:ascii="Arial" w:hAnsi="Arial" w:cs="Arial"/>
        </w:rPr>
        <w:t xml:space="preserve"> The frequency disclosed by participants alongside the literature supporting the value of the gambling market should suggest that GGO’s within the study value CSR and CSR communication highly which is reinforced by publicised annual reports. </w:t>
      </w:r>
    </w:p>
    <w:p w14:paraId="3EAF2EDB" w14:textId="61A559E7" w:rsidR="00646F33" w:rsidRPr="00851192" w:rsidRDefault="00C961F0" w:rsidP="00646F33">
      <w:pPr>
        <w:jc w:val="center"/>
        <w:rPr>
          <w:rFonts w:ascii="Arial" w:hAnsi="Arial" w:cs="Arial"/>
        </w:rPr>
      </w:pPr>
      <w:r w:rsidRPr="00851192">
        <w:rPr>
          <w:rFonts w:ascii="Arial" w:hAnsi="Arial" w:cs="Arial"/>
          <w:noProof/>
          <w:lang w:eastAsia="en-GB"/>
        </w:rPr>
        <w:drawing>
          <wp:inline distT="0" distB="0" distL="0" distR="0" wp14:anchorId="118F25E8" wp14:editId="3BA7B2B0">
            <wp:extent cx="4552950" cy="2743200"/>
            <wp:effectExtent l="0" t="0" r="0" b="0"/>
            <wp:docPr id="31" name="Chart 31">
              <a:extLst xmlns:a="http://schemas.openxmlformats.org/drawingml/2006/main">
                <a:ext uri="{FF2B5EF4-FFF2-40B4-BE49-F238E27FC236}">
                  <a16:creationId xmlns:a16="http://schemas.microsoft.com/office/drawing/2014/main" id="{E6A2EFF9-65B2-4649-92EE-F75A3E6DEE3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12524C7E" w14:textId="3D260573" w:rsidR="00C961F0" w:rsidRPr="00851192" w:rsidRDefault="00C961F0" w:rsidP="00AA3708">
      <w:pPr>
        <w:jc w:val="center"/>
        <w:rPr>
          <w:rFonts w:ascii="Arial" w:hAnsi="Arial" w:cs="Arial"/>
        </w:rPr>
      </w:pPr>
    </w:p>
    <w:p w14:paraId="6C1DD0A6" w14:textId="76ABCFD6" w:rsidR="00C961F0" w:rsidRPr="00851192" w:rsidRDefault="00716059" w:rsidP="00AA3708">
      <w:pPr>
        <w:jc w:val="center"/>
        <w:rPr>
          <w:rFonts w:ascii="Arial" w:hAnsi="Arial" w:cs="Arial"/>
        </w:rPr>
      </w:pPr>
      <w:r w:rsidRPr="00851192">
        <w:rPr>
          <w:rFonts w:ascii="Arial" w:hAnsi="Arial" w:cs="Arial"/>
          <w:noProof/>
          <w:lang w:eastAsia="en-GB"/>
        </w:rPr>
        <w:lastRenderedPageBreak/>
        <mc:AlternateContent>
          <mc:Choice Requires="wps">
            <w:drawing>
              <wp:anchor distT="0" distB="0" distL="114300" distR="114300" simplePos="0" relativeHeight="251796480" behindDoc="0" locked="0" layoutInCell="1" allowOverlap="1" wp14:anchorId="1CB26FFD" wp14:editId="46637E84">
                <wp:simplePos x="0" y="0"/>
                <wp:positionH relativeFrom="column">
                  <wp:posOffset>3133724</wp:posOffset>
                </wp:positionH>
                <wp:positionV relativeFrom="paragraph">
                  <wp:posOffset>384810</wp:posOffset>
                </wp:positionV>
                <wp:extent cx="9525" cy="1857375"/>
                <wp:effectExtent l="0" t="0" r="28575" b="28575"/>
                <wp:wrapNone/>
                <wp:docPr id="287" name="Straight Connector 287"/>
                <wp:cNvGraphicFramePr/>
                <a:graphic xmlns:a="http://schemas.openxmlformats.org/drawingml/2006/main">
                  <a:graphicData uri="http://schemas.microsoft.com/office/word/2010/wordprocessingShape">
                    <wps:wsp>
                      <wps:cNvCnPr/>
                      <wps:spPr>
                        <a:xfrm>
                          <a:off x="0" y="0"/>
                          <a:ext cx="9525" cy="18573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line w14:anchorId="57B5484A" id="Straight Connector 287" o:spid="_x0000_s1026" style="position:absolute;z-index:251796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6.75pt,30.3pt" to="247.5pt,176.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" strokecolor="#4472c4 [3204]" strokeweight=".5pt">
                <v:stroke joinstyle="miter"/>
              </v:line>
            </w:pict>
          </mc:Fallback>
        </mc:AlternateContent>
      </w:r>
      <w:r w:rsidRPr="00851192">
        <w:rPr>
          <w:rFonts w:ascii="Arial" w:hAnsi="Arial" w:cs="Arial"/>
          <w:noProof/>
          <w:lang w:eastAsia="en-GB"/>
        </w:rPr>
        <mc:AlternateContent>
          <mc:Choice Requires="wps">
            <w:drawing>
              <wp:anchor distT="45720" distB="45720" distL="114300" distR="114300" simplePos="0" relativeHeight="251798528" behindDoc="0" locked="0" layoutInCell="1" allowOverlap="1" wp14:anchorId="169D5250" wp14:editId="41FD5834">
                <wp:simplePos x="0" y="0"/>
                <wp:positionH relativeFrom="column">
                  <wp:posOffset>4229100</wp:posOffset>
                </wp:positionH>
                <wp:positionV relativeFrom="paragraph">
                  <wp:posOffset>190500</wp:posOffset>
                </wp:positionV>
                <wp:extent cx="981075" cy="1404620"/>
                <wp:effectExtent l="0" t="0" r="9525" b="0"/>
                <wp:wrapNone/>
                <wp:docPr id="1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81075" cy="1404620"/>
                        </a:xfrm>
                        <a:prstGeom prst="rect">
                          <a:avLst/>
                        </a:prstGeom>
                        <a:solidFill>
                          <a:srgbClr val="FFFFFF"/>
                        </a:solidFill>
                        <a:ln w="9525">
                          <a:noFill/>
                          <a:miter lim="800000"/>
                          <a:headEnd/>
                          <a:tailEnd/>
                        </a:ln>
                      </wps:spPr>
                      <wps:txbx>
                        <w:txbxContent>
                          <w:p w14:paraId="32C69B84" w14:textId="77777777" w:rsidR="005B7C1E" w:rsidRDefault="005B7C1E" w:rsidP="00716059">
                            <w:r>
                              <w:t>SD = 5.1342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169D5250" id="_x0000_s1028" type="#_x0000_t202" style="position:absolute;left:0;text-align:left;margin-left:333pt;margin-top:15pt;width:77.25pt;height:110.6pt;z-index:25179852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" stroked="f">
                <v:textbox style="mso-fit-shape-to-text:t">
                  <w:txbxContent>
                    <w:p w14:paraId="32C69B84" w14:textId="77777777" w:rsidR="005B7C1E" w:rsidRDefault="005B7C1E" w:rsidP="00716059">
                      <w:r>
                        <w:t>SD = 5.1342</w:t>
                      </w:r>
                    </w:p>
                  </w:txbxContent>
                </v:textbox>
              </v:shape>
            </w:pict>
          </mc:Fallback>
        </mc:AlternateContent>
      </w:r>
      <w:r w:rsidR="00EA0852" w:rsidRPr="00851192">
        <w:rPr>
          <w:rFonts w:ascii="Arial" w:hAnsi="Arial" w:cs="Arial"/>
          <w:noProof/>
          <w:lang w:eastAsia="en-GB"/>
        </w:rPr>
        <w:drawing>
          <wp:inline distT="0" distB="0" distL="0" distR="0" wp14:anchorId="7EF218CC" wp14:editId="7D1FDC74">
            <wp:extent cx="4714875" cy="2762250"/>
            <wp:effectExtent l="0" t="0" r="9525" b="0"/>
            <wp:docPr id="192" name="Chart 192">
              <a:extLst xmlns:a="http://schemas.openxmlformats.org/drawingml/2006/main">
                <a:ext uri="{FF2B5EF4-FFF2-40B4-BE49-F238E27FC236}">
                  <a16:creationId xmlns:a16="http://schemas.microsoft.com/office/drawing/2014/main" id="{C3203381-D998-487D-8FCB-6E6A7F75E65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tbl>
      <w:tblPr>
        <w:tblW w:w="586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60"/>
        <w:gridCol w:w="1256"/>
        <w:gridCol w:w="1900"/>
      </w:tblGrid>
      <w:tr w:rsidR="00850633" w:rsidRPr="00851192" w14:paraId="386DD53D" w14:textId="77777777" w:rsidTr="00C961F0">
        <w:trPr>
          <w:trHeight w:val="300"/>
          <w:jc w:val="center"/>
        </w:trPr>
        <w:tc>
          <w:tcPr>
            <w:tcW w:w="2760" w:type="dxa"/>
            <w:shd w:val="clear" w:color="auto" w:fill="auto"/>
            <w:noWrap/>
            <w:vAlign w:val="bottom"/>
            <w:hideMark/>
          </w:tcPr>
          <w:p w14:paraId="4EDF3BF4" w14:textId="429E2539" w:rsidR="00850633" w:rsidRPr="00851192" w:rsidRDefault="00850633" w:rsidP="008506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Categories</w:t>
            </w:r>
          </w:p>
        </w:tc>
        <w:tc>
          <w:tcPr>
            <w:tcW w:w="1200" w:type="dxa"/>
            <w:shd w:val="clear" w:color="auto" w:fill="auto"/>
            <w:noWrap/>
            <w:vAlign w:val="bottom"/>
            <w:hideMark/>
          </w:tcPr>
          <w:p w14:paraId="650BECCF" w14:textId="77777777" w:rsidR="00850633" w:rsidRPr="00851192" w:rsidRDefault="00850633" w:rsidP="008506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Frequency</w:t>
            </w:r>
          </w:p>
        </w:tc>
        <w:tc>
          <w:tcPr>
            <w:tcW w:w="1900" w:type="dxa"/>
            <w:shd w:val="clear" w:color="auto" w:fill="auto"/>
            <w:noWrap/>
            <w:vAlign w:val="bottom"/>
            <w:hideMark/>
          </w:tcPr>
          <w:p w14:paraId="1588B3FE" w14:textId="0FAFCF2B" w:rsidR="00850633" w:rsidRPr="00851192" w:rsidRDefault="00850633" w:rsidP="008506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 </w:t>
            </w:r>
            <w:r w:rsidRPr="00851192">
              <w:rPr>
                <w:rFonts w:ascii="Arial" w:eastAsia="Times New Roman" w:hAnsi="Arial" w:cs="Arial"/>
                <w:noProof/>
                <w:color w:val="000000"/>
                <w:lang w:eastAsia="en-GB"/>
              </w:rPr>
              <w:drawing>
                <wp:inline distT="0" distB="0" distL="0" distR="0" wp14:anchorId="66AB6715" wp14:editId="1DB663E3">
                  <wp:extent cx="1026543" cy="353044"/>
                  <wp:effectExtent l="0" t="0" r="2540" b="9525"/>
                  <wp:docPr id="282" name="Picture 2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 name="standard-deviation-formula.gif"/>
                          <pic:cNvPicPr/>
                        </pic:nvPicPr>
                        <pic:blipFill>
                          <a:blip r:embed="rId18">
                            <a:extLst>
                              <a:ext uri="{28A0092B-C50C-407E-A947-70E740481C1C}">
                                <a14:useLocalDpi xmlns:a14="http://schemas.microsoft.com/office/drawing/2010/main" val="0"/>
                              </a:ext>
                            </a:extLst>
                          </a:blip>
                          <a:stretch>
                            <a:fillRect/>
                          </a:stretch>
                        </pic:blipFill>
                        <pic:spPr>
                          <a:xfrm>
                            <a:off x="0" y="0"/>
                            <a:ext cx="1040953" cy="358000"/>
                          </a:xfrm>
                          <a:prstGeom prst="rect">
                            <a:avLst/>
                          </a:prstGeom>
                        </pic:spPr>
                      </pic:pic>
                    </a:graphicData>
                  </a:graphic>
                </wp:inline>
              </w:drawing>
            </w:r>
          </w:p>
        </w:tc>
      </w:tr>
      <w:tr w:rsidR="00850633" w:rsidRPr="00851192" w14:paraId="367FDD1C" w14:textId="77777777" w:rsidTr="00C961F0">
        <w:trPr>
          <w:trHeight w:val="300"/>
          <w:jc w:val="center"/>
        </w:trPr>
        <w:tc>
          <w:tcPr>
            <w:tcW w:w="2760" w:type="dxa"/>
            <w:shd w:val="clear" w:color="auto" w:fill="auto"/>
            <w:noWrap/>
            <w:vAlign w:val="bottom"/>
            <w:hideMark/>
          </w:tcPr>
          <w:p w14:paraId="689A6750" w14:textId="77777777" w:rsidR="00850633" w:rsidRPr="00851192" w:rsidRDefault="00850633" w:rsidP="008506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Never</w:t>
            </w:r>
          </w:p>
        </w:tc>
        <w:tc>
          <w:tcPr>
            <w:tcW w:w="1200" w:type="dxa"/>
            <w:shd w:val="clear" w:color="auto" w:fill="auto"/>
            <w:noWrap/>
            <w:vAlign w:val="bottom"/>
            <w:hideMark/>
          </w:tcPr>
          <w:p w14:paraId="067A6652" w14:textId="77777777" w:rsidR="00850633" w:rsidRPr="00851192" w:rsidRDefault="00850633" w:rsidP="008506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23</w:t>
            </w:r>
          </w:p>
        </w:tc>
        <w:tc>
          <w:tcPr>
            <w:tcW w:w="1900" w:type="dxa"/>
            <w:shd w:val="clear" w:color="auto" w:fill="auto"/>
            <w:noWrap/>
            <w:vAlign w:val="bottom"/>
            <w:hideMark/>
          </w:tcPr>
          <w:p w14:paraId="20B40DBD" w14:textId="77777777" w:rsidR="00850633" w:rsidRPr="00851192" w:rsidRDefault="00850633" w:rsidP="008506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1.96</w:t>
            </w:r>
          </w:p>
        </w:tc>
      </w:tr>
      <w:tr w:rsidR="00850633" w:rsidRPr="00851192" w14:paraId="1DB6F2DF" w14:textId="77777777" w:rsidTr="00C961F0">
        <w:trPr>
          <w:trHeight w:val="300"/>
          <w:jc w:val="center"/>
        </w:trPr>
        <w:tc>
          <w:tcPr>
            <w:tcW w:w="2760" w:type="dxa"/>
            <w:shd w:val="clear" w:color="auto" w:fill="auto"/>
            <w:noWrap/>
            <w:vAlign w:val="bottom"/>
            <w:hideMark/>
          </w:tcPr>
          <w:p w14:paraId="62523FA8" w14:textId="77777777" w:rsidR="00850633" w:rsidRPr="00851192" w:rsidRDefault="00850633" w:rsidP="008506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Once a week</w:t>
            </w:r>
          </w:p>
        </w:tc>
        <w:tc>
          <w:tcPr>
            <w:tcW w:w="1200" w:type="dxa"/>
            <w:shd w:val="clear" w:color="auto" w:fill="auto"/>
            <w:noWrap/>
            <w:vAlign w:val="bottom"/>
            <w:hideMark/>
          </w:tcPr>
          <w:p w14:paraId="0860EAA0" w14:textId="77777777" w:rsidR="00850633" w:rsidRPr="00851192" w:rsidRDefault="00850633" w:rsidP="008506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30</w:t>
            </w:r>
          </w:p>
        </w:tc>
        <w:tc>
          <w:tcPr>
            <w:tcW w:w="1900" w:type="dxa"/>
            <w:shd w:val="clear" w:color="auto" w:fill="auto"/>
            <w:noWrap/>
            <w:vAlign w:val="bottom"/>
            <w:hideMark/>
          </w:tcPr>
          <w:p w14:paraId="0915A065" w14:textId="77777777" w:rsidR="00850633" w:rsidRPr="00851192" w:rsidRDefault="00850633" w:rsidP="008506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31.36</w:t>
            </w:r>
          </w:p>
        </w:tc>
      </w:tr>
      <w:tr w:rsidR="00850633" w:rsidRPr="00851192" w14:paraId="3EF99091" w14:textId="77777777" w:rsidTr="00C961F0">
        <w:trPr>
          <w:trHeight w:val="300"/>
          <w:jc w:val="center"/>
        </w:trPr>
        <w:tc>
          <w:tcPr>
            <w:tcW w:w="2760" w:type="dxa"/>
            <w:shd w:val="clear" w:color="auto" w:fill="auto"/>
            <w:noWrap/>
            <w:vAlign w:val="bottom"/>
            <w:hideMark/>
          </w:tcPr>
          <w:p w14:paraId="0E9026FD" w14:textId="77777777" w:rsidR="00850633" w:rsidRPr="00851192" w:rsidRDefault="00850633" w:rsidP="008506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More than once a week</w:t>
            </w:r>
          </w:p>
        </w:tc>
        <w:tc>
          <w:tcPr>
            <w:tcW w:w="1200" w:type="dxa"/>
            <w:shd w:val="clear" w:color="auto" w:fill="auto"/>
            <w:noWrap/>
            <w:vAlign w:val="bottom"/>
            <w:hideMark/>
          </w:tcPr>
          <w:p w14:paraId="4B346072" w14:textId="77777777" w:rsidR="00850633" w:rsidRPr="00851192" w:rsidRDefault="00850633" w:rsidP="008506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31</w:t>
            </w:r>
          </w:p>
        </w:tc>
        <w:tc>
          <w:tcPr>
            <w:tcW w:w="1900" w:type="dxa"/>
            <w:shd w:val="clear" w:color="auto" w:fill="auto"/>
            <w:noWrap/>
            <w:vAlign w:val="bottom"/>
            <w:hideMark/>
          </w:tcPr>
          <w:p w14:paraId="3364D985" w14:textId="77777777" w:rsidR="00850633" w:rsidRPr="00851192" w:rsidRDefault="00850633" w:rsidP="008506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43.56</w:t>
            </w:r>
          </w:p>
        </w:tc>
      </w:tr>
      <w:tr w:rsidR="00850633" w:rsidRPr="00851192" w14:paraId="17CB5E5E" w14:textId="77777777" w:rsidTr="00C961F0">
        <w:trPr>
          <w:trHeight w:val="300"/>
          <w:jc w:val="center"/>
        </w:trPr>
        <w:tc>
          <w:tcPr>
            <w:tcW w:w="2760" w:type="dxa"/>
            <w:shd w:val="clear" w:color="auto" w:fill="auto"/>
            <w:noWrap/>
            <w:vAlign w:val="bottom"/>
            <w:hideMark/>
          </w:tcPr>
          <w:p w14:paraId="072BEEEF" w14:textId="77777777" w:rsidR="00850633" w:rsidRPr="00851192" w:rsidRDefault="00850633" w:rsidP="008506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Up to 10 times a month</w:t>
            </w:r>
          </w:p>
        </w:tc>
        <w:tc>
          <w:tcPr>
            <w:tcW w:w="1200" w:type="dxa"/>
            <w:shd w:val="clear" w:color="auto" w:fill="auto"/>
            <w:noWrap/>
            <w:vAlign w:val="bottom"/>
            <w:hideMark/>
          </w:tcPr>
          <w:p w14:paraId="3B79FBA6" w14:textId="77777777" w:rsidR="00850633" w:rsidRPr="00851192" w:rsidRDefault="00850633" w:rsidP="008506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17</w:t>
            </w:r>
          </w:p>
        </w:tc>
        <w:tc>
          <w:tcPr>
            <w:tcW w:w="1900" w:type="dxa"/>
            <w:shd w:val="clear" w:color="auto" w:fill="auto"/>
            <w:noWrap/>
            <w:vAlign w:val="bottom"/>
            <w:hideMark/>
          </w:tcPr>
          <w:p w14:paraId="51B7EB51" w14:textId="77777777" w:rsidR="00850633" w:rsidRPr="00851192" w:rsidRDefault="00850633" w:rsidP="008506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54.76</w:t>
            </w:r>
          </w:p>
        </w:tc>
      </w:tr>
      <w:tr w:rsidR="00850633" w:rsidRPr="00851192" w14:paraId="23946C6B" w14:textId="77777777" w:rsidTr="00C961F0">
        <w:trPr>
          <w:trHeight w:val="300"/>
          <w:jc w:val="center"/>
        </w:trPr>
        <w:tc>
          <w:tcPr>
            <w:tcW w:w="2760" w:type="dxa"/>
            <w:shd w:val="clear" w:color="auto" w:fill="auto"/>
            <w:noWrap/>
            <w:vAlign w:val="bottom"/>
            <w:hideMark/>
          </w:tcPr>
          <w:p w14:paraId="6FEFEAC0" w14:textId="77777777" w:rsidR="00850633" w:rsidRPr="00851192" w:rsidRDefault="00850633" w:rsidP="008506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More than 10 times a month</w:t>
            </w:r>
          </w:p>
        </w:tc>
        <w:tc>
          <w:tcPr>
            <w:tcW w:w="1200" w:type="dxa"/>
            <w:shd w:val="clear" w:color="auto" w:fill="auto"/>
            <w:noWrap/>
            <w:vAlign w:val="bottom"/>
            <w:hideMark/>
          </w:tcPr>
          <w:p w14:paraId="620DC734" w14:textId="77777777" w:rsidR="00850633" w:rsidRPr="00851192" w:rsidRDefault="00850633" w:rsidP="008506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21</w:t>
            </w:r>
          </w:p>
        </w:tc>
        <w:tc>
          <w:tcPr>
            <w:tcW w:w="1900" w:type="dxa"/>
            <w:shd w:val="clear" w:color="auto" w:fill="auto"/>
            <w:noWrap/>
            <w:vAlign w:val="bottom"/>
            <w:hideMark/>
          </w:tcPr>
          <w:p w14:paraId="459FEEAE" w14:textId="77777777" w:rsidR="00850633" w:rsidRPr="00851192" w:rsidRDefault="00850633" w:rsidP="008506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0.16</w:t>
            </w:r>
          </w:p>
        </w:tc>
      </w:tr>
      <w:tr w:rsidR="00850633" w:rsidRPr="00851192" w14:paraId="3CFC9070" w14:textId="77777777" w:rsidTr="00C961F0">
        <w:trPr>
          <w:trHeight w:val="300"/>
          <w:jc w:val="center"/>
        </w:trPr>
        <w:tc>
          <w:tcPr>
            <w:tcW w:w="2760" w:type="dxa"/>
            <w:shd w:val="clear" w:color="auto" w:fill="auto"/>
            <w:noWrap/>
            <w:vAlign w:val="bottom"/>
            <w:hideMark/>
          </w:tcPr>
          <w:p w14:paraId="10100B3B" w14:textId="77777777" w:rsidR="00850633" w:rsidRPr="00851192" w:rsidRDefault="00850633" w:rsidP="008506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Mean =</w:t>
            </w:r>
          </w:p>
        </w:tc>
        <w:tc>
          <w:tcPr>
            <w:tcW w:w="1200" w:type="dxa"/>
            <w:shd w:val="clear" w:color="auto" w:fill="auto"/>
            <w:noWrap/>
            <w:vAlign w:val="bottom"/>
            <w:hideMark/>
          </w:tcPr>
          <w:p w14:paraId="528B9F6A" w14:textId="77777777" w:rsidR="00850633" w:rsidRPr="00851192" w:rsidRDefault="00850633" w:rsidP="008506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24.4</w:t>
            </w:r>
          </w:p>
        </w:tc>
        <w:tc>
          <w:tcPr>
            <w:tcW w:w="1900" w:type="dxa"/>
            <w:shd w:val="clear" w:color="auto" w:fill="auto"/>
            <w:noWrap/>
            <w:vAlign w:val="bottom"/>
            <w:hideMark/>
          </w:tcPr>
          <w:p w14:paraId="516F7C33" w14:textId="77777777" w:rsidR="00850633" w:rsidRPr="00851192" w:rsidRDefault="00850633" w:rsidP="008506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 </w:t>
            </w:r>
          </w:p>
        </w:tc>
      </w:tr>
      <w:tr w:rsidR="00850633" w:rsidRPr="00851192" w14:paraId="69D13C54" w14:textId="77777777" w:rsidTr="00C961F0">
        <w:trPr>
          <w:trHeight w:val="315"/>
          <w:jc w:val="center"/>
        </w:trPr>
        <w:tc>
          <w:tcPr>
            <w:tcW w:w="2760" w:type="dxa"/>
            <w:shd w:val="clear" w:color="auto" w:fill="auto"/>
            <w:noWrap/>
            <w:vAlign w:val="bottom"/>
            <w:hideMark/>
          </w:tcPr>
          <w:p w14:paraId="403DDF58" w14:textId="77777777" w:rsidR="00850633" w:rsidRPr="00851192" w:rsidRDefault="00850633" w:rsidP="008506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Standard Deviation =</w:t>
            </w:r>
          </w:p>
        </w:tc>
        <w:tc>
          <w:tcPr>
            <w:tcW w:w="1200" w:type="dxa"/>
            <w:shd w:val="clear" w:color="auto" w:fill="auto"/>
            <w:noWrap/>
            <w:vAlign w:val="bottom"/>
            <w:hideMark/>
          </w:tcPr>
          <w:p w14:paraId="20AE17D3" w14:textId="77777777" w:rsidR="00850633" w:rsidRPr="00851192" w:rsidRDefault="00850633" w:rsidP="008506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 </w:t>
            </w:r>
          </w:p>
        </w:tc>
        <w:tc>
          <w:tcPr>
            <w:tcW w:w="1900" w:type="dxa"/>
            <w:shd w:val="clear" w:color="auto" w:fill="auto"/>
            <w:noWrap/>
            <w:vAlign w:val="bottom"/>
            <w:hideMark/>
          </w:tcPr>
          <w:p w14:paraId="51D4BFDC" w14:textId="23D05CEB" w:rsidR="00850633" w:rsidRPr="00851192" w:rsidRDefault="0094166C" w:rsidP="008506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5.1342</w:t>
            </w:r>
          </w:p>
        </w:tc>
      </w:tr>
      <w:tr w:rsidR="00F23E01" w:rsidRPr="00851192" w14:paraId="04A10F09" w14:textId="77777777" w:rsidTr="00C961F0">
        <w:trPr>
          <w:trHeight w:val="315"/>
          <w:jc w:val="center"/>
        </w:trPr>
        <w:tc>
          <w:tcPr>
            <w:tcW w:w="2760" w:type="dxa"/>
            <w:shd w:val="clear" w:color="auto" w:fill="auto"/>
            <w:noWrap/>
            <w:vAlign w:val="bottom"/>
          </w:tcPr>
          <w:p w14:paraId="6E7D21F0" w14:textId="7373405B" w:rsidR="00F23E01" w:rsidRPr="00851192" w:rsidRDefault="00F23E01" w:rsidP="00850633">
            <w:pPr>
              <w:spacing w:after="0" w:line="240" w:lineRule="auto"/>
              <w:rPr>
                <w:rFonts w:ascii="Arial" w:eastAsia="Times New Roman" w:hAnsi="Arial" w:cs="Arial"/>
                <w:color w:val="000000"/>
                <w:lang w:eastAsia="en-GB"/>
              </w:rPr>
            </w:pPr>
            <w:r>
              <w:rPr>
                <w:rFonts w:ascii="Arial" w:eastAsia="Times New Roman" w:hAnsi="Arial" w:cs="Arial"/>
                <w:color w:val="000000"/>
                <w:lang w:eastAsia="en-GB"/>
              </w:rPr>
              <w:t xml:space="preserve">Median = </w:t>
            </w:r>
          </w:p>
        </w:tc>
        <w:tc>
          <w:tcPr>
            <w:tcW w:w="1200" w:type="dxa"/>
            <w:shd w:val="clear" w:color="auto" w:fill="auto"/>
            <w:noWrap/>
            <w:vAlign w:val="bottom"/>
          </w:tcPr>
          <w:p w14:paraId="518BF344" w14:textId="77777777" w:rsidR="00F23E01" w:rsidRPr="00851192" w:rsidRDefault="00F23E01" w:rsidP="00850633">
            <w:pPr>
              <w:spacing w:after="0" w:line="240" w:lineRule="auto"/>
              <w:rPr>
                <w:rFonts w:ascii="Arial" w:eastAsia="Times New Roman" w:hAnsi="Arial" w:cs="Arial"/>
                <w:color w:val="000000"/>
                <w:lang w:eastAsia="en-GB"/>
              </w:rPr>
            </w:pPr>
          </w:p>
        </w:tc>
        <w:tc>
          <w:tcPr>
            <w:tcW w:w="1900" w:type="dxa"/>
            <w:shd w:val="clear" w:color="auto" w:fill="auto"/>
            <w:noWrap/>
            <w:vAlign w:val="bottom"/>
          </w:tcPr>
          <w:p w14:paraId="010053F2" w14:textId="3A3A5186" w:rsidR="00F23E01" w:rsidRPr="00851192" w:rsidRDefault="00F23E01" w:rsidP="00850633">
            <w:pPr>
              <w:spacing w:after="0" w:line="240" w:lineRule="auto"/>
              <w:jc w:val="right"/>
              <w:rPr>
                <w:rFonts w:ascii="Arial" w:eastAsia="Times New Roman" w:hAnsi="Arial" w:cs="Arial"/>
                <w:color w:val="000000"/>
                <w:lang w:eastAsia="en-GB"/>
              </w:rPr>
            </w:pPr>
            <w:r>
              <w:rPr>
                <w:rFonts w:ascii="Arial" w:eastAsia="Times New Roman" w:hAnsi="Arial" w:cs="Arial"/>
                <w:color w:val="000000"/>
                <w:lang w:eastAsia="en-GB"/>
              </w:rPr>
              <w:t>N = 23</w:t>
            </w:r>
          </w:p>
        </w:tc>
      </w:tr>
    </w:tbl>
    <w:p w14:paraId="52EBA139" w14:textId="77777777" w:rsidR="00850633" w:rsidRPr="00851192" w:rsidRDefault="00850633" w:rsidP="00AA3708">
      <w:pPr>
        <w:jc w:val="center"/>
        <w:rPr>
          <w:rFonts w:ascii="Arial" w:hAnsi="Arial" w:cs="Arial"/>
        </w:rPr>
      </w:pPr>
    </w:p>
    <w:p w14:paraId="46256BB6" w14:textId="1CC85D3F" w:rsidR="00AA3708" w:rsidRPr="00851192" w:rsidRDefault="00AF5FA5" w:rsidP="0003183E">
      <w:pPr>
        <w:spacing w:line="360" w:lineRule="auto"/>
        <w:jc w:val="both"/>
        <w:rPr>
          <w:rFonts w:ascii="Arial" w:hAnsi="Arial" w:cs="Arial"/>
        </w:rPr>
      </w:pPr>
      <w:r w:rsidRPr="00851192">
        <w:rPr>
          <w:rFonts w:ascii="Arial" w:hAnsi="Arial" w:cs="Arial"/>
        </w:rPr>
        <w:t xml:space="preserve">The most popular form of online gambling is in the form of sport betting </w:t>
      </w:r>
      <w:r w:rsidR="00347388" w:rsidRPr="00851192">
        <w:rPr>
          <w:rFonts w:ascii="Arial" w:hAnsi="Arial" w:cs="Arial"/>
        </w:rPr>
        <w:t>followed by casino.</w:t>
      </w:r>
      <w:r w:rsidRPr="00851192">
        <w:rPr>
          <w:rFonts w:ascii="Arial" w:hAnsi="Arial" w:cs="Arial"/>
        </w:rPr>
        <w:t xml:space="preserve"> </w:t>
      </w:r>
      <w:r w:rsidR="00347388" w:rsidRPr="00851192">
        <w:rPr>
          <w:rFonts w:ascii="Arial" w:hAnsi="Arial" w:cs="Arial"/>
        </w:rPr>
        <w:t>The behaviour presented by consumers is that t</w:t>
      </w:r>
      <w:r w:rsidR="00123C36" w:rsidRPr="00851192">
        <w:rPr>
          <w:rFonts w:ascii="Arial" w:hAnsi="Arial" w:cs="Arial"/>
        </w:rPr>
        <w:t xml:space="preserve">echnology </w:t>
      </w:r>
      <w:r w:rsidR="00347388" w:rsidRPr="00851192">
        <w:rPr>
          <w:rFonts w:ascii="Arial" w:hAnsi="Arial" w:cs="Arial"/>
        </w:rPr>
        <w:t>is</w:t>
      </w:r>
      <w:r w:rsidR="00123C36" w:rsidRPr="00851192">
        <w:rPr>
          <w:rFonts w:ascii="Arial" w:hAnsi="Arial" w:cs="Arial"/>
        </w:rPr>
        <w:t xml:space="preserve"> a popular and main source for online gambling. The common theme has been identified as a consistent pattern across most global participants within the study. Literature suggests that the technological sector of online gambling is increasing with e gaming demonstrating tremendous growth KPMG (2017).</w:t>
      </w:r>
      <w:r w:rsidR="00347388" w:rsidRPr="00851192">
        <w:rPr>
          <w:rFonts w:ascii="Arial" w:hAnsi="Arial" w:cs="Arial"/>
        </w:rPr>
        <w:t xml:space="preserve"> The age of globalisation which </w:t>
      </w:r>
      <w:r w:rsidR="005E6E2A" w:rsidRPr="00851192">
        <w:rPr>
          <w:rFonts w:ascii="Arial" w:hAnsi="Arial" w:cs="Arial"/>
        </w:rPr>
        <w:t>be viewed as</w:t>
      </w:r>
      <w:r w:rsidR="00347388" w:rsidRPr="00851192">
        <w:rPr>
          <w:rFonts w:ascii="Arial" w:hAnsi="Arial" w:cs="Arial"/>
        </w:rPr>
        <w:t xml:space="preserve"> the spread and availability in technology </w:t>
      </w:r>
      <w:r w:rsidR="005E6E2A" w:rsidRPr="00851192">
        <w:rPr>
          <w:rFonts w:ascii="Arial" w:hAnsi="Arial" w:cs="Arial"/>
        </w:rPr>
        <w:t>(</w:t>
      </w:r>
      <w:r w:rsidR="00347388" w:rsidRPr="00851192">
        <w:rPr>
          <w:rFonts w:ascii="Arial" w:hAnsi="Arial" w:cs="Arial"/>
        </w:rPr>
        <w:t>Crane and Matten</w:t>
      </w:r>
      <w:r w:rsidR="005E6E2A" w:rsidRPr="00851192">
        <w:rPr>
          <w:rFonts w:ascii="Arial" w:hAnsi="Arial" w:cs="Arial"/>
        </w:rPr>
        <w:t>, 2016)</w:t>
      </w:r>
      <w:r w:rsidR="00347388" w:rsidRPr="00851192">
        <w:rPr>
          <w:rFonts w:ascii="Arial" w:hAnsi="Arial" w:cs="Arial"/>
        </w:rPr>
        <w:t xml:space="preserve"> </w:t>
      </w:r>
      <w:r w:rsidR="005E6E2A" w:rsidRPr="00851192">
        <w:rPr>
          <w:rFonts w:ascii="Arial" w:hAnsi="Arial" w:cs="Arial"/>
        </w:rPr>
        <w:t xml:space="preserve">can be interpreted by the researcher as </w:t>
      </w:r>
      <w:r w:rsidR="00347388" w:rsidRPr="00851192">
        <w:rPr>
          <w:rFonts w:ascii="Arial" w:hAnsi="Arial" w:cs="Arial"/>
        </w:rPr>
        <w:t>provid</w:t>
      </w:r>
      <w:r w:rsidR="005E6E2A" w:rsidRPr="00851192">
        <w:rPr>
          <w:rFonts w:ascii="Arial" w:hAnsi="Arial" w:cs="Arial"/>
        </w:rPr>
        <w:t>ing</w:t>
      </w:r>
      <w:r w:rsidR="00347388" w:rsidRPr="00851192">
        <w:rPr>
          <w:rFonts w:ascii="Arial" w:hAnsi="Arial" w:cs="Arial"/>
        </w:rPr>
        <w:t xml:space="preserve"> an opportunity for GGO’s to deliver effective measures of CSR communication through</w:t>
      </w:r>
      <w:r w:rsidR="005E6E2A" w:rsidRPr="00851192">
        <w:rPr>
          <w:rFonts w:ascii="Arial" w:hAnsi="Arial" w:cs="Arial"/>
        </w:rPr>
        <w:t xml:space="preserve"> the exponential growth of the industry and characteristics in online engagement. </w:t>
      </w:r>
      <w:r w:rsidR="00347388" w:rsidRPr="00851192">
        <w:rPr>
          <w:rFonts w:ascii="Arial" w:hAnsi="Arial" w:cs="Arial"/>
        </w:rPr>
        <w:t xml:space="preserve"> </w:t>
      </w:r>
    </w:p>
    <w:p w14:paraId="4DADF707" w14:textId="25EAA9C7" w:rsidR="00BC0411" w:rsidRPr="00851192" w:rsidRDefault="00BC0411" w:rsidP="0003183E">
      <w:pPr>
        <w:spacing w:line="360" w:lineRule="auto"/>
        <w:jc w:val="both"/>
        <w:rPr>
          <w:rFonts w:ascii="Arial" w:hAnsi="Arial" w:cs="Arial"/>
        </w:rPr>
      </w:pPr>
    </w:p>
    <w:p w14:paraId="367FEFCA" w14:textId="651EF092" w:rsidR="00BC0411" w:rsidRPr="00851192" w:rsidRDefault="00BC0411" w:rsidP="0003183E">
      <w:pPr>
        <w:spacing w:line="360" w:lineRule="auto"/>
        <w:jc w:val="both"/>
        <w:rPr>
          <w:rFonts w:ascii="Arial" w:hAnsi="Arial" w:cs="Arial"/>
        </w:rPr>
      </w:pPr>
    </w:p>
    <w:p w14:paraId="6F000939" w14:textId="6F6EB708" w:rsidR="00BC0411" w:rsidRPr="00851192" w:rsidRDefault="00BC0411" w:rsidP="0003183E">
      <w:pPr>
        <w:spacing w:line="360" w:lineRule="auto"/>
        <w:jc w:val="both"/>
        <w:rPr>
          <w:rFonts w:ascii="Arial" w:hAnsi="Arial" w:cs="Arial"/>
        </w:rPr>
      </w:pPr>
    </w:p>
    <w:p w14:paraId="05709A55" w14:textId="4BDD5C0F" w:rsidR="00BC0411" w:rsidRPr="00851192" w:rsidRDefault="00BC0411" w:rsidP="0003183E">
      <w:pPr>
        <w:spacing w:line="360" w:lineRule="auto"/>
        <w:jc w:val="both"/>
        <w:rPr>
          <w:rFonts w:ascii="Arial" w:hAnsi="Arial" w:cs="Arial"/>
        </w:rPr>
      </w:pPr>
    </w:p>
    <w:p w14:paraId="06219999" w14:textId="2A9ED371" w:rsidR="00BC0411" w:rsidRPr="00851192" w:rsidRDefault="00BC0411" w:rsidP="00BC0411">
      <w:pPr>
        <w:spacing w:line="360" w:lineRule="auto"/>
        <w:jc w:val="center"/>
        <w:rPr>
          <w:rFonts w:ascii="Arial" w:hAnsi="Arial" w:cs="Arial"/>
          <w:sz w:val="28"/>
        </w:rPr>
      </w:pPr>
      <w:r w:rsidRPr="00851192">
        <w:rPr>
          <w:rFonts w:ascii="Arial" w:hAnsi="Arial" w:cs="Arial"/>
          <w:b/>
          <w:sz w:val="28"/>
        </w:rPr>
        <w:lastRenderedPageBreak/>
        <w:t>Figure 4.8</w:t>
      </w:r>
      <w:r w:rsidRPr="00851192">
        <w:rPr>
          <w:rFonts w:ascii="Arial" w:hAnsi="Arial" w:cs="Arial"/>
          <w:sz w:val="28"/>
        </w:rPr>
        <w:t xml:space="preserve"> Question </w:t>
      </w:r>
      <w:r w:rsidR="00573B1C" w:rsidRPr="00851192">
        <w:rPr>
          <w:rFonts w:ascii="Arial" w:hAnsi="Arial" w:cs="Arial"/>
          <w:sz w:val="28"/>
        </w:rPr>
        <w:t>Four Analysis</w:t>
      </w:r>
    </w:p>
    <w:p w14:paraId="0EF5F1D1" w14:textId="359CD88E" w:rsidR="00AA3708" w:rsidRPr="00851192" w:rsidRDefault="004523C7" w:rsidP="004523C7">
      <w:pPr>
        <w:jc w:val="center"/>
        <w:rPr>
          <w:rFonts w:ascii="Arial" w:hAnsi="Arial" w:cs="Arial"/>
          <w:b/>
          <w:u w:val="single"/>
        </w:rPr>
      </w:pPr>
      <w:r w:rsidRPr="00851192">
        <w:rPr>
          <w:rFonts w:ascii="Arial" w:hAnsi="Arial" w:cs="Arial"/>
          <w:noProof/>
          <w:lang w:eastAsia="en-GB"/>
        </w:rPr>
        <w:drawing>
          <wp:inline distT="0" distB="0" distL="0" distR="0" wp14:anchorId="5D2CA0EB" wp14:editId="480D58B3">
            <wp:extent cx="5853109" cy="204787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Q4.JPG"/>
                    <pic:cNvPicPr/>
                  </pic:nvPicPr>
                  <pic:blipFill>
                    <a:blip r:embed="rId22">
                      <a:extLst>
                        <a:ext uri="{28A0092B-C50C-407E-A947-70E740481C1C}">
                          <a14:useLocalDpi xmlns:a14="http://schemas.microsoft.com/office/drawing/2010/main" val="0"/>
                        </a:ext>
                      </a:extLst>
                    </a:blip>
                    <a:stretch>
                      <a:fillRect/>
                    </a:stretch>
                  </pic:blipFill>
                  <pic:spPr>
                    <a:xfrm>
                      <a:off x="0" y="0"/>
                      <a:ext cx="5858565" cy="2049784"/>
                    </a:xfrm>
                    <a:prstGeom prst="rect">
                      <a:avLst/>
                    </a:prstGeom>
                  </pic:spPr>
                </pic:pic>
              </a:graphicData>
            </a:graphic>
          </wp:inline>
        </w:drawing>
      </w:r>
    </w:p>
    <w:p w14:paraId="272C6512" w14:textId="6FB2FAE2" w:rsidR="00AA3708" w:rsidRPr="00851192" w:rsidRDefault="00E91042" w:rsidP="0003183E">
      <w:pPr>
        <w:spacing w:line="360" w:lineRule="auto"/>
        <w:jc w:val="both"/>
        <w:rPr>
          <w:rFonts w:ascii="Arial" w:hAnsi="Arial" w:cs="Arial"/>
          <w:shd w:val="clear" w:color="auto" w:fill="FFFFFF"/>
        </w:rPr>
      </w:pPr>
      <w:r w:rsidRPr="00851192">
        <w:rPr>
          <w:rFonts w:ascii="Arial" w:hAnsi="Arial" w:cs="Arial"/>
        </w:rPr>
        <w:t xml:space="preserve">This section of the survey analyses habits by consumers towards terms and conditions. The findings suggest that terms and conditions are not considered to be highly valued by users. This could then be identified as a breakdown in communication between GGO’s and consumers regarding CSR policy. </w:t>
      </w:r>
      <w:r w:rsidR="005E6E2A" w:rsidRPr="00851192">
        <w:rPr>
          <w:rFonts w:ascii="Arial" w:hAnsi="Arial" w:cs="Arial"/>
        </w:rPr>
        <w:t>Due to the voluntary action made by users, this could hinder the effectiveness of CSR communication measures be</w:t>
      </w:r>
      <w:r w:rsidR="00DC3C61" w:rsidRPr="00851192">
        <w:rPr>
          <w:rFonts w:ascii="Arial" w:hAnsi="Arial" w:cs="Arial"/>
        </w:rPr>
        <w:t>ing</w:t>
      </w:r>
      <w:r w:rsidR="005E6E2A" w:rsidRPr="00851192">
        <w:rPr>
          <w:rFonts w:ascii="Arial" w:hAnsi="Arial" w:cs="Arial"/>
        </w:rPr>
        <w:t xml:space="preserve"> delivered by GGO’s effecting the structure of CSR communication towards the user due to the novelty term and conditions contain.  </w:t>
      </w:r>
    </w:p>
    <w:p w14:paraId="40334450" w14:textId="213664F4" w:rsidR="008C61D2" w:rsidRPr="00851192" w:rsidRDefault="008C61D2" w:rsidP="008C61D2">
      <w:pPr>
        <w:jc w:val="center"/>
        <w:rPr>
          <w:rFonts w:ascii="Arial" w:hAnsi="Arial" w:cs="Arial"/>
          <w:shd w:val="clear" w:color="auto" w:fill="FFFFFF"/>
        </w:rPr>
      </w:pPr>
      <w:r w:rsidRPr="00851192">
        <w:rPr>
          <w:rFonts w:ascii="Arial" w:hAnsi="Arial" w:cs="Arial"/>
          <w:noProof/>
          <w:lang w:eastAsia="en-GB"/>
        </w:rPr>
        <w:drawing>
          <wp:inline distT="0" distB="0" distL="0" distR="0" wp14:anchorId="3ECBAAC6" wp14:editId="11B05858">
            <wp:extent cx="4572000" cy="2743200"/>
            <wp:effectExtent l="0" t="0" r="0" b="0"/>
            <wp:docPr id="279" name="Chart 279">
              <a:extLst xmlns:a="http://schemas.openxmlformats.org/drawingml/2006/main">
                <a:ext uri="{FF2B5EF4-FFF2-40B4-BE49-F238E27FC236}">
                  <a16:creationId xmlns:a16="http://schemas.microsoft.com/office/drawing/2014/main" id="{296E3B73-5309-49A7-9501-4DA44853E4E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tbl>
      <w:tblPr>
        <w:tblW w:w="586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60"/>
        <w:gridCol w:w="1256"/>
        <w:gridCol w:w="1900"/>
      </w:tblGrid>
      <w:tr w:rsidR="007725A2" w:rsidRPr="00851192" w14:paraId="12B58D43" w14:textId="77777777" w:rsidTr="00DE3E33">
        <w:trPr>
          <w:trHeight w:val="300"/>
          <w:jc w:val="center"/>
        </w:trPr>
        <w:tc>
          <w:tcPr>
            <w:tcW w:w="2760" w:type="dxa"/>
            <w:shd w:val="clear" w:color="auto" w:fill="auto"/>
            <w:noWrap/>
            <w:vAlign w:val="bottom"/>
            <w:hideMark/>
          </w:tcPr>
          <w:p w14:paraId="058C86C0" w14:textId="77777777" w:rsidR="007725A2" w:rsidRPr="00851192" w:rsidRDefault="007725A2"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Categories</w:t>
            </w:r>
          </w:p>
        </w:tc>
        <w:tc>
          <w:tcPr>
            <w:tcW w:w="1200" w:type="dxa"/>
            <w:shd w:val="clear" w:color="auto" w:fill="auto"/>
            <w:noWrap/>
            <w:vAlign w:val="bottom"/>
            <w:hideMark/>
          </w:tcPr>
          <w:p w14:paraId="7B1A3682" w14:textId="77777777" w:rsidR="007725A2" w:rsidRPr="00851192" w:rsidRDefault="007725A2"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Frequency</w:t>
            </w:r>
          </w:p>
        </w:tc>
        <w:tc>
          <w:tcPr>
            <w:tcW w:w="1900" w:type="dxa"/>
            <w:shd w:val="clear" w:color="auto" w:fill="auto"/>
            <w:noWrap/>
            <w:vAlign w:val="bottom"/>
            <w:hideMark/>
          </w:tcPr>
          <w:p w14:paraId="37AA135C" w14:textId="77777777" w:rsidR="007725A2" w:rsidRPr="00851192" w:rsidRDefault="007725A2"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 </w:t>
            </w:r>
            <w:r w:rsidRPr="00851192">
              <w:rPr>
                <w:rFonts w:ascii="Arial" w:eastAsia="Times New Roman" w:hAnsi="Arial" w:cs="Arial"/>
                <w:noProof/>
                <w:color w:val="000000"/>
                <w:lang w:eastAsia="en-GB"/>
              </w:rPr>
              <w:drawing>
                <wp:inline distT="0" distB="0" distL="0" distR="0" wp14:anchorId="662D1645" wp14:editId="2B3645E2">
                  <wp:extent cx="1024255" cy="352283"/>
                  <wp:effectExtent l="0" t="0" r="4445" b="0"/>
                  <wp:docPr id="226" name="Picture 2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 name="standard-deviation-formula.gif"/>
                          <pic:cNvPicPr/>
                        </pic:nvPicPr>
                        <pic:blipFill>
                          <a:blip r:embed="rId18">
                            <a:extLst>
                              <a:ext uri="{28A0092B-C50C-407E-A947-70E740481C1C}">
                                <a14:useLocalDpi xmlns:a14="http://schemas.microsoft.com/office/drawing/2010/main" val="0"/>
                              </a:ext>
                            </a:extLst>
                          </a:blip>
                          <a:stretch>
                            <a:fillRect/>
                          </a:stretch>
                        </pic:blipFill>
                        <pic:spPr>
                          <a:xfrm>
                            <a:off x="0" y="0"/>
                            <a:ext cx="1044519" cy="359253"/>
                          </a:xfrm>
                          <a:prstGeom prst="rect">
                            <a:avLst/>
                          </a:prstGeom>
                        </pic:spPr>
                      </pic:pic>
                    </a:graphicData>
                  </a:graphic>
                </wp:inline>
              </w:drawing>
            </w:r>
          </w:p>
        </w:tc>
      </w:tr>
      <w:tr w:rsidR="007725A2" w:rsidRPr="00851192" w14:paraId="2C2CCB29" w14:textId="77777777" w:rsidTr="00DE3E33">
        <w:trPr>
          <w:trHeight w:val="300"/>
          <w:jc w:val="center"/>
        </w:trPr>
        <w:tc>
          <w:tcPr>
            <w:tcW w:w="2760" w:type="dxa"/>
            <w:shd w:val="clear" w:color="auto" w:fill="auto"/>
            <w:noWrap/>
            <w:vAlign w:val="bottom"/>
            <w:hideMark/>
          </w:tcPr>
          <w:p w14:paraId="59F8F8D6" w14:textId="2D03EE9F" w:rsidR="007725A2" w:rsidRPr="00851192" w:rsidRDefault="007725A2"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Terms and conditions are easily accessible</w:t>
            </w:r>
          </w:p>
        </w:tc>
        <w:tc>
          <w:tcPr>
            <w:tcW w:w="1200" w:type="dxa"/>
            <w:shd w:val="clear" w:color="auto" w:fill="auto"/>
            <w:noWrap/>
            <w:vAlign w:val="bottom"/>
            <w:hideMark/>
          </w:tcPr>
          <w:p w14:paraId="3F6F1E1B" w14:textId="39E79F59" w:rsidR="007725A2" w:rsidRPr="00851192" w:rsidRDefault="007725A2"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6</w:t>
            </w:r>
          </w:p>
        </w:tc>
        <w:tc>
          <w:tcPr>
            <w:tcW w:w="1900" w:type="dxa"/>
            <w:shd w:val="clear" w:color="auto" w:fill="auto"/>
            <w:noWrap/>
            <w:vAlign w:val="bottom"/>
            <w:hideMark/>
          </w:tcPr>
          <w:p w14:paraId="24E2CF05" w14:textId="7FD1F3B6" w:rsidR="007725A2" w:rsidRPr="00851192" w:rsidRDefault="007725A2"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4.26</w:t>
            </w:r>
          </w:p>
        </w:tc>
      </w:tr>
      <w:tr w:rsidR="007725A2" w:rsidRPr="00851192" w14:paraId="5BAE2879" w14:textId="77777777" w:rsidTr="00DE3E33">
        <w:trPr>
          <w:trHeight w:val="300"/>
          <w:jc w:val="center"/>
        </w:trPr>
        <w:tc>
          <w:tcPr>
            <w:tcW w:w="2760" w:type="dxa"/>
            <w:shd w:val="clear" w:color="auto" w:fill="auto"/>
            <w:noWrap/>
            <w:vAlign w:val="bottom"/>
            <w:hideMark/>
          </w:tcPr>
          <w:p w14:paraId="4D7A9D4A" w14:textId="1E96B589" w:rsidR="007725A2" w:rsidRPr="00851192" w:rsidRDefault="007725A2"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Terms and conditions are easy to read</w:t>
            </w:r>
          </w:p>
        </w:tc>
        <w:tc>
          <w:tcPr>
            <w:tcW w:w="1200" w:type="dxa"/>
            <w:shd w:val="clear" w:color="auto" w:fill="auto"/>
            <w:noWrap/>
            <w:vAlign w:val="bottom"/>
            <w:hideMark/>
          </w:tcPr>
          <w:p w14:paraId="73F0FEF7" w14:textId="05D8E1B7" w:rsidR="007725A2" w:rsidRPr="00851192" w:rsidRDefault="007725A2"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3</w:t>
            </w:r>
          </w:p>
        </w:tc>
        <w:tc>
          <w:tcPr>
            <w:tcW w:w="1900" w:type="dxa"/>
            <w:shd w:val="clear" w:color="auto" w:fill="auto"/>
            <w:noWrap/>
            <w:vAlign w:val="bottom"/>
            <w:hideMark/>
          </w:tcPr>
          <w:p w14:paraId="7F7236D3" w14:textId="7DDBFBC3" w:rsidR="007725A2" w:rsidRPr="00851192" w:rsidRDefault="007725A2"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4.60</w:t>
            </w:r>
          </w:p>
        </w:tc>
      </w:tr>
      <w:tr w:rsidR="007725A2" w:rsidRPr="00851192" w14:paraId="1D579667" w14:textId="77777777" w:rsidTr="00DE3E33">
        <w:trPr>
          <w:trHeight w:val="300"/>
          <w:jc w:val="center"/>
        </w:trPr>
        <w:tc>
          <w:tcPr>
            <w:tcW w:w="2760" w:type="dxa"/>
            <w:shd w:val="clear" w:color="auto" w:fill="auto"/>
            <w:noWrap/>
            <w:vAlign w:val="bottom"/>
            <w:hideMark/>
          </w:tcPr>
          <w:p w14:paraId="4353927B" w14:textId="41A3AE41" w:rsidR="007725A2" w:rsidRPr="00851192" w:rsidRDefault="007725A2"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Terms and conditions are understandable</w:t>
            </w:r>
          </w:p>
        </w:tc>
        <w:tc>
          <w:tcPr>
            <w:tcW w:w="1200" w:type="dxa"/>
            <w:shd w:val="clear" w:color="auto" w:fill="auto"/>
            <w:noWrap/>
            <w:vAlign w:val="bottom"/>
            <w:hideMark/>
          </w:tcPr>
          <w:p w14:paraId="7827616E" w14:textId="436584A5" w:rsidR="007725A2" w:rsidRPr="00851192" w:rsidRDefault="007725A2"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14</w:t>
            </w:r>
          </w:p>
        </w:tc>
        <w:tc>
          <w:tcPr>
            <w:tcW w:w="1900" w:type="dxa"/>
            <w:shd w:val="clear" w:color="auto" w:fill="auto"/>
            <w:noWrap/>
            <w:vAlign w:val="bottom"/>
            <w:hideMark/>
          </w:tcPr>
          <w:p w14:paraId="19D1B69E" w14:textId="4CCFAD74" w:rsidR="007725A2" w:rsidRPr="00851192" w:rsidRDefault="007725A2"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3.19</w:t>
            </w:r>
          </w:p>
        </w:tc>
      </w:tr>
      <w:tr w:rsidR="007725A2" w:rsidRPr="00851192" w14:paraId="36172D70" w14:textId="77777777" w:rsidTr="00DE3E33">
        <w:trPr>
          <w:trHeight w:val="300"/>
          <w:jc w:val="center"/>
        </w:trPr>
        <w:tc>
          <w:tcPr>
            <w:tcW w:w="2760" w:type="dxa"/>
            <w:shd w:val="clear" w:color="auto" w:fill="auto"/>
            <w:noWrap/>
            <w:vAlign w:val="bottom"/>
            <w:hideMark/>
          </w:tcPr>
          <w:p w14:paraId="4431C070" w14:textId="4098118D" w:rsidR="007725A2" w:rsidRPr="00851192" w:rsidRDefault="007725A2"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lastRenderedPageBreak/>
              <w:t>Terms and conditions are lengthy</w:t>
            </w:r>
          </w:p>
        </w:tc>
        <w:tc>
          <w:tcPr>
            <w:tcW w:w="1200" w:type="dxa"/>
            <w:shd w:val="clear" w:color="auto" w:fill="auto"/>
            <w:noWrap/>
            <w:vAlign w:val="bottom"/>
            <w:hideMark/>
          </w:tcPr>
          <w:p w14:paraId="43B06C6B" w14:textId="61004C9B" w:rsidR="007725A2" w:rsidRPr="00851192" w:rsidRDefault="007725A2"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36</w:t>
            </w:r>
          </w:p>
        </w:tc>
        <w:tc>
          <w:tcPr>
            <w:tcW w:w="1900" w:type="dxa"/>
            <w:shd w:val="clear" w:color="auto" w:fill="auto"/>
            <w:noWrap/>
            <w:vAlign w:val="bottom"/>
            <w:hideMark/>
          </w:tcPr>
          <w:p w14:paraId="623C15A4" w14:textId="5A75B45A" w:rsidR="007725A2" w:rsidRPr="00851192" w:rsidRDefault="007725A2"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3.43</w:t>
            </w:r>
          </w:p>
        </w:tc>
      </w:tr>
      <w:tr w:rsidR="007725A2" w:rsidRPr="00851192" w14:paraId="52F06BD2" w14:textId="77777777" w:rsidTr="00DE3E33">
        <w:trPr>
          <w:trHeight w:val="300"/>
          <w:jc w:val="center"/>
        </w:trPr>
        <w:tc>
          <w:tcPr>
            <w:tcW w:w="2760" w:type="dxa"/>
            <w:shd w:val="clear" w:color="auto" w:fill="auto"/>
            <w:noWrap/>
            <w:vAlign w:val="bottom"/>
            <w:hideMark/>
          </w:tcPr>
          <w:p w14:paraId="3236FB01" w14:textId="39F76591" w:rsidR="007725A2" w:rsidRPr="00851192" w:rsidRDefault="007725A2"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I don’t read terms and conditions</w:t>
            </w:r>
          </w:p>
        </w:tc>
        <w:tc>
          <w:tcPr>
            <w:tcW w:w="1200" w:type="dxa"/>
            <w:shd w:val="clear" w:color="auto" w:fill="auto"/>
            <w:noWrap/>
            <w:vAlign w:val="bottom"/>
            <w:hideMark/>
          </w:tcPr>
          <w:p w14:paraId="02481CA0" w14:textId="5C3B151E" w:rsidR="007725A2" w:rsidRPr="00851192" w:rsidRDefault="007725A2"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62</w:t>
            </w:r>
          </w:p>
        </w:tc>
        <w:tc>
          <w:tcPr>
            <w:tcW w:w="1900" w:type="dxa"/>
            <w:shd w:val="clear" w:color="auto" w:fill="auto"/>
            <w:noWrap/>
            <w:vAlign w:val="bottom"/>
            <w:hideMark/>
          </w:tcPr>
          <w:p w14:paraId="237ECFA3" w14:textId="1FD082E1" w:rsidR="007725A2" w:rsidRPr="00851192" w:rsidRDefault="007725A2"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6.14</w:t>
            </w:r>
          </w:p>
        </w:tc>
      </w:tr>
      <w:tr w:rsidR="007725A2" w:rsidRPr="00851192" w14:paraId="39ADAC03" w14:textId="77777777" w:rsidTr="00DE3E33">
        <w:trPr>
          <w:trHeight w:val="300"/>
          <w:jc w:val="center"/>
        </w:trPr>
        <w:tc>
          <w:tcPr>
            <w:tcW w:w="2760" w:type="dxa"/>
            <w:shd w:val="clear" w:color="auto" w:fill="auto"/>
            <w:noWrap/>
            <w:vAlign w:val="bottom"/>
            <w:hideMark/>
          </w:tcPr>
          <w:p w14:paraId="6C652C55" w14:textId="77777777" w:rsidR="007725A2" w:rsidRPr="00851192" w:rsidRDefault="007725A2"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Mean =</w:t>
            </w:r>
          </w:p>
        </w:tc>
        <w:tc>
          <w:tcPr>
            <w:tcW w:w="1200" w:type="dxa"/>
            <w:shd w:val="clear" w:color="auto" w:fill="auto"/>
            <w:noWrap/>
            <w:vAlign w:val="bottom"/>
            <w:hideMark/>
          </w:tcPr>
          <w:p w14:paraId="006298F1" w14:textId="77777777" w:rsidR="007725A2" w:rsidRPr="00851192" w:rsidRDefault="007725A2"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24.4</w:t>
            </w:r>
          </w:p>
        </w:tc>
        <w:tc>
          <w:tcPr>
            <w:tcW w:w="1900" w:type="dxa"/>
            <w:shd w:val="clear" w:color="auto" w:fill="auto"/>
            <w:noWrap/>
            <w:vAlign w:val="bottom"/>
            <w:hideMark/>
          </w:tcPr>
          <w:p w14:paraId="619203EE" w14:textId="77777777" w:rsidR="007725A2" w:rsidRPr="00851192" w:rsidRDefault="007725A2"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 </w:t>
            </w:r>
          </w:p>
        </w:tc>
      </w:tr>
      <w:tr w:rsidR="007725A2" w:rsidRPr="00851192" w14:paraId="1803D5C8" w14:textId="77777777" w:rsidTr="00DE3E33">
        <w:trPr>
          <w:trHeight w:val="315"/>
          <w:jc w:val="center"/>
        </w:trPr>
        <w:tc>
          <w:tcPr>
            <w:tcW w:w="2760" w:type="dxa"/>
            <w:shd w:val="clear" w:color="auto" w:fill="auto"/>
            <w:noWrap/>
            <w:vAlign w:val="bottom"/>
            <w:hideMark/>
          </w:tcPr>
          <w:p w14:paraId="56ACBC31" w14:textId="77777777" w:rsidR="007725A2" w:rsidRPr="00851192" w:rsidRDefault="007725A2"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Standard Deviation =</w:t>
            </w:r>
          </w:p>
        </w:tc>
        <w:tc>
          <w:tcPr>
            <w:tcW w:w="1200" w:type="dxa"/>
            <w:shd w:val="clear" w:color="auto" w:fill="auto"/>
            <w:noWrap/>
            <w:vAlign w:val="bottom"/>
            <w:hideMark/>
          </w:tcPr>
          <w:p w14:paraId="3BBC7A1E" w14:textId="77777777" w:rsidR="007725A2" w:rsidRPr="00851192" w:rsidRDefault="007725A2"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 </w:t>
            </w:r>
          </w:p>
        </w:tc>
        <w:tc>
          <w:tcPr>
            <w:tcW w:w="1900" w:type="dxa"/>
            <w:shd w:val="clear" w:color="auto" w:fill="auto"/>
            <w:noWrap/>
            <w:vAlign w:val="bottom"/>
            <w:hideMark/>
          </w:tcPr>
          <w:p w14:paraId="48A5B454" w14:textId="623E68C8" w:rsidR="007725A2" w:rsidRPr="00851192" w:rsidRDefault="007725A2"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2.07942</w:t>
            </w:r>
          </w:p>
        </w:tc>
      </w:tr>
      <w:tr w:rsidR="00F23E01" w:rsidRPr="00851192" w14:paraId="448F1FEC" w14:textId="77777777" w:rsidTr="00DE3E33">
        <w:trPr>
          <w:trHeight w:val="315"/>
          <w:jc w:val="center"/>
        </w:trPr>
        <w:tc>
          <w:tcPr>
            <w:tcW w:w="2760" w:type="dxa"/>
            <w:shd w:val="clear" w:color="auto" w:fill="auto"/>
            <w:noWrap/>
            <w:vAlign w:val="bottom"/>
          </w:tcPr>
          <w:p w14:paraId="2F2E2847" w14:textId="76BB0697" w:rsidR="00F23E01" w:rsidRPr="00851192" w:rsidRDefault="00F23E01" w:rsidP="00DE3E33">
            <w:pPr>
              <w:spacing w:after="0" w:line="240" w:lineRule="auto"/>
              <w:rPr>
                <w:rFonts w:ascii="Arial" w:eastAsia="Times New Roman" w:hAnsi="Arial" w:cs="Arial"/>
                <w:color w:val="000000"/>
                <w:lang w:eastAsia="en-GB"/>
              </w:rPr>
            </w:pPr>
            <w:r>
              <w:rPr>
                <w:rFonts w:ascii="Arial" w:eastAsia="Times New Roman" w:hAnsi="Arial" w:cs="Arial"/>
                <w:color w:val="000000"/>
                <w:lang w:eastAsia="en-GB"/>
              </w:rPr>
              <w:t>Median =</w:t>
            </w:r>
          </w:p>
        </w:tc>
        <w:tc>
          <w:tcPr>
            <w:tcW w:w="1200" w:type="dxa"/>
            <w:shd w:val="clear" w:color="auto" w:fill="auto"/>
            <w:noWrap/>
            <w:vAlign w:val="bottom"/>
          </w:tcPr>
          <w:p w14:paraId="18CBF5FA" w14:textId="77777777" w:rsidR="00F23E01" w:rsidRPr="00851192" w:rsidRDefault="00F23E01" w:rsidP="00DE3E33">
            <w:pPr>
              <w:spacing w:after="0" w:line="240" w:lineRule="auto"/>
              <w:rPr>
                <w:rFonts w:ascii="Arial" w:eastAsia="Times New Roman" w:hAnsi="Arial" w:cs="Arial"/>
                <w:color w:val="000000"/>
                <w:lang w:eastAsia="en-GB"/>
              </w:rPr>
            </w:pPr>
          </w:p>
        </w:tc>
        <w:tc>
          <w:tcPr>
            <w:tcW w:w="1900" w:type="dxa"/>
            <w:shd w:val="clear" w:color="auto" w:fill="auto"/>
            <w:noWrap/>
            <w:vAlign w:val="bottom"/>
          </w:tcPr>
          <w:p w14:paraId="63A8248D" w14:textId="26E356F9" w:rsidR="00F23E01" w:rsidRPr="00851192" w:rsidRDefault="00F23E01" w:rsidP="00DE3E33">
            <w:pPr>
              <w:spacing w:after="0" w:line="240" w:lineRule="auto"/>
              <w:jc w:val="right"/>
              <w:rPr>
                <w:rFonts w:ascii="Arial" w:eastAsia="Times New Roman" w:hAnsi="Arial" w:cs="Arial"/>
                <w:color w:val="000000"/>
                <w:lang w:eastAsia="en-GB"/>
              </w:rPr>
            </w:pPr>
            <w:r>
              <w:rPr>
                <w:rFonts w:ascii="Arial" w:eastAsia="Times New Roman" w:hAnsi="Arial" w:cs="Arial"/>
                <w:color w:val="000000"/>
                <w:lang w:eastAsia="en-GB"/>
              </w:rPr>
              <w:t>N = 14</w:t>
            </w:r>
          </w:p>
        </w:tc>
      </w:tr>
    </w:tbl>
    <w:p w14:paraId="64FBA77B" w14:textId="77777777" w:rsidR="005D7F16" w:rsidRPr="00851192" w:rsidRDefault="005D7F16" w:rsidP="004523C7">
      <w:pPr>
        <w:rPr>
          <w:rFonts w:ascii="Arial" w:hAnsi="Arial" w:cs="Arial"/>
          <w:b/>
        </w:rPr>
      </w:pPr>
    </w:p>
    <w:p w14:paraId="5DC173DC" w14:textId="7745E41D" w:rsidR="004523C7" w:rsidRPr="00851192" w:rsidRDefault="005E6E2A" w:rsidP="0003183E">
      <w:pPr>
        <w:spacing w:line="360" w:lineRule="auto"/>
        <w:jc w:val="both"/>
        <w:rPr>
          <w:rFonts w:ascii="Arial" w:hAnsi="Arial" w:cs="Arial"/>
          <w:shd w:val="clear" w:color="auto" w:fill="FFFFFF"/>
        </w:rPr>
      </w:pPr>
      <w:r w:rsidRPr="00851192">
        <w:rPr>
          <w:rFonts w:ascii="Arial" w:hAnsi="Arial" w:cs="Arial"/>
        </w:rPr>
        <w:t xml:space="preserve">The effectiveness of messages portrayed by participants </w:t>
      </w:r>
      <w:r w:rsidR="00E91042" w:rsidRPr="00851192">
        <w:rPr>
          <w:rFonts w:ascii="Arial" w:hAnsi="Arial" w:cs="Arial"/>
        </w:rPr>
        <w:t xml:space="preserve">is designed to start identifying incongruence between GGO’s and consumers. </w:t>
      </w:r>
      <w:r w:rsidR="00D179BE" w:rsidRPr="00851192">
        <w:rPr>
          <w:rFonts w:ascii="Arial" w:hAnsi="Arial" w:cs="Arial"/>
        </w:rPr>
        <w:t xml:space="preserve">The negative correlation </w:t>
      </w:r>
      <w:r w:rsidRPr="00851192">
        <w:rPr>
          <w:rFonts w:ascii="Arial" w:hAnsi="Arial" w:cs="Arial"/>
        </w:rPr>
        <w:t xml:space="preserve">within the second graph </w:t>
      </w:r>
      <w:r w:rsidR="00D179BE" w:rsidRPr="00851192">
        <w:rPr>
          <w:rFonts w:ascii="Arial" w:hAnsi="Arial" w:cs="Arial"/>
        </w:rPr>
        <w:t xml:space="preserve">suggests that messages portrayed by consumers on RG </w:t>
      </w:r>
      <w:r w:rsidRPr="00851192">
        <w:rPr>
          <w:rFonts w:ascii="Arial" w:hAnsi="Arial" w:cs="Arial"/>
        </w:rPr>
        <w:t xml:space="preserve">are </w:t>
      </w:r>
      <w:r w:rsidR="00D179BE" w:rsidRPr="00851192">
        <w:rPr>
          <w:rFonts w:ascii="Arial" w:hAnsi="Arial" w:cs="Arial"/>
        </w:rPr>
        <w:t xml:space="preserve">not very effective or efficient. This may suggest that there is inefficiency in CSR communication by GGO’s. The target audience’s interpretation of CSR communication within Tata and Prasad’s (2015) model can be highlighted as a key area within the study in identifying incongruence between GGO’s and consumers. </w:t>
      </w:r>
    </w:p>
    <w:p w14:paraId="19CAD25E" w14:textId="68267292" w:rsidR="00D179BE" w:rsidRPr="00851192" w:rsidRDefault="00EA0852" w:rsidP="007B7E50">
      <w:pPr>
        <w:jc w:val="center"/>
        <w:rPr>
          <w:rFonts w:ascii="Arial" w:hAnsi="Arial" w:cs="Arial"/>
          <w:shd w:val="clear" w:color="auto" w:fill="FFFFFF"/>
        </w:rPr>
      </w:pPr>
      <w:r w:rsidRPr="00851192">
        <w:rPr>
          <w:rFonts w:ascii="Arial" w:hAnsi="Arial" w:cs="Arial"/>
          <w:noProof/>
          <w:lang w:eastAsia="en-GB"/>
        </w:rPr>
        <w:drawing>
          <wp:inline distT="0" distB="0" distL="0" distR="0" wp14:anchorId="4B3D9672" wp14:editId="06CA39B5">
            <wp:extent cx="4572000" cy="2743200"/>
            <wp:effectExtent l="0" t="0" r="0" b="0"/>
            <wp:docPr id="284" name="Chart 284">
              <a:extLst xmlns:a="http://schemas.openxmlformats.org/drawingml/2006/main">
                <a:ext uri="{FF2B5EF4-FFF2-40B4-BE49-F238E27FC236}">
                  <a16:creationId xmlns:a16="http://schemas.microsoft.com/office/drawing/2014/main" id="{00070E2B-B5AC-4448-AFA8-34A87C1F7FA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35AA7A66" w14:textId="023BCD78" w:rsidR="00EA0852" w:rsidRPr="00851192" w:rsidRDefault="00D179BE" w:rsidP="007B7E50">
      <w:pPr>
        <w:jc w:val="center"/>
        <w:rPr>
          <w:rFonts w:ascii="Arial" w:hAnsi="Arial" w:cs="Arial"/>
          <w:shd w:val="clear" w:color="auto" w:fill="FFFFFF"/>
        </w:rPr>
      </w:pPr>
      <w:r w:rsidRPr="00851192">
        <w:rPr>
          <w:rFonts w:ascii="Arial" w:hAnsi="Arial" w:cs="Arial"/>
          <w:noProof/>
          <w:lang w:eastAsia="en-GB"/>
        </w:rPr>
        <w:lastRenderedPageBreak/>
        <w:drawing>
          <wp:inline distT="0" distB="0" distL="0" distR="0" wp14:anchorId="77A4F277" wp14:editId="0DF6A716">
            <wp:extent cx="4572000" cy="2743200"/>
            <wp:effectExtent l="0" t="0" r="0" b="0"/>
            <wp:docPr id="200" name="Chart 200">
              <a:extLst xmlns:a="http://schemas.openxmlformats.org/drawingml/2006/main">
                <a:ext uri="{FF2B5EF4-FFF2-40B4-BE49-F238E27FC236}">
                  <a16:creationId xmlns:a16="http://schemas.microsoft.com/office/drawing/2014/main" id="{00070E2B-B5AC-4448-AFA8-34A87C1F7FA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1781B407" w14:textId="38D0D934" w:rsidR="00EA0852" w:rsidRPr="00851192" w:rsidRDefault="00EA0852" w:rsidP="007B7E50">
      <w:pPr>
        <w:jc w:val="center"/>
        <w:rPr>
          <w:rFonts w:ascii="Arial" w:hAnsi="Arial" w:cs="Arial"/>
          <w:shd w:val="clear" w:color="auto" w:fill="FFFFFF"/>
        </w:rPr>
      </w:pPr>
      <w:r w:rsidRPr="00851192">
        <w:rPr>
          <w:rFonts w:ascii="Arial" w:hAnsi="Arial" w:cs="Arial"/>
          <w:noProof/>
          <w:lang w:eastAsia="en-GB"/>
        </w:rPr>
        <mc:AlternateContent>
          <mc:Choice Requires="wps">
            <w:drawing>
              <wp:anchor distT="45720" distB="45720" distL="114300" distR="114300" simplePos="0" relativeHeight="251795456" behindDoc="0" locked="0" layoutInCell="1" allowOverlap="1" wp14:anchorId="383F00BA" wp14:editId="6E27DADB">
                <wp:simplePos x="0" y="0"/>
                <wp:positionH relativeFrom="column">
                  <wp:posOffset>3869817</wp:posOffset>
                </wp:positionH>
                <wp:positionV relativeFrom="paragraph">
                  <wp:posOffset>265176</wp:posOffset>
                </wp:positionV>
                <wp:extent cx="1000125" cy="276225"/>
                <wp:effectExtent l="0" t="0" r="9525" b="9525"/>
                <wp:wrapNone/>
                <wp:docPr id="28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0125" cy="276225"/>
                        </a:xfrm>
                        <a:prstGeom prst="rect">
                          <a:avLst/>
                        </a:prstGeom>
                        <a:solidFill>
                          <a:srgbClr val="FFFFFF"/>
                        </a:solidFill>
                        <a:ln w="9525">
                          <a:noFill/>
                          <a:miter lim="800000"/>
                          <a:headEnd/>
                          <a:tailEnd/>
                        </a:ln>
                      </wps:spPr>
                      <wps:txbx>
                        <w:txbxContent>
                          <w:p w14:paraId="5CD46BA9" w14:textId="2BED658B" w:rsidR="005B7C1E" w:rsidRDefault="005B7C1E">
                            <w:r>
                              <w:t>SD = 4.12311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383F00BA" id="_x0000_s1029" type="#_x0000_t202" style="position:absolute;left:0;text-align:left;margin-left:304.7pt;margin-top:20.9pt;width:78.75pt;height:21.75pt;z-index:251795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" stroked="f">
                <v:textbox>
                  <w:txbxContent>
                    <w:p w14:paraId="5CD46BA9" w14:textId="2BED658B" w:rsidR="005B7C1E" w:rsidRDefault="005B7C1E">
                      <w:r>
                        <w:t>SD = 4.12311</w:t>
                      </w:r>
                    </w:p>
                  </w:txbxContent>
                </v:textbox>
              </v:shape>
            </w:pict>
          </mc:Fallback>
        </mc:AlternateContent>
      </w:r>
      <w:r w:rsidRPr="00851192">
        <w:rPr>
          <w:rFonts w:ascii="Arial" w:hAnsi="Arial" w:cs="Arial"/>
          <w:noProof/>
          <w:lang w:eastAsia="en-GB"/>
        </w:rPr>
        <w:drawing>
          <wp:inline distT="0" distB="0" distL="0" distR="0" wp14:anchorId="5A29154C" wp14:editId="7522EFFB">
            <wp:extent cx="4572000" cy="2743200"/>
            <wp:effectExtent l="0" t="0" r="0" b="0"/>
            <wp:docPr id="283" name="Chart 283">
              <a:extLst xmlns:a="http://schemas.openxmlformats.org/drawingml/2006/main">
                <a:ext uri="{FF2B5EF4-FFF2-40B4-BE49-F238E27FC236}">
                  <a16:creationId xmlns:a16="http://schemas.microsoft.com/office/drawing/2014/main" id="{5FA4584E-934A-4931-9578-BF875BC375A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tbl>
      <w:tblPr>
        <w:tblW w:w="586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60"/>
        <w:gridCol w:w="1256"/>
        <w:gridCol w:w="1900"/>
      </w:tblGrid>
      <w:tr w:rsidR="00EA0852" w:rsidRPr="00851192" w14:paraId="6CF7888C" w14:textId="77777777" w:rsidTr="00DE3E33">
        <w:trPr>
          <w:trHeight w:val="300"/>
          <w:jc w:val="center"/>
        </w:trPr>
        <w:tc>
          <w:tcPr>
            <w:tcW w:w="2760" w:type="dxa"/>
            <w:shd w:val="clear" w:color="auto" w:fill="auto"/>
            <w:noWrap/>
            <w:vAlign w:val="bottom"/>
            <w:hideMark/>
          </w:tcPr>
          <w:p w14:paraId="0BB7C09D" w14:textId="77777777" w:rsidR="00EA0852" w:rsidRPr="00851192" w:rsidRDefault="00EA0852"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Categories</w:t>
            </w:r>
          </w:p>
        </w:tc>
        <w:tc>
          <w:tcPr>
            <w:tcW w:w="1200" w:type="dxa"/>
            <w:shd w:val="clear" w:color="auto" w:fill="auto"/>
            <w:noWrap/>
            <w:vAlign w:val="bottom"/>
            <w:hideMark/>
          </w:tcPr>
          <w:p w14:paraId="2364EE4D" w14:textId="77777777" w:rsidR="00EA0852" w:rsidRPr="00851192" w:rsidRDefault="00EA0852"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Frequency</w:t>
            </w:r>
          </w:p>
        </w:tc>
        <w:tc>
          <w:tcPr>
            <w:tcW w:w="1900" w:type="dxa"/>
            <w:shd w:val="clear" w:color="auto" w:fill="auto"/>
            <w:noWrap/>
            <w:vAlign w:val="bottom"/>
            <w:hideMark/>
          </w:tcPr>
          <w:p w14:paraId="7216BA57" w14:textId="7723628A" w:rsidR="00EA0852" w:rsidRPr="00851192" w:rsidRDefault="00EA0852"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 </w:t>
            </w:r>
            <w:r w:rsidRPr="00851192">
              <w:rPr>
                <w:rFonts w:ascii="Arial" w:eastAsia="Times New Roman" w:hAnsi="Arial" w:cs="Arial"/>
                <w:noProof/>
                <w:color w:val="000000"/>
                <w:lang w:eastAsia="en-GB"/>
              </w:rPr>
              <w:drawing>
                <wp:inline distT="0" distB="0" distL="0" distR="0" wp14:anchorId="25CE7634" wp14:editId="7C997BC2">
                  <wp:extent cx="1026543" cy="353044"/>
                  <wp:effectExtent l="0" t="0" r="2540" b="9525"/>
                  <wp:docPr id="285" name="Picture 2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 name="standard-deviation-formula.gif"/>
                          <pic:cNvPicPr/>
                        </pic:nvPicPr>
                        <pic:blipFill>
                          <a:blip r:embed="rId18">
                            <a:extLst>
                              <a:ext uri="{28A0092B-C50C-407E-A947-70E740481C1C}">
                                <a14:useLocalDpi xmlns:a14="http://schemas.microsoft.com/office/drawing/2010/main" val="0"/>
                              </a:ext>
                            </a:extLst>
                          </a:blip>
                          <a:stretch>
                            <a:fillRect/>
                          </a:stretch>
                        </pic:blipFill>
                        <pic:spPr>
                          <a:xfrm>
                            <a:off x="0" y="0"/>
                            <a:ext cx="1040953" cy="358000"/>
                          </a:xfrm>
                          <a:prstGeom prst="rect">
                            <a:avLst/>
                          </a:prstGeom>
                        </pic:spPr>
                      </pic:pic>
                    </a:graphicData>
                  </a:graphic>
                </wp:inline>
              </w:drawing>
            </w:r>
          </w:p>
        </w:tc>
      </w:tr>
      <w:tr w:rsidR="00EA0852" w:rsidRPr="00851192" w14:paraId="4CF48007" w14:textId="77777777" w:rsidTr="00DE3E33">
        <w:trPr>
          <w:trHeight w:val="300"/>
          <w:jc w:val="center"/>
        </w:trPr>
        <w:tc>
          <w:tcPr>
            <w:tcW w:w="2760" w:type="dxa"/>
            <w:shd w:val="clear" w:color="auto" w:fill="auto"/>
            <w:noWrap/>
            <w:vAlign w:val="bottom"/>
            <w:hideMark/>
          </w:tcPr>
          <w:p w14:paraId="6F3E6741" w14:textId="60C931F7" w:rsidR="00EA0852" w:rsidRPr="00851192" w:rsidRDefault="00EA0852"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Not Effective</w:t>
            </w:r>
          </w:p>
        </w:tc>
        <w:tc>
          <w:tcPr>
            <w:tcW w:w="1200" w:type="dxa"/>
            <w:shd w:val="clear" w:color="auto" w:fill="auto"/>
            <w:noWrap/>
            <w:vAlign w:val="bottom"/>
            <w:hideMark/>
          </w:tcPr>
          <w:p w14:paraId="480C2751" w14:textId="0642A06F" w:rsidR="00EA0852" w:rsidRPr="00851192" w:rsidRDefault="00EA0852"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28</w:t>
            </w:r>
          </w:p>
        </w:tc>
        <w:tc>
          <w:tcPr>
            <w:tcW w:w="1900" w:type="dxa"/>
            <w:shd w:val="clear" w:color="auto" w:fill="auto"/>
            <w:noWrap/>
            <w:vAlign w:val="bottom"/>
            <w:hideMark/>
          </w:tcPr>
          <w:p w14:paraId="154D2E43" w14:textId="4C8F5D22" w:rsidR="00EA0852" w:rsidRPr="00851192" w:rsidRDefault="00EA0852"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-6.25</w:t>
            </w:r>
          </w:p>
        </w:tc>
      </w:tr>
      <w:tr w:rsidR="00EA0852" w:rsidRPr="00851192" w14:paraId="0189148D" w14:textId="77777777" w:rsidTr="00DE3E33">
        <w:trPr>
          <w:trHeight w:val="300"/>
          <w:jc w:val="center"/>
        </w:trPr>
        <w:tc>
          <w:tcPr>
            <w:tcW w:w="2760" w:type="dxa"/>
            <w:shd w:val="clear" w:color="auto" w:fill="auto"/>
            <w:noWrap/>
            <w:vAlign w:val="bottom"/>
            <w:hideMark/>
          </w:tcPr>
          <w:p w14:paraId="5AE07584" w14:textId="1C25A4DF" w:rsidR="00EA0852" w:rsidRPr="00851192" w:rsidRDefault="00EA0852"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Adequate</w:t>
            </w:r>
          </w:p>
        </w:tc>
        <w:tc>
          <w:tcPr>
            <w:tcW w:w="1200" w:type="dxa"/>
            <w:shd w:val="clear" w:color="auto" w:fill="auto"/>
            <w:noWrap/>
            <w:vAlign w:val="bottom"/>
            <w:hideMark/>
          </w:tcPr>
          <w:p w14:paraId="70093526" w14:textId="74B16E42" w:rsidR="00EA0852" w:rsidRPr="00851192" w:rsidRDefault="00EA0852"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50</w:t>
            </w:r>
          </w:p>
        </w:tc>
        <w:tc>
          <w:tcPr>
            <w:tcW w:w="1900" w:type="dxa"/>
            <w:shd w:val="clear" w:color="auto" w:fill="auto"/>
            <w:noWrap/>
            <w:vAlign w:val="bottom"/>
            <w:hideMark/>
          </w:tcPr>
          <w:p w14:paraId="2C48D7BC" w14:textId="62000BBA" w:rsidR="00EA0852" w:rsidRPr="00851192" w:rsidRDefault="00EA0852"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380.25</w:t>
            </w:r>
          </w:p>
        </w:tc>
      </w:tr>
      <w:tr w:rsidR="00EA0852" w:rsidRPr="00851192" w14:paraId="33A94077" w14:textId="77777777" w:rsidTr="00DE3E33">
        <w:trPr>
          <w:trHeight w:val="300"/>
          <w:jc w:val="center"/>
        </w:trPr>
        <w:tc>
          <w:tcPr>
            <w:tcW w:w="2760" w:type="dxa"/>
            <w:shd w:val="clear" w:color="auto" w:fill="auto"/>
            <w:noWrap/>
            <w:vAlign w:val="bottom"/>
            <w:hideMark/>
          </w:tcPr>
          <w:p w14:paraId="02E6231E" w14:textId="25E55FCF" w:rsidR="00EA0852" w:rsidRPr="00851192" w:rsidRDefault="00EA0852"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Effective</w:t>
            </w:r>
          </w:p>
        </w:tc>
        <w:tc>
          <w:tcPr>
            <w:tcW w:w="1200" w:type="dxa"/>
            <w:shd w:val="clear" w:color="auto" w:fill="auto"/>
            <w:noWrap/>
            <w:vAlign w:val="bottom"/>
            <w:hideMark/>
          </w:tcPr>
          <w:p w14:paraId="51DDEAB9" w14:textId="2787DECE" w:rsidR="00EA0852" w:rsidRPr="00851192" w:rsidRDefault="00EA0852"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31</w:t>
            </w:r>
          </w:p>
        </w:tc>
        <w:tc>
          <w:tcPr>
            <w:tcW w:w="1900" w:type="dxa"/>
            <w:shd w:val="clear" w:color="auto" w:fill="auto"/>
            <w:noWrap/>
            <w:vAlign w:val="bottom"/>
            <w:hideMark/>
          </w:tcPr>
          <w:p w14:paraId="4982A2B8" w14:textId="138964B5" w:rsidR="00EA0852" w:rsidRPr="00851192" w:rsidRDefault="00EA0852"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0.25</w:t>
            </w:r>
          </w:p>
        </w:tc>
      </w:tr>
      <w:tr w:rsidR="00EA0852" w:rsidRPr="00851192" w14:paraId="583758AF" w14:textId="77777777" w:rsidTr="00DE3E33">
        <w:trPr>
          <w:trHeight w:val="300"/>
          <w:jc w:val="center"/>
        </w:trPr>
        <w:tc>
          <w:tcPr>
            <w:tcW w:w="2760" w:type="dxa"/>
            <w:shd w:val="clear" w:color="auto" w:fill="auto"/>
            <w:noWrap/>
            <w:vAlign w:val="bottom"/>
            <w:hideMark/>
          </w:tcPr>
          <w:p w14:paraId="7F1AE3FA" w14:textId="3EE7F37E" w:rsidR="00EA0852" w:rsidRPr="00851192" w:rsidRDefault="00EA0852"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Very Effective</w:t>
            </w:r>
          </w:p>
        </w:tc>
        <w:tc>
          <w:tcPr>
            <w:tcW w:w="1200" w:type="dxa"/>
            <w:shd w:val="clear" w:color="auto" w:fill="auto"/>
            <w:noWrap/>
            <w:vAlign w:val="bottom"/>
            <w:hideMark/>
          </w:tcPr>
          <w:p w14:paraId="45A8EA5A" w14:textId="24522F53" w:rsidR="00EA0852" w:rsidRPr="00851192" w:rsidRDefault="00EA0852"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13</w:t>
            </w:r>
          </w:p>
        </w:tc>
        <w:tc>
          <w:tcPr>
            <w:tcW w:w="1900" w:type="dxa"/>
            <w:shd w:val="clear" w:color="auto" w:fill="auto"/>
            <w:noWrap/>
            <w:vAlign w:val="bottom"/>
            <w:hideMark/>
          </w:tcPr>
          <w:p w14:paraId="7C335456" w14:textId="5B294D53" w:rsidR="00EA0852" w:rsidRPr="00851192" w:rsidRDefault="00EA0852"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-306.25</w:t>
            </w:r>
          </w:p>
        </w:tc>
      </w:tr>
      <w:tr w:rsidR="00EA0852" w:rsidRPr="00851192" w14:paraId="436F86CB" w14:textId="77777777" w:rsidTr="00DE3E33">
        <w:trPr>
          <w:trHeight w:val="300"/>
          <w:jc w:val="center"/>
        </w:trPr>
        <w:tc>
          <w:tcPr>
            <w:tcW w:w="2760" w:type="dxa"/>
            <w:shd w:val="clear" w:color="auto" w:fill="auto"/>
            <w:noWrap/>
            <w:vAlign w:val="bottom"/>
            <w:hideMark/>
          </w:tcPr>
          <w:p w14:paraId="50AAA3B6" w14:textId="77777777" w:rsidR="00EA0852" w:rsidRPr="00851192" w:rsidRDefault="00EA0852"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Mean =</w:t>
            </w:r>
          </w:p>
        </w:tc>
        <w:tc>
          <w:tcPr>
            <w:tcW w:w="1200" w:type="dxa"/>
            <w:shd w:val="clear" w:color="auto" w:fill="auto"/>
            <w:noWrap/>
            <w:vAlign w:val="bottom"/>
            <w:hideMark/>
          </w:tcPr>
          <w:p w14:paraId="3D5769C4" w14:textId="14662285" w:rsidR="00EA0852" w:rsidRPr="00851192" w:rsidRDefault="00EA0852"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30.5</w:t>
            </w:r>
          </w:p>
        </w:tc>
        <w:tc>
          <w:tcPr>
            <w:tcW w:w="1900" w:type="dxa"/>
            <w:shd w:val="clear" w:color="auto" w:fill="auto"/>
            <w:noWrap/>
            <w:vAlign w:val="bottom"/>
            <w:hideMark/>
          </w:tcPr>
          <w:p w14:paraId="5D814637" w14:textId="77777777" w:rsidR="00EA0852" w:rsidRPr="00851192" w:rsidRDefault="00EA0852"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 </w:t>
            </w:r>
          </w:p>
        </w:tc>
      </w:tr>
      <w:tr w:rsidR="00EA0852" w:rsidRPr="00851192" w14:paraId="36A2FCF1" w14:textId="77777777" w:rsidTr="00DE3E33">
        <w:trPr>
          <w:trHeight w:val="315"/>
          <w:jc w:val="center"/>
        </w:trPr>
        <w:tc>
          <w:tcPr>
            <w:tcW w:w="2760" w:type="dxa"/>
            <w:shd w:val="clear" w:color="auto" w:fill="auto"/>
            <w:noWrap/>
            <w:vAlign w:val="bottom"/>
            <w:hideMark/>
          </w:tcPr>
          <w:p w14:paraId="2892F948" w14:textId="77777777" w:rsidR="00EA0852" w:rsidRPr="00851192" w:rsidRDefault="00EA0852"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Standard Deviation =</w:t>
            </w:r>
          </w:p>
        </w:tc>
        <w:tc>
          <w:tcPr>
            <w:tcW w:w="1200" w:type="dxa"/>
            <w:shd w:val="clear" w:color="auto" w:fill="auto"/>
            <w:noWrap/>
            <w:vAlign w:val="bottom"/>
            <w:hideMark/>
          </w:tcPr>
          <w:p w14:paraId="29720956" w14:textId="77777777" w:rsidR="00EA0852" w:rsidRPr="00851192" w:rsidRDefault="00EA0852"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 </w:t>
            </w:r>
          </w:p>
        </w:tc>
        <w:tc>
          <w:tcPr>
            <w:tcW w:w="1900" w:type="dxa"/>
            <w:shd w:val="clear" w:color="auto" w:fill="auto"/>
            <w:noWrap/>
            <w:vAlign w:val="bottom"/>
            <w:hideMark/>
          </w:tcPr>
          <w:p w14:paraId="16DCFB57" w14:textId="00A6A913" w:rsidR="00EA0852" w:rsidRPr="00851192" w:rsidRDefault="00EA0852"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4.12311</w:t>
            </w:r>
          </w:p>
        </w:tc>
      </w:tr>
      <w:tr w:rsidR="00F23E01" w:rsidRPr="00851192" w14:paraId="36614925" w14:textId="77777777" w:rsidTr="00DE3E33">
        <w:trPr>
          <w:trHeight w:val="315"/>
          <w:jc w:val="center"/>
        </w:trPr>
        <w:tc>
          <w:tcPr>
            <w:tcW w:w="2760" w:type="dxa"/>
            <w:shd w:val="clear" w:color="auto" w:fill="auto"/>
            <w:noWrap/>
            <w:vAlign w:val="bottom"/>
          </w:tcPr>
          <w:p w14:paraId="35B76C45" w14:textId="4F370832" w:rsidR="00F23E01" w:rsidRPr="00851192" w:rsidRDefault="00F23E01" w:rsidP="00DE3E33">
            <w:pPr>
              <w:spacing w:after="0" w:line="240" w:lineRule="auto"/>
              <w:rPr>
                <w:rFonts w:ascii="Arial" w:eastAsia="Times New Roman" w:hAnsi="Arial" w:cs="Arial"/>
                <w:color w:val="000000"/>
                <w:lang w:eastAsia="en-GB"/>
              </w:rPr>
            </w:pPr>
            <w:r>
              <w:rPr>
                <w:rFonts w:ascii="Arial" w:eastAsia="Times New Roman" w:hAnsi="Arial" w:cs="Arial"/>
                <w:color w:val="000000"/>
                <w:lang w:eastAsia="en-GB"/>
              </w:rPr>
              <w:t>Median =</w:t>
            </w:r>
          </w:p>
        </w:tc>
        <w:tc>
          <w:tcPr>
            <w:tcW w:w="1200" w:type="dxa"/>
            <w:shd w:val="clear" w:color="auto" w:fill="auto"/>
            <w:noWrap/>
            <w:vAlign w:val="bottom"/>
          </w:tcPr>
          <w:p w14:paraId="58C15587" w14:textId="77777777" w:rsidR="00F23E01" w:rsidRPr="00851192" w:rsidRDefault="00F23E01" w:rsidP="00DE3E33">
            <w:pPr>
              <w:spacing w:after="0" w:line="240" w:lineRule="auto"/>
              <w:rPr>
                <w:rFonts w:ascii="Arial" w:eastAsia="Times New Roman" w:hAnsi="Arial" w:cs="Arial"/>
                <w:color w:val="000000"/>
                <w:lang w:eastAsia="en-GB"/>
              </w:rPr>
            </w:pPr>
          </w:p>
        </w:tc>
        <w:tc>
          <w:tcPr>
            <w:tcW w:w="1900" w:type="dxa"/>
            <w:shd w:val="clear" w:color="auto" w:fill="auto"/>
            <w:noWrap/>
            <w:vAlign w:val="bottom"/>
          </w:tcPr>
          <w:p w14:paraId="0BFAFA4E" w14:textId="37B54B44" w:rsidR="00F23E01" w:rsidRPr="00851192" w:rsidRDefault="00F23E01" w:rsidP="00DE3E33">
            <w:pPr>
              <w:spacing w:after="0" w:line="240" w:lineRule="auto"/>
              <w:jc w:val="right"/>
              <w:rPr>
                <w:rFonts w:ascii="Arial" w:eastAsia="Times New Roman" w:hAnsi="Arial" w:cs="Arial"/>
                <w:color w:val="000000"/>
                <w:lang w:eastAsia="en-GB"/>
              </w:rPr>
            </w:pPr>
            <w:r>
              <w:rPr>
                <w:rFonts w:ascii="Arial" w:eastAsia="Times New Roman" w:hAnsi="Arial" w:cs="Arial"/>
                <w:color w:val="000000"/>
                <w:lang w:eastAsia="en-GB"/>
              </w:rPr>
              <w:t>N = 29.5</w:t>
            </w:r>
          </w:p>
        </w:tc>
      </w:tr>
    </w:tbl>
    <w:p w14:paraId="523979F0" w14:textId="77777777" w:rsidR="00796A4F" w:rsidRPr="00851192" w:rsidRDefault="00796A4F" w:rsidP="00796A4F">
      <w:pPr>
        <w:jc w:val="both"/>
        <w:rPr>
          <w:rFonts w:ascii="Arial" w:hAnsi="Arial" w:cs="Arial"/>
        </w:rPr>
      </w:pPr>
    </w:p>
    <w:p w14:paraId="066C507D" w14:textId="6221D1FE" w:rsidR="00796A4F" w:rsidRPr="00851192" w:rsidRDefault="00796A4F" w:rsidP="0003183E">
      <w:pPr>
        <w:spacing w:line="360" w:lineRule="auto"/>
        <w:jc w:val="both"/>
        <w:rPr>
          <w:rFonts w:ascii="Arial" w:hAnsi="Arial" w:cs="Arial"/>
        </w:rPr>
      </w:pPr>
      <w:r w:rsidRPr="00851192">
        <w:rPr>
          <w:rFonts w:ascii="Arial" w:hAnsi="Arial" w:cs="Arial"/>
        </w:rPr>
        <w:t xml:space="preserve">From </w:t>
      </w:r>
      <w:r w:rsidR="005E6E2A" w:rsidRPr="00851192">
        <w:rPr>
          <w:rFonts w:ascii="Arial" w:hAnsi="Arial" w:cs="Arial"/>
        </w:rPr>
        <w:t>concluding the key findings within</w:t>
      </w:r>
      <w:r w:rsidRPr="00851192">
        <w:rPr>
          <w:rFonts w:ascii="Arial" w:hAnsi="Arial" w:cs="Arial"/>
        </w:rPr>
        <w:t xml:space="preserve"> the first part of the study, the researcher identified a pattern and evaluated the findings into three groups of participants with distinctive characteristics. The three groups are directly in conjunction with question three of the survey. </w:t>
      </w:r>
      <w:r w:rsidRPr="00851192">
        <w:rPr>
          <w:rFonts w:ascii="Arial" w:hAnsi="Arial" w:cs="Arial"/>
        </w:rPr>
        <w:lastRenderedPageBreak/>
        <w:t>However, characteristics have been presented by participants’, indicating strong relationships within behaviour and responses</w:t>
      </w:r>
      <w:r w:rsidR="00DC3C61" w:rsidRPr="00851192">
        <w:rPr>
          <w:rFonts w:ascii="Arial" w:hAnsi="Arial" w:cs="Arial"/>
        </w:rPr>
        <w:t xml:space="preserve"> towards gambling habits</w:t>
      </w:r>
      <w:r w:rsidRPr="00851192">
        <w:rPr>
          <w:rFonts w:ascii="Arial" w:hAnsi="Arial" w:cs="Arial"/>
        </w:rPr>
        <w:t xml:space="preserve">. </w:t>
      </w:r>
    </w:p>
    <w:p w14:paraId="3C74C404" w14:textId="6ADF9B68" w:rsidR="005D7F16" w:rsidRPr="00851192" w:rsidRDefault="005D7F16" w:rsidP="00DC58F0">
      <w:pPr>
        <w:rPr>
          <w:rFonts w:ascii="Arial" w:hAnsi="Arial" w:cs="Arial"/>
        </w:rPr>
      </w:pPr>
    </w:p>
    <w:tbl>
      <w:tblPr>
        <w:tblStyle w:val="TableGrid"/>
        <w:tblW w:w="0" w:type="auto"/>
        <w:tblLook w:val="04A0" w:firstRow="1" w:lastRow="0" w:firstColumn="1" w:lastColumn="0" w:noHBand="0" w:noVBand="1"/>
      </w:tblPr>
      <w:tblGrid>
        <w:gridCol w:w="1366"/>
        <w:gridCol w:w="7650"/>
      </w:tblGrid>
      <w:tr w:rsidR="00796A4F" w:rsidRPr="00851192" w14:paraId="49C63C70" w14:textId="77777777" w:rsidTr="00DE3E33">
        <w:tc>
          <w:tcPr>
            <w:tcW w:w="1271" w:type="dxa"/>
          </w:tcPr>
          <w:p w14:paraId="52DB5586" w14:textId="77777777" w:rsidR="00796A4F" w:rsidRPr="00851192" w:rsidRDefault="00796A4F" w:rsidP="00DE3E33">
            <w:pPr>
              <w:jc w:val="both"/>
              <w:rPr>
                <w:rFonts w:ascii="Arial" w:hAnsi="Arial" w:cs="Arial"/>
              </w:rPr>
            </w:pPr>
            <w:r w:rsidRPr="00851192">
              <w:rPr>
                <w:rFonts w:ascii="Arial" w:hAnsi="Arial" w:cs="Arial"/>
              </w:rPr>
              <w:t>Group A</w:t>
            </w:r>
          </w:p>
          <w:p w14:paraId="436CCBFF" w14:textId="77777777" w:rsidR="00796A4F" w:rsidRPr="00851192" w:rsidRDefault="00796A4F" w:rsidP="00DE3E33">
            <w:pPr>
              <w:jc w:val="both"/>
              <w:rPr>
                <w:rFonts w:ascii="Arial" w:hAnsi="Arial" w:cs="Arial"/>
              </w:rPr>
            </w:pPr>
            <w:r w:rsidRPr="00851192">
              <w:rPr>
                <w:rFonts w:ascii="Arial" w:hAnsi="Arial" w:cs="Arial"/>
              </w:rPr>
              <w:t>31.10 % of Participants</w:t>
            </w:r>
          </w:p>
        </w:tc>
        <w:tc>
          <w:tcPr>
            <w:tcW w:w="7745" w:type="dxa"/>
          </w:tcPr>
          <w:p w14:paraId="3FDAD911" w14:textId="77777777" w:rsidR="00796A4F" w:rsidRPr="00851192" w:rsidRDefault="00796A4F" w:rsidP="00DE3E33">
            <w:pPr>
              <w:jc w:val="both"/>
              <w:rPr>
                <w:rFonts w:ascii="Arial" w:hAnsi="Arial" w:cs="Arial"/>
              </w:rPr>
            </w:pPr>
            <w:r w:rsidRPr="00851192">
              <w:rPr>
                <w:rFonts w:ascii="Arial" w:hAnsi="Arial" w:cs="Arial"/>
              </w:rPr>
              <w:t xml:space="preserve">This group are identified to have a strong engagement with GGO’s. The relationship within the survey suggest that participants regularly or excessively gamble with most members identifying themselves as not suggesting in having an issue with gambling.  </w:t>
            </w:r>
          </w:p>
        </w:tc>
      </w:tr>
      <w:tr w:rsidR="00796A4F" w:rsidRPr="00851192" w14:paraId="5D5914F9" w14:textId="77777777" w:rsidTr="00DE3E33">
        <w:tc>
          <w:tcPr>
            <w:tcW w:w="1271" w:type="dxa"/>
          </w:tcPr>
          <w:p w14:paraId="550977AB" w14:textId="77777777" w:rsidR="00796A4F" w:rsidRPr="00851192" w:rsidRDefault="00796A4F" w:rsidP="00DE3E33">
            <w:pPr>
              <w:jc w:val="both"/>
              <w:rPr>
                <w:rFonts w:ascii="Arial" w:hAnsi="Arial" w:cs="Arial"/>
              </w:rPr>
            </w:pPr>
            <w:r w:rsidRPr="00851192">
              <w:rPr>
                <w:rFonts w:ascii="Arial" w:hAnsi="Arial" w:cs="Arial"/>
              </w:rPr>
              <w:t>Group B</w:t>
            </w:r>
          </w:p>
          <w:p w14:paraId="6740B2EF" w14:textId="77777777" w:rsidR="00796A4F" w:rsidRPr="00851192" w:rsidRDefault="00796A4F" w:rsidP="00DE3E33">
            <w:pPr>
              <w:jc w:val="both"/>
              <w:rPr>
                <w:rFonts w:ascii="Arial" w:hAnsi="Arial" w:cs="Arial"/>
              </w:rPr>
            </w:pPr>
            <w:r w:rsidRPr="00851192">
              <w:rPr>
                <w:rFonts w:ascii="Arial" w:hAnsi="Arial" w:cs="Arial"/>
              </w:rPr>
              <w:t>25.40% of Participants</w:t>
            </w:r>
          </w:p>
        </w:tc>
        <w:tc>
          <w:tcPr>
            <w:tcW w:w="7745" w:type="dxa"/>
          </w:tcPr>
          <w:p w14:paraId="381D7688" w14:textId="77777777" w:rsidR="00796A4F" w:rsidRPr="00851192" w:rsidRDefault="00796A4F" w:rsidP="00DE3E33">
            <w:pPr>
              <w:jc w:val="both"/>
              <w:rPr>
                <w:rFonts w:ascii="Arial" w:hAnsi="Arial" w:cs="Arial"/>
              </w:rPr>
            </w:pPr>
            <w:r w:rsidRPr="00851192">
              <w:rPr>
                <w:rFonts w:ascii="Arial" w:hAnsi="Arial" w:cs="Arial"/>
              </w:rPr>
              <w:t xml:space="preserve">Some members of this group excessively gamble and most engage regularly with GGO’s. However, members of this group identify that there are issues surrounding personal gambling behaviour and are conscious of potential impacts.  </w:t>
            </w:r>
          </w:p>
        </w:tc>
      </w:tr>
      <w:tr w:rsidR="00796A4F" w:rsidRPr="00851192" w14:paraId="64CA502C" w14:textId="77777777" w:rsidTr="00DE3E33">
        <w:tc>
          <w:tcPr>
            <w:tcW w:w="1271" w:type="dxa"/>
          </w:tcPr>
          <w:p w14:paraId="3D867EEE" w14:textId="77777777" w:rsidR="00796A4F" w:rsidRPr="00851192" w:rsidRDefault="00796A4F" w:rsidP="00DE3E33">
            <w:pPr>
              <w:jc w:val="both"/>
              <w:rPr>
                <w:rFonts w:ascii="Arial" w:hAnsi="Arial" w:cs="Arial"/>
              </w:rPr>
            </w:pPr>
            <w:r w:rsidRPr="00851192">
              <w:rPr>
                <w:rFonts w:ascii="Arial" w:hAnsi="Arial" w:cs="Arial"/>
              </w:rPr>
              <w:t>Group C</w:t>
            </w:r>
          </w:p>
          <w:p w14:paraId="6BC04E92" w14:textId="77777777" w:rsidR="00796A4F" w:rsidRPr="00851192" w:rsidRDefault="00796A4F" w:rsidP="00DE3E33">
            <w:pPr>
              <w:jc w:val="both"/>
              <w:rPr>
                <w:rFonts w:ascii="Arial" w:hAnsi="Arial" w:cs="Arial"/>
              </w:rPr>
            </w:pPr>
            <w:r w:rsidRPr="00851192">
              <w:rPr>
                <w:rFonts w:ascii="Arial" w:hAnsi="Arial" w:cs="Arial"/>
              </w:rPr>
              <w:t>43.50% of Participants</w:t>
            </w:r>
          </w:p>
        </w:tc>
        <w:tc>
          <w:tcPr>
            <w:tcW w:w="7745" w:type="dxa"/>
          </w:tcPr>
          <w:p w14:paraId="4B931646" w14:textId="77777777" w:rsidR="00796A4F" w:rsidRPr="00851192" w:rsidRDefault="00796A4F" w:rsidP="00DE3E33">
            <w:pPr>
              <w:jc w:val="both"/>
              <w:rPr>
                <w:rFonts w:ascii="Arial" w:hAnsi="Arial" w:cs="Arial"/>
              </w:rPr>
            </w:pPr>
            <w:r w:rsidRPr="00851192">
              <w:rPr>
                <w:rFonts w:ascii="Arial" w:hAnsi="Arial" w:cs="Arial"/>
              </w:rPr>
              <w:t xml:space="preserve">Members of this group have low or no activity of gambling and understand the implications of what the industry may have on members of society. </w:t>
            </w:r>
          </w:p>
        </w:tc>
      </w:tr>
    </w:tbl>
    <w:p w14:paraId="64BBB535" w14:textId="2D901B21" w:rsidR="00626F1C" w:rsidRPr="00851192" w:rsidRDefault="00440295" w:rsidP="00F06B58">
      <w:pPr>
        <w:spacing w:line="360" w:lineRule="auto"/>
        <w:jc w:val="both"/>
        <w:rPr>
          <w:rFonts w:ascii="Arial" w:hAnsi="Arial" w:cs="Arial"/>
        </w:rPr>
      </w:pPr>
      <w:r w:rsidRPr="00851192">
        <w:rPr>
          <w:rFonts w:ascii="Arial" w:hAnsi="Arial" w:cs="Arial"/>
        </w:rPr>
        <w:br/>
      </w:r>
      <w:r w:rsidR="00626F1C" w:rsidRPr="00851192">
        <w:rPr>
          <w:rFonts w:ascii="Arial" w:hAnsi="Arial" w:cs="Arial"/>
        </w:rPr>
        <w:t xml:space="preserve">From forming </w:t>
      </w:r>
      <w:proofErr w:type="gramStart"/>
      <w:r w:rsidR="00626F1C" w:rsidRPr="00851192">
        <w:rPr>
          <w:rFonts w:ascii="Arial" w:hAnsi="Arial" w:cs="Arial"/>
        </w:rPr>
        <w:t>participants</w:t>
      </w:r>
      <w:proofErr w:type="gramEnd"/>
      <w:r w:rsidR="00626F1C" w:rsidRPr="00851192">
        <w:rPr>
          <w:rFonts w:ascii="Arial" w:hAnsi="Arial" w:cs="Arial"/>
        </w:rPr>
        <w:t xml:space="preserve"> results into groups, the researcher can highlight which group may need greater measures of CSR communication to ensure that participants do not adopt a culture of PG. An evaluation on whether CSR communication needs are met are made at the end of the key findings section of </w:t>
      </w:r>
      <w:r w:rsidR="00DC3C61" w:rsidRPr="00851192">
        <w:rPr>
          <w:rFonts w:ascii="Arial" w:hAnsi="Arial" w:cs="Arial"/>
        </w:rPr>
        <w:t>this chapter</w:t>
      </w:r>
      <w:r w:rsidR="00626F1C" w:rsidRPr="00851192">
        <w:rPr>
          <w:rFonts w:ascii="Arial" w:hAnsi="Arial" w:cs="Arial"/>
        </w:rPr>
        <w:t>.</w:t>
      </w:r>
    </w:p>
    <w:p w14:paraId="52AF9715" w14:textId="53627619" w:rsidR="00440295" w:rsidRPr="00851192" w:rsidRDefault="00DC3C61" w:rsidP="00F06B58">
      <w:pPr>
        <w:spacing w:line="360" w:lineRule="auto"/>
        <w:jc w:val="both"/>
        <w:rPr>
          <w:rFonts w:ascii="Arial" w:hAnsi="Arial" w:cs="Arial"/>
        </w:rPr>
      </w:pPr>
      <w:r w:rsidRPr="00851192">
        <w:rPr>
          <w:rFonts w:ascii="Arial" w:hAnsi="Arial" w:cs="Arial"/>
        </w:rPr>
        <w:t xml:space="preserve">The first part of </w:t>
      </w:r>
      <w:r w:rsidR="00440295" w:rsidRPr="00851192">
        <w:rPr>
          <w:rFonts w:ascii="Arial" w:hAnsi="Arial" w:cs="Arial"/>
        </w:rPr>
        <w:t xml:space="preserve">section two of the survey indicated that all groups displayed a strong relationship in answers provided. 72.6 % of participants acknowledged that they have previously identified both technical support and specialised marketing of gambling. Furthermore, 83.3% of participants also insisted that customer service was available across online platforms. In comparison to the 20.5% of participants stating that RG link features were available alongside 23.1% supporting addiction help features. </w:t>
      </w:r>
      <w:r w:rsidRPr="00851192">
        <w:rPr>
          <w:rFonts w:ascii="Arial" w:hAnsi="Arial" w:cs="Arial"/>
        </w:rPr>
        <w:t>The results provided by participants question the purposefulness presented by GGO’s within annual reports and display good corporate citizenship (Carroll, 2012) and CSR measures (Freeman, 1984) in an environment which has negative externalities (Davies, 2016).</w:t>
      </w:r>
    </w:p>
    <w:p w14:paraId="41DEDFD0" w14:textId="0A03E86A" w:rsidR="00626F1C" w:rsidRPr="00851192" w:rsidRDefault="00DC3C61" w:rsidP="00F06B58">
      <w:pPr>
        <w:spacing w:line="360" w:lineRule="auto"/>
        <w:jc w:val="both"/>
        <w:rPr>
          <w:rFonts w:ascii="Arial" w:hAnsi="Arial" w:cs="Arial"/>
        </w:rPr>
      </w:pPr>
      <w:r w:rsidRPr="00851192">
        <w:rPr>
          <w:rFonts w:ascii="Arial" w:hAnsi="Arial" w:cs="Arial"/>
        </w:rPr>
        <w:t>Q</w:t>
      </w:r>
      <w:r w:rsidR="00626F1C" w:rsidRPr="00851192">
        <w:rPr>
          <w:rFonts w:ascii="Arial" w:hAnsi="Arial" w:cs="Arial"/>
        </w:rPr>
        <w:t>uestion six, identified possible issues associated with personal gambling habits. All participants who disclosed that they take part in gambling shared that it is fun and enjoyable. However, many participants were shown to be indecisive when asked on whether too much time or money was spent on gambling. More participants stated they did not feel that they spent too much money or time on gambling as supposed to those who disclosed they did. A strong relationship was evaluated between those who believed that RG messages were ineffective and those who believed that they did not spend too much time or money on gambling. However, those who display a sense of self-realisation in possible issues associated with gambling whether th</w:t>
      </w:r>
      <w:r w:rsidRPr="00851192">
        <w:rPr>
          <w:rFonts w:ascii="Arial" w:hAnsi="Arial" w:cs="Arial"/>
        </w:rPr>
        <w:t>at</w:t>
      </w:r>
      <w:r w:rsidR="00626F1C" w:rsidRPr="00851192">
        <w:rPr>
          <w:rFonts w:ascii="Arial" w:hAnsi="Arial" w:cs="Arial"/>
        </w:rPr>
        <w:t xml:space="preserve"> may be social or personal issues indicated that they do spend too much time and money. A similar relationship was also identified with those who stated that </w:t>
      </w:r>
      <w:r w:rsidR="00626F1C" w:rsidRPr="00851192">
        <w:rPr>
          <w:rFonts w:ascii="Arial" w:hAnsi="Arial" w:cs="Arial"/>
        </w:rPr>
        <w:lastRenderedPageBreak/>
        <w:t xml:space="preserve">relationships and lifestyle were impacted by gambling, and who had previously disclosed they had spent too much time and money on GGO’s. </w:t>
      </w:r>
    </w:p>
    <w:p w14:paraId="4A16A187" w14:textId="53F1EB8F" w:rsidR="00626F1C" w:rsidRPr="00851192" w:rsidRDefault="00626F1C" w:rsidP="00F06B58">
      <w:pPr>
        <w:spacing w:line="360" w:lineRule="auto"/>
        <w:jc w:val="both"/>
        <w:rPr>
          <w:rFonts w:ascii="Arial" w:hAnsi="Arial" w:cs="Arial"/>
        </w:rPr>
      </w:pPr>
      <w:r w:rsidRPr="00851192">
        <w:rPr>
          <w:rFonts w:ascii="Arial" w:hAnsi="Arial" w:cs="Arial"/>
        </w:rPr>
        <w:t xml:space="preserve">The strength of this question provided an evaluation for the participant on their own morale standing towards possible issues associated towards PG and whether GGO’s do take effective measures towards RG. </w:t>
      </w:r>
    </w:p>
    <w:p w14:paraId="19D2050E" w14:textId="6FB69097" w:rsidR="00796A4F" w:rsidRPr="00851192" w:rsidRDefault="00626F1C" w:rsidP="00F06B58">
      <w:pPr>
        <w:spacing w:line="360" w:lineRule="auto"/>
        <w:jc w:val="both"/>
        <w:rPr>
          <w:rFonts w:ascii="Arial" w:hAnsi="Arial" w:cs="Arial"/>
        </w:rPr>
      </w:pPr>
      <w:r w:rsidRPr="00851192">
        <w:rPr>
          <w:rFonts w:ascii="Arial" w:hAnsi="Arial" w:cs="Arial"/>
        </w:rPr>
        <w:t xml:space="preserve">The following question </w:t>
      </w:r>
      <w:r w:rsidR="00E30623" w:rsidRPr="00851192">
        <w:rPr>
          <w:rFonts w:ascii="Arial" w:hAnsi="Arial" w:cs="Arial"/>
        </w:rPr>
        <w:t>within the survey identified</w:t>
      </w:r>
      <w:r w:rsidRPr="00851192">
        <w:rPr>
          <w:rFonts w:ascii="Arial" w:hAnsi="Arial" w:cs="Arial"/>
        </w:rPr>
        <w:t xml:space="preserve"> RG features</w:t>
      </w:r>
      <w:r w:rsidR="00E30623" w:rsidRPr="00851192">
        <w:rPr>
          <w:rFonts w:ascii="Arial" w:hAnsi="Arial" w:cs="Arial"/>
        </w:rPr>
        <w:t xml:space="preserve"> which participants have recognised</w:t>
      </w:r>
      <w:r w:rsidR="00DE3E33" w:rsidRPr="00851192">
        <w:rPr>
          <w:rFonts w:ascii="Arial" w:hAnsi="Arial" w:cs="Arial"/>
        </w:rPr>
        <w:t xml:space="preserve"> when using a GGO site</w:t>
      </w:r>
      <w:r w:rsidR="00E30623" w:rsidRPr="00851192">
        <w:rPr>
          <w:rFonts w:ascii="Arial" w:hAnsi="Arial" w:cs="Arial"/>
        </w:rPr>
        <w:t xml:space="preserve">. This became an opportunity for the researcher to critically evaluate the measures GGO’s had taken from the participants perception. </w:t>
      </w:r>
      <w:r w:rsidR="00AB1BE3" w:rsidRPr="00851192">
        <w:rPr>
          <w:rFonts w:ascii="Arial" w:hAnsi="Arial" w:cs="Arial"/>
        </w:rPr>
        <w:t>The research discovered that</w:t>
      </w:r>
      <w:r w:rsidR="00E30623" w:rsidRPr="00851192">
        <w:rPr>
          <w:rFonts w:ascii="Arial" w:hAnsi="Arial" w:cs="Arial"/>
        </w:rPr>
        <w:t xml:space="preserve"> </w:t>
      </w:r>
      <w:r w:rsidR="00AB1BE3" w:rsidRPr="00851192">
        <w:rPr>
          <w:rFonts w:ascii="Arial" w:hAnsi="Arial" w:cs="Arial"/>
        </w:rPr>
        <w:t xml:space="preserve">there is a platform available for effective CSR measures as discovered within the content analyses of annual reports, websites and social media. However, the preface of </w:t>
      </w:r>
      <w:proofErr w:type="gramStart"/>
      <w:r w:rsidR="00AB1BE3" w:rsidRPr="00851192">
        <w:rPr>
          <w:rFonts w:ascii="Arial" w:hAnsi="Arial" w:cs="Arial"/>
        </w:rPr>
        <w:t>consumers</w:t>
      </w:r>
      <w:proofErr w:type="gramEnd"/>
      <w:r w:rsidR="00AB1BE3" w:rsidRPr="00851192">
        <w:rPr>
          <w:rFonts w:ascii="Arial" w:hAnsi="Arial" w:cs="Arial"/>
        </w:rPr>
        <w:t xml:space="preserve"> perception is that GGO’s are driven towards customer service, technical support, and the marketing of gambling. Even so, it can be argued that the operations of GGO’s is not wrong and what they are doing is effectively within a business’s nature. However, due to the externalities associated with the </w:t>
      </w:r>
      <w:r w:rsidR="00AD22E2" w:rsidRPr="00851192">
        <w:rPr>
          <w:rFonts w:ascii="Arial" w:hAnsi="Arial" w:cs="Arial"/>
        </w:rPr>
        <w:t>GGI</w:t>
      </w:r>
      <w:r w:rsidR="00AB1BE3" w:rsidRPr="00851192">
        <w:rPr>
          <w:rFonts w:ascii="Arial" w:hAnsi="Arial" w:cs="Arial"/>
        </w:rPr>
        <w:t xml:space="preserve">, the </w:t>
      </w:r>
      <w:r w:rsidR="00FB5511" w:rsidRPr="00851192">
        <w:rPr>
          <w:rFonts w:ascii="Arial" w:hAnsi="Arial" w:cs="Arial"/>
        </w:rPr>
        <w:t>evaluation</w:t>
      </w:r>
      <w:r w:rsidR="00AB1BE3" w:rsidRPr="00851192">
        <w:rPr>
          <w:rFonts w:ascii="Arial" w:hAnsi="Arial" w:cs="Arial"/>
        </w:rPr>
        <w:t xml:space="preserve"> demonstrates that effective measures of CSR are not fully committed or made by GGO’s and that GGO’s strongly show characteristics of Friedman (1970) </w:t>
      </w:r>
      <w:r w:rsidR="00FB5511" w:rsidRPr="00851192">
        <w:rPr>
          <w:rFonts w:ascii="Arial" w:hAnsi="Arial" w:cs="Arial"/>
        </w:rPr>
        <w:t>ideology</w:t>
      </w:r>
      <w:r w:rsidR="00AB1BE3" w:rsidRPr="00851192">
        <w:rPr>
          <w:rFonts w:ascii="Arial" w:hAnsi="Arial" w:cs="Arial"/>
        </w:rPr>
        <w:t xml:space="preserve"> on a business’s sole responsibility being financial performance. </w:t>
      </w:r>
    </w:p>
    <w:p w14:paraId="4CCD7972" w14:textId="02E08C9C" w:rsidR="00796A4F" w:rsidRPr="00851192" w:rsidRDefault="00FB5511" w:rsidP="00B96592">
      <w:pPr>
        <w:jc w:val="center"/>
        <w:rPr>
          <w:rFonts w:ascii="Arial" w:hAnsi="Arial" w:cs="Arial"/>
        </w:rPr>
      </w:pPr>
      <w:r w:rsidRPr="00851192">
        <w:rPr>
          <w:rFonts w:ascii="Arial" w:hAnsi="Arial" w:cs="Arial"/>
          <w:noProof/>
          <w:lang w:eastAsia="en-GB"/>
        </w:rPr>
        <w:drawing>
          <wp:inline distT="0" distB="0" distL="0" distR="0" wp14:anchorId="570B8C11" wp14:editId="6D7E6BC2">
            <wp:extent cx="4572000" cy="2743200"/>
            <wp:effectExtent l="0" t="0" r="0" b="0"/>
            <wp:docPr id="201" name="Chart 201">
              <a:extLst xmlns:a="http://schemas.openxmlformats.org/drawingml/2006/main">
                <a:ext uri="{FF2B5EF4-FFF2-40B4-BE49-F238E27FC236}">
                  <a16:creationId xmlns:a16="http://schemas.microsoft.com/office/drawing/2014/main" id="{D59966B9-ECAA-4FD3-AA72-AFFC7A589E0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46765B5F" w14:textId="77777777" w:rsidR="002067EB" w:rsidRPr="00851192" w:rsidRDefault="002067EB" w:rsidP="002067EB">
      <w:pPr>
        <w:rPr>
          <w:rFonts w:ascii="Arial" w:hAnsi="Arial" w:cs="Arial"/>
        </w:rPr>
      </w:pPr>
    </w:p>
    <w:p w14:paraId="7885DD69" w14:textId="77777777" w:rsidR="00F06B58" w:rsidRPr="00851192" w:rsidRDefault="00F06B58" w:rsidP="00E91207">
      <w:pPr>
        <w:jc w:val="both"/>
        <w:rPr>
          <w:rFonts w:ascii="Arial" w:hAnsi="Arial" w:cs="Arial"/>
        </w:rPr>
      </w:pPr>
    </w:p>
    <w:p w14:paraId="122E8837" w14:textId="77777777" w:rsidR="00F06B58" w:rsidRPr="00851192" w:rsidRDefault="00F06B58" w:rsidP="00E91207">
      <w:pPr>
        <w:jc w:val="both"/>
        <w:rPr>
          <w:rFonts w:ascii="Arial" w:hAnsi="Arial" w:cs="Arial"/>
        </w:rPr>
      </w:pPr>
    </w:p>
    <w:p w14:paraId="280BBCAF" w14:textId="77777777" w:rsidR="00F06B58" w:rsidRPr="00851192" w:rsidRDefault="00F06B58" w:rsidP="00E91207">
      <w:pPr>
        <w:jc w:val="both"/>
        <w:rPr>
          <w:rFonts w:ascii="Arial" w:hAnsi="Arial" w:cs="Arial"/>
        </w:rPr>
      </w:pPr>
    </w:p>
    <w:p w14:paraId="21FE2FE2" w14:textId="77777777" w:rsidR="00F06B58" w:rsidRPr="00851192" w:rsidRDefault="00F06B58" w:rsidP="00E91207">
      <w:pPr>
        <w:jc w:val="both"/>
        <w:rPr>
          <w:rFonts w:ascii="Arial" w:hAnsi="Arial" w:cs="Arial"/>
        </w:rPr>
      </w:pPr>
    </w:p>
    <w:p w14:paraId="51C211F1" w14:textId="77777777" w:rsidR="00F06B58" w:rsidRPr="00851192" w:rsidRDefault="00F06B58" w:rsidP="00E91207">
      <w:pPr>
        <w:jc w:val="both"/>
        <w:rPr>
          <w:rFonts w:ascii="Arial" w:hAnsi="Arial" w:cs="Arial"/>
        </w:rPr>
      </w:pPr>
    </w:p>
    <w:p w14:paraId="1AF99D0C" w14:textId="77777777" w:rsidR="00F06B58" w:rsidRPr="00851192" w:rsidRDefault="00F06B58" w:rsidP="00E91207">
      <w:pPr>
        <w:jc w:val="both"/>
        <w:rPr>
          <w:rFonts w:ascii="Arial" w:hAnsi="Arial" w:cs="Arial"/>
        </w:rPr>
      </w:pPr>
    </w:p>
    <w:p w14:paraId="5767B46C" w14:textId="0C00EFBB" w:rsidR="00A171D6" w:rsidRPr="00851192" w:rsidRDefault="00B96592" w:rsidP="00F06B58">
      <w:pPr>
        <w:spacing w:line="360" w:lineRule="auto"/>
        <w:jc w:val="both"/>
        <w:rPr>
          <w:rFonts w:ascii="Arial" w:hAnsi="Arial" w:cs="Arial"/>
        </w:rPr>
      </w:pPr>
      <w:r w:rsidRPr="00851192">
        <w:rPr>
          <w:rFonts w:ascii="Arial" w:hAnsi="Arial" w:cs="Arial"/>
        </w:rPr>
        <w:lastRenderedPageBreak/>
        <w:t xml:space="preserve">Question eight was </w:t>
      </w:r>
      <w:proofErr w:type="spellStart"/>
      <w:r w:rsidRPr="00851192">
        <w:rPr>
          <w:rFonts w:ascii="Arial" w:hAnsi="Arial" w:cs="Arial"/>
        </w:rPr>
        <w:t>pinitol</w:t>
      </w:r>
      <w:proofErr w:type="spellEnd"/>
      <w:r w:rsidRPr="00851192">
        <w:rPr>
          <w:rFonts w:ascii="Arial" w:hAnsi="Arial" w:cs="Arial"/>
        </w:rPr>
        <w:t xml:space="preserve"> in the evaluation of the research. It provided the opportunity for the researcher to make </w:t>
      </w:r>
      <w:r w:rsidR="00517AD5" w:rsidRPr="00851192">
        <w:rPr>
          <w:rFonts w:ascii="Arial" w:hAnsi="Arial" w:cs="Arial"/>
        </w:rPr>
        <w:t>clear observations</w:t>
      </w:r>
      <w:r w:rsidRPr="00851192">
        <w:rPr>
          <w:rFonts w:ascii="Arial" w:hAnsi="Arial" w:cs="Arial"/>
        </w:rPr>
        <w:t xml:space="preserve"> between possible relationships amongst participant responses.</w:t>
      </w:r>
      <w:r w:rsidR="00517AD5" w:rsidRPr="00851192">
        <w:rPr>
          <w:rFonts w:ascii="Arial" w:hAnsi="Arial" w:cs="Arial"/>
        </w:rPr>
        <w:t xml:space="preserve"> For the purposes of the research, the researcher has made individual correlation graphs to provide clear transparency in relationships between each statement and participant answers.</w:t>
      </w:r>
      <w:r w:rsidRPr="00851192">
        <w:rPr>
          <w:rFonts w:ascii="Arial" w:hAnsi="Arial" w:cs="Arial"/>
        </w:rPr>
        <w:t xml:space="preserve"> </w:t>
      </w:r>
      <w:r w:rsidR="00517AD5" w:rsidRPr="00851192">
        <w:rPr>
          <w:rFonts w:ascii="Arial" w:hAnsi="Arial" w:cs="Arial"/>
        </w:rPr>
        <w:t>M</w:t>
      </w:r>
      <w:r w:rsidR="00E91207" w:rsidRPr="00851192">
        <w:rPr>
          <w:rFonts w:ascii="Arial" w:hAnsi="Arial" w:cs="Arial"/>
        </w:rPr>
        <w:t xml:space="preserve">ost </w:t>
      </w:r>
      <w:r w:rsidR="00C42F25" w:rsidRPr="00851192">
        <w:rPr>
          <w:rFonts w:ascii="Arial" w:hAnsi="Arial" w:cs="Arial"/>
        </w:rPr>
        <w:t xml:space="preserve">PG </w:t>
      </w:r>
      <w:r w:rsidR="00E91207" w:rsidRPr="00851192">
        <w:rPr>
          <w:rFonts w:ascii="Arial" w:hAnsi="Arial" w:cs="Arial"/>
        </w:rPr>
        <w:t>statements</w:t>
      </w:r>
      <w:r w:rsidR="005C011B" w:rsidRPr="00851192">
        <w:rPr>
          <w:rFonts w:ascii="Arial" w:hAnsi="Arial" w:cs="Arial"/>
        </w:rPr>
        <w:t xml:space="preserve"> (fixed variables)</w:t>
      </w:r>
      <w:r w:rsidR="00E91207" w:rsidRPr="00851192">
        <w:rPr>
          <w:rFonts w:ascii="Arial" w:hAnsi="Arial" w:cs="Arial"/>
        </w:rPr>
        <w:t xml:space="preserve"> provided </w:t>
      </w:r>
      <w:r w:rsidR="00C42F25" w:rsidRPr="00851192">
        <w:rPr>
          <w:rFonts w:ascii="Arial" w:hAnsi="Arial" w:cs="Arial"/>
        </w:rPr>
        <w:t>are positive measures</w:t>
      </w:r>
      <w:r w:rsidR="00E91207" w:rsidRPr="00851192">
        <w:rPr>
          <w:rFonts w:ascii="Arial" w:hAnsi="Arial" w:cs="Arial"/>
        </w:rPr>
        <w:t xml:space="preserve"> towards tackling PG</w:t>
      </w:r>
      <w:r w:rsidR="009775F2" w:rsidRPr="00851192">
        <w:rPr>
          <w:rFonts w:ascii="Arial" w:hAnsi="Arial" w:cs="Arial"/>
        </w:rPr>
        <w:t xml:space="preserve"> in exception of statement eight</w:t>
      </w:r>
      <w:r w:rsidR="00E91207" w:rsidRPr="00851192">
        <w:rPr>
          <w:rFonts w:ascii="Arial" w:hAnsi="Arial" w:cs="Arial"/>
        </w:rPr>
        <w:t>. The researcher has used c</w:t>
      </w:r>
      <w:r w:rsidR="008E1179" w:rsidRPr="00851192">
        <w:rPr>
          <w:rFonts w:ascii="Arial" w:hAnsi="Arial" w:cs="Arial"/>
        </w:rPr>
        <w:t xml:space="preserve">orrelations and </w:t>
      </w:r>
      <w:r w:rsidR="00E91207" w:rsidRPr="00851192">
        <w:rPr>
          <w:rFonts w:ascii="Arial" w:hAnsi="Arial" w:cs="Arial"/>
        </w:rPr>
        <w:t>r</w:t>
      </w:r>
      <w:r w:rsidR="008E1179" w:rsidRPr="00851192">
        <w:rPr>
          <w:rFonts w:ascii="Arial" w:hAnsi="Arial" w:cs="Arial"/>
        </w:rPr>
        <w:t xml:space="preserve">egressions </w:t>
      </w:r>
      <w:r w:rsidR="00E91207" w:rsidRPr="00851192">
        <w:rPr>
          <w:rFonts w:ascii="Arial" w:hAnsi="Arial" w:cs="Arial"/>
        </w:rPr>
        <w:t xml:space="preserve">graphs to identify and analyse any </w:t>
      </w:r>
      <w:r w:rsidR="009775F2" w:rsidRPr="00851192">
        <w:rPr>
          <w:rFonts w:ascii="Arial" w:hAnsi="Arial" w:cs="Arial"/>
        </w:rPr>
        <w:t xml:space="preserve">patterns </w:t>
      </w:r>
      <w:r w:rsidR="00E91207" w:rsidRPr="00851192">
        <w:rPr>
          <w:rFonts w:ascii="Arial" w:hAnsi="Arial" w:cs="Arial"/>
        </w:rPr>
        <w:t>discovered within the answer’s provided by participants</w:t>
      </w:r>
      <w:r w:rsidR="005C011B" w:rsidRPr="00851192">
        <w:rPr>
          <w:rFonts w:ascii="Arial" w:hAnsi="Arial" w:cs="Arial"/>
        </w:rPr>
        <w:t xml:space="preserve"> (variables)</w:t>
      </w:r>
      <w:r w:rsidR="009775F2" w:rsidRPr="00851192">
        <w:rPr>
          <w:rFonts w:ascii="Arial" w:hAnsi="Arial" w:cs="Arial"/>
        </w:rPr>
        <w:t xml:space="preserve"> to distinguish relationships</w:t>
      </w:r>
      <w:r w:rsidR="00E91207" w:rsidRPr="00851192">
        <w:rPr>
          <w:rFonts w:ascii="Arial" w:hAnsi="Arial" w:cs="Arial"/>
        </w:rPr>
        <w:t xml:space="preserve">. </w:t>
      </w:r>
      <w:r w:rsidR="009775F2" w:rsidRPr="00851192">
        <w:rPr>
          <w:rFonts w:ascii="Arial" w:hAnsi="Arial" w:cs="Arial"/>
        </w:rPr>
        <w:t>Findings are as</w:t>
      </w:r>
      <w:r w:rsidR="00E91207" w:rsidRPr="00851192">
        <w:rPr>
          <w:rFonts w:ascii="Arial" w:hAnsi="Arial" w:cs="Arial"/>
        </w:rPr>
        <w:t xml:space="preserve"> follows with the plots on graphs being identified by</w:t>
      </w:r>
      <w:r w:rsidR="009775F2" w:rsidRPr="00851192">
        <w:rPr>
          <w:rFonts w:ascii="Arial" w:hAnsi="Arial" w:cs="Arial"/>
        </w:rPr>
        <w:t xml:space="preserve"> the</w:t>
      </w:r>
      <w:r w:rsidR="008E1179" w:rsidRPr="00851192">
        <w:rPr>
          <w:rFonts w:ascii="Arial" w:hAnsi="Arial" w:cs="Arial"/>
        </w:rPr>
        <w:t xml:space="preserve"> </w:t>
      </w:r>
      <w:r w:rsidR="00A171D6" w:rsidRPr="00851192">
        <w:rPr>
          <w:rFonts w:ascii="Arial" w:hAnsi="Arial" w:cs="Arial"/>
        </w:rPr>
        <w:t>coding</w:t>
      </w:r>
      <w:r w:rsidR="00E91207" w:rsidRPr="00851192">
        <w:rPr>
          <w:rFonts w:ascii="Arial" w:hAnsi="Arial" w:cs="Arial"/>
        </w:rPr>
        <w:t xml:space="preserve"> below</w:t>
      </w:r>
      <w:r w:rsidR="00A171D6" w:rsidRPr="00851192">
        <w:rPr>
          <w:rFonts w:ascii="Arial" w:hAnsi="Arial" w:cs="Arial"/>
        </w:rPr>
        <w:t>;</w:t>
      </w:r>
    </w:p>
    <w:p w14:paraId="54DBA6AD" w14:textId="5315EA03" w:rsidR="00B003FF" w:rsidRPr="00851192" w:rsidRDefault="00A171D6" w:rsidP="00DC58F0">
      <w:pPr>
        <w:rPr>
          <w:rFonts w:ascii="Arial" w:hAnsi="Arial" w:cs="Arial"/>
        </w:rPr>
      </w:pPr>
      <w:r w:rsidRPr="00851192">
        <w:rPr>
          <w:rFonts w:ascii="Arial" w:hAnsi="Arial" w:cs="Arial"/>
        </w:rPr>
        <w:t xml:space="preserve"> Strongly Disagree       </w:t>
      </w:r>
      <w:proofErr w:type="spellStart"/>
      <w:r w:rsidRPr="00851192">
        <w:rPr>
          <w:rFonts w:ascii="Arial" w:hAnsi="Arial" w:cs="Arial"/>
        </w:rPr>
        <w:t>Disagree</w:t>
      </w:r>
      <w:proofErr w:type="spellEnd"/>
      <w:r w:rsidRPr="00851192">
        <w:rPr>
          <w:rFonts w:ascii="Arial" w:hAnsi="Arial" w:cs="Arial"/>
        </w:rPr>
        <w:t xml:space="preserve">              Agree              Strongly Agree</w:t>
      </w:r>
    </w:p>
    <w:p w14:paraId="6EEF3BB5" w14:textId="55778EBD" w:rsidR="002067EB" w:rsidRPr="00851192" w:rsidRDefault="00A171D6" w:rsidP="00DC58F0">
      <w:pPr>
        <w:rPr>
          <w:rFonts w:ascii="Arial" w:hAnsi="Arial" w:cs="Arial"/>
        </w:rPr>
      </w:pPr>
      <w:r w:rsidRPr="00851192">
        <w:rPr>
          <w:rFonts w:ascii="Arial" w:hAnsi="Arial" w:cs="Arial"/>
          <w:noProof/>
          <w:lang w:eastAsia="en-GB"/>
        </w:rPr>
        <mc:AlternateContent>
          <mc:Choice Requires="wps">
            <w:drawing>
              <wp:anchor distT="0" distB="0" distL="114300" distR="114300" simplePos="0" relativeHeight="251761664" behindDoc="0" locked="0" layoutInCell="1" allowOverlap="1" wp14:anchorId="28C61292" wp14:editId="06637796">
                <wp:simplePos x="0" y="0"/>
                <wp:positionH relativeFrom="column">
                  <wp:posOffset>3250553</wp:posOffset>
                </wp:positionH>
                <wp:positionV relativeFrom="paragraph">
                  <wp:posOffset>13970</wp:posOffset>
                </wp:positionV>
                <wp:extent cx="207034" cy="198407"/>
                <wp:effectExtent l="0" t="0" r="21590" b="11430"/>
                <wp:wrapNone/>
                <wp:docPr id="10" name="Oval 10"/>
                <wp:cNvGraphicFramePr/>
                <a:graphic xmlns:a="http://schemas.openxmlformats.org/drawingml/2006/main">
                  <a:graphicData uri="http://schemas.microsoft.com/office/word/2010/wordprocessingShape">
                    <wps:wsp>
                      <wps:cNvSpPr/>
                      <wps:spPr>
                        <a:xfrm>
                          <a:off x="0" y="0"/>
                          <a:ext cx="207034" cy="198407"/>
                        </a:xfrm>
                        <a:prstGeom prst="ellipse">
                          <a:avLst/>
                        </a:prstGeom>
                        <a:solidFill>
                          <a:srgbClr val="7030A0"/>
                        </a:solidFill>
                      </wps:spPr>
                      <wps:style>
                        <a:lnRef idx="2">
                          <a:schemeClr val="accent1">
                            <a:shade val="50000"/>
                          </a:schemeClr>
                        </a:lnRef>
                        <a:fillRef idx="1">
                          <a:schemeClr val="accent1"/>
                        </a:fillRef>
                        <a:effectRef idx="0">
                          <a:schemeClr val="accent1"/>
                        </a:effectRef>
                        <a:fontRef idx="minor">
                          <a:schemeClr val="lt1"/>
                        </a:fontRef>
                      </wps:style>
                      <wps:txbx>
                        <w:txbxContent>
                          <w:p w14:paraId="6846FCF7" w14:textId="77777777" w:rsidR="001D081F" w:rsidRDefault="001D081F" w:rsidP="001D081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8C61292" id="Oval 10" o:spid="_x0000_s1030" style="position:absolute;margin-left:255.95pt;margin-top:1.1pt;width:16.3pt;height:15.6pt;z-index:2517616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" fillcolor="#7030a0" strokecolor="#1f3763 [1604]" strokeweight="1pt">
                <v:stroke joinstyle="miter"/>
                <v:textbox>
                  <w:txbxContent>
                    <w:p w14:paraId="6846FCF7" w14:textId="77777777" w:rsidR="001D081F" w:rsidRDefault="001D081F" w:rsidP="001D081F">
                      <w:pPr>
                        <w:jc w:val="center"/>
                      </w:pPr>
                    </w:p>
                  </w:txbxContent>
                </v:textbox>
              </v:oval>
            </w:pict>
          </mc:Fallback>
        </mc:AlternateContent>
      </w:r>
      <w:r w:rsidRPr="00851192">
        <w:rPr>
          <w:rFonts w:ascii="Arial" w:hAnsi="Arial" w:cs="Arial"/>
          <w:noProof/>
          <w:lang w:eastAsia="en-GB"/>
        </w:rPr>
        <mc:AlternateContent>
          <mc:Choice Requires="wps">
            <w:drawing>
              <wp:anchor distT="0" distB="0" distL="114300" distR="114300" simplePos="0" relativeHeight="251765760" behindDoc="0" locked="0" layoutInCell="1" allowOverlap="1" wp14:anchorId="2FF8B7F1" wp14:editId="1120BE3F">
                <wp:simplePos x="0" y="0"/>
                <wp:positionH relativeFrom="column">
                  <wp:posOffset>2299215</wp:posOffset>
                </wp:positionH>
                <wp:positionV relativeFrom="paragraph">
                  <wp:posOffset>10795</wp:posOffset>
                </wp:positionV>
                <wp:extent cx="207034" cy="198407"/>
                <wp:effectExtent l="0" t="0" r="21590" b="11430"/>
                <wp:wrapNone/>
                <wp:docPr id="27" name="Oval 27"/>
                <wp:cNvGraphicFramePr/>
                <a:graphic xmlns:a="http://schemas.openxmlformats.org/drawingml/2006/main">
                  <a:graphicData uri="http://schemas.microsoft.com/office/word/2010/wordprocessingShape">
                    <wps:wsp>
                      <wps:cNvSpPr/>
                      <wps:spPr>
                        <a:xfrm>
                          <a:off x="0" y="0"/>
                          <a:ext cx="207034" cy="198407"/>
                        </a:xfrm>
                        <a:prstGeom prst="ellipse">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57847F9E" w14:textId="77777777" w:rsidR="001D081F" w:rsidRDefault="001D081F" w:rsidP="001D081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FF8B7F1" id="Oval 27" o:spid="_x0000_s1031" style="position:absolute;margin-left:181.05pt;margin-top:.85pt;width:16.3pt;height:15.6pt;z-index:2517657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" fillcolor="red" strokecolor="#1f3763 [1604]" strokeweight="1pt">
                <v:stroke joinstyle="miter"/>
                <v:textbox>
                  <w:txbxContent>
                    <w:p w14:paraId="57847F9E" w14:textId="77777777" w:rsidR="001D081F" w:rsidRDefault="001D081F" w:rsidP="001D081F">
                      <w:pPr>
                        <w:jc w:val="center"/>
                      </w:pPr>
                    </w:p>
                  </w:txbxContent>
                </v:textbox>
              </v:oval>
            </w:pict>
          </mc:Fallback>
        </mc:AlternateContent>
      </w:r>
      <w:r w:rsidRPr="00851192">
        <w:rPr>
          <w:rFonts w:ascii="Arial" w:hAnsi="Arial" w:cs="Arial"/>
          <w:noProof/>
          <w:lang w:eastAsia="en-GB"/>
        </w:rPr>
        <mc:AlternateContent>
          <mc:Choice Requires="wps">
            <w:drawing>
              <wp:anchor distT="0" distB="0" distL="114300" distR="114300" simplePos="0" relativeHeight="251763712" behindDoc="0" locked="0" layoutInCell="1" allowOverlap="1" wp14:anchorId="45D85DC4" wp14:editId="0D5814B6">
                <wp:simplePos x="0" y="0"/>
                <wp:positionH relativeFrom="column">
                  <wp:posOffset>1370905</wp:posOffset>
                </wp:positionH>
                <wp:positionV relativeFrom="paragraph">
                  <wp:posOffset>6350</wp:posOffset>
                </wp:positionV>
                <wp:extent cx="207034" cy="198407"/>
                <wp:effectExtent l="0" t="0" r="21590" b="11430"/>
                <wp:wrapNone/>
                <wp:docPr id="22" name="Oval 22"/>
                <wp:cNvGraphicFramePr/>
                <a:graphic xmlns:a="http://schemas.openxmlformats.org/drawingml/2006/main">
                  <a:graphicData uri="http://schemas.microsoft.com/office/word/2010/wordprocessingShape">
                    <wps:wsp>
                      <wps:cNvSpPr/>
                      <wps:spPr>
                        <a:xfrm>
                          <a:off x="0" y="0"/>
                          <a:ext cx="207034" cy="198407"/>
                        </a:xfrm>
                        <a:prstGeom prst="ellipse">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txbx>
                        <w:txbxContent>
                          <w:p w14:paraId="6A34F997" w14:textId="77777777" w:rsidR="001D081F" w:rsidRDefault="001D081F" w:rsidP="001D081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5D85DC4" id="Oval 22" o:spid="_x0000_s1032" style="position:absolute;margin-left:107.95pt;margin-top:.5pt;width:16.3pt;height:15.6pt;z-index:2517637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" fillcolor="#00b0f0" strokecolor="#1f3763 [1604]" strokeweight="1pt">
                <v:stroke joinstyle="miter"/>
                <v:textbox>
                  <w:txbxContent>
                    <w:p w14:paraId="6A34F997" w14:textId="77777777" w:rsidR="001D081F" w:rsidRDefault="001D081F" w:rsidP="001D081F">
                      <w:pPr>
                        <w:jc w:val="center"/>
                      </w:pPr>
                    </w:p>
                  </w:txbxContent>
                </v:textbox>
              </v:oval>
            </w:pict>
          </mc:Fallback>
        </mc:AlternateContent>
      </w:r>
      <w:r w:rsidRPr="00851192">
        <w:rPr>
          <w:rFonts w:ascii="Arial" w:hAnsi="Arial" w:cs="Arial"/>
          <w:noProof/>
          <w:lang w:eastAsia="en-GB"/>
        </w:rPr>
        <mc:AlternateContent>
          <mc:Choice Requires="wps">
            <w:drawing>
              <wp:anchor distT="0" distB="0" distL="114300" distR="114300" simplePos="0" relativeHeight="251767808" behindDoc="0" locked="0" layoutInCell="1" allowOverlap="1" wp14:anchorId="16E7ACFD" wp14:editId="4DAEDCEE">
                <wp:simplePos x="0" y="0"/>
                <wp:positionH relativeFrom="column">
                  <wp:posOffset>410019</wp:posOffset>
                </wp:positionH>
                <wp:positionV relativeFrom="paragraph">
                  <wp:posOffset>10795</wp:posOffset>
                </wp:positionV>
                <wp:extent cx="207034" cy="198407"/>
                <wp:effectExtent l="0" t="0" r="21590" b="11430"/>
                <wp:wrapNone/>
                <wp:docPr id="227" name="Oval 227"/>
                <wp:cNvGraphicFramePr/>
                <a:graphic xmlns:a="http://schemas.openxmlformats.org/drawingml/2006/main">
                  <a:graphicData uri="http://schemas.microsoft.com/office/word/2010/wordprocessingShape">
                    <wps:wsp>
                      <wps:cNvSpPr/>
                      <wps:spPr>
                        <a:xfrm>
                          <a:off x="0" y="0"/>
                          <a:ext cx="207034" cy="198407"/>
                        </a:xfrm>
                        <a:prstGeom prst="ellipse">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txbx>
                        <w:txbxContent>
                          <w:p w14:paraId="1E1CB094" w14:textId="77777777" w:rsidR="001D081F" w:rsidRDefault="001D081F" w:rsidP="001D081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6E7ACFD" id="Oval 227" o:spid="_x0000_s1033" style="position:absolute;margin-left:32.3pt;margin-top:.85pt;width:16.3pt;height:15.6pt;z-index:2517678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" fillcolor="#ed7d31 [3205]" strokecolor="#1f3763 [1604]" strokeweight="1pt">
                <v:stroke joinstyle="miter"/>
                <v:textbox>
                  <w:txbxContent>
                    <w:p w14:paraId="1E1CB094" w14:textId="77777777" w:rsidR="001D081F" w:rsidRDefault="001D081F" w:rsidP="001D081F">
                      <w:pPr>
                        <w:jc w:val="center"/>
                      </w:pPr>
                    </w:p>
                  </w:txbxContent>
                </v:textbox>
              </v:oval>
            </w:pict>
          </mc:Fallback>
        </mc:AlternateContent>
      </w:r>
    </w:p>
    <w:p w14:paraId="4FA2657E" w14:textId="7EB9BA21" w:rsidR="00DC525B" w:rsidRPr="00851192" w:rsidRDefault="002067EB" w:rsidP="00F06B58">
      <w:pPr>
        <w:jc w:val="center"/>
        <w:rPr>
          <w:rFonts w:ascii="Arial" w:hAnsi="Arial" w:cs="Arial"/>
        </w:rPr>
      </w:pPr>
      <w:r w:rsidRPr="00851192">
        <w:rPr>
          <w:rFonts w:ascii="Arial" w:hAnsi="Arial" w:cs="Arial"/>
          <w:b/>
          <w:noProof/>
          <w:sz w:val="28"/>
          <w:lang w:eastAsia="en-GB"/>
        </w:rPr>
        <w:drawing>
          <wp:anchor distT="0" distB="0" distL="114300" distR="114300" simplePos="0" relativeHeight="251760640" behindDoc="0" locked="0" layoutInCell="1" allowOverlap="1" wp14:anchorId="59E2149E" wp14:editId="4F13D80B">
            <wp:simplePos x="0" y="0"/>
            <wp:positionH relativeFrom="margin">
              <wp:align>left</wp:align>
            </wp:positionH>
            <wp:positionV relativeFrom="paragraph">
              <wp:posOffset>238760</wp:posOffset>
            </wp:positionV>
            <wp:extent cx="2751455" cy="1731645"/>
            <wp:effectExtent l="0" t="0" r="10795" b="1905"/>
            <wp:wrapTopAndBottom/>
            <wp:docPr id="5" name="Chart 5">
              <a:extLst xmlns:a="http://schemas.openxmlformats.org/drawingml/2006/main">
                <a:ext uri="{FF2B5EF4-FFF2-40B4-BE49-F238E27FC236}">
                  <a16:creationId xmlns:a16="http://schemas.microsoft.com/office/drawing/2014/main" id="{B5745284-D688-4948-B982-62E3EA0D808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anchor>
        </w:drawing>
      </w:r>
      <w:r w:rsidR="00D179BE" w:rsidRPr="00851192">
        <w:rPr>
          <w:rFonts w:ascii="Arial" w:hAnsi="Arial" w:cs="Arial"/>
          <w:b/>
          <w:noProof/>
          <w:sz w:val="28"/>
          <w:lang w:eastAsia="en-GB"/>
        </w:rPr>
        <w:drawing>
          <wp:anchor distT="0" distB="0" distL="114300" distR="114300" simplePos="0" relativeHeight="251768832" behindDoc="0" locked="0" layoutInCell="1" allowOverlap="1" wp14:anchorId="26575971" wp14:editId="7C49396B">
            <wp:simplePos x="0" y="0"/>
            <wp:positionH relativeFrom="margin">
              <wp:posOffset>0</wp:posOffset>
            </wp:positionH>
            <wp:positionV relativeFrom="paragraph">
              <wp:posOffset>2044700</wp:posOffset>
            </wp:positionV>
            <wp:extent cx="2751455" cy="1742440"/>
            <wp:effectExtent l="0" t="0" r="10795" b="10160"/>
            <wp:wrapTopAndBottom/>
            <wp:docPr id="236" name="Chart 236">
              <a:extLst xmlns:a="http://schemas.openxmlformats.org/drawingml/2006/main">
                <a:ext uri="{FF2B5EF4-FFF2-40B4-BE49-F238E27FC236}">
                  <a16:creationId xmlns:a16="http://schemas.microsoft.com/office/drawing/2014/main" id="{917A81FC-82C2-4268-9FE9-65EA5FFD1AE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14:sizeRelH relativeFrom="margin">
              <wp14:pctWidth>0</wp14:pctWidth>
            </wp14:sizeRelH>
            <wp14:sizeRelV relativeFrom="margin">
              <wp14:pctHeight>0</wp14:pctHeight>
            </wp14:sizeRelV>
          </wp:anchor>
        </w:drawing>
      </w:r>
      <w:r w:rsidR="00D179BE" w:rsidRPr="00851192">
        <w:rPr>
          <w:rFonts w:ascii="Arial" w:hAnsi="Arial" w:cs="Arial"/>
          <w:b/>
          <w:noProof/>
          <w:sz w:val="28"/>
          <w:lang w:eastAsia="en-GB"/>
        </w:rPr>
        <w:drawing>
          <wp:anchor distT="0" distB="0" distL="114300" distR="114300" simplePos="0" relativeHeight="251769856" behindDoc="0" locked="0" layoutInCell="1" allowOverlap="1" wp14:anchorId="69722C93" wp14:editId="202CAB6B">
            <wp:simplePos x="0" y="0"/>
            <wp:positionH relativeFrom="margin">
              <wp:posOffset>2950210</wp:posOffset>
            </wp:positionH>
            <wp:positionV relativeFrom="paragraph">
              <wp:posOffset>2028190</wp:posOffset>
            </wp:positionV>
            <wp:extent cx="2768600" cy="1767840"/>
            <wp:effectExtent l="0" t="0" r="12700" b="3810"/>
            <wp:wrapTopAndBottom/>
            <wp:docPr id="249" name="Chart 249">
              <a:extLst xmlns:a="http://schemas.openxmlformats.org/drawingml/2006/main">
                <a:ext uri="{FF2B5EF4-FFF2-40B4-BE49-F238E27FC236}">
                  <a16:creationId xmlns:a16="http://schemas.microsoft.com/office/drawing/2014/main" id="{FE6EF4B8-E7B9-4F62-B7B0-457C043E7D6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14:sizeRelH relativeFrom="margin">
              <wp14:pctWidth>0</wp14:pctWidth>
            </wp14:sizeRelH>
            <wp14:sizeRelV relativeFrom="margin">
              <wp14:pctHeight>0</wp14:pctHeight>
            </wp14:sizeRelV>
          </wp:anchor>
        </w:drawing>
      </w:r>
      <w:r w:rsidR="00D179BE" w:rsidRPr="00851192">
        <w:rPr>
          <w:rFonts w:ascii="Arial" w:hAnsi="Arial" w:cs="Arial"/>
          <w:b/>
          <w:noProof/>
          <w:sz w:val="28"/>
          <w:lang w:eastAsia="en-GB"/>
        </w:rPr>
        <w:drawing>
          <wp:anchor distT="0" distB="0" distL="114300" distR="114300" simplePos="0" relativeHeight="251770880" behindDoc="0" locked="0" layoutInCell="1" allowOverlap="1" wp14:anchorId="603AC1F8" wp14:editId="067E306A">
            <wp:simplePos x="0" y="0"/>
            <wp:positionH relativeFrom="margin">
              <wp:posOffset>0</wp:posOffset>
            </wp:positionH>
            <wp:positionV relativeFrom="paragraph">
              <wp:posOffset>4022090</wp:posOffset>
            </wp:positionV>
            <wp:extent cx="2777490" cy="1776730"/>
            <wp:effectExtent l="0" t="0" r="3810" b="13970"/>
            <wp:wrapTopAndBottom/>
            <wp:docPr id="250" name="Chart 250">
              <a:extLst xmlns:a="http://schemas.openxmlformats.org/drawingml/2006/main">
                <a:ext uri="{FF2B5EF4-FFF2-40B4-BE49-F238E27FC236}">
                  <a16:creationId xmlns:a16="http://schemas.microsoft.com/office/drawing/2014/main" id="{469A3AB9-2475-4EF4-A36C-B5AAC827594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14:sizeRelV relativeFrom="margin">
              <wp14:pctHeight>0</wp14:pctHeight>
            </wp14:sizeRelV>
          </wp:anchor>
        </w:drawing>
      </w:r>
      <w:r w:rsidR="00D179BE" w:rsidRPr="00851192">
        <w:rPr>
          <w:rFonts w:ascii="Arial" w:hAnsi="Arial" w:cs="Arial"/>
          <w:b/>
          <w:noProof/>
          <w:sz w:val="28"/>
          <w:lang w:eastAsia="en-GB"/>
        </w:rPr>
        <w:drawing>
          <wp:anchor distT="0" distB="0" distL="114300" distR="114300" simplePos="0" relativeHeight="251771904" behindDoc="0" locked="0" layoutInCell="1" allowOverlap="1" wp14:anchorId="70722FEF" wp14:editId="3213F73A">
            <wp:simplePos x="0" y="0"/>
            <wp:positionH relativeFrom="margin">
              <wp:posOffset>2969260</wp:posOffset>
            </wp:positionH>
            <wp:positionV relativeFrom="paragraph">
              <wp:posOffset>4012064</wp:posOffset>
            </wp:positionV>
            <wp:extent cx="2759710" cy="1785620"/>
            <wp:effectExtent l="0" t="0" r="2540" b="5080"/>
            <wp:wrapTopAndBottom/>
            <wp:docPr id="251" name="Chart 251">
              <a:extLst xmlns:a="http://schemas.openxmlformats.org/drawingml/2006/main">
                <a:ext uri="{FF2B5EF4-FFF2-40B4-BE49-F238E27FC236}">
                  <a16:creationId xmlns:a16="http://schemas.microsoft.com/office/drawing/2014/main" id="{FEFE1C91-1D42-4504-A777-0D02F7082C4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14:sizeRelH relativeFrom="margin">
              <wp14:pctWidth>0</wp14:pctWidth>
            </wp14:sizeRelH>
            <wp14:sizeRelV relativeFrom="margin">
              <wp14:pctHeight>0</wp14:pctHeight>
            </wp14:sizeRelV>
          </wp:anchor>
        </w:drawing>
      </w:r>
      <w:r w:rsidR="00A171D6" w:rsidRPr="00851192">
        <w:rPr>
          <w:rFonts w:ascii="Arial" w:hAnsi="Arial" w:cs="Arial"/>
          <w:b/>
          <w:noProof/>
          <w:sz w:val="28"/>
          <w:lang w:eastAsia="en-GB"/>
        </w:rPr>
        <w:drawing>
          <wp:anchor distT="0" distB="0" distL="114300" distR="114300" simplePos="0" relativeHeight="251759616" behindDoc="0" locked="0" layoutInCell="1" allowOverlap="1" wp14:anchorId="338A1FE4" wp14:editId="4753F5A9">
            <wp:simplePos x="0" y="0"/>
            <wp:positionH relativeFrom="margin">
              <wp:align>right</wp:align>
            </wp:positionH>
            <wp:positionV relativeFrom="paragraph">
              <wp:posOffset>225425</wp:posOffset>
            </wp:positionV>
            <wp:extent cx="2751455" cy="1716405"/>
            <wp:effectExtent l="0" t="0" r="10795" b="17145"/>
            <wp:wrapTopAndBottom/>
            <wp:docPr id="8" name="Chart 8">
              <a:extLst xmlns:a="http://schemas.openxmlformats.org/drawingml/2006/main">
                <a:ext uri="{FF2B5EF4-FFF2-40B4-BE49-F238E27FC236}">
                  <a16:creationId xmlns:a16="http://schemas.microsoft.com/office/drawing/2014/main" id="{A5388D72-B0E8-4D86-BAFF-EABA0AF4BC3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14:sizeRelV relativeFrom="margin">
              <wp14:pctHeight>0</wp14:pctHeight>
            </wp14:sizeRelV>
          </wp:anchor>
        </w:drawing>
      </w:r>
      <w:r w:rsidR="00F06B58" w:rsidRPr="00851192">
        <w:rPr>
          <w:rFonts w:ascii="Arial" w:hAnsi="Arial" w:cs="Arial"/>
          <w:b/>
          <w:sz w:val="28"/>
        </w:rPr>
        <w:t>Figure 4.13</w:t>
      </w:r>
      <w:r w:rsidR="00F06B58" w:rsidRPr="00851192">
        <w:rPr>
          <w:rFonts w:ascii="Arial" w:hAnsi="Arial" w:cs="Arial"/>
          <w:sz w:val="28"/>
        </w:rPr>
        <w:t xml:space="preserve"> Question Eight</w:t>
      </w:r>
      <w:r w:rsidR="00573B1C" w:rsidRPr="00851192">
        <w:rPr>
          <w:rFonts w:ascii="Arial" w:hAnsi="Arial" w:cs="Arial"/>
          <w:sz w:val="28"/>
        </w:rPr>
        <w:t xml:space="preserve"> Analysis</w:t>
      </w:r>
    </w:p>
    <w:p w14:paraId="507CEF78" w14:textId="09469BAA" w:rsidR="00796A4F" w:rsidRPr="00851192" w:rsidRDefault="00796A4F" w:rsidP="00796A4F">
      <w:pPr>
        <w:tabs>
          <w:tab w:val="right" w:pos="9026"/>
        </w:tabs>
        <w:rPr>
          <w:rFonts w:ascii="Arial" w:hAnsi="Arial" w:cs="Arial"/>
        </w:rPr>
      </w:pPr>
    </w:p>
    <w:p w14:paraId="0B9321A2" w14:textId="3AA6A834" w:rsidR="00F06B58" w:rsidRPr="00851192" w:rsidRDefault="00F06B58" w:rsidP="00796A4F">
      <w:pPr>
        <w:tabs>
          <w:tab w:val="right" w:pos="9026"/>
        </w:tabs>
        <w:rPr>
          <w:rFonts w:ascii="Arial" w:hAnsi="Arial" w:cs="Arial"/>
        </w:rPr>
      </w:pPr>
    </w:p>
    <w:p w14:paraId="770FEE3A" w14:textId="451EFA81" w:rsidR="00796A4F" w:rsidRPr="00851192" w:rsidRDefault="009775F2" w:rsidP="00796A4F">
      <w:pPr>
        <w:tabs>
          <w:tab w:val="right" w:pos="9026"/>
        </w:tabs>
        <w:rPr>
          <w:rFonts w:ascii="Arial" w:hAnsi="Arial" w:cs="Arial"/>
        </w:rPr>
      </w:pPr>
      <w:r w:rsidRPr="00851192">
        <w:rPr>
          <w:rFonts w:ascii="Arial" w:hAnsi="Arial" w:cs="Arial"/>
          <w:noProof/>
          <w:lang w:eastAsia="en-GB"/>
        </w:rPr>
        <w:lastRenderedPageBreak/>
        <w:drawing>
          <wp:anchor distT="0" distB="0" distL="114300" distR="114300" simplePos="0" relativeHeight="251782144" behindDoc="0" locked="0" layoutInCell="1" allowOverlap="1" wp14:anchorId="3BCB3917" wp14:editId="539B727D">
            <wp:simplePos x="0" y="0"/>
            <wp:positionH relativeFrom="margin">
              <wp:align>left</wp:align>
            </wp:positionH>
            <wp:positionV relativeFrom="paragraph">
              <wp:posOffset>5992531</wp:posOffset>
            </wp:positionV>
            <wp:extent cx="2777490" cy="1802130"/>
            <wp:effectExtent l="0" t="0" r="3810" b="7620"/>
            <wp:wrapTopAndBottom/>
            <wp:docPr id="275" name="Chart 275">
              <a:extLst xmlns:a="http://schemas.openxmlformats.org/drawingml/2006/main">
                <a:ext uri="{FF2B5EF4-FFF2-40B4-BE49-F238E27FC236}">
                  <a16:creationId xmlns:a16="http://schemas.microsoft.com/office/drawing/2014/main" id="{95910658-A8A8-4510-878B-6E892CC78FB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14:sizeRelH relativeFrom="margin">
              <wp14:pctWidth>0</wp14:pctWidth>
            </wp14:sizeRelH>
            <wp14:sizeRelV relativeFrom="margin">
              <wp14:pctHeight>0</wp14:pctHeight>
            </wp14:sizeRelV>
          </wp:anchor>
        </w:drawing>
      </w:r>
      <w:r w:rsidRPr="00851192">
        <w:rPr>
          <w:rFonts w:ascii="Arial" w:hAnsi="Arial" w:cs="Arial"/>
          <w:noProof/>
          <w:lang w:eastAsia="en-GB"/>
        </w:rPr>
        <w:drawing>
          <wp:anchor distT="0" distB="0" distL="114300" distR="114300" simplePos="0" relativeHeight="251783168" behindDoc="0" locked="0" layoutInCell="1" allowOverlap="1" wp14:anchorId="5DF54C72" wp14:editId="33917545">
            <wp:simplePos x="0" y="0"/>
            <wp:positionH relativeFrom="margin">
              <wp:posOffset>2915285</wp:posOffset>
            </wp:positionH>
            <wp:positionV relativeFrom="paragraph">
              <wp:posOffset>5966652</wp:posOffset>
            </wp:positionV>
            <wp:extent cx="2785745" cy="1802765"/>
            <wp:effectExtent l="0" t="0" r="14605" b="6985"/>
            <wp:wrapSquare wrapText="bothSides"/>
            <wp:docPr id="276" name="Chart 276">
              <a:extLst xmlns:a="http://schemas.openxmlformats.org/drawingml/2006/main">
                <a:ext uri="{FF2B5EF4-FFF2-40B4-BE49-F238E27FC236}">
                  <a16:creationId xmlns:a16="http://schemas.microsoft.com/office/drawing/2014/main" id="{12976E0F-A95B-4430-B773-F50749436B0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14:sizeRelH relativeFrom="margin">
              <wp14:pctWidth>0</wp14:pctWidth>
            </wp14:sizeRelH>
            <wp14:sizeRelV relativeFrom="margin">
              <wp14:pctHeight>0</wp14:pctHeight>
            </wp14:sizeRelV>
          </wp:anchor>
        </w:drawing>
      </w:r>
      <w:r w:rsidRPr="00851192">
        <w:rPr>
          <w:rFonts w:ascii="Arial" w:hAnsi="Arial" w:cs="Arial"/>
          <w:noProof/>
          <w:lang w:eastAsia="en-GB"/>
        </w:rPr>
        <w:drawing>
          <wp:anchor distT="0" distB="0" distL="114300" distR="114300" simplePos="0" relativeHeight="251774976" behindDoc="0" locked="0" layoutInCell="1" allowOverlap="1" wp14:anchorId="49196810" wp14:editId="7DBA8FC3">
            <wp:simplePos x="0" y="0"/>
            <wp:positionH relativeFrom="margin">
              <wp:align>left</wp:align>
            </wp:positionH>
            <wp:positionV relativeFrom="paragraph">
              <wp:posOffset>1981835</wp:posOffset>
            </wp:positionV>
            <wp:extent cx="2777490" cy="1793875"/>
            <wp:effectExtent l="0" t="0" r="3810" b="15875"/>
            <wp:wrapTopAndBottom/>
            <wp:docPr id="268" name="Chart 268">
              <a:extLst xmlns:a="http://schemas.openxmlformats.org/drawingml/2006/main">
                <a:ext uri="{FF2B5EF4-FFF2-40B4-BE49-F238E27FC236}">
                  <a16:creationId xmlns:a16="http://schemas.microsoft.com/office/drawing/2014/main" id="{2DFDF047-204E-4F32-AC2F-C53BD1DDBB6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14:sizeRelH relativeFrom="margin">
              <wp14:pctWidth>0</wp14:pctWidth>
            </wp14:sizeRelH>
            <wp14:sizeRelV relativeFrom="margin">
              <wp14:pctHeight>0</wp14:pctHeight>
            </wp14:sizeRelV>
          </wp:anchor>
        </w:drawing>
      </w:r>
      <w:r w:rsidRPr="00851192">
        <w:rPr>
          <w:rFonts w:ascii="Arial" w:hAnsi="Arial" w:cs="Arial"/>
          <w:noProof/>
          <w:lang w:eastAsia="en-GB"/>
        </w:rPr>
        <w:drawing>
          <wp:anchor distT="0" distB="0" distL="114300" distR="114300" simplePos="0" relativeHeight="251776000" behindDoc="0" locked="0" layoutInCell="1" allowOverlap="1" wp14:anchorId="51C545F6" wp14:editId="65A1F8F4">
            <wp:simplePos x="0" y="0"/>
            <wp:positionH relativeFrom="margin">
              <wp:posOffset>2898140</wp:posOffset>
            </wp:positionH>
            <wp:positionV relativeFrom="paragraph">
              <wp:posOffset>1972729</wp:posOffset>
            </wp:positionV>
            <wp:extent cx="2777490" cy="1793875"/>
            <wp:effectExtent l="0" t="0" r="3810" b="15875"/>
            <wp:wrapTopAndBottom/>
            <wp:docPr id="269" name="Chart 269">
              <a:extLst xmlns:a="http://schemas.openxmlformats.org/drawingml/2006/main">
                <a:ext uri="{FF2B5EF4-FFF2-40B4-BE49-F238E27FC236}">
                  <a16:creationId xmlns:a16="http://schemas.microsoft.com/office/drawing/2014/main" id="{337A3175-73AC-44AE-8B50-3EB2E694AD5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14:sizeRelH relativeFrom="margin">
              <wp14:pctWidth>0</wp14:pctWidth>
            </wp14:sizeRelH>
            <wp14:sizeRelV relativeFrom="margin">
              <wp14:pctHeight>0</wp14:pctHeight>
            </wp14:sizeRelV>
          </wp:anchor>
        </w:drawing>
      </w:r>
      <w:r w:rsidR="000B26C7" w:rsidRPr="00851192">
        <w:rPr>
          <w:rFonts w:ascii="Arial" w:hAnsi="Arial" w:cs="Arial"/>
          <w:noProof/>
          <w:lang w:eastAsia="en-GB"/>
        </w:rPr>
        <w:drawing>
          <wp:anchor distT="0" distB="0" distL="114300" distR="114300" simplePos="0" relativeHeight="251778048" behindDoc="0" locked="0" layoutInCell="1" allowOverlap="1" wp14:anchorId="57041212" wp14:editId="2EF14FD7">
            <wp:simplePos x="0" y="0"/>
            <wp:positionH relativeFrom="column">
              <wp:posOffset>2906395</wp:posOffset>
            </wp:positionH>
            <wp:positionV relativeFrom="paragraph">
              <wp:posOffset>3937000</wp:posOffset>
            </wp:positionV>
            <wp:extent cx="2776855" cy="1811020"/>
            <wp:effectExtent l="0" t="0" r="4445" b="17780"/>
            <wp:wrapTopAndBottom/>
            <wp:docPr id="271" name="Chart 271">
              <a:extLst xmlns:a="http://schemas.openxmlformats.org/drawingml/2006/main">
                <a:ext uri="{FF2B5EF4-FFF2-40B4-BE49-F238E27FC236}">
                  <a16:creationId xmlns:a16="http://schemas.microsoft.com/office/drawing/2014/main" id="{F661979E-A097-4AD9-8FB8-9AE56C26452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14:sizeRelV relativeFrom="margin">
              <wp14:pctHeight>0</wp14:pctHeight>
            </wp14:sizeRelV>
          </wp:anchor>
        </w:drawing>
      </w:r>
      <w:r w:rsidR="000B26C7" w:rsidRPr="00851192">
        <w:rPr>
          <w:rFonts w:ascii="Arial" w:hAnsi="Arial" w:cs="Arial"/>
          <w:noProof/>
          <w:lang w:eastAsia="en-GB"/>
        </w:rPr>
        <w:drawing>
          <wp:anchor distT="0" distB="0" distL="114300" distR="114300" simplePos="0" relativeHeight="251777024" behindDoc="0" locked="0" layoutInCell="1" allowOverlap="1" wp14:anchorId="3B66E77D" wp14:editId="04536310">
            <wp:simplePos x="0" y="0"/>
            <wp:positionH relativeFrom="margin">
              <wp:posOffset>371</wp:posOffset>
            </wp:positionH>
            <wp:positionV relativeFrom="paragraph">
              <wp:posOffset>3937336</wp:posOffset>
            </wp:positionV>
            <wp:extent cx="2785745" cy="1828800"/>
            <wp:effectExtent l="0" t="0" r="14605" b="0"/>
            <wp:wrapTopAndBottom/>
            <wp:docPr id="270" name="Chart 270">
              <a:extLst xmlns:a="http://schemas.openxmlformats.org/drawingml/2006/main">
                <a:ext uri="{FF2B5EF4-FFF2-40B4-BE49-F238E27FC236}">
                  <a16:creationId xmlns:a16="http://schemas.microsoft.com/office/drawing/2014/main" id="{CBE34C20-43CA-45C5-99F8-E679E19274A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14:sizeRelV relativeFrom="margin">
              <wp14:pctHeight>0</wp14:pctHeight>
            </wp14:sizeRelV>
          </wp:anchor>
        </w:drawing>
      </w:r>
      <w:r w:rsidR="005E5A3C" w:rsidRPr="00851192">
        <w:rPr>
          <w:rFonts w:ascii="Arial" w:hAnsi="Arial" w:cs="Arial"/>
          <w:noProof/>
          <w:lang w:eastAsia="en-GB"/>
        </w:rPr>
        <w:drawing>
          <wp:anchor distT="0" distB="0" distL="114300" distR="114300" simplePos="0" relativeHeight="251773952" behindDoc="0" locked="0" layoutInCell="1" allowOverlap="1" wp14:anchorId="3AAFE3C3" wp14:editId="2AEA7062">
            <wp:simplePos x="0" y="0"/>
            <wp:positionH relativeFrom="margin">
              <wp:posOffset>2889250</wp:posOffset>
            </wp:positionH>
            <wp:positionV relativeFrom="paragraph">
              <wp:posOffset>8255</wp:posOffset>
            </wp:positionV>
            <wp:extent cx="2785745" cy="1802130"/>
            <wp:effectExtent l="0" t="0" r="14605" b="7620"/>
            <wp:wrapTopAndBottom/>
            <wp:docPr id="267" name="Chart 267">
              <a:extLst xmlns:a="http://schemas.openxmlformats.org/drawingml/2006/main">
                <a:ext uri="{FF2B5EF4-FFF2-40B4-BE49-F238E27FC236}">
                  <a16:creationId xmlns:a16="http://schemas.microsoft.com/office/drawing/2014/main" id="{716B9305-EF3C-4CCF-A187-0A7C46410D0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14:sizeRelH relativeFrom="margin">
              <wp14:pctWidth>0</wp14:pctWidth>
            </wp14:sizeRelH>
            <wp14:sizeRelV relativeFrom="margin">
              <wp14:pctHeight>0</wp14:pctHeight>
            </wp14:sizeRelV>
          </wp:anchor>
        </w:drawing>
      </w:r>
      <w:r w:rsidR="00BD67E7" w:rsidRPr="00851192">
        <w:rPr>
          <w:rFonts w:ascii="Arial" w:hAnsi="Arial" w:cs="Arial"/>
          <w:noProof/>
          <w:lang w:eastAsia="en-GB"/>
        </w:rPr>
        <w:drawing>
          <wp:anchor distT="0" distB="0" distL="114300" distR="114300" simplePos="0" relativeHeight="251772928" behindDoc="0" locked="0" layoutInCell="1" allowOverlap="1" wp14:anchorId="07D91418" wp14:editId="7EE62B80">
            <wp:simplePos x="0" y="0"/>
            <wp:positionH relativeFrom="margin">
              <wp:align>left</wp:align>
            </wp:positionH>
            <wp:positionV relativeFrom="paragraph">
              <wp:posOffset>0</wp:posOffset>
            </wp:positionV>
            <wp:extent cx="2777490" cy="1811020"/>
            <wp:effectExtent l="0" t="0" r="3810" b="17780"/>
            <wp:wrapTopAndBottom/>
            <wp:docPr id="266" name="Chart 266">
              <a:extLst xmlns:a="http://schemas.openxmlformats.org/drawingml/2006/main">
                <a:ext uri="{FF2B5EF4-FFF2-40B4-BE49-F238E27FC236}">
                  <a16:creationId xmlns:a16="http://schemas.microsoft.com/office/drawing/2014/main" id="{664F0836-E315-422B-B03D-6EF5969A9F7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14:sizeRelH relativeFrom="margin">
              <wp14:pctWidth>0</wp14:pctWidth>
            </wp14:sizeRelH>
          </wp:anchor>
        </w:drawing>
      </w:r>
    </w:p>
    <w:p w14:paraId="6666CF6E" w14:textId="395B1EB2" w:rsidR="00B003FF" w:rsidRPr="00851192" w:rsidRDefault="00B003FF" w:rsidP="00DC58F0">
      <w:pPr>
        <w:rPr>
          <w:rFonts w:ascii="Arial" w:hAnsi="Arial" w:cs="Arial"/>
        </w:rPr>
      </w:pPr>
    </w:p>
    <w:p w14:paraId="77B567EE" w14:textId="77777777" w:rsidR="000B26C7" w:rsidRPr="00851192" w:rsidRDefault="000B26C7" w:rsidP="00DC58F0">
      <w:pPr>
        <w:rPr>
          <w:rFonts w:ascii="Arial" w:hAnsi="Arial" w:cs="Arial"/>
        </w:rPr>
      </w:pPr>
    </w:p>
    <w:p w14:paraId="1252803A" w14:textId="1007D138" w:rsidR="00B003FF" w:rsidRPr="00851192" w:rsidRDefault="00880033" w:rsidP="00DC58F0">
      <w:pPr>
        <w:rPr>
          <w:rFonts w:ascii="Arial" w:hAnsi="Arial" w:cs="Arial"/>
        </w:rPr>
      </w:pPr>
      <w:r w:rsidRPr="00851192">
        <w:rPr>
          <w:rFonts w:ascii="Arial" w:hAnsi="Arial" w:cs="Arial"/>
          <w:noProof/>
          <w:lang w:eastAsia="en-GB"/>
        </w:rPr>
        <w:lastRenderedPageBreak/>
        <w:drawing>
          <wp:anchor distT="0" distB="0" distL="114300" distR="114300" simplePos="0" relativeHeight="251787264" behindDoc="0" locked="0" layoutInCell="1" allowOverlap="1" wp14:anchorId="68E87F03" wp14:editId="759EE8B2">
            <wp:simplePos x="0" y="0"/>
            <wp:positionH relativeFrom="column">
              <wp:posOffset>3053715</wp:posOffset>
            </wp:positionH>
            <wp:positionV relativeFrom="paragraph">
              <wp:posOffset>0</wp:posOffset>
            </wp:positionV>
            <wp:extent cx="2828925" cy="1811020"/>
            <wp:effectExtent l="0" t="0" r="9525" b="17780"/>
            <wp:wrapTopAndBottom/>
            <wp:docPr id="281" name="Chart 281">
              <a:extLst xmlns:a="http://schemas.openxmlformats.org/drawingml/2006/main">
                <a:ext uri="{FF2B5EF4-FFF2-40B4-BE49-F238E27FC236}">
                  <a16:creationId xmlns:a16="http://schemas.microsoft.com/office/drawing/2014/main" id="{4BDF96B4-9771-4878-8023-E3DF0685410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14:sizeRelH relativeFrom="margin">
              <wp14:pctWidth>0</wp14:pctWidth>
            </wp14:sizeRelH>
            <wp14:sizeRelV relativeFrom="margin">
              <wp14:pctHeight>0</wp14:pctHeight>
            </wp14:sizeRelV>
          </wp:anchor>
        </w:drawing>
      </w:r>
      <w:r w:rsidRPr="00851192">
        <w:rPr>
          <w:rFonts w:ascii="Arial" w:hAnsi="Arial" w:cs="Arial"/>
          <w:noProof/>
          <w:lang w:eastAsia="en-GB"/>
        </w:rPr>
        <w:drawing>
          <wp:anchor distT="0" distB="0" distL="114300" distR="114300" simplePos="0" relativeHeight="251786240" behindDoc="0" locked="0" layoutInCell="1" allowOverlap="1" wp14:anchorId="7039EB06" wp14:editId="03190098">
            <wp:simplePos x="0" y="0"/>
            <wp:positionH relativeFrom="margin">
              <wp:posOffset>103505</wp:posOffset>
            </wp:positionH>
            <wp:positionV relativeFrom="paragraph">
              <wp:posOffset>252</wp:posOffset>
            </wp:positionV>
            <wp:extent cx="2863215" cy="1811020"/>
            <wp:effectExtent l="0" t="0" r="13335" b="17780"/>
            <wp:wrapTopAndBottom/>
            <wp:docPr id="280" name="Chart 280">
              <a:extLst xmlns:a="http://schemas.openxmlformats.org/drawingml/2006/main">
                <a:ext uri="{FF2B5EF4-FFF2-40B4-BE49-F238E27FC236}">
                  <a16:creationId xmlns:a16="http://schemas.microsoft.com/office/drawing/2014/main" id="{27EA534D-8320-45D0-A238-704F632C78A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14:sizeRelH relativeFrom="margin">
              <wp14:pctWidth>0</wp14:pctWidth>
            </wp14:sizeRelH>
            <wp14:sizeRelV relativeFrom="margin">
              <wp14:pctHeight>0</wp14:pctHeight>
            </wp14:sizeRelV>
          </wp:anchor>
        </w:drawing>
      </w:r>
    </w:p>
    <w:p w14:paraId="6D07FDDF" w14:textId="1043EAF7" w:rsidR="00B003FF" w:rsidRPr="00851192" w:rsidRDefault="00DC3C61" w:rsidP="0058378E">
      <w:pPr>
        <w:spacing w:line="360" w:lineRule="auto"/>
        <w:jc w:val="both"/>
        <w:rPr>
          <w:rFonts w:ascii="Arial" w:hAnsi="Arial" w:cs="Arial"/>
        </w:rPr>
      </w:pPr>
      <w:r w:rsidRPr="00851192">
        <w:rPr>
          <w:rFonts w:ascii="Arial" w:hAnsi="Arial" w:cs="Arial"/>
        </w:rPr>
        <w:t>B</w:t>
      </w:r>
      <w:r w:rsidR="005250CD" w:rsidRPr="00851192">
        <w:rPr>
          <w:rFonts w:ascii="Arial" w:hAnsi="Arial" w:cs="Arial"/>
        </w:rPr>
        <w:t>y analysing the findings from responses,</w:t>
      </w:r>
      <w:r w:rsidR="009775F2" w:rsidRPr="00851192">
        <w:rPr>
          <w:rFonts w:ascii="Arial" w:hAnsi="Arial" w:cs="Arial"/>
        </w:rPr>
        <w:t xml:space="preserve"> </w:t>
      </w:r>
      <w:r w:rsidR="00C42F25" w:rsidRPr="00851192">
        <w:rPr>
          <w:rFonts w:ascii="Arial" w:hAnsi="Arial" w:cs="Arial"/>
        </w:rPr>
        <w:t xml:space="preserve">there is a pattern amongst statements </w:t>
      </w:r>
      <w:r w:rsidR="005250CD" w:rsidRPr="00851192">
        <w:rPr>
          <w:rFonts w:ascii="Arial" w:hAnsi="Arial" w:cs="Arial"/>
        </w:rPr>
        <w:t>selected</w:t>
      </w:r>
      <w:r w:rsidR="00C42F25" w:rsidRPr="00851192">
        <w:rPr>
          <w:rFonts w:ascii="Arial" w:hAnsi="Arial" w:cs="Arial"/>
        </w:rPr>
        <w:t xml:space="preserve"> by participants </w:t>
      </w:r>
      <w:r w:rsidR="005250CD" w:rsidRPr="00851192">
        <w:rPr>
          <w:rFonts w:ascii="Arial" w:hAnsi="Arial" w:cs="Arial"/>
        </w:rPr>
        <w:t>reflecting</w:t>
      </w:r>
      <w:r w:rsidR="00C42F25" w:rsidRPr="00851192">
        <w:rPr>
          <w:rFonts w:ascii="Arial" w:hAnsi="Arial" w:cs="Arial"/>
        </w:rPr>
        <w:t xml:space="preserve"> a positive linear relationship between the PG statement and measures to be taken within this part of the study. </w:t>
      </w:r>
      <w:r w:rsidR="007D3B2E" w:rsidRPr="00851192">
        <w:rPr>
          <w:rFonts w:ascii="Arial" w:hAnsi="Arial" w:cs="Arial"/>
        </w:rPr>
        <w:t xml:space="preserve">Therefore, this is evaluated as being a high positive correlation. </w:t>
      </w:r>
      <w:r w:rsidR="00C42F25" w:rsidRPr="00851192">
        <w:rPr>
          <w:rFonts w:ascii="Arial" w:hAnsi="Arial" w:cs="Arial"/>
        </w:rPr>
        <w:t xml:space="preserve">This </w:t>
      </w:r>
      <w:r w:rsidR="005C011B" w:rsidRPr="00851192">
        <w:rPr>
          <w:rFonts w:ascii="Arial" w:hAnsi="Arial" w:cs="Arial"/>
        </w:rPr>
        <w:t>may not only</w:t>
      </w:r>
      <w:r w:rsidR="00C42F25" w:rsidRPr="00851192">
        <w:rPr>
          <w:rFonts w:ascii="Arial" w:hAnsi="Arial" w:cs="Arial"/>
        </w:rPr>
        <w:t xml:space="preserve"> suggest that participants believe that measures </w:t>
      </w:r>
      <w:r w:rsidR="005250CD" w:rsidRPr="00851192">
        <w:rPr>
          <w:rFonts w:ascii="Arial" w:hAnsi="Arial" w:cs="Arial"/>
        </w:rPr>
        <w:t>must</w:t>
      </w:r>
      <w:r w:rsidR="00C42F25" w:rsidRPr="00851192">
        <w:rPr>
          <w:rFonts w:ascii="Arial" w:hAnsi="Arial" w:cs="Arial"/>
        </w:rPr>
        <w:t xml:space="preserve"> </w:t>
      </w:r>
      <w:r w:rsidR="005C011B" w:rsidRPr="00851192">
        <w:rPr>
          <w:rFonts w:ascii="Arial" w:hAnsi="Arial" w:cs="Arial"/>
        </w:rPr>
        <w:t>be taken</w:t>
      </w:r>
      <w:r w:rsidR="00C42F25" w:rsidRPr="00851192">
        <w:rPr>
          <w:rFonts w:ascii="Arial" w:hAnsi="Arial" w:cs="Arial"/>
        </w:rPr>
        <w:t xml:space="preserve"> to limit the issue</w:t>
      </w:r>
      <w:r w:rsidR="005C011B" w:rsidRPr="00851192">
        <w:rPr>
          <w:rFonts w:ascii="Arial" w:hAnsi="Arial" w:cs="Arial"/>
        </w:rPr>
        <w:t>s</w:t>
      </w:r>
      <w:r w:rsidR="00C42F25" w:rsidRPr="00851192">
        <w:rPr>
          <w:rFonts w:ascii="Arial" w:hAnsi="Arial" w:cs="Arial"/>
        </w:rPr>
        <w:t xml:space="preserve"> surrounding PG, but that Goffman</w:t>
      </w:r>
      <w:r w:rsidR="005C011B" w:rsidRPr="00851192">
        <w:rPr>
          <w:rFonts w:ascii="Arial" w:hAnsi="Arial" w:cs="Arial"/>
        </w:rPr>
        <w:t>’s</w:t>
      </w:r>
      <w:r w:rsidR="00C42F25" w:rsidRPr="00851192">
        <w:rPr>
          <w:rFonts w:ascii="Arial" w:hAnsi="Arial" w:cs="Arial"/>
        </w:rPr>
        <w:t xml:space="preserve"> (1959) theory on </w:t>
      </w:r>
      <w:r w:rsidR="005250CD" w:rsidRPr="00851192">
        <w:rPr>
          <w:rFonts w:ascii="Arial" w:hAnsi="Arial" w:cs="Arial"/>
        </w:rPr>
        <w:t xml:space="preserve">front and back stage </w:t>
      </w:r>
      <w:r w:rsidR="00C42F25" w:rsidRPr="00851192">
        <w:rPr>
          <w:rFonts w:ascii="Arial" w:hAnsi="Arial" w:cs="Arial"/>
        </w:rPr>
        <w:t xml:space="preserve">behaviour may be adopted by GGO’s due to participants believing strongly that </w:t>
      </w:r>
      <w:r w:rsidR="005C011B" w:rsidRPr="00851192">
        <w:rPr>
          <w:rFonts w:ascii="Arial" w:hAnsi="Arial" w:cs="Arial"/>
        </w:rPr>
        <w:t>greater measures</w:t>
      </w:r>
      <w:r w:rsidR="00C42F25" w:rsidRPr="00851192">
        <w:rPr>
          <w:rFonts w:ascii="Arial" w:hAnsi="Arial" w:cs="Arial"/>
        </w:rPr>
        <w:t xml:space="preserve"> should be taken.</w:t>
      </w:r>
      <w:r w:rsidR="000F6DA4" w:rsidRPr="00851192">
        <w:rPr>
          <w:rFonts w:ascii="Arial" w:hAnsi="Arial" w:cs="Arial"/>
        </w:rPr>
        <w:t xml:space="preserve"> However, a</w:t>
      </w:r>
      <w:r w:rsidR="00C42F25" w:rsidRPr="00851192">
        <w:rPr>
          <w:rFonts w:ascii="Arial" w:hAnsi="Arial" w:cs="Arial"/>
        </w:rPr>
        <w:t xml:space="preserve">lthough these </w:t>
      </w:r>
      <w:r w:rsidR="000F6DA4" w:rsidRPr="00851192">
        <w:rPr>
          <w:rFonts w:ascii="Arial" w:hAnsi="Arial" w:cs="Arial"/>
        </w:rPr>
        <w:t>statements</w:t>
      </w:r>
      <w:r w:rsidR="00C42F25" w:rsidRPr="00851192">
        <w:rPr>
          <w:rFonts w:ascii="Arial" w:hAnsi="Arial" w:cs="Arial"/>
        </w:rPr>
        <w:t xml:space="preserve"> may </w:t>
      </w:r>
      <w:r w:rsidR="000F6DA4" w:rsidRPr="00851192">
        <w:rPr>
          <w:rFonts w:ascii="Arial" w:hAnsi="Arial" w:cs="Arial"/>
        </w:rPr>
        <w:t>reflect</w:t>
      </w:r>
      <w:r w:rsidR="00C42F25" w:rsidRPr="00851192">
        <w:rPr>
          <w:rFonts w:ascii="Arial" w:hAnsi="Arial" w:cs="Arial"/>
        </w:rPr>
        <w:t xml:space="preserve"> positive CSR and more effective measure</w:t>
      </w:r>
      <w:r w:rsidR="000F6DA4" w:rsidRPr="00851192">
        <w:rPr>
          <w:rFonts w:ascii="Arial" w:hAnsi="Arial" w:cs="Arial"/>
        </w:rPr>
        <w:t>s</w:t>
      </w:r>
      <w:r w:rsidR="00C42F25" w:rsidRPr="00851192">
        <w:rPr>
          <w:rFonts w:ascii="Arial" w:hAnsi="Arial" w:cs="Arial"/>
        </w:rPr>
        <w:t xml:space="preserve"> of CSR communication (Griffiths, 2003; </w:t>
      </w:r>
      <w:proofErr w:type="spellStart"/>
      <w:r w:rsidR="00C42F25" w:rsidRPr="00851192">
        <w:rPr>
          <w:rFonts w:ascii="Arial" w:hAnsi="Arial" w:cs="Arial"/>
        </w:rPr>
        <w:t>Podnar</w:t>
      </w:r>
      <w:proofErr w:type="spellEnd"/>
      <w:r w:rsidR="00C42F25" w:rsidRPr="00851192">
        <w:rPr>
          <w:rFonts w:ascii="Arial" w:hAnsi="Arial" w:cs="Arial"/>
        </w:rPr>
        <w:t xml:space="preserve">, 2008; Wilmot, 2018), </w:t>
      </w:r>
      <w:r w:rsidR="000F6DA4" w:rsidRPr="00851192">
        <w:rPr>
          <w:rFonts w:ascii="Arial" w:hAnsi="Arial" w:cs="Arial"/>
        </w:rPr>
        <w:t xml:space="preserve">a reflection must be taken that if strong CSR measures are implemented </w:t>
      </w:r>
      <w:r w:rsidR="005250CD" w:rsidRPr="00851192">
        <w:rPr>
          <w:rFonts w:ascii="Arial" w:hAnsi="Arial" w:cs="Arial"/>
        </w:rPr>
        <w:t xml:space="preserve">by GGO’s </w:t>
      </w:r>
      <w:r w:rsidR="000F6DA4" w:rsidRPr="00851192">
        <w:rPr>
          <w:rFonts w:ascii="Arial" w:hAnsi="Arial" w:cs="Arial"/>
        </w:rPr>
        <w:t>within an industry that has negative externalities</w:t>
      </w:r>
      <w:r w:rsidR="005250CD" w:rsidRPr="00851192">
        <w:rPr>
          <w:rFonts w:ascii="Arial" w:hAnsi="Arial" w:cs="Arial"/>
        </w:rPr>
        <w:t xml:space="preserve"> (Charity Commission UK Government, 2017; Busby, 2017; United States Health Department, 2016)</w:t>
      </w:r>
      <w:r w:rsidR="000F6DA4" w:rsidRPr="00851192">
        <w:rPr>
          <w:rFonts w:ascii="Arial" w:hAnsi="Arial" w:cs="Arial"/>
        </w:rPr>
        <w:t>, it may limit or impact revenue leading to impacting the organisations internal stakeholders</w:t>
      </w:r>
      <w:r w:rsidR="005250CD" w:rsidRPr="00851192">
        <w:rPr>
          <w:rFonts w:ascii="Arial" w:hAnsi="Arial" w:cs="Arial"/>
        </w:rPr>
        <w:t xml:space="preserve"> (Kotler &amp; Lee, 2005)</w:t>
      </w:r>
      <w:r w:rsidR="000F6DA4" w:rsidRPr="00851192">
        <w:rPr>
          <w:rFonts w:ascii="Arial" w:hAnsi="Arial" w:cs="Arial"/>
        </w:rPr>
        <w:t xml:space="preserve">. </w:t>
      </w:r>
    </w:p>
    <w:p w14:paraId="0979C428" w14:textId="3B5ADC62" w:rsidR="00D179BE" w:rsidRPr="00851192" w:rsidRDefault="00D179BE" w:rsidP="0058378E">
      <w:pPr>
        <w:spacing w:line="360" w:lineRule="auto"/>
        <w:jc w:val="both"/>
        <w:rPr>
          <w:rFonts w:ascii="Arial" w:hAnsi="Arial" w:cs="Arial"/>
        </w:rPr>
      </w:pPr>
      <w:r w:rsidRPr="00851192">
        <w:rPr>
          <w:rFonts w:ascii="Arial" w:hAnsi="Arial" w:cs="Arial"/>
        </w:rPr>
        <w:t xml:space="preserve">Furthermore, participants within the survey identified that beliefs towards psychological welfares of consumers are not valued by GGO’s. However, those who believed that GGO’s valued the welfare of consumes have been identified to be participating </w:t>
      </w:r>
      <w:r w:rsidR="00DC3C61" w:rsidRPr="00851192">
        <w:rPr>
          <w:rFonts w:ascii="Arial" w:hAnsi="Arial" w:cs="Arial"/>
        </w:rPr>
        <w:t>in</w:t>
      </w:r>
      <w:r w:rsidRPr="00851192">
        <w:rPr>
          <w:rFonts w:ascii="Arial" w:hAnsi="Arial" w:cs="Arial"/>
        </w:rPr>
        <w:t xml:space="preserve"> Canada. Thus, this leads to a strong suggestion that the governance by the Canadian National Defence (2018) and relationship with GGO’s is not only portraying effective CSR communication, but the act against PG is having </w:t>
      </w:r>
      <w:proofErr w:type="spellStart"/>
      <w:r w:rsidRPr="00851192">
        <w:rPr>
          <w:rFonts w:ascii="Arial" w:hAnsi="Arial" w:cs="Arial"/>
        </w:rPr>
        <w:t>a</w:t>
      </w:r>
      <w:proofErr w:type="spellEnd"/>
      <w:r w:rsidRPr="00851192">
        <w:rPr>
          <w:rFonts w:ascii="Arial" w:hAnsi="Arial" w:cs="Arial"/>
        </w:rPr>
        <w:t xml:space="preserve"> effect on society and shaping positive opinions. Thus, </w:t>
      </w:r>
      <w:proofErr w:type="spellStart"/>
      <w:r w:rsidRPr="00851192">
        <w:rPr>
          <w:rFonts w:ascii="Arial" w:hAnsi="Arial" w:cs="Arial"/>
        </w:rPr>
        <w:t>Argenti</w:t>
      </w:r>
      <w:proofErr w:type="spellEnd"/>
      <w:r w:rsidRPr="00851192">
        <w:rPr>
          <w:rFonts w:ascii="Arial" w:hAnsi="Arial" w:cs="Arial"/>
        </w:rPr>
        <w:t xml:space="preserve"> &amp; </w:t>
      </w:r>
      <w:proofErr w:type="spellStart"/>
      <w:r w:rsidRPr="00851192">
        <w:rPr>
          <w:rFonts w:ascii="Arial" w:hAnsi="Arial" w:cs="Arial"/>
        </w:rPr>
        <w:t>Druckermiller</w:t>
      </w:r>
      <w:proofErr w:type="spellEnd"/>
      <w:r w:rsidRPr="00851192">
        <w:rPr>
          <w:rFonts w:ascii="Arial" w:hAnsi="Arial" w:cs="Arial"/>
        </w:rPr>
        <w:t xml:space="preserve">, (2002); </w:t>
      </w:r>
      <w:proofErr w:type="spellStart"/>
      <w:r w:rsidRPr="00851192">
        <w:rPr>
          <w:rFonts w:ascii="Arial" w:hAnsi="Arial" w:cs="Arial"/>
        </w:rPr>
        <w:t>Blanpain</w:t>
      </w:r>
      <w:proofErr w:type="spellEnd"/>
      <w:r w:rsidRPr="00851192">
        <w:rPr>
          <w:rFonts w:ascii="Arial" w:hAnsi="Arial" w:cs="Arial"/>
        </w:rPr>
        <w:t xml:space="preserve"> et al., (2010); and Freeman R. E., (1984) theory is reinforced that effective and positive CSR measures can still achieve sustainable growth and a return in financial performance to benefit both society and GGO’s (</w:t>
      </w:r>
      <w:proofErr w:type="spellStart"/>
      <w:r w:rsidRPr="00851192">
        <w:rPr>
          <w:rFonts w:ascii="Arial" w:hAnsi="Arial" w:cs="Arial"/>
        </w:rPr>
        <w:t>Hittner</w:t>
      </w:r>
      <w:proofErr w:type="spellEnd"/>
      <w:r w:rsidRPr="00851192">
        <w:rPr>
          <w:rFonts w:ascii="Arial" w:hAnsi="Arial" w:cs="Arial"/>
        </w:rPr>
        <w:t xml:space="preserve"> &amp; </w:t>
      </w:r>
      <w:proofErr w:type="spellStart"/>
      <w:r w:rsidRPr="00851192">
        <w:rPr>
          <w:rFonts w:ascii="Arial" w:hAnsi="Arial" w:cs="Arial"/>
        </w:rPr>
        <w:t>Phle</w:t>
      </w:r>
      <w:proofErr w:type="spellEnd"/>
      <w:r w:rsidRPr="00851192">
        <w:rPr>
          <w:rFonts w:ascii="Arial" w:hAnsi="Arial" w:cs="Arial"/>
        </w:rPr>
        <w:t xml:space="preserve">, 2008; </w:t>
      </w:r>
      <w:proofErr w:type="spellStart"/>
      <w:r w:rsidRPr="00851192">
        <w:rPr>
          <w:rFonts w:ascii="Arial" w:hAnsi="Arial" w:cs="Arial"/>
        </w:rPr>
        <w:t>Fantini</w:t>
      </w:r>
      <w:proofErr w:type="spellEnd"/>
      <w:r w:rsidRPr="00851192">
        <w:rPr>
          <w:rFonts w:ascii="Arial" w:hAnsi="Arial" w:cs="Arial"/>
        </w:rPr>
        <w:t xml:space="preserve"> &amp; Diem, 2018).</w:t>
      </w:r>
    </w:p>
    <w:p w14:paraId="598DB1BE" w14:textId="77777777" w:rsidR="00626F1C" w:rsidRPr="00851192" w:rsidRDefault="00626F1C" w:rsidP="00D179BE">
      <w:pPr>
        <w:jc w:val="both"/>
        <w:rPr>
          <w:rFonts w:ascii="Arial" w:hAnsi="Arial" w:cs="Arial"/>
        </w:rPr>
      </w:pPr>
    </w:p>
    <w:p w14:paraId="4D98340E" w14:textId="427691D0" w:rsidR="00E850BA" w:rsidRPr="00851192" w:rsidRDefault="00E850BA" w:rsidP="00E850BA">
      <w:pPr>
        <w:jc w:val="center"/>
        <w:rPr>
          <w:rFonts w:ascii="Arial" w:hAnsi="Arial" w:cs="Arial"/>
          <w:shd w:val="clear" w:color="auto" w:fill="FFFFFF"/>
        </w:rPr>
      </w:pPr>
      <w:r w:rsidRPr="00851192">
        <w:rPr>
          <w:rFonts w:ascii="Arial" w:hAnsi="Arial" w:cs="Arial"/>
          <w:noProof/>
          <w:lang w:eastAsia="en-GB"/>
        </w:rPr>
        <w:lastRenderedPageBreak/>
        <w:drawing>
          <wp:inline distT="0" distB="0" distL="0" distR="0" wp14:anchorId="59C4A237" wp14:editId="43E392D5">
            <wp:extent cx="4572000" cy="2743200"/>
            <wp:effectExtent l="0" t="0" r="0" b="0"/>
            <wp:docPr id="274" name="Chart 274">
              <a:extLst xmlns:a="http://schemas.openxmlformats.org/drawingml/2006/main">
                <a:ext uri="{FF2B5EF4-FFF2-40B4-BE49-F238E27FC236}">
                  <a16:creationId xmlns:a16="http://schemas.microsoft.com/office/drawing/2014/main" id="{87C2465E-46A1-4BC5-B25D-89F467526F1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inline>
        </w:drawing>
      </w:r>
    </w:p>
    <w:tbl>
      <w:tblPr>
        <w:tblW w:w="586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60"/>
        <w:gridCol w:w="1256"/>
        <w:gridCol w:w="1900"/>
      </w:tblGrid>
      <w:tr w:rsidR="007725A2" w:rsidRPr="00851192" w14:paraId="04DB6C01" w14:textId="77777777" w:rsidTr="00DE3E33">
        <w:trPr>
          <w:trHeight w:val="300"/>
          <w:jc w:val="center"/>
        </w:trPr>
        <w:tc>
          <w:tcPr>
            <w:tcW w:w="2760" w:type="dxa"/>
            <w:shd w:val="clear" w:color="auto" w:fill="auto"/>
            <w:noWrap/>
            <w:vAlign w:val="bottom"/>
            <w:hideMark/>
          </w:tcPr>
          <w:p w14:paraId="185C1EBC" w14:textId="77777777" w:rsidR="007725A2" w:rsidRPr="00851192" w:rsidRDefault="007725A2"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Categories</w:t>
            </w:r>
          </w:p>
        </w:tc>
        <w:tc>
          <w:tcPr>
            <w:tcW w:w="1200" w:type="dxa"/>
            <w:shd w:val="clear" w:color="auto" w:fill="auto"/>
            <w:noWrap/>
            <w:vAlign w:val="bottom"/>
            <w:hideMark/>
          </w:tcPr>
          <w:p w14:paraId="2113D882" w14:textId="77777777" w:rsidR="007725A2" w:rsidRPr="00851192" w:rsidRDefault="007725A2"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Frequency</w:t>
            </w:r>
          </w:p>
        </w:tc>
        <w:tc>
          <w:tcPr>
            <w:tcW w:w="1900" w:type="dxa"/>
            <w:shd w:val="clear" w:color="auto" w:fill="auto"/>
            <w:noWrap/>
            <w:vAlign w:val="bottom"/>
            <w:hideMark/>
          </w:tcPr>
          <w:p w14:paraId="1165AE46" w14:textId="77777777" w:rsidR="007725A2" w:rsidRPr="00851192" w:rsidRDefault="007725A2"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 </w:t>
            </w:r>
            <w:r w:rsidRPr="00851192">
              <w:rPr>
                <w:rFonts w:ascii="Arial" w:eastAsia="Times New Roman" w:hAnsi="Arial" w:cs="Arial"/>
                <w:noProof/>
                <w:color w:val="000000"/>
                <w:lang w:eastAsia="en-GB"/>
              </w:rPr>
              <w:drawing>
                <wp:inline distT="0" distB="0" distL="0" distR="0" wp14:anchorId="5E1D7AF0" wp14:editId="2C022DD1">
                  <wp:extent cx="1026543" cy="353044"/>
                  <wp:effectExtent l="0" t="0" r="2540" b="9525"/>
                  <wp:docPr id="235" name="Picture 2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 name="standard-deviation-formula.gif"/>
                          <pic:cNvPicPr/>
                        </pic:nvPicPr>
                        <pic:blipFill>
                          <a:blip r:embed="rId18">
                            <a:extLst>
                              <a:ext uri="{28A0092B-C50C-407E-A947-70E740481C1C}">
                                <a14:useLocalDpi xmlns:a14="http://schemas.microsoft.com/office/drawing/2010/main" val="0"/>
                              </a:ext>
                            </a:extLst>
                          </a:blip>
                          <a:stretch>
                            <a:fillRect/>
                          </a:stretch>
                        </pic:blipFill>
                        <pic:spPr>
                          <a:xfrm>
                            <a:off x="0" y="0"/>
                            <a:ext cx="1040953" cy="358000"/>
                          </a:xfrm>
                          <a:prstGeom prst="rect">
                            <a:avLst/>
                          </a:prstGeom>
                        </pic:spPr>
                      </pic:pic>
                    </a:graphicData>
                  </a:graphic>
                </wp:inline>
              </w:drawing>
            </w:r>
          </w:p>
        </w:tc>
      </w:tr>
      <w:tr w:rsidR="007725A2" w:rsidRPr="00851192" w14:paraId="3196BF11" w14:textId="77777777" w:rsidTr="00DE3E33">
        <w:trPr>
          <w:trHeight w:val="300"/>
          <w:jc w:val="center"/>
        </w:trPr>
        <w:tc>
          <w:tcPr>
            <w:tcW w:w="2760" w:type="dxa"/>
            <w:shd w:val="clear" w:color="auto" w:fill="auto"/>
            <w:noWrap/>
            <w:vAlign w:val="bottom"/>
            <w:hideMark/>
          </w:tcPr>
          <w:p w14:paraId="70CB1B28" w14:textId="3103DD8D" w:rsidR="007725A2" w:rsidRPr="00851192" w:rsidRDefault="007725A2"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Yes</w:t>
            </w:r>
          </w:p>
        </w:tc>
        <w:tc>
          <w:tcPr>
            <w:tcW w:w="1200" w:type="dxa"/>
            <w:shd w:val="clear" w:color="auto" w:fill="auto"/>
            <w:noWrap/>
            <w:vAlign w:val="bottom"/>
            <w:hideMark/>
          </w:tcPr>
          <w:p w14:paraId="3ADDC199" w14:textId="2884B4A1" w:rsidR="007725A2" w:rsidRPr="00851192" w:rsidRDefault="007725A2"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8</w:t>
            </w:r>
          </w:p>
        </w:tc>
        <w:tc>
          <w:tcPr>
            <w:tcW w:w="1900" w:type="dxa"/>
            <w:shd w:val="clear" w:color="auto" w:fill="auto"/>
            <w:noWrap/>
            <w:vAlign w:val="bottom"/>
            <w:hideMark/>
          </w:tcPr>
          <w:p w14:paraId="6858CBFE" w14:textId="77777777" w:rsidR="007725A2" w:rsidRPr="00851192" w:rsidRDefault="007725A2"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1.96</w:t>
            </w:r>
          </w:p>
        </w:tc>
      </w:tr>
      <w:tr w:rsidR="007725A2" w:rsidRPr="00851192" w14:paraId="3A9B494E" w14:textId="77777777" w:rsidTr="00DE3E33">
        <w:trPr>
          <w:trHeight w:val="300"/>
          <w:jc w:val="center"/>
        </w:trPr>
        <w:tc>
          <w:tcPr>
            <w:tcW w:w="2760" w:type="dxa"/>
            <w:shd w:val="clear" w:color="auto" w:fill="auto"/>
            <w:noWrap/>
            <w:vAlign w:val="bottom"/>
            <w:hideMark/>
          </w:tcPr>
          <w:p w14:paraId="7F2CC950" w14:textId="6883E4F2" w:rsidR="007725A2" w:rsidRPr="00851192" w:rsidRDefault="007725A2"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No</w:t>
            </w:r>
          </w:p>
        </w:tc>
        <w:tc>
          <w:tcPr>
            <w:tcW w:w="1200" w:type="dxa"/>
            <w:shd w:val="clear" w:color="auto" w:fill="auto"/>
            <w:noWrap/>
            <w:vAlign w:val="bottom"/>
            <w:hideMark/>
          </w:tcPr>
          <w:p w14:paraId="7433EF9B" w14:textId="2AA9D5FC" w:rsidR="007725A2" w:rsidRPr="00851192" w:rsidRDefault="007725A2"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100</w:t>
            </w:r>
          </w:p>
        </w:tc>
        <w:tc>
          <w:tcPr>
            <w:tcW w:w="1900" w:type="dxa"/>
            <w:shd w:val="clear" w:color="auto" w:fill="auto"/>
            <w:noWrap/>
            <w:vAlign w:val="bottom"/>
            <w:hideMark/>
          </w:tcPr>
          <w:p w14:paraId="077BFCBB" w14:textId="77777777" w:rsidR="007725A2" w:rsidRPr="00851192" w:rsidRDefault="007725A2"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31.36</w:t>
            </w:r>
          </w:p>
        </w:tc>
      </w:tr>
      <w:tr w:rsidR="007725A2" w:rsidRPr="00851192" w14:paraId="0453D77C" w14:textId="77777777" w:rsidTr="00DE3E33">
        <w:trPr>
          <w:trHeight w:val="300"/>
          <w:jc w:val="center"/>
        </w:trPr>
        <w:tc>
          <w:tcPr>
            <w:tcW w:w="2760" w:type="dxa"/>
            <w:shd w:val="clear" w:color="auto" w:fill="auto"/>
            <w:noWrap/>
            <w:vAlign w:val="bottom"/>
            <w:hideMark/>
          </w:tcPr>
          <w:p w14:paraId="72581817" w14:textId="2C50A6B6" w:rsidR="007725A2" w:rsidRPr="00851192" w:rsidRDefault="007725A2"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Cannot Say</w:t>
            </w:r>
          </w:p>
        </w:tc>
        <w:tc>
          <w:tcPr>
            <w:tcW w:w="1200" w:type="dxa"/>
            <w:shd w:val="clear" w:color="auto" w:fill="auto"/>
            <w:noWrap/>
            <w:vAlign w:val="bottom"/>
            <w:hideMark/>
          </w:tcPr>
          <w:p w14:paraId="38A113A1" w14:textId="5AC0FF22" w:rsidR="007725A2" w:rsidRPr="00851192" w:rsidRDefault="007725A2"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9</w:t>
            </w:r>
          </w:p>
        </w:tc>
        <w:tc>
          <w:tcPr>
            <w:tcW w:w="1900" w:type="dxa"/>
            <w:shd w:val="clear" w:color="auto" w:fill="auto"/>
            <w:noWrap/>
            <w:vAlign w:val="bottom"/>
            <w:hideMark/>
          </w:tcPr>
          <w:p w14:paraId="167AE946" w14:textId="77777777" w:rsidR="007725A2" w:rsidRPr="00851192" w:rsidRDefault="007725A2"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43.56</w:t>
            </w:r>
          </w:p>
        </w:tc>
      </w:tr>
      <w:tr w:rsidR="007725A2" w:rsidRPr="00851192" w14:paraId="6007F3DA" w14:textId="77777777" w:rsidTr="00DE3E33">
        <w:trPr>
          <w:trHeight w:val="300"/>
          <w:jc w:val="center"/>
        </w:trPr>
        <w:tc>
          <w:tcPr>
            <w:tcW w:w="2760" w:type="dxa"/>
            <w:shd w:val="clear" w:color="auto" w:fill="auto"/>
            <w:noWrap/>
            <w:vAlign w:val="bottom"/>
            <w:hideMark/>
          </w:tcPr>
          <w:p w14:paraId="1F7E543D" w14:textId="58E695CD" w:rsidR="007725A2" w:rsidRPr="00851192" w:rsidRDefault="007725A2"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Other</w:t>
            </w:r>
          </w:p>
        </w:tc>
        <w:tc>
          <w:tcPr>
            <w:tcW w:w="1200" w:type="dxa"/>
            <w:shd w:val="clear" w:color="auto" w:fill="auto"/>
            <w:noWrap/>
            <w:vAlign w:val="bottom"/>
            <w:hideMark/>
          </w:tcPr>
          <w:p w14:paraId="4C7277BC" w14:textId="06C7C60B" w:rsidR="007725A2" w:rsidRPr="00851192" w:rsidRDefault="007725A2"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5</w:t>
            </w:r>
          </w:p>
        </w:tc>
        <w:tc>
          <w:tcPr>
            <w:tcW w:w="1900" w:type="dxa"/>
            <w:shd w:val="clear" w:color="auto" w:fill="auto"/>
            <w:noWrap/>
            <w:vAlign w:val="bottom"/>
            <w:hideMark/>
          </w:tcPr>
          <w:p w14:paraId="5E683D63" w14:textId="77777777" w:rsidR="007725A2" w:rsidRPr="00851192" w:rsidRDefault="007725A2"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54.76</w:t>
            </w:r>
          </w:p>
        </w:tc>
      </w:tr>
      <w:tr w:rsidR="007725A2" w:rsidRPr="00851192" w14:paraId="1E85FAFF" w14:textId="77777777" w:rsidTr="00DE3E33">
        <w:trPr>
          <w:trHeight w:val="300"/>
          <w:jc w:val="center"/>
        </w:trPr>
        <w:tc>
          <w:tcPr>
            <w:tcW w:w="2760" w:type="dxa"/>
            <w:shd w:val="clear" w:color="auto" w:fill="auto"/>
            <w:noWrap/>
            <w:vAlign w:val="bottom"/>
            <w:hideMark/>
          </w:tcPr>
          <w:p w14:paraId="4A0F4CF1" w14:textId="77777777" w:rsidR="007725A2" w:rsidRPr="00851192" w:rsidRDefault="007725A2"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Mean =</w:t>
            </w:r>
          </w:p>
        </w:tc>
        <w:tc>
          <w:tcPr>
            <w:tcW w:w="1200" w:type="dxa"/>
            <w:shd w:val="clear" w:color="auto" w:fill="auto"/>
            <w:noWrap/>
            <w:vAlign w:val="bottom"/>
            <w:hideMark/>
          </w:tcPr>
          <w:p w14:paraId="48078C1F" w14:textId="2BC11AA9" w:rsidR="007725A2" w:rsidRPr="00851192" w:rsidRDefault="007725A2"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30.5</w:t>
            </w:r>
          </w:p>
        </w:tc>
        <w:tc>
          <w:tcPr>
            <w:tcW w:w="1900" w:type="dxa"/>
            <w:shd w:val="clear" w:color="auto" w:fill="auto"/>
            <w:noWrap/>
            <w:vAlign w:val="bottom"/>
            <w:hideMark/>
          </w:tcPr>
          <w:p w14:paraId="6497618B" w14:textId="77777777" w:rsidR="007725A2" w:rsidRPr="00851192" w:rsidRDefault="007725A2"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 </w:t>
            </w:r>
          </w:p>
        </w:tc>
      </w:tr>
      <w:tr w:rsidR="007725A2" w:rsidRPr="00851192" w14:paraId="7C68DE1A" w14:textId="77777777" w:rsidTr="00DE3E33">
        <w:trPr>
          <w:trHeight w:val="315"/>
          <w:jc w:val="center"/>
        </w:trPr>
        <w:tc>
          <w:tcPr>
            <w:tcW w:w="2760" w:type="dxa"/>
            <w:shd w:val="clear" w:color="auto" w:fill="auto"/>
            <w:noWrap/>
            <w:vAlign w:val="bottom"/>
            <w:hideMark/>
          </w:tcPr>
          <w:p w14:paraId="14FAD8E3" w14:textId="77777777" w:rsidR="007725A2" w:rsidRPr="00851192" w:rsidRDefault="007725A2"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Standard Deviation =</w:t>
            </w:r>
          </w:p>
        </w:tc>
        <w:tc>
          <w:tcPr>
            <w:tcW w:w="1200" w:type="dxa"/>
            <w:shd w:val="clear" w:color="auto" w:fill="auto"/>
            <w:noWrap/>
            <w:vAlign w:val="bottom"/>
            <w:hideMark/>
          </w:tcPr>
          <w:p w14:paraId="765F448B" w14:textId="77777777" w:rsidR="007725A2" w:rsidRPr="00851192" w:rsidRDefault="007725A2" w:rsidP="00DE3E33">
            <w:pPr>
              <w:spacing w:after="0" w:line="240" w:lineRule="auto"/>
              <w:rPr>
                <w:rFonts w:ascii="Arial" w:eastAsia="Times New Roman" w:hAnsi="Arial" w:cs="Arial"/>
                <w:color w:val="000000"/>
                <w:lang w:eastAsia="en-GB"/>
              </w:rPr>
            </w:pPr>
            <w:r w:rsidRPr="00851192">
              <w:rPr>
                <w:rFonts w:ascii="Arial" w:eastAsia="Times New Roman" w:hAnsi="Arial" w:cs="Arial"/>
                <w:color w:val="000000"/>
                <w:lang w:eastAsia="en-GB"/>
              </w:rPr>
              <w:t> </w:t>
            </w:r>
          </w:p>
        </w:tc>
        <w:tc>
          <w:tcPr>
            <w:tcW w:w="1900" w:type="dxa"/>
            <w:shd w:val="clear" w:color="auto" w:fill="auto"/>
            <w:noWrap/>
            <w:vAlign w:val="bottom"/>
            <w:hideMark/>
          </w:tcPr>
          <w:p w14:paraId="3FD57EA9" w14:textId="1F590868" w:rsidR="007725A2" w:rsidRPr="00851192" w:rsidRDefault="007725A2" w:rsidP="00DE3E33">
            <w:pPr>
              <w:spacing w:after="0" w:line="240" w:lineRule="auto"/>
              <w:jc w:val="right"/>
              <w:rPr>
                <w:rFonts w:ascii="Arial" w:eastAsia="Times New Roman" w:hAnsi="Arial" w:cs="Arial"/>
                <w:color w:val="000000"/>
                <w:lang w:eastAsia="en-GB"/>
              </w:rPr>
            </w:pPr>
            <w:r w:rsidRPr="00851192">
              <w:rPr>
                <w:rFonts w:ascii="Arial" w:eastAsia="Times New Roman" w:hAnsi="Arial" w:cs="Arial"/>
                <w:color w:val="000000"/>
                <w:lang w:eastAsia="en-GB"/>
              </w:rPr>
              <w:t>2.3838</w:t>
            </w:r>
          </w:p>
        </w:tc>
      </w:tr>
      <w:tr w:rsidR="00F23E01" w:rsidRPr="00851192" w14:paraId="7D2B294A" w14:textId="77777777" w:rsidTr="00DE3E33">
        <w:trPr>
          <w:trHeight w:val="315"/>
          <w:jc w:val="center"/>
        </w:trPr>
        <w:tc>
          <w:tcPr>
            <w:tcW w:w="2760" w:type="dxa"/>
            <w:shd w:val="clear" w:color="auto" w:fill="auto"/>
            <w:noWrap/>
            <w:vAlign w:val="bottom"/>
          </w:tcPr>
          <w:p w14:paraId="13624690" w14:textId="530D101C" w:rsidR="00F23E01" w:rsidRPr="00851192" w:rsidRDefault="00F23E01" w:rsidP="00DE3E33">
            <w:pPr>
              <w:spacing w:after="0" w:line="240" w:lineRule="auto"/>
              <w:rPr>
                <w:rFonts w:ascii="Arial" w:eastAsia="Times New Roman" w:hAnsi="Arial" w:cs="Arial"/>
                <w:color w:val="000000"/>
                <w:lang w:eastAsia="en-GB"/>
              </w:rPr>
            </w:pPr>
            <w:r>
              <w:rPr>
                <w:rFonts w:ascii="Arial" w:eastAsia="Times New Roman" w:hAnsi="Arial" w:cs="Arial"/>
                <w:color w:val="000000"/>
                <w:lang w:eastAsia="en-GB"/>
              </w:rPr>
              <w:t>Median =</w:t>
            </w:r>
          </w:p>
        </w:tc>
        <w:tc>
          <w:tcPr>
            <w:tcW w:w="1200" w:type="dxa"/>
            <w:shd w:val="clear" w:color="auto" w:fill="auto"/>
            <w:noWrap/>
            <w:vAlign w:val="bottom"/>
          </w:tcPr>
          <w:p w14:paraId="3C39BC15" w14:textId="77777777" w:rsidR="00F23E01" w:rsidRPr="00851192" w:rsidRDefault="00F23E01" w:rsidP="00DE3E33">
            <w:pPr>
              <w:spacing w:after="0" w:line="240" w:lineRule="auto"/>
              <w:rPr>
                <w:rFonts w:ascii="Arial" w:eastAsia="Times New Roman" w:hAnsi="Arial" w:cs="Arial"/>
                <w:color w:val="000000"/>
                <w:lang w:eastAsia="en-GB"/>
              </w:rPr>
            </w:pPr>
          </w:p>
        </w:tc>
        <w:tc>
          <w:tcPr>
            <w:tcW w:w="1900" w:type="dxa"/>
            <w:shd w:val="clear" w:color="auto" w:fill="auto"/>
            <w:noWrap/>
            <w:vAlign w:val="bottom"/>
          </w:tcPr>
          <w:p w14:paraId="0DF14D32" w14:textId="7D0089DA" w:rsidR="00F23E01" w:rsidRPr="00851192" w:rsidRDefault="00F23E01" w:rsidP="00DE3E33">
            <w:pPr>
              <w:spacing w:after="0" w:line="240" w:lineRule="auto"/>
              <w:jc w:val="right"/>
              <w:rPr>
                <w:rFonts w:ascii="Arial" w:eastAsia="Times New Roman" w:hAnsi="Arial" w:cs="Arial"/>
                <w:color w:val="000000"/>
                <w:lang w:eastAsia="en-GB"/>
              </w:rPr>
            </w:pPr>
            <w:r>
              <w:rPr>
                <w:rFonts w:ascii="Arial" w:eastAsia="Times New Roman" w:hAnsi="Arial" w:cs="Arial"/>
                <w:color w:val="000000"/>
                <w:lang w:eastAsia="en-GB"/>
              </w:rPr>
              <w:t>N = 8.5</w:t>
            </w:r>
          </w:p>
        </w:tc>
      </w:tr>
    </w:tbl>
    <w:p w14:paraId="238AA156" w14:textId="77777777" w:rsidR="007725A2" w:rsidRPr="00851192" w:rsidRDefault="007725A2" w:rsidP="00DC58F0">
      <w:pPr>
        <w:rPr>
          <w:rFonts w:ascii="Arial" w:hAnsi="Arial" w:cs="Arial"/>
          <w:shd w:val="clear" w:color="auto" w:fill="FFFFFF"/>
        </w:rPr>
      </w:pPr>
    </w:p>
    <w:p w14:paraId="667ED74D" w14:textId="544574B9" w:rsidR="00985C7B" w:rsidRPr="00851192" w:rsidRDefault="00817CE9" w:rsidP="00E850BA">
      <w:pPr>
        <w:jc w:val="center"/>
        <w:rPr>
          <w:rFonts w:ascii="Arial" w:hAnsi="Arial" w:cs="Arial"/>
          <w:b/>
        </w:rPr>
      </w:pPr>
      <w:r w:rsidRPr="00851192">
        <w:rPr>
          <w:rFonts w:ascii="Arial" w:hAnsi="Arial" w:cs="Arial"/>
          <w:b/>
          <w:noProof/>
          <w:lang w:eastAsia="en-GB"/>
        </w:rPr>
        <mc:AlternateContent>
          <mc:Choice Requires="wps">
            <w:drawing>
              <wp:anchor distT="0" distB="0" distL="114300" distR="114300" simplePos="0" relativeHeight="251801600" behindDoc="0" locked="0" layoutInCell="1" allowOverlap="1" wp14:anchorId="079BB660" wp14:editId="48F3012C">
                <wp:simplePos x="0" y="0"/>
                <wp:positionH relativeFrom="column">
                  <wp:posOffset>2218944</wp:posOffset>
                </wp:positionH>
                <wp:positionV relativeFrom="paragraph">
                  <wp:posOffset>788543</wp:posOffset>
                </wp:positionV>
                <wp:extent cx="0" cy="1658112"/>
                <wp:effectExtent l="0" t="0" r="38100" b="37465"/>
                <wp:wrapNone/>
                <wp:docPr id="14" name="Straight Connector 14"/>
                <wp:cNvGraphicFramePr/>
                <a:graphic xmlns:a="http://schemas.openxmlformats.org/drawingml/2006/main">
                  <a:graphicData uri="http://schemas.microsoft.com/office/word/2010/wordprocessingShape">
                    <wps:wsp>
                      <wps:cNvCnPr/>
                      <wps:spPr>
                        <a:xfrm>
                          <a:off x="0" y="0"/>
                          <a:ext cx="0" cy="165811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line w14:anchorId="1FC31515" id="Straight Connector 14" o:spid="_x0000_s1026" style="position:absolute;z-index:251801600;visibility:visible;mso-wrap-style:square;mso-wrap-distance-left:9pt;mso-wrap-distance-top:0;mso-wrap-distance-right:9pt;mso-wrap-distance-bottom:0;mso-position-horizontal:absolute;mso-position-horizontal-relative:text;mso-position-vertical:absolute;mso-position-vertical-relative:text" from="174.7pt,62.1pt" to="174.7pt,192.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" strokecolor="#4472c4 [3204]" strokeweight=".5pt">
                <v:stroke joinstyle="miter"/>
              </v:line>
            </w:pict>
          </mc:Fallback>
        </mc:AlternateContent>
      </w:r>
      <w:r w:rsidR="00E850BA" w:rsidRPr="00851192">
        <w:rPr>
          <w:rFonts w:ascii="Arial" w:hAnsi="Arial" w:cs="Arial"/>
          <w:b/>
          <w:noProof/>
          <w:lang w:eastAsia="en-GB"/>
        </w:rPr>
        <mc:AlternateContent>
          <mc:Choice Requires="wps">
            <w:drawing>
              <wp:anchor distT="45720" distB="45720" distL="114300" distR="114300" simplePos="0" relativeHeight="251791360" behindDoc="0" locked="0" layoutInCell="1" allowOverlap="1" wp14:anchorId="16E97CA3" wp14:editId="649E76B1">
                <wp:simplePos x="0" y="0"/>
                <wp:positionH relativeFrom="column">
                  <wp:posOffset>4352925</wp:posOffset>
                </wp:positionH>
                <wp:positionV relativeFrom="paragraph">
                  <wp:posOffset>175895</wp:posOffset>
                </wp:positionV>
                <wp:extent cx="866775" cy="352425"/>
                <wp:effectExtent l="0" t="0" r="9525" b="9525"/>
                <wp:wrapNone/>
                <wp:docPr id="27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6775" cy="352425"/>
                        </a:xfrm>
                        <a:prstGeom prst="rect">
                          <a:avLst/>
                        </a:prstGeom>
                        <a:solidFill>
                          <a:srgbClr val="FFFFFF"/>
                        </a:solidFill>
                        <a:ln w="9525">
                          <a:noFill/>
                          <a:miter lim="800000"/>
                          <a:headEnd/>
                          <a:tailEnd/>
                        </a:ln>
                      </wps:spPr>
                      <wps:txbx>
                        <w:txbxContent>
                          <w:p w14:paraId="3FC76B80" w14:textId="1D97693D" w:rsidR="005B7C1E" w:rsidRDefault="005B7C1E">
                            <w:r>
                              <w:t>SD = 2.3838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16E97CA3" id="_x0000_s1030" type="#_x0000_t202" style="position:absolute;left:0;text-align:left;margin-left:342.75pt;margin-top:13.85pt;width:68.25pt;height:27.75pt;z-index:251791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" stroked="f">
                <v:textbox>
                  <w:txbxContent>
                    <w:p w14:paraId="3FC76B80" w14:textId="1D97693D" w:rsidR="005B7C1E" w:rsidRDefault="005B7C1E">
                      <w:r>
                        <w:t>SD = 2.3838</w:t>
                      </w:r>
                    </w:p>
                  </w:txbxContent>
                </v:textbox>
              </v:shape>
            </w:pict>
          </mc:Fallback>
        </mc:AlternateContent>
      </w:r>
      <w:r w:rsidR="00E850BA" w:rsidRPr="00851192">
        <w:rPr>
          <w:rFonts w:ascii="Arial" w:hAnsi="Arial" w:cs="Arial"/>
          <w:noProof/>
          <w:lang w:eastAsia="en-GB"/>
        </w:rPr>
        <w:drawing>
          <wp:inline distT="0" distB="0" distL="0" distR="0" wp14:anchorId="74B3F26F" wp14:editId="6FC0709A">
            <wp:extent cx="4933950" cy="2743200"/>
            <wp:effectExtent l="0" t="0" r="0" b="0"/>
            <wp:docPr id="272" name="Chart 272">
              <a:extLst xmlns:a="http://schemas.openxmlformats.org/drawingml/2006/main">
                <a:ext uri="{FF2B5EF4-FFF2-40B4-BE49-F238E27FC236}">
                  <a16:creationId xmlns:a16="http://schemas.microsoft.com/office/drawing/2014/main" id="{25F3C865-72AA-4B93-A010-77054CA59F2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5"/>
              </a:graphicData>
            </a:graphic>
          </wp:inline>
        </w:drawing>
      </w:r>
    </w:p>
    <w:p w14:paraId="2992762F" w14:textId="1D304084" w:rsidR="00985C7B" w:rsidRPr="00851192" w:rsidRDefault="00985C7B" w:rsidP="00DC58F0">
      <w:pPr>
        <w:rPr>
          <w:rFonts w:ascii="Arial" w:hAnsi="Arial" w:cs="Arial"/>
          <w:b/>
        </w:rPr>
      </w:pPr>
    </w:p>
    <w:p w14:paraId="6F41FC4E" w14:textId="5C95C270" w:rsidR="00985C7B" w:rsidRPr="00851192" w:rsidRDefault="0036425A" w:rsidP="0058378E">
      <w:pPr>
        <w:spacing w:line="360" w:lineRule="auto"/>
        <w:jc w:val="both"/>
        <w:rPr>
          <w:rFonts w:ascii="Arial" w:hAnsi="Arial" w:cs="Arial"/>
        </w:rPr>
      </w:pPr>
      <w:r w:rsidRPr="00851192">
        <w:rPr>
          <w:rFonts w:ascii="Arial" w:hAnsi="Arial" w:cs="Arial"/>
        </w:rPr>
        <w:t xml:space="preserve">The findings from </w:t>
      </w:r>
      <w:r w:rsidR="00AF5FA5" w:rsidRPr="00851192">
        <w:rPr>
          <w:rFonts w:ascii="Arial" w:hAnsi="Arial" w:cs="Arial"/>
        </w:rPr>
        <w:t>this section of the survey</w:t>
      </w:r>
      <w:r w:rsidRPr="00851192">
        <w:rPr>
          <w:rFonts w:ascii="Arial" w:hAnsi="Arial" w:cs="Arial"/>
        </w:rPr>
        <w:t xml:space="preserve"> illustrate </w:t>
      </w:r>
      <w:r w:rsidR="00AF5FA5" w:rsidRPr="00851192">
        <w:rPr>
          <w:rFonts w:ascii="Arial" w:hAnsi="Arial" w:cs="Arial"/>
        </w:rPr>
        <w:t>the relationships amongst participants</w:t>
      </w:r>
      <w:r w:rsidRPr="00851192">
        <w:rPr>
          <w:rFonts w:ascii="Arial" w:hAnsi="Arial" w:cs="Arial"/>
        </w:rPr>
        <w:t xml:space="preserve"> with those found </w:t>
      </w:r>
      <w:r w:rsidR="00AF5FA5" w:rsidRPr="00851192">
        <w:rPr>
          <w:rFonts w:ascii="Arial" w:hAnsi="Arial" w:cs="Arial"/>
        </w:rPr>
        <w:t>in</w:t>
      </w:r>
      <w:r w:rsidRPr="00851192">
        <w:rPr>
          <w:rFonts w:ascii="Arial" w:hAnsi="Arial" w:cs="Arial"/>
        </w:rPr>
        <w:t xml:space="preserve"> question eight with a positive linear relationship between PG statements, and consumer perception on PG values held by GGO’s. </w:t>
      </w:r>
      <w:r w:rsidR="007316F8" w:rsidRPr="00851192">
        <w:rPr>
          <w:rFonts w:ascii="Arial" w:hAnsi="Arial" w:cs="Arial"/>
        </w:rPr>
        <w:t xml:space="preserve">This further reinforces that Goffman’s </w:t>
      </w:r>
      <w:r w:rsidR="007316F8" w:rsidRPr="00851192">
        <w:rPr>
          <w:rFonts w:ascii="Arial" w:hAnsi="Arial" w:cs="Arial"/>
        </w:rPr>
        <w:lastRenderedPageBreak/>
        <w:t>(1959) theory on front and back stage behaviour is being adopted by GGO’s and that consumers believe that greater measures should be taken by GGO’s. Through the evaluation participants</w:t>
      </w:r>
      <w:r w:rsidRPr="00851192">
        <w:rPr>
          <w:rFonts w:ascii="Arial" w:hAnsi="Arial" w:cs="Arial"/>
        </w:rPr>
        <w:t xml:space="preserve"> </w:t>
      </w:r>
      <w:r w:rsidR="007316F8" w:rsidRPr="00851192">
        <w:rPr>
          <w:rFonts w:ascii="Arial" w:hAnsi="Arial" w:cs="Arial"/>
        </w:rPr>
        <w:t xml:space="preserve">have made on provided statements, it is evidential that consumers do not believe that GGO’s are good corporate </w:t>
      </w:r>
      <w:r w:rsidR="00AF5FA5" w:rsidRPr="00851192">
        <w:rPr>
          <w:rFonts w:ascii="Arial" w:hAnsi="Arial" w:cs="Arial"/>
        </w:rPr>
        <w:t>citizens in</w:t>
      </w:r>
      <w:r w:rsidR="007316F8" w:rsidRPr="00851192">
        <w:rPr>
          <w:rFonts w:ascii="Arial" w:hAnsi="Arial" w:cs="Arial"/>
        </w:rPr>
        <w:t xml:space="preserve"> despite of GGO’s </w:t>
      </w:r>
      <w:r w:rsidR="0097405C" w:rsidRPr="00851192">
        <w:rPr>
          <w:rFonts w:ascii="Arial" w:hAnsi="Arial" w:cs="Arial"/>
        </w:rPr>
        <w:t>annual reports</w:t>
      </w:r>
      <w:r w:rsidR="007316F8" w:rsidRPr="00851192">
        <w:rPr>
          <w:rFonts w:ascii="Arial" w:hAnsi="Arial" w:cs="Arial"/>
        </w:rPr>
        <w:t xml:space="preserve">. </w:t>
      </w:r>
      <w:r w:rsidR="00796A4F" w:rsidRPr="00851192">
        <w:rPr>
          <w:rFonts w:ascii="Arial" w:hAnsi="Arial" w:cs="Arial"/>
        </w:rPr>
        <w:t xml:space="preserve">Even so, a similar relationship and demonstrating of effective CSR communication methods </w:t>
      </w:r>
      <w:r w:rsidR="00796A4F" w:rsidRPr="00851192">
        <w:rPr>
          <w:rFonts w:ascii="Arial" w:hAnsi="Arial" w:cs="Arial"/>
          <w:noProof/>
        </w:rPr>
        <w:t>(Tata &amp; Prasad, 2015)</w:t>
      </w:r>
      <w:r w:rsidR="00796A4F" w:rsidRPr="00851192">
        <w:rPr>
          <w:rFonts w:ascii="Arial" w:hAnsi="Arial" w:cs="Arial"/>
        </w:rPr>
        <w:t xml:space="preserve"> and strong brand reputation and identity </w:t>
      </w:r>
      <w:r w:rsidR="00796A4F" w:rsidRPr="00851192">
        <w:rPr>
          <w:rFonts w:ascii="Arial" w:hAnsi="Arial" w:cs="Arial"/>
          <w:noProof/>
        </w:rPr>
        <w:t>(Argenti &amp; Druckermiller, 2002; Saeed &amp; Arshad, 2012)</w:t>
      </w:r>
      <w:r w:rsidR="00796A4F" w:rsidRPr="00851192">
        <w:rPr>
          <w:rFonts w:ascii="Arial" w:hAnsi="Arial" w:cs="Arial"/>
        </w:rPr>
        <w:t xml:space="preserve"> was identified in following statements which again questioned the value in CSR measures towards the psychological welfare of consumers, alongside the financial concerns associated with consumers by GGO’s. </w:t>
      </w:r>
      <w:r w:rsidR="0097405C" w:rsidRPr="00851192">
        <w:rPr>
          <w:rFonts w:ascii="Arial" w:hAnsi="Arial" w:cs="Arial"/>
        </w:rPr>
        <w:t>P</w:t>
      </w:r>
      <w:r w:rsidR="00440295" w:rsidRPr="00851192">
        <w:rPr>
          <w:rFonts w:ascii="Arial" w:hAnsi="Arial" w:cs="Arial"/>
        </w:rPr>
        <w:t>articipants</w:t>
      </w:r>
      <w:r w:rsidR="00796A4F" w:rsidRPr="00851192">
        <w:rPr>
          <w:rFonts w:ascii="Arial" w:hAnsi="Arial" w:cs="Arial"/>
        </w:rPr>
        <w:t xml:space="preserve"> within geographical locations such as Canada and United States responded positively towards GGO’s, showing little incongruence between consumer perception and brand identity. However, 87.6% of participants disagreed with the psychological welfare statement, alongside a greater 93.4% of participants disagreeing that GGO’s have financial concerns over consumers. </w:t>
      </w:r>
    </w:p>
    <w:p w14:paraId="505DC9C1" w14:textId="732B343A" w:rsidR="00F631BD" w:rsidRPr="00851192" w:rsidRDefault="0058378E" w:rsidP="0058378E">
      <w:pPr>
        <w:jc w:val="center"/>
        <w:rPr>
          <w:rFonts w:ascii="Arial" w:hAnsi="Arial" w:cs="Arial"/>
          <w:sz w:val="28"/>
          <w:shd w:val="clear" w:color="auto" w:fill="FFFFFF"/>
        </w:rPr>
      </w:pPr>
      <w:r w:rsidRPr="00851192">
        <w:rPr>
          <w:rFonts w:ascii="Arial" w:hAnsi="Arial" w:cs="Arial"/>
          <w:b/>
          <w:sz w:val="28"/>
          <w:shd w:val="clear" w:color="auto" w:fill="FFFFFF"/>
        </w:rPr>
        <w:t>Figure 4.15</w:t>
      </w:r>
      <w:r w:rsidRPr="00851192">
        <w:rPr>
          <w:rFonts w:ascii="Arial" w:hAnsi="Arial" w:cs="Arial"/>
          <w:sz w:val="28"/>
          <w:shd w:val="clear" w:color="auto" w:fill="FFFFFF"/>
        </w:rPr>
        <w:t xml:space="preserve"> Question Ten</w:t>
      </w:r>
      <w:r w:rsidR="00573B1C" w:rsidRPr="00851192">
        <w:rPr>
          <w:rFonts w:ascii="Arial" w:hAnsi="Arial" w:cs="Arial"/>
          <w:sz w:val="28"/>
          <w:shd w:val="clear" w:color="auto" w:fill="FFFFFF"/>
        </w:rPr>
        <w:t xml:space="preserve"> Analysis</w:t>
      </w:r>
    </w:p>
    <w:p w14:paraId="024C4289" w14:textId="6DF5334F" w:rsidR="00985C7B" w:rsidRPr="00851192" w:rsidRDefault="00AF5FA5" w:rsidP="00DC58F0">
      <w:pPr>
        <w:rPr>
          <w:rFonts w:ascii="Arial" w:hAnsi="Arial" w:cs="Arial"/>
          <w:b/>
        </w:rPr>
      </w:pPr>
      <w:r w:rsidRPr="00851192">
        <w:rPr>
          <w:rFonts w:ascii="Arial" w:hAnsi="Arial" w:cs="Arial"/>
          <w:noProof/>
          <w:lang w:eastAsia="en-GB"/>
        </w:rPr>
        <mc:AlternateContent>
          <mc:Choice Requires="wps">
            <w:drawing>
              <wp:anchor distT="45720" distB="45720" distL="114300" distR="114300" simplePos="0" relativeHeight="251753472" behindDoc="0" locked="0" layoutInCell="1" allowOverlap="1" wp14:anchorId="05F61803" wp14:editId="62647465">
                <wp:simplePos x="0" y="0"/>
                <wp:positionH relativeFrom="margin">
                  <wp:posOffset>3438525</wp:posOffset>
                </wp:positionH>
                <wp:positionV relativeFrom="paragraph">
                  <wp:posOffset>1743710</wp:posOffset>
                </wp:positionV>
                <wp:extent cx="1186815" cy="1428750"/>
                <wp:effectExtent l="0" t="0" r="0" b="0"/>
                <wp:wrapSquare wrapText="bothSides"/>
                <wp:docPr id="2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86815" cy="1428750"/>
                        </a:xfrm>
                        <a:prstGeom prst="rect">
                          <a:avLst/>
                        </a:prstGeom>
                        <a:solidFill>
                          <a:srgbClr val="FFFFFF"/>
                        </a:solidFill>
                        <a:ln w="9525">
                          <a:noFill/>
                          <a:miter lim="800000"/>
                          <a:headEnd/>
                          <a:tailEnd/>
                        </a:ln>
                      </wps:spPr>
                      <wps:txbx>
                        <w:txbxContent>
                          <w:p w14:paraId="7BFB5374" w14:textId="52FCB413" w:rsidR="005B7C1E" w:rsidRPr="00903EBA" w:rsidRDefault="005B7C1E" w:rsidP="00F631BD">
                            <w:pPr>
                              <w:jc w:val="center"/>
                              <w:rPr>
                                <w:sz w:val="20"/>
                              </w:rPr>
                            </w:pPr>
                            <w:r>
                              <w:rPr>
                                <w:sz w:val="20"/>
                              </w:rPr>
                              <w:t>4</w:t>
                            </w:r>
                            <w:r>
                              <w:rPr>
                                <w:sz w:val="20"/>
                              </w:rPr>
                              <w:br/>
                            </w:r>
                            <w:r w:rsidRPr="00F631BD">
                              <w:rPr>
                                <w:sz w:val="20"/>
                              </w:rPr>
                              <w:t>Global gambling operators see responsible gambling campaigns as a disruption to their business model.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05F61803" id="_x0000_s1031" type="#_x0000_t202" style="position:absolute;margin-left:270.75pt;margin-top:137.3pt;width:93.45pt;height:112.5pt;z-index:2517534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" stroked="f">
                <v:textbox>
                  <w:txbxContent>
                    <w:p w14:paraId="7BFB5374" w14:textId="52FCB413" w:rsidR="005B7C1E" w:rsidRPr="00903EBA" w:rsidRDefault="005B7C1E" w:rsidP="00F631BD">
                      <w:pPr>
                        <w:jc w:val="center"/>
                        <w:rPr>
                          <w:sz w:val="20"/>
                        </w:rPr>
                      </w:pPr>
                      <w:r>
                        <w:rPr>
                          <w:sz w:val="20"/>
                        </w:rPr>
                        <w:t>4</w:t>
                      </w:r>
                      <w:r>
                        <w:rPr>
                          <w:sz w:val="20"/>
                        </w:rPr>
                        <w:br/>
                      </w:r>
                      <w:r w:rsidRPr="00F631BD">
                        <w:rPr>
                          <w:sz w:val="20"/>
                        </w:rPr>
                        <w:t>Global gambling operators see responsible gambling campaigns as a disruption to their business model.</w:t>
                      </w:r>
                    </w:p>
                  </w:txbxContent>
                </v:textbox>
                <w10:wrap type="square" anchorx="margin"/>
              </v:shape>
            </w:pict>
          </mc:Fallback>
        </mc:AlternateContent>
      </w:r>
      <w:r w:rsidRPr="00851192">
        <w:rPr>
          <w:rFonts w:ascii="Arial" w:hAnsi="Arial" w:cs="Arial"/>
          <w:noProof/>
          <w:lang w:eastAsia="en-GB"/>
        </w:rPr>
        <mc:AlternateContent>
          <mc:Choice Requires="wps">
            <w:drawing>
              <wp:anchor distT="45720" distB="45720" distL="114300" distR="114300" simplePos="0" relativeHeight="251755520" behindDoc="0" locked="0" layoutInCell="1" allowOverlap="1" wp14:anchorId="750CD6D9" wp14:editId="6FFEBC58">
                <wp:simplePos x="0" y="0"/>
                <wp:positionH relativeFrom="margin">
                  <wp:align>right</wp:align>
                </wp:positionH>
                <wp:positionV relativeFrom="paragraph">
                  <wp:posOffset>1743075</wp:posOffset>
                </wp:positionV>
                <wp:extent cx="1186815" cy="2105025"/>
                <wp:effectExtent l="0" t="0" r="0" b="9525"/>
                <wp:wrapSquare wrapText="bothSides"/>
                <wp:docPr id="2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86815" cy="2105025"/>
                        </a:xfrm>
                        <a:prstGeom prst="rect">
                          <a:avLst/>
                        </a:prstGeom>
                        <a:solidFill>
                          <a:srgbClr val="FFFFFF"/>
                        </a:solidFill>
                        <a:ln w="9525">
                          <a:noFill/>
                          <a:miter lim="800000"/>
                          <a:headEnd/>
                          <a:tailEnd/>
                        </a:ln>
                      </wps:spPr>
                      <wps:txbx>
                        <w:txbxContent>
                          <w:p w14:paraId="3DADCA86" w14:textId="4AC6FAFD" w:rsidR="005B7C1E" w:rsidRPr="00903EBA" w:rsidRDefault="005B7C1E" w:rsidP="00F631BD">
                            <w:pPr>
                              <w:jc w:val="center"/>
                              <w:rPr>
                                <w:sz w:val="20"/>
                              </w:rPr>
                            </w:pPr>
                            <w:r>
                              <w:rPr>
                                <w:sz w:val="20"/>
                              </w:rPr>
                              <w:t>5</w:t>
                            </w:r>
                            <w:r>
                              <w:rPr>
                                <w:sz w:val="20"/>
                              </w:rPr>
                              <w:br/>
                            </w:r>
                            <w:r w:rsidRPr="00F631BD">
                              <w:rPr>
                                <w:sz w:val="20"/>
                              </w:rPr>
                              <w:t>Global gambling operator’s commitment to responsible gambling campaigns is just a window dressing attempt and all that they truly value is financial gain.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750CD6D9" id="_x0000_s1032" type="#_x0000_t202" style="position:absolute;margin-left:42.25pt;margin-top:137.25pt;width:93.45pt;height:165.75pt;z-index:25175552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" stroked="f">
                <v:textbox>
                  <w:txbxContent>
                    <w:p w14:paraId="3DADCA86" w14:textId="4AC6FAFD" w:rsidR="005B7C1E" w:rsidRPr="00903EBA" w:rsidRDefault="005B7C1E" w:rsidP="00F631BD">
                      <w:pPr>
                        <w:jc w:val="center"/>
                        <w:rPr>
                          <w:sz w:val="20"/>
                        </w:rPr>
                      </w:pPr>
                      <w:r>
                        <w:rPr>
                          <w:sz w:val="20"/>
                        </w:rPr>
                        <w:t>5</w:t>
                      </w:r>
                      <w:r>
                        <w:rPr>
                          <w:sz w:val="20"/>
                        </w:rPr>
                        <w:br/>
                      </w:r>
                      <w:r w:rsidRPr="00F631BD">
                        <w:rPr>
                          <w:sz w:val="20"/>
                        </w:rPr>
                        <w:t>Global gambling operator’s commitment to responsible gambling campaigns is just a window dressing attempt and all that they truly value is financial gain.</w:t>
                      </w:r>
                    </w:p>
                  </w:txbxContent>
                </v:textbox>
                <w10:wrap type="square" anchorx="margin"/>
              </v:shape>
            </w:pict>
          </mc:Fallback>
        </mc:AlternateContent>
      </w:r>
      <w:r w:rsidR="0036425A" w:rsidRPr="00851192">
        <w:rPr>
          <w:rFonts w:ascii="Arial" w:hAnsi="Arial" w:cs="Arial"/>
          <w:noProof/>
          <w:lang w:eastAsia="en-GB"/>
        </w:rPr>
        <mc:AlternateContent>
          <mc:Choice Requires="wps">
            <w:drawing>
              <wp:anchor distT="45720" distB="45720" distL="114300" distR="114300" simplePos="0" relativeHeight="251749376" behindDoc="0" locked="0" layoutInCell="1" allowOverlap="1" wp14:anchorId="482FFF3D" wp14:editId="29AC6F8B">
                <wp:simplePos x="0" y="0"/>
                <wp:positionH relativeFrom="margin">
                  <wp:posOffset>1339215</wp:posOffset>
                </wp:positionH>
                <wp:positionV relativeFrom="paragraph">
                  <wp:posOffset>1735455</wp:posOffset>
                </wp:positionV>
                <wp:extent cx="1186815" cy="1214120"/>
                <wp:effectExtent l="0" t="0" r="0" b="5080"/>
                <wp:wrapSquare wrapText="bothSides"/>
                <wp:docPr id="2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86815" cy="1214120"/>
                        </a:xfrm>
                        <a:prstGeom prst="rect">
                          <a:avLst/>
                        </a:prstGeom>
                        <a:solidFill>
                          <a:srgbClr val="FFFFFF"/>
                        </a:solidFill>
                        <a:ln w="9525">
                          <a:noFill/>
                          <a:miter lim="800000"/>
                          <a:headEnd/>
                          <a:tailEnd/>
                        </a:ln>
                      </wps:spPr>
                      <wps:txbx>
                        <w:txbxContent>
                          <w:p w14:paraId="5435951C" w14:textId="60822A05" w:rsidR="005B7C1E" w:rsidRPr="00903EBA" w:rsidRDefault="005B7C1E" w:rsidP="00F631BD">
                            <w:pPr>
                              <w:jc w:val="center"/>
                              <w:rPr>
                                <w:sz w:val="20"/>
                              </w:rPr>
                            </w:pPr>
                            <w:r>
                              <w:rPr>
                                <w:sz w:val="20"/>
                              </w:rPr>
                              <w:t>2</w:t>
                            </w:r>
                            <w:r>
                              <w:rPr>
                                <w:sz w:val="20"/>
                              </w:rPr>
                              <w:br/>
                            </w:r>
                            <w:r w:rsidRPr="00F631BD">
                              <w:rPr>
                                <w:sz w:val="20"/>
                              </w:rPr>
                              <w:t>Global gambling operators have financial concerns with problem gamblers.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482FFF3D" id="_x0000_s1033" type="#_x0000_t202" style="position:absolute;margin-left:105.45pt;margin-top:136.65pt;width:93.45pt;height:95.6pt;z-index:2517493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" stroked="f">
                <v:textbox>
                  <w:txbxContent>
                    <w:p w14:paraId="5435951C" w14:textId="60822A05" w:rsidR="005B7C1E" w:rsidRPr="00903EBA" w:rsidRDefault="005B7C1E" w:rsidP="00F631BD">
                      <w:pPr>
                        <w:jc w:val="center"/>
                        <w:rPr>
                          <w:sz w:val="20"/>
                        </w:rPr>
                      </w:pPr>
                      <w:r>
                        <w:rPr>
                          <w:sz w:val="20"/>
                        </w:rPr>
                        <w:t>2</w:t>
                      </w:r>
                      <w:r>
                        <w:rPr>
                          <w:sz w:val="20"/>
                        </w:rPr>
                        <w:br/>
                      </w:r>
                      <w:r w:rsidRPr="00F631BD">
                        <w:rPr>
                          <w:sz w:val="20"/>
                        </w:rPr>
                        <w:t>Global gambling operators have financial concerns with problem gamblers.</w:t>
                      </w:r>
                    </w:p>
                  </w:txbxContent>
                </v:textbox>
                <w10:wrap type="square" anchorx="margin"/>
              </v:shape>
            </w:pict>
          </mc:Fallback>
        </mc:AlternateContent>
      </w:r>
      <w:r w:rsidR="0036425A" w:rsidRPr="00851192">
        <w:rPr>
          <w:rFonts w:ascii="Arial" w:hAnsi="Arial" w:cs="Arial"/>
          <w:noProof/>
          <w:lang w:eastAsia="en-GB"/>
        </w:rPr>
        <mc:AlternateContent>
          <mc:Choice Requires="wps">
            <w:drawing>
              <wp:anchor distT="45720" distB="45720" distL="114300" distR="114300" simplePos="0" relativeHeight="251751424" behindDoc="0" locked="0" layoutInCell="1" allowOverlap="1" wp14:anchorId="05756F8B" wp14:editId="7D6858D4">
                <wp:simplePos x="0" y="0"/>
                <wp:positionH relativeFrom="margin">
                  <wp:posOffset>2371725</wp:posOffset>
                </wp:positionH>
                <wp:positionV relativeFrom="paragraph">
                  <wp:posOffset>1731010</wp:posOffset>
                </wp:positionV>
                <wp:extent cx="1104900" cy="1214120"/>
                <wp:effectExtent l="0" t="0" r="0" b="5080"/>
                <wp:wrapSquare wrapText="bothSides"/>
                <wp:docPr id="2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04900" cy="1214120"/>
                        </a:xfrm>
                        <a:prstGeom prst="rect">
                          <a:avLst/>
                        </a:prstGeom>
                        <a:solidFill>
                          <a:srgbClr val="FFFFFF"/>
                        </a:solidFill>
                        <a:ln w="9525">
                          <a:noFill/>
                          <a:miter lim="800000"/>
                          <a:headEnd/>
                          <a:tailEnd/>
                        </a:ln>
                      </wps:spPr>
                      <wps:txbx>
                        <w:txbxContent>
                          <w:p w14:paraId="02C5870C" w14:textId="29CAC4A7" w:rsidR="005B7C1E" w:rsidRPr="00903EBA" w:rsidRDefault="005B7C1E" w:rsidP="00F631BD">
                            <w:pPr>
                              <w:jc w:val="center"/>
                              <w:rPr>
                                <w:sz w:val="20"/>
                              </w:rPr>
                            </w:pPr>
                            <w:r>
                              <w:rPr>
                                <w:sz w:val="20"/>
                              </w:rPr>
                              <w:t>3</w:t>
                            </w:r>
                            <w:r>
                              <w:rPr>
                                <w:sz w:val="20"/>
                              </w:rPr>
                              <w:br/>
                            </w:r>
                            <w:r w:rsidRPr="00F631BD">
                              <w:rPr>
                                <w:sz w:val="20"/>
                              </w:rPr>
                              <w:t>Global gambling operators could do more to help problem gambling.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05756F8B" id="_x0000_s1034" type="#_x0000_t202" style="position:absolute;margin-left:186.75pt;margin-top:136.3pt;width:87pt;height:95.6pt;z-index:2517514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" stroked="f">
                <v:textbox>
                  <w:txbxContent>
                    <w:p w14:paraId="02C5870C" w14:textId="29CAC4A7" w:rsidR="005B7C1E" w:rsidRPr="00903EBA" w:rsidRDefault="005B7C1E" w:rsidP="00F631BD">
                      <w:pPr>
                        <w:jc w:val="center"/>
                        <w:rPr>
                          <w:sz w:val="20"/>
                        </w:rPr>
                      </w:pPr>
                      <w:r>
                        <w:rPr>
                          <w:sz w:val="20"/>
                        </w:rPr>
                        <w:t>3</w:t>
                      </w:r>
                      <w:r>
                        <w:rPr>
                          <w:sz w:val="20"/>
                        </w:rPr>
                        <w:br/>
                      </w:r>
                      <w:r w:rsidRPr="00F631BD">
                        <w:rPr>
                          <w:sz w:val="20"/>
                        </w:rPr>
                        <w:t>Global gambling operators could do more to help problem gambling.</w:t>
                      </w:r>
                    </w:p>
                  </w:txbxContent>
                </v:textbox>
                <w10:wrap type="square" anchorx="margin"/>
              </v:shape>
            </w:pict>
          </mc:Fallback>
        </mc:AlternateContent>
      </w:r>
      <w:r w:rsidR="00F631BD" w:rsidRPr="00851192">
        <w:rPr>
          <w:rFonts w:ascii="Arial" w:hAnsi="Arial" w:cs="Arial"/>
          <w:noProof/>
          <w:lang w:eastAsia="en-GB"/>
        </w:rPr>
        <mc:AlternateContent>
          <mc:Choice Requires="wps">
            <w:drawing>
              <wp:anchor distT="45720" distB="45720" distL="114300" distR="114300" simplePos="0" relativeHeight="251747328" behindDoc="0" locked="0" layoutInCell="1" allowOverlap="1" wp14:anchorId="072F6C89" wp14:editId="1E91D3C1">
                <wp:simplePos x="0" y="0"/>
                <wp:positionH relativeFrom="margin">
                  <wp:posOffset>259080</wp:posOffset>
                </wp:positionH>
                <wp:positionV relativeFrom="paragraph">
                  <wp:posOffset>1731332</wp:posOffset>
                </wp:positionV>
                <wp:extent cx="1186815" cy="1214120"/>
                <wp:effectExtent l="0" t="0" r="0" b="5080"/>
                <wp:wrapSquare wrapText="bothSides"/>
                <wp:docPr id="2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86815" cy="1214120"/>
                        </a:xfrm>
                        <a:prstGeom prst="rect">
                          <a:avLst/>
                        </a:prstGeom>
                        <a:solidFill>
                          <a:srgbClr val="FFFFFF"/>
                        </a:solidFill>
                        <a:ln w="9525">
                          <a:noFill/>
                          <a:miter lim="800000"/>
                          <a:headEnd/>
                          <a:tailEnd/>
                        </a:ln>
                      </wps:spPr>
                      <wps:txbx>
                        <w:txbxContent>
                          <w:p w14:paraId="2EF87BD0" w14:textId="412EB768" w:rsidR="005B7C1E" w:rsidRPr="00903EBA" w:rsidRDefault="005B7C1E" w:rsidP="00F631BD">
                            <w:pPr>
                              <w:jc w:val="center"/>
                              <w:rPr>
                                <w:sz w:val="20"/>
                              </w:rPr>
                            </w:pPr>
                            <w:r>
                              <w:rPr>
                                <w:sz w:val="20"/>
                              </w:rPr>
                              <w:t>1</w:t>
                            </w:r>
                            <w:r>
                              <w:rPr>
                                <w:sz w:val="20"/>
                              </w:rPr>
                              <w:br/>
                            </w:r>
                            <w:r w:rsidRPr="00F631BD">
                              <w:rPr>
                                <w:sz w:val="20"/>
                              </w:rPr>
                              <w:t>Global gambling operators value the psychological welfare of consumers</w:t>
                            </w:r>
                            <w:r>
                              <w:rPr>
                                <w:sz w:val="2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072F6C89" id="_x0000_s1035" type="#_x0000_t202" style="position:absolute;margin-left:20.4pt;margin-top:136.35pt;width:93.45pt;height:95.6pt;z-index:2517473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" stroked="f">
                <v:textbox>
                  <w:txbxContent>
                    <w:p w14:paraId="2EF87BD0" w14:textId="412EB768" w:rsidR="005B7C1E" w:rsidRPr="00903EBA" w:rsidRDefault="005B7C1E" w:rsidP="00F631BD">
                      <w:pPr>
                        <w:jc w:val="center"/>
                        <w:rPr>
                          <w:sz w:val="20"/>
                        </w:rPr>
                      </w:pPr>
                      <w:r>
                        <w:rPr>
                          <w:sz w:val="20"/>
                        </w:rPr>
                        <w:t>1</w:t>
                      </w:r>
                      <w:r>
                        <w:rPr>
                          <w:sz w:val="20"/>
                        </w:rPr>
                        <w:br/>
                      </w:r>
                      <w:r w:rsidRPr="00F631BD">
                        <w:rPr>
                          <w:sz w:val="20"/>
                        </w:rPr>
                        <w:t>Global gambling operators value the psychological welfare of consumers</w:t>
                      </w:r>
                      <w:r>
                        <w:rPr>
                          <w:sz w:val="20"/>
                        </w:rPr>
                        <w:t>.</w:t>
                      </w:r>
                    </w:p>
                  </w:txbxContent>
                </v:textbox>
                <w10:wrap type="square" anchorx="margin"/>
              </v:shape>
            </w:pict>
          </mc:Fallback>
        </mc:AlternateContent>
      </w:r>
      <w:r w:rsidR="00985C7B" w:rsidRPr="00851192">
        <w:rPr>
          <w:rFonts w:ascii="Arial" w:hAnsi="Arial" w:cs="Arial"/>
          <w:b/>
          <w:noProof/>
          <w:lang w:eastAsia="en-GB"/>
        </w:rPr>
        <w:drawing>
          <wp:inline distT="0" distB="0" distL="0" distR="0" wp14:anchorId="66FDE3F9" wp14:editId="6C923E48">
            <wp:extent cx="5731510" cy="1681480"/>
            <wp:effectExtent l="0" t="0" r="2540" b="0"/>
            <wp:docPr id="228" name="Picture 2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 name="Q10.JPG"/>
                    <pic:cNvPicPr/>
                  </pic:nvPicPr>
                  <pic:blipFill>
                    <a:blip r:embed="rId46">
                      <a:extLst>
                        <a:ext uri="{28A0092B-C50C-407E-A947-70E740481C1C}">
                          <a14:useLocalDpi xmlns:a14="http://schemas.microsoft.com/office/drawing/2010/main" val="0"/>
                        </a:ext>
                      </a:extLst>
                    </a:blip>
                    <a:stretch>
                      <a:fillRect/>
                    </a:stretch>
                  </pic:blipFill>
                  <pic:spPr>
                    <a:xfrm>
                      <a:off x="0" y="0"/>
                      <a:ext cx="5731510" cy="1681480"/>
                    </a:xfrm>
                    <a:prstGeom prst="rect">
                      <a:avLst/>
                    </a:prstGeom>
                  </pic:spPr>
                </pic:pic>
              </a:graphicData>
            </a:graphic>
          </wp:inline>
        </w:drawing>
      </w:r>
    </w:p>
    <w:p w14:paraId="0600508A" w14:textId="09CFD0B2" w:rsidR="00B003FF" w:rsidRPr="00851192" w:rsidRDefault="00B003FF" w:rsidP="00DC58F0">
      <w:pPr>
        <w:rPr>
          <w:rFonts w:ascii="Arial" w:hAnsi="Arial" w:cs="Arial"/>
        </w:rPr>
      </w:pPr>
    </w:p>
    <w:p w14:paraId="7DF69E07" w14:textId="3B5DBD4E" w:rsidR="00F631BD" w:rsidRPr="00851192" w:rsidRDefault="00F631BD" w:rsidP="00DC58F0">
      <w:pPr>
        <w:rPr>
          <w:rFonts w:ascii="Arial" w:hAnsi="Arial" w:cs="Arial"/>
        </w:rPr>
      </w:pPr>
    </w:p>
    <w:p w14:paraId="4012F270" w14:textId="00CD8FC7" w:rsidR="0036425A" w:rsidRPr="00851192" w:rsidRDefault="00AF5FA5" w:rsidP="00DC58F0">
      <w:pPr>
        <w:rPr>
          <w:rFonts w:ascii="Arial" w:hAnsi="Arial" w:cs="Arial"/>
        </w:rPr>
      </w:pPr>
      <w:r w:rsidRPr="00851192">
        <w:rPr>
          <w:rFonts w:ascii="Arial" w:hAnsi="Arial" w:cs="Arial"/>
          <w:noProof/>
          <w:lang w:eastAsia="en-GB"/>
        </w:rPr>
        <w:lastRenderedPageBreak/>
        <w:drawing>
          <wp:anchor distT="0" distB="0" distL="114300" distR="114300" simplePos="0" relativeHeight="251793408" behindDoc="0" locked="0" layoutInCell="1" allowOverlap="1" wp14:anchorId="3FACFD5A" wp14:editId="170F9B28">
            <wp:simplePos x="0" y="0"/>
            <wp:positionH relativeFrom="column">
              <wp:posOffset>247650</wp:posOffset>
            </wp:positionH>
            <wp:positionV relativeFrom="paragraph">
              <wp:posOffset>297180</wp:posOffset>
            </wp:positionV>
            <wp:extent cx="2886075" cy="1666875"/>
            <wp:effectExtent l="0" t="0" r="9525" b="9525"/>
            <wp:wrapTopAndBottom/>
            <wp:docPr id="277" name="Chart 277">
              <a:extLst xmlns:a="http://schemas.openxmlformats.org/drawingml/2006/main">
                <a:ext uri="{FF2B5EF4-FFF2-40B4-BE49-F238E27FC236}">
                  <a16:creationId xmlns:a16="http://schemas.microsoft.com/office/drawing/2014/main" id="{E34BF616-3022-41B7-97A5-A31087EF415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7"/>
              </a:graphicData>
            </a:graphic>
          </wp:anchor>
        </w:drawing>
      </w:r>
      <w:r w:rsidRPr="00851192">
        <w:rPr>
          <w:rFonts w:ascii="Arial" w:hAnsi="Arial" w:cs="Arial"/>
          <w:noProof/>
          <w:lang w:eastAsia="en-GB"/>
        </w:rPr>
        <w:drawing>
          <wp:anchor distT="0" distB="0" distL="114300" distR="114300" simplePos="0" relativeHeight="251792384" behindDoc="0" locked="0" layoutInCell="1" allowOverlap="1" wp14:anchorId="07EDB530" wp14:editId="0202563A">
            <wp:simplePos x="0" y="0"/>
            <wp:positionH relativeFrom="margin">
              <wp:posOffset>3190875</wp:posOffset>
            </wp:positionH>
            <wp:positionV relativeFrom="paragraph">
              <wp:posOffset>298450</wp:posOffset>
            </wp:positionV>
            <wp:extent cx="2895600" cy="1676400"/>
            <wp:effectExtent l="0" t="0" r="0" b="0"/>
            <wp:wrapTopAndBottom/>
            <wp:docPr id="278" name="Chart 278">
              <a:extLst xmlns:a="http://schemas.openxmlformats.org/drawingml/2006/main">
                <a:ext uri="{FF2B5EF4-FFF2-40B4-BE49-F238E27FC236}">
                  <a16:creationId xmlns:a16="http://schemas.microsoft.com/office/drawing/2014/main" id="{43738226-B4A8-46E2-A69B-A914360183C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8"/>
              </a:graphicData>
            </a:graphic>
            <wp14:sizeRelV relativeFrom="margin">
              <wp14:pctHeight>0</wp14:pctHeight>
            </wp14:sizeRelV>
          </wp:anchor>
        </w:drawing>
      </w:r>
    </w:p>
    <w:p w14:paraId="03DD34B7" w14:textId="77777777" w:rsidR="00440295" w:rsidRPr="00851192" w:rsidRDefault="00440295" w:rsidP="00440295">
      <w:pPr>
        <w:jc w:val="both"/>
        <w:rPr>
          <w:rFonts w:ascii="Arial" w:hAnsi="Arial" w:cs="Arial"/>
        </w:rPr>
      </w:pPr>
    </w:p>
    <w:p w14:paraId="201E34FA" w14:textId="61AE7941" w:rsidR="00F631BD" w:rsidRPr="00851192" w:rsidRDefault="00440295" w:rsidP="00B60FC8">
      <w:pPr>
        <w:spacing w:line="360" w:lineRule="auto"/>
        <w:jc w:val="both"/>
        <w:rPr>
          <w:rFonts w:ascii="Arial" w:hAnsi="Arial" w:cs="Arial"/>
        </w:rPr>
      </w:pPr>
      <w:r w:rsidRPr="00851192">
        <w:rPr>
          <w:rFonts w:ascii="Arial" w:hAnsi="Arial" w:cs="Arial"/>
        </w:rPr>
        <w:t>The findings illustrate a strong notion that PG is a great issue within UK society alongside having negative externalities across the globe. This has been identified through the relationships between correlation graphs amongst questions within the second part of the survey designed to identify incongruence. 97.5% of participants agreed that more could be done on PG by GGO’s and that the true value and effectiveness of CSR by GGO is absent. The perception by participants is that the industry is green washed by CSR communication and that CSR is a disruption to GGO’s business model. The findings</w:t>
      </w:r>
      <w:r w:rsidR="0097405C" w:rsidRPr="00851192">
        <w:rPr>
          <w:rFonts w:ascii="Arial" w:hAnsi="Arial" w:cs="Arial"/>
        </w:rPr>
        <w:t xml:space="preserve"> from the survey</w:t>
      </w:r>
      <w:r w:rsidRPr="00851192">
        <w:rPr>
          <w:rFonts w:ascii="Arial" w:hAnsi="Arial" w:cs="Arial"/>
        </w:rPr>
        <w:t xml:space="preserve"> suggest that GGO’s are good global citizens, however, GGO’s are recognised to challenge </w:t>
      </w:r>
      <w:r w:rsidRPr="00851192">
        <w:rPr>
          <w:rFonts w:ascii="Arial" w:hAnsi="Arial" w:cs="Arial"/>
          <w:noProof/>
        </w:rPr>
        <w:t>Turyakira et al., (2014); Freeman (1984); and Kotler and Lee (2005)</w:t>
      </w:r>
      <w:r w:rsidRPr="00851192">
        <w:rPr>
          <w:rFonts w:ascii="Arial" w:hAnsi="Arial" w:cs="Arial"/>
        </w:rPr>
        <w:t xml:space="preserve"> theory that being a good global citizen is the best method for obtaining financial performance. </w:t>
      </w:r>
    </w:p>
    <w:p w14:paraId="6518EEE4" w14:textId="049BB97A" w:rsidR="000D2DCA" w:rsidRPr="00851192" w:rsidRDefault="001A7D5E" w:rsidP="001A7D5E">
      <w:pPr>
        <w:pStyle w:val="Heading1"/>
        <w:rPr>
          <w:rFonts w:ascii="Arial" w:hAnsi="Arial" w:cs="Arial"/>
          <w:color w:val="auto"/>
        </w:rPr>
      </w:pPr>
      <w:bookmarkStart w:id="70" w:name="_Toc526434271"/>
      <w:r w:rsidRPr="00851192">
        <w:rPr>
          <w:rFonts w:ascii="Arial" w:hAnsi="Arial" w:cs="Arial"/>
          <w:color w:val="auto"/>
        </w:rPr>
        <w:t>4.1</w:t>
      </w:r>
      <w:r w:rsidR="00E30623" w:rsidRPr="00851192">
        <w:rPr>
          <w:rFonts w:ascii="Arial" w:hAnsi="Arial" w:cs="Arial"/>
          <w:color w:val="auto"/>
        </w:rPr>
        <w:t>0</w:t>
      </w:r>
      <w:r w:rsidRPr="00851192">
        <w:rPr>
          <w:rFonts w:ascii="Arial" w:hAnsi="Arial" w:cs="Arial"/>
          <w:color w:val="auto"/>
        </w:rPr>
        <w:t xml:space="preserve"> </w:t>
      </w:r>
      <w:r w:rsidR="0007464F" w:rsidRPr="00851192">
        <w:rPr>
          <w:rFonts w:ascii="Arial" w:hAnsi="Arial" w:cs="Arial"/>
          <w:color w:val="auto"/>
        </w:rPr>
        <w:t>Conclusion</w:t>
      </w:r>
      <w:bookmarkEnd w:id="70"/>
      <w:r w:rsidR="0007464F" w:rsidRPr="00851192">
        <w:rPr>
          <w:rFonts w:ascii="Arial" w:hAnsi="Arial" w:cs="Arial"/>
          <w:color w:val="auto"/>
        </w:rPr>
        <w:t xml:space="preserve"> </w:t>
      </w:r>
    </w:p>
    <w:p w14:paraId="4E1EADA5" w14:textId="51098D56" w:rsidR="007C2915" w:rsidRPr="00851192" w:rsidRDefault="0007464F" w:rsidP="00B60FC8">
      <w:pPr>
        <w:spacing w:line="360" w:lineRule="auto"/>
        <w:jc w:val="both"/>
        <w:rPr>
          <w:rFonts w:ascii="Arial" w:hAnsi="Arial" w:cs="Arial"/>
        </w:rPr>
      </w:pPr>
      <w:r w:rsidRPr="00851192">
        <w:rPr>
          <w:rFonts w:ascii="Arial" w:hAnsi="Arial" w:cs="Arial"/>
        </w:rPr>
        <w:t xml:space="preserve">Key themes have emerged between GGO’s annual reports and the designed CSR communication consumer survey. </w:t>
      </w:r>
      <w:r w:rsidR="007C2915" w:rsidRPr="00851192">
        <w:rPr>
          <w:rFonts w:ascii="Arial" w:hAnsi="Arial" w:cs="Arial"/>
        </w:rPr>
        <w:t>Through analysing both content analys</w:t>
      </w:r>
      <w:r w:rsidR="0097405C" w:rsidRPr="00851192">
        <w:rPr>
          <w:rFonts w:ascii="Arial" w:hAnsi="Arial" w:cs="Arial"/>
        </w:rPr>
        <w:t>e</w:t>
      </w:r>
      <w:r w:rsidR="007C2915" w:rsidRPr="00851192">
        <w:rPr>
          <w:rFonts w:ascii="Arial" w:hAnsi="Arial" w:cs="Arial"/>
        </w:rPr>
        <w:t>s</w:t>
      </w:r>
      <w:r w:rsidR="0097405C" w:rsidRPr="00851192">
        <w:rPr>
          <w:rFonts w:ascii="Arial" w:hAnsi="Arial" w:cs="Arial"/>
        </w:rPr>
        <w:t>,</w:t>
      </w:r>
      <w:r w:rsidR="007C2915" w:rsidRPr="00851192">
        <w:rPr>
          <w:rFonts w:ascii="Arial" w:hAnsi="Arial" w:cs="Arial"/>
        </w:rPr>
        <w:t xml:space="preserve"> and CSR communication consumer survey together, the researcher can identify and evaluate that there is high incongruence between consumer </w:t>
      </w:r>
      <w:proofErr w:type="gramStart"/>
      <w:r w:rsidR="007C2915" w:rsidRPr="00851192">
        <w:rPr>
          <w:rFonts w:ascii="Arial" w:hAnsi="Arial" w:cs="Arial"/>
        </w:rPr>
        <w:t>perception</w:t>
      </w:r>
      <w:proofErr w:type="gramEnd"/>
      <w:r w:rsidR="007C2915" w:rsidRPr="00851192">
        <w:rPr>
          <w:rFonts w:ascii="Arial" w:hAnsi="Arial" w:cs="Arial"/>
        </w:rPr>
        <w:t xml:space="preserve"> of GGO’s and desired corporate identity by GGO’s. CSR communication is ineffective although the str</w:t>
      </w:r>
      <w:r w:rsidR="00E10182" w:rsidRPr="00851192">
        <w:rPr>
          <w:rFonts w:ascii="Arial" w:hAnsi="Arial" w:cs="Arial"/>
        </w:rPr>
        <w:t>ucture of CSR communication in methods of distribution across technological platforms is strong with Tata and Prasad’s (2015) model of CSR communication.</w:t>
      </w:r>
      <w:r w:rsidR="0097405C" w:rsidRPr="00851192">
        <w:rPr>
          <w:rFonts w:ascii="Arial" w:hAnsi="Arial" w:cs="Arial"/>
        </w:rPr>
        <w:t xml:space="preserve"> This is despite of GGO’s expressing importance towards CSR and CSR communication within annual reports. This is due to the findings in </w:t>
      </w:r>
      <w:r w:rsidR="00E10182" w:rsidRPr="00851192">
        <w:rPr>
          <w:rFonts w:ascii="Arial" w:hAnsi="Arial" w:cs="Arial"/>
        </w:rPr>
        <w:t>a</w:t>
      </w:r>
      <w:r w:rsidR="007C2915" w:rsidRPr="00851192">
        <w:rPr>
          <w:rFonts w:ascii="Arial" w:hAnsi="Arial" w:cs="Arial"/>
        </w:rPr>
        <w:t xml:space="preserve">reas </w:t>
      </w:r>
      <w:r w:rsidR="00E10182" w:rsidRPr="00851192">
        <w:rPr>
          <w:rFonts w:ascii="Arial" w:hAnsi="Arial" w:cs="Arial"/>
        </w:rPr>
        <w:t xml:space="preserve">such as motivation to reduce incongruence between consumer and corporate identity evaluated to be inefficient. The researcher is led to believe this is due to continuous increase in market value of the industry and financial gain by </w:t>
      </w:r>
      <w:proofErr w:type="gramStart"/>
      <w:r w:rsidR="00E10182" w:rsidRPr="00851192">
        <w:rPr>
          <w:rFonts w:ascii="Arial" w:hAnsi="Arial" w:cs="Arial"/>
        </w:rPr>
        <w:t xml:space="preserve">GGO’s  </w:t>
      </w:r>
      <w:proofErr w:type="gramEnd"/>
      <w:sdt>
        <w:sdtPr>
          <w:rPr>
            <w:rFonts w:ascii="Arial" w:hAnsi="Arial" w:cs="Arial"/>
          </w:rPr>
          <w:id w:val="-1379316636"/>
          <w:citation/>
        </w:sdtPr>
        <w:sdtEndPr/>
        <w:sdtContent>
          <w:r w:rsidR="00E10182" w:rsidRPr="00851192">
            <w:rPr>
              <w:rFonts w:ascii="Arial" w:hAnsi="Arial" w:cs="Arial"/>
            </w:rPr>
            <w:fldChar w:fldCharType="begin"/>
          </w:r>
          <w:r w:rsidR="00E10182" w:rsidRPr="00851192">
            <w:rPr>
              <w:rFonts w:ascii="Arial" w:hAnsi="Arial" w:cs="Arial"/>
            </w:rPr>
            <w:instrText xml:space="preserve"> CITATION Sta18 \l 2057 </w:instrText>
          </w:r>
          <w:r w:rsidR="00E10182" w:rsidRPr="00851192">
            <w:rPr>
              <w:rFonts w:ascii="Arial" w:hAnsi="Arial" w:cs="Arial"/>
            </w:rPr>
            <w:fldChar w:fldCharType="separate"/>
          </w:r>
          <w:r w:rsidR="002D17EA" w:rsidRPr="00851192">
            <w:rPr>
              <w:rFonts w:ascii="Arial" w:hAnsi="Arial" w:cs="Arial"/>
              <w:noProof/>
            </w:rPr>
            <w:t>(Statista, 2018)</w:t>
          </w:r>
          <w:r w:rsidR="00E10182" w:rsidRPr="00851192">
            <w:rPr>
              <w:rFonts w:ascii="Arial" w:hAnsi="Arial" w:cs="Arial"/>
            </w:rPr>
            <w:fldChar w:fldCharType="end"/>
          </w:r>
        </w:sdtContent>
      </w:sdt>
      <w:r w:rsidR="0097405C" w:rsidRPr="00851192">
        <w:rPr>
          <w:rFonts w:ascii="Arial" w:hAnsi="Arial" w:cs="Arial"/>
        </w:rPr>
        <w:t xml:space="preserve"> being too systematically important for governments such as the UK</w:t>
      </w:r>
      <w:r w:rsidR="00E10182" w:rsidRPr="00851192">
        <w:rPr>
          <w:rFonts w:ascii="Arial" w:hAnsi="Arial" w:cs="Arial"/>
        </w:rPr>
        <w:t xml:space="preserve">. </w:t>
      </w:r>
    </w:p>
    <w:p w14:paraId="72BDB0B3" w14:textId="63F0F8A8" w:rsidR="005312DD" w:rsidRPr="00851192" w:rsidRDefault="005312DD" w:rsidP="00B60FC8">
      <w:pPr>
        <w:spacing w:line="360" w:lineRule="auto"/>
        <w:jc w:val="both"/>
        <w:rPr>
          <w:rFonts w:ascii="Arial" w:hAnsi="Arial" w:cs="Arial"/>
        </w:rPr>
      </w:pPr>
      <w:r w:rsidRPr="00851192">
        <w:rPr>
          <w:rFonts w:ascii="Arial" w:hAnsi="Arial" w:cs="Arial"/>
        </w:rPr>
        <w:t xml:space="preserve">The high level of incongruence evaluated within the survey reinforces </w:t>
      </w:r>
      <w:r w:rsidRPr="00851192">
        <w:rPr>
          <w:rFonts w:ascii="Arial" w:hAnsi="Arial" w:cs="Arial"/>
          <w:noProof/>
        </w:rPr>
        <w:t xml:space="preserve">Connolly (2016) notion of CSR window dressing. </w:t>
      </w:r>
      <w:r w:rsidR="008D2768" w:rsidRPr="00851192">
        <w:rPr>
          <w:rFonts w:ascii="Arial" w:hAnsi="Arial" w:cs="Arial"/>
        </w:rPr>
        <w:t>The importance of CSR and CSR communication is foreseen to be a pivotal part of organisation</w:t>
      </w:r>
      <w:r w:rsidR="0097405C" w:rsidRPr="00851192">
        <w:rPr>
          <w:rFonts w:ascii="Arial" w:hAnsi="Arial" w:cs="Arial"/>
        </w:rPr>
        <w:t>al</w:t>
      </w:r>
      <w:r w:rsidR="008D2768" w:rsidRPr="00851192">
        <w:rPr>
          <w:rFonts w:ascii="Arial" w:hAnsi="Arial" w:cs="Arial"/>
        </w:rPr>
        <w:t xml:space="preserve"> culture for GGO’s as expressed within annual reports </w:t>
      </w:r>
      <w:r w:rsidR="008D2768" w:rsidRPr="00851192">
        <w:rPr>
          <w:rFonts w:ascii="Arial" w:hAnsi="Arial" w:cs="Arial"/>
          <w:noProof/>
        </w:rPr>
        <w:lastRenderedPageBreak/>
        <w:t>(Entertainment Asia Gaming, 2017; B</w:t>
      </w:r>
      <w:r w:rsidR="0097405C" w:rsidRPr="00851192">
        <w:rPr>
          <w:rFonts w:ascii="Arial" w:hAnsi="Arial" w:cs="Arial"/>
          <w:noProof/>
        </w:rPr>
        <w:t>et</w:t>
      </w:r>
      <w:r w:rsidR="008D2768" w:rsidRPr="00851192">
        <w:rPr>
          <w:rFonts w:ascii="Arial" w:hAnsi="Arial" w:cs="Arial"/>
          <w:noProof/>
        </w:rPr>
        <w:t xml:space="preserve"> 365 Group Limited, 2017; GVC Holdings - Bwin, 2017)</w:t>
      </w:r>
      <w:r w:rsidR="008D2768" w:rsidRPr="00851192">
        <w:rPr>
          <w:rFonts w:ascii="Arial" w:hAnsi="Arial" w:cs="Arial"/>
        </w:rPr>
        <w:t xml:space="preserve">. However, the extent on how GGO’s perform on CSR and CSR communication is deemed to be marginal through the </w:t>
      </w:r>
      <w:r w:rsidR="00E26CCC" w:rsidRPr="00851192">
        <w:rPr>
          <w:rFonts w:ascii="Arial" w:hAnsi="Arial" w:cs="Arial"/>
        </w:rPr>
        <w:t>researcher’s</w:t>
      </w:r>
      <w:r w:rsidR="008D2768" w:rsidRPr="00851192">
        <w:rPr>
          <w:rFonts w:ascii="Arial" w:hAnsi="Arial" w:cs="Arial"/>
        </w:rPr>
        <w:t xml:space="preserve"> analysis of online content such as; websites and apps, participants perception on values held by GGO’s through the designed survey</w:t>
      </w:r>
      <w:r w:rsidR="0097405C" w:rsidRPr="00851192">
        <w:rPr>
          <w:rFonts w:ascii="Arial" w:hAnsi="Arial" w:cs="Arial"/>
        </w:rPr>
        <w:t>. Issues are highlighted by participants on</w:t>
      </w:r>
      <w:r w:rsidR="008D2768" w:rsidRPr="00851192">
        <w:rPr>
          <w:rFonts w:ascii="Arial" w:hAnsi="Arial" w:cs="Arial"/>
        </w:rPr>
        <w:t xml:space="preserve"> </w:t>
      </w:r>
      <w:r w:rsidR="0097405C" w:rsidRPr="00851192">
        <w:rPr>
          <w:rFonts w:ascii="Arial" w:hAnsi="Arial" w:cs="Arial"/>
        </w:rPr>
        <w:t>ineffective CSR communication by GGO’s within a breakdown of key areas such as ‘motivation to decrease incongruence through CSR communication’ and ‘structure of CSR communication’ within Tata and Prasad’s (2015) conceptual CSR communication model. This is despite of</w:t>
      </w:r>
      <w:r w:rsidR="008D2768" w:rsidRPr="00851192">
        <w:rPr>
          <w:rFonts w:ascii="Arial" w:hAnsi="Arial" w:cs="Arial"/>
        </w:rPr>
        <w:t xml:space="preserve"> a vast and high traffic platform where the opportunity to exploit potential CSR and CSR communication on social media would be presumed to effectively shape corporate identity and reduce incongruence.   </w:t>
      </w:r>
    </w:p>
    <w:p w14:paraId="64C08763" w14:textId="2CD8D0B1" w:rsidR="00DD2D3A" w:rsidRPr="00851192" w:rsidRDefault="00E10182" w:rsidP="00B60FC8">
      <w:pPr>
        <w:spacing w:line="360" w:lineRule="auto"/>
        <w:jc w:val="both"/>
        <w:rPr>
          <w:rFonts w:ascii="Arial" w:hAnsi="Arial" w:cs="Arial"/>
        </w:rPr>
      </w:pPr>
      <w:r w:rsidRPr="00851192">
        <w:rPr>
          <w:rFonts w:ascii="Arial" w:hAnsi="Arial" w:cs="Arial"/>
        </w:rPr>
        <w:t>The researcher has evaluated that practices of effective CSR is led not by GGO’s but the implementation of rigorous legislation by governing bodies.</w:t>
      </w:r>
      <w:r w:rsidR="0007464F" w:rsidRPr="00851192">
        <w:rPr>
          <w:rFonts w:ascii="Arial" w:hAnsi="Arial" w:cs="Arial"/>
        </w:rPr>
        <w:t xml:space="preserve"> As discovered within literature,</w:t>
      </w:r>
      <w:r w:rsidRPr="00851192">
        <w:rPr>
          <w:rFonts w:ascii="Arial" w:hAnsi="Arial" w:cs="Arial"/>
        </w:rPr>
        <w:t xml:space="preserve"> </w:t>
      </w:r>
      <w:r w:rsidR="0007464F" w:rsidRPr="00851192">
        <w:rPr>
          <w:rFonts w:ascii="Arial" w:hAnsi="Arial" w:cs="Arial"/>
        </w:rPr>
        <w:t>b</w:t>
      </w:r>
      <w:r w:rsidRPr="00851192">
        <w:rPr>
          <w:rFonts w:ascii="Arial" w:hAnsi="Arial" w:cs="Arial"/>
        </w:rPr>
        <w:t xml:space="preserve">enefits through gambling to society are identified within the research of the dissertation, thus, a best </w:t>
      </w:r>
      <w:r w:rsidR="00BD2990" w:rsidRPr="00851192">
        <w:rPr>
          <w:rFonts w:ascii="Arial" w:hAnsi="Arial" w:cs="Arial"/>
        </w:rPr>
        <w:t xml:space="preserve">method </w:t>
      </w:r>
      <w:r w:rsidRPr="00851192">
        <w:rPr>
          <w:rFonts w:ascii="Arial" w:hAnsi="Arial" w:cs="Arial"/>
        </w:rPr>
        <w:t xml:space="preserve">practice and measurement of CSR and </w:t>
      </w:r>
      <w:r w:rsidR="00BD2990" w:rsidRPr="00851192">
        <w:rPr>
          <w:rFonts w:ascii="Arial" w:hAnsi="Arial" w:cs="Arial"/>
        </w:rPr>
        <w:t>economic growth for GGO’s are effectively implemented by the</w:t>
      </w:r>
      <w:r w:rsidRPr="00851192">
        <w:rPr>
          <w:rFonts w:ascii="Arial" w:hAnsi="Arial" w:cs="Arial"/>
        </w:rPr>
        <w:t xml:space="preserve"> Canadian Government</w:t>
      </w:r>
      <w:r w:rsidR="00B60FC8" w:rsidRPr="00851192">
        <w:rPr>
          <w:rFonts w:ascii="Arial" w:hAnsi="Arial" w:cs="Arial"/>
          <w:noProof/>
        </w:rPr>
        <w:t xml:space="preserve"> (National Defence, 2018)</w:t>
      </w:r>
      <w:r w:rsidRPr="00851192">
        <w:rPr>
          <w:rFonts w:ascii="Arial" w:hAnsi="Arial" w:cs="Arial"/>
        </w:rPr>
        <w:t xml:space="preserve">. </w:t>
      </w:r>
      <w:r w:rsidR="00BD2990" w:rsidRPr="00851192">
        <w:rPr>
          <w:rFonts w:ascii="Arial" w:hAnsi="Arial" w:cs="Arial"/>
        </w:rPr>
        <w:t xml:space="preserve">However, </w:t>
      </w:r>
      <w:r w:rsidR="0007464F" w:rsidRPr="00851192">
        <w:rPr>
          <w:rFonts w:ascii="Arial" w:hAnsi="Arial" w:cs="Arial"/>
        </w:rPr>
        <w:t>demonstrating</w:t>
      </w:r>
      <w:r w:rsidR="00BD2990" w:rsidRPr="00851192">
        <w:rPr>
          <w:rFonts w:ascii="Arial" w:hAnsi="Arial" w:cs="Arial"/>
        </w:rPr>
        <w:t xml:space="preserve"> best practices measures does not mean that it is the best and most effective measure to eliminate the issues surrounding PG. </w:t>
      </w:r>
      <w:r w:rsidR="008D2768" w:rsidRPr="00851192">
        <w:rPr>
          <w:rFonts w:ascii="Arial" w:hAnsi="Arial" w:cs="Arial"/>
        </w:rPr>
        <w:t>Even so, the governance by some political institutions within the eastern hemisphere demonstrate the lack of need in implementing RG practices due to the legality of the leisure activity. Thus, GGO’s such as Asia Gaming adapt their business model to how the market is shaped by manufacturing gaming machines, developing apps for individual games</w:t>
      </w:r>
      <w:r w:rsidR="0007464F" w:rsidRPr="00851192">
        <w:rPr>
          <w:rFonts w:ascii="Arial" w:hAnsi="Arial" w:cs="Arial"/>
        </w:rPr>
        <w:t>,</w:t>
      </w:r>
      <w:r w:rsidR="008D2768" w:rsidRPr="00851192">
        <w:rPr>
          <w:rFonts w:ascii="Arial" w:hAnsi="Arial" w:cs="Arial"/>
        </w:rPr>
        <w:t xml:space="preserve"> and rolling out legal web domain to access the online market of gambling on websites.   </w:t>
      </w:r>
    </w:p>
    <w:p w14:paraId="14CAD2B2" w14:textId="4401B993" w:rsidR="00817CE9" w:rsidRPr="00851192" w:rsidRDefault="00817CE9" w:rsidP="00B60FC8">
      <w:pPr>
        <w:spacing w:line="360" w:lineRule="auto"/>
        <w:jc w:val="both"/>
        <w:rPr>
          <w:rFonts w:ascii="Arial" w:hAnsi="Arial" w:cs="Arial"/>
        </w:rPr>
      </w:pPr>
    </w:p>
    <w:p w14:paraId="11391E1D" w14:textId="5744EC9D" w:rsidR="00817CE9" w:rsidRPr="00851192" w:rsidRDefault="00817CE9" w:rsidP="00B60FC8">
      <w:pPr>
        <w:spacing w:line="360" w:lineRule="auto"/>
        <w:jc w:val="both"/>
        <w:rPr>
          <w:rFonts w:ascii="Arial" w:hAnsi="Arial" w:cs="Arial"/>
        </w:rPr>
      </w:pPr>
    </w:p>
    <w:p w14:paraId="0A363814" w14:textId="5D12001A" w:rsidR="00817CE9" w:rsidRPr="00851192" w:rsidRDefault="00817CE9" w:rsidP="00B60FC8">
      <w:pPr>
        <w:spacing w:line="360" w:lineRule="auto"/>
        <w:jc w:val="both"/>
        <w:rPr>
          <w:rFonts w:ascii="Arial" w:hAnsi="Arial" w:cs="Arial"/>
        </w:rPr>
      </w:pPr>
    </w:p>
    <w:p w14:paraId="169ABF10" w14:textId="49A08594" w:rsidR="00817CE9" w:rsidRPr="00851192" w:rsidRDefault="00817CE9" w:rsidP="00B60FC8">
      <w:pPr>
        <w:spacing w:line="360" w:lineRule="auto"/>
        <w:jc w:val="both"/>
        <w:rPr>
          <w:rFonts w:ascii="Arial" w:hAnsi="Arial" w:cs="Arial"/>
        </w:rPr>
      </w:pPr>
    </w:p>
    <w:p w14:paraId="2E316485" w14:textId="37EA0F6B" w:rsidR="00817CE9" w:rsidRPr="00851192" w:rsidRDefault="00817CE9" w:rsidP="00B60FC8">
      <w:pPr>
        <w:spacing w:line="360" w:lineRule="auto"/>
        <w:jc w:val="both"/>
        <w:rPr>
          <w:rFonts w:ascii="Arial" w:hAnsi="Arial" w:cs="Arial"/>
        </w:rPr>
      </w:pPr>
    </w:p>
    <w:p w14:paraId="295E5231" w14:textId="2283DEDF" w:rsidR="00817CE9" w:rsidRPr="00851192" w:rsidRDefault="00817CE9" w:rsidP="00B60FC8">
      <w:pPr>
        <w:spacing w:line="360" w:lineRule="auto"/>
        <w:jc w:val="both"/>
        <w:rPr>
          <w:rFonts w:ascii="Arial" w:hAnsi="Arial" w:cs="Arial"/>
        </w:rPr>
      </w:pPr>
    </w:p>
    <w:p w14:paraId="3809C5E9" w14:textId="69FA5E9F" w:rsidR="00817CE9" w:rsidRPr="00851192" w:rsidRDefault="00817CE9" w:rsidP="00B60FC8">
      <w:pPr>
        <w:spacing w:line="360" w:lineRule="auto"/>
        <w:jc w:val="both"/>
        <w:rPr>
          <w:rFonts w:ascii="Arial" w:hAnsi="Arial" w:cs="Arial"/>
        </w:rPr>
      </w:pPr>
    </w:p>
    <w:p w14:paraId="450CF7F1" w14:textId="1D90ADE6" w:rsidR="00817CE9" w:rsidRPr="00851192" w:rsidRDefault="00817CE9" w:rsidP="00B60FC8">
      <w:pPr>
        <w:spacing w:line="360" w:lineRule="auto"/>
        <w:jc w:val="both"/>
        <w:rPr>
          <w:rFonts w:ascii="Arial" w:hAnsi="Arial" w:cs="Arial"/>
        </w:rPr>
      </w:pPr>
    </w:p>
    <w:p w14:paraId="526BFFC2" w14:textId="143F9FF4" w:rsidR="00817CE9" w:rsidRPr="00851192" w:rsidRDefault="00817CE9" w:rsidP="00B60FC8">
      <w:pPr>
        <w:spacing w:line="360" w:lineRule="auto"/>
        <w:jc w:val="both"/>
        <w:rPr>
          <w:rFonts w:ascii="Arial" w:hAnsi="Arial" w:cs="Arial"/>
        </w:rPr>
      </w:pPr>
    </w:p>
    <w:p w14:paraId="2B52DD33" w14:textId="77777777" w:rsidR="00817CE9" w:rsidRPr="00851192" w:rsidRDefault="00817CE9" w:rsidP="00B60FC8">
      <w:pPr>
        <w:spacing w:line="360" w:lineRule="auto"/>
        <w:jc w:val="both"/>
        <w:rPr>
          <w:rFonts w:ascii="Arial" w:hAnsi="Arial" w:cs="Arial"/>
        </w:rPr>
      </w:pPr>
    </w:p>
    <w:p w14:paraId="3CB858E7" w14:textId="381A066B" w:rsidR="00BB0E2F" w:rsidRPr="00851192" w:rsidRDefault="00773869" w:rsidP="00DD2D3A">
      <w:pPr>
        <w:pStyle w:val="Heading1"/>
        <w:rPr>
          <w:rFonts w:ascii="Arial" w:hAnsi="Arial" w:cs="Arial"/>
          <w:b/>
          <w:color w:val="auto"/>
        </w:rPr>
      </w:pPr>
      <w:r w:rsidRPr="00851192">
        <w:rPr>
          <w:rFonts w:ascii="Arial" w:hAnsi="Arial" w:cs="Arial"/>
          <w:b/>
          <w:color w:val="auto"/>
        </w:rPr>
        <w:lastRenderedPageBreak/>
        <w:t xml:space="preserve">          </w:t>
      </w:r>
      <w:bookmarkStart w:id="71" w:name="_Toc526434272"/>
      <w:r w:rsidR="00BB0E2F" w:rsidRPr="00851192">
        <w:rPr>
          <w:rFonts w:ascii="Arial" w:hAnsi="Arial" w:cs="Arial"/>
          <w:b/>
          <w:color w:val="auto"/>
        </w:rPr>
        <w:t xml:space="preserve">Chapter </w:t>
      </w:r>
      <w:r w:rsidRPr="00851192">
        <w:rPr>
          <w:rFonts w:ascii="Arial" w:hAnsi="Arial" w:cs="Arial"/>
          <w:b/>
          <w:color w:val="auto"/>
        </w:rPr>
        <w:t>Five</w:t>
      </w:r>
      <w:bookmarkEnd w:id="71"/>
    </w:p>
    <w:p w14:paraId="248BC979" w14:textId="0B411696" w:rsidR="007F482D" w:rsidRPr="00851192" w:rsidRDefault="00DD2D3A" w:rsidP="00DD2D3A">
      <w:pPr>
        <w:pStyle w:val="Heading1"/>
        <w:rPr>
          <w:rFonts w:ascii="Arial" w:hAnsi="Arial" w:cs="Arial"/>
          <w:color w:val="auto"/>
        </w:rPr>
      </w:pPr>
      <w:bookmarkStart w:id="72" w:name="_Toc526434273"/>
      <w:r w:rsidRPr="00851192">
        <w:rPr>
          <w:rFonts w:ascii="Arial" w:hAnsi="Arial" w:cs="Arial"/>
          <w:color w:val="auto"/>
        </w:rPr>
        <w:t xml:space="preserve">5.1 </w:t>
      </w:r>
      <w:r w:rsidR="007F482D" w:rsidRPr="00851192">
        <w:rPr>
          <w:rFonts w:ascii="Arial" w:hAnsi="Arial" w:cs="Arial"/>
          <w:color w:val="auto"/>
        </w:rPr>
        <w:t>Introduction</w:t>
      </w:r>
      <w:bookmarkEnd w:id="72"/>
    </w:p>
    <w:p w14:paraId="6DB87EE2" w14:textId="4E574A52" w:rsidR="007F482D" w:rsidRPr="00851192" w:rsidRDefault="007F482D" w:rsidP="00B60FC8">
      <w:pPr>
        <w:spacing w:line="360" w:lineRule="auto"/>
        <w:rPr>
          <w:rFonts w:ascii="Arial" w:hAnsi="Arial" w:cs="Arial"/>
        </w:rPr>
      </w:pPr>
      <w:r w:rsidRPr="00851192">
        <w:rPr>
          <w:rFonts w:ascii="Arial" w:hAnsi="Arial" w:cs="Arial"/>
        </w:rPr>
        <w:t xml:space="preserve">This chapter addresses the conclusions and limitations of the study having analysed and evaluated findings within chapter four. Furthermore, this chapter offers recommendations to GGO’s and governments in perspective of reducing incongruence with consumers, and tackling the issues of PG. </w:t>
      </w:r>
    </w:p>
    <w:p w14:paraId="05CB0748" w14:textId="4BD28446" w:rsidR="007F482D" w:rsidRPr="00851192" w:rsidRDefault="007F482D" w:rsidP="00B60FC8">
      <w:pPr>
        <w:spacing w:line="360" w:lineRule="auto"/>
        <w:rPr>
          <w:rFonts w:ascii="Arial" w:hAnsi="Arial" w:cs="Arial"/>
        </w:rPr>
      </w:pPr>
      <w:r w:rsidRPr="00851192">
        <w:rPr>
          <w:rFonts w:ascii="Arial" w:hAnsi="Arial" w:cs="Arial"/>
        </w:rPr>
        <w:t xml:space="preserve">It is important to note that the recommendations offered may not provide the solution to PG but will add value in the problem solving of tackling issues associated to the subject area. </w:t>
      </w:r>
    </w:p>
    <w:p w14:paraId="7D350D10" w14:textId="1C1B1916" w:rsidR="00682E18" w:rsidRPr="00851192" w:rsidRDefault="00DD2D3A" w:rsidP="00DD2D3A">
      <w:pPr>
        <w:pStyle w:val="Heading1"/>
        <w:rPr>
          <w:rFonts w:ascii="Arial" w:hAnsi="Arial" w:cs="Arial"/>
          <w:color w:val="auto"/>
        </w:rPr>
      </w:pPr>
      <w:bookmarkStart w:id="73" w:name="_Toc526434274"/>
      <w:r w:rsidRPr="00851192">
        <w:rPr>
          <w:rFonts w:ascii="Arial" w:hAnsi="Arial" w:cs="Arial"/>
          <w:color w:val="auto"/>
        </w:rPr>
        <w:t xml:space="preserve">5.2 </w:t>
      </w:r>
      <w:r w:rsidR="00682E18" w:rsidRPr="00851192">
        <w:rPr>
          <w:rFonts w:ascii="Arial" w:hAnsi="Arial" w:cs="Arial"/>
          <w:color w:val="auto"/>
        </w:rPr>
        <w:t>Achievement of Objectives</w:t>
      </w:r>
      <w:bookmarkEnd w:id="73"/>
    </w:p>
    <w:p w14:paraId="16DB861D" w14:textId="6F0C456E" w:rsidR="007F482D" w:rsidRPr="00851192" w:rsidRDefault="007F482D" w:rsidP="007F482D">
      <w:pPr>
        <w:pStyle w:val="ListParagraph"/>
        <w:numPr>
          <w:ilvl w:val="0"/>
          <w:numId w:val="21"/>
        </w:numPr>
        <w:rPr>
          <w:rFonts w:ascii="Arial" w:hAnsi="Arial" w:cs="Arial"/>
          <w:u w:val="single"/>
        </w:rPr>
      </w:pPr>
      <w:r w:rsidRPr="00851192">
        <w:rPr>
          <w:rFonts w:ascii="Arial" w:hAnsi="Arial" w:cs="Arial"/>
        </w:rPr>
        <w:t xml:space="preserve">To undertake an extensive literature review to analyse the importance of CSR </w:t>
      </w:r>
      <w:r w:rsidR="00E371ED" w:rsidRPr="00851192">
        <w:rPr>
          <w:rFonts w:ascii="Arial" w:hAnsi="Arial" w:cs="Arial"/>
        </w:rPr>
        <w:t xml:space="preserve">and CSR </w:t>
      </w:r>
      <w:r w:rsidRPr="00851192">
        <w:rPr>
          <w:rFonts w:ascii="Arial" w:hAnsi="Arial" w:cs="Arial"/>
        </w:rPr>
        <w:t xml:space="preserve">communication within the global gambling industry. </w:t>
      </w:r>
    </w:p>
    <w:p w14:paraId="320332CD" w14:textId="3789109B" w:rsidR="007F482D" w:rsidRPr="00851192" w:rsidRDefault="007F482D" w:rsidP="005B7C1E">
      <w:pPr>
        <w:pStyle w:val="ListParagraph"/>
        <w:rPr>
          <w:rFonts w:ascii="Arial" w:hAnsi="Arial" w:cs="Arial"/>
          <w:u w:val="single"/>
        </w:rPr>
      </w:pPr>
      <w:r w:rsidRPr="00851192">
        <w:rPr>
          <w:rFonts w:ascii="Arial" w:hAnsi="Arial" w:cs="Arial"/>
          <w:b/>
          <w:i/>
        </w:rPr>
        <w:t>The importance of CSR</w:t>
      </w:r>
      <w:r w:rsidR="00E371ED" w:rsidRPr="00851192">
        <w:rPr>
          <w:rFonts w:ascii="Arial" w:hAnsi="Arial" w:cs="Arial"/>
          <w:b/>
          <w:i/>
        </w:rPr>
        <w:t xml:space="preserve"> and CSR</w:t>
      </w:r>
      <w:r w:rsidRPr="00851192">
        <w:rPr>
          <w:rFonts w:ascii="Arial" w:hAnsi="Arial" w:cs="Arial"/>
          <w:b/>
          <w:i/>
        </w:rPr>
        <w:t xml:space="preserve"> communication was analysed within chapter two of the dissertation</w:t>
      </w:r>
      <w:r w:rsidR="002C1A60" w:rsidRPr="00851192">
        <w:rPr>
          <w:rFonts w:ascii="Arial" w:hAnsi="Arial" w:cs="Arial"/>
          <w:b/>
          <w:i/>
        </w:rPr>
        <w:t xml:space="preserve"> through identifying theoretical models and knowledge within the subject area</w:t>
      </w:r>
      <w:r w:rsidRPr="00851192">
        <w:rPr>
          <w:rFonts w:ascii="Arial" w:hAnsi="Arial" w:cs="Arial"/>
        </w:rPr>
        <w:t xml:space="preserve">. </w:t>
      </w:r>
      <w:r w:rsidRPr="00851192">
        <w:rPr>
          <w:rFonts w:ascii="Arial" w:hAnsi="Arial" w:cs="Arial"/>
        </w:rPr>
        <w:br/>
      </w:r>
    </w:p>
    <w:p w14:paraId="661CA57D" w14:textId="77777777" w:rsidR="007F482D" w:rsidRPr="00851192" w:rsidRDefault="007F482D" w:rsidP="007F482D">
      <w:pPr>
        <w:pStyle w:val="ListParagraph"/>
        <w:numPr>
          <w:ilvl w:val="0"/>
          <w:numId w:val="21"/>
        </w:numPr>
        <w:rPr>
          <w:rFonts w:ascii="Arial" w:hAnsi="Arial" w:cs="Arial"/>
        </w:rPr>
      </w:pPr>
      <w:r w:rsidRPr="00851192">
        <w:rPr>
          <w:rFonts w:ascii="Arial" w:hAnsi="Arial" w:cs="Arial"/>
        </w:rPr>
        <w:t>To critically evaluate the importance of CSR and CSR communication within the global gambling industry through conducting a content analysis.</w:t>
      </w:r>
    </w:p>
    <w:p w14:paraId="3FC09EF1" w14:textId="69CA462C" w:rsidR="007F482D" w:rsidRPr="00851192" w:rsidRDefault="007F482D" w:rsidP="005B7C1E">
      <w:pPr>
        <w:pStyle w:val="ListParagraph"/>
        <w:rPr>
          <w:rFonts w:ascii="Arial" w:hAnsi="Arial" w:cs="Arial"/>
          <w:b/>
          <w:i/>
        </w:rPr>
      </w:pPr>
      <w:r w:rsidRPr="00851192">
        <w:rPr>
          <w:rFonts w:ascii="Arial" w:hAnsi="Arial" w:cs="Arial"/>
          <w:b/>
          <w:i/>
        </w:rPr>
        <w:t xml:space="preserve">An evaluation of CSR and CSR communication was provided through conducting a content analysis of global gambling </w:t>
      </w:r>
      <w:proofErr w:type="gramStart"/>
      <w:r w:rsidRPr="00851192">
        <w:rPr>
          <w:rFonts w:ascii="Arial" w:hAnsi="Arial" w:cs="Arial"/>
          <w:b/>
          <w:i/>
        </w:rPr>
        <w:t>operators</w:t>
      </w:r>
      <w:proofErr w:type="gramEnd"/>
      <w:r w:rsidRPr="00851192">
        <w:rPr>
          <w:rFonts w:ascii="Arial" w:hAnsi="Arial" w:cs="Arial"/>
          <w:b/>
          <w:i/>
        </w:rPr>
        <w:t xml:space="preserve"> publicised annual reports, alongside a reinforced content analysis of online platforms and social media operated by Bet365, </w:t>
      </w:r>
      <w:proofErr w:type="spellStart"/>
      <w:r w:rsidRPr="00851192">
        <w:rPr>
          <w:rFonts w:ascii="Arial" w:hAnsi="Arial" w:cs="Arial"/>
          <w:b/>
          <w:i/>
        </w:rPr>
        <w:t>Bwin</w:t>
      </w:r>
      <w:proofErr w:type="spellEnd"/>
      <w:r w:rsidRPr="00851192">
        <w:rPr>
          <w:rFonts w:ascii="Arial" w:hAnsi="Arial" w:cs="Arial"/>
          <w:b/>
          <w:i/>
        </w:rPr>
        <w:t>, and Asia Gaming</w:t>
      </w:r>
      <w:r w:rsidR="005B7C1E">
        <w:rPr>
          <w:rFonts w:ascii="Arial" w:hAnsi="Arial" w:cs="Arial"/>
          <w:b/>
          <w:i/>
        </w:rPr>
        <w:t>.</w:t>
      </w:r>
      <w:r w:rsidRPr="00851192">
        <w:rPr>
          <w:rFonts w:ascii="Arial" w:hAnsi="Arial" w:cs="Arial"/>
          <w:b/>
          <w:i/>
        </w:rPr>
        <w:br/>
      </w:r>
    </w:p>
    <w:p w14:paraId="5B9E4D6E" w14:textId="7C75D826" w:rsidR="007F482D" w:rsidRPr="00851192" w:rsidRDefault="007F482D" w:rsidP="007F482D">
      <w:pPr>
        <w:pStyle w:val="ListParagraph"/>
        <w:numPr>
          <w:ilvl w:val="0"/>
          <w:numId w:val="21"/>
        </w:numPr>
        <w:rPr>
          <w:rFonts w:ascii="Arial" w:hAnsi="Arial" w:cs="Arial"/>
        </w:rPr>
      </w:pPr>
      <w:r w:rsidRPr="00851192">
        <w:rPr>
          <w:rFonts w:ascii="Arial" w:hAnsi="Arial" w:cs="Arial"/>
        </w:rPr>
        <w:t>To critically analyse gamblers opinions of CSR and CSR communication on online platforms.</w:t>
      </w:r>
    </w:p>
    <w:p w14:paraId="5C7B023B" w14:textId="12C4D377" w:rsidR="007F482D" w:rsidRPr="00851192" w:rsidRDefault="002C1A60" w:rsidP="005B7C1E">
      <w:pPr>
        <w:pStyle w:val="ListParagraph"/>
        <w:rPr>
          <w:rFonts w:ascii="Arial" w:hAnsi="Arial" w:cs="Arial"/>
          <w:b/>
          <w:i/>
        </w:rPr>
      </w:pPr>
      <w:r w:rsidRPr="00851192">
        <w:rPr>
          <w:rFonts w:ascii="Arial" w:hAnsi="Arial" w:cs="Arial"/>
          <w:b/>
          <w:i/>
        </w:rPr>
        <w:t xml:space="preserve">Gamblers opinions were analysed through conducting a survey which was published across reliable sources. The findings from the survey were analysed and evaluated against GGO’s content analysis to discover incongruence, the value in CSR communication for participants and the value of CSR in contrast with GGO’s publicised annual reports and online operations. </w:t>
      </w:r>
    </w:p>
    <w:p w14:paraId="12FC0DB5" w14:textId="4D216543" w:rsidR="005D5C3B" w:rsidRPr="00851192" w:rsidRDefault="00DD2D3A" w:rsidP="00DD2D3A">
      <w:pPr>
        <w:pStyle w:val="Heading1"/>
        <w:rPr>
          <w:rFonts w:ascii="Arial" w:hAnsi="Arial" w:cs="Arial"/>
          <w:color w:val="auto"/>
        </w:rPr>
      </w:pPr>
      <w:bookmarkStart w:id="74" w:name="_Toc526434275"/>
      <w:r w:rsidRPr="00851192">
        <w:rPr>
          <w:rFonts w:ascii="Arial" w:hAnsi="Arial" w:cs="Arial"/>
          <w:color w:val="auto"/>
        </w:rPr>
        <w:t xml:space="preserve">5.3 </w:t>
      </w:r>
      <w:r w:rsidR="00567158" w:rsidRPr="00851192">
        <w:rPr>
          <w:rFonts w:ascii="Arial" w:hAnsi="Arial" w:cs="Arial"/>
          <w:color w:val="auto"/>
        </w:rPr>
        <w:t>Main Findings</w:t>
      </w:r>
      <w:bookmarkEnd w:id="74"/>
      <w:r w:rsidR="005D5C3B" w:rsidRPr="00851192">
        <w:rPr>
          <w:rFonts w:ascii="Arial" w:hAnsi="Arial" w:cs="Arial"/>
          <w:color w:val="auto"/>
        </w:rPr>
        <w:t xml:space="preserve"> </w:t>
      </w:r>
    </w:p>
    <w:p w14:paraId="771CBFA9" w14:textId="5443D1BF" w:rsidR="00567158" w:rsidRPr="00851192" w:rsidRDefault="00BD4AB0" w:rsidP="00B60FC8">
      <w:pPr>
        <w:spacing w:line="360" w:lineRule="auto"/>
        <w:jc w:val="both"/>
        <w:rPr>
          <w:rFonts w:ascii="Arial" w:hAnsi="Arial" w:cs="Arial"/>
        </w:rPr>
      </w:pPr>
      <w:r>
        <w:rPr>
          <w:rFonts w:ascii="Arial" w:hAnsi="Arial" w:cs="Arial"/>
        </w:rPr>
        <w:t>To</w:t>
      </w:r>
      <w:r w:rsidR="00567158" w:rsidRPr="00851192">
        <w:rPr>
          <w:rFonts w:ascii="Arial" w:hAnsi="Arial" w:cs="Arial"/>
        </w:rPr>
        <w:t xml:space="preserve">day, CSR and CSR communication is a highly valued area </w:t>
      </w:r>
      <w:r>
        <w:rPr>
          <w:rFonts w:ascii="Arial" w:hAnsi="Arial" w:cs="Arial"/>
        </w:rPr>
        <w:t>within most operations of an organisation</w:t>
      </w:r>
      <w:r w:rsidR="00567158" w:rsidRPr="00851192">
        <w:rPr>
          <w:rFonts w:ascii="Arial" w:hAnsi="Arial" w:cs="Arial"/>
        </w:rPr>
        <w:t xml:space="preserve">. CSR communication can influence a way a business can perform and can enhance brand identity, and financial performance. CSR communication is a key tool to reduce incongruence between consumers and the company. </w:t>
      </w:r>
    </w:p>
    <w:p w14:paraId="6169E7DD" w14:textId="52B51E66" w:rsidR="00567158" w:rsidRPr="00851192" w:rsidRDefault="00567158" w:rsidP="00B60FC8">
      <w:pPr>
        <w:spacing w:line="360" w:lineRule="auto"/>
        <w:jc w:val="both"/>
        <w:rPr>
          <w:rFonts w:ascii="Arial" w:hAnsi="Arial" w:cs="Arial"/>
        </w:rPr>
      </w:pPr>
      <w:r w:rsidRPr="00851192">
        <w:rPr>
          <w:rFonts w:ascii="Arial" w:hAnsi="Arial" w:cs="Arial"/>
        </w:rPr>
        <w:t xml:space="preserve">Through all content analyses conducted GGO’s express a great emphasis towards CSR and present adequate avenues for CSR communication. However, the emphasis on meaningful CSR is not presented across online platforms or social media. </w:t>
      </w:r>
    </w:p>
    <w:p w14:paraId="21DA551E" w14:textId="77777777" w:rsidR="00E02F4C" w:rsidRPr="00851192" w:rsidRDefault="00567158" w:rsidP="00B60FC8">
      <w:pPr>
        <w:spacing w:line="360" w:lineRule="auto"/>
        <w:jc w:val="both"/>
        <w:rPr>
          <w:rFonts w:ascii="Arial" w:hAnsi="Arial" w:cs="Arial"/>
        </w:rPr>
      </w:pPr>
      <w:r w:rsidRPr="00851192">
        <w:rPr>
          <w:rFonts w:ascii="Arial" w:hAnsi="Arial" w:cs="Arial"/>
        </w:rPr>
        <w:t xml:space="preserve">PG is recognised by both consumers and GGO’s. Within the survey, a disclosure on true values held </w:t>
      </w:r>
      <w:r w:rsidR="00E02F4C" w:rsidRPr="00851192">
        <w:rPr>
          <w:rFonts w:ascii="Arial" w:hAnsi="Arial" w:cs="Arial"/>
        </w:rPr>
        <w:t>on</w:t>
      </w:r>
      <w:r w:rsidRPr="00851192">
        <w:rPr>
          <w:rFonts w:ascii="Arial" w:hAnsi="Arial" w:cs="Arial"/>
        </w:rPr>
        <w:t xml:space="preserve"> GGO’s displayed a vast incongruence between </w:t>
      </w:r>
      <w:r w:rsidR="00E02F4C" w:rsidRPr="00851192">
        <w:rPr>
          <w:rFonts w:ascii="Arial" w:hAnsi="Arial" w:cs="Arial"/>
        </w:rPr>
        <w:t xml:space="preserve">GGO’s and participants. </w:t>
      </w:r>
      <w:r w:rsidR="00E02F4C" w:rsidRPr="00851192">
        <w:rPr>
          <w:rFonts w:ascii="Arial" w:hAnsi="Arial" w:cs="Arial"/>
        </w:rPr>
        <w:lastRenderedPageBreak/>
        <w:t>Participants perceive that CSR is green washed by GGO’s and that CSR effects the organisations business model.</w:t>
      </w:r>
    </w:p>
    <w:p w14:paraId="095C1F9A" w14:textId="3432D945" w:rsidR="00567158" w:rsidRPr="00851192" w:rsidRDefault="00E02F4C" w:rsidP="00B60FC8">
      <w:pPr>
        <w:spacing w:line="360" w:lineRule="auto"/>
        <w:jc w:val="both"/>
        <w:rPr>
          <w:rFonts w:ascii="Arial" w:hAnsi="Arial" w:cs="Arial"/>
        </w:rPr>
      </w:pPr>
      <w:r w:rsidRPr="00851192">
        <w:rPr>
          <w:rFonts w:ascii="Arial" w:hAnsi="Arial" w:cs="Arial"/>
        </w:rPr>
        <w:t xml:space="preserve">Thus, it can be evaluated that GGO’s do not effectively present CSR communication across online platforms due to the </w:t>
      </w:r>
      <w:r w:rsidR="005D5C3B" w:rsidRPr="00851192">
        <w:rPr>
          <w:rFonts w:ascii="Arial" w:hAnsi="Arial" w:cs="Arial"/>
        </w:rPr>
        <w:t>impact</w:t>
      </w:r>
      <w:r w:rsidRPr="00851192">
        <w:rPr>
          <w:rFonts w:ascii="Arial" w:hAnsi="Arial" w:cs="Arial"/>
        </w:rPr>
        <w:t xml:space="preserve"> it may have on operational and financial performance. </w:t>
      </w:r>
      <w:r w:rsidR="00FA4349" w:rsidRPr="00851192">
        <w:rPr>
          <w:rFonts w:ascii="Arial" w:hAnsi="Arial" w:cs="Arial"/>
        </w:rPr>
        <w:t xml:space="preserve">There is no motivation by GGO’s to reduce incongruence. This is heavily impacted by the social norm driven within society towards gambling. </w:t>
      </w:r>
    </w:p>
    <w:p w14:paraId="217A27CF" w14:textId="03295545" w:rsidR="00E02F4C" w:rsidRPr="00851192" w:rsidRDefault="00E02F4C" w:rsidP="00B60FC8">
      <w:pPr>
        <w:spacing w:line="360" w:lineRule="auto"/>
        <w:jc w:val="both"/>
        <w:rPr>
          <w:rFonts w:ascii="Arial" w:hAnsi="Arial" w:cs="Arial"/>
        </w:rPr>
      </w:pPr>
      <w:r w:rsidRPr="00851192">
        <w:rPr>
          <w:rFonts w:ascii="Arial" w:hAnsi="Arial" w:cs="Arial"/>
        </w:rPr>
        <w:t xml:space="preserve">GGO’s are powerful and deemed to have a great influence on relationships with governments. This both plays into the hands of both governments such as UK </w:t>
      </w:r>
      <w:proofErr w:type="spellStart"/>
      <w:r w:rsidRPr="00851192">
        <w:rPr>
          <w:rFonts w:ascii="Arial" w:hAnsi="Arial" w:cs="Arial"/>
        </w:rPr>
        <w:t>intaking</w:t>
      </w:r>
      <w:proofErr w:type="spellEnd"/>
      <w:r w:rsidRPr="00851192">
        <w:rPr>
          <w:rFonts w:ascii="Arial" w:hAnsi="Arial" w:cs="Arial"/>
        </w:rPr>
        <w:t xml:space="preserve"> taxation from a multi-billion-pound industry, and GGO’s enduring low taxation. </w:t>
      </w:r>
    </w:p>
    <w:p w14:paraId="6997D725" w14:textId="2C43E134" w:rsidR="00E02F4C" w:rsidRPr="00851192" w:rsidRDefault="00E02F4C" w:rsidP="00B60FC8">
      <w:pPr>
        <w:spacing w:line="360" w:lineRule="auto"/>
        <w:jc w:val="both"/>
        <w:rPr>
          <w:rFonts w:ascii="Arial" w:hAnsi="Arial" w:cs="Arial"/>
        </w:rPr>
      </w:pPr>
      <w:r w:rsidRPr="00851192">
        <w:rPr>
          <w:rFonts w:ascii="Arial" w:hAnsi="Arial" w:cs="Arial"/>
        </w:rPr>
        <w:t xml:space="preserve">The cycle of PG is vicious, only when rigorous governance and legislation are applied by government will PG only began to be tackled. </w:t>
      </w:r>
    </w:p>
    <w:p w14:paraId="43235165" w14:textId="78502AD0" w:rsidR="006321E6" w:rsidRPr="00851192" w:rsidRDefault="006321E6" w:rsidP="00B60FC8">
      <w:pPr>
        <w:spacing w:line="360" w:lineRule="auto"/>
        <w:jc w:val="both"/>
        <w:rPr>
          <w:rFonts w:ascii="Arial" w:hAnsi="Arial" w:cs="Arial"/>
        </w:rPr>
      </w:pPr>
      <w:r w:rsidRPr="00851192">
        <w:rPr>
          <w:rFonts w:ascii="Arial" w:hAnsi="Arial" w:cs="Arial"/>
        </w:rPr>
        <w:t xml:space="preserve">As a means of best practice, survey results have been published for participants to review and any other interested parties. This can be found by using the URL below; </w:t>
      </w:r>
    </w:p>
    <w:p w14:paraId="3AF5526E" w14:textId="1197C135" w:rsidR="006321E6" w:rsidRPr="00851192" w:rsidRDefault="006321E6" w:rsidP="00B60FC8">
      <w:pPr>
        <w:spacing w:line="360" w:lineRule="auto"/>
        <w:jc w:val="both"/>
        <w:rPr>
          <w:rFonts w:ascii="Arial" w:hAnsi="Arial" w:cs="Arial"/>
          <w:b/>
          <w:u w:val="single"/>
        </w:rPr>
      </w:pPr>
      <w:r w:rsidRPr="00851192">
        <w:rPr>
          <w:rFonts w:ascii="Arial" w:hAnsi="Arial" w:cs="Arial"/>
          <w:b/>
          <w:u w:val="single"/>
        </w:rPr>
        <w:t>http://gamblingandconsumers.blogspot.com/</w:t>
      </w:r>
    </w:p>
    <w:p w14:paraId="4F534DC8" w14:textId="343C2FCE" w:rsidR="005D5C3B" w:rsidRPr="00851192" w:rsidRDefault="005D5C3B" w:rsidP="00B60FC8">
      <w:pPr>
        <w:spacing w:line="360" w:lineRule="auto"/>
        <w:jc w:val="both"/>
        <w:rPr>
          <w:rFonts w:ascii="Arial" w:hAnsi="Arial" w:cs="Arial"/>
        </w:rPr>
      </w:pPr>
      <w:r w:rsidRPr="00851192">
        <w:rPr>
          <w:rFonts w:ascii="Arial" w:hAnsi="Arial" w:cs="Arial"/>
        </w:rPr>
        <w:t xml:space="preserve">Upon main findings, potential recommendations </w:t>
      </w:r>
      <w:r w:rsidR="00AB3C85" w:rsidRPr="00851192">
        <w:rPr>
          <w:rFonts w:ascii="Arial" w:hAnsi="Arial" w:cs="Arial"/>
        </w:rPr>
        <w:t xml:space="preserve">have been provided </w:t>
      </w:r>
      <w:r w:rsidR="00D858F3" w:rsidRPr="00851192">
        <w:rPr>
          <w:rFonts w:ascii="Arial" w:hAnsi="Arial" w:cs="Arial"/>
        </w:rPr>
        <w:t>regarding</w:t>
      </w:r>
      <w:r w:rsidR="00AB3C85" w:rsidRPr="00851192">
        <w:rPr>
          <w:rFonts w:ascii="Arial" w:hAnsi="Arial" w:cs="Arial"/>
        </w:rPr>
        <w:t xml:space="preserve"> GGO’s and governments. </w:t>
      </w:r>
    </w:p>
    <w:p w14:paraId="6B6C081D" w14:textId="098D25CC" w:rsidR="00682E18" w:rsidRPr="00851192" w:rsidRDefault="00DD2D3A" w:rsidP="00DD2D3A">
      <w:pPr>
        <w:pStyle w:val="Heading1"/>
        <w:rPr>
          <w:rFonts w:ascii="Arial" w:hAnsi="Arial" w:cs="Arial"/>
          <w:color w:val="auto"/>
        </w:rPr>
      </w:pPr>
      <w:bookmarkStart w:id="75" w:name="_Toc526434276"/>
      <w:r w:rsidRPr="00851192">
        <w:rPr>
          <w:rFonts w:ascii="Arial" w:hAnsi="Arial" w:cs="Arial"/>
          <w:color w:val="auto"/>
        </w:rPr>
        <w:t xml:space="preserve">5.4 </w:t>
      </w:r>
      <w:r w:rsidR="00682E18" w:rsidRPr="00851192">
        <w:rPr>
          <w:rFonts w:ascii="Arial" w:hAnsi="Arial" w:cs="Arial"/>
          <w:color w:val="auto"/>
        </w:rPr>
        <w:t>Recommendations</w:t>
      </w:r>
      <w:bookmarkEnd w:id="75"/>
    </w:p>
    <w:p w14:paraId="75497E82" w14:textId="14E1F3DB" w:rsidR="00AB3C85" w:rsidRPr="00851192" w:rsidRDefault="00AB3C85" w:rsidP="008A11E4">
      <w:pPr>
        <w:pStyle w:val="ListParagraph"/>
        <w:numPr>
          <w:ilvl w:val="0"/>
          <w:numId w:val="23"/>
        </w:numPr>
        <w:spacing w:line="360" w:lineRule="auto"/>
        <w:jc w:val="both"/>
        <w:rPr>
          <w:rFonts w:ascii="Arial" w:hAnsi="Arial" w:cs="Arial"/>
        </w:rPr>
      </w:pPr>
      <w:r w:rsidRPr="00851192">
        <w:rPr>
          <w:rFonts w:ascii="Arial" w:hAnsi="Arial" w:cs="Arial"/>
        </w:rPr>
        <w:t>To tackle the issues associated to PG, GGO’s can add value to challenging the issue by using social media, a platform which reaches global audience</w:t>
      </w:r>
      <w:r w:rsidR="00BD4AB0">
        <w:rPr>
          <w:rFonts w:ascii="Arial" w:hAnsi="Arial" w:cs="Arial"/>
        </w:rPr>
        <w:t>s</w:t>
      </w:r>
      <w:r w:rsidRPr="00851192">
        <w:rPr>
          <w:rFonts w:ascii="Arial" w:hAnsi="Arial" w:cs="Arial"/>
        </w:rPr>
        <w:t xml:space="preserve"> and large scope,</w:t>
      </w:r>
      <w:r w:rsidR="00BD4AB0">
        <w:rPr>
          <w:rFonts w:ascii="Arial" w:hAnsi="Arial" w:cs="Arial"/>
        </w:rPr>
        <w:t xml:space="preserve"> regarding</w:t>
      </w:r>
      <w:r w:rsidRPr="00851192">
        <w:rPr>
          <w:rFonts w:ascii="Arial" w:hAnsi="Arial" w:cs="Arial"/>
        </w:rPr>
        <w:t xml:space="preserve"> </w:t>
      </w:r>
      <w:r w:rsidR="003109BA" w:rsidRPr="00851192">
        <w:rPr>
          <w:rFonts w:ascii="Arial" w:hAnsi="Arial" w:cs="Arial"/>
        </w:rPr>
        <w:t xml:space="preserve">RG </w:t>
      </w:r>
      <w:r w:rsidRPr="00851192">
        <w:rPr>
          <w:rFonts w:ascii="Arial" w:hAnsi="Arial" w:cs="Arial"/>
        </w:rPr>
        <w:t xml:space="preserve">advertisement. This will add value to the GGO’s image and reduce incongruence between themselves and consumers. </w:t>
      </w:r>
    </w:p>
    <w:p w14:paraId="7BCE796A" w14:textId="77777777" w:rsidR="00F6460C" w:rsidRPr="00851192" w:rsidRDefault="00F6460C" w:rsidP="008A11E4">
      <w:pPr>
        <w:pStyle w:val="ListParagraph"/>
        <w:spacing w:line="360" w:lineRule="auto"/>
        <w:rPr>
          <w:rFonts w:ascii="Arial" w:hAnsi="Arial" w:cs="Arial"/>
        </w:rPr>
      </w:pPr>
    </w:p>
    <w:p w14:paraId="70FE3F41" w14:textId="3B54D10E" w:rsidR="00AB3C85" w:rsidRPr="00851192" w:rsidRDefault="00AB3C85" w:rsidP="008A11E4">
      <w:pPr>
        <w:pStyle w:val="ListParagraph"/>
        <w:numPr>
          <w:ilvl w:val="0"/>
          <w:numId w:val="23"/>
        </w:numPr>
        <w:spacing w:line="360" w:lineRule="auto"/>
        <w:jc w:val="both"/>
        <w:rPr>
          <w:rFonts w:ascii="Arial" w:hAnsi="Arial" w:cs="Arial"/>
        </w:rPr>
      </w:pPr>
      <w:r w:rsidRPr="00851192">
        <w:rPr>
          <w:rFonts w:ascii="Arial" w:hAnsi="Arial" w:cs="Arial"/>
        </w:rPr>
        <w:t>GGO’s should reduce or limit gambling advertisement displayed on social media platforms. Social media has been recognised to be pivotal for organisations to stay connected with audiences</w:t>
      </w:r>
      <w:r w:rsidR="00F6460C" w:rsidRPr="00851192">
        <w:rPr>
          <w:rFonts w:ascii="Arial" w:hAnsi="Arial" w:cs="Arial"/>
        </w:rPr>
        <w:t xml:space="preserve"> and influence. Thus, GGO’s could potential create a</w:t>
      </w:r>
      <w:r w:rsidR="00BD4AB0">
        <w:rPr>
          <w:rFonts w:ascii="Arial" w:hAnsi="Arial" w:cs="Arial"/>
        </w:rPr>
        <w:t>n</w:t>
      </w:r>
      <w:r w:rsidR="00F6460C" w:rsidRPr="00851192">
        <w:rPr>
          <w:rFonts w:ascii="Arial" w:hAnsi="Arial" w:cs="Arial"/>
        </w:rPr>
        <w:t xml:space="preserve"> </w:t>
      </w:r>
      <w:r w:rsidR="008F4F72" w:rsidRPr="00851192">
        <w:rPr>
          <w:rFonts w:ascii="Arial" w:hAnsi="Arial" w:cs="Arial"/>
        </w:rPr>
        <w:t>RG</w:t>
      </w:r>
      <w:r w:rsidR="00F6460C" w:rsidRPr="00851192">
        <w:rPr>
          <w:rFonts w:ascii="Arial" w:hAnsi="Arial" w:cs="Arial"/>
        </w:rPr>
        <w:t xml:space="preserve"> culture across the online platform</w:t>
      </w:r>
      <w:r w:rsidR="001C558F" w:rsidRPr="00851192">
        <w:rPr>
          <w:rFonts w:ascii="Arial" w:hAnsi="Arial" w:cs="Arial"/>
        </w:rPr>
        <w:t xml:space="preserve"> and deliver greater effective means of CSR communication</w:t>
      </w:r>
      <w:r w:rsidR="00F6460C" w:rsidRPr="00851192">
        <w:rPr>
          <w:rFonts w:ascii="Arial" w:hAnsi="Arial" w:cs="Arial"/>
        </w:rPr>
        <w:t xml:space="preserve">. </w:t>
      </w:r>
    </w:p>
    <w:p w14:paraId="4A109CF2" w14:textId="77777777" w:rsidR="00F6460C" w:rsidRPr="00851192" w:rsidRDefault="00F6460C" w:rsidP="008A11E4">
      <w:pPr>
        <w:pStyle w:val="ListParagraph"/>
        <w:spacing w:line="360" w:lineRule="auto"/>
        <w:rPr>
          <w:rFonts w:ascii="Arial" w:hAnsi="Arial" w:cs="Arial"/>
        </w:rPr>
      </w:pPr>
    </w:p>
    <w:p w14:paraId="390E3223" w14:textId="3CC5DDA7" w:rsidR="00F6460C" w:rsidRPr="00851192" w:rsidRDefault="00F6460C" w:rsidP="008A11E4">
      <w:pPr>
        <w:pStyle w:val="ListParagraph"/>
        <w:numPr>
          <w:ilvl w:val="0"/>
          <w:numId w:val="23"/>
        </w:numPr>
        <w:spacing w:line="360" w:lineRule="auto"/>
        <w:jc w:val="both"/>
        <w:rPr>
          <w:rFonts w:ascii="Arial" w:hAnsi="Arial" w:cs="Arial"/>
        </w:rPr>
      </w:pPr>
      <w:r w:rsidRPr="00851192">
        <w:rPr>
          <w:rFonts w:ascii="Arial" w:hAnsi="Arial" w:cs="Arial"/>
        </w:rPr>
        <w:t xml:space="preserve">Greater tariffs should be applied to GGO’s within British territory. A greater contribution to PG should be made by the government. Furthermore, new legislation should be debated and presented forward to limit the rise in PG. Thus, would decrease tax payer’s contribution of £1.2 billion to PG and would create further sustainability within </w:t>
      </w:r>
      <w:r w:rsidRPr="00851192">
        <w:rPr>
          <w:rFonts w:ascii="Arial" w:hAnsi="Arial" w:cs="Arial"/>
        </w:rPr>
        <w:lastRenderedPageBreak/>
        <w:t xml:space="preserve">society due to the reduction of negative externalities. A best practice case for this is Canada. </w:t>
      </w:r>
    </w:p>
    <w:p w14:paraId="479D3B44" w14:textId="77777777" w:rsidR="00F6460C" w:rsidRPr="00851192" w:rsidRDefault="00F6460C" w:rsidP="008A11E4">
      <w:pPr>
        <w:pStyle w:val="ListParagraph"/>
        <w:spacing w:line="360" w:lineRule="auto"/>
        <w:rPr>
          <w:rFonts w:ascii="Arial" w:hAnsi="Arial" w:cs="Arial"/>
        </w:rPr>
      </w:pPr>
    </w:p>
    <w:p w14:paraId="0DD5369F" w14:textId="06E590AF" w:rsidR="00F6460C" w:rsidRPr="00851192" w:rsidRDefault="00F6460C" w:rsidP="008A11E4">
      <w:pPr>
        <w:pStyle w:val="ListParagraph"/>
        <w:numPr>
          <w:ilvl w:val="0"/>
          <w:numId w:val="23"/>
        </w:numPr>
        <w:spacing w:line="360" w:lineRule="auto"/>
        <w:jc w:val="both"/>
        <w:rPr>
          <w:rFonts w:ascii="Arial" w:hAnsi="Arial" w:cs="Arial"/>
        </w:rPr>
      </w:pPr>
      <w:r w:rsidRPr="00851192">
        <w:rPr>
          <w:rFonts w:ascii="Arial" w:hAnsi="Arial" w:cs="Arial"/>
        </w:rPr>
        <w:t xml:space="preserve">For governments wanting greater CSR measures committed by GGO’s, rigorous governance should be applied to the sector. Thus, GGO’s would commit to more purposeful and effective CSR communication to attract consumers. It may not resolve PG but can potentially limit the </w:t>
      </w:r>
      <w:r w:rsidR="00BD4AB0">
        <w:rPr>
          <w:rFonts w:ascii="Arial" w:hAnsi="Arial" w:cs="Arial"/>
        </w:rPr>
        <w:t xml:space="preserve">impact </w:t>
      </w:r>
      <w:proofErr w:type="spellStart"/>
      <w:proofErr w:type="gramStart"/>
      <w:r w:rsidR="00BD4AB0">
        <w:rPr>
          <w:rFonts w:ascii="Arial" w:hAnsi="Arial" w:cs="Arial"/>
        </w:rPr>
        <w:t>og</w:t>
      </w:r>
      <w:proofErr w:type="spellEnd"/>
      <w:proofErr w:type="gramEnd"/>
      <w:r w:rsidRPr="00851192">
        <w:rPr>
          <w:rFonts w:ascii="Arial" w:hAnsi="Arial" w:cs="Arial"/>
        </w:rPr>
        <w:t xml:space="preserve"> PG. </w:t>
      </w:r>
    </w:p>
    <w:p w14:paraId="7583BD26" w14:textId="77777777" w:rsidR="00F6460C" w:rsidRPr="00851192" w:rsidRDefault="00F6460C" w:rsidP="008A11E4">
      <w:pPr>
        <w:pStyle w:val="ListParagraph"/>
        <w:spacing w:line="360" w:lineRule="auto"/>
        <w:rPr>
          <w:rFonts w:ascii="Arial" w:hAnsi="Arial" w:cs="Arial"/>
        </w:rPr>
      </w:pPr>
    </w:p>
    <w:p w14:paraId="6122221E" w14:textId="374F460C" w:rsidR="00F6460C" w:rsidRPr="00851192" w:rsidRDefault="00F6460C" w:rsidP="008A11E4">
      <w:pPr>
        <w:pStyle w:val="ListParagraph"/>
        <w:numPr>
          <w:ilvl w:val="0"/>
          <w:numId w:val="23"/>
        </w:numPr>
        <w:spacing w:line="360" w:lineRule="auto"/>
        <w:jc w:val="both"/>
        <w:rPr>
          <w:rFonts w:ascii="Arial" w:hAnsi="Arial" w:cs="Arial"/>
        </w:rPr>
      </w:pPr>
      <w:r w:rsidRPr="00851192">
        <w:rPr>
          <w:rFonts w:ascii="Arial" w:hAnsi="Arial" w:cs="Arial"/>
        </w:rPr>
        <w:t xml:space="preserve">GGO’s should have a greater emphasis on </w:t>
      </w:r>
      <w:r w:rsidR="008F4F72" w:rsidRPr="00851192">
        <w:rPr>
          <w:rFonts w:ascii="Arial" w:hAnsi="Arial" w:cs="Arial"/>
        </w:rPr>
        <w:t>RG</w:t>
      </w:r>
      <w:r w:rsidRPr="00851192">
        <w:rPr>
          <w:rFonts w:ascii="Arial" w:hAnsi="Arial" w:cs="Arial"/>
        </w:rPr>
        <w:t xml:space="preserve"> on websites. To have </w:t>
      </w:r>
      <w:r w:rsidR="008F4F72" w:rsidRPr="00851192">
        <w:rPr>
          <w:rFonts w:ascii="Arial" w:hAnsi="Arial" w:cs="Arial"/>
        </w:rPr>
        <w:t>RG</w:t>
      </w:r>
      <w:r w:rsidRPr="00851192">
        <w:rPr>
          <w:rFonts w:ascii="Arial" w:hAnsi="Arial" w:cs="Arial"/>
        </w:rPr>
        <w:t xml:space="preserve"> links at the forefront off webpages without users having to locate it would add value in reducing PG and enhance the brands image. </w:t>
      </w:r>
    </w:p>
    <w:p w14:paraId="6D022F10" w14:textId="77777777" w:rsidR="00F6460C" w:rsidRPr="00851192" w:rsidRDefault="00F6460C" w:rsidP="008A11E4">
      <w:pPr>
        <w:pStyle w:val="ListParagraph"/>
        <w:spacing w:line="360" w:lineRule="auto"/>
        <w:rPr>
          <w:rFonts w:ascii="Arial" w:hAnsi="Arial" w:cs="Arial"/>
        </w:rPr>
      </w:pPr>
    </w:p>
    <w:p w14:paraId="4CB01710" w14:textId="09727B80" w:rsidR="005D5C3B" w:rsidRPr="00851192" w:rsidRDefault="00F6460C" w:rsidP="008A11E4">
      <w:pPr>
        <w:pStyle w:val="ListParagraph"/>
        <w:numPr>
          <w:ilvl w:val="0"/>
          <w:numId w:val="23"/>
        </w:numPr>
        <w:spacing w:line="360" w:lineRule="auto"/>
        <w:jc w:val="both"/>
        <w:rPr>
          <w:rFonts w:ascii="Arial" w:hAnsi="Arial" w:cs="Arial"/>
        </w:rPr>
      </w:pPr>
      <w:r w:rsidRPr="00851192">
        <w:rPr>
          <w:rFonts w:ascii="Arial" w:hAnsi="Arial" w:cs="Arial"/>
        </w:rPr>
        <w:t>GGO’s should have the same approach across the globe. Although it is highlighted that governance by political institutions shape the way GGO’s operate and behave</w:t>
      </w:r>
      <w:r w:rsidR="00BD4AB0">
        <w:rPr>
          <w:rFonts w:ascii="Arial" w:hAnsi="Arial" w:cs="Arial"/>
        </w:rPr>
        <w:t>. However,</w:t>
      </w:r>
      <w:r w:rsidRPr="00851192">
        <w:rPr>
          <w:rFonts w:ascii="Arial" w:hAnsi="Arial" w:cs="Arial"/>
        </w:rPr>
        <w:t xml:space="preserve"> by adopting the same behaviour across the globe and practising consistent CSR measures</w:t>
      </w:r>
      <w:r w:rsidR="00B25FE0" w:rsidRPr="00851192">
        <w:rPr>
          <w:rFonts w:ascii="Arial" w:hAnsi="Arial" w:cs="Arial"/>
        </w:rPr>
        <w:t xml:space="preserve"> and effectively implementing CSR communication</w:t>
      </w:r>
      <w:r w:rsidRPr="00851192">
        <w:rPr>
          <w:rFonts w:ascii="Arial" w:hAnsi="Arial" w:cs="Arial"/>
        </w:rPr>
        <w:t>, GGO’s c</w:t>
      </w:r>
      <w:r w:rsidR="00BD4AB0">
        <w:rPr>
          <w:rFonts w:ascii="Arial" w:hAnsi="Arial" w:cs="Arial"/>
        </w:rPr>
        <w:t>an</w:t>
      </w:r>
      <w:r w:rsidRPr="00851192">
        <w:rPr>
          <w:rFonts w:ascii="Arial" w:hAnsi="Arial" w:cs="Arial"/>
        </w:rPr>
        <w:t xml:space="preserve"> potential </w:t>
      </w:r>
      <w:r w:rsidR="00B25FE0" w:rsidRPr="00851192">
        <w:rPr>
          <w:rFonts w:ascii="Arial" w:hAnsi="Arial" w:cs="Arial"/>
        </w:rPr>
        <w:t xml:space="preserve">have a greater contribution to resolving PG alongside enhancing the brands identity. </w:t>
      </w:r>
    </w:p>
    <w:p w14:paraId="798D8ECA" w14:textId="77777777" w:rsidR="008F4F72" w:rsidRPr="00851192" w:rsidRDefault="008F4F72" w:rsidP="008A11E4">
      <w:pPr>
        <w:pStyle w:val="ListParagraph"/>
        <w:spacing w:line="360" w:lineRule="auto"/>
        <w:rPr>
          <w:rFonts w:ascii="Arial" w:hAnsi="Arial" w:cs="Arial"/>
        </w:rPr>
      </w:pPr>
    </w:p>
    <w:p w14:paraId="4B864839" w14:textId="52FE8B95" w:rsidR="008F4F72" w:rsidRPr="00851192" w:rsidRDefault="008F4F72" w:rsidP="008A11E4">
      <w:pPr>
        <w:pStyle w:val="ListParagraph"/>
        <w:numPr>
          <w:ilvl w:val="0"/>
          <w:numId w:val="23"/>
        </w:numPr>
        <w:spacing w:line="360" w:lineRule="auto"/>
        <w:jc w:val="both"/>
        <w:rPr>
          <w:rFonts w:ascii="Arial" w:hAnsi="Arial" w:cs="Arial"/>
        </w:rPr>
      </w:pPr>
      <w:r w:rsidRPr="00851192">
        <w:rPr>
          <w:rFonts w:ascii="Arial" w:hAnsi="Arial" w:cs="Arial"/>
        </w:rPr>
        <w:t xml:space="preserve">For connected governments such as those </w:t>
      </w:r>
      <w:r w:rsidR="00BD4AB0">
        <w:rPr>
          <w:rFonts w:ascii="Arial" w:hAnsi="Arial" w:cs="Arial"/>
        </w:rPr>
        <w:t>with</w:t>
      </w:r>
      <w:r w:rsidRPr="00851192">
        <w:rPr>
          <w:rFonts w:ascii="Arial" w:hAnsi="Arial" w:cs="Arial"/>
        </w:rPr>
        <w:t>in the EU</w:t>
      </w:r>
      <w:r w:rsidR="00BD4AB0">
        <w:rPr>
          <w:rFonts w:ascii="Arial" w:hAnsi="Arial" w:cs="Arial"/>
        </w:rPr>
        <w:t xml:space="preserve"> should</w:t>
      </w:r>
      <w:r w:rsidRPr="00851192">
        <w:rPr>
          <w:rFonts w:ascii="Arial" w:hAnsi="Arial" w:cs="Arial"/>
        </w:rPr>
        <w:t xml:space="preserve"> explore and commit to greater research regarding the issues surrounding PG. A greater understanding of PG can be gained and will tackle the issue on limited research within the </w:t>
      </w:r>
      <w:r w:rsidR="00BD4AB0">
        <w:rPr>
          <w:rFonts w:ascii="Arial" w:hAnsi="Arial" w:cs="Arial"/>
        </w:rPr>
        <w:t>field</w:t>
      </w:r>
      <w:r w:rsidRPr="00851192">
        <w:rPr>
          <w:rFonts w:ascii="Arial" w:hAnsi="Arial" w:cs="Arial"/>
        </w:rPr>
        <w:t xml:space="preserve">. </w:t>
      </w:r>
    </w:p>
    <w:p w14:paraId="594A0644" w14:textId="77777777" w:rsidR="001C558F" w:rsidRPr="00851192" w:rsidRDefault="001C558F" w:rsidP="008A11E4">
      <w:pPr>
        <w:pStyle w:val="ListParagraph"/>
        <w:spacing w:line="360" w:lineRule="auto"/>
        <w:rPr>
          <w:rFonts w:ascii="Arial" w:hAnsi="Arial" w:cs="Arial"/>
        </w:rPr>
      </w:pPr>
    </w:p>
    <w:p w14:paraId="33262444" w14:textId="35457FC4" w:rsidR="001C558F" w:rsidRPr="00851192" w:rsidRDefault="001C558F" w:rsidP="008A11E4">
      <w:pPr>
        <w:pStyle w:val="ListParagraph"/>
        <w:numPr>
          <w:ilvl w:val="0"/>
          <w:numId w:val="23"/>
        </w:numPr>
        <w:spacing w:line="360" w:lineRule="auto"/>
        <w:jc w:val="both"/>
        <w:rPr>
          <w:rFonts w:ascii="Arial" w:hAnsi="Arial" w:cs="Arial"/>
        </w:rPr>
      </w:pPr>
      <w:r w:rsidRPr="00851192">
        <w:rPr>
          <w:rFonts w:ascii="Arial" w:hAnsi="Arial" w:cs="Arial"/>
        </w:rPr>
        <w:t xml:space="preserve">Recommendations towards managerial practice for GGO and governments to work together to create a strategy which works for both parties and contributes to RG initiatives and decreases the rate of PG. </w:t>
      </w:r>
    </w:p>
    <w:p w14:paraId="5B493A00" w14:textId="7C56820D" w:rsidR="00682E18" w:rsidRPr="00851192" w:rsidRDefault="00DD2D3A" w:rsidP="00DD2D3A">
      <w:pPr>
        <w:pStyle w:val="Heading1"/>
        <w:rPr>
          <w:rFonts w:ascii="Arial" w:hAnsi="Arial" w:cs="Arial"/>
          <w:color w:val="auto"/>
        </w:rPr>
      </w:pPr>
      <w:bookmarkStart w:id="76" w:name="_Toc526434277"/>
      <w:r w:rsidRPr="00851192">
        <w:rPr>
          <w:rFonts w:ascii="Arial" w:hAnsi="Arial" w:cs="Arial"/>
          <w:color w:val="auto"/>
        </w:rPr>
        <w:t xml:space="preserve">5.5 </w:t>
      </w:r>
      <w:r w:rsidR="00682E18" w:rsidRPr="00851192">
        <w:rPr>
          <w:rFonts w:ascii="Arial" w:hAnsi="Arial" w:cs="Arial"/>
          <w:color w:val="auto"/>
        </w:rPr>
        <w:t>Limitations</w:t>
      </w:r>
      <w:r w:rsidR="00C82926" w:rsidRPr="00851192">
        <w:rPr>
          <w:rFonts w:ascii="Arial" w:hAnsi="Arial" w:cs="Arial"/>
          <w:color w:val="auto"/>
        </w:rPr>
        <w:t xml:space="preserve"> of the Study</w:t>
      </w:r>
      <w:bookmarkEnd w:id="76"/>
    </w:p>
    <w:p w14:paraId="67DDE39D" w14:textId="689E1C79" w:rsidR="00B4641F" w:rsidRPr="00851192" w:rsidRDefault="00B4641F" w:rsidP="00B60FC8">
      <w:pPr>
        <w:spacing w:line="360" w:lineRule="auto"/>
        <w:jc w:val="both"/>
        <w:rPr>
          <w:rFonts w:ascii="Arial" w:hAnsi="Arial" w:cs="Arial"/>
        </w:rPr>
      </w:pPr>
      <w:r w:rsidRPr="00851192">
        <w:rPr>
          <w:rFonts w:ascii="Arial" w:hAnsi="Arial" w:cs="Arial"/>
        </w:rPr>
        <w:t>To further the value of findings within the survey</w:t>
      </w:r>
      <w:r w:rsidR="001B5AAB" w:rsidRPr="00851192">
        <w:rPr>
          <w:rFonts w:ascii="Arial" w:hAnsi="Arial" w:cs="Arial"/>
        </w:rPr>
        <w:t xml:space="preserve"> from samples</w:t>
      </w:r>
      <w:r w:rsidRPr="00851192">
        <w:rPr>
          <w:rFonts w:ascii="Arial" w:hAnsi="Arial" w:cs="Arial"/>
        </w:rPr>
        <w:t xml:space="preserve">, an effort to encourage </w:t>
      </w:r>
      <w:r w:rsidR="008F4F72" w:rsidRPr="00851192">
        <w:rPr>
          <w:rFonts w:ascii="Arial" w:hAnsi="Arial" w:cs="Arial"/>
        </w:rPr>
        <w:t>RG</w:t>
      </w:r>
      <w:r w:rsidRPr="00851192">
        <w:rPr>
          <w:rFonts w:ascii="Arial" w:hAnsi="Arial" w:cs="Arial"/>
        </w:rPr>
        <w:t xml:space="preserve"> councils and societies were made as illustrated in the appendices under </w:t>
      </w:r>
      <w:r w:rsidR="003109BA" w:rsidRPr="00851192">
        <w:rPr>
          <w:rFonts w:ascii="Arial" w:hAnsi="Arial" w:cs="Arial"/>
        </w:rPr>
        <w:t>(</w:t>
      </w:r>
      <w:r w:rsidR="003109BA" w:rsidRPr="00851192">
        <w:rPr>
          <w:rFonts w:ascii="Arial" w:hAnsi="Arial" w:cs="Arial"/>
          <w:b/>
          <w:i/>
        </w:rPr>
        <w:t>Appendix 2.5</w:t>
      </w:r>
      <w:proofErr w:type="gramStart"/>
      <w:r w:rsidR="003109BA" w:rsidRPr="00851192">
        <w:rPr>
          <w:rFonts w:ascii="Arial" w:hAnsi="Arial" w:cs="Arial"/>
          <w:b/>
          <w:i/>
        </w:rPr>
        <w:t>,2.6</w:t>
      </w:r>
      <w:proofErr w:type="gramEnd"/>
      <w:r w:rsidR="003109BA" w:rsidRPr="00851192">
        <w:rPr>
          <w:rFonts w:ascii="Arial" w:hAnsi="Arial" w:cs="Arial"/>
          <w:b/>
          <w:i/>
        </w:rPr>
        <w:t xml:space="preserve"> &amp; 2.7</w:t>
      </w:r>
      <w:r w:rsidR="003109BA" w:rsidRPr="00851192">
        <w:rPr>
          <w:rFonts w:ascii="Arial" w:hAnsi="Arial" w:cs="Arial"/>
        </w:rPr>
        <w:t>)</w:t>
      </w:r>
      <w:r w:rsidRPr="00851192">
        <w:rPr>
          <w:rFonts w:ascii="Arial" w:hAnsi="Arial" w:cs="Arial"/>
        </w:rPr>
        <w:t xml:space="preserve">. This was despite of conversations </w:t>
      </w:r>
      <w:r w:rsidR="00BD4AB0">
        <w:rPr>
          <w:rFonts w:ascii="Arial" w:hAnsi="Arial" w:cs="Arial"/>
        </w:rPr>
        <w:t>being encouraging</w:t>
      </w:r>
      <w:r w:rsidRPr="00851192">
        <w:rPr>
          <w:rFonts w:ascii="Arial" w:hAnsi="Arial" w:cs="Arial"/>
        </w:rPr>
        <w:t xml:space="preserve"> with representatives such as Responsible Gambling Council in Canada, </w:t>
      </w:r>
      <w:proofErr w:type="spellStart"/>
      <w:r w:rsidRPr="00851192">
        <w:rPr>
          <w:rFonts w:ascii="Arial" w:hAnsi="Arial" w:cs="Arial"/>
        </w:rPr>
        <w:t>Elitebet</w:t>
      </w:r>
      <w:proofErr w:type="spellEnd"/>
      <w:r w:rsidRPr="00851192">
        <w:rPr>
          <w:rFonts w:ascii="Arial" w:hAnsi="Arial" w:cs="Arial"/>
        </w:rPr>
        <w:t xml:space="preserve"> Kenya, and Responsible Gambling Week in the UK. Due to the timeframe of the dissertation, alongside the procedures needed to by representatives from associated organisations, the survey would not be published within the timeframe</w:t>
      </w:r>
      <w:r w:rsidR="001B5AAB" w:rsidRPr="00851192">
        <w:rPr>
          <w:rFonts w:ascii="Arial" w:hAnsi="Arial" w:cs="Arial"/>
        </w:rPr>
        <w:t xml:space="preserve"> on their platforms. The researcher reached out to organisations once the survey was published and over a month prior to the deadline </w:t>
      </w:r>
      <w:r w:rsidRPr="00851192">
        <w:rPr>
          <w:rFonts w:ascii="Arial" w:hAnsi="Arial" w:cs="Arial"/>
        </w:rPr>
        <w:t xml:space="preserve">of the dissertation. </w:t>
      </w:r>
    </w:p>
    <w:p w14:paraId="4C704002" w14:textId="2AC3E92E" w:rsidR="00682E18" w:rsidRPr="00851192" w:rsidRDefault="00DD2D3A" w:rsidP="00DD2D3A">
      <w:pPr>
        <w:pStyle w:val="Heading1"/>
        <w:rPr>
          <w:rFonts w:ascii="Arial" w:hAnsi="Arial" w:cs="Arial"/>
          <w:color w:val="auto"/>
        </w:rPr>
      </w:pPr>
      <w:bookmarkStart w:id="77" w:name="_Toc526434278"/>
      <w:r w:rsidRPr="00851192">
        <w:rPr>
          <w:rFonts w:ascii="Arial" w:hAnsi="Arial" w:cs="Arial"/>
          <w:color w:val="auto"/>
        </w:rPr>
        <w:lastRenderedPageBreak/>
        <w:t xml:space="preserve">5.6 </w:t>
      </w:r>
      <w:r w:rsidR="00682E18" w:rsidRPr="00851192">
        <w:rPr>
          <w:rFonts w:ascii="Arial" w:hAnsi="Arial" w:cs="Arial"/>
          <w:color w:val="auto"/>
        </w:rPr>
        <w:t>Conclusion</w:t>
      </w:r>
      <w:bookmarkEnd w:id="77"/>
    </w:p>
    <w:p w14:paraId="4FB720F4" w14:textId="4753CC33" w:rsidR="00DD2D3A" w:rsidRPr="00851192" w:rsidRDefault="00DB33DF" w:rsidP="00B60FC8">
      <w:pPr>
        <w:spacing w:line="360" w:lineRule="auto"/>
        <w:jc w:val="both"/>
        <w:rPr>
          <w:rFonts w:ascii="Arial" w:hAnsi="Arial" w:cs="Arial"/>
        </w:rPr>
      </w:pPr>
      <w:r w:rsidRPr="00851192">
        <w:rPr>
          <w:rFonts w:ascii="Arial" w:hAnsi="Arial" w:cs="Arial"/>
        </w:rPr>
        <w:t xml:space="preserve">This study is the first study to look at the value of CSR and CSR communication held by GGO’s. PG and RG have a direct link to CSR activates carried out by GGO’s. Issues have been identified within the dissertation from a business perspective with high incongruence between gambling brands of the study and consumers; alongside issues highlighted by participants of the survey. The dissertation has also highlighted the need for further researcher regarding global PG and associated areas. </w:t>
      </w:r>
    </w:p>
    <w:p w14:paraId="74CDA454" w14:textId="34780445" w:rsidR="00DB33DF" w:rsidRPr="00851192" w:rsidRDefault="00DB33DF" w:rsidP="00B60FC8">
      <w:pPr>
        <w:spacing w:line="360" w:lineRule="auto"/>
        <w:jc w:val="both"/>
        <w:rPr>
          <w:rFonts w:ascii="Arial" w:hAnsi="Arial" w:cs="Arial"/>
        </w:rPr>
      </w:pPr>
      <w:r w:rsidRPr="00851192">
        <w:rPr>
          <w:rFonts w:ascii="Arial" w:hAnsi="Arial" w:cs="Arial"/>
        </w:rPr>
        <w:t>The aims and objectives in chapter one has been achieved with the first objective being achieved in chapter two. A gap in literature was discovered within chapter two with no research regarding the global rate of PG being available. An appropriate methodology was outlined within chapter three using a pragmatic mixed methods approach using ‘The Research Onion’</w:t>
      </w:r>
      <w:r w:rsidR="0062753F" w:rsidRPr="00851192">
        <w:rPr>
          <w:rFonts w:ascii="Arial" w:hAnsi="Arial" w:cs="Arial"/>
        </w:rPr>
        <w:t>,</w:t>
      </w:r>
      <w:r w:rsidRPr="00851192">
        <w:rPr>
          <w:rFonts w:ascii="Arial" w:hAnsi="Arial" w:cs="Arial"/>
        </w:rPr>
        <w:t xml:space="preserve"> whilst</w:t>
      </w:r>
      <w:r w:rsidR="0062753F" w:rsidRPr="00851192">
        <w:rPr>
          <w:rFonts w:ascii="Arial" w:hAnsi="Arial" w:cs="Arial"/>
        </w:rPr>
        <w:t xml:space="preserve"> also</w:t>
      </w:r>
      <w:r w:rsidRPr="00851192">
        <w:rPr>
          <w:rFonts w:ascii="Arial" w:hAnsi="Arial" w:cs="Arial"/>
        </w:rPr>
        <w:t xml:space="preserve"> bearing in mind ethical considerations due to the sensitivity of the study. </w:t>
      </w:r>
    </w:p>
    <w:p w14:paraId="5A75CC4C" w14:textId="6F55989D" w:rsidR="0062753F" w:rsidRPr="00851192" w:rsidRDefault="0062753F" w:rsidP="00B60FC8">
      <w:pPr>
        <w:spacing w:line="360" w:lineRule="auto"/>
        <w:jc w:val="both"/>
        <w:rPr>
          <w:rFonts w:ascii="Arial" w:hAnsi="Arial" w:cs="Arial"/>
        </w:rPr>
      </w:pPr>
      <w:r w:rsidRPr="00851192">
        <w:rPr>
          <w:rFonts w:ascii="Arial" w:hAnsi="Arial" w:cs="Arial"/>
        </w:rPr>
        <w:t>Analysis within chapter four highlighted that GGO highly value CSR and CSR communication expressing a positive contribution to PG issues and having an effective business model which meets stakeholders’ expectations. Chapter four also achieved objectives two and three of this dissertation. Even so, content analysis from social media platfor</w:t>
      </w:r>
      <w:bookmarkStart w:id="78" w:name="_GoBack"/>
      <w:bookmarkEnd w:id="78"/>
      <w:r w:rsidRPr="00851192">
        <w:rPr>
          <w:rFonts w:ascii="Arial" w:hAnsi="Arial" w:cs="Arial"/>
        </w:rPr>
        <w:t xml:space="preserve">ms provided a contrasting insight into the effectiveness of the business model and ideology presented within annual reports. The CSR consumer survey provided reinforcement to assumptions alongside highlighting strong issues regarding GGO’s behaviour towards the market. The study identified that although GGO’s preach that they value CSR and CSR communication, evaluation shows that consumer believe this is not true. </w:t>
      </w:r>
    </w:p>
    <w:p w14:paraId="424C7A36" w14:textId="475F4585" w:rsidR="00DD2D3A" w:rsidRPr="00851192" w:rsidRDefault="0062753F">
      <w:pPr>
        <w:rPr>
          <w:rFonts w:ascii="Arial" w:hAnsi="Arial" w:cs="Arial"/>
        </w:rPr>
      </w:pPr>
      <w:r w:rsidRPr="00851192">
        <w:rPr>
          <w:rFonts w:ascii="Arial" w:hAnsi="Arial" w:cs="Arial"/>
        </w:rPr>
        <w:t xml:space="preserve">  </w:t>
      </w:r>
    </w:p>
    <w:p w14:paraId="18AEC4E4" w14:textId="03C4305B" w:rsidR="00DD2D3A" w:rsidRPr="00851192" w:rsidRDefault="00DD2D3A">
      <w:pPr>
        <w:rPr>
          <w:rFonts w:ascii="Arial" w:hAnsi="Arial" w:cs="Arial"/>
        </w:rPr>
      </w:pPr>
    </w:p>
    <w:p w14:paraId="187FB827" w14:textId="2D80E11B" w:rsidR="00DD2D3A" w:rsidRPr="00851192" w:rsidRDefault="00DD2D3A">
      <w:pPr>
        <w:rPr>
          <w:rFonts w:ascii="Arial" w:hAnsi="Arial" w:cs="Arial"/>
        </w:rPr>
      </w:pPr>
    </w:p>
    <w:p w14:paraId="4448A6C5" w14:textId="3232A4DD" w:rsidR="00817CE9" w:rsidRPr="00851192" w:rsidRDefault="00817CE9">
      <w:pPr>
        <w:rPr>
          <w:rFonts w:ascii="Arial" w:hAnsi="Arial" w:cs="Arial"/>
        </w:rPr>
      </w:pPr>
    </w:p>
    <w:p w14:paraId="5BEB8F32" w14:textId="76E153FE" w:rsidR="00817CE9" w:rsidRPr="00851192" w:rsidRDefault="00817CE9">
      <w:pPr>
        <w:rPr>
          <w:rFonts w:ascii="Arial" w:hAnsi="Arial" w:cs="Arial"/>
        </w:rPr>
      </w:pPr>
    </w:p>
    <w:p w14:paraId="3D602784" w14:textId="24FCAABF" w:rsidR="00817CE9" w:rsidRPr="00851192" w:rsidRDefault="00817CE9">
      <w:pPr>
        <w:rPr>
          <w:rFonts w:ascii="Arial" w:hAnsi="Arial" w:cs="Arial"/>
        </w:rPr>
      </w:pPr>
    </w:p>
    <w:p w14:paraId="0C2F243A" w14:textId="078D7973" w:rsidR="00817CE9" w:rsidRPr="00851192" w:rsidRDefault="00817CE9">
      <w:pPr>
        <w:rPr>
          <w:rFonts w:ascii="Arial" w:hAnsi="Arial" w:cs="Arial"/>
        </w:rPr>
      </w:pPr>
    </w:p>
    <w:p w14:paraId="5978E2FA" w14:textId="0DA8857D" w:rsidR="00817CE9" w:rsidRPr="00851192" w:rsidRDefault="00817CE9">
      <w:pPr>
        <w:rPr>
          <w:rFonts w:ascii="Arial" w:hAnsi="Arial" w:cs="Arial"/>
        </w:rPr>
      </w:pPr>
    </w:p>
    <w:p w14:paraId="1515B8C5" w14:textId="7D5E256B" w:rsidR="00817CE9" w:rsidRPr="00851192" w:rsidRDefault="00817CE9">
      <w:pPr>
        <w:rPr>
          <w:rFonts w:ascii="Arial" w:hAnsi="Arial" w:cs="Arial"/>
        </w:rPr>
      </w:pPr>
    </w:p>
    <w:p w14:paraId="1FCE817E" w14:textId="68834AD6" w:rsidR="00817CE9" w:rsidRDefault="00817CE9">
      <w:pPr>
        <w:rPr>
          <w:rFonts w:ascii="Arial" w:hAnsi="Arial" w:cs="Arial"/>
        </w:rPr>
      </w:pPr>
    </w:p>
    <w:p w14:paraId="0FDAE603" w14:textId="5BB6B4A4" w:rsidR="005B7C1E" w:rsidRDefault="005B7C1E">
      <w:pPr>
        <w:rPr>
          <w:rFonts w:ascii="Arial" w:hAnsi="Arial" w:cs="Arial"/>
        </w:rPr>
      </w:pPr>
    </w:p>
    <w:p w14:paraId="0B3CD039" w14:textId="77777777" w:rsidR="005B7C1E" w:rsidRPr="00851192" w:rsidRDefault="005B7C1E">
      <w:pPr>
        <w:rPr>
          <w:rFonts w:ascii="Arial" w:hAnsi="Arial" w:cs="Arial"/>
        </w:rPr>
      </w:pPr>
    </w:p>
    <w:p w14:paraId="55AF8725" w14:textId="49E07B12" w:rsidR="00817CE9" w:rsidRPr="00851192" w:rsidRDefault="00817CE9">
      <w:pPr>
        <w:rPr>
          <w:rFonts w:ascii="Arial" w:hAnsi="Arial" w:cs="Arial"/>
        </w:rPr>
      </w:pPr>
    </w:p>
    <w:p w14:paraId="7D550AE9" w14:textId="77777777" w:rsidR="000B6B1B" w:rsidRPr="00851192" w:rsidRDefault="000B6B1B">
      <w:pPr>
        <w:rPr>
          <w:rFonts w:ascii="Arial" w:hAnsi="Arial" w:cs="Arial"/>
        </w:rPr>
      </w:pPr>
    </w:p>
    <w:bookmarkStart w:id="79" w:name="_Toc526434279" w:displacedByCustomXml="next"/>
    <w:sdt>
      <w:sdtPr>
        <w:rPr>
          <w:rFonts w:ascii="Arial" w:eastAsiaTheme="minorHAnsi" w:hAnsi="Arial" w:cs="Arial"/>
          <w:color w:val="auto"/>
          <w:sz w:val="22"/>
          <w:szCs w:val="22"/>
          <w:lang w:val="en-GB"/>
        </w:rPr>
        <w:id w:val="-650898087"/>
        <w:docPartObj>
          <w:docPartGallery w:val="Bibliographies"/>
          <w:docPartUnique/>
        </w:docPartObj>
      </w:sdtPr>
      <w:sdtEndPr>
        <w:rPr>
          <w:rFonts w:eastAsiaTheme="majorEastAsia"/>
          <w:sz w:val="32"/>
          <w:szCs w:val="32"/>
          <w:lang w:val="en-US"/>
        </w:rPr>
      </w:sdtEndPr>
      <w:sdtContent>
        <w:p w14:paraId="2E607CF4" w14:textId="0BA8E9A1" w:rsidR="00CE7C28" w:rsidRPr="00851192" w:rsidRDefault="005E3EE2">
          <w:pPr>
            <w:pStyle w:val="Heading1"/>
            <w:rPr>
              <w:rFonts w:ascii="Arial" w:hAnsi="Arial" w:cs="Arial"/>
              <w:b/>
              <w:color w:val="auto"/>
            </w:rPr>
          </w:pPr>
          <w:r w:rsidRPr="00851192">
            <w:rPr>
              <w:rFonts w:ascii="Arial" w:hAnsi="Arial" w:cs="Arial"/>
              <w:b/>
              <w:color w:val="auto"/>
            </w:rPr>
            <w:t>6.0</w:t>
          </w:r>
          <w:r w:rsidRPr="00851192">
            <w:rPr>
              <w:rFonts w:ascii="Arial" w:eastAsiaTheme="minorHAnsi" w:hAnsi="Arial" w:cs="Arial"/>
              <w:b/>
              <w:color w:val="auto"/>
              <w:sz w:val="22"/>
              <w:szCs w:val="22"/>
              <w:lang w:val="en-GB"/>
            </w:rPr>
            <w:t xml:space="preserve"> </w:t>
          </w:r>
          <w:r w:rsidR="00CE7C28" w:rsidRPr="00851192">
            <w:rPr>
              <w:rFonts w:ascii="Arial" w:hAnsi="Arial" w:cs="Arial"/>
              <w:b/>
              <w:color w:val="auto"/>
            </w:rPr>
            <w:t>Bibliography</w:t>
          </w:r>
          <w:bookmarkEnd w:id="79"/>
        </w:p>
        <w:sdt>
          <w:sdtPr>
            <w:rPr>
              <w:rFonts w:ascii="Arial" w:eastAsiaTheme="majorEastAsia" w:hAnsi="Arial" w:cs="Arial"/>
              <w:color w:val="2F5496" w:themeColor="accent1" w:themeShade="BF"/>
              <w:sz w:val="32"/>
              <w:szCs w:val="32"/>
              <w:lang w:val="en-US"/>
            </w:rPr>
            <w:id w:val="111145805"/>
            <w:bibliography/>
          </w:sdtPr>
          <w:sdtEndPr/>
          <w:sdtContent>
            <w:p w14:paraId="3427516B" w14:textId="77777777" w:rsidR="002D17EA" w:rsidRPr="00851192" w:rsidRDefault="00CE7C28" w:rsidP="00BD4AB0">
              <w:pPr>
                <w:pStyle w:val="Bibliography"/>
                <w:ind w:left="720" w:hanging="720"/>
                <w:jc w:val="both"/>
                <w:rPr>
                  <w:rFonts w:ascii="Arial" w:hAnsi="Arial" w:cs="Arial"/>
                  <w:noProof/>
                  <w:sz w:val="24"/>
                  <w:szCs w:val="24"/>
                  <w:lang w:val="en-US"/>
                </w:rPr>
              </w:pPr>
              <w:r w:rsidRPr="00851192">
                <w:rPr>
                  <w:rFonts w:ascii="Arial" w:hAnsi="Arial" w:cs="Arial"/>
                </w:rPr>
                <w:fldChar w:fldCharType="begin"/>
              </w:r>
              <w:r w:rsidRPr="00851192">
                <w:rPr>
                  <w:rFonts w:ascii="Arial" w:hAnsi="Arial" w:cs="Arial"/>
                </w:rPr>
                <w:instrText xml:space="preserve"> BIBLIOGRAPHY </w:instrText>
              </w:r>
              <w:r w:rsidRPr="00851192">
                <w:rPr>
                  <w:rFonts w:ascii="Arial" w:hAnsi="Arial" w:cs="Arial"/>
                </w:rPr>
                <w:fldChar w:fldCharType="separate"/>
              </w:r>
              <w:r w:rsidR="002D17EA" w:rsidRPr="00851192">
                <w:rPr>
                  <w:rFonts w:ascii="Arial" w:hAnsi="Arial" w:cs="Arial"/>
                  <w:noProof/>
                  <w:lang w:val="en-US"/>
                </w:rPr>
                <w:t xml:space="preserve">Argenti, P. A., &amp; Druckermiller, B. (2002). Reputation and the Corporate Brand. </w:t>
              </w:r>
              <w:r w:rsidR="002D17EA" w:rsidRPr="00851192">
                <w:rPr>
                  <w:rFonts w:ascii="Arial" w:hAnsi="Arial" w:cs="Arial"/>
                  <w:i/>
                  <w:iCs/>
                  <w:noProof/>
                  <w:lang w:val="en-US"/>
                </w:rPr>
                <w:t>Corporate Reputation Review, 6</w:t>
              </w:r>
              <w:r w:rsidR="002D17EA" w:rsidRPr="00851192">
                <w:rPr>
                  <w:rFonts w:ascii="Arial" w:hAnsi="Arial" w:cs="Arial"/>
                  <w:noProof/>
                  <w:lang w:val="en-US"/>
                </w:rPr>
                <w:t>(4), 368-374.</w:t>
              </w:r>
            </w:p>
            <w:p w14:paraId="636B3F99"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i/>
                  <w:iCs/>
                  <w:noProof/>
                  <w:lang w:val="en-US"/>
                </w:rPr>
                <w:t>Asia Gaming Facebook Account</w:t>
              </w:r>
              <w:r w:rsidRPr="00851192">
                <w:rPr>
                  <w:rFonts w:ascii="Arial" w:hAnsi="Arial" w:cs="Arial"/>
                  <w:noProof/>
                  <w:lang w:val="en-US"/>
                </w:rPr>
                <w:t>. (2018, August 15). Retrieved from Facebook: https://www.facebook.com/AsiaGaming.Official/</w:t>
              </w:r>
            </w:p>
            <w:p w14:paraId="2473C699"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i/>
                  <w:iCs/>
                  <w:noProof/>
                  <w:lang w:val="en-US"/>
                </w:rPr>
                <w:t>Asia Gaming Gambling Website</w:t>
              </w:r>
              <w:r w:rsidRPr="00851192">
                <w:rPr>
                  <w:rFonts w:ascii="Arial" w:hAnsi="Arial" w:cs="Arial"/>
                  <w:noProof/>
                  <w:lang w:val="en-US"/>
                </w:rPr>
                <w:t>. (2018, August 15). Retrieved from Ali88win: http://ali88win.com/scr888.htm</w:t>
              </w:r>
            </w:p>
            <w:p w14:paraId="08969249"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i/>
                  <w:iCs/>
                  <w:noProof/>
                  <w:lang w:val="en-US"/>
                </w:rPr>
                <w:t>Asia Gaming Website</w:t>
              </w:r>
              <w:r w:rsidRPr="00851192">
                <w:rPr>
                  <w:rFonts w:ascii="Arial" w:hAnsi="Arial" w:cs="Arial"/>
                  <w:noProof/>
                  <w:lang w:val="en-US"/>
                </w:rPr>
                <w:t>. (2018, August 15). Retrieved from Asia Gaming: https://asia-gaming.com/#</w:t>
              </w:r>
            </w:p>
            <w:p w14:paraId="13769E90"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i/>
                  <w:iCs/>
                  <w:noProof/>
                  <w:lang w:val="en-US"/>
                </w:rPr>
                <w:t>Asia Gaming Weibo Account</w:t>
              </w:r>
              <w:r w:rsidRPr="00851192">
                <w:rPr>
                  <w:rFonts w:ascii="Arial" w:hAnsi="Arial" w:cs="Arial"/>
                  <w:noProof/>
                  <w:lang w:val="en-US"/>
                </w:rPr>
                <w:t>. (2018, August 15). Retrieved from Weibo: https://www.weibo.com/u/6376980652</w:t>
              </w:r>
            </w:p>
            <w:p w14:paraId="48ADBBF3"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Balmer, M. J., Gray, R. E., &amp; Fukukawa, K. (2007). The Nature and Management of Ethical Corporate Identity: A Commentary on Corporate Identity, Corporate Social Responsibility and Ethics. </w:t>
              </w:r>
              <w:r w:rsidRPr="00851192">
                <w:rPr>
                  <w:rFonts w:ascii="Arial" w:hAnsi="Arial" w:cs="Arial"/>
                  <w:i/>
                  <w:iCs/>
                  <w:noProof/>
                  <w:lang w:val="en-US"/>
                </w:rPr>
                <w:t>Journal of Business, 76</w:t>
              </w:r>
              <w:r w:rsidRPr="00851192">
                <w:rPr>
                  <w:rFonts w:ascii="Arial" w:hAnsi="Arial" w:cs="Arial"/>
                  <w:noProof/>
                  <w:lang w:val="en-US"/>
                </w:rPr>
                <w:t>(1), 7-15.</w:t>
              </w:r>
            </w:p>
            <w:p w14:paraId="4C10379D"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Barlowe, K. (2017). </w:t>
              </w:r>
              <w:r w:rsidRPr="00851192">
                <w:rPr>
                  <w:rFonts w:ascii="Arial" w:hAnsi="Arial" w:cs="Arial"/>
                  <w:i/>
                  <w:iCs/>
                  <w:noProof/>
                  <w:lang w:val="en-US"/>
                </w:rPr>
                <w:t>Kenya Ups Its Gambling Tax Rate as Online Betting Booms Across Africa.</w:t>
              </w:r>
              <w:r w:rsidRPr="00851192">
                <w:rPr>
                  <w:rFonts w:ascii="Arial" w:hAnsi="Arial" w:cs="Arial"/>
                  <w:noProof/>
                  <w:lang w:val="en-US"/>
                </w:rPr>
                <w:t xml:space="preserve"> Malta: CasinoOrg.</w:t>
              </w:r>
            </w:p>
            <w:p w14:paraId="25324FD0"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i/>
                  <w:iCs/>
                  <w:noProof/>
                  <w:lang w:val="en-US"/>
                </w:rPr>
                <w:t>Bet 365 Facebook Account</w:t>
              </w:r>
              <w:r w:rsidRPr="00851192">
                <w:rPr>
                  <w:rFonts w:ascii="Arial" w:hAnsi="Arial" w:cs="Arial"/>
                  <w:noProof/>
                  <w:lang w:val="en-US"/>
                </w:rPr>
                <w:t>. (2018, August 15). Retrieved from Facebook: https://www.facebook.com/bet365uk/?hc_ref=ARQFn25Iq68NJZzEWpDU5QRCUnWTdEFW8oN_JgyjPHxOrZ5fnup72HvYgbEahnHoWwM&amp;fref=nf&amp;__xts__%5B0%5D=68.ARA-Zs0tt3YTVmjXAfWI0jnVzcYHsPdn_QAvZLfqkF6xcYYlUs3ICF4B4vDLLiOslu_J-6jUDJWFuLFPk3H6dq1eZJ4Xp9hVAjXv7ThjWSkUpT-0Gd_OZpU</w:t>
              </w:r>
            </w:p>
            <w:p w14:paraId="162CA6DF"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i/>
                  <w:iCs/>
                  <w:noProof/>
                  <w:lang w:val="en-US"/>
                </w:rPr>
                <w:t>Bet 365 Twitter Account</w:t>
              </w:r>
              <w:r w:rsidRPr="00851192">
                <w:rPr>
                  <w:rFonts w:ascii="Arial" w:hAnsi="Arial" w:cs="Arial"/>
                  <w:noProof/>
                  <w:lang w:val="en-US"/>
                </w:rPr>
                <w:t>. (2018, August 15). Retrieved from Twitter: https://twitter.com/bet365?lang=en</w:t>
              </w:r>
            </w:p>
            <w:p w14:paraId="4A0A775A"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i/>
                  <w:iCs/>
                  <w:noProof/>
                  <w:lang w:val="en-US"/>
                </w:rPr>
                <w:t>Bet 365 Website</w:t>
              </w:r>
              <w:r w:rsidRPr="00851192">
                <w:rPr>
                  <w:rFonts w:ascii="Arial" w:hAnsi="Arial" w:cs="Arial"/>
                  <w:noProof/>
                  <w:lang w:val="en-US"/>
                </w:rPr>
                <w:t>. (2018, August 15). Retrieved from Bet 365: https://www.bet365.com/?affiliate=365_688292#/HO/</w:t>
              </w:r>
            </w:p>
            <w:p w14:paraId="0E919655"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Bet365 Group Limited. (2017). </w:t>
              </w:r>
              <w:r w:rsidRPr="00851192">
                <w:rPr>
                  <w:rFonts w:ascii="Arial" w:hAnsi="Arial" w:cs="Arial"/>
                  <w:i/>
                  <w:iCs/>
                  <w:noProof/>
                  <w:lang w:val="en-US"/>
                </w:rPr>
                <w:t>Bet365 Annual Report 2016.</w:t>
              </w:r>
              <w:r w:rsidRPr="00851192">
                <w:rPr>
                  <w:rFonts w:ascii="Arial" w:hAnsi="Arial" w:cs="Arial"/>
                  <w:noProof/>
                  <w:lang w:val="en-US"/>
                </w:rPr>
                <w:t xml:space="preserve"> Gibraltar: Bet365.</w:t>
              </w:r>
            </w:p>
            <w:p w14:paraId="0240FE2B"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Beu, D., &amp; Buckley, R. M. (2001). The Hypothesized Relationship Between Accountability and Ethical Behavior. </w:t>
              </w:r>
              <w:r w:rsidRPr="00851192">
                <w:rPr>
                  <w:rFonts w:ascii="Arial" w:hAnsi="Arial" w:cs="Arial"/>
                  <w:i/>
                  <w:iCs/>
                  <w:noProof/>
                  <w:lang w:val="en-US"/>
                </w:rPr>
                <w:t>Journal of Business Ethics, 34</w:t>
              </w:r>
              <w:r w:rsidRPr="00851192">
                <w:rPr>
                  <w:rFonts w:ascii="Arial" w:hAnsi="Arial" w:cs="Arial"/>
                  <w:noProof/>
                  <w:lang w:val="en-US"/>
                </w:rPr>
                <w:t>(1), 57-73.</w:t>
              </w:r>
            </w:p>
            <w:p w14:paraId="12636F72"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Blanpain, R., Bromwich, W., &amp; Rymkevich, O. (2010). </w:t>
              </w:r>
              <w:r w:rsidRPr="00851192">
                <w:rPr>
                  <w:rFonts w:ascii="Arial" w:hAnsi="Arial" w:cs="Arial"/>
                  <w:i/>
                  <w:iCs/>
                  <w:noProof/>
                  <w:lang w:val="en-US"/>
                </w:rPr>
                <w:t>Rethinking Corporate Governance: From Shareholder Value to Stakeholder Value.</w:t>
              </w:r>
              <w:r w:rsidRPr="00851192">
                <w:rPr>
                  <w:rFonts w:ascii="Arial" w:hAnsi="Arial" w:cs="Arial"/>
                  <w:noProof/>
                  <w:lang w:val="en-US"/>
                </w:rPr>
                <w:t xml:space="preserve"> The Netherlands: Kluwer Law International .</w:t>
              </w:r>
            </w:p>
            <w:p w14:paraId="0BB72842"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Boucher, B. M., &amp; Rendtorff, J. D. (2016). </w:t>
              </w:r>
              <w:r w:rsidRPr="00851192">
                <w:rPr>
                  <w:rFonts w:ascii="Arial" w:hAnsi="Arial" w:cs="Arial"/>
                  <w:i/>
                  <w:iCs/>
                  <w:noProof/>
                  <w:lang w:val="en-US"/>
                </w:rPr>
                <w:t>Stakeholder Theory: A Model for Strategic Management.</w:t>
              </w:r>
              <w:r w:rsidRPr="00851192">
                <w:rPr>
                  <w:rFonts w:ascii="Arial" w:hAnsi="Arial" w:cs="Arial"/>
                  <w:noProof/>
                  <w:lang w:val="en-US"/>
                </w:rPr>
                <w:t xml:space="preserve"> Switzerland : Spring Publishing International .</w:t>
              </w:r>
            </w:p>
            <w:p w14:paraId="0C902D2B"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Bowen, R. H. (1953). </w:t>
              </w:r>
              <w:r w:rsidRPr="00851192">
                <w:rPr>
                  <w:rFonts w:ascii="Arial" w:hAnsi="Arial" w:cs="Arial"/>
                  <w:i/>
                  <w:iCs/>
                  <w:noProof/>
                  <w:lang w:val="en-US"/>
                </w:rPr>
                <w:t>The Social Responsibility of the Businessman.</w:t>
              </w:r>
              <w:r w:rsidRPr="00851192">
                <w:rPr>
                  <w:rFonts w:ascii="Arial" w:hAnsi="Arial" w:cs="Arial"/>
                  <w:noProof/>
                  <w:lang w:val="en-US"/>
                </w:rPr>
                <w:t xml:space="preserve"> Iowa City : Iowa University Press.</w:t>
              </w:r>
            </w:p>
            <w:p w14:paraId="12217F26"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Brundtland, G. H. (1987). </w:t>
              </w:r>
              <w:r w:rsidRPr="00851192">
                <w:rPr>
                  <w:rFonts w:ascii="Arial" w:hAnsi="Arial" w:cs="Arial"/>
                  <w:i/>
                  <w:iCs/>
                  <w:noProof/>
                  <w:lang w:val="en-US"/>
                </w:rPr>
                <w:t>Report of the World Commission on Environment and Development: Our Common Future.</w:t>
              </w:r>
              <w:r w:rsidRPr="00851192">
                <w:rPr>
                  <w:rFonts w:ascii="Arial" w:hAnsi="Arial" w:cs="Arial"/>
                  <w:noProof/>
                  <w:lang w:val="en-US"/>
                </w:rPr>
                <w:t xml:space="preserve"> Oxford: Oxford University press.</w:t>
              </w:r>
            </w:p>
            <w:p w14:paraId="2A1794F2"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Bryman, A. (2008). </w:t>
              </w:r>
              <w:r w:rsidRPr="00851192">
                <w:rPr>
                  <w:rFonts w:ascii="Arial" w:hAnsi="Arial" w:cs="Arial"/>
                  <w:i/>
                  <w:iCs/>
                  <w:noProof/>
                  <w:lang w:val="en-US"/>
                </w:rPr>
                <w:t>Social Research Methods</w:t>
              </w:r>
              <w:r w:rsidRPr="00851192">
                <w:rPr>
                  <w:rFonts w:ascii="Arial" w:hAnsi="Arial" w:cs="Arial"/>
                  <w:noProof/>
                  <w:lang w:val="en-US"/>
                </w:rPr>
                <w:t xml:space="preserve"> (3rd ed.). New York: Oxford University Press.</w:t>
              </w:r>
            </w:p>
            <w:p w14:paraId="65B9CDF8"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lastRenderedPageBreak/>
                <w:t xml:space="preserve">Busby, M. (2017, August 31). </w:t>
              </w:r>
              <w:r w:rsidRPr="00851192">
                <w:rPr>
                  <w:rFonts w:ascii="Arial" w:hAnsi="Arial" w:cs="Arial"/>
                  <w:i/>
                  <w:iCs/>
                  <w:noProof/>
                  <w:lang w:val="en-US"/>
                </w:rPr>
                <w:t>Revealed: how gambling industry targets poor people and ex-gamblers</w:t>
              </w:r>
              <w:r w:rsidRPr="00851192">
                <w:rPr>
                  <w:rFonts w:ascii="Arial" w:hAnsi="Arial" w:cs="Arial"/>
                  <w:noProof/>
                  <w:lang w:val="en-US"/>
                </w:rPr>
                <w:t>. Retrieved from The Guardian: https://www.theguardian.com/society/2017/aug/31/gambling-industry-third-party-companies-online-casinos</w:t>
              </w:r>
            </w:p>
            <w:p w14:paraId="241F9CEE"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i/>
                  <w:iCs/>
                  <w:noProof/>
                  <w:lang w:val="en-US"/>
                </w:rPr>
                <w:t>Bwin Twitter Account</w:t>
              </w:r>
              <w:r w:rsidRPr="00851192">
                <w:rPr>
                  <w:rFonts w:ascii="Arial" w:hAnsi="Arial" w:cs="Arial"/>
                  <w:noProof/>
                  <w:lang w:val="en-US"/>
                </w:rPr>
                <w:t>. (2018, August 15). Retrieved from Bwin: https://twitter.com/bwin?lang=en</w:t>
              </w:r>
            </w:p>
            <w:p w14:paraId="6BD41746"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i/>
                  <w:iCs/>
                  <w:noProof/>
                  <w:lang w:val="en-US"/>
                </w:rPr>
                <w:t>Bwin Website</w:t>
              </w:r>
              <w:r w:rsidRPr="00851192">
                <w:rPr>
                  <w:rFonts w:ascii="Arial" w:hAnsi="Arial" w:cs="Arial"/>
                  <w:noProof/>
                  <w:lang w:val="en-US"/>
                </w:rPr>
                <w:t>. (2018, August 15). Retrieved from Bwin: https://www.bwin.com/</w:t>
              </w:r>
            </w:p>
            <w:p w14:paraId="428DB6D7"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Carleton, J. L. (2016). </w:t>
              </w:r>
              <w:r w:rsidRPr="00851192">
                <w:rPr>
                  <w:rFonts w:ascii="Arial" w:hAnsi="Arial" w:cs="Arial"/>
                  <w:i/>
                  <w:iCs/>
                  <w:noProof/>
                  <w:lang w:val="en-US"/>
                </w:rPr>
                <w:t>Gambling in the United States: Nevada.</w:t>
              </w:r>
              <w:r w:rsidRPr="00851192">
                <w:rPr>
                  <w:rFonts w:ascii="Arial" w:hAnsi="Arial" w:cs="Arial"/>
                  <w:noProof/>
                  <w:lang w:val="en-US"/>
                </w:rPr>
                <w:t xml:space="preserve"> Brownstein Hyatt Farber Schreck. Denver: Thomson Reuters.</w:t>
              </w:r>
            </w:p>
            <w:p w14:paraId="51AC2AD9"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Carroll, A. B. (1991). The pyramid of corporate social responsibility: Toward the moral management of organizational stakeholders. </w:t>
              </w:r>
              <w:r w:rsidRPr="00851192">
                <w:rPr>
                  <w:rFonts w:ascii="Arial" w:hAnsi="Arial" w:cs="Arial"/>
                  <w:i/>
                  <w:iCs/>
                  <w:noProof/>
                  <w:lang w:val="en-US"/>
                </w:rPr>
                <w:t>Business Horizons, 34</w:t>
              </w:r>
              <w:r w:rsidRPr="00851192">
                <w:rPr>
                  <w:rFonts w:ascii="Arial" w:hAnsi="Arial" w:cs="Arial"/>
                  <w:noProof/>
                  <w:lang w:val="en-US"/>
                </w:rPr>
                <w:t>(4), 39-48.</w:t>
              </w:r>
            </w:p>
            <w:p w14:paraId="54F4B161"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Carroll, A. B., Lipartito, K. J., Post, J. E., &amp; Werhane, P. H. (2012). </w:t>
              </w:r>
              <w:r w:rsidRPr="00851192">
                <w:rPr>
                  <w:rFonts w:ascii="Arial" w:hAnsi="Arial" w:cs="Arial"/>
                  <w:i/>
                  <w:iCs/>
                  <w:noProof/>
                  <w:lang w:val="en-US"/>
                </w:rPr>
                <w:t>Corporate Social Responsibility: The American Experience.</w:t>
              </w:r>
              <w:r w:rsidRPr="00851192">
                <w:rPr>
                  <w:rFonts w:ascii="Arial" w:hAnsi="Arial" w:cs="Arial"/>
                  <w:noProof/>
                  <w:lang w:val="en-US"/>
                </w:rPr>
                <w:t xml:space="preserve"> Cambridge: Cambridge University Press.</w:t>
              </w:r>
            </w:p>
            <w:p w14:paraId="4A45BB51"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Casey, E. (2008). Working Class Women, Gambling and The Dream of Happiness. </w:t>
              </w:r>
              <w:r w:rsidRPr="00851192">
                <w:rPr>
                  <w:rFonts w:ascii="Arial" w:hAnsi="Arial" w:cs="Arial"/>
                  <w:i/>
                  <w:iCs/>
                  <w:noProof/>
                  <w:lang w:val="en-US"/>
                </w:rPr>
                <w:t>Feminist Review, 89</w:t>
              </w:r>
              <w:r w:rsidRPr="00851192">
                <w:rPr>
                  <w:rFonts w:ascii="Arial" w:hAnsi="Arial" w:cs="Arial"/>
                  <w:noProof/>
                  <w:lang w:val="en-US"/>
                </w:rPr>
                <w:t>(1), 122-137.</w:t>
              </w:r>
            </w:p>
            <w:p w14:paraId="702FED89"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Cassell, C., &amp; Johnson, P. (2006). Action research: explain the diversity. </w:t>
              </w:r>
              <w:r w:rsidRPr="00851192">
                <w:rPr>
                  <w:rFonts w:ascii="Arial" w:hAnsi="Arial" w:cs="Arial"/>
                  <w:i/>
                  <w:iCs/>
                  <w:noProof/>
                  <w:lang w:val="en-US"/>
                </w:rPr>
                <w:t>Human Relations, 59</w:t>
              </w:r>
              <w:r w:rsidRPr="00851192">
                <w:rPr>
                  <w:rFonts w:ascii="Arial" w:hAnsi="Arial" w:cs="Arial"/>
                  <w:noProof/>
                  <w:lang w:val="en-US"/>
                </w:rPr>
                <w:t>(6), 783-814.</w:t>
              </w:r>
            </w:p>
            <w:p w14:paraId="79B89C2C"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Charity Commission UK Government. (2017, March 26). </w:t>
              </w:r>
              <w:r w:rsidRPr="00851192">
                <w:rPr>
                  <w:rFonts w:ascii="Arial" w:hAnsi="Arial" w:cs="Arial"/>
                  <w:i/>
                  <w:iCs/>
                  <w:noProof/>
                  <w:lang w:val="en-US"/>
                </w:rPr>
                <w:t>Denise Coates Foundation</w:t>
              </w:r>
              <w:r w:rsidRPr="00851192">
                <w:rPr>
                  <w:rFonts w:ascii="Arial" w:hAnsi="Arial" w:cs="Arial"/>
                  <w:noProof/>
                  <w:lang w:val="en-US"/>
                </w:rPr>
                <w:t>. Retrieved from GOV.UK: http://beta.charitycommission.gov.uk/charity-details/?regid=1149110&amp;subid=0</w:t>
              </w:r>
            </w:p>
            <w:p w14:paraId="3A4C4A7B"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Cochran, W. G. (2007). </w:t>
              </w:r>
              <w:r w:rsidRPr="00851192">
                <w:rPr>
                  <w:rFonts w:ascii="Arial" w:hAnsi="Arial" w:cs="Arial"/>
                  <w:i/>
                  <w:iCs/>
                  <w:noProof/>
                  <w:lang w:val="en-US"/>
                </w:rPr>
                <w:t>Sampling Techniques</w:t>
              </w:r>
              <w:r w:rsidRPr="00851192">
                <w:rPr>
                  <w:rFonts w:ascii="Arial" w:hAnsi="Arial" w:cs="Arial"/>
                  <w:noProof/>
                  <w:lang w:val="en-US"/>
                </w:rPr>
                <w:t xml:space="preserve"> (3rd ed.). New Delhi : Wiley &amp; Sons.</w:t>
              </w:r>
            </w:p>
            <w:p w14:paraId="1BD22C53"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Connolly, J. (2016). </w:t>
              </w:r>
              <w:r w:rsidRPr="00851192">
                <w:rPr>
                  <w:rFonts w:ascii="Arial" w:hAnsi="Arial" w:cs="Arial"/>
                  <w:i/>
                  <w:iCs/>
                  <w:noProof/>
                  <w:lang w:val="en-US"/>
                </w:rPr>
                <w:t>CSR Window Dressing.</w:t>
              </w:r>
              <w:r w:rsidRPr="00851192">
                <w:rPr>
                  <w:rFonts w:ascii="Arial" w:hAnsi="Arial" w:cs="Arial"/>
                  <w:noProof/>
                  <w:lang w:val="en-US"/>
                </w:rPr>
                <w:t xml:space="preserve"> Boston: CopyLab Inc.</w:t>
              </w:r>
            </w:p>
            <w:p w14:paraId="68FB253F"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Costa, R., &amp; Menichini, T. (2013). A multidimensional approach for CSR assessment: The importance of stakeholder perception. </w:t>
              </w:r>
              <w:r w:rsidRPr="00851192">
                <w:rPr>
                  <w:rFonts w:ascii="Arial" w:hAnsi="Arial" w:cs="Arial"/>
                  <w:i/>
                  <w:iCs/>
                  <w:noProof/>
                  <w:lang w:val="en-US"/>
                </w:rPr>
                <w:t>Expert Systems with Applications, 40</w:t>
              </w:r>
              <w:r w:rsidRPr="00851192">
                <w:rPr>
                  <w:rFonts w:ascii="Arial" w:hAnsi="Arial" w:cs="Arial"/>
                  <w:noProof/>
                  <w:lang w:val="en-US"/>
                </w:rPr>
                <w:t>(1), 150-161.</w:t>
              </w:r>
            </w:p>
            <w:p w14:paraId="05D0CB77"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Crane, A., &amp; Glozer, S. (2016). Researching CSR communication: Themes, opportunities and challenges. </w:t>
              </w:r>
              <w:r w:rsidRPr="00851192">
                <w:rPr>
                  <w:rFonts w:ascii="Arial" w:hAnsi="Arial" w:cs="Arial"/>
                  <w:i/>
                  <w:iCs/>
                  <w:noProof/>
                  <w:lang w:val="en-US"/>
                </w:rPr>
                <w:t>Journal of Management Studies, 53</w:t>
              </w:r>
              <w:r w:rsidRPr="00851192">
                <w:rPr>
                  <w:rFonts w:ascii="Arial" w:hAnsi="Arial" w:cs="Arial"/>
                  <w:noProof/>
                  <w:lang w:val="en-US"/>
                </w:rPr>
                <w:t>(7), 1223-1252.</w:t>
              </w:r>
            </w:p>
            <w:p w14:paraId="361A4516"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Crane, A., &amp; Matten, D. (2016). </w:t>
              </w:r>
              <w:r w:rsidRPr="00851192">
                <w:rPr>
                  <w:rFonts w:ascii="Arial" w:hAnsi="Arial" w:cs="Arial"/>
                  <w:i/>
                  <w:iCs/>
                  <w:noProof/>
                  <w:lang w:val="en-US"/>
                </w:rPr>
                <w:t>Business Ethics: Managing Corporate Citizenship and Sustainability in the age of Globalization</w:t>
              </w:r>
              <w:r w:rsidRPr="00851192">
                <w:rPr>
                  <w:rFonts w:ascii="Arial" w:hAnsi="Arial" w:cs="Arial"/>
                  <w:noProof/>
                  <w:lang w:val="en-US"/>
                </w:rPr>
                <w:t xml:space="preserve"> (4th ed.). Oxford: Oxford University press.</w:t>
              </w:r>
            </w:p>
            <w:p w14:paraId="28D920F4"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Creel, T. (2012). How Corporate Social Responsibility Influences Brand Equity. </w:t>
              </w:r>
              <w:r w:rsidRPr="00851192">
                <w:rPr>
                  <w:rFonts w:ascii="Arial" w:hAnsi="Arial" w:cs="Arial"/>
                  <w:i/>
                  <w:iCs/>
                  <w:noProof/>
                  <w:lang w:val="en-US"/>
                </w:rPr>
                <w:t>Management Accounting Quarterly, 13</w:t>
              </w:r>
              <w:r w:rsidRPr="00851192">
                <w:rPr>
                  <w:rFonts w:ascii="Arial" w:hAnsi="Arial" w:cs="Arial"/>
                  <w:noProof/>
                  <w:lang w:val="en-US"/>
                </w:rPr>
                <w:t>(4), 1-5.</w:t>
              </w:r>
            </w:p>
            <w:p w14:paraId="2CD200D1"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Crist, S. (1998). All bets are off the U.S. is on the verge of an explosion in internet sports betting that could change the face of gambling in this country forever. But is this legal? And even if it is can it be stopped? </w:t>
              </w:r>
              <w:r w:rsidRPr="00851192">
                <w:rPr>
                  <w:rFonts w:ascii="Arial" w:hAnsi="Arial" w:cs="Arial"/>
                  <w:i/>
                  <w:iCs/>
                  <w:noProof/>
                  <w:lang w:val="en-US"/>
                </w:rPr>
                <w:t>Sports Illustrated Vault</w:t>
              </w:r>
              <w:r w:rsidRPr="00851192">
                <w:rPr>
                  <w:rFonts w:ascii="Arial" w:hAnsi="Arial" w:cs="Arial"/>
                  <w:noProof/>
                  <w:lang w:val="en-US"/>
                </w:rPr>
                <w:t>, 113-114.</w:t>
              </w:r>
            </w:p>
            <w:p w14:paraId="0F76130B"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Culcasi, F., Ruozzi, H., Sandisa, C., &amp; Valle, J. (2010). </w:t>
              </w:r>
              <w:r w:rsidRPr="00851192">
                <w:rPr>
                  <w:rFonts w:ascii="Arial" w:hAnsi="Arial" w:cs="Arial"/>
                  <w:i/>
                  <w:iCs/>
                  <w:noProof/>
                  <w:lang w:val="en-US"/>
                </w:rPr>
                <w:t>How CSR has gained strength through Corporate Scandals: case studies of social, environmental and economic dimenrsions.</w:t>
              </w:r>
              <w:r w:rsidRPr="00851192">
                <w:rPr>
                  <w:rFonts w:ascii="Arial" w:hAnsi="Arial" w:cs="Arial"/>
                  <w:noProof/>
                  <w:lang w:val="en-US"/>
                </w:rPr>
                <w:t xml:space="preserve"> Madrid: Escuela de organizacion industial .</w:t>
              </w:r>
            </w:p>
            <w:p w14:paraId="3FC53A8E"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Dahlsrud, A. (2008). How corporate social responsibility is defined: an analysis of 37 definitions. </w:t>
              </w:r>
              <w:r w:rsidRPr="00851192">
                <w:rPr>
                  <w:rFonts w:ascii="Arial" w:hAnsi="Arial" w:cs="Arial"/>
                  <w:i/>
                  <w:iCs/>
                  <w:noProof/>
                  <w:lang w:val="en-US"/>
                </w:rPr>
                <w:t>Corporate social responsibility and environmental management, 15</w:t>
              </w:r>
              <w:r w:rsidRPr="00851192">
                <w:rPr>
                  <w:rFonts w:ascii="Arial" w:hAnsi="Arial" w:cs="Arial"/>
                  <w:noProof/>
                  <w:lang w:val="en-US"/>
                </w:rPr>
                <w:t>(1), 1-13.</w:t>
              </w:r>
            </w:p>
            <w:p w14:paraId="0C641DD9"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lastRenderedPageBreak/>
                <w:t xml:space="preserve">Davies, R. (2016, December 13). </w:t>
              </w:r>
              <w:r w:rsidRPr="00851192">
                <w:rPr>
                  <w:rFonts w:ascii="Arial" w:hAnsi="Arial" w:cs="Arial"/>
                  <w:i/>
                  <w:iCs/>
                  <w:noProof/>
                  <w:lang w:val="en-US"/>
                </w:rPr>
                <w:t>Problem gambling costs UK up to £1.2bn a year</w:t>
              </w:r>
              <w:r w:rsidRPr="00851192">
                <w:rPr>
                  <w:rFonts w:ascii="Arial" w:hAnsi="Arial" w:cs="Arial"/>
                  <w:noProof/>
                  <w:lang w:val="en-US"/>
                </w:rPr>
                <w:t>. Retrieved August 24, 2018, from The Guardian: https://www.theguardian.com/society/2016/dec/13/problem-gambling-gambleaware-ippr</w:t>
              </w:r>
            </w:p>
            <w:p w14:paraId="77D9D383"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Davies, R. (2017, October 31). </w:t>
              </w:r>
              <w:r w:rsidRPr="00851192">
                <w:rPr>
                  <w:rFonts w:ascii="Arial" w:hAnsi="Arial" w:cs="Arial"/>
                  <w:i/>
                  <w:iCs/>
                  <w:noProof/>
                  <w:lang w:val="en-US"/>
                </w:rPr>
                <w:t>Gambling charity warns betting firms are failing to fund addiction treatment</w:t>
              </w:r>
              <w:r w:rsidRPr="00851192">
                <w:rPr>
                  <w:rFonts w:ascii="Arial" w:hAnsi="Arial" w:cs="Arial"/>
                  <w:noProof/>
                  <w:lang w:val="en-US"/>
                </w:rPr>
                <w:t>. Retrieved from The Guardian: https://www.theguardian.com/sport/2017/oct/30/force-gambling-firms-pay-levy-addiction-treatment-charity-gambleaware-betting-companies-donate</w:t>
              </w:r>
            </w:p>
            <w:p w14:paraId="7A9445F1"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Davies, R. (2017, August 31). </w:t>
              </w:r>
              <w:r w:rsidRPr="00851192">
                <w:rPr>
                  <w:rFonts w:ascii="Arial" w:hAnsi="Arial" w:cs="Arial"/>
                  <w:i/>
                  <w:iCs/>
                  <w:noProof/>
                  <w:lang w:val="en-US"/>
                </w:rPr>
                <w:t>UK gambling industry now takes £14bn a year from punters – report</w:t>
              </w:r>
              <w:r w:rsidRPr="00851192">
                <w:rPr>
                  <w:rFonts w:ascii="Arial" w:hAnsi="Arial" w:cs="Arial"/>
                  <w:noProof/>
                  <w:lang w:val="en-US"/>
                </w:rPr>
                <w:t>. Retrieved August 24, 2018, from The Guardian: https://www.theguardian.com/society/2017/aug/31/uk-gambling-industry-takes-14bn-year-punters</w:t>
              </w:r>
            </w:p>
            <w:p w14:paraId="254C2A69"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Devaney, M. (2009). Online gambling and international regulation: an outside bet. </w:t>
              </w:r>
              <w:r w:rsidRPr="00851192">
                <w:rPr>
                  <w:rFonts w:ascii="Arial" w:hAnsi="Arial" w:cs="Arial"/>
                  <w:i/>
                  <w:iCs/>
                  <w:noProof/>
                  <w:lang w:val="en-US"/>
                </w:rPr>
                <w:t>Information &amp; Communications Technology Law, 18</w:t>
              </w:r>
              <w:r w:rsidRPr="00851192">
                <w:rPr>
                  <w:rFonts w:ascii="Arial" w:hAnsi="Arial" w:cs="Arial"/>
                  <w:noProof/>
                  <w:lang w:val="en-US"/>
                </w:rPr>
                <w:t>(3), 273-283.</w:t>
              </w:r>
            </w:p>
            <w:p w14:paraId="7603BB5C"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Donaldson, T., &amp; Preston, L. (1995). The stakeholder theory of the modern corporation: Concepts, evidence, implications. </w:t>
              </w:r>
              <w:r w:rsidRPr="00851192">
                <w:rPr>
                  <w:rFonts w:ascii="Arial" w:hAnsi="Arial" w:cs="Arial"/>
                  <w:i/>
                  <w:iCs/>
                  <w:noProof/>
                  <w:lang w:val="en-US"/>
                </w:rPr>
                <w:t>Academy of Management Review</w:t>
              </w:r>
              <w:r w:rsidRPr="00851192">
                <w:rPr>
                  <w:rFonts w:ascii="Arial" w:hAnsi="Arial" w:cs="Arial"/>
                  <w:noProof/>
                  <w:lang w:val="en-US"/>
                </w:rPr>
                <w:t>, 65-91.</w:t>
              </w:r>
            </w:p>
            <w:p w14:paraId="0837A1A0"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Du, S., Bhattacharya, C. B., &amp; Sen, S. (2010). Maximizing Business Returns to Corporate Social Responsibility (CSR): The Role of CSR Communication. </w:t>
              </w:r>
              <w:r w:rsidRPr="00851192">
                <w:rPr>
                  <w:rFonts w:ascii="Arial" w:hAnsi="Arial" w:cs="Arial"/>
                  <w:i/>
                  <w:iCs/>
                  <w:noProof/>
                  <w:lang w:val="en-US"/>
                </w:rPr>
                <w:t>International Hournal of Management Reviews, 12</w:t>
              </w:r>
              <w:r w:rsidRPr="00851192">
                <w:rPr>
                  <w:rFonts w:ascii="Arial" w:hAnsi="Arial" w:cs="Arial"/>
                  <w:noProof/>
                  <w:lang w:val="en-US"/>
                </w:rPr>
                <w:t>(1).</w:t>
              </w:r>
            </w:p>
            <w:p w14:paraId="59402B80"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Dudovskiy, J. (2012). Carroll’s CSR Pyramid and its applications to small and medium sized businesses. </w:t>
              </w:r>
              <w:r w:rsidRPr="00851192">
                <w:rPr>
                  <w:rFonts w:ascii="Arial" w:hAnsi="Arial" w:cs="Arial"/>
                  <w:i/>
                  <w:iCs/>
                  <w:noProof/>
                  <w:lang w:val="en-US"/>
                </w:rPr>
                <w:t>Research Methodology</w:t>
              </w:r>
              <w:r w:rsidRPr="00851192">
                <w:rPr>
                  <w:rFonts w:ascii="Arial" w:hAnsi="Arial" w:cs="Arial"/>
                  <w:noProof/>
                  <w:lang w:val="en-US"/>
                </w:rPr>
                <w:t>.</w:t>
              </w:r>
            </w:p>
            <w:p w14:paraId="0DD1A612"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Entertainment Asia Gaming. (2017). </w:t>
              </w:r>
              <w:r w:rsidRPr="00851192">
                <w:rPr>
                  <w:rFonts w:ascii="Arial" w:hAnsi="Arial" w:cs="Arial"/>
                  <w:i/>
                  <w:iCs/>
                  <w:noProof/>
                  <w:lang w:val="en-US"/>
                </w:rPr>
                <w:t>Entertainment Asia Gaming Inc Annual Report 2016.</w:t>
              </w:r>
              <w:r w:rsidRPr="00851192">
                <w:rPr>
                  <w:rFonts w:ascii="Arial" w:hAnsi="Arial" w:cs="Arial"/>
                  <w:noProof/>
                  <w:lang w:val="en-US"/>
                </w:rPr>
                <w:t xml:space="preserve"> Macau : Entertainment Asia Gaming Inc.</w:t>
              </w:r>
            </w:p>
            <w:p w14:paraId="3EDCA87A"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Epstein, M. J. (2008). </w:t>
              </w:r>
              <w:r w:rsidRPr="00851192">
                <w:rPr>
                  <w:rFonts w:ascii="Arial" w:hAnsi="Arial" w:cs="Arial"/>
                  <w:i/>
                  <w:iCs/>
                  <w:noProof/>
                  <w:lang w:val="en-US"/>
                </w:rPr>
                <w:t>Making Sustainability Work: Best Practices in Managing and Measuring Corporate Social, Environmental and Economic Impacts.</w:t>
              </w:r>
              <w:r w:rsidRPr="00851192">
                <w:rPr>
                  <w:rFonts w:ascii="Arial" w:hAnsi="Arial" w:cs="Arial"/>
                  <w:noProof/>
                  <w:lang w:val="en-US"/>
                </w:rPr>
                <w:t xml:space="preserve"> London: Routledge.</w:t>
              </w:r>
            </w:p>
            <w:p w14:paraId="3238230B"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Fantini, F., &amp; Diem, A. (2018). </w:t>
              </w:r>
              <w:r w:rsidRPr="00851192">
                <w:rPr>
                  <w:rFonts w:ascii="Arial" w:hAnsi="Arial" w:cs="Arial"/>
                  <w:i/>
                  <w:iCs/>
                  <w:noProof/>
                  <w:lang w:val="en-US"/>
                </w:rPr>
                <w:t>The Canada Revenue Report.</w:t>
              </w:r>
              <w:r w:rsidRPr="00851192">
                <w:rPr>
                  <w:rFonts w:ascii="Arial" w:hAnsi="Arial" w:cs="Arial"/>
                  <w:noProof/>
                  <w:lang w:val="en-US"/>
                </w:rPr>
                <w:t xml:space="preserve"> Delaware: Fantini National Research.</w:t>
              </w:r>
            </w:p>
            <w:p w14:paraId="2EA524DB"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Fernando, A. C. (2010). </w:t>
              </w:r>
              <w:r w:rsidRPr="00851192">
                <w:rPr>
                  <w:rFonts w:ascii="Arial" w:hAnsi="Arial" w:cs="Arial"/>
                  <w:i/>
                  <w:iCs/>
                  <w:noProof/>
                  <w:lang w:val="en-US"/>
                </w:rPr>
                <w:t>Business Ethics and Corporate Governance.</w:t>
              </w:r>
              <w:r w:rsidRPr="00851192">
                <w:rPr>
                  <w:rFonts w:ascii="Arial" w:hAnsi="Arial" w:cs="Arial"/>
                  <w:noProof/>
                  <w:lang w:val="en-US"/>
                </w:rPr>
                <w:t xml:space="preserve"> New Delhi: Pearson Education Limited.</w:t>
              </w:r>
            </w:p>
            <w:p w14:paraId="1083A075"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Ferrell, O. C., Ferrell, L., &amp; Fraedrich, J. (2015). </w:t>
              </w:r>
              <w:r w:rsidRPr="00851192">
                <w:rPr>
                  <w:rFonts w:ascii="Arial" w:hAnsi="Arial" w:cs="Arial"/>
                  <w:i/>
                  <w:iCs/>
                  <w:noProof/>
                  <w:lang w:val="en-US"/>
                </w:rPr>
                <w:t>Business Ethics: Ethical Decision Making and Cases</w:t>
              </w:r>
              <w:r w:rsidRPr="00851192">
                <w:rPr>
                  <w:rFonts w:ascii="Arial" w:hAnsi="Arial" w:cs="Arial"/>
                  <w:noProof/>
                  <w:lang w:val="en-US"/>
                </w:rPr>
                <w:t xml:space="preserve"> (11th ed.). Boston: Cengage Learning.</w:t>
              </w:r>
            </w:p>
            <w:p w14:paraId="24AF5324"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Freeman, R. E. (1984). </w:t>
              </w:r>
              <w:r w:rsidRPr="00851192">
                <w:rPr>
                  <w:rFonts w:ascii="Arial" w:hAnsi="Arial" w:cs="Arial"/>
                  <w:i/>
                  <w:iCs/>
                  <w:noProof/>
                  <w:lang w:val="en-US"/>
                </w:rPr>
                <w:t>Strategic Management: A Stakeholder Approach.</w:t>
              </w:r>
              <w:r w:rsidRPr="00851192">
                <w:rPr>
                  <w:rFonts w:ascii="Arial" w:hAnsi="Arial" w:cs="Arial"/>
                  <w:noProof/>
                  <w:lang w:val="en-US"/>
                </w:rPr>
                <w:t xml:space="preserve"> Cambridge: Cambridge University Press.</w:t>
              </w:r>
            </w:p>
            <w:p w14:paraId="75154D1D"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Freeman, R. E. (2008). </w:t>
              </w:r>
              <w:r w:rsidRPr="00851192">
                <w:rPr>
                  <w:rFonts w:ascii="Arial" w:hAnsi="Arial" w:cs="Arial"/>
                  <w:i/>
                  <w:iCs/>
                  <w:noProof/>
                  <w:lang w:val="en-US"/>
                </w:rPr>
                <w:t>A New Approach to CSR: Company Stakeholder Responsibility.</w:t>
              </w:r>
              <w:r w:rsidRPr="00851192">
                <w:rPr>
                  <w:rFonts w:ascii="Arial" w:hAnsi="Arial" w:cs="Arial"/>
                  <w:noProof/>
                  <w:lang w:val="en-US"/>
                </w:rPr>
                <w:t xml:space="preserve"> Charlottesville: University of Virginia.</w:t>
              </w:r>
            </w:p>
            <w:p w14:paraId="4D3C44D9"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Freeman, R. E., &amp; Gilbert, D. R. (1998). </w:t>
              </w:r>
              <w:r w:rsidRPr="00851192">
                <w:rPr>
                  <w:rFonts w:ascii="Arial" w:hAnsi="Arial" w:cs="Arial"/>
                  <w:i/>
                  <w:iCs/>
                  <w:noProof/>
                  <w:lang w:val="en-US"/>
                </w:rPr>
                <w:t>Corporate Strategy and the search for ethics.</w:t>
              </w:r>
              <w:r w:rsidRPr="00851192">
                <w:rPr>
                  <w:rFonts w:ascii="Arial" w:hAnsi="Arial" w:cs="Arial"/>
                  <w:noProof/>
                  <w:lang w:val="en-US"/>
                </w:rPr>
                <w:t xml:space="preserve"> Englewood Cliffs: Prentice-Hall.</w:t>
              </w:r>
            </w:p>
            <w:p w14:paraId="1C2A27A7"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Friedman, M. (1970). The Social Responsibility of a Business is to Increase its Profits. </w:t>
              </w:r>
              <w:r w:rsidRPr="00851192">
                <w:rPr>
                  <w:rFonts w:ascii="Arial" w:hAnsi="Arial" w:cs="Arial"/>
                  <w:i/>
                  <w:iCs/>
                  <w:noProof/>
                  <w:lang w:val="en-US"/>
                </w:rPr>
                <w:t>The New York Times Magazine</w:t>
              </w:r>
              <w:r w:rsidRPr="00851192">
                <w:rPr>
                  <w:rFonts w:ascii="Arial" w:hAnsi="Arial" w:cs="Arial"/>
                  <w:noProof/>
                  <w:lang w:val="en-US"/>
                </w:rPr>
                <w:t>, 1.</w:t>
              </w:r>
            </w:p>
            <w:p w14:paraId="183FFDF3"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lastRenderedPageBreak/>
                <w:t xml:space="preserve">Frontier Economics . (2014). </w:t>
              </w:r>
              <w:r w:rsidRPr="00851192">
                <w:rPr>
                  <w:rFonts w:ascii="Arial" w:hAnsi="Arial" w:cs="Arial"/>
                  <w:i/>
                  <w:iCs/>
                  <w:noProof/>
                  <w:lang w:val="en-US"/>
                </w:rPr>
                <w:t>The UK betting and gaming market: estimating price elasticities of demand and understanding the use of promotions.</w:t>
              </w:r>
              <w:r w:rsidRPr="00851192">
                <w:rPr>
                  <w:rFonts w:ascii="Arial" w:hAnsi="Arial" w:cs="Arial"/>
                  <w:noProof/>
                  <w:lang w:val="en-US"/>
                </w:rPr>
                <w:t xml:space="preserve"> London : HM Revenue &amp; Customs.</w:t>
              </w:r>
            </w:p>
            <w:p w14:paraId="69FE034E"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Gainsbury, S. M. (2015). Online Gambling Addiction: the Relationship Between Internet Gambling and Disordered Gambling. </w:t>
              </w:r>
              <w:r w:rsidRPr="00851192">
                <w:rPr>
                  <w:rFonts w:ascii="Arial" w:hAnsi="Arial" w:cs="Arial"/>
                  <w:i/>
                  <w:iCs/>
                  <w:noProof/>
                  <w:lang w:val="en-US"/>
                </w:rPr>
                <w:t>Current Addiction Reports, 2</w:t>
              </w:r>
              <w:r w:rsidRPr="00851192">
                <w:rPr>
                  <w:rFonts w:ascii="Arial" w:hAnsi="Arial" w:cs="Arial"/>
                  <w:noProof/>
                  <w:lang w:val="en-US"/>
                </w:rPr>
                <w:t>(2), 185-193.</w:t>
              </w:r>
            </w:p>
            <w:p w14:paraId="50D1B1BC"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Gambling Compliance. (2017). </w:t>
              </w:r>
              <w:r w:rsidRPr="00851192">
                <w:rPr>
                  <w:rFonts w:ascii="Arial" w:hAnsi="Arial" w:cs="Arial"/>
                  <w:i/>
                  <w:iCs/>
                  <w:noProof/>
                  <w:lang w:val="en-US"/>
                </w:rPr>
                <w:t>Asia Outlook: Casinos and Gambling.</w:t>
              </w:r>
              <w:r w:rsidRPr="00851192">
                <w:rPr>
                  <w:rFonts w:ascii="Arial" w:hAnsi="Arial" w:cs="Arial"/>
                  <w:noProof/>
                  <w:lang w:val="en-US"/>
                </w:rPr>
                <w:t xml:space="preserve"> London: Gambling Compliance Outlook .</w:t>
              </w:r>
            </w:p>
            <w:p w14:paraId="179C5071"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GAO. (1996). Content Analysis: A Methodology for Structuring and Analysing Written Material. </w:t>
              </w:r>
              <w:r w:rsidRPr="00851192">
                <w:rPr>
                  <w:rFonts w:ascii="Arial" w:hAnsi="Arial" w:cs="Arial"/>
                  <w:i/>
                  <w:iCs/>
                  <w:noProof/>
                  <w:lang w:val="en-US"/>
                </w:rPr>
                <w:t>United States General Accounting Office</w:t>
              </w:r>
              <w:r w:rsidRPr="00851192">
                <w:rPr>
                  <w:rFonts w:ascii="Arial" w:hAnsi="Arial" w:cs="Arial"/>
                  <w:noProof/>
                  <w:lang w:val="en-US"/>
                </w:rPr>
                <w:t>, GAO/PEMD-10.3.1.</w:t>
              </w:r>
            </w:p>
            <w:p w14:paraId="62C6BC0A"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George, S., &amp; Bowden-Jones, H. (2014). </w:t>
              </w:r>
              <w:r w:rsidRPr="00851192">
                <w:rPr>
                  <w:rFonts w:ascii="Arial" w:hAnsi="Arial" w:cs="Arial"/>
                  <w:i/>
                  <w:iCs/>
                  <w:noProof/>
                  <w:lang w:val="en-US"/>
                </w:rPr>
                <w:t>Gambling: the hidden addiction.</w:t>
              </w:r>
              <w:r w:rsidRPr="00851192">
                <w:rPr>
                  <w:rFonts w:ascii="Arial" w:hAnsi="Arial" w:cs="Arial"/>
                  <w:noProof/>
                  <w:lang w:val="en-US"/>
                </w:rPr>
                <w:t xml:space="preserve"> London : Faculty of Addictions Psychiatry, Royal College of Psychiatrists.</w:t>
              </w:r>
            </w:p>
            <w:p w14:paraId="7D28C649"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Goffman, E. (1959). </w:t>
              </w:r>
              <w:r w:rsidRPr="00851192">
                <w:rPr>
                  <w:rFonts w:ascii="Arial" w:hAnsi="Arial" w:cs="Arial"/>
                  <w:i/>
                  <w:iCs/>
                  <w:noProof/>
                  <w:lang w:val="en-US"/>
                </w:rPr>
                <w:t>The Presentation of Self in Everyday Life.</w:t>
              </w:r>
              <w:r w:rsidRPr="00851192">
                <w:rPr>
                  <w:rFonts w:ascii="Arial" w:hAnsi="Arial" w:cs="Arial"/>
                  <w:noProof/>
                  <w:lang w:val="en-US"/>
                </w:rPr>
                <w:t xml:space="preserve"> Edinburgh: University of Edinburgh Social Sciences Research Centre.</w:t>
              </w:r>
            </w:p>
            <w:p w14:paraId="204BEBFD"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Gordon, R., &amp; Moodie, C. (2009). Dead cert or long shot: the utility of social marketing in tackling problem gambling in the UK? </w:t>
              </w:r>
              <w:r w:rsidRPr="00851192">
                <w:rPr>
                  <w:rFonts w:ascii="Arial" w:hAnsi="Arial" w:cs="Arial"/>
                  <w:i/>
                  <w:iCs/>
                  <w:noProof/>
                  <w:lang w:val="en-US"/>
                </w:rPr>
                <w:t>International Journal of Non-profit and Voluntary Sector Marketing</w:t>
              </w:r>
              <w:r w:rsidRPr="00851192">
                <w:rPr>
                  <w:rFonts w:ascii="Arial" w:hAnsi="Arial" w:cs="Arial"/>
                  <w:noProof/>
                  <w:lang w:val="en-US"/>
                </w:rPr>
                <w:t>, 243-253.</w:t>
              </w:r>
            </w:p>
            <w:p w14:paraId="1BA8F9FE"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Griffiths, M. (2003). Internet Gambling: Issues, Concerns, and Recommendations. </w:t>
              </w:r>
              <w:r w:rsidRPr="00851192">
                <w:rPr>
                  <w:rFonts w:ascii="Arial" w:hAnsi="Arial" w:cs="Arial"/>
                  <w:i/>
                  <w:iCs/>
                  <w:noProof/>
                  <w:lang w:val="en-US"/>
                </w:rPr>
                <w:t>Cyber Psychology &amp; Behaviour</w:t>
              </w:r>
              <w:r w:rsidRPr="00851192">
                <w:rPr>
                  <w:rFonts w:ascii="Arial" w:hAnsi="Arial" w:cs="Arial"/>
                  <w:noProof/>
                  <w:lang w:val="en-US"/>
                </w:rPr>
                <w:t>, 557-568.</w:t>
              </w:r>
            </w:p>
            <w:p w14:paraId="3C8B37C7"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GVC Holdings - Bwin. (2017). </w:t>
              </w:r>
              <w:r w:rsidRPr="00851192">
                <w:rPr>
                  <w:rFonts w:ascii="Arial" w:hAnsi="Arial" w:cs="Arial"/>
                  <w:i/>
                  <w:iCs/>
                  <w:noProof/>
                  <w:lang w:val="en-US"/>
                </w:rPr>
                <w:t>GVC Holdings Annual Report 2016.</w:t>
              </w:r>
              <w:r w:rsidRPr="00851192">
                <w:rPr>
                  <w:rFonts w:ascii="Arial" w:hAnsi="Arial" w:cs="Arial"/>
                  <w:noProof/>
                  <w:lang w:val="en-US"/>
                </w:rPr>
                <w:t xml:space="preserve"> Vienna: GVC Holdings.</w:t>
              </w:r>
            </w:p>
            <w:p w14:paraId="43E7911A"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GVC Holdings Plc. (2016). </w:t>
              </w:r>
              <w:r w:rsidRPr="00851192">
                <w:rPr>
                  <w:rFonts w:ascii="Arial" w:hAnsi="Arial" w:cs="Arial"/>
                  <w:i/>
                  <w:iCs/>
                  <w:noProof/>
                  <w:lang w:val="en-US"/>
                </w:rPr>
                <w:t>GVC Holdings Annual Report.</w:t>
              </w:r>
              <w:r w:rsidRPr="00851192">
                <w:rPr>
                  <w:rFonts w:ascii="Arial" w:hAnsi="Arial" w:cs="Arial"/>
                  <w:noProof/>
                  <w:lang w:val="en-US"/>
                </w:rPr>
                <w:t xml:space="preserve"> Isle of Man: GVC Holdings.</w:t>
              </w:r>
            </w:p>
            <w:p w14:paraId="25B67B0C"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Hammersley, M. (2013). </w:t>
              </w:r>
              <w:r w:rsidRPr="00851192">
                <w:rPr>
                  <w:rFonts w:ascii="Arial" w:hAnsi="Arial" w:cs="Arial"/>
                  <w:i/>
                  <w:iCs/>
                  <w:noProof/>
                  <w:lang w:val="en-US"/>
                </w:rPr>
                <w:t>What is Qualitative Research</w:t>
              </w:r>
              <w:r w:rsidRPr="00851192">
                <w:rPr>
                  <w:rFonts w:ascii="Arial" w:hAnsi="Arial" w:cs="Arial"/>
                  <w:noProof/>
                  <w:lang w:val="en-US"/>
                </w:rPr>
                <w:t xml:space="preserve"> (1st ed.). London: Bloomsbury.</w:t>
              </w:r>
            </w:p>
            <w:p w14:paraId="649B44B6"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Haniffa, R., &amp; Hudaib, M. (2007). Exploring the Ethical Identity of Islamic Banks via Communication in Annual Reports. </w:t>
              </w:r>
              <w:r w:rsidRPr="00851192">
                <w:rPr>
                  <w:rFonts w:ascii="Arial" w:hAnsi="Arial" w:cs="Arial"/>
                  <w:i/>
                  <w:iCs/>
                  <w:noProof/>
                  <w:lang w:val="en-US"/>
                </w:rPr>
                <w:t>Journal of Business Ethics, 76</w:t>
              </w:r>
              <w:r w:rsidRPr="00851192">
                <w:rPr>
                  <w:rFonts w:ascii="Arial" w:hAnsi="Arial" w:cs="Arial"/>
                  <w:noProof/>
                  <w:lang w:val="en-US"/>
                </w:rPr>
                <w:t>, 97-116.</w:t>
              </w:r>
            </w:p>
            <w:p w14:paraId="33A7F3A7"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Hittner, J., &amp; Pohle, G. (2008). </w:t>
              </w:r>
              <w:r w:rsidRPr="00851192">
                <w:rPr>
                  <w:rFonts w:ascii="Arial" w:hAnsi="Arial" w:cs="Arial"/>
                  <w:i/>
                  <w:iCs/>
                  <w:noProof/>
                  <w:lang w:val="en-US"/>
                </w:rPr>
                <w:t>Attaining Sustainable Growth through Corporate Social Responsibility.</w:t>
              </w:r>
              <w:r w:rsidRPr="00851192">
                <w:rPr>
                  <w:rFonts w:ascii="Arial" w:hAnsi="Arial" w:cs="Arial"/>
                  <w:noProof/>
                  <w:lang w:val="en-US"/>
                </w:rPr>
                <w:t xml:space="preserve"> New York: IBM Global Business Services.</w:t>
              </w:r>
            </w:p>
            <w:p w14:paraId="4D3B18F8"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Human Rights Watch. (2018, Feburary 20). </w:t>
              </w:r>
              <w:r w:rsidRPr="00851192">
                <w:rPr>
                  <w:rFonts w:ascii="Arial" w:hAnsi="Arial" w:cs="Arial"/>
                  <w:i/>
                  <w:iCs/>
                  <w:noProof/>
                  <w:lang w:val="en-US"/>
                </w:rPr>
                <w:t>Kenya Elections 2017</w:t>
              </w:r>
              <w:r w:rsidRPr="00851192">
                <w:rPr>
                  <w:rFonts w:ascii="Arial" w:hAnsi="Arial" w:cs="Arial"/>
                  <w:noProof/>
                  <w:lang w:val="en-US"/>
                </w:rPr>
                <w:t>. Retrieved from Human Rights Watch: https://www.hrw.org/blog-feed/kenya-elections-2017</w:t>
              </w:r>
            </w:p>
            <w:p w14:paraId="6F39D0FC"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Hunziker, R. (2016). </w:t>
              </w:r>
              <w:r w:rsidRPr="00851192">
                <w:rPr>
                  <w:rFonts w:ascii="Arial" w:hAnsi="Arial" w:cs="Arial"/>
                  <w:i/>
                  <w:iCs/>
                  <w:noProof/>
                  <w:lang w:val="en-US"/>
                </w:rPr>
                <w:t>The World Business Council for Sustainable Development.</w:t>
              </w:r>
              <w:r w:rsidRPr="00851192">
                <w:rPr>
                  <w:rFonts w:ascii="Arial" w:hAnsi="Arial" w:cs="Arial"/>
                  <w:noProof/>
                  <w:lang w:val="en-US"/>
                </w:rPr>
                <w:t xml:space="preserve"> Geneva: WBCSD.</w:t>
              </w:r>
            </w:p>
            <w:p w14:paraId="18134D29"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ImageHolders. (2018, Feburary 28). </w:t>
              </w:r>
              <w:r w:rsidRPr="00851192">
                <w:rPr>
                  <w:rFonts w:ascii="Arial" w:hAnsi="Arial" w:cs="Arial"/>
                  <w:i/>
                  <w:iCs/>
                  <w:noProof/>
                  <w:lang w:val="en-US"/>
                </w:rPr>
                <w:t>How Technology Has Influenced the Gambling and Casino Industry</w:t>
              </w:r>
              <w:r w:rsidRPr="00851192">
                <w:rPr>
                  <w:rFonts w:ascii="Arial" w:hAnsi="Arial" w:cs="Arial"/>
                  <w:noProof/>
                  <w:lang w:val="en-US"/>
                </w:rPr>
                <w:t>. Retrieved from ImageHolders.com: https://www.imageholders.com/insights/blog/post/how-technology-has-influenced-the-gambling-and-casino-industry/</w:t>
              </w:r>
            </w:p>
            <w:p w14:paraId="3783C9E1"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Johnston, P. (2014, March 3). </w:t>
              </w:r>
              <w:r w:rsidRPr="00851192">
                <w:rPr>
                  <w:rFonts w:ascii="Arial" w:hAnsi="Arial" w:cs="Arial"/>
                  <w:i/>
                  <w:iCs/>
                  <w:noProof/>
                  <w:lang w:val="en-US"/>
                </w:rPr>
                <w:t>Labour turned a flutter into a fatal addiction to gambling</w:t>
              </w:r>
              <w:r w:rsidRPr="00851192">
                <w:rPr>
                  <w:rFonts w:ascii="Arial" w:hAnsi="Arial" w:cs="Arial"/>
                  <w:noProof/>
                  <w:lang w:val="en-US"/>
                </w:rPr>
                <w:t>. Retrieved from The Telegraph: https://www.telegraph.co.uk/comment/10673509/Labour-turned-a-flutter-into-a-fatal-addiction-to-gambling.html</w:t>
              </w:r>
            </w:p>
            <w:p w14:paraId="55E4881D"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Jones, P., Hillier, D., &amp; Comfort, D. (2009). Corporate Social Responsibility in the UK Gambling Industry. </w:t>
              </w:r>
              <w:r w:rsidRPr="00851192">
                <w:rPr>
                  <w:rFonts w:ascii="Arial" w:hAnsi="Arial" w:cs="Arial"/>
                  <w:i/>
                  <w:iCs/>
                  <w:noProof/>
                  <w:lang w:val="en-US"/>
                </w:rPr>
                <w:t>The International Journal of Business in Society, 9</w:t>
              </w:r>
              <w:r w:rsidRPr="00851192">
                <w:rPr>
                  <w:rFonts w:ascii="Arial" w:hAnsi="Arial" w:cs="Arial"/>
                  <w:noProof/>
                  <w:lang w:val="en-US"/>
                </w:rPr>
                <w:t>(2), 189-201.</w:t>
              </w:r>
            </w:p>
            <w:p w14:paraId="3B46B666"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lastRenderedPageBreak/>
                <w:t xml:space="preserve">Kim, I., &amp; Kuljis, J. (2010). Applying Content Analysis to Web-based Content. </w:t>
              </w:r>
              <w:r w:rsidRPr="00851192">
                <w:rPr>
                  <w:rFonts w:ascii="Arial" w:hAnsi="Arial" w:cs="Arial"/>
                  <w:i/>
                  <w:iCs/>
                  <w:noProof/>
                  <w:lang w:val="en-US"/>
                </w:rPr>
                <w:t>Journal of Computing and Information Technology, 18</w:t>
              </w:r>
              <w:r w:rsidRPr="00851192">
                <w:rPr>
                  <w:rFonts w:ascii="Arial" w:hAnsi="Arial" w:cs="Arial"/>
                  <w:noProof/>
                  <w:lang w:val="en-US"/>
                </w:rPr>
                <w:t>(4), 369–375.</w:t>
              </w:r>
            </w:p>
            <w:p w14:paraId="22D0362E"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Kotler, P., &amp; Lee, N. (2005). </w:t>
              </w:r>
              <w:r w:rsidRPr="00851192">
                <w:rPr>
                  <w:rFonts w:ascii="Arial" w:hAnsi="Arial" w:cs="Arial"/>
                  <w:i/>
                  <w:iCs/>
                  <w:noProof/>
                  <w:lang w:val="en-US"/>
                </w:rPr>
                <w:t>Corporate Social Responsibility: Doing the Most Good for Your Company and Your Cause.</w:t>
              </w:r>
              <w:r w:rsidRPr="00851192">
                <w:rPr>
                  <w:rFonts w:ascii="Arial" w:hAnsi="Arial" w:cs="Arial"/>
                  <w:noProof/>
                  <w:lang w:val="en-US"/>
                </w:rPr>
                <w:t xml:space="preserve"> New York : John Wiley &amp; Sons.</w:t>
              </w:r>
            </w:p>
            <w:p w14:paraId="28BB555C"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Kowalski, R. M., &amp; Leary, M. R. (1990). Impression Management: A Litreature Review and Two-Component Model. </w:t>
              </w:r>
              <w:r w:rsidRPr="00851192">
                <w:rPr>
                  <w:rFonts w:ascii="Arial" w:hAnsi="Arial" w:cs="Arial"/>
                  <w:i/>
                  <w:iCs/>
                  <w:noProof/>
                  <w:lang w:val="en-US"/>
                </w:rPr>
                <w:t>Psychological Bulletin, 107</w:t>
              </w:r>
              <w:r w:rsidRPr="00851192">
                <w:rPr>
                  <w:rFonts w:ascii="Arial" w:hAnsi="Arial" w:cs="Arial"/>
                  <w:noProof/>
                  <w:lang w:val="en-US"/>
                </w:rPr>
                <w:t>(1), 34-47.</w:t>
              </w:r>
            </w:p>
            <w:p w14:paraId="35C66B50"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KPMG. (2010). </w:t>
              </w:r>
              <w:r w:rsidRPr="00851192">
                <w:rPr>
                  <w:rFonts w:ascii="Arial" w:hAnsi="Arial" w:cs="Arial"/>
                  <w:i/>
                  <w:iCs/>
                  <w:noProof/>
                  <w:lang w:val="en-US"/>
                </w:rPr>
                <w:t>Online Gambling: A Gamble or a Sure Bet .</w:t>
              </w:r>
              <w:r w:rsidRPr="00851192">
                <w:rPr>
                  <w:rFonts w:ascii="Arial" w:hAnsi="Arial" w:cs="Arial"/>
                  <w:noProof/>
                  <w:lang w:val="en-US"/>
                </w:rPr>
                <w:t xml:space="preserve"> Amstelveen: KPMG.</w:t>
              </w:r>
            </w:p>
            <w:p w14:paraId="180F9B14"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KPMG. (2018). </w:t>
              </w:r>
              <w:r w:rsidRPr="00851192">
                <w:rPr>
                  <w:rFonts w:ascii="Arial" w:hAnsi="Arial" w:cs="Arial"/>
                  <w:i/>
                  <w:iCs/>
                  <w:noProof/>
                  <w:lang w:val="en-US"/>
                </w:rPr>
                <w:t>KPMG in Malta: 2017 eGaming Summit.</w:t>
              </w:r>
              <w:r w:rsidRPr="00851192">
                <w:rPr>
                  <w:rFonts w:ascii="Arial" w:hAnsi="Arial" w:cs="Arial"/>
                  <w:noProof/>
                  <w:lang w:val="en-US"/>
                </w:rPr>
                <w:t xml:space="preserve"> Amstelveen: KPMG.</w:t>
              </w:r>
            </w:p>
            <w:p w14:paraId="29BD1EE4"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Kraft, K. L., &amp; Singhapakdi, A. (1991). The role of ethics and social responsibility in achieving organizational effectiveness: Students versus managers. </w:t>
              </w:r>
              <w:r w:rsidRPr="00851192">
                <w:rPr>
                  <w:rFonts w:ascii="Arial" w:hAnsi="Arial" w:cs="Arial"/>
                  <w:i/>
                  <w:iCs/>
                  <w:noProof/>
                  <w:lang w:val="en-US"/>
                </w:rPr>
                <w:t>Journal of Business Ethics, 10</w:t>
              </w:r>
              <w:r w:rsidRPr="00851192">
                <w:rPr>
                  <w:rFonts w:ascii="Arial" w:hAnsi="Arial" w:cs="Arial"/>
                  <w:noProof/>
                  <w:lang w:val="en-US"/>
                </w:rPr>
                <w:t>(9), 679-686.</w:t>
              </w:r>
            </w:p>
            <w:p w14:paraId="5756D563"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Krippendorff, K. (1980). </w:t>
              </w:r>
              <w:r w:rsidRPr="00851192">
                <w:rPr>
                  <w:rFonts w:ascii="Arial" w:hAnsi="Arial" w:cs="Arial"/>
                  <w:i/>
                  <w:iCs/>
                  <w:noProof/>
                  <w:lang w:val="en-US"/>
                </w:rPr>
                <w:t>Content Analysis: An introduction to its methodology.</w:t>
              </w:r>
              <w:r w:rsidRPr="00851192">
                <w:rPr>
                  <w:rFonts w:ascii="Arial" w:hAnsi="Arial" w:cs="Arial"/>
                  <w:noProof/>
                  <w:lang w:val="en-US"/>
                </w:rPr>
                <w:t xml:space="preserve"> Beverly Hills: Sage Publications.</w:t>
              </w:r>
            </w:p>
            <w:p w14:paraId="39451886"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Long, J. (2017). The History of Online Gambling (Infographic): How betting became a billion dollar industry . </w:t>
              </w:r>
              <w:r w:rsidRPr="00851192">
                <w:rPr>
                  <w:rFonts w:ascii="Arial" w:hAnsi="Arial" w:cs="Arial"/>
                  <w:i/>
                  <w:iCs/>
                  <w:noProof/>
                  <w:lang w:val="en-US"/>
                </w:rPr>
                <w:t xml:space="preserve">Entrepreneur Europe </w:t>
              </w:r>
              <w:r w:rsidRPr="00851192">
                <w:rPr>
                  <w:rFonts w:ascii="Arial" w:hAnsi="Arial" w:cs="Arial"/>
                  <w:noProof/>
                  <w:lang w:val="en-US"/>
                </w:rPr>
                <w:t>, 11.</w:t>
              </w:r>
            </w:p>
            <w:p w14:paraId="2ACA9330"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Lords Select Committee. (2018). </w:t>
              </w:r>
              <w:r w:rsidRPr="00851192">
                <w:rPr>
                  <w:rFonts w:ascii="Arial" w:hAnsi="Arial" w:cs="Arial"/>
                  <w:i/>
                  <w:iCs/>
                  <w:noProof/>
                  <w:lang w:val="en-US"/>
                </w:rPr>
                <w:t>Is it time to regulate the internet? Legal experts give evidence.</w:t>
              </w:r>
              <w:r w:rsidRPr="00851192">
                <w:rPr>
                  <w:rFonts w:ascii="Arial" w:hAnsi="Arial" w:cs="Arial"/>
                  <w:noProof/>
                  <w:lang w:val="en-US"/>
                </w:rPr>
                <w:t xml:space="preserve"> London : United Kingdom Parliament.</w:t>
              </w:r>
            </w:p>
            <w:p w14:paraId="387D6F5B"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Luo, J. M., Lam, C. F., Chau, Y. K., Shen, H. W., &amp; Wang, X. (2017). Measuring Corporate Social Responsibility in Gambling Industry: Multi-Items Stakeholder Based Scales. </w:t>
              </w:r>
              <w:r w:rsidRPr="00851192">
                <w:rPr>
                  <w:rFonts w:ascii="Arial" w:hAnsi="Arial" w:cs="Arial"/>
                  <w:i/>
                  <w:iCs/>
                  <w:noProof/>
                  <w:lang w:val="en-US"/>
                </w:rPr>
                <w:t>Sustainability</w:t>
              </w:r>
              <w:r w:rsidRPr="00851192">
                <w:rPr>
                  <w:rFonts w:ascii="Arial" w:hAnsi="Arial" w:cs="Arial"/>
                  <w:noProof/>
                  <w:lang w:val="en-US"/>
                </w:rPr>
                <w:t>, 1-18.</w:t>
              </w:r>
            </w:p>
            <w:p w14:paraId="3F25C482"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Luo, X., &amp; Bhattacharya, C. B. (2006). Corporate Social Responsibility, Customer Satisfaction, and Market Value. </w:t>
              </w:r>
              <w:r w:rsidRPr="00851192">
                <w:rPr>
                  <w:rFonts w:ascii="Arial" w:hAnsi="Arial" w:cs="Arial"/>
                  <w:i/>
                  <w:iCs/>
                  <w:noProof/>
                  <w:lang w:val="en-US"/>
                </w:rPr>
                <w:t>Journal of Marketing, 70</w:t>
              </w:r>
              <w:r w:rsidRPr="00851192">
                <w:rPr>
                  <w:rFonts w:ascii="Arial" w:hAnsi="Arial" w:cs="Arial"/>
                  <w:noProof/>
                  <w:lang w:val="en-US"/>
                </w:rPr>
                <w:t>(4), 1-18.</w:t>
              </w:r>
            </w:p>
            <w:p w14:paraId="26F08FE3"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Macnamara, J. (2005). Media content analysis: Its uses; benefits and best practices methodology. </w:t>
              </w:r>
              <w:r w:rsidRPr="00851192">
                <w:rPr>
                  <w:rFonts w:ascii="Arial" w:hAnsi="Arial" w:cs="Arial"/>
                  <w:i/>
                  <w:iCs/>
                  <w:noProof/>
                  <w:lang w:val="en-US"/>
                </w:rPr>
                <w:t>Asia Pacific Public Relations Journal, 1</w:t>
              </w:r>
              <w:r w:rsidRPr="00851192">
                <w:rPr>
                  <w:rFonts w:ascii="Arial" w:hAnsi="Arial" w:cs="Arial"/>
                  <w:noProof/>
                  <w:lang w:val="en-US"/>
                </w:rPr>
                <w:t>, 1-34.</w:t>
              </w:r>
            </w:p>
            <w:p w14:paraId="75CCB713"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Marrewijk, M. V., &amp; Werre, M. (2003). Multiple levels of corporate sustainability. </w:t>
              </w:r>
              <w:r w:rsidRPr="00851192">
                <w:rPr>
                  <w:rFonts w:ascii="Arial" w:hAnsi="Arial" w:cs="Arial"/>
                  <w:i/>
                  <w:iCs/>
                  <w:noProof/>
                  <w:lang w:val="en-US"/>
                </w:rPr>
                <w:t>Journal of Business Ethics, 44</w:t>
              </w:r>
              <w:r w:rsidRPr="00851192">
                <w:rPr>
                  <w:rFonts w:ascii="Arial" w:hAnsi="Arial" w:cs="Arial"/>
                  <w:noProof/>
                  <w:lang w:val="en-US"/>
                </w:rPr>
                <w:t>(3), 107-119.</w:t>
              </w:r>
            </w:p>
            <w:p w14:paraId="49985C46"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Mitroff, I. (1983). </w:t>
              </w:r>
              <w:r w:rsidRPr="00851192">
                <w:rPr>
                  <w:rFonts w:ascii="Arial" w:hAnsi="Arial" w:cs="Arial"/>
                  <w:i/>
                  <w:iCs/>
                  <w:noProof/>
                  <w:lang w:val="en-US"/>
                </w:rPr>
                <w:t>Stakeholders of the Organizaional Mind.</w:t>
              </w:r>
              <w:r w:rsidRPr="00851192">
                <w:rPr>
                  <w:rFonts w:ascii="Arial" w:hAnsi="Arial" w:cs="Arial"/>
                  <w:noProof/>
                  <w:lang w:val="en-US"/>
                </w:rPr>
                <w:t xml:space="preserve"> San Fransisco: Jossey-Bass Publishers.</w:t>
              </w:r>
            </w:p>
            <w:p w14:paraId="7518B362"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Mohan, S. (2009). Fairtrade and corporate social responsibility. </w:t>
              </w:r>
              <w:r w:rsidRPr="00851192">
                <w:rPr>
                  <w:rFonts w:ascii="Arial" w:hAnsi="Arial" w:cs="Arial"/>
                  <w:i/>
                  <w:iCs/>
                  <w:noProof/>
                  <w:lang w:val="en-US"/>
                </w:rPr>
                <w:t>Economic Affairs, 29</w:t>
              </w:r>
              <w:r w:rsidRPr="00851192">
                <w:rPr>
                  <w:rFonts w:ascii="Arial" w:hAnsi="Arial" w:cs="Arial"/>
                  <w:noProof/>
                  <w:lang w:val="en-US"/>
                </w:rPr>
                <w:t>(4), 22-28.</w:t>
              </w:r>
            </w:p>
            <w:p w14:paraId="4FA69B28"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Moravcikova, K., Stefanikova, L., &amp; Rypakova, M. (2015). CSR reporting as an important tool of CSR communication. </w:t>
              </w:r>
              <w:r w:rsidRPr="00851192">
                <w:rPr>
                  <w:rFonts w:ascii="Arial" w:hAnsi="Arial" w:cs="Arial"/>
                  <w:i/>
                  <w:iCs/>
                  <w:noProof/>
                  <w:lang w:val="en-US"/>
                </w:rPr>
                <w:t>Procedia of Economics and Finance, 26</w:t>
              </w:r>
              <w:r w:rsidRPr="00851192">
                <w:rPr>
                  <w:rFonts w:ascii="Arial" w:hAnsi="Arial" w:cs="Arial"/>
                  <w:noProof/>
                  <w:lang w:val="en-US"/>
                </w:rPr>
                <w:t>, 332-338.</w:t>
              </w:r>
            </w:p>
            <w:p w14:paraId="459B1E61"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Murray, J. (1998). Corporate Codes of Conduct and Labor Standards. </w:t>
              </w:r>
              <w:r w:rsidRPr="00851192">
                <w:rPr>
                  <w:rFonts w:ascii="Arial" w:hAnsi="Arial" w:cs="Arial"/>
                  <w:i/>
                  <w:iCs/>
                  <w:noProof/>
                  <w:lang w:val="en-US"/>
                </w:rPr>
                <w:t>International Labour Organization</w:t>
              </w:r>
              <w:r w:rsidRPr="00851192">
                <w:rPr>
                  <w:rFonts w:ascii="Arial" w:hAnsi="Arial" w:cs="Arial"/>
                  <w:noProof/>
                  <w:lang w:val="en-US"/>
                </w:rPr>
                <w:t>, 1-29.</w:t>
              </w:r>
            </w:p>
            <w:p w14:paraId="6AE948B3"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National Defence . (2018). </w:t>
              </w:r>
              <w:r w:rsidRPr="00851192">
                <w:rPr>
                  <w:rFonts w:ascii="Arial" w:hAnsi="Arial" w:cs="Arial"/>
                  <w:i/>
                  <w:iCs/>
                  <w:noProof/>
                  <w:lang w:val="en-US"/>
                </w:rPr>
                <w:t>Gambling and Internet Gaming.</w:t>
              </w:r>
              <w:r w:rsidRPr="00851192">
                <w:rPr>
                  <w:rFonts w:ascii="Arial" w:hAnsi="Arial" w:cs="Arial"/>
                  <w:noProof/>
                  <w:lang w:val="en-US"/>
                </w:rPr>
                <w:t xml:space="preserve"> Ottawa: The Department of National Defence.</w:t>
              </w:r>
            </w:p>
            <w:p w14:paraId="1296F696"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Osborne, J. (2008). </w:t>
              </w:r>
              <w:r w:rsidRPr="00851192">
                <w:rPr>
                  <w:rFonts w:ascii="Arial" w:hAnsi="Arial" w:cs="Arial"/>
                  <w:i/>
                  <w:iCs/>
                  <w:noProof/>
                  <w:lang w:val="en-US"/>
                </w:rPr>
                <w:t>Best Practices in Quantitative Methods.</w:t>
              </w:r>
              <w:r w:rsidRPr="00851192">
                <w:rPr>
                  <w:rFonts w:ascii="Arial" w:hAnsi="Arial" w:cs="Arial"/>
                  <w:noProof/>
                  <w:lang w:val="en-US"/>
                </w:rPr>
                <w:t xml:space="preserve"> Los Angeles : Sage Publications.</w:t>
              </w:r>
            </w:p>
            <w:p w14:paraId="447EA033"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Phillips, R. (2003). </w:t>
              </w:r>
              <w:r w:rsidRPr="00851192">
                <w:rPr>
                  <w:rFonts w:ascii="Arial" w:hAnsi="Arial" w:cs="Arial"/>
                  <w:i/>
                  <w:iCs/>
                  <w:noProof/>
                  <w:lang w:val="en-US"/>
                </w:rPr>
                <w:t>Stakeholder Theory and Organizational Ethics.</w:t>
              </w:r>
              <w:r w:rsidRPr="00851192">
                <w:rPr>
                  <w:rFonts w:ascii="Arial" w:hAnsi="Arial" w:cs="Arial"/>
                  <w:noProof/>
                  <w:lang w:val="en-US"/>
                </w:rPr>
                <w:t xml:space="preserve"> San Fransisco: Berrett-Koehler Publishing Limited.</w:t>
              </w:r>
            </w:p>
            <w:p w14:paraId="48D497D9"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lastRenderedPageBreak/>
                <w:t xml:space="preserve">Pinkston, T. S., &amp; Carroll, A. B. (1996). A retrospective examination of CSR orientations: Have they changed? </w:t>
              </w:r>
              <w:r w:rsidRPr="00851192">
                <w:rPr>
                  <w:rFonts w:ascii="Arial" w:hAnsi="Arial" w:cs="Arial"/>
                  <w:i/>
                  <w:iCs/>
                  <w:noProof/>
                  <w:lang w:val="en-US"/>
                </w:rPr>
                <w:t>Journal of Business Ethics, 15</w:t>
              </w:r>
              <w:r w:rsidRPr="00851192">
                <w:rPr>
                  <w:rFonts w:ascii="Arial" w:hAnsi="Arial" w:cs="Arial"/>
                  <w:noProof/>
                  <w:lang w:val="en-US"/>
                </w:rPr>
                <w:t>(2), 199-206.</w:t>
              </w:r>
            </w:p>
            <w:p w14:paraId="1ED23913"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Podnar, K. (2008). Communicating Corporate Social Responsibility. </w:t>
              </w:r>
              <w:r w:rsidRPr="00851192">
                <w:rPr>
                  <w:rFonts w:ascii="Arial" w:hAnsi="Arial" w:cs="Arial"/>
                  <w:i/>
                  <w:iCs/>
                  <w:noProof/>
                  <w:lang w:val="en-US"/>
                </w:rPr>
                <w:t>Journal of Marketing Communications, 14</w:t>
              </w:r>
              <w:r w:rsidRPr="00851192">
                <w:rPr>
                  <w:rFonts w:ascii="Arial" w:hAnsi="Arial" w:cs="Arial"/>
                  <w:noProof/>
                  <w:lang w:val="en-US"/>
                </w:rPr>
                <w:t>(2), 75-81.</w:t>
              </w:r>
            </w:p>
            <w:p w14:paraId="01E44E32"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Ramesh, R. (2016, Janurary 6). </w:t>
              </w:r>
              <w:r w:rsidRPr="00851192">
                <w:rPr>
                  <w:rFonts w:ascii="Arial" w:hAnsi="Arial" w:cs="Arial"/>
                  <w:i/>
                  <w:iCs/>
                  <w:noProof/>
                  <w:lang w:val="en-US"/>
                </w:rPr>
                <w:t>Gambling charity chair lobbied for bookmakers, documents show</w:t>
              </w:r>
              <w:r w:rsidRPr="00851192">
                <w:rPr>
                  <w:rFonts w:ascii="Arial" w:hAnsi="Arial" w:cs="Arial"/>
                  <w:noProof/>
                  <w:lang w:val="en-US"/>
                </w:rPr>
                <w:t>. Retrieved from The Guardian: https://www.theguardian.com/society/2016/jan/06/documents-reveal-gambling-charity-chair-conflict-of-interest</w:t>
              </w:r>
            </w:p>
            <w:p w14:paraId="2E9881CC"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Reith, G. (2007). Gambling and the Contradictions of Consumption. </w:t>
              </w:r>
              <w:r w:rsidRPr="00851192">
                <w:rPr>
                  <w:rFonts w:ascii="Arial" w:hAnsi="Arial" w:cs="Arial"/>
                  <w:i/>
                  <w:iCs/>
                  <w:noProof/>
                  <w:lang w:val="en-US"/>
                </w:rPr>
                <w:t>American Behavioural Scientist</w:t>
              </w:r>
              <w:r w:rsidRPr="00851192">
                <w:rPr>
                  <w:rFonts w:ascii="Arial" w:hAnsi="Arial" w:cs="Arial"/>
                  <w:noProof/>
                  <w:lang w:val="en-US"/>
                </w:rPr>
                <w:t>, 33-35.</w:t>
              </w:r>
            </w:p>
            <w:p w14:paraId="2BB83A57"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Rendtorff, J. D. (2009). </w:t>
              </w:r>
              <w:r w:rsidRPr="00851192">
                <w:rPr>
                  <w:rFonts w:ascii="Arial" w:hAnsi="Arial" w:cs="Arial"/>
                  <w:i/>
                  <w:iCs/>
                  <w:noProof/>
                  <w:lang w:val="en-US"/>
                </w:rPr>
                <w:t>Responsibility, Ethics and Legitimacy of Corporations.</w:t>
              </w:r>
              <w:r w:rsidRPr="00851192">
                <w:rPr>
                  <w:rFonts w:ascii="Arial" w:hAnsi="Arial" w:cs="Arial"/>
                  <w:noProof/>
                  <w:lang w:val="en-US"/>
                </w:rPr>
                <w:t xml:space="preserve"> Copenhagen: Copenhagen Business School Press.</w:t>
              </w:r>
            </w:p>
            <w:p w14:paraId="55A2F42B"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Roberts, P., Priest, H., &amp; Traynor, M. (2006). Reliability and validity in research. </w:t>
              </w:r>
              <w:r w:rsidRPr="00851192">
                <w:rPr>
                  <w:rFonts w:ascii="Arial" w:hAnsi="Arial" w:cs="Arial"/>
                  <w:i/>
                  <w:iCs/>
                  <w:noProof/>
                  <w:lang w:val="en-US"/>
                </w:rPr>
                <w:t>Clinical Research Education , 20</w:t>
              </w:r>
              <w:r w:rsidRPr="00851192">
                <w:rPr>
                  <w:rFonts w:ascii="Arial" w:hAnsi="Arial" w:cs="Arial"/>
                  <w:noProof/>
                  <w:lang w:val="en-US"/>
                </w:rPr>
                <w:t>(44), 41-45.</w:t>
              </w:r>
            </w:p>
            <w:p w14:paraId="677E0A48"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Rubels, R. C. (2006). The epistemology of war gaming. </w:t>
              </w:r>
              <w:r w:rsidRPr="00851192">
                <w:rPr>
                  <w:rFonts w:ascii="Arial" w:hAnsi="Arial" w:cs="Arial"/>
                  <w:i/>
                  <w:iCs/>
                  <w:noProof/>
                  <w:lang w:val="en-US"/>
                </w:rPr>
                <w:t>Naval War College Review, 59</w:t>
              </w:r>
              <w:r w:rsidRPr="00851192">
                <w:rPr>
                  <w:rFonts w:ascii="Arial" w:hAnsi="Arial" w:cs="Arial"/>
                  <w:noProof/>
                  <w:lang w:val="en-US"/>
                </w:rPr>
                <w:t>(2), 108-128.</w:t>
              </w:r>
            </w:p>
            <w:p w14:paraId="695D653D"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Saeed, M. M., &amp; Arshad, F. (2012). Corporate social responsibility as a source of competitive advantage: The mediating role of social capital and reputational capital. </w:t>
              </w:r>
              <w:r w:rsidRPr="00851192">
                <w:rPr>
                  <w:rFonts w:ascii="Arial" w:hAnsi="Arial" w:cs="Arial"/>
                  <w:i/>
                  <w:iCs/>
                  <w:noProof/>
                  <w:lang w:val="en-US"/>
                </w:rPr>
                <w:t>Journal of Database Marketing &amp; Customer Strategy Management, 4</w:t>
              </w:r>
              <w:r w:rsidRPr="00851192">
                <w:rPr>
                  <w:rFonts w:ascii="Arial" w:hAnsi="Arial" w:cs="Arial"/>
                  <w:noProof/>
                  <w:lang w:val="en-US"/>
                </w:rPr>
                <w:t>(19), 219-232.</w:t>
              </w:r>
            </w:p>
            <w:p w14:paraId="3F01C361"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Salmones, M. G., Crespo, A. H., &amp; Bosque, I. R. (2005). Influence of Corporate Social Responsibility on Loyalty and Valuation of Services. </w:t>
              </w:r>
              <w:r w:rsidRPr="00851192">
                <w:rPr>
                  <w:rFonts w:ascii="Arial" w:hAnsi="Arial" w:cs="Arial"/>
                  <w:i/>
                  <w:iCs/>
                  <w:noProof/>
                  <w:lang w:val="en-US"/>
                </w:rPr>
                <w:t>Journal of Busienss Ethics, 61</w:t>
              </w:r>
              <w:r w:rsidRPr="00851192">
                <w:rPr>
                  <w:rFonts w:ascii="Arial" w:hAnsi="Arial" w:cs="Arial"/>
                  <w:noProof/>
                  <w:lang w:val="en-US"/>
                </w:rPr>
                <w:t>(4), 369-385.</w:t>
              </w:r>
            </w:p>
            <w:p w14:paraId="41B1417F"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Saunders, M., Lewis, P., &amp; Thornhill, A. (2007). </w:t>
              </w:r>
              <w:r w:rsidRPr="00851192">
                <w:rPr>
                  <w:rFonts w:ascii="Arial" w:hAnsi="Arial" w:cs="Arial"/>
                  <w:i/>
                  <w:iCs/>
                  <w:noProof/>
                  <w:lang w:val="en-US"/>
                </w:rPr>
                <w:t>Research Methods for Business Students.</w:t>
              </w:r>
              <w:r w:rsidRPr="00851192">
                <w:rPr>
                  <w:rFonts w:ascii="Arial" w:hAnsi="Arial" w:cs="Arial"/>
                  <w:noProof/>
                  <w:lang w:val="en-US"/>
                </w:rPr>
                <w:t xml:space="preserve"> Harlow: Pearson Education.</w:t>
              </w:r>
            </w:p>
            <w:p w14:paraId="482A7622"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Scherer, A. G., &amp; Palazzo, G. (2007). Toward a Political Conception of Corporate Responsibility: Business and Society Seen from a Habermasian Perspective. </w:t>
              </w:r>
              <w:r w:rsidRPr="00851192">
                <w:rPr>
                  <w:rFonts w:ascii="Arial" w:hAnsi="Arial" w:cs="Arial"/>
                  <w:i/>
                  <w:iCs/>
                  <w:noProof/>
                  <w:lang w:val="en-US"/>
                </w:rPr>
                <w:t>The Academy of Management Review, 32</w:t>
              </w:r>
              <w:r w:rsidRPr="00851192">
                <w:rPr>
                  <w:rFonts w:ascii="Arial" w:hAnsi="Arial" w:cs="Arial"/>
                  <w:noProof/>
                  <w:lang w:val="en-US"/>
                </w:rPr>
                <w:t>(4), 1096-1120.</w:t>
              </w:r>
            </w:p>
            <w:p w14:paraId="2002DDC1"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Scholte, J. A. (2008). Defining Globalisation. </w:t>
              </w:r>
              <w:r w:rsidRPr="00851192">
                <w:rPr>
                  <w:rFonts w:ascii="Arial" w:hAnsi="Arial" w:cs="Arial"/>
                  <w:i/>
                  <w:iCs/>
                  <w:noProof/>
                  <w:lang w:val="en-US"/>
                </w:rPr>
                <w:t>The World Economy, 31</w:t>
              </w:r>
              <w:r w:rsidRPr="00851192">
                <w:rPr>
                  <w:rFonts w:ascii="Arial" w:hAnsi="Arial" w:cs="Arial"/>
                  <w:noProof/>
                  <w:lang w:val="en-US"/>
                </w:rPr>
                <w:t>(11), 1471-1502.</w:t>
              </w:r>
            </w:p>
            <w:p w14:paraId="29020211"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Seedhouse, D. (2009). </w:t>
              </w:r>
              <w:r w:rsidRPr="00851192">
                <w:rPr>
                  <w:rFonts w:ascii="Arial" w:hAnsi="Arial" w:cs="Arial"/>
                  <w:i/>
                  <w:iCs/>
                  <w:noProof/>
                  <w:lang w:val="en-US"/>
                </w:rPr>
                <w:t>Ethics The Heart of Healthcare</w:t>
              </w:r>
              <w:r w:rsidRPr="00851192">
                <w:rPr>
                  <w:rFonts w:ascii="Arial" w:hAnsi="Arial" w:cs="Arial"/>
                  <w:noProof/>
                  <w:lang w:val="en-US"/>
                </w:rPr>
                <w:t xml:space="preserve"> (3rd ed.). Chichester: Wiley and Sons.</w:t>
              </w:r>
            </w:p>
            <w:p w14:paraId="4D160E8E"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Smith, A. D. (2007). Making the case for the competitive advantage of corporate social responsibility. </w:t>
              </w:r>
              <w:r w:rsidRPr="00851192">
                <w:rPr>
                  <w:rFonts w:ascii="Arial" w:hAnsi="Arial" w:cs="Arial"/>
                  <w:i/>
                  <w:iCs/>
                  <w:noProof/>
                  <w:lang w:val="en-US"/>
                </w:rPr>
                <w:t>Business Strategy Series, 8</w:t>
              </w:r>
              <w:r w:rsidRPr="00851192">
                <w:rPr>
                  <w:rFonts w:ascii="Arial" w:hAnsi="Arial" w:cs="Arial"/>
                  <w:noProof/>
                  <w:lang w:val="en-US"/>
                </w:rPr>
                <w:t>(3), 186-195.</w:t>
              </w:r>
            </w:p>
            <w:p w14:paraId="62394942"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Statista. (2018, August 29). </w:t>
              </w:r>
              <w:r w:rsidRPr="00851192">
                <w:rPr>
                  <w:rFonts w:ascii="Arial" w:hAnsi="Arial" w:cs="Arial"/>
                  <w:i/>
                  <w:iCs/>
                  <w:noProof/>
                  <w:lang w:val="en-US"/>
                </w:rPr>
                <w:t>Global gambling market gross gaming yield (GGY) from 2001 to 2019 (in billion U.S. dollars)</w:t>
              </w:r>
              <w:r w:rsidRPr="00851192">
                <w:rPr>
                  <w:rFonts w:ascii="Arial" w:hAnsi="Arial" w:cs="Arial"/>
                  <w:noProof/>
                  <w:lang w:val="en-US"/>
                </w:rPr>
                <w:t>. Retrieved from Statista.com: https://www.statista.com/statistics/253416/global-gambling-market-gross-win/</w:t>
              </w:r>
            </w:p>
            <w:p w14:paraId="4ABC437D"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Statista. (2018, June 26). </w:t>
              </w:r>
              <w:r w:rsidRPr="00851192">
                <w:rPr>
                  <w:rFonts w:ascii="Arial" w:hAnsi="Arial" w:cs="Arial"/>
                  <w:i/>
                  <w:iCs/>
                  <w:noProof/>
                  <w:lang w:val="en-US"/>
                </w:rPr>
                <w:t>Size of the online gambling market from 2009 to 2020</w:t>
              </w:r>
              <w:r w:rsidRPr="00851192">
                <w:rPr>
                  <w:rFonts w:ascii="Arial" w:hAnsi="Arial" w:cs="Arial"/>
                  <w:noProof/>
                  <w:lang w:val="en-US"/>
                </w:rPr>
                <w:t>. Retrieved from Statista: https://www.statista.com/statistics/270728/market-volume-of-online-gaming-worldwide/</w:t>
              </w:r>
            </w:p>
            <w:p w14:paraId="3375FC6F"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Stemler, S. (2001). An overview of content analysis. </w:t>
              </w:r>
              <w:r w:rsidRPr="00851192">
                <w:rPr>
                  <w:rFonts w:ascii="Arial" w:hAnsi="Arial" w:cs="Arial"/>
                  <w:i/>
                  <w:iCs/>
                  <w:noProof/>
                  <w:lang w:val="en-US"/>
                </w:rPr>
                <w:t>Practical assesment, 7</w:t>
              </w:r>
              <w:r w:rsidRPr="00851192">
                <w:rPr>
                  <w:rFonts w:ascii="Arial" w:hAnsi="Arial" w:cs="Arial"/>
                  <w:noProof/>
                  <w:lang w:val="en-US"/>
                </w:rPr>
                <w:t>(19).</w:t>
              </w:r>
            </w:p>
            <w:p w14:paraId="506208FD"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Tata, J., &amp; Prasad, S. (2015). CSR Communication: An Impression Management Perspective. </w:t>
              </w:r>
              <w:r w:rsidRPr="00851192">
                <w:rPr>
                  <w:rFonts w:ascii="Arial" w:hAnsi="Arial" w:cs="Arial"/>
                  <w:i/>
                  <w:iCs/>
                  <w:noProof/>
                  <w:lang w:val="en-US"/>
                </w:rPr>
                <w:t>Journal of Business Ethics, 132</w:t>
              </w:r>
              <w:r w:rsidRPr="00851192">
                <w:rPr>
                  <w:rFonts w:ascii="Arial" w:hAnsi="Arial" w:cs="Arial"/>
                  <w:noProof/>
                  <w:lang w:val="en-US"/>
                </w:rPr>
                <w:t>(4), 765-778.</w:t>
              </w:r>
            </w:p>
            <w:p w14:paraId="5BFFA381"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lastRenderedPageBreak/>
                <w:t xml:space="preserve">Teddlie, C., &amp; Yu, F. (2007). The New Era of Mixed Methods. </w:t>
              </w:r>
              <w:r w:rsidRPr="00851192">
                <w:rPr>
                  <w:rFonts w:ascii="Arial" w:hAnsi="Arial" w:cs="Arial"/>
                  <w:i/>
                  <w:iCs/>
                  <w:noProof/>
                  <w:lang w:val="en-US"/>
                </w:rPr>
                <w:t>Journal of Mixed Methods Research, 1</w:t>
              </w:r>
              <w:r w:rsidRPr="00851192">
                <w:rPr>
                  <w:rFonts w:ascii="Arial" w:hAnsi="Arial" w:cs="Arial"/>
                  <w:noProof/>
                  <w:lang w:val="en-US"/>
                </w:rPr>
                <w:t>(1), 3.</w:t>
              </w:r>
            </w:p>
            <w:p w14:paraId="793084A5"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(2005). </w:t>
              </w:r>
              <w:r w:rsidRPr="00851192">
                <w:rPr>
                  <w:rFonts w:ascii="Arial" w:hAnsi="Arial" w:cs="Arial"/>
                  <w:i/>
                  <w:iCs/>
                  <w:noProof/>
                  <w:lang w:val="en-US"/>
                </w:rPr>
                <w:t>The Gambling Act 2005.</w:t>
              </w:r>
              <w:r w:rsidRPr="00851192">
                <w:rPr>
                  <w:rFonts w:ascii="Arial" w:hAnsi="Arial" w:cs="Arial"/>
                  <w:noProof/>
                  <w:lang w:val="en-US"/>
                </w:rPr>
                <w:t xml:space="preserve"> Westminster: United Kingdom Government.</w:t>
              </w:r>
            </w:p>
            <w:p w14:paraId="555DA6A6"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The Gambling Commision. (2017). </w:t>
              </w:r>
              <w:r w:rsidRPr="00851192">
                <w:rPr>
                  <w:rFonts w:ascii="Arial" w:hAnsi="Arial" w:cs="Arial"/>
                  <w:i/>
                  <w:iCs/>
                  <w:noProof/>
                  <w:lang w:val="en-US"/>
                </w:rPr>
                <w:t>Gambling participation in 2016: behaviour, awareness and attititudes.</w:t>
              </w:r>
              <w:r w:rsidRPr="00851192">
                <w:rPr>
                  <w:rFonts w:ascii="Arial" w:hAnsi="Arial" w:cs="Arial"/>
                  <w:noProof/>
                  <w:lang w:val="en-US"/>
                </w:rPr>
                <w:t xml:space="preserve"> Birmingham: The Gambling Commision.</w:t>
              </w:r>
            </w:p>
            <w:p w14:paraId="04CF2020"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The National Lottery . (2017). </w:t>
              </w:r>
              <w:r w:rsidRPr="00851192">
                <w:rPr>
                  <w:rFonts w:ascii="Arial" w:hAnsi="Arial" w:cs="Arial"/>
                  <w:i/>
                  <w:iCs/>
                  <w:noProof/>
                  <w:lang w:val="en-US"/>
                </w:rPr>
                <w:t>Big Lottery Fund Annual Accounts 2016-2017.</w:t>
              </w:r>
              <w:r w:rsidRPr="00851192">
                <w:rPr>
                  <w:rFonts w:ascii="Arial" w:hAnsi="Arial" w:cs="Arial"/>
                  <w:noProof/>
                  <w:lang w:val="en-US"/>
                </w:rPr>
                <w:t xml:space="preserve"> London: Big Lottery Fund.</w:t>
              </w:r>
            </w:p>
            <w:p w14:paraId="19101BBB"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Tracey, N. P. (2014). Corporate reputation and financial performance: Underlying dimensions of corporate reputation and their relation to sustained financial performance. </w:t>
              </w:r>
              <w:r w:rsidRPr="00851192">
                <w:rPr>
                  <w:rFonts w:ascii="Arial" w:hAnsi="Arial" w:cs="Arial"/>
                  <w:i/>
                  <w:iCs/>
                  <w:noProof/>
                  <w:lang w:val="en-US"/>
                </w:rPr>
                <w:t xml:space="preserve">Queensland University of Technology </w:t>
              </w:r>
              <w:r w:rsidRPr="00851192">
                <w:rPr>
                  <w:rFonts w:ascii="Arial" w:hAnsi="Arial" w:cs="Arial"/>
                  <w:noProof/>
                  <w:lang w:val="en-US"/>
                </w:rPr>
                <w:t>, 36-82.</w:t>
              </w:r>
            </w:p>
            <w:p w14:paraId="1A049FF1"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Turyakira, P., Venter, E., &amp; Smith, E. (2014). The impact of corporate soial responsibility factors on the competitiveness of small and medium sized enterprises. </w:t>
              </w:r>
              <w:r w:rsidRPr="00851192">
                <w:rPr>
                  <w:rFonts w:ascii="Arial" w:hAnsi="Arial" w:cs="Arial"/>
                  <w:i/>
                  <w:iCs/>
                  <w:noProof/>
                  <w:lang w:val="en-US"/>
                </w:rPr>
                <w:t>Journal of Economic and Management Sciences, 17</w:t>
              </w:r>
              <w:r w:rsidRPr="00851192">
                <w:rPr>
                  <w:rFonts w:ascii="Arial" w:hAnsi="Arial" w:cs="Arial"/>
                  <w:noProof/>
                  <w:lang w:val="en-US"/>
                </w:rPr>
                <w:t>(2), 157-172.</w:t>
              </w:r>
            </w:p>
            <w:p w14:paraId="3E788D35"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United Kingdom Government . (2005). </w:t>
              </w:r>
              <w:r w:rsidRPr="00851192">
                <w:rPr>
                  <w:rFonts w:ascii="Arial" w:hAnsi="Arial" w:cs="Arial"/>
                  <w:i/>
                  <w:iCs/>
                  <w:noProof/>
                  <w:lang w:val="en-US"/>
                </w:rPr>
                <w:t>The Gambling Act 2005.</w:t>
              </w:r>
              <w:r w:rsidRPr="00851192">
                <w:rPr>
                  <w:rFonts w:ascii="Arial" w:hAnsi="Arial" w:cs="Arial"/>
                  <w:noProof/>
                  <w:lang w:val="en-US"/>
                </w:rPr>
                <w:t xml:space="preserve"> Westminster: Her Majesty’s Stationery Office and Queen’s Printer of Acts of Parliament.</w:t>
              </w:r>
            </w:p>
            <w:p w14:paraId="31CE0DFC"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United States Health Department. (2016). </w:t>
              </w:r>
              <w:r w:rsidRPr="00851192">
                <w:rPr>
                  <w:rFonts w:ascii="Arial" w:hAnsi="Arial" w:cs="Arial"/>
                  <w:i/>
                  <w:iCs/>
                  <w:noProof/>
                  <w:lang w:val="en-US"/>
                </w:rPr>
                <w:t>Funding Problem Gambling Services: Examples from Across U.S. States.</w:t>
              </w:r>
              <w:r w:rsidRPr="00851192">
                <w:rPr>
                  <w:rFonts w:ascii="Arial" w:hAnsi="Arial" w:cs="Arial"/>
                  <w:noProof/>
                  <w:lang w:val="en-US"/>
                </w:rPr>
                <w:t xml:space="preserve"> Washington D.C: United States Government .</w:t>
              </w:r>
            </w:p>
            <w:p w14:paraId="48FB4D52"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Walker, S. (2002). </w:t>
              </w:r>
              <w:r w:rsidRPr="00851192">
                <w:rPr>
                  <w:rFonts w:ascii="Arial" w:hAnsi="Arial" w:cs="Arial"/>
                  <w:i/>
                  <w:iCs/>
                  <w:noProof/>
                  <w:lang w:val="en-US"/>
                </w:rPr>
                <w:t>Stakeholder Power.</w:t>
              </w:r>
              <w:r w:rsidRPr="00851192">
                <w:rPr>
                  <w:rFonts w:ascii="Arial" w:hAnsi="Arial" w:cs="Arial"/>
                  <w:noProof/>
                  <w:lang w:val="en-US"/>
                </w:rPr>
                <w:t xml:space="preserve"> New York : Basic Books.</w:t>
              </w:r>
            </w:p>
            <w:p w14:paraId="6BD21548"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Weber, R. P. (1990). </w:t>
              </w:r>
              <w:r w:rsidRPr="00851192">
                <w:rPr>
                  <w:rFonts w:ascii="Arial" w:hAnsi="Arial" w:cs="Arial"/>
                  <w:i/>
                  <w:iCs/>
                  <w:noProof/>
                  <w:lang w:val="en-US"/>
                </w:rPr>
                <w:t>Basic Content Analysis</w:t>
              </w:r>
              <w:r w:rsidRPr="00851192">
                <w:rPr>
                  <w:rFonts w:ascii="Arial" w:hAnsi="Arial" w:cs="Arial"/>
                  <w:noProof/>
                  <w:lang w:val="en-US"/>
                </w:rPr>
                <w:t xml:space="preserve"> (2nd ed.). Newbury Park, California: Sage Publications.</w:t>
              </w:r>
            </w:p>
            <w:p w14:paraId="75876AD5"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Wilmot, G. (2018). </w:t>
              </w:r>
              <w:r w:rsidRPr="00851192">
                <w:rPr>
                  <w:rFonts w:ascii="Arial" w:hAnsi="Arial" w:cs="Arial"/>
                  <w:i/>
                  <w:iCs/>
                  <w:noProof/>
                  <w:lang w:val="en-US"/>
                </w:rPr>
                <w:t>Promoting Responsible Gambling</w:t>
              </w:r>
              <w:r w:rsidRPr="00851192">
                <w:rPr>
                  <w:rFonts w:ascii="Arial" w:hAnsi="Arial" w:cs="Arial"/>
                  <w:noProof/>
                  <w:lang w:val="en-US"/>
                </w:rPr>
                <w:t>. Retrieved from The Senet Group: https://senetgroup.org.uk/</w:t>
              </w:r>
            </w:p>
            <w:p w14:paraId="671A5AFF"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 xml:space="preserve">Wilson, R. (1997). Islamic and Ethical Finance. </w:t>
              </w:r>
              <w:r w:rsidRPr="00851192">
                <w:rPr>
                  <w:rFonts w:ascii="Arial" w:hAnsi="Arial" w:cs="Arial"/>
                  <w:i/>
                  <w:iCs/>
                  <w:noProof/>
                  <w:lang w:val="en-US"/>
                </w:rPr>
                <w:t>International Journal of Social Economics, 24</w:t>
              </w:r>
              <w:r w:rsidRPr="00851192">
                <w:rPr>
                  <w:rFonts w:ascii="Arial" w:hAnsi="Arial" w:cs="Arial"/>
                  <w:noProof/>
                  <w:lang w:val="en-US"/>
                </w:rPr>
                <w:t>(11), 1325-1342.</w:t>
              </w:r>
            </w:p>
            <w:p w14:paraId="7921DEF2" w14:textId="77777777" w:rsidR="002D17EA" w:rsidRPr="00851192" w:rsidRDefault="002D17EA" w:rsidP="00BD4AB0">
              <w:pPr>
                <w:pStyle w:val="Bibliography"/>
                <w:ind w:left="720" w:hanging="720"/>
                <w:jc w:val="both"/>
                <w:rPr>
                  <w:rFonts w:ascii="Arial" w:hAnsi="Arial" w:cs="Arial"/>
                  <w:noProof/>
                  <w:lang w:val="en-US"/>
                </w:rPr>
              </w:pPr>
              <w:r w:rsidRPr="00851192">
                <w:rPr>
                  <w:rFonts w:ascii="Arial" w:hAnsi="Arial" w:cs="Arial"/>
                  <w:noProof/>
                  <w:lang w:val="en-US"/>
                </w:rPr>
                <w:t>Young, S., &amp; Marais, M. (2012). A Multi</w:t>
              </w:r>
              <w:r w:rsidRPr="00851192">
                <w:rPr>
                  <w:rFonts w:ascii="Cambria Math" w:hAnsi="Cambria Math" w:cs="Cambria Math"/>
                  <w:noProof/>
                  <w:lang w:val="en-US"/>
                </w:rPr>
                <w:t>‐</w:t>
              </w:r>
              <w:r w:rsidRPr="00851192">
                <w:rPr>
                  <w:rFonts w:ascii="Arial" w:hAnsi="Arial" w:cs="Arial"/>
                  <w:noProof/>
                  <w:lang w:val="en-US"/>
                </w:rPr>
                <w:t xml:space="preserve">level Perspective of CSR Reporting: The Implications of National Institutions and Industry Risk Characteristics. </w:t>
              </w:r>
              <w:r w:rsidRPr="00851192">
                <w:rPr>
                  <w:rFonts w:ascii="Arial" w:hAnsi="Arial" w:cs="Arial"/>
                  <w:i/>
                  <w:iCs/>
                  <w:noProof/>
                  <w:lang w:val="en-US"/>
                </w:rPr>
                <w:t>Corporate Governance: An International Review, 20</w:t>
              </w:r>
              <w:r w:rsidRPr="00851192">
                <w:rPr>
                  <w:rFonts w:ascii="Arial" w:hAnsi="Arial" w:cs="Arial"/>
                  <w:noProof/>
                  <w:lang w:val="en-US"/>
                </w:rPr>
                <w:t>(5), 432-450.</w:t>
              </w:r>
            </w:p>
            <w:p w14:paraId="5C8B54AB" w14:textId="77777777" w:rsidR="00D71345" w:rsidRPr="00851192" w:rsidRDefault="00CE7C28" w:rsidP="00BD4AB0">
              <w:pPr>
                <w:pStyle w:val="Heading1"/>
                <w:jc w:val="both"/>
                <w:rPr>
                  <w:rFonts w:ascii="Arial" w:hAnsi="Arial" w:cs="Arial"/>
                  <w:color w:val="auto"/>
                </w:rPr>
              </w:pPr>
              <w:r w:rsidRPr="00851192">
                <w:rPr>
                  <w:rFonts w:ascii="Arial" w:hAnsi="Arial" w:cs="Arial"/>
                  <w:b/>
                  <w:bCs/>
                  <w:noProof/>
                  <w:color w:val="auto"/>
                </w:rPr>
                <w:fldChar w:fldCharType="end"/>
              </w:r>
            </w:p>
          </w:sdtContent>
        </w:sdt>
      </w:sdtContent>
    </w:sdt>
    <w:p w14:paraId="45999250" w14:textId="77777777" w:rsidR="00811578" w:rsidRPr="00851192" w:rsidRDefault="00811578" w:rsidP="00811578">
      <w:pPr>
        <w:rPr>
          <w:rFonts w:ascii="Arial" w:hAnsi="Arial" w:cs="Arial"/>
        </w:rPr>
      </w:pPr>
    </w:p>
    <w:p w14:paraId="19145B8C" w14:textId="77777777" w:rsidR="00811578" w:rsidRPr="00851192" w:rsidRDefault="00811578" w:rsidP="00811578">
      <w:pPr>
        <w:rPr>
          <w:rFonts w:ascii="Arial" w:hAnsi="Arial" w:cs="Arial"/>
        </w:rPr>
      </w:pPr>
    </w:p>
    <w:p w14:paraId="1545A78B" w14:textId="2D3063BD" w:rsidR="00811578" w:rsidRPr="00851192" w:rsidRDefault="00811578" w:rsidP="00811578">
      <w:pPr>
        <w:rPr>
          <w:rFonts w:ascii="Arial" w:hAnsi="Arial" w:cs="Arial"/>
        </w:rPr>
      </w:pPr>
    </w:p>
    <w:p w14:paraId="346F1ACF" w14:textId="2564462D" w:rsidR="0088481D" w:rsidRPr="00851192" w:rsidRDefault="0088481D" w:rsidP="00811578">
      <w:pPr>
        <w:rPr>
          <w:rFonts w:ascii="Arial" w:hAnsi="Arial" w:cs="Arial"/>
        </w:rPr>
      </w:pPr>
    </w:p>
    <w:p w14:paraId="12E4F10F" w14:textId="74009594" w:rsidR="0088481D" w:rsidRPr="00851192" w:rsidRDefault="0088481D" w:rsidP="00811578">
      <w:pPr>
        <w:rPr>
          <w:rFonts w:ascii="Arial" w:hAnsi="Arial" w:cs="Arial"/>
        </w:rPr>
      </w:pPr>
    </w:p>
    <w:p w14:paraId="55773365" w14:textId="58FB816E" w:rsidR="0088481D" w:rsidRPr="00851192" w:rsidRDefault="0088481D" w:rsidP="00811578">
      <w:pPr>
        <w:rPr>
          <w:rFonts w:ascii="Arial" w:hAnsi="Arial" w:cs="Arial"/>
        </w:rPr>
      </w:pPr>
    </w:p>
    <w:p w14:paraId="43A14DB3" w14:textId="1E2EA5B8" w:rsidR="0088481D" w:rsidRPr="00851192" w:rsidRDefault="0088481D" w:rsidP="00811578">
      <w:pPr>
        <w:rPr>
          <w:rFonts w:ascii="Arial" w:hAnsi="Arial" w:cs="Arial"/>
        </w:rPr>
      </w:pPr>
    </w:p>
    <w:p w14:paraId="7E984793" w14:textId="32FEDA66" w:rsidR="0088481D" w:rsidRPr="00851192" w:rsidRDefault="0088481D" w:rsidP="00811578">
      <w:pPr>
        <w:rPr>
          <w:rFonts w:ascii="Arial" w:hAnsi="Arial" w:cs="Arial"/>
        </w:rPr>
      </w:pPr>
    </w:p>
    <w:p w14:paraId="08C8FFE4" w14:textId="77777777" w:rsidR="00DF7255" w:rsidRPr="00851192" w:rsidRDefault="00DF7255" w:rsidP="00811578">
      <w:pPr>
        <w:rPr>
          <w:rFonts w:ascii="Arial" w:hAnsi="Arial" w:cs="Arial"/>
        </w:rPr>
      </w:pPr>
    </w:p>
    <w:p w14:paraId="4BE53F61" w14:textId="466621A4" w:rsidR="0017796E" w:rsidRPr="00851192" w:rsidRDefault="005E3EE2" w:rsidP="00811578">
      <w:pPr>
        <w:pStyle w:val="Heading1"/>
        <w:rPr>
          <w:rFonts w:ascii="Arial" w:hAnsi="Arial" w:cs="Arial"/>
          <w:b/>
          <w:color w:val="auto"/>
        </w:rPr>
      </w:pPr>
      <w:bookmarkStart w:id="80" w:name="_Toc526434280"/>
      <w:r w:rsidRPr="00851192">
        <w:rPr>
          <w:rFonts w:ascii="Arial" w:hAnsi="Arial" w:cs="Arial"/>
          <w:b/>
          <w:color w:val="auto"/>
        </w:rPr>
        <w:lastRenderedPageBreak/>
        <w:t xml:space="preserve">7.0 </w:t>
      </w:r>
      <w:r w:rsidR="00D71345" w:rsidRPr="00851192">
        <w:rPr>
          <w:rFonts w:ascii="Arial" w:hAnsi="Arial" w:cs="Arial"/>
          <w:b/>
          <w:color w:val="auto"/>
        </w:rPr>
        <w:t>Appendices</w:t>
      </w:r>
      <w:bookmarkEnd w:id="80"/>
    </w:p>
    <w:p w14:paraId="5FAF94BD" w14:textId="66112756" w:rsidR="00811578" w:rsidRPr="00851192" w:rsidRDefault="00811578" w:rsidP="009B75A0">
      <w:pPr>
        <w:jc w:val="center"/>
        <w:rPr>
          <w:rFonts w:ascii="Arial" w:hAnsi="Arial" w:cs="Arial"/>
          <w:b/>
        </w:rPr>
      </w:pPr>
    </w:p>
    <w:p w14:paraId="3B1EF1E6" w14:textId="403D563F" w:rsidR="00811578" w:rsidRPr="00851192" w:rsidRDefault="00811578" w:rsidP="00811578">
      <w:pPr>
        <w:rPr>
          <w:rFonts w:ascii="Arial" w:hAnsi="Arial" w:cs="Arial"/>
          <w:i/>
        </w:rPr>
      </w:pPr>
      <w:r w:rsidRPr="00851192">
        <w:rPr>
          <w:rFonts w:ascii="Arial" w:hAnsi="Arial" w:cs="Arial"/>
          <w:b/>
        </w:rPr>
        <w:t xml:space="preserve">Appendix </w:t>
      </w:r>
      <w:r w:rsidR="005F17DB" w:rsidRPr="00851192">
        <w:rPr>
          <w:rFonts w:ascii="Arial" w:hAnsi="Arial" w:cs="Arial"/>
          <w:b/>
        </w:rPr>
        <w:t>1</w:t>
      </w:r>
      <w:r w:rsidRPr="00851192">
        <w:rPr>
          <w:rFonts w:ascii="Arial" w:hAnsi="Arial" w:cs="Arial"/>
          <w:b/>
        </w:rPr>
        <w:t xml:space="preserve"> </w:t>
      </w:r>
      <w:r w:rsidRPr="00851192">
        <w:rPr>
          <w:rFonts w:ascii="Arial" w:hAnsi="Arial" w:cs="Arial"/>
          <w:i/>
        </w:rPr>
        <w:t xml:space="preserve">Consumer CSR Communication Survey </w:t>
      </w:r>
    </w:p>
    <w:p w14:paraId="1852DDEC" w14:textId="4CD10539" w:rsidR="00811578" w:rsidRPr="00851192" w:rsidRDefault="00811578" w:rsidP="00811578">
      <w:pPr>
        <w:rPr>
          <w:rFonts w:ascii="Arial" w:hAnsi="Arial" w:cs="Arial"/>
          <w:i/>
        </w:rPr>
      </w:pPr>
      <w:r w:rsidRPr="00851192">
        <w:rPr>
          <w:rFonts w:ascii="Arial" w:hAnsi="Arial" w:cs="Arial"/>
          <w:i/>
          <w:noProof/>
          <w:lang w:eastAsia="en-GB"/>
        </w:rPr>
        <w:drawing>
          <wp:inline distT="0" distB="0" distL="0" distR="0" wp14:anchorId="12F31558" wp14:editId="44D8D0DA">
            <wp:extent cx="5731510" cy="5579110"/>
            <wp:effectExtent l="0" t="0" r="2540" b="2540"/>
            <wp:docPr id="238" name="Picture 2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 name="Qpart1.JPG"/>
                    <pic:cNvPicPr/>
                  </pic:nvPicPr>
                  <pic:blipFill>
                    <a:blip r:embed="rId49">
                      <a:extLst>
                        <a:ext uri="{28A0092B-C50C-407E-A947-70E740481C1C}">
                          <a14:useLocalDpi xmlns:a14="http://schemas.microsoft.com/office/drawing/2010/main" val="0"/>
                        </a:ext>
                      </a:extLst>
                    </a:blip>
                    <a:stretch>
                      <a:fillRect/>
                    </a:stretch>
                  </pic:blipFill>
                  <pic:spPr>
                    <a:xfrm>
                      <a:off x="0" y="0"/>
                      <a:ext cx="5731510" cy="5579110"/>
                    </a:xfrm>
                    <a:prstGeom prst="rect">
                      <a:avLst/>
                    </a:prstGeom>
                  </pic:spPr>
                </pic:pic>
              </a:graphicData>
            </a:graphic>
          </wp:inline>
        </w:drawing>
      </w:r>
    </w:p>
    <w:p w14:paraId="2504FDE6" w14:textId="77777777" w:rsidR="00811578" w:rsidRPr="00851192" w:rsidRDefault="00811578" w:rsidP="00811578">
      <w:pPr>
        <w:rPr>
          <w:rFonts w:ascii="Arial" w:hAnsi="Arial" w:cs="Arial"/>
          <w:i/>
        </w:rPr>
      </w:pPr>
      <w:r w:rsidRPr="00851192">
        <w:rPr>
          <w:rFonts w:ascii="Arial" w:hAnsi="Arial" w:cs="Arial"/>
          <w:i/>
          <w:noProof/>
          <w:lang w:eastAsia="en-GB"/>
        </w:rPr>
        <w:lastRenderedPageBreak/>
        <w:drawing>
          <wp:inline distT="0" distB="0" distL="0" distR="0" wp14:anchorId="7E60E218" wp14:editId="1CEC9002">
            <wp:extent cx="5731510" cy="3892550"/>
            <wp:effectExtent l="0" t="0" r="2540" b="0"/>
            <wp:docPr id="239" name="Picture 2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 name="Qpart2.JPG"/>
                    <pic:cNvPicPr/>
                  </pic:nvPicPr>
                  <pic:blipFill>
                    <a:blip r:embed="rId50">
                      <a:extLst>
                        <a:ext uri="{28A0092B-C50C-407E-A947-70E740481C1C}">
                          <a14:useLocalDpi xmlns:a14="http://schemas.microsoft.com/office/drawing/2010/main" val="0"/>
                        </a:ext>
                      </a:extLst>
                    </a:blip>
                    <a:stretch>
                      <a:fillRect/>
                    </a:stretch>
                  </pic:blipFill>
                  <pic:spPr>
                    <a:xfrm>
                      <a:off x="0" y="0"/>
                      <a:ext cx="5731510" cy="3892550"/>
                    </a:xfrm>
                    <a:prstGeom prst="rect">
                      <a:avLst/>
                    </a:prstGeom>
                  </pic:spPr>
                </pic:pic>
              </a:graphicData>
            </a:graphic>
          </wp:inline>
        </w:drawing>
      </w:r>
      <w:r w:rsidRPr="00851192">
        <w:rPr>
          <w:rFonts w:ascii="Arial" w:hAnsi="Arial" w:cs="Arial"/>
          <w:i/>
          <w:noProof/>
          <w:lang w:eastAsia="en-GB"/>
        </w:rPr>
        <w:drawing>
          <wp:inline distT="0" distB="0" distL="0" distR="0" wp14:anchorId="61FEFED8" wp14:editId="2CC5DF6E">
            <wp:extent cx="5731510" cy="3622675"/>
            <wp:effectExtent l="0" t="0" r="2540" b="0"/>
            <wp:docPr id="240" name="Picture 2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 name="Qpart3.JPG"/>
                    <pic:cNvPicPr/>
                  </pic:nvPicPr>
                  <pic:blipFill>
                    <a:blip r:embed="rId51">
                      <a:extLst>
                        <a:ext uri="{28A0092B-C50C-407E-A947-70E740481C1C}">
                          <a14:useLocalDpi xmlns:a14="http://schemas.microsoft.com/office/drawing/2010/main" val="0"/>
                        </a:ext>
                      </a:extLst>
                    </a:blip>
                    <a:stretch>
                      <a:fillRect/>
                    </a:stretch>
                  </pic:blipFill>
                  <pic:spPr>
                    <a:xfrm>
                      <a:off x="0" y="0"/>
                      <a:ext cx="5731510" cy="3622675"/>
                    </a:xfrm>
                    <a:prstGeom prst="rect">
                      <a:avLst/>
                    </a:prstGeom>
                  </pic:spPr>
                </pic:pic>
              </a:graphicData>
            </a:graphic>
          </wp:inline>
        </w:drawing>
      </w:r>
      <w:r w:rsidRPr="00851192">
        <w:rPr>
          <w:rFonts w:ascii="Arial" w:hAnsi="Arial" w:cs="Arial"/>
          <w:i/>
          <w:noProof/>
          <w:lang w:eastAsia="en-GB"/>
        </w:rPr>
        <w:lastRenderedPageBreak/>
        <w:drawing>
          <wp:inline distT="0" distB="0" distL="0" distR="0" wp14:anchorId="5370CCF3" wp14:editId="6A8DC361">
            <wp:extent cx="5731510" cy="3925570"/>
            <wp:effectExtent l="0" t="0" r="2540" b="0"/>
            <wp:docPr id="241" name="Picture 2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 name="Qpart4.JPG"/>
                    <pic:cNvPicPr/>
                  </pic:nvPicPr>
                  <pic:blipFill>
                    <a:blip r:embed="rId52">
                      <a:extLst>
                        <a:ext uri="{28A0092B-C50C-407E-A947-70E740481C1C}">
                          <a14:useLocalDpi xmlns:a14="http://schemas.microsoft.com/office/drawing/2010/main" val="0"/>
                        </a:ext>
                      </a:extLst>
                    </a:blip>
                    <a:stretch>
                      <a:fillRect/>
                    </a:stretch>
                  </pic:blipFill>
                  <pic:spPr>
                    <a:xfrm>
                      <a:off x="0" y="0"/>
                      <a:ext cx="5731510" cy="3925570"/>
                    </a:xfrm>
                    <a:prstGeom prst="rect">
                      <a:avLst/>
                    </a:prstGeom>
                  </pic:spPr>
                </pic:pic>
              </a:graphicData>
            </a:graphic>
          </wp:inline>
        </w:drawing>
      </w:r>
      <w:r w:rsidRPr="00851192">
        <w:rPr>
          <w:rFonts w:ascii="Arial" w:hAnsi="Arial" w:cs="Arial"/>
          <w:i/>
          <w:noProof/>
          <w:lang w:eastAsia="en-GB"/>
        </w:rPr>
        <w:lastRenderedPageBreak/>
        <w:drawing>
          <wp:inline distT="0" distB="0" distL="0" distR="0" wp14:anchorId="7EF81C6E" wp14:editId="57669B7E">
            <wp:extent cx="5731510" cy="5659120"/>
            <wp:effectExtent l="0" t="0" r="2540" b="0"/>
            <wp:docPr id="242" name="Picture 2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 name="Qpart5.JPG"/>
                    <pic:cNvPicPr/>
                  </pic:nvPicPr>
                  <pic:blipFill>
                    <a:blip r:embed="rId53">
                      <a:extLst>
                        <a:ext uri="{28A0092B-C50C-407E-A947-70E740481C1C}">
                          <a14:useLocalDpi xmlns:a14="http://schemas.microsoft.com/office/drawing/2010/main" val="0"/>
                        </a:ext>
                      </a:extLst>
                    </a:blip>
                    <a:stretch>
                      <a:fillRect/>
                    </a:stretch>
                  </pic:blipFill>
                  <pic:spPr>
                    <a:xfrm>
                      <a:off x="0" y="0"/>
                      <a:ext cx="5731510" cy="5659120"/>
                    </a:xfrm>
                    <a:prstGeom prst="rect">
                      <a:avLst/>
                    </a:prstGeom>
                  </pic:spPr>
                </pic:pic>
              </a:graphicData>
            </a:graphic>
          </wp:inline>
        </w:drawing>
      </w:r>
      <w:r w:rsidRPr="00851192">
        <w:rPr>
          <w:rFonts w:ascii="Arial" w:hAnsi="Arial" w:cs="Arial"/>
          <w:i/>
          <w:noProof/>
          <w:lang w:eastAsia="en-GB"/>
        </w:rPr>
        <w:lastRenderedPageBreak/>
        <w:drawing>
          <wp:inline distT="0" distB="0" distL="0" distR="0" wp14:anchorId="1D476CCE" wp14:editId="31B68BD6">
            <wp:extent cx="5731510" cy="5344795"/>
            <wp:effectExtent l="0" t="0" r="2540" b="8255"/>
            <wp:docPr id="243" name="Picture 2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 name="Qpart6.JPG"/>
                    <pic:cNvPicPr/>
                  </pic:nvPicPr>
                  <pic:blipFill>
                    <a:blip r:embed="rId54">
                      <a:extLst>
                        <a:ext uri="{28A0092B-C50C-407E-A947-70E740481C1C}">
                          <a14:useLocalDpi xmlns:a14="http://schemas.microsoft.com/office/drawing/2010/main" val="0"/>
                        </a:ext>
                      </a:extLst>
                    </a:blip>
                    <a:stretch>
                      <a:fillRect/>
                    </a:stretch>
                  </pic:blipFill>
                  <pic:spPr>
                    <a:xfrm>
                      <a:off x="0" y="0"/>
                      <a:ext cx="5731510" cy="5344795"/>
                    </a:xfrm>
                    <a:prstGeom prst="rect">
                      <a:avLst/>
                    </a:prstGeom>
                  </pic:spPr>
                </pic:pic>
              </a:graphicData>
            </a:graphic>
          </wp:inline>
        </w:drawing>
      </w:r>
      <w:r w:rsidRPr="00851192">
        <w:rPr>
          <w:rFonts w:ascii="Arial" w:hAnsi="Arial" w:cs="Arial"/>
          <w:i/>
          <w:noProof/>
          <w:lang w:eastAsia="en-GB"/>
        </w:rPr>
        <w:lastRenderedPageBreak/>
        <w:drawing>
          <wp:inline distT="0" distB="0" distL="0" distR="0" wp14:anchorId="13946D6B" wp14:editId="252F1FFD">
            <wp:extent cx="5731510" cy="4438015"/>
            <wp:effectExtent l="0" t="0" r="2540" b="635"/>
            <wp:docPr id="244" name="Picture 2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 name="Qpart7.JPG"/>
                    <pic:cNvPicPr/>
                  </pic:nvPicPr>
                  <pic:blipFill>
                    <a:blip r:embed="rId55">
                      <a:extLst>
                        <a:ext uri="{28A0092B-C50C-407E-A947-70E740481C1C}">
                          <a14:useLocalDpi xmlns:a14="http://schemas.microsoft.com/office/drawing/2010/main" val="0"/>
                        </a:ext>
                      </a:extLst>
                    </a:blip>
                    <a:stretch>
                      <a:fillRect/>
                    </a:stretch>
                  </pic:blipFill>
                  <pic:spPr>
                    <a:xfrm>
                      <a:off x="0" y="0"/>
                      <a:ext cx="5731510" cy="4438015"/>
                    </a:xfrm>
                    <a:prstGeom prst="rect">
                      <a:avLst/>
                    </a:prstGeom>
                  </pic:spPr>
                </pic:pic>
              </a:graphicData>
            </a:graphic>
          </wp:inline>
        </w:drawing>
      </w:r>
    </w:p>
    <w:p w14:paraId="09C2473C" w14:textId="4B8D1B99" w:rsidR="00811578" w:rsidRPr="00851192" w:rsidRDefault="00811578" w:rsidP="00811578">
      <w:pPr>
        <w:rPr>
          <w:rFonts w:ascii="Arial" w:hAnsi="Arial" w:cs="Arial"/>
          <w:i/>
        </w:rPr>
      </w:pPr>
      <w:r w:rsidRPr="00851192">
        <w:rPr>
          <w:rFonts w:ascii="Arial" w:hAnsi="Arial" w:cs="Arial"/>
          <w:i/>
          <w:noProof/>
          <w:lang w:eastAsia="en-GB"/>
        </w:rPr>
        <w:lastRenderedPageBreak/>
        <w:drawing>
          <wp:inline distT="0" distB="0" distL="0" distR="0" wp14:anchorId="0EECBA4D" wp14:editId="1D1F2298">
            <wp:extent cx="5731510" cy="5560060"/>
            <wp:effectExtent l="0" t="0" r="2540" b="2540"/>
            <wp:docPr id="245" name="Picture 2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 name="Qpart8.JPG"/>
                    <pic:cNvPicPr/>
                  </pic:nvPicPr>
                  <pic:blipFill>
                    <a:blip r:embed="rId56">
                      <a:extLst>
                        <a:ext uri="{28A0092B-C50C-407E-A947-70E740481C1C}">
                          <a14:useLocalDpi xmlns:a14="http://schemas.microsoft.com/office/drawing/2010/main" val="0"/>
                        </a:ext>
                      </a:extLst>
                    </a:blip>
                    <a:stretch>
                      <a:fillRect/>
                    </a:stretch>
                  </pic:blipFill>
                  <pic:spPr>
                    <a:xfrm>
                      <a:off x="0" y="0"/>
                      <a:ext cx="5731510" cy="5560060"/>
                    </a:xfrm>
                    <a:prstGeom prst="rect">
                      <a:avLst/>
                    </a:prstGeom>
                  </pic:spPr>
                </pic:pic>
              </a:graphicData>
            </a:graphic>
          </wp:inline>
        </w:drawing>
      </w:r>
      <w:r w:rsidRPr="00851192">
        <w:rPr>
          <w:rFonts w:ascii="Arial" w:hAnsi="Arial" w:cs="Arial"/>
          <w:i/>
          <w:noProof/>
          <w:lang w:eastAsia="en-GB"/>
        </w:rPr>
        <w:lastRenderedPageBreak/>
        <w:drawing>
          <wp:inline distT="0" distB="0" distL="0" distR="0" wp14:anchorId="4E444BDB" wp14:editId="774A2D70">
            <wp:extent cx="5731510" cy="4088765"/>
            <wp:effectExtent l="0" t="0" r="2540" b="6985"/>
            <wp:docPr id="246" name="Picture 2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 name="Qpart9.JPG"/>
                    <pic:cNvPicPr/>
                  </pic:nvPicPr>
                  <pic:blipFill>
                    <a:blip r:embed="rId57">
                      <a:extLst>
                        <a:ext uri="{28A0092B-C50C-407E-A947-70E740481C1C}">
                          <a14:useLocalDpi xmlns:a14="http://schemas.microsoft.com/office/drawing/2010/main" val="0"/>
                        </a:ext>
                      </a:extLst>
                    </a:blip>
                    <a:stretch>
                      <a:fillRect/>
                    </a:stretch>
                  </pic:blipFill>
                  <pic:spPr>
                    <a:xfrm>
                      <a:off x="0" y="0"/>
                      <a:ext cx="5731510" cy="4088765"/>
                    </a:xfrm>
                    <a:prstGeom prst="rect">
                      <a:avLst/>
                    </a:prstGeom>
                  </pic:spPr>
                </pic:pic>
              </a:graphicData>
            </a:graphic>
          </wp:inline>
        </w:drawing>
      </w:r>
      <w:r w:rsidRPr="00851192">
        <w:rPr>
          <w:rFonts w:ascii="Arial" w:hAnsi="Arial" w:cs="Arial"/>
          <w:i/>
          <w:noProof/>
          <w:lang w:eastAsia="en-GB"/>
        </w:rPr>
        <w:drawing>
          <wp:inline distT="0" distB="0" distL="0" distR="0" wp14:anchorId="0A20995A" wp14:editId="60749628">
            <wp:extent cx="5731510" cy="2442210"/>
            <wp:effectExtent l="0" t="0" r="2540" b="0"/>
            <wp:docPr id="247" name="Picture 2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 name="Qpart10.JPG"/>
                    <pic:cNvPicPr/>
                  </pic:nvPicPr>
                  <pic:blipFill>
                    <a:blip r:embed="rId58">
                      <a:extLst>
                        <a:ext uri="{28A0092B-C50C-407E-A947-70E740481C1C}">
                          <a14:useLocalDpi xmlns:a14="http://schemas.microsoft.com/office/drawing/2010/main" val="0"/>
                        </a:ext>
                      </a:extLst>
                    </a:blip>
                    <a:stretch>
                      <a:fillRect/>
                    </a:stretch>
                  </pic:blipFill>
                  <pic:spPr>
                    <a:xfrm>
                      <a:off x="0" y="0"/>
                      <a:ext cx="5731510" cy="2442210"/>
                    </a:xfrm>
                    <a:prstGeom prst="rect">
                      <a:avLst/>
                    </a:prstGeom>
                  </pic:spPr>
                </pic:pic>
              </a:graphicData>
            </a:graphic>
          </wp:inline>
        </w:drawing>
      </w:r>
      <w:r w:rsidRPr="00851192">
        <w:rPr>
          <w:rFonts w:ascii="Arial" w:hAnsi="Arial" w:cs="Arial"/>
          <w:i/>
          <w:noProof/>
          <w:lang w:eastAsia="en-GB"/>
        </w:rPr>
        <w:lastRenderedPageBreak/>
        <w:drawing>
          <wp:inline distT="0" distB="0" distL="0" distR="0" wp14:anchorId="307F0953" wp14:editId="77E62E2D">
            <wp:extent cx="5731510" cy="4382135"/>
            <wp:effectExtent l="0" t="0" r="2540" b="0"/>
            <wp:docPr id="248" name="Picture 2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 name="Qpart11.JPG"/>
                    <pic:cNvPicPr/>
                  </pic:nvPicPr>
                  <pic:blipFill>
                    <a:blip r:embed="rId59">
                      <a:extLst>
                        <a:ext uri="{28A0092B-C50C-407E-A947-70E740481C1C}">
                          <a14:useLocalDpi xmlns:a14="http://schemas.microsoft.com/office/drawing/2010/main" val="0"/>
                        </a:ext>
                      </a:extLst>
                    </a:blip>
                    <a:stretch>
                      <a:fillRect/>
                    </a:stretch>
                  </pic:blipFill>
                  <pic:spPr>
                    <a:xfrm>
                      <a:off x="0" y="0"/>
                      <a:ext cx="5731510" cy="4382135"/>
                    </a:xfrm>
                    <a:prstGeom prst="rect">
                      <a:avLst/>
                    </a:prstGeom>
                  </pic:spPr>
                </pic:pic>
              </a:graphicData>
            </a:graphic>
          </wp:inline>
        </w:drawing>
      </w:r>
    </w:p>
    <w:p w14:paraId="399BDA21" w14:textId="77777777" w:rsidR="002A732D" w:rsidRPr="00851192" w:rsidRDefault="002A732D" w:rsidP="00811578">
      <w:pPr>
        <w:rPr>
          <w:rFonts w:ascii="Arial" w:hAnsi="Arial" w:cs="Arial"/>
          <w:b/>
        </w:rPr>
      </w:pPr>
    </w:p>
    <w:p w14:paraId="0294A80B" w14:textId="77777777" w:rsidR="002A732D" w:rsidRPr="00851192" w:rsidRDefault="002A732D" w:rsidP="00811578">
      <w:pPr>
        <w:rPr>
          <w:rFonts w:ascii="Arial" w:hAnsi="Arial" w:cs="Arial"/>
          <w:b/>
        </w:rPr>
      </w:pPr>
    </w:p>
    <w:p w14:paraId="2C71117B" w14:textId="77777777" w:rsidR="002A732D" w:rsidRPr="00851192" w:rsidRDefault="002A732D" w:rsidP="00811578">
      <w:pPr>
        <w:rPr>
          <w:rFonts w:ascii="Arial" w:hAnsi="Arial" w:cs="Arial"/>
          <w:b/>
        </w:rPr>
      </w:pPr>
    </w:p>
    <w:p w14:paraId="26C68FC2" w14:textId="77777777" w:rsidR="002A732D" w:rsidRPr="00851192" w:rsidRDefault="002A732D" w:rsidP="00811578">
      <w:pPr>
        <w:rPr>
          <w:rFonts w:ascii="Arial" w:hAnsi="Arial" w:cs="Arial"/>
          <w:b/>
        </w:rPr>
      </w:pPr>
    </w:p>
    <w:p w14:paraId="6CA9DA09" w14:textId="77777777" w:rsidR="002A732D" w:rsidRPr="00851192" w:rsidRDefault="002A732D" w:rsidP="00811578">
      <w:pPr>
        <w:rPr>
          <w:rFonts w:ascii="Arial" w:hAnsi="Arial" w:cs="Arial"/>
          <w:b/>
        </w:rPr>
      </w:pPr>
    </w:p>
    <w:p w14:paraId="6B8C2D4A" w14:textId="77777777" w:rsidR="002A732D" w:rsidRPr="00851192" w:rsidRDefault="002A732D" w:rsidP="00811578">
      <w:pPr>
        <w:rPr>
          <w:rFonts w:ascii="Arial" w:hAnsi="Arial" w:cs="Arial"/>
          <w:b/>
        </w:rPr>
      </w:pPr>
    </w:p>
    <w:p w14:paraId="03E81755" w14:textId="77777777" w:rsidR="002A732D" w:rsidRPr="00851192" w:rsidRDefault="002A732D" w:rsidP="00811578">
      <w:pPr>
        <w:rPr>
          <w:rFonts w:ascii="Arial" w:hAnsi="Arial" w:cs="Arial"/>
          <w:b/>
        </w:rPr>
      </w:pPr>
    </w:p>
    <w:p w14:paraId="4C3BBE98" w14:textId="77777777" w:rsidR="002A732D" w:rsidRPr="00851192" w:rsidRDefault="002A732D" w:rsidP="00811578">
      <w:pPr>
        <w:rPr>
          <w:rFonts w:ascii="Arial" w:hAnsi="Arial" w:cs="Arial"/>
          <w:b/>
        </w:rPr>
      </w:pPr>
    </w:p>
    <w:p w14:paraId="792BBB15" w14:textId="77777777" w:rsidR="002A732D" w:rsidRPr="00851192" w:rsidRDefault="002A732D" w:rsidP="00811578">
      <w:pPr>
        <w:rPr>
          <w:rFonts w:ascii="Arial" w:hAnsi="Arial" w:cs="Arial"/>
          <w:b/>
        </w:rPr>
      </w:pPr>
    </w:p>
    <w:p w14:paraId="47AAB897" w14:textId="77777777" w:rsidR="002A732D" w:rsidRPr="00851192" w:rsidRDefault="002A732D" w:rsidP="00811578">
      <w:pPr>
        <w:rPr>
          <w:rFonts w:ascii="Arial" w:hAnsi="Arial" w:cs="Arial"/>
          <w:b/>
        </w:rPr>
      </w:pPr>
    </w:p>
    <w:p w14:paraId="527F2308" w14:textId="77777777" w:rsidR="002A732D" w:rsidRPr="00851192" w:rsidRDefault="002A732D" w:rsidP="00811578">
      <w:pPr>
        <w:rPr>
          <w:rFonts w:ascii="Arial" w:hAnsi="Arial" w:cs="Arial"/>
          <w:b/>
        </w:rPr>
      </w:pPr>
    </w:p>
    <w:p w14:paraId="4813A143" w14:textId="77777777" w:rsidR="002A732D" w:rsidRPr="00851192" w:rsidRDefault="002A732D" w:rsidP="00811578">
      <w:pPr>
        <w:rPr>
          <w:rFonts w:ascii="Arial" w:hAnsi="Arial" w:cs="Arial"/>
          <w:b/>
        </w:rPr>
      </w:pPr>
    </w:p>
    <w:p w14:paraId="0B2A02E8" w14:textId="77777777" w:rsidR="002A732D" w:rsidRPr="00851192" w:rsidRDefault="002A732D" w:rsidP="00811578">
      <w:pPr>
        <w:rPr>
          <w:rFonts w:ascii="Arial" w:hAnsi="Arial" w:cs="Arial"/>
          <w:b/>
        </w:rPr>
      </w:pPr>
    </w:p>
    <w:p w14:paraId="4BD5792B" w14:textId="77777777" w:rsidR="002A732D" w:rsidRPr="00851192" w:rsidRDefault="002A732D" w:rsidP="00811578">
      <w:pPr>
        <w:rPr>
          <w:rFonts w:ascii="Arial" w:hAnsi="Arial" w:cs="Arial"/>
          <w:b/>
        </w:rPr>
      </w:pPr>
    </w:p>
    <w:p w14:paraId="382E57D2" w14:textId="77777777" w:rsidR="002A732D" w:rsidRPr="00851192" w:rsidRDefault="002A732D" w:rsidP="00811578">
      <w:pPr>
        <w:rPr>
          <w:rFonts w:ascii="Arial" w:hAnsi="Arial" w:cs="Arial"/>
          <w:b/>
        </w:rPr>
      </w:pPr>
    </w:p>
    <w:p w14:paraId="46124968" w14:textId="77777777" w:rsidR="002A732D" w:rsidRPr="00851192" w:rsidRDefault="002A732D" w:rsidP="00811578">
      <w:pPr>
        <w:rPr>
          <w:rFonts w:ascii="Arial" w:hAnsi="Arial" w:cs="Arial"/>
          <w:b/>
        </w:rPr>
      </w:pPr>
    </w:p>
    <w:p w14:paraId="7F689B83" w14:textId="25C9E363" w:rsidR="00811578" w:rsidRPr="00851192" w:rsidRDefault="00811578" w:rsidP="00811578">
      <w:pPr>
        <w:rPr>
          <w:rFonts w:ascii="Arial" w:hAnsi="Arial" w:cs="Arial"/>
          <w:i/>
        </w:rPr>
      </w:pPr>
      <w:r w:rsidRPr="00851192">
        <w:rPr>
          <w:rFonts w:ascii="Arial" w:hAnsi="Arial" w:cs="Arial"/>
          <w:b/>
        </w:rPr>
        <w:lastRenderedPageBreak/>
        <w:t xml:space="preserve">Appendix </w:t>
      </w:r>
      <w:r w:rsidR="005F17DB" w:rsidRPr="00851192">
        <w:rPr>
          <w:rFonts w:ascii="Arial" w:hAnsi="Arial" w:cs="Arial"/>
          <w:b/>
        </w:rPr>
        <w:t>2</w:t>
      </w:r>
      <w:r w:rsidRPr="00851192">
        <w:rPr>
          <w:rFonts w:ascii="Arial" w:hAnsi="Arial" w:cs="Arial"/>
          <w:b/>
        </w:rPr>
        <w:t xml:space="preserve"> </w:t>
      </w:r>
      <w:r w:rsidR="00676F8D" w:rsidRPr="00851192">
        <w:rPr>
          <w:rFonts w:ascii="Arial" w:hAnsi="Arial" w:cs="Arial"/>
          <w:i/>
        </w:rPr>
        <w:t xml:space="preserve">Published Surveys on Social Media Platforms, </w:t>
      </w:r>
      <w:proofErr w:type="spellStart"/>
      <w:r w:rsidR="00676F8D" w:rsidRPr="00851192">
        <w:rPr>
          <w:rFonts w:ascii="Arial" w:hAnsi="Arial" w:cs="Arial"/>
          <w:i/>
        </w:rPr>
        <w:t>Casinomeister</w:t>
      </w:r>
      <w:proofErr w:type="spellEnd"/>
      <w:r w:rsidR="00676F8D" w:rsidRPr="00851192">
        <w:rPr>
          <w:rFonts w:ascii="Arial" w:hAnsi="Arial" w:cs="Arial"/>
          <w:i/>
        </w:rPr>
        <w:t>, and Responsible Gambling Pages</w:t>
      </w:r>
    </w:p>
    <w:p w14:paraId="4EF7AE36" w14:textId="77777777" w:rsidR="002A732D" w:rsidRPr="00851192" w:rsidRDefault="00676F8D" w:rsidP="00811578">
      <w:pPr>
        <w:rPr>
          <w:rFonts w:ascii="Arial" w:hAnsi="Arial" w:cs="Arial"/>
        </w:rPr>
      </w:pPr>
      <w:r w:rsidRPr="00851192">
        <w:rPr>
          <w:rFonts w:ascii="Arial" w:hAnsi="Arial" w:cs="Arial"/>
          <w:b/>
        </w:rPr>
        <w:t>Appendix 2.1</w:t>
      </w:r>
      <w:r w:rsidRPr="00851192">
        <w:rPr>
          <w:rFonts w:ascii="Arial" w:hAnsi="Arial" w:cs="Arial"/>
        </w:rPr>
        <w:t xml:space="preserve"> </w:t>
      </w:r>
      <w:proofErr w:type="spellStart"/>
      <w:r w:rsidRPr="00851192">
        <w:rPr>
          <w:rFonts w:ascii="Arial" w:hAnsi="Arial" w:cs="Arial"/>
          <w:i/>
        </w:rPr>
        <w:t>Casinomeister</w:t>
      </w:r>
      <w:proofErr w:type="spellEnd"/>
    </w:p>
    <w:p w14:paraId="42373D6A" w14:textId="77777777" w:rsidR="002A732D" w:rsidRPr="00851192" w:rsidRDefault="00676F8D" w:rsidP="00811578">
      <w:pPr>
        <w:rPr>
          <w:rFonts w:ascii="Arial" w:hAnsi="Arial" w:cs="Arial"/>
        </w:rPr>
      </w:pPr>
      <w:r w:rsidRPr="00851192">
        <w:rPr>
          <w:rFonts w:ascii="Arial" w:hAnsi="Arial" w:cs="Arial"/>
        </w:rPr>
        <w:t xml:space="preserve"> </w:t>
      </w:r>
      <w:r w:rsidR="002A732D" w:rsidRPr="00851192">
        <w:rPr>
          <w:rFonts w:ascii="Arial" w:hAnsi="Arial" w:cs="Arial"/>
          <w:noProof/>
          <w:lang w:eastAsia="en-GB"/>
        </w:rPr>
        <w:drawing>
          <wp:inline distT="0" distB="0" distL="0" distR="0" wp14:anchorId="36F99760" wp14:editId="489617F7">
            <wp:extent cx="5731510" cy="2699871"/>
            <wp:effectExtent l="0" t="0" r="2540" b="5715"/>
            <wp:docPr id="253" name="Picture 2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 name="mister1.png"/>
                    <pic:cNvPicPr/>
                  </pic:nvPicPr>
                  <pic:blipFill rotWithShape="1">
                    <a:blip r:embed="rId60" cstate="print">
                      <a:extLst>
                        <a:ext uri="{28A0092B-C50C-407E-A947-70E740481C1C}">
                          <a14:useLocalDpi xmlns:a14="http://schemas.microsoft.com/office/drawing/2010/main" val="0"/>
                        </a:ext>
                      </a:extLst>
                    </a:blip>
                    <a:srcRect t="10262"/>
                    <a:stretch/>
                  </pic:blipFill>
                  <pic:spPr bwMode="auto">
                    <a:xfrm>
                      <a:off x="0" y="0"/>
                      <a:ext cx="5731510" cy="2699871"/>
                    </a:xfrm>
                    <a:prstGeom prst="rect">
                      <a:avLst/>
                    </a:prstGeom>
                    <a:ln>
                      <a:noFill/>
                    </a:ln>
                    <a:extLst>
                      <a:ext uri="{53640926-AAD7-44D8-BBD7-CCE9431645EC}">
                        <a14:shadowObscured xmlns:a14="http://schemas.microsoft.com/office/drawing/2010/main"/>
                      </a:ext>
                    </a:extLst>
                  </pic:spPr>
                </pic:pic>
              </a:graphicData>
            </a:graphic>
          </wp:inline>
        </w:drawing>
      </w:r>
    </w:p>
    <w:p w14:paraId="10FE401C" w14:textId="7A0D0C29" w:rsidR="00676F8D" w:rsidRPr="00851192" w:rsidRDefault="00676F8D" w:rsidP="00811578">
      <w:pPr>
        <w:rPr>
          <w:rFonts w:ascii="Arial" w:hAnsi="Arial" w:cs="Arial"/>
        </w:rPr>
      </w:pPr>
      <w:r w:rsidRPr="00851192">
        <w:rPr>
          <w:rFonts w:ascii="Arial" w:hAnsi="Arial" w:cs="Arial"/>
        </w:rPr>
        <w:br/>
      </w:r>
      <w:r w:rsidR="002A732D" w:rsidRPr="00851192">
        <w:rPr>
          <w:rFonts w:ascii="Arial" w:hAnsi="Arial" w:cs="Arial"/>
          <w:noProof/>
          <w:lang w:eastAsia="en-GB"/>
        </w:rPr>
        <w:drawing>
          <wp:inline distT="0" distB="0" distL="0" distR="0" wp14:anchorId="6D0F85EC" wp14:editId="0ED41A99">
            <wp:extent cx="5486012" cy="2684593"/>
            <wp:effectExtent l="0" t="0" r="635" b="1905"/>
            <wp:docPr id="252" name="Picture 2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2" name="mister 2.png"/>
                    <pic:cNvPicPr/>
                  </pic:nvPicPr>
                  <pic:blipFill rotWithShape="1">
                    <a:blip r:embed="rId61">
                      <a:extLst>
                        <a:ext uri="{28A0092B-C50C-407E-A947-70E740481C1C}">
                          <a14:useLocalDpi xmlns:a14="http://schemas.microsoft.com/office/drawing/2010/main" val="0"/>
                        </a:ext>
                      </a:extLst>
                    </a:blip>
                    <a:srcRect l="1659" t="7751" r="2603"/>
                    <a:stretch/>
                  </pic:blipFill>
                  <pic:spPr bwMode="auto">
                    <a:xfrm>
                      <a:off x="0" y="0"/>
                      <a:ext cx="5487270" cy="2685209"/>
                    </a:xfrm>
                    <a:prstGeom prst="rect">
                      <a:avLst/>
                    </a:prstGeom>
                    <a:ln>
                      <a:noFill/>
                    </a:ln>
                    <a:extLst>
                      <a:ext uri="{53640926-AAD7-44D8-BBD7-CCE9431645EC}">
                        <a14:shadowObscured xmlns:a14="http://schemas.microsoft.com/office/drawing/2010/main"/>
                      </a:ext>
                    </a:extLst>
                  </pic:spPr>
                </pic:pic>
              </a:graphicData>
            </a:graphic>
          </wp:inline>
        </w:drawing>
      </w:r>
    </w:p>
    <w:p w14:paraId="318BA34A" w14:textId="77777777" w:rsidR="00DF7255" w:rsidRPr="00851192" w:rsidRDefault="00DF7255" w:rsidP="00811578">
      <w:pPr>
        <w:rPr>
          <w:rFonts w:ascii="Arial" w:hAnsi="Arial" w:cs="Arial"/>
          <w:b/>
        </w:rPr>
      </w:pPr>
    </w:p>
    <w:p w14:paraId="172AA749" w14:textId="77777777" w:rsidR="00DF7255" w:rsidRPr="00851192" w:rsidRDefault="00DF7255" w:rsidP="00811578">
      <w:pPr>
        <w:rPr>
          <w:rFonts w:ascii="Arial" w:hAnsi="Arial" w:cs="Arial"/>
          <w:b/>
        </w:rPr>
      </w:pPr>
    </w:p>
    <w:p w14:paraId="3BE5DCC2" w14:textId="77777777" w:rsidR="00DF7255" w:rsidRPr="00851192" w:rsidRDefault="00DF7255" w:rsidP="00811578">
      <w:pPr>
        <w:rPr>
          <w:rFonts w:ascii="Arial" w:hAnsi="Arial" w:cs="Arial"/>
          <w:b/>
        </w:rPr>
      </w:pPr>
    </w:p>
    <w:p w14:paraId="0F86C104" w14:textId="77777777" w:rsidR="00DF7255" w:rsidRPr="00851192" w:rsidRDefault="00DF7255" w:rsidP="00811578">
      <w:pPr>
        <w:rPr>
          <w:rFonts w:ascii="Arial" w:hAnsi="Arial" w:cs="Arial"/>
          <w:b/>
        </w:rPr>
      </w:pPr>
    </w:p>
    <w:p w14:paraId="17A57DF5" w14:textId="77777777" w:rsidR="00DF7255" w:rsidRPr="00851192" w:rsidRDefault="00DF7255" w:rsidP="00811578">
      <w:pPr>
        <w:rPr>
          <w:rFonts w:ascii="Arial" w:hAnsi="Arial" w:cs="Arial"/>
          <w:b/>
        </w:rPr>
      </w:pPr>
    </w:p>
    <w:p w14:paraId="57737466" w14:textId="77777777" w:rsidR="00DF7255" w:rsidRPr="00851192" w:rsidRDefault="00DF7255" w:rsidP="00811578">
      <w:pPr>
        <w:rPr>
          <w:rFonts w:ascii="Arial" w:hAnsi="Arial" w:cs="Arial"/>
          <w:b/>
        </w:rPr>
      </w:pPr>
    </w:p>
    <w:p w14:paraId="29483FFB" w14:textId="42DDF100" w:rsidR="002A732D" w:rsidRPr="00851192" w:rsidRDefault="002A732D" w:rsidP="00811578">
      <w:pPr>
        <w:rPr>
          <w:rFonts w:ascii="Arial" w:hAnsi="Arial" w:cs="Arial"/>
        </w:rPr>
      </w:pPr>
      <w:r w:rsidRPr="00851192">
        <w:rPr>
          <w:rFonts w:ascii="Arial" w:hAnsi="Arial" w:cs="Arial"/>
          <w:b/>
        </w:rPr>
        <w:t>Appendix 2.2</w:t>
      </w:r>
      <w:r w:rsidRPr="00851192">
        <w:rPr>
          <w:rFonts w:ascii="Arial" w:hAnsi="Arial" w:cs="Arial"/>
        </w:rPr>
        <w:t xml:space="preserve"> LinkedIn</w:t>
      </w:r>
    </w:p>
    <w:p w14:paraId="286EF72F" w14:textId="1B883143" w:rsidR="00676F8D" w:rsidRPr="00851192" w:rsidRDefault="002A732D" w:rsidP="002A732D">
      <w:pPr>
        <w:jc w:val="center"/>
        <w:rPr>
          <w:rFonts w:ascii="Arial" w:hAnsi="Arial" w:cs="Arial"/>
        </w:rPr>
      </w:pPr>
      <w:r w:rsidRPr="00851192">
        <w:rPr>
          <w:rFonts w:ascii="Arial" w:hAnsi="Arial" w:cs="Arial"/>
          <w:noProof/>
          <w:lang w:eastAsia="en-GB"/>
        </w:rPr>
        <w:lastRenderedPageBreak/>
        <w:drawing>
          <wp:inline distT="0" distB="0" distL="0" distR="0" wp14:anchorId="1E3F9B81" wp14:editId="40F1E919">
            <wp:extent cx="4867275" cy="5372100"/>
            <wp:effectExtent l="0" t="0" r="9525" b="0"/>
            <wp:docPr id="254" name="Picture 2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 name="Linkedin.JPG"/>
                    <pic:cNvPicPr/>
                  </pic:nvPicPr>
                  <pic:blipFill>
                    <a:blip r:embed="rId62">
                      <a:extLst>
                        <a:ext uri="{28A0092B-C50C-407E-A947-70E740481C1C}">
                          <a14:useLocalDpi xmlns:a14="http://schemas.microsoft.com/office/drawing/2010/main" val="0"/>
                        </a:ext>
                      </a:extLst>
                    </a:blip>
                    <a:stretch>
                      <a:fillRect/>
                    </a:stretch>
                  </pic:blipFill>
                  <pic:spPr>
                    <a:xfrm>
                      <a:off x="0" y="0"/>
                      <a:ext cx="4867275" cy="5372100"/>
                    </a:xfrm>
                    <a:prstGeom prst="rect">
                      <a:avLst/>
                    </a:prstGeom>
                  </pic:spPr>
                </pic:pic>
              </a:graphicData>
            </a:graphic>
          </wp:inline>
        </w:drawing>
      </w:r>
    </w:p>
    <w:p w14:paraId="12042205" w14:textId="77777777" w:rsidR="00DF7255" w:rsidRPr="00851192" w:rsidRDefault="00DF7255" w:rsidP="002A732D">
      <w:pPr>
        <w:rPr>
          <w:rFonts w:ascii="Arial" w:hAnsi="Arial" w:cs="Arial"/>
          <w:b/>
        </w:rPr>
      </w:pPr>
    </w:p>
    <w:p w14:paraId="7F769BA1" w14:textId="77777777" w:rsidR="00DF7255" w:rsidRPr="00851192" w:rsidRDefault="00DF7255" w:rsidP="002A732D">
      <w:pPr>
        <w:rPr>
          <w:rFonts w:ascii="Arial" w:hAnsi="Arial" w:cs="Arial"/>
          <w:b/>
        </w:rPr>
      </w:pPr>
    </w:p>
    <w:p w14:paraId="42B39954" w14:textId="77777777" w:rsidR="00DF7255" w:rsidRPr="00851192" w:rsidRDefault="00DF7255" w:rsidP="002A732D">
      <w:pPr>
        <w:rPr>
          <w:rFonts w:ascii="Arial" w:hAnsi="Arial" w:cs="Arial"/>
          <w:b/>
        </w:rPr>
      </w:pPr>
    </w:p>
    <w:p w14:paraId="576EEB8D" w14:textId="77777777" w:rsidR="00DF7255" w:rsidRPr="00851192" w:rsidRDefault="00DF7255" w:rsidP="002A732D">
      <w:pPr>
        <w:rPr>
          <w:rFonts w:ascii="Arial" w:hAnsi="Arial" w:cs="Arial"/>
          <w:b/>
        </w:rPr>
      </w:pPr>
    </w:p>
    <w:p w14:paraId="5F3C351F" w14:textId="77777777" w:rsidR="00DF7255" w:rsidRPr="00851192" w:rsidRDefault="00DF7255" w:rsidP="002A732D">
      <w:pPr>
        <w:rPr>
          <w:rFonts w:ascii="Arial" w:hAnsi="Arial" w:cs="Arial"/>
          <w:b/>
        </w:rPr>
      </w:pPr>
    </w:p>
    <w:p w14:paraId="51724BAA" w14:textId="77777777" w:rsidR="00DF7255" w:rsidRPr="00851192" w:rsidRDefault="00DF7255" w:rsidP="002A732D">
      <w:pPr>
        <w:rPr>
          <w:rFonts w:ascii="Arial" w:hAnsi="Arial" w:cs="Arial"/>
          <w:b/>
        </w:rPr>
      </w:pPr>
    </w:p>
    <w:p w14:paraId="70E2903C" w14:textId="77777777" w:rsidR="00DF7255" w:rsidRPr="00851192" w:rsidRDefault="00DF7255" w:rsidP="002A732D">
      <w:pPr>
        <w:rPr>
          <w:rFonts w:ascii="Arial" w:hAnsi="Arial" w:cs="Arial"/>
          <w:b/>
        </w:rPr>
      </w:pPr>
    </w:p>
    <w:p w14:paraId="0ABAB5B8" w14:textId="77777777" w:rsidR="00DF7255" w:rsidRPr="00851192" w:rsidRDefault="00DF7255" w:rsidP="002A732D">
      <w:pPr>
        <w:rPr>
          <w:rFonts w:ascii="Arial" w:hAnsi="Arial" w:cs="Arial"/>
          <w:b/>
        </w:rPr>
      </w:pPr>
    </w:p>
    <w:p w14:paraId="41075598" w14:textId="77777777" w:rsidR="00DF7255" w:rsidRPr="00851192" w:rsidRDefault="00DF7255" w:rsidP="002A732D">
      <w:pPr>
        <w:rPr>
          <w:rFonts w:ascii="Arial" w:hAnsi="Arial" w:cs="Arial"/>
          <w:b/>
        </w:rPr>
      </w:pPr>
    </w:p>
    <w:p w14:paraId="21DCC87B" w14:textId="77777777" w:rsidR="00DF7255" w:rsidRPr="00851192" w:rsidRDefault="00DF7255" w:rsidP="002A732D">
      <w:pPr>
        <w:rPr>
          <w:rFonts w:ascii="Arial" w:hAnsi="Arial" w:cs="Arial"/>
          <w:b/>
        </w:rPr>
      </w:pPr>
    </w:p>
    <w:p w14:paraId="64945FDD" w14:textId="77777777" w:rsidR="00DF7255" w:rsidRPr="00851192" w:rsidRDefault="00DF7255" w:rsidP="002A732D">
      <w:pPr>
        <w:rPr>
          <w:rFonts w:ascii="Arial" w:hAnsi="Arial" w:cs="Arial"/>
          <w:b/>
        </w:rPr>
      </w:pPr>
    </w:p>
    <w:p w14:paraId="52D68E43" w14:textId="2E03D879" w:rsidR="002A732D" w:rsidRPr="00851192" w:rsidRDefault="002A732D" w:rsidP="002A732D">
      <w:pPr>
        <w:rPr>
          <w:rFonts w:ascii="Arial" w:hAnsi="Arial" w:cs="Arial"/>
        </w:rPr>
      </w:pPr>
      <w:r w:rsidRPr="00851192">
        <w:rPr>
          <w:rFonts w:ascii="Arial" w:hAnsi="Arial" w:cs="Arial"/>
          <w:b/>
        </w:rPr>
        <w:t>Appendix 2.3</w:t>
      </w:r>
      <w:r w:rsidRPr="00851192">
        <w:rPr>
          <w:rFonts w:ascii="Arial" w:hAnsi="Arial" w:cs="Arial"/>
        </w:rPr>
        <w:t xml:space="preserve"> Canadian Responsible Gambling Webpage Post</w:t>
      </w:r>
    </w:p>
    <w:p w14:paraId="592E8F4A" w14:textId="5ACFC335" w:rsidR="002A732D" w:rsidRPr="00851192" w:rsidRDefault="002A732D" w:rsidP="002A732D">
      <w:pPr>
        <w:rPr>
          <w:rFonts w:ascii="Arial" w:hAnsi="Arial" w:cs="Arial"/>
        </w:rPr>
      </w:pPr>
      <w:r w:rsidRPr="00851192">
        <w:rPr>
          <w:rFonts w:ascii="Arial" w:hAnsi="Arial" w:cs="Arial"/>
          <w:noProof/>
          <w:lang w:eastAsia="en-GB"/>
        </w:rPr>
        <w:lastRenderedPageBreak/>
        <w:drawing>
          <wp:inline distT="0" distB="0" distL="0" distR="0" wp14:anchorId="20A650F1" wp14:editId="58D41252">
            <wp:extent cx="5731510" cy="3085465"/>
            <wp:effectExtent l="0" t="0" r="2540" b="635"/>
            <wp:docPr id="255" name="Picture 2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5" name="Evidence Canada.png"/>
                    <pic:cNvPicPr/>
                  </pic:nvPicPr>
                  <pic:blipFill>
                    <a:blip r:embed="rId63">
                      <a:extLst>
                        <a:ext uri="{28A0092B-C50C-407E-A947-70E740481C1C}">
                          <a14:useLocalDpi xmlns:a14="http://schemas.microsoft.com/office/drawing/2010/main" val="0"/>
                        </a:ext>
                      </a:extLst>
                    </a:blip>
                    <a:stretch>
                      <a:fillRect/>
                    </a:stretch>
                  </pic:blipFill>
                  <pic:spPr>
                    <a:xfrm>
                      <a:off x="0" y="0"/>
                      <a:ext cx="5731510" cy="3085465"/>
                    </a:xfrm>
                    <a:prstGeom prst="rect">
                      <a:avLst/>
                    </a:prstGeom>
                  </pic:spPr>
                </pic:pic>
              </a:graphicData>
            </a:graphic>
          </wp:inline>
        </w:drawing>
      </w:r>
    </w:p>
    <w:p w14:paraId="6F80A5E9" w14:textId="5DDD7FB4" w:rsidR="002A732D" w:rsidRPr="00851192" w:rsidRDefault="002A732D" w:rsidP="002A732D">
      <w:pPr>
        <w:rPr>
          <w:rFonts w:ascii="Arial" w:hAnsi="Arial" w:cs="Arial"/>
        </w:rPr>
      </w:pPr>
      <w:r w:rsidRPr="00851192">
        <w:rPr>
          <w:rFonts w:ascii="Arial" w:hAnsi="Arial" w:cs="Arial"/>
          <w:b/>
        </w:rPr>
        <w:t>Appendix 2.4</w:t>
      </w:r>
      <w:r w:rsidRPr="00851192">
        <w:rPr>
          <w:rFonts w:ascii="Arial" w:hAnsi="Arial" w:cs="Arial"/>
        </w:rPr>
        <w:t xml:space="preserve"> Australian Responsible Gambling Webpage Post </w:t>
      </w:r>
    </w:p>
    <w:p w14:paraId="1578F6D5" w14:textId="3ACBE54D" w:rsidR="002A732D" w:rsidRPr="00851192" w:rsidRDefault="002A732D" w:rsidP="002A732D">
      <w:pPr>
        <w:rPr>
          <w:rFonts w:ascii="Arial" w:hAnsi="Arial" w:cs="Arial"/>
        </w:rPr>
      </w:pPr>
      <w:r w:rsidRPr="00851192">
        <w:rPr>
          <w:rFonts w:ascii="Arial" w:hAnsi="Arial" w:cs="Arial"/>
          <w:noProof/>
          <w:lang w:eastAsia="en-GB"/>
        </w:rPr>
        <w:drawing>
          <wp:inline distT="0" distB="0" distL="0" distR="0" wp14:anchorId="12EBA461" wp14:editId="59DBBC5F">
            <wp:extent cx="5731510" cy="3075940"/>
            <wp:effectExtent l="0" t="0" r="2540" b="0"/>
            <wp:docPr id="256" name="Picture 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 name="Evidence Australia.png"/>
                    <pic:cNvPicPr/>
                  </pic:nvPicPr>
                  <pic:blipFill>
                    <a:blip r:embed="rId64">
                      <a:extLst>
                        <a:ext uri="{28A0092B-C50C-407E-A947-70E740481C1C}">
                          <a14:useLocalDpi xmlns:a14="http://schemas.microsoft.com/office/drawing/2010/main" val="0"/>
                        </a:ext>
                      </a:extLst>
                    </a:blip>
                    <a:stretch>
                      <a:fillRect/>
                    </a:stretch>
                  </pic:blipFill>
                  <pic:spPr>
                    <a:xfrm>
                      <a:off x="0" y="0"/>
                      <a:ext cx="5731510" cy="3075940"/>
                    </a:xfrm>
                    <a:prstGeom prst="rect">
                      <a:avLst/>
                    </a:prstGeom>
                  </pic:spPr>
                </pic:pic>
              </a:graphicData>
            </a:graphic>
          </wp:inline>
        </w:drawing>
      </w:r>
    </w:p>
    <w:p w14:paraId="7B16F450" w14:textId="77777777" w:rsidR="00573532" w:rsidRPr="00851192" w:rsidRDefault="00573532" w:rsidP="002A732D">
      <w:pPr>
        <w:rPr>
          <w:rFonts w:ascii="Arial" w:hAnsi="Arial" w:cs="Arial"/>
          <w:b/>
        </w:rPr>
      </w:pPr>
    </w:p>
    <w:p w14:paraId="4C865801" w14:textId="77777777" w:rsidR="00573532" w:rsidRPr="00851192" w:rsidRDefault="00573532" w:rsidP="002A732D">
      <w:pPr>
        <w:rPr>
          <w:rFonts w:ascii="Arial" w:hAnsi="Arial" w:cs="Arial"/>
          <w:b/>
        </w:rPr>
      </w:pPr>
    </w:p>
    <w:p w14:paraId="487A5D7C" w14:textId="77777777" w:rsidR="00573532" w:rsidRPr="00851192" w:rsidRDefault="00573532" w:rsidP="002A732D">
      <w:pPr>
        <w:rPr>
          <w:rFonts w:ascii="Arial" w:hAnsi="Arial" w:cs="Arial"/>
          <w:b/>
        </w:rPr>
      </w:pPr>
    </w:p>
    <w:p w14:paraId="43F716A0" w14:textId="77777777" w:rsidR="00573532" w:rsidRPr="00851192" w:rsidRDefault="00573532" w:rsidP="002A732D">
      <w:pPr>
        <w:rPr>
          <w:rFonts w:ascii="Arial" w:hAnsi="Arial" w:cs="Arial"/>
          <w:b/>
        </w:rPr>
      </w:pPr>
    </w:p>
    <w:p w14:paraId="20F1E49A" w14:textId="77777777" w:rsidR="00573532" w:rsidRPr="00851192" w:rsidRDefault="00573532" w:rsidP="002A732D">
      <w:pPr>
        <w:rPr>
          <w:rFonts w:ascii="Arial" w:hAnsi="Arial" w:cs="Arial"/>
          <w:b/>
        </w:rPr>
      </w:pPr>
    </w:p>
    <w:p w14:paraId="5A97D9D9" w14:textId="77777777" w:rsidR="00573532" w:rsidRPr="00851192" w:rsidRDefault="00573532" w:rsidP="002A732D">
      <w:pPr>
        <w:rPr>
          <w:rFonts w:ascii="Arial" w:hAnsi="Arial" w:cs="Arial"/>
          <w:b/>
        </w:rPr>
      </w:pPr>
    </w:p>
    <w:p w14:paraId="5A829977" w14:textId="77777777" w:rsidR="00573532" w:rsidRPr="00851192" w:rsidRDefault="00573532" w:rsidP="002A732D">
      <w:pPr>
        <w:rPr>
          <w:rFonts w:ascii="Arial" w:hAnsi="Arial" w:cs="Arial"/>
          <w:b/>
        </w:rPr>
      </w:pPr>
    </w:p>
    <w:p w14:paraId="34BB7410" w14:textId="77777777" w:rsidR="00573532" w:rsidRPr="00851192" w:rsidRDefault="00573532" w:rsidP="002A732D">
      <w:pPr>
        <w:rPr>
          <w:rFonts w:ascii="Arial" w:hAnsi="Arial" w:cs="Arial"/>
          <w:b/>
        </w:rPr>
      </w:pPr>
    </w:p>
    <w:p w14:paraId="3B2880F5" w14:textId="25407454" w:rsidR="00B735E1" w:rsidRPr="00851192" w:rsidRDefault="00B735E1" w:rsidP="002A732D">
      <w:pPr>
        <w:rPr>
          <w:rFonts w:ascii="Arial" w:hAnsi="Arial" w:cs="Arial"/>
        </w:rPr>
      </w:pPr>
      <w:r w:rsidRPr="00851192">
        <w:rPr>
          <w:rFonts w:ascii="Arial" w:hAnsi="Arial" w:cs="Arial"/>
          <w:b/>
        </w:rPr>
        <w:lastRenderedPageBreak/>
        <w:t>Appendix 2.5</w:t>
      </w:r>
      <w:r w:rsidRPr="00851192">
        <w:rPr>
          <w:rFonts w:ascii="Arial" w:hAnsi="Arial" w:cs="Arial"/>
        </w:rPr>
        <w:t xml:space="preserve"> Responsible Gambling Week Limitation</w:t>
      </w:r>
    </w:p>
    <w:p w14:paraId="3AC164CB" w14:textId="16605079" w:rsidR="00B735E1" w:rsidRPr="00851192" w:rsidRDefault="00573532" w:rsidP="002A732D">
      <w:pPr>
        <w:rPr>
          <w:rFonts w:ascii="Arial" w:hAnsi="Arial" w:cs="Arial"/>
        </w:rPr>
      </w:pPr>
      <w:r w:rsidRPr="00851192">
        <w:rPr>
          <w:rFonts w:ascii="Arial" w:hAnsi="Arial" w:cs="Arial"/>
          <w:noProof/>
          <w:lang w:eastAsia="en-GB"/>
        </w:rPr>
        <w:drawing>
          <wp:inline distT="0" distB="0" distL="0" distR="0" wp14:anchorId="227FEC17" wp14:editId="5E9D1283">
            <wp:extent cx="3343115" cy="5943600"/>
            <wp:effectExtent l="0" t="0" r="0" b="0"/>
            <wp:docPr id="257" name="Picture 2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 name="IMG_0101.PNG"/>
                    <pic:cNvPicPr/>
                  </pic:nvPicPr>
                  <pic:blipFill>
                    <a:blip r:embed="rId65" cstate="print">
                      <a:extLst>
                        <a:ext uri="{28A0092B-C50C-407E-A947-70E740481C1C}">
                          <a14:useLocalDpi xmlns:a14="http://schemas.microsoft.com/office/drawing/2010/main" val="0"/>
                        </a:ext>
                      </a:extLst>
                    </a:blip>
                    <a:stretch>
                      <a:fillRect/>
                    </a:stretch>
                  </pic:blipFill>
                  <pic:spPr>
                    <a:xfrm>
                      <a:off x="0" y="0"/>
                      <a:ext cx="3344271" cy="5945656"/>
                    </a:xfrm>
                    <a:prstGeom prst="rect">
                      <a:avLst/>
                    </a:prstGeom>
                  </pic:spPr>
                </pic:pic>
              </a:graphicData>
            </a:graphic>
          </wp:inline>
        </w:drawing>
      </w:r>
      <w:r w:rsidRPr="00851192">
        <w:rPr>
          <w:rFonts w:ascii="Arial" w:hAnsi="Arial" w:cs="Arial"/>
          <w:noProof/>
          <w:lang w:eastAsia="en-GB"/>
        </w:rPr>
        <w:drawing>
          <wp:inline distT="0" distB="0" distL="0" distR="0" wp14:anchorId="326EF8DD" wp14:editId="5EAA3652">
            <wp:extent cx="3342640" cy="1676875"/>
            <wp:effectExtent l="0" t="0" r="0" b="0"/>
            <wp:docPr id="258" name="Picture 2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 name="IMG_0102.jpg"/>
                    <pic:cNvPicPr/>
                  </pic:nvPicPr>
                  <pic:blipFill>
                    <a:blip r:embed="rId66" cstate="print">
                      <a:extLst>
                        <a:ext uri="{28A0092B-C50C-407E-A947-70E740481C1C}">
                          <a14:useLocalDpi xmlns:a14="http://schemas.microsoft.com/office/drawing/2010/main" val="0"/>
                        </a:ext>
                      </a:extLst>
                    </a:blip>
                    <a:stretch>
                      <a:fillRect/>
                    </a:stretch>
                  </pic:blipFill>
                  <pic:spPr>
                    <a:xfrm>
                      <a:off x="0" y="0"/>
                      <a:ext cx="3352462" cy="1681802"/>
                    </a:xfrm>
                    <a:prstGeom prst="rect">
                      <a:avLst/>
                    </a:prstGeom>
                  </pic:spPr>
                </pic:pic>
              </a:graphicData>
            </a:graphic>
          </wp:inline>
        </w:drawing>
      </w:r>
      <w:r w:rsidRPr="00851192">
        <w:rPr>
          <w:rFonts w:ascii="Arial" w:hAnsi="Arial" w:cs="Arial"/>
          <w:noProof/>
          <w:lang w:eastAsia="en-GB"/>
        </w:rPr>
        <w:lastRenderedPageBreak/>
        <w:drawing>
          <wp:inline distT="0" distB="0" distL="0" distR="0" wp14:anchorId="7E8E6898" wp14:editId="01B98781">
            <wp:extent cx="3238500" cy="3728616"/>
            <wp:effectExtent l="0" t="0" r="0" b="5715"/>
            <wp:docPr id="259" name="Picture 2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 name="IMG_0103.jpg"/>
                    <pic:cNvPicPr/>
                  </pic:nvPicPr>
                  <pic:blipFill>
                    <a:blip r:embed="rId67" cstate="print">
                      <a:extLst>
                        <a:ext uri="{28A0092B-C50C-407E-A947-70E740481C1C}">
                          <a14:useLocalDpi xmlns:a14="http://schemas.microsoft.com/office/drawing/2010/main" val="0"/>
                        </a:ext>
                      </a:extLst>
                    </a:blip>
                    <a:stretch>
                      <a:fillRect/>
                    </a:stretch>
                  </pic:blipFill>
                  <pic:spPr>
                    <a:xfrm>
                      <a:off x="0" y="0"/>
                      <a:ext cx="3244095" cy="3735058"/>
                    </a:xfrm>
                    <a:prstGeom prst="rect">
                      <a:avLst/>
                    </a:prstGeom>
                  </pic:spPr>
                </pic:pic>
              </a:graphicData>
            </a:graphic>
          </wp:inline>
        </w:drawing>
      </w:r>
      <w:r w:rsidRPr="00851192">
        <w:rPr>
          <w:rFonts w:ascii="Arial" w:hAnsi="Arial" w:cs="Arial"/>
          <w:noProof/>
          <w:lang w:eastAsia="en-GB"/>
        </w:rPr>
        <w:drawing>
          <wp:inline distT="0" distB="0" distL="0" distR="0" wp14:anchorId="4F989C53" wp14:editId="1D0BB91C">
            <wp:extent cx="3219450" cy="3992032"/>
            <wp:effectExtent l="0" t="0" r="0" b="8890"/>
            <wp:docPr id="260" name="Picture 2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 name="IMG_0104.jpg"/>
                    <pic:cNvPicPr/>
                  </pic:nvPicPr>
                  <pic:blipFill>
                    <a:blip r:embed="rId68" cstate="print">
                      <a:extLst>
                        <a:ext uri="{28A0092B-C50C-407E-A947-70E740481C1C}">
                          <a14:useLocalDpi xmlns:a14="http://schemas.microsoft.com/office/drawing/2010/main" val="0"/>
                        </a:ext>
                      </a:extLst>
                    </a:blip>
                    <a:stretch>
                      <a:fillRect/>
                    </a:stretch>
                  </pic:blipFill>
                  <pic:spPr>
                    <a:xfrm>
                      <a:off x="0" y="0"/>
                      <a:ext cx="3219836" cy="3992511"/>
                    </a:xfrm>
                    <a:prstGeom prst="rect">
                      <a:avLst/>
                    </a:prstGeom>
                  </pic:spPr>
                </pic:pic>
              </a:graphicData>
            </a:graphic>
          </wp:inline>
        </w:drawing>
      </w:r>
    </w:p>
    <w:p w14:paraId="10CFAFEB" w14:textId="77777777" w:rsidR="00DD2D3A" w:rsidRPr="00851192" w:rsidRDefault="00DD2D3A" w:rsidP="002A732D">
      <w:pPr>
        <w:rPr>
          <w:rFonts w:ascii="Arial" w:hAnsi="Arial" w:cs="Arial"/>
        </w:rPr>
      </w:pPr>
    </w:p>
    <w:p w14:paraId="2FAEC9DA" w14:textId="77777777" w:rsidR="00DD2D3A" w:rsidRPr="00851192" w:rsidRDefault="00DD2D3A" w:rsidP="002A732D">
      <w:pPr>
        <w:rPr>
          <w:rFonts w:ascii="Arial" w:hAnsi="Arial" w:cs="Arial"/>
        </w:rPr>
      </w:pPr>
    </w:p>
    <w:p w14:paraId="2B8F289E" w14:textId="77777777" w:rsidR="00DD2D3A" w:rsidRPr="00851192" w:rsidRDefault="00DD2D3A" w:rsidP="002A732D">
      <w:pPr>
        <w:rPr>
          <w:rFonts w:ascii="Arial" w:hAnsi="Arial" w:cs="Arial"/>
        </w:rPr>
      </w:pPr>
    </w:p>
    <w:p w14:paraId="14661C3A" w14:textId="37747EA8" w:rsidR="00DD2D3A" w:rsidRPr="00851192" w:rsidRDefault="00DD2D3A" w:rsidP="002A732D">
      <w:pPr>
        <w:rPr>
          <w:rFonts w:ascii="Arial" w:hAnsi="Arial" w:cs="Arial"/>
        </w:rPr>
      </w:pPr>
      <w:r w:rsidRPr="00851192">
        <w:rPr>
          <w:rFonts w:ascii="Arial" w:hAnsi="Arial" w:cs="Arial"/>
          <w:noProof/>
          <w:lang w:eastAsia="en-GB"/>
        </w:rPr>
        <w:lastRenderedPageBreak/>
        <w:drawing>
          <wp:anchor distT="0" distB="0" distL="114300" distR="114300" simplePos="0" relativeHeight="251757568" behindDoc="0" locked="0" layoutInCell="1" allowOverlap="1" wp14:anchorId="0B2F6011" wp14:editId="70412249">
            <wp:simplePos x="0" y="0"/>
            <wp:positionH relativeFrom="margin">
              <wp:posOffset>-106680</wp:posOffset>
            </wp:positionH>
            <wp:positionV relativeFrom="paragraph">
              <wp:posOffset>4052068</wp:posOffset>
            </wp:positionV>
            <wp:extent cx="2650490" cy="3738880"/>
            <wp:effectExtent l="0" t="0" r="0" b="0"/>
            <wp:wrapTopAndBottom/>
            <wp:docPr id="262" name="Picture 2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 name="IMG_0106.jpg"/>
                    <pic:cNvPicPr/>
                  </pic:nvPicPr>
                  <pic:blipFill>
                    <a:blip r:embed="rId69" cstate="print">
                      <a:extLst>
                        <a:ext uri="{28A0092B-C50C-407E-A947-70E740481C1C}">
                          <a14:useLocalDpi xmlns:a14="http://schemas.microsoft.com/office/drawing/2010/main" val="0"/>
                        </a:ext>
                      </a:extLst>
                    </a:blip>
                    <a:stretch>
                      <a:fillRect/>
                    </a:stretch>
                  </pic:blipFill>
                  <pic:spPr>
                    <a:xfrm>
                      <a:off x="0" y="0"/>
                      <a:ext cx="2650490" cy="3738880"/>
                    </a:xfrm>
                    <a:prstGeom prst="rect">
                      <a:avLst/>
                    </a:prstGeom>
                  </pic:spPr>
                </pic:pic>
              </a:graphicData>
            </a:graphic>
            <wp14:sizeRelH relativeFrom="margin">
              <wp14:pctWidth>0</wp14:pctWidth>
            </wp14:sizeRelH>
            <wp14:sizeRelV relativeFrom="margin">
              <wp14:pctHeight>0</wp14:pctHeight>
            </wp14:sizeRelV>
          </wp:anchor>
        </w:drawing>
      </w:r>
      <w:r w:rsidRPr="00851192">
        <w:rPr>
          <w:rFonts w:ascii="Arial" w:hAnsi="Arial" w:cs="Arial"/>
          <w:b/>
        </w:rPr>
        <w:t>Appendix 2.6</w:t>
      </w:r>
      <w:r w:rsidRPr="00851192">
        <w:rPr>
          <w:rFonts w:ascii="Arial" w:hAnsi="Arial" w:cs="Arial"/>
        </w:rPr>
        <w:t xml:space="preserve"> Responsible Gambling Council </w:t>
      </w:r>
      <w:r w:rsidRPr="00851192">
        <w:rPr>
          <w:rFonts w:ascii="Arial" w:hAnsi="Arial" w:cs="Arial"/>
          <w:noProof/>
          <w:lang w:eastAsia="en-GB"/>
        </w:rPr>
        <w:drawing>
          <wp:anchor distT="0" distB="0" distL="114300" distR="114300" simplePos="0" relativeHeight="251756544" behindDoc="0" locked="0" layoutInCell="1" allowOverlap="1" wp14:anchorId="51B5D305" wp14:editId="31285C85">
            <wp:simplePos x="0" y="0"/>
            <wp:positionH relativeFrom="margin">
              <wp:align>left</wp:align>
            </wp:positionH>
            <wp:positionV relativeFrom="paragraph">
              <wp:posOffset>323850</wp:posOffset>
            </wp:positionV>
            <wp:extent cx="2533650" cy="3648710"/>
            <wp:effectExtent l="0" t="0" r="0" b="8890"/>
            <wp:wrapTopAndBottom/>
            <wp:docPr id="261" name="Picture 2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 name="IMG_0105.jpg"/>
                    <pic:cNvPicPr/>
                  </pic:nvPicPr>
                  <pic:blipFill>
                    <a:blip r:embed="rId70" cstate="print">
                      <a:extLst>
                        <a:ext uri="{28A0092B-C50C-407E-A947-70E740481C1C}">
                          <a14:useLocalDpi xmlns:a14="http://schemas.microsoft.com/office/drawing/2010/main" val="0"/>
                        </a:ext>
                      </a:extLst>
                    </a:blip>
                    <a:stretch>
                      <a:fillRect/>
                    </a:stretch>
                  </pic:blipFill>
                  <pic:spPr>
                    <a:xfrm>
                      <a:off x="0" y="0"/>
                      <a:ext cx="2533920" cy="3649390"/>
                    </a:xfrm>
                    <a:prstGeom prst="rect">
                      <a:avLst/>
                    </a:prstGeom>
                  </pic:spPr>
                </pic:pic>
              </a:graphicData>
            </a:graphic>
            <wp14:sizeRelH relativeFrom="margin">
              <wp14:pctWidth>0</wp14:pctWidth>
            </wp14:sizeRelH>
            <wp14:sizeRelV relativeFrom="margin">
              <wp14:pctHeight>0</wp14:pctHeight>
            </wp14:sizeRelV>
          </wp:anchor>
        </w:drawing>
      </w:r>
    </w:p>
    <w:p w14:paraId="6CA7D939" w14:textId="2C5C816B" w:rsidR="00DD2D3A" w:rsidRPr="00851192" w:rsidRDefault="00DD2D3A" w:rsidP="002A732D">
      <w:pPr>
        <w:rPr>
          <w:rFonts w:ascii="Arial" w:hAnsi="Arial" w:cs="Arial"/>
        </w:rPr>
      </w:pPr>
    </w:p>
    <w:p w14:paraId="448BF5D7" w14:textId="74A08E54" w:rsidR="00DD2D3A" w:rsidRPr="00851192" w:rsidRDefault="00DD2D3A" w:rsidP="002A732D">
      <w:pPr>
        <w:rPr>
          <w:rFonts w:ascii="Arial" w:hAnsi="Arial" w:cs="Arial"/>
        </w:rPr>
      </w:pPr>
    </w:p>
    <w:p w14:paraId="1B7EA3BA" w14:textId="73C2B100" w:rsidR="00DD2D3A" w:rsidRPr="00851192" w:rsidRDefault="00DD2D3A" w:rsidP="002A732D">
      <w:pPr>
        <w:rPr>
          <w:rFonts w:ascii="Arial" w:hAnsi="Arial" w:cs="Arial"/>
        </w:rPr>
      </w:pPr>
    </w:p>
    <w:p w14:paraId="1F30EA63" w14:textId="62670FE8" w:rsidR="00DD2D3A" w:rsidRPr="00851192" w:rsidRDefault="00DD2D3A" w:rsidP="002A732D">
      <w:pPr>
        <w:rPr>
          <w:rFonts w:ascii="Arial" w:hAnsi="Arial" w:cs="Arial"/>
        </w:rPr>
      </w:pPr>
      <w:r w:rsidRPr="00851192">
        <w:rPr>
          <w:rFonts w:ascii="Arial" w:hAnsi="Arial" w:cs="Arial"/>
          <w:noProof/>
          <w:lang w:eastAsia="en-GB"/>
        </w:rPr>
        <w:lastRenderedPageBreak/>
        <w:drawing>
          <wp:inline distT="0" distB="0" distL="0" distR="0" wp14:anchorId="07C81E0F" wp14:editId="62DA0E64">
            <wp:extent cx="2343551" cy="3343701"/>
            <wp:effectExtent l="0" t="0" r="0" b="0"/>
            <wp:docPr id="263" name="Picture 2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 name="IMG_0107.jpg"/>
                    <pic:cNvPicPr/>
                  </pic:nvPicPr>
                  <pic:blipFill>
                    <a:blip r:embed="rId71" cstate="print">
                      <a:extLst>
                        <a:ext uri="{28A0092B-C50C-407E-A947-70E740481C1C}">
                          <a14:useLocalDpi xmlns:a14="http://schemas.microsoft.com/office/drawing/2010/main" val="0"/>
                        </a:ext>
                      </a:extLst>
                    </a:blip>
                    <a:stretch>
                      <a:fillRect/>
                    </a:stretch>
                  </pic:blipFill>
                  <pic:spPr>
                    <a:xfrm>
                      <a:off x="0" y="0"/>
                      <a:ext cx="2348226" cy="3350371"/>
                    </a:xfrm>
                    <a:prstGeom prst="rect">
                      <a:avLst/>
                    </a:prstGeom>
                  </pic:spPr>
                </pic:pic>
              </a:graphicData>
            </a:graphic>
          </wp:inline>
        </w:drawing>
      </w:r>
    </w:p>
    <w:p w14:paraId="26DA219B" w14:textId="22B69EFA" w:rsidR="00DD2D3A" w:rsidRPr="00851192" w:rsidRDefault="00DD2D3A" w:rsidP="002A732D">
      <w:pPr>
        <w:rPr>
          <w:rFonts w:ascii="Arial" w:hAnsi="Arial" w:cs="Arial"/>
        </w:rPr>
      </w:pPr>
      <w:r w:rsidRPr="00851192">
        <w:rPr>
          <w:rFonts w:ascii="Arial" w:hAnsi="Arial" w:cs="Arial"/>
          <w:b/>
        </w:rPr>
        <w:t>Appendix 2.7</w:t>
      </w:r>
      <w:r w:rsidRPr="00851192">
        <w:rPr>
          <w:rFonts w:ascii="Arial" w:hAnsi="Arial" w:cs="Arial"/>
        </w:rPr>
        <w:t xml:space="preserve"> </w:t>
      </w:r>
      <w:proofErr w:type="spellStart"/>
      <w:r w:rsidRPr="00851192">
        <w:rPr>
          <w:rFonts w:ascii="Arial" w:hAnsi="Arial" w:cs="Arial"/>
        </w:rPr>
        <w:t>Elitebet</w:t>
      </w:r>
      <w:proofErr w:type="spellEnd"/>
      <w:r w:rsidRPr="00851192">
        <w:rPr>
          <w:rFonts w:ascii="Arial" w:hAnsi="Arial" w:cs="Arial"/>
        </w:rPr>
        <w:t xml:space="preserve"> Kenya</w:t>
      </w:r>
    </w:p>
    <w:p w14:paraId="5E357618" w14:textId="799800B7" w:rsidR="00DD2D3A" w:rsidRPr="00851192" w:rsidRDefault="00DD2D3A" w:rsidP="002A732D">
      <w:pPr>
        <w:rPr>
          <w:rFonts w:ascii="Arial" w:hAnsi="Arial" w:cs="Arial"/>
        </w:rPr>
      </w:pPr>
      <w:r w:rsidRPr="00851192">
        <w:rPr>
          <w:rFonts w:ascii="Arial" w:hAnsi="Arial" w:cs="Arial"/>
          <w:noProof/>
          <w:lang w:eastAsia="en-GB"/>
        </w:rPr>
        <w:drawing>
          <wp:inline distT="0" distB="0" distL="0" distR="0" wp14:anchorId="0FD655E1" wp14:editId="18452A65">
            <wp:extent cx="2574370" cy="3689568"/>
            <wp:effectExtent l="0" t="0" r="0" b="6350"/>
            <wp:docPr id="264" name="Picture 2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 name="IMG_0108.jpg"/>
                    <pic:cNvPicPr/>
                  </pic:nvPicPr>
                  <pic:blipFill>
                    <a:blip r:embed="rId72" cstate="print">
                      <a:extLst>
                        <a:ext uri="{28A0092B-C50C-407E-A947-70E740481C1C}">
                          <a14:useLocalDpi xmlns:a14="http://schemas.microsoft.com/office/drawing/2010/main" val="0"/>
                        </a:ext>
                      </a:extLst>
                    </a:blip>
                    <a:stretch>
                      <a:fillRect/>
                    </a:stretch>
                  </pic:blipFill>
                  <pic:spPr>
                    <a:xfrm>
                      <a:off x="0" y="0"/>
                      <a:ext cx="2578921" cy="3696090"/>
                    </a:xfrm>
                    <a:prstGeom prst="rect">
                      <a:avLst/>
                    </a:prstGeom>
                  </pic:spPr>
                </pic:pic>
              </a:graphicData>
            </a:graphic>
          </wp:inline>
        </w:drawing>
      </w:r>
      <w:r w:rsidRPr="00851192">
        <w:rPr>
          <w:rFonts w:ascii="Arial" w:hAnsi="Arial" w:cs="Arial"/>
          <w:noProof/>
          <w:lang w:eastAsia="en-GB"/>
        </w:rPr>
        <w:drawing>
          <wp:inline distT="0" distB="0" distL="0" distR="0" wp14:anchorId="576052C2" wp14:editId="59BB399B">
            <wp:extent cx="2406316" cy="3455380"/>
            <wp:effectExtent l="0" t="0" r="0" b="0"/>
            <wp:docPr id="265" name="Picture 2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 name="IMG_0109.jpg"/>
                    <pic:cNvPicPr/>
                  </pic:nvPicPr>
                  <pic:blipFill>
                    <a:blip r:embed="rId73" cstate="print">
                      <a:extLst>
                        <a:ext uri="{28A0092B-C50C-407E-A947-70E740481C1C}">
                          <a14:useLocalDpi xmlns:a14="http://schemas.microsoft.com/office/drawing/2010/main" val="0"/>
                        </a:ext>
                      </a:extLst>
                    </a:blip>
                    <a:stretch>
                      <a:fillRect/>
                    </a:stretch>
                  </pic:blipFill>
                  <pic:spPr>
                    <a:xfrm>
                      <a:off x="0" y="0"/>
                      <a:ext cx="2407545" cy="3457145"/>
                    </a:xfrm>
                    <a:prstGeom prst="rect">
                      <a:avLst/>
                    </a:prstGeom>
                  </pic:spPr>
                </pic:pic>
              </a:graphicData>
            </a:graphic>
          </wp:inline>
        </w:drawing>
      </w:r>
    </w:p>
    <w:p w14:paraId="2E681E71" w14:textId="77777777" w:rsidR="00DD2D3A" w:rsidRPr="00851192" w:rsidRDefault="00DD2D3A" w:rsidP="002A732D">
      <w:pPr>
        <w:rPr>
          <w:rFonts w:ascii="Arial" w:hAnsi="Arial" w:cs="Arial"/>
        </w:rPr>
      </w:pPr>
    </w:p>
    <w:p w14:paraId="4ABCA0EA" w14:textId="77777777" w:rsidR="002A36B6" w:rsidRPr="00851192" w:rsidRDefault="002A36B6" w:rsidP="009B75A0">
      <w:pPr>
        <w:jc w:val="center"/>
        <w:rPr>
          <w:rFonts w:ascii="Arial" w:hAnsi="Arial" w:cs="Arial"/>
          <w:b/>
        </w:rPr>
      </w:pPr>
    </w:p>
    <w:p w14:paraId="66B0ADD7" w14:textId="77777777" w:rsidR="002A36B6" w:rsidRPr="00851192" w:rsidRDefault="002A36B6" w:rsidP="009B75A0">
      <w:pPr>
        <w:jc w:val="center"/>
        <w:rPr>
          <w:rFonts w:ascii="Arial" w:hAnsi="Arial" w:cs="Arial"/>
          <w:b/>
        </w:rPr>
      </w:pPr>
    </w:p>
    <w:p w14:paraId="52A04862" w14:textId="77777777" w:rsidR="002A36B6" w:rsidRPr="00851192" w:rsidRDefault="002A36B6" w:rsidP="009B75A0">
      <w:pPr>
        <w:jc w:val="center"/>
        <w:rPr>
          <w:rFonts w:ascii="Arial" w:hAnsi="Arial" w:cs="Arial"/>
          <w:b/>
        </w:rPr>
      </w:pPr>
    </w:p>
    <w:p w14:paraId="64A0EF5A" w14:textId="187255C7" w:rsidR="009B75A0" w:rsidRPr="00851192" w:rsidRDefault="009B75A0" w:rsidP="009B75A0">
      <w:pPr>
        <w:jc w:val="center"/>
        <w:rPr>
          <w:rFonts w:ascii="Arial" w:hAnsi="Arial" w:cs="Arial"/>
        </w:rPr>
      </w:pPr>
      <w:r w:rsidRPr="00851192">
        <w:rPr>
          <w:rFonts w:ascii="Arial" w:hAnsi="Arial" w:cs="Arial"/>
          <w:b/>
        </w:rPr>
        <w:t xml:space="preserve">Table </w:t>
      </w:r>
      <w:r w:rsidR="005E3EE2" w:rsidRPr="00851192">
        <w:rPr>
          <w:rFonts w:ascii="Arial" w:hAnsi="Arial" w:cs="Arial"/>
          <w:b/>
        </w:rPr>
        <w:t>7</w:t>
      </w:r>
      <w:r w:rsidRPr="00851192">
        <w:rPr>
          <w:rFonts w:ascii="Arial" w:hAnsi="Arial" w:cs="Arial"/>
        </w:rPr>
        <w:t xml:space="preserve"> Global Gambling Operator and Responsible Gambling</w:t>
      </w:r>
    </w:p>
    <w:p w14:paraId="0D0B32D4" w14:textId="5E0DE6A6" w:rsidR="009B75A0" w:rsidRPr="00851192" w:rsidRDefault="009B75A0" w:rsidP="009B75A0">
      <w:pPr>
        <w:jc w:val="center"/>
        <w:rPr>
          <w:rFonts w:ascii="Arial" w:hAnsi="Arial" w:cs="Arial"/>
        </w:rPr>
      </w:pPr>
      <w:r w:rsidRPr="00851192">
        <w:rPr>
          <w:rFonts w:ascii="Arial" w:hAnsi="Arial" w:cs="Arial"/>
        </w:rPr>
        <w:lastRenderedPageBreak/>
        <w:t>B</w:t>
      </w:r>
      <w:r w:rsidR="00682E18" w:rsidRPr="00851192">
        <w:rPr>
          <w:rFonts w:ascii="Arial" w:hAnsi="Arial" w:cs="Arial"/>
        </w:rPr>
        <w:t>et</w:t>
      </w:r>
      <w:r w:rsidRPr="00851192">
        <w:rPr>
          <w:rFonts w:ascii="Arial" w:hAnsi="Arial" w:cs="Arial"/>
        </w:rPr>
        <w:t>365</w:t>
      </w:r>
    </w:p>
    <w:tbl>
      <w:tblPr>
        <w:tblStyle w:val="TableGrid"/>
        <w:tblW w:w="9918" w:type="dxa"/>
        <w:tblLook w:val="04A0" w:firstRow="1" w:lastRow="0" w:firstColumn="1" w:lastColumn="0" w:noHBand="0" w:noVBand="1"/>
      </w:tblPr>
      <w:tblGrid>
        <w:gridCol w:w="1800"/>
        <w:gridCol w:w="1786"/>
        <w:gridCol w:w="975"/>
        <w:gridCol w:w="2666"/>
        <w:gridCol w:w="2691"/>
      </w:tblGrid>
      <w:tr w:rsidR="00811578" w:rsidRPr="00851192" w14:paraId="49F8C30C" w14:textId="77777777" w:rsidTr="00811578">
        <w:trPr>
          <w:trHeight w:val="986"/>
        </w:trPr>
        <w:tc>
          <w:tcPr>
            <w:tcW w:w="1803" w:type="dxa"/>
            <w:tcBorders>
              <w:top w:val="single" w:sz="4" w:space="0" w:color="auto"/>
              <w:left w:val="single" w:sz="4" w:space="0" w:color="auto"/>
              <w:bottom w:val="single" w:sz="4" w:space="0" w:color="auto"/>
              <w:right w:val="single" w:sz="4" w:space="0" w:color="auto"/>
            </w:tcBorders>
            <w:hideMark/>
          </w:tcPr>
          <w:p w14:paraId="01A9AE69" w14:textId="77777777" w:rsidR="00811578" w:rsidRPr="00851192" w:rsidRDefault="00811578" w:rsidP="00F27343">
            <w:pPr>
              <w:jc w:val="center"/>
              <w:rPr>
                <w:rFonts w:ascii="Arial" w:hAnsi="Arial" w:cs="Arial"/>
              </w:rPr>
            </w:pPr>
            <w:r w:rsidRPr="00851192">
              <w:rPr>
                <w:rFonts w:ascii="Arial" w:hAnsi="Arial" w:cs="Arial"/>
              </w:rPr>
              <w:t>Categories</w:t>
            </w:r>
          </w:p>
        </w:tc>
        <w:tc>
          <w:tcPr>
            <w:tcW w:w="1803" w:type="dxa"/>
            <w:tcBorders>
              <w:top w:val="single" w:sz="4" w:space="0" w:color="auto"/>
              <w:left w:val="single" w:sz="4" w:space="0" w:color="auto"/>
              <w:bottom w:val="single" w:sz="4" w:space="0" w:color="auto"/>
              <w:right w:val="single" w:sz="4" w:space="0" w:color="auto"/>
            </w:tcBorders>
            <w:hideMark/>
          </w:tcPr>
          <w:p w14:paraId="659498E1" w14:textId="77777777" w:rsidR="00811578" w:rsidRPr="00851192" w:rsidRDefault="00811578" w:rsidP="00F27343">
            <w:pPr>
              <w:jc w:val="center"/>
              <w:rPr>
                <w:rFonts w:ascii="Arial" w:hAnsi="Arial" w:cs="Arial"/>
                <w:b/>
              </w:rPr>
            </w:pPr>
            <w:r w:rsidRPr="00851192">
              <w:rPr>
                <w:rFonts w:ascii="Segoe UI Symbol" w:hAnsi="Segoe UI Symbol" w:cs="Segoe UI Symbol"/>
                <w:b/>
                <w:shd w:val="clear" w:color="auto" w:fill="FFFFFF"/>
              </w:rPr>
              <w:t>✓</w:t>
            </w:r>
            <w:r w:rsidRPr="00851192">
              <w:rPr>
                <w:rFonts w:ascii="Arial" w:hAnsi="Arial" w:cs="Arial"/>
                <w:b/>
                <w:shd w:val="clear" w:color="auto" w:fill="FFFFFF"/>
              </w:rPr>
              <w:t xml:space="preserve"> / </w:t>
            </w: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hideMark/>
          </w:tcPr>
          <w:p w14:paraId="10B9EC6C" w14:textId="77777777" w:rsidR="00811578" w:rsidRPr="00851192" w:rsidRDefault="00811578" w:rsidP="00F27343">
            <w:pPr>
              <w:jc w:val="center"/>
              <w:rPr>
                <w:rFonts w:ascii="Arial" w:hAnsi="Arial" w:cs="Arial"/>
              </w:rPr>
            </w:pPr>
            <w:r w:rsidRPr="00851192">
              <w:rPr>
                <w:rFonts w:ascii="Arial" w:hAnsi="Arial" w:cs="Arial"/>
              </w:rPr>
              <w:t>Present or Not Present</w:t>
            </w:r>
          </w:p>
        </w:tc>
        <w:tc>
          <w:tcPr>
            <w:tcW w:w="2681" w:type="dxa"/>
            <w:tcBorders>
              <w:top w:val="single" w:sz="4" w:space="0" w:color="auto"/>
              <w:left w:val="single" w:sz="4" w:space="0" w:color="auto"/>
              <w:bottom w:val="single" w:sz="4" w:space="0" w:color="auto"/>
              <w:right w:val="single" w:sz="4" w:space="0" w:color="auto"/>
            </w:tcBorders>
            <w:hideMark/>
          </w:tcPr>
          <w:p w14:paraId="47AFB3C4" w14:textId="76B85824" w:rsidR="00811578" w:rsidRPr="00851192" w:rsidRDefault="00811578" w:rsidP="00F27343">
            <w:pPr>
              <w:jc w:val="center"/>
              <w:rPr>
                <w:rFonts w:ascii="Arial" w:hAnsi="Arial" w:cs="Arial"/>
              </w:rPr>
            </w:pPr>
            <w:r w:rsidRPr="00851192">
              <w:rPr>
                <w:rFonts w:ascii="Arial" w:hAnsi="Arial" w:cs="Arial"/>
              </w:rPr>
              <w:t>Researchers rating for clear information</w:t>
            </w:r>
          </w:p>
        </w:tc>
        <w:tc>
          <w:tcPr>
            <w:tcW w:w="2706" w:type="dxa"/>
            <w:tcBorders>
              <w:top w:val="single" w:sz="4" w:space="0" w:color="auto"/>
              <w:left w:val="single" w:sz="4" w:space="0" w:color="auto"/>
              <w:bottom w:val="single" w:sz="4" w:space="0" w:color="auto"/>
              <w:right w:val="single" w:sz="4" w:space="0" w:color="auto"/>
            </w:tcBorders>
            <w:hideMark/>
          </w:tcPr>
          <w:p w14:paraId="3A903973" w14:textId="77777777" w:rsidR="00811578" w:rsidRPr="00851192" w:rsidRDefault="00811578" w:rsidP="00F27343">
            <w:pPr>
              <w:jc w:val="center"/>
              <w:rPr>
                <w:rFonts w:ascii="Arial" w:hAnsi="Arial" w:cs="Arial"/>
              </w:rPr>
            </w:pPr>
            <w:r w:rsidRPr="00851192">
              <w:rPr>
                <w:rFonts w:ascii="Arial" w:hAnsi="Arial" w:cs="Arial"/>
              </w:rPr>
              <w:t>Additional Comments</w:t>
            </w:r>
          </w:p>
        </w:tc>
      </w:tr>
      <w:tr w:rsidR="00811578" w:rsidRPr="00851192" w14:paraId="26A56227" w14:textId="77777777" w:rsidTr="00811578">
        <w:tc>
          <w:tcPr>
            <w:tcW w:w="1803" w:type="dxa"/>
            <w:tcBorders>
              <w:top w:val="single" w:sz="4" w:space="0" w:color="auto"/>
              <w:left w:val="single" w:sz="4" w:space="0" w:color="auto"/>
              <w:bottom w:val="single" w:sz="4" w:space="0" w:color="auto"/>
              <w:right w:val="single" w:sz="4" w:space="0" w:color="auto"/>
            </w:tcBorders>
            <w:hideMark/>
          </w:tcPr>
          <w:p w14:paraId="675F8E21" w14:textId="77777777" w:rsidR="00811578" w:rsidRPr="00851192" w:rsidRDefault="00811578" w:rsidP="00F27343">
            <w:pPr>
              <w:jc w:val="center"/>
              <w:rPr>
                <w:rFonts w:ascii="Arial" w:hAnsi="Arial" w:cs="Arial"/>
                <w:b/>
              </w:rPr>
            </w:pPr>
            <w:r w:rsidRPr="00851192">
              <w:rPr>
                <w:rFonts w:ascii="Arial" w:hAnsi="Arial" w:cs="Arial"/>
                <w:b/>
              </w:rPr>
              <w:t>Responsible Gambling</w:t>
            </w:r>
          </w:p>
        </w:tc>
        <w:tc>
          <w:tcPr>
            <w:tcW w:w="1803" w:type="dxa"/>
            <w:tcBorders>
              <w:top w:val="single" w:sz="4" w:space="0" w:color="auto"/>
              <w:left w:val="single" w:sz="4" w:space="0" w:color="auto"/>
              <w:bottom w:val="single" w:sz="4" w:space="0" w:color="auto"/>
              <w:right w:val="single" w:sz="4" w:space="0" w:color="auto"/>
            </w:tcBorders>
            <w:hideMark/>
          </w:tcPr>
          <w:p w14:paraId="57DC81F8" w14:textId="77777777" w:rsidR="00811578" w:rsidRPr="00851192" w:rsidRDefault="00811578" w:rsidP="00F27343">
            <w:pPr>
              <w:jc w:val="center"/>
              <w:rPr>
                <w:rFonts w:ascii="Arial" w:hAnsi="Arial" w:cs="Arial"/>
              </w:rPr>
            </w:pP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tcPr>
          <w:p w14:paraId="4172FC35" w14:textId="77777777" w:rsidR="00811578" w:rsidRPr="00851192" w:rsidRDefault="00811578" w:rsidP="00F27343">
            <w:pPr>
              <w:rPr>
                <w:rFonts w:ascii="Arial" w:hAnsi="Arial" w:cs="Arial"/>
              </w:rPr>
            </w:pPr>
          </w:p>
        </w:tc>
        <w:tc>
          <w:tcPr>
            <w:tcW w:w="2681" w:type="dxa"/>
            <w:tcBorders>
              <w:top w:val="single" w:sz="4" w:space="0" w:color="auto"/>
              <w:left w:val="single" w:sz="4" w:space="0" w:color="auto"/>
              <w:bottom w:val="single" w:sz="4" w:space="0" w:color="auto"/>
              <w:right w:val="single" w:sz="4" w:space="0" w:color="auto"/>
            </w:tcBorders>
          </w:tcPr>
          <w:p w14:paraId="7342536B" w14:textId="21379EFA" w:rsidR="00811578" w:rsidRPr="00851192" w:rsidRDefault="00811578" w:rsidP="00F27343">
            <w:pPr>
              <w:rPr>
                <w:rFonts w:ascii="Arial" w:hAnsi="Arial" w:cs="Arial"/>
              </w:rPr>
            </w:pPr>
          </w:p>
        </w:tc>
        <w:tc>
          <w:tcPr>
            <w:tcW w:w="2706" w:type="dxa"/>
            <w:tcBorders>
              <w:top w:val="single" w:sz="4" w:space="0" w:color="auto"/>
              <w:left w:val="single" w:sz="4" w:space="0" w:color="auto"/>
              <w:bottom w:val="single" w:sz="4" w:space="0" w:color="auto"/>
              <w:right w:val="single" w:sz="4" w:space="0" w:color="auto"/>
            </w:tcBorders>
          </w:tcPr>
          <w:p w14:paraId="52872BBA" w14:textId="77777777" w:rsidR="00811578" w:rsidRPr="00851192" w:rsidRDefault="00811578" w:rsidP="00F27343">
            <w:pPr>
              <w:rPr>
                <w:rFonts w:ascii="Arial" w:hAnsi="Arial" w:cs="Arial"/>
              </w:rPr>
            </w:pPr>
          </w:p>
        </w:tc>
      </w:tr>
      <w:tr w:rsidR="00811578" w:rsidRPr="00851192" w14:paraId="64E48E94" w14:textId="77777777" w:rsidTr="00811578">
        <w:tc>
          <w:tcPr>
            <w:tcW w:w="1803" w:type="dxa"/>
            <w:tcBorders>
              <w:top w:val="single" w:sz="4" w:space="0" w:color="auto"/>
              <w:left w:val="single" w:sz="4" w:space="0" w:color="auto"/>
              <w:bottom w:val="single" w:sz="4" w:space="0" w:color="auto"/>
              <w:right w:val="single" w:sz="4" w:space="0" w:color="auto"/>
            </w:tcBorders>
            <w:hideMark/>
          </w:tcPr>
          <w:p w14:paraId="31B33501" w14:textId="77777777" w:rsidR="00811578" w:rsidRPr="00851192" w:rsidRDefault="00811578" w:rsidP="00F27343">
            <w:pPr>
              <w:jc w:val="center"/>
              <w:rPr>
                <w:rFonts w:ascii="Arial" w:hAnsi="Arial" w:cs="Arial"/>
              </w:rPr>
            </w:pPr>
            <w:r w:rsidRPr="00851192">
              <w:rPr>
                <w:rFonts w:ascii="Arial" w:hAnsi="Arial" w:cs="Arial"/>
              </w:rPr>
              <w:t>Responsible gambling help</w:t>
            </w:r>
          </w:p>
        </w:tc>
        <w:tc>
          <w:tcPr>
            <w:tcW w:w="1803" w:type="dxa"/>
            <w:tcBorders>
              <w:top w:val="single" w:sz="4" w:space="0" w:color="auto"/>
              <w:left w:val="single" w:sz="4" w:space="0" w:color="auto"/>
              <w:bottom w:val="single" w:sz="4" w:space="0" w:color="auto"/>
              <w:right w:val="single" w:sz="4" w:space="0" w:color="auto"/>
            </w:tcBorders>
          </w:tcPr>
          <w:p w14:paraId="4305421A" w14:textId="77777777" w:rsidR="00811578" w:rsidRPr="00851192" w:rsidRDefault="00811578"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3BC5B803" w14:textId="77777777" w:rsidR="00811578" w:rsidRPr="00851192" w:rsidRDefault="00811578" w:rsidP="00F27343">
            <w:pPr>
              <w:jc w:val="center"/>
              <w:rPr>
                <w:rFonts w:ascii="Arial" w:hAnsi="Arial" w:cs="Arial"/>
              </w:rPr>
            </w:pPr>
            <w:r w:rsidRPr="00851192">
              <w:rPr>
                <w:rFonts w:ascii="Arial" w:hAnsi="Arial" w:cs="Arial"/>
              </w:rPr>
              <w:t>1</w:t>
            </w:r>
          </w:p>
        </w:tc>
        <w:tc>
          <w:tcPr>
            <w:tcW w:w="2681" w:type="dxa"/>
            <w:tcBorders>
              <w:top w:val="single" w:sz="4" w:space="0" w:color="auto"/>
              <w:left w:val="single" w:sz="4" w:space="0" w:color="auto"/>
              <w:bottom w:val="single" w:sz="4" w:space="0" w:color="auto"/>
              <w:right w:val="single" w:sz="4" w:space="0" w:color="auto"/>
            </w:tcBorders>
            <w:hideMark/>
          </w:tcPr>
          <w:p w14:paraId="2B311964" w14:textId="748B2907" w:rsidR="00811578" w:rsidRPr="00851192" w:rsidRDefault="00811578" w:rsidP="00F27343">
            <w:pPr>
              <w:jc w:val="center"/>
              <w:rPr>
                <w:rFonts w:ascii="Arial" w:hAnsi="Arial" w:cs="Arial"/>
              </w:rPr>
            </w:pPr>
            <w:r w:rsidRPr="00851192">
              <w:rPr>
                <w:rFonts w:ascii="Arial" w:hAnsi="Arial" w:cs="Arial"/>
              </w:rPr>
              <w:t>Very Low</w:t>
            </w:r>
          </w:p>
        </w:tc>
        <w:tc>
          <w:tcPr>
            <w:tcW w:w="2706" w:type="dxa"/>
            <w:tcBorders>
              <w:top w:val="single" w:sz="4" w:space="0" w:color="auto"/>
              <w:left w:val="single" w:sz="4" w:space="0" w:color="auto"/>
              <w:bottom w:val="single" w:sz="4" w:space="0" w:color="auto"/>
              <w:right w:val="single" w:sz="4" w:space="0" w:color="auto"/>
            </w:tcBorders>
            <w:hideMark/>
          </w:tcPr>
          <w:p w14:paraId="15A7E40D" w14:textId="77777777" w:rsidR="00811578" w:rsidRPr="00851192" w:rsidRDefault="00811578" w:rsidP="00F27343">
            <w:pPr>
              <w:rPr>
                <w:rFonts w:ascii="Arial" w:hAnsi="Arial" w:cs="Arial"/>
              </w:rPr>
            </w:pPr>
            <w:r w:rsidRPr="00851192">
              <w:rPr>
                <w:rFonts w:ascii="Arial" w:hAnsi="Arial" w:cs="Arial"/>
              </w:rPr>
              <w:t xml:space="preserve">Very minimal information on home page. </w:t>
            </w:r>
          </w:p>
        </w:tc>
      </w:tr>
      <w:tr w:rsidR="00811578" w:rsidRPr="00851192" w14:paraId="0FFA711D" w14:textId="77777777" w:rsidTr="00811578">
        <w:tc>
          <w:tcPr>
            <w:tcW w:w="1803" w:type="dxa"/>
            <w:tcBorders>
              <w:top w:val="single" w:sz="4" w:space="0" w:color="auto"/>
              <w:left w:val="single" w:sz="4" w:space="0" w:color="auto"/>
              <w:bottom w:val="single" w:sz="4" w:space="0" w:color="auto"/>
              <w:right w:val="single" w:sz="4" w:space="0" w:color="auto"/>
            </w:tcBorders>
            <w:hideMark/>
          </w:tcPr>
          <w:p w14:paraId="2F3EA506" w14:textId="77777777" w:rsidR="00811578" w:rsidRPr="00851192" w:rsidRDefault="00811578" w:rsidP="00F27343">
            <w:pPr>
              <w:jc w:val="center"/>
              <w:rPr>
                <w:rFonts w:ascii="Arial" w:hAnsi="Arial" w:cs="Arial"/>
              </w:rPr>
            </w:pPr>
            <w:r w:rsidRPr="00851192">
              <w:rPr>
                <w:rFonts w:ascii="Arial" w:hAnsi="Arial" w:cs="Arial"/>
              </w:rPr>
              <w:t>Link on home page</w:t>
            </w:r>
          </w:p>
        </w:tc>
        <w:tc>
          <w:tcPr>
            <w:tcW w:w="1803" w:type="dxa"/>
            <w:tcBorders>
              <w:top w:val="single" w:sz="4" w:space="0" w:color="auto"/>
              <w:left w:val="single" w:sz="4" w:space="0" w:color="auto"/>
              <w:bottom w:val="single" w:sz="4" w:space="0" w:color="auto"/>
              <w:right w:val="single" w:sz="4" w:space="0" w:color="auto"/>
            </w:tcBorders>
          </w:tcPr>
          <w:p w14:paraId="114DA82E" w14:textId="77777777" w:rsidR="00811578" w:rsidRPr="00851192" w:rsidRDefault="00811578"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6B39ADBF" w14:textId="77777777" w:rsidR="00811578" w:rsidRPr="00851192" w:rsidRDefault="00811578" w:rsidP="00F27343">
            <w:pPr>
              <w:jc w:val="center"/>
              <w:rPr>
                <w:rFonts w:ascii="Arial" w:hAnsi="Arial" w:cs="Arial"/>
              </w:rPr>
            </w:pPr>
            <w:r w:rsidRPr="00851192">
              <w:rPr>
                <w:rFonts w:ascii="Arial" w:hAnsi="Arial" w:cs="Arial"/>
              </w:rPr>
              <w:t>1</w:t>
            </w:r>
          </w:p>
        </w:tc>
        <w:tc>
          <w:tcPr>
            <w:tcW w:w="2681" w:type="dxa"/>
            <w:tcBorders>
              <w:top w:val="single" w:sz="4" w:space="0" w:color="auto"/>
              <w:left w:val="single" w:sz="4" w:space="0" w:color="auto"/>
              <w:bottom w:val="single" w:sz="4" w:space="0" w:color="auto"/>
              <w:right w:val="single" w:sz="4" w:space="0" w:color="auto"/>
            </w:tcBorders>
            <w:hideMark/>
          </w:tcPr>
          <w:p w14:paraId="1ECB6BB4" w14:textId="5B2F3726" w:rsidR="00811578" w:rsidRPr="00851192" w:rsidRDefault="00811578" w:rsidP="00F27343">
            <w:pPr>
              <w:jc w:val="center"/>
              <w:rPr>
                <w:rFonts w:ascii="Arial" w:hAnsi="Arial" w:cs="Arial"/>
              </w:rPr>
            </w:pPr>
            <w:r w:rsidRPr="00851192">
              <w:rPr>
                <w:rFonts w:ascii="Arial" w:hAnsi="Arial" w:cs="Arial"/>
              </w:rPr>
              <w:t>Very Low</w:t>
            </w:r>
          </w:p>
        </w:tc>
        <w:tc>
          <w:tcPr>
            <w:tcW w:w="2706" w:type="dxa"/>
            <w:tcBorders>
              <w:top w:val="single" w:sz="4" w:space="0" w:color="auto"/>
              <w:left w:val="single" w:sz="4" w:space="0" w:color="auto"/>
              <w:bottom w:val="single" w:sz="4" w:space="0" w:color="auto"/>
              <w:right w:val="single" w:sz="4" w:space="0" w:color="auto"/>
            </w:tcBorders>
            <w:hideMark/>
          </w:tcPr>
          <w:p w14:paraId="7CEFA0D8" w14:textId="77777777" w:rsidR="00811578" w:rsidRPr="00851192" w:rsidRDefault="00811578" w:rsidP="00F27343">
            <w:pPr>
              <w:rPr>
                <w:rFonts w:ascii="Arial" w:hAnsi="Arial" w:cs="Arial"/>
              </w:rPr>
            </w:pPr>
            <w:r w:rsidRPr="00851192">
              <w:rPr>
                <w:rFonts w:ascii="Arial" w:hAnsi="Arial" w:cs="Arial"/>
              </w:rPr>
              <w:t xml:space="preserve">Sponsorship logos are hyperlinked on home page.  </w:t>
            </w:r>
            <w:r w:rsidRPr="00851192">
              <w:rPr>
                <w:rFonts w:ascii="Arial" w:hAnsi="Arial" w:cs="Arial"/>
              </w:rPr>
              <w:br/>
              <w:t xml:space="preserve">Responsible gambling link at the bottom of the page. </w:t>
            </w:r>
          </w:p>
        </w:tc>
      </w:tr>
      <w:tr w:rsidR="00811578" w:rsidRPr="00851192" w14:paraId="2CB1D0E6" w14:textId="77777777" w:rsidTr="00811578">
        <w:tc>
          <w:tcPr>
            <w:tcW w:w="1803" w:type="dxa"/>
            <w:tcBorders>
              <w:top w:val="single" w:sz="4" w:space="0" w:color="auto"/>
              <w:left w:val="single" w:sz="4" w:space="0" w:color="auto"/>
              <w:bottom w:val="single" w:sz="4" w:space="0" w:color="auto"/>
              <w:right w:val="single" w:sz="4" w:space="0" w:color="auto"/>
            </w:tcBorders>
            <w:hideMark/>
          </w:tcPr>
          <w:p w14:paraId="15D215B8" w14:textId="77777777" w:rsidR="00811578" w:rsidRPr="00851192" w:rsidRDefault="00811578" w:rsidP="00F27343">
            <w:pPr>
              <w:jc w:val="center"/>
              <w:rPr>
                <w:rFonts w:ascii="Arial" w:hAnsi="Arial" w:cs="Arial"/>
              </w:rPr>
            </w:pPr>
            <w:r w:rsidRPr="00851192">
              <w:rPr>
                <w:rFonts w:ascii="Arial" w:hAnsi="Arial" w:cs="Arial"/>
              </w:rPr>
              <w:t>Message on home page</w:t>
            </w:r>
          </w:p>
        </w:tc>
        <w:tc>
          <w:tcPr>
            <w:tcW w:w="1803" w:type="dxa"/>
            <w:tcBorders>
              <w:top w:val="single" w:sz="4" w:space="0" w:color="auto"/>
              <w:left w:val="single" w:sz="4" w:space="0" w:color="auto"/>
              <w:bottom w:val="single" w:sz="4" w:space="0" w:color="auto"/>
              <w:right w:val="single" w:sz="4" w:space="0" w:color="auto"/>
            </w:tcBorders>
          </w:tcPr>
          <w:p w14:paraId="3797DF74" w14:textId="77777777" w:rsidR="00811578" w:rsidRPr="00851192" w:rsidRDefault="00811578"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5864340A" w14:textId="77777777" w:rsidR="00811578" w:rsidRPr="00851192" w:rsidRDefault="00811578" w:rsidP="00F27343">
            <w:pPr>
              <w:jc w:val="center"/>
              <w:rPr>
                <w:rFonts w:ascii="Arial" w:hAnsi="Arial" w:cs="Arial"/>
              </w:rPr>
            </w:pPr>
            <w:r w:rsidRPr="00851192">
              <w:rPr>
                <w:rFonts w:ascii="Arial" w:hAnsi="Arial" w:cs="Arial"/>
              </w:rPr>
              <w:t>0</w:t>
            </w:r>
          </w:p>
        </w:tc>
        <w:tc>
          <w:tcPr>
            <w:tcW w:w="2681" w:type="dxa"/>
            <w:tcBorders>
              <w:top w:val="single" w:sz="4" w:space="0" w:color="auto"/>
              <w:left w:val="single" w:sz="4" w:space="0" w:color="auto"/>
              <w:bottom w:val="single" w:sz="4" w:space="0" w:color="auto"/>
              <w:right w:val="single" w:sz="4" w:space="0" w:color="auto"/>
            </w:tcBorders>
            <w:hideMark/>
          </w:tcPr>
          <w:p w14:paraId="172D47BD" w14:textId="3050812C" w:rsidR="00811578" w:rsidRPr="00851192" w:rsidRDefault="00811578" w:rsidP="00F27343">
            <w:pPr>
              <w:jc w:val="center"/>
              <w:rPr>
                <w:rFonts w:ascii="Arial" w:hAnsi="Arial" w:cs="Arial"/>
              </w:rPr>
            </w:pPr>
            <w:r w:rsidRPr="00851192">
              <w:rPr>
                <w:rFonts w:ascii="Arial" w:hAnsi="Arial" w:cs="Arial"/>
              </w:rPr>
              <w:t>None</w:t>
            </w:r>
          </w:p>
        </w:tc>
        <w:tc>
          <w:tcPr>
            <w:tcW w:w="2706" w:type="dxa"/>
            <w:tcBorders>
              <w:top w:val="single" w:sz="4" w:space="0" w:color="auto"/>
              <w:left w:val="single" w:sz="4" w:space="0" w:color="auto"/>
              <w:bottom w:val="single" w:sz="4" w:space="0" w:color="auto"/>
              <w:right w:val="single" w:sz="4" w:space="0" w:color="auto"/>
            </w:tcBorders>
            <w:hideMark/>
          </w:tcPr>
          <w:p w14:paraId="3F25EAE9" w14:textId="77777777" w:rsidR="00811578" w:rsidRPr="00851192" w:rsidRDefault="00811578" w:rsidP="00F27343">
            <w:pPr>
              <w:jc w:val="center"/>
              <w:rPr>
                <w:rFonts w:ascii="Arial" w:hAnsi="Arial" w:cs="Arial"/>
              </w:rPr>
            </w:pPr>
            <w:r w:rsidRPr="00851192">
              <w:rPr>
                <w:rFonts w:ascii="Arial" w:hAnsi="Arial" w:cs="Arial"/>
              </w:rPr>
              <w:t>N/A</w:t>
            </w:r>
          </w:p>
        </w:tc>
      </w:tr>
      <w:tr w:rsidR="00811578" w:rsidRPr="00851192" w14:paraId="3D247FE6" w14:textId="77777777" w:rsidTr="00811578">
        <w:tc>
          <w:tcPr>
            <w:tcW w:w="1803" w:type="dxa"/>
            <w:tcBorders>
              <w:top w:val="single" w:sz="4" w:space="0" w:color="auto"/>
              <w:left w:val="single" w:sz="4" w:space="0" w:color="auto"/>
              <w:bottom w:val="single" w:sz="4" w:space="0" w:color="auto"/>
              <w:right w:val="single" w:sz="4" w:space="0" w:color="auto"/>
            </w:tcBorders>
            <w:hideMark/>
          </w:tcPr>
          <w:p w14:paraId="3CA7E2BE" w14:textId="77777777" w:rsidR="00811578" w:rsidRPr="00851192" w:rsidRDefault="00811578" w:rsidP="00F27343">
            <w:pPr>
              <w:jc w:val="center"/>
              <w:rPr>
                <w:rFonts w:ascii="Arial" w:hAnsi="Arial" w:cs="Arial"/>
              </w:rPr>
            </w:pPr>
            <w:r w:rsidRPr="00851192">
              <w:rPr>
                <w:rFonts w:ascii="Arial" w:hAnsi="Arial" w:cs="Arial"/>
              </w:rPr>
              <w:t>Responsible gambling sponsorship on site</w:t>
            </w:r>
          </w:p>
        </w:tc>
        <w:tc>
          <w:tcPr>
            <w:tcW w:w="1803" w:type="dxa"/>
            <w:tcBorders>
              <w:top w:val="single" w:sz="4" w:space="0" w:color="auto"/>
              <w:left w:val="single" w:sz="4" w:space="0" w:color="auto"/>
              <w:bottom w:val="single" w:sz="4" w:space="0" w:color="auto"/>
              <w:right w:val="single" w:sz="4" w:space="0" w:color="auto"/>
            </w:tcBorders>
          </w:tcPr>
          <w:p w14:paraId="0FB26F0A" w14:textId="77777777" w:rsidR="00811578" w:rsidRPr="00851192" w:rsidRDefault="00811578"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4B5A8835" w14:textId="77777777" w:rsidR="00811578" w:rsidRPr="00851192" w:rsidRDefault="00811578" w:rsidP="00F27343">
            <w:pPr>
              <w:jc w:val="center"/>
              <w:rPr>
                <w:rFonts w:ascii="Arial" w:hAnsi="Arial" w:cs="Arial"/>
              </w:rPr>
            </w:pPr>
            <w:r w:rsidRPr="00851192">
              <w:rPr>
                <w:rFonts w:ascii="Arial" w:hAnsi="Arial" w:cs="Arial"/>
              </w:rPr>
              <w:t>1</w:t>
            </w:r>
          </w:p>
        </w:tc>
        <w:tc>
          <w:tcPr>
            <w:tcW w:w="2681" w:type="dxa"/>
            <w:tcBorders>
              <w:top w:val="single" w:sz="4" w:space="0" w:color="auto"/>
              <w:left w:val="single" w:sz="4" w:space="0" w:color="auto"/>
              <w:bottom w:val="single" w:sz="4" w:space="0" w:color="auto"/>
              <w:right w:val="single" w:sz="4" w:space="0" w:color="auto"/>
            </w:tcBorders>
            <w:hideMark/>
          </w:tcPr>
          <w:p w14:paraId="6B282E38" w14:textId="6FA5FB25" w:rsidR="00811578" w:rsidRPr="00851192" w:rsidRDefault="00811578" w:rsidP="00F27343">
            <w:pPr>
              <w:jc w:val="center"/>
              <w:rPr>
                <w:rFonts w:ascii="Arial" w:hAnsi="Arial" w:cs="Arial"/>
              </w:rPr>
            </w:pPr>
            <w:r w:rsidRPr="00851192">
              <w:rPr>
                <w:rFonts w:ascii="Arial" w:hAnsi="Arial" w:cs="Arial"/>
              </w:rPr>
              <w:t>Very Low</w:t>
            </w:r>
          </w:p>
        </w:tc>
        <w:tc>
          <w:tcPr>
            <w:tcW w:w="2706" w:type="dxa"/>
            <w:tcBorders>
              <w:top w:val="single" w:sz="4" w:space="0" w:color="auto"/>
              <w:left w:val="single" w:sz="4" w:space="0" w:color="auto"/>
              <w:bottom w:val="single" w:sz="4" w:space="0" w:color="auto"/>
              <w:right w:val="single" w:sz="4" w:space="0" w:color="auto"/>
            </w:tcBorders>
            <w:hideMark/>
          </w:tcPr>
          <w:p w14:paraId="7F8219CB" w14:textId="77777777" w:rsidR="00811578" w:rsidRPr="00851192" w:rsidRDefault="00811578" w:rsidP="00F27343">
            <w:pPr>
              <w:rPr>
                <w:rFonts w:ascii="Arial" w:hAnsi="Arial" w:cs="Arial"/>
              </w:rPr>
            </w:pPr>
            <w:r w:rsidRPr="00851192">
              <w:rPr>
                <w:rFonts w:ascii="Arial" w:hAnsi="Arial" w:cs="Arial"/>
              </w:rPr>
              <w:t>Sponsorship present on home page right at the bottom. Logos are highlighted as grey and does not express brand identity. Logos are not at the forefront of the home page and does not naturally attract users.</w:t>
            </w:r>
          </w:p>
        </w:tc>
      </w:tr>
      <w:tr w:rsidR="00811578" w:rsidRPr="00851192" w14:paraId="7CB19075" w14:textId="77777777" w:rsidTr="00811578">
        <w:tc>
          <w:tcPr>
            <w:tcW w:w="1803" w:type="dxa"/>
            <w:tcBorders>
              <w:top w:val="single" w:sz="4" w:space="0" w:color="auto"/>
              <w:left w:val="single" w:sz="4" w:space="0" w:color="auto"/>
              <w:bottom w:val="single" w:sz="4" w:space="0" w:color="auto"/>
              <w:right w:val="single" w:sz="4" w:space="0" w:color="auto"/>
            </w:tcBorders>
            <w:hideMark/>
          </w:tcPr>
          <w:p w14:paraId="3C4B7DD6" w14:textId="77777777" w:rsidR="00811578" w:rsidRPr="00851192" w:rsidRDefault="00811578" w:rsidP="00F27343">
            <w:pPr>
              <w:jc w:val="center"/>
              <w:rPr>
                <w:rFonts w:ascii="Arial" w:hAnsi="Arial" w:cs="Arial"/>
              </w:rPr>
            </w:pPr>
            <w:r w:rsidRPr="00851192">
              <w:rPr>
                <w:rFonts w:ascii="Arial" w:hAnsi="Arial" w:cs="Arial"/>
              </w:rPr>
              <w:t>External information on responsible gambling on site</w:t>
            </w:r>
          </w:p>
        </w:tc>
        <w:tc>
          <w:tcPr>
            <w:tcW w:w="1803" w:type="dxa"/>
            <w:tcBorders>
              <w:top w:val="single" w:sz="4" w:space="0" w:color="auto"/>
              <w:left w:val="single" w:sz="4" w:space="0" w:color="auto"/>
              <w:bottom w:val="single" w:sz="4" w:space="0" w:color="auto"/>
              <w:right w:val="single" w:sz="4" w:space="0" w:color="auto"/>
            </w:tcBorders>
          </w:tcPr>
          <w:p w14:paraId="37274812" w14:textId="77777777" w:rsidR="00811578" w:rsidRPr="00851192" w:rsidRDefault="00811578"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79049F65" w14:textId="77777777" w:rsidR="00811578" w:rsidRPr="00851192" w:rsidRDefault="00811578" w:rsidP="00F27343">
            <w:pPr>
              <w:jc w:val="center"/>
              <w:rPr>
                <w:rFonts w:ascii="Arial" w:hAnsi="Arial" w:cs="Arial"/>
              </w:rPr>
            </w:pPr>
            <w:r w:rsidRPr="00851192">
              <w:rPr>
                <w:rFonts w:ascii="Arial" w:hAnsi="Arial" w:cs="Arial"/>
              </w:rPr>
              <w:t>0</w:t>
            </w:r>
          </w:p>
        </w:tc>
        <w:tc>
          <w:tcPr>
            <w:tcW w:w="2681" w:type="dxa"/>
            <w:tcBorders>
              <w:top w:val="single" w:sz="4" w:space="0" w:color="auto"/>
              <w:left w:val="single" w:sz="4" w:space="0" w:color="auto"/>
              <w:bottom w:val="single" w:sz="4" w:space="0" w:color="auto"/>
              <w:right w:val="single" w:sz="4" w:space="0" w:color="auto"/>
            </w:tcBorders>
            <w:hideMark/>
          </w:tcPr>
          <w:p w14:paraId="4163E31F" w14:textId="26062D14" w:rsidR="00811578" w:rsidRPr="00851192" w:rsidRDefault="00811578" w:rsidP="00F27343">
            <w:pPr>
              <w:jc w:val="center"/>
              <w:rPr>
                <w:rFonts w:ascii="Arial" w:hAnsi="Arial" w:cs="Arial"/>
              </w:rPr>
            </w:pPr>
            <w:r w:rsidRPr="00851192">
              <w:rPr>
                <w:rFonts w:ascii="Arial" w:hAnsi="Arial" w:cs="Arial"/>
              </w:rPr>
              <w:t>None</w:t>
            </w:r>
          </w:p>
        </w:tc>
        <w:tc>
          <w:tcPr>
            <w:tcW w:w="2706" w:type="dxa"/>
            <w:tcBorders>
              <w:top w:val="single" w:sz="4" w:space="0" w:color="auto"/>
              <w:left w:val="single" w:sz="4" w:space="0" w:color="auto"/>
              <w:bottom w:val="single" w:sz="4" w:space="0" w:color="auto"/>
              <w:right w:val="single" w:sz="4" w:space="0" w:color="auto"/>
            </w:tcBorders>
            <w:hideMark/>
          </w:tcPr>
          <w:p w14:paraId="300CF8CD" w14:textId="77777777" w:rsidR="00811578" w:rsidRPr="00851192" w:rsidRDefault="00811578" w:rsidP="00F27343">
            <w:pPr>
              <w:jc w:val="center"/>
              <w:rPr>
                <w:rFonts w:ascii="Arial" w:hAnsi="Arial" w:cs="Arial"/>
              </w:rPr>
            </w:pPr>
            <w:r w:rsidRPr="00851192">
              <w:rPr>
                <w:rFonts w:ascii="Arial" w:hAnsi="Arial" w:cs="Arial"/>
              </w:rPr>
              <w:t>N/A</w:t>
            </w:r>
          </w:p>
        </w:tc>
      </w:tr>
      <w:tr w:rsidR="00811578" w:rsidRPr="00851192" w14:paraId="16C78C24" w14:textId="77777777" w:rsidTr="00811578">
        <w:tc>
          <w:tcPr>
            <w:tcW w:w="1803" w:type="dxa"/>
            <w:tcBorders>
              <w:top w:val="single" w:sz="4" w:space="0" w:color="auto"/>
              <w:left w:val="single" w:sz="4" w:space="0" w:color="auto"/>
              <w:bottom w:val="single" w:sz="4" w:space="0" w:color="auto"/>
              <w:right w:val="single" w:sz="4" w:space="0" w:color="auto"/>
            </w:tcBorders>
            <w:hideMark/>
          </w:tcPr>
          <w:p w14:paraId="42FFDD5A" w14:textId="77777777" w:rsidR="00811578" w:rsidRPr="00851192" w:rsidRDefault="00811578" w:rsidP="00F27343">
            <w:pPr>
              <w:jc w:val="center"/>
              <w:rPr>
                <w:rFonts w:ascii="Arial" w:hAnsi="Arial" w:cs="Arial"/>
              </w:rPr>
            </w:pPr>
            <w:r w:rsidRPr="00851192">
              <w:rPr>
                <w:rFonts w:ascii="Arial" w:hAnsi="Arial" w:cs="Arial"/>
              </w:rPr>
              <w:t>Clarity on responsible gambling assistance</w:t>
            </w:r>
          </w:p>
        </w:tc>
        <w:tc>
          <w:tcPr>
            <w:tcW w:w="1803" w:type="dxa"/>
            <w:tcBorders>
              <w:top w:val="single" w:sz="4" w:space="0" w:color="auto"/>
              <w:left w:val="single" w:sz="4" w:space="0" w:color="auto"/>
              <w:bottom w:val="single" w:sz="4" w:space="0" w:color="auto"/>
              <w:right w:val="single" w:sz="4" w:space="0" w:color="auto"/>
            </w:tcBorders>
          </w:tcPr>
          <w:p w14:paraId="6CDBA17B" w14:textId="77777777" w:rsidR="00811578" w:rsidRPr="00851192" w:rsidRDefault="00811578"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40CED914" w14:textId="77777777" w:rsidR="00811578" w:rsidRPr="00851192" w:rsidRDefault="00811578" w:rsidP="00F27343">
            <w:pPr>
              <w:jc w:val="center"/>
              <w:rPr>
                <w:rFonts w:ascii="Arial" w:hAnsi="Arial" w:cs="Arial"/>
              </w:rPr>
            </w:pPr>
            <w:r w:rsidRPr="00851192">
              <w:rPr>
                <w:rFonts w:ascii="Arial" w:hAnsi="Arial" w:cs="Arial"/>
              </w:rPr>
              <w:t>0</w:t>
            </w:r>
          </w:p>
        </w:tc>
        <w:tc>
          <w:tcPr>
            <w:tcW w:w="2681" w:type="dxa"/>
            <w:tcBorders>
              <w:top w:val="single" w:sz="4" w:space="0" w:color="auto"/>
              <w:left w:val="single" w:sz="4" w:space="0" w:color="auto"/>
              <w:bottom w:val="single" w:sz="4" w:space="0" w:color="auto"/>
              <w:right w:val="single" w:sz="4" w:space="0" w:color="auto"/>
            </w:tcBorders>
            <w:hideMark/>
          </w:tcPr>
          <w:p w14:paraId="5A6AB599" w14:textId="43B9CE68" w:rsidR="00811578" w:rsidRPr="00851192" w:rsidRDefault="00811578" w:rsidP="00F27343">
            <w:pPr>
              <w:jc w:val="center"/>
              <w:rPr>
                <w:rFonts w:ascii="Arial" w:hAnsi="Arial" w:cs="Arial"/>
              </w:rPr>
            </w:pPr>
            <w:r w:rsidRPr="00851192">
              <w:rPr>
                <w:rFonts w:ascii="Arial" w:hAnsi="Arial" w:cs="Arial"/>
              </w:rPr>
              <w:t>Very Low</w:t>
            </w:r>
          </w:p>
        </w:tc>
        <w:tc>
          <w:tcPr>
            <w:tcW w:w="2706" w:type="dxa"/>
            <w:tcBorders>
              <w:top w:val="single" w:sz="4" w:space="0" w:color="auto"/>
              <w:left w:val="single" w:sz="4" w:space="0" w:color="auto"/>
              <w:bottom w:val="single" w:sz="4" w:space="0" w:color="auto"/>
              <w:right w:val="single" w:sz="4" w:space="0" w:color="auto"/>
            </w:tcBorders>
            <w:hideMark/>
          </w:tcPr>
          <w:p w14:paraId="4AC5868C" w14:textId="77777777" w:rsidR="00811578" w:rsidRPr="00851192" w:rsidRDefault="00811578" w:rsidP="00F27343">
            <w:pPr>
              <w:rPr>
                <w:rFonts w:ascii="Arial" w:hAnsi="Arial" w:cs="Arial"/>
              </w:rPr>
            </w:pPr>
            <w:r w:rsidRPr="00851192">
              <w:rPr>
                <w:rFonts w:ascii="Arial" w:hAnsi="Arial" w:cs="Arial"/>
              </w:rPr>
              <w:t xml:space="preserve">Poor clarity on responsible gambling on website. Responsible gambling link on website which again shows to provide adequate and rich information. </w:t>
            </w:r>
            <w:r w:rsidRPr="00851192">
              <w:rPr>
                <w:rFonts w:ascii="Arial" w:hAnsi="Arial" w:cs="Arial"/>
              </w:rPr>
              <w:br/>
              <w:t xml:space="preserve">Home page is also very large and quite extensive. </w:t>
            </w:r>
          </w:p>
        </w:tc>
      </w:tr>
    </w:tbl>
    <w:p w14:paraId="00580E69" w14:textId="77777777" w:rsidR="009B75A0" w:rsidRPr="00851192" w:rsidRDefault="009B75A0" w:rsidP="009B75A0">
      <w:pPr>
        <w:rPr>
          <w:rFonts w:ascii="Arial" w:hAnsi="Arial" w:cs="Arial"/>
        </w:rPr>
      </w:pPr>
    </w:p>
    <w:p w14:paraId="4D2D70A4" w14:textId="77777777" w:rsidR="009B75A0" w:rsidRPr="00851192" w:rsidRDefault="009B75A0" w:rsidP="009B75A0">
      <w:pPr>
        <w:jc w:val="center"/>
        <w:rPr>
          <w:rFonts w:ascii="Arial" w:hAnsi="Arial" w:cs="Arial"/>
        </w:rPr>
      </w:pPr>
      <w:proofErr w:type="spellStart"/>
      <w:r w:rsidRPr="00851192">
        <w:rPr>
          <w:rFonts w:ascii="Arial" w:hAnsi="Arial" w:cs="Arial"/>
        </w:rPr>
        <w:t>Bwin</w:t>
      </w:r>
      <w:proofErr w:type="spellEnd"/>
    </w:p>
    <w:tbl>
      <w:tblPr>
        <w:tblStyle w:val="TableGrid"/>
        <w:tblW w:w="9918" w:type="dxa"/>
        <w:tblLook w:val="04A0" w:firstRow="1" w:lastRow="0" w:firstColumn="1" w:lastColumn="0" w:noHBand="0" w:noVBand="1"/>
      </w:tblPr>
      <w:tblGrid>
        <w:gridCol w:w="1800"/>
        <w:gridCol w:w="1786"/>
        <w:gridCol w:w="975"/>
        <w:gridCol w:w="2666"/>
        <w:gridCol w:w="2691"/>
      </w:tblGrid>
      <w:tr w:rsidR="009B75A0" w:rsidRPr="00851192" w14:paraId="2B60A060" w14:textId="77777777" w:rsidTr="00F27343">
        <w:trPr>
          <w:trHeight w:val="986"/>
        </w:trPr>
        <w:tc>
          <w:tcPr>
            <w:tcW w:w="1803" w:type="dxa"/>
            <w:tcBorders>
              <w:top w:val="single" w:sz="4" w:space="0" w:color="auto"/>
              <w:left w:val="single" w:sz="4" w:space="0" w:color="auto"/>
              <w:bottom w:val="single" w:sz="4" w:space="0" w:color="auto"/>
              <w:right w:val="single" w:sz="4" w:space="0" w:color="auto"/>
            </w:tcBorders>
            <w:hideMark/>
          </w:tcPr>
          <w:p w14:paraId="63471AA5" w14:textId="77777777" w:rsidR="009B75A0" w:rsidRPr="00851192" w:rsidRDefault="009B75A0" w:rsidP="00F27343">
            <w:pPr>
              <w:jc w:val="center"/>
              <w:rPr>
                <w:rFonts w:ascii="Arial" w:hAnsi="Arial" w:cs="Arial"/>
              </w:rPr>
            </w:pPr>
            <w:r w:rsidRPr="00851192">
              <w:rPr>
                <w:rFonts w:ascii="Arial" w:hAnsi="Arial" w:cs="Arial"/>
              </w:rPr>
              <w:t>Categories</w:t>
            </w:r>
          </w:p>
        </w:tc>
        <w:tc>
          <w:tcPr>
            <w:tcW w:w="1803" w:type="dxa"/>
            <w:tcBorders>
              <w:top w:val="single" w:sz="4" w:space="0" w:color="auto"/>
              <w:left w:val="single" w:sz="4" w:space="0" w:color="auto"/>
              <w:bottom w:val="single" w:sz="4" w:space="0" w:color="auto"/>
              <w:right w:val="single" w:sz="4" w:space="0" w:color="auto"/>
            </w:tcBorders>
            <w:hideMark/>
          </w:tcPr>
          <w:p w14:paraId="39D616B7" w14:textId="77777777" w:rsidR="009B75A0" w:rsidRPr="00851192" w:rsidRDefault="009B75A0" w:rsidP="00F27343">
            <w:pPr>
              <w:jc w:val="center"/>
              <w:rPr>
                <w:rFonts w:ascii="Arial" w:hAnsi="Arial" w:cs="Arial"/>
                <w:b/>
              </w:rPr>
            </w:pPr>
            <w:r w:rsidRPr="00851192">
              <w:rPr>
                <w:rFonts w:ascii="Segoe UI Symbol" w:hAnsi="Segoe UI Symbol" w:cs="Segoe UI Symbol"/>
                <w:b/>
                <w:shd w:val="clear" w:color="auto" w:fill="FFFFFF"/>
              </w:rPr>
              <w:t>✓</w:t>
            </w:r>
            <w:r w:rsidRPr="00851192">
              <w:rPr>
                <w:rFonts w:ascii="Arial" w:hAnsi="Arial" w:cs="Arial"/>
                <w:b/>
                <w:shd w:val="clear" w:color="auto" w:fill="FFFFFF"/>
              </w:rPr>
              <w:t xml:space="preserve"> / </w:t>
            </w: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hideMark/>
          </w:tcPr>
          <w:p w14:paraId="65323E19" w14:textId="77777777" w:rsidR="009B75A0" w:rsidRPr="00851192" w:rsidRDefault="009B75A0" w:rsidP="00F27343">
            <w:pPr>
              <w:jc w:val="center"/>
              <w:rPr>
                <w:rFonts w:ascii="Arial" w:hAnsi="Arial" w:cs="Arial"/>
              </w:rPr>
            </w:pPr>
            <w:r w:rsidRPr="00851192">
              <w:rPr>
                <w:rFonts w:ascii="Arial" w:hAnsi="Arial" w:cs="Arial"/>
              </w:rPr>
              <w:t>Present or Not Present</w:t>
            </w:r>
          </w:p>
        </w:tc>
        <w:tc>
          <w:tcPr>
            <w:tcW w:w="2681" w:type="dxa"/>
            <w:tcBorders>
              <w:top w:val="single" w:sz="4" w:space="0" w:color="auto"/>
              <w:left w:val="single" w:sz="4" w:space="0" w:color="auto"/>
              <w:bottom w:val="single" w:sz="4" w:space="0" w:color="auto"/>
              <w:right w:val="single" w:sz="4" w:space="0" w:color="auto"/>
            </w:tcBorders>
            <w:hideMark/>
          </w:tcPr>
          <w:p w14:paraId="53853A32" w14:textId="77777777" w:rsidR="009B75A0" w:rsidRPr="00851192" w:rsidRDefault="009B75A0" w:rsidP="00F27343">
            <w:pPr>
              <w:jc w:val="center"/>
              <w:rPr>
                <w:rFonts w:ascii="Arial" w:hAnsi="Arial" w:cs="Arial"/>
              </w:rPr>
            </w:pPr>
            <w:r w:rsidRPr="00851192">
              <w:rPr>
                <w:rFonts w:ascii="Arial" w:hAnsi="Arial" w:cs="Arial"/>
              </w:rPr>
              <w:t>Researchers rating for clear information</w:t>
            </w:r>
          </w:p>
        </w:tc>
        <w:tc>
          <w:tcPr>
            <w:tcW w:w="2706" w:type="dxa"/>
            <w:tcBorders>
              <w:top w:val="single" w:sz="4" w:space="0" w:color="auto"/>
              <w:left w:val="single" w:sz="4" w:space="0" w:color="auto"/>
              <w:bottom w:val="single" w:sz="4" w:space="0" w:color="auto"/>
              <w:right w:val="single" w:sz="4" w:space="0" w:color="auto"/>
            </w:tcBorders>
            <w:hideMark/>
          </w:tcPr>
          <w:p w14:paraId="39166655" w14:textId="77777777" w:rsidR="009B75A0" w:rsidRPr="00851192" w:rsidRDefault="009B75A0" w:rsidP="00F27343">
            <w:pPr>
              <w:jc w:val="center"/>
              <w:rPr>
                <w:rFonts w:ascii="Arial" w:hAnsi="Arial" w:cs="Arial"/>
              </w:rPr>
            </w:pPr>
            <w:r w:rsidRPr="00851192">
              <w:rPr>
                <w:rFonts w:ascii="Arial" w:hAnsi="Arial" w:cs="Arial"/>
              </w:rPr>
              <w:t>Additional Comments</w:t>
            </w:r>
          </w:p>
        </w:tc>
      </w:tr>
      <w:tr w:rsidR="009B75A0" w:rsidRPr="00851192" w14:paraId="3EFD1542"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34F54004" w14:textId="77777777" w:rsidR="009B75A0" w:rsidRPr="00851192" w:rsidRDefault="009B75A0" w:rsidP="00F27343">
            <w:pPr>
              <w:jc w:val="center"/>
              <w:rPr>
                <w:rFonts w:ascii="Arial" w:hAnsi="Arial" w:cs="Arial"/>
                <w:b/>
              </w:rPr>
            </w:pPr>
            <w:r w:rsidRPr="00851192">
              <w:rPr>
                <w:rFonts w:ascii="Arial" w:hAnsi="Arial" w:cs="Arial"/>
                <w:b/>
              </w:rPr>
              <w:t>Responsible Gambling</w:t>
            </w:r>
          </w:p>
        </w:tc>
        <w:tc>
          <w:tcPr>
            <w:tcW w:w="1803" w:type="dxa"/>
            <w:tcBorders>
              <w:top w:val="single" w:sz="4" w:space="0" w:color="auto"/>
              <w:left w:val="single" w:sz="4" w:space="0" w:color="auto"/>
              <w:bottom w:val="single" w:sz="4" w:space="0" w:color="auto"/>
              <w:right w:val="single" w:sz="4" w:space="0" w:color="auto"/>
            </w:tcBorders>
            <w:hideMark/>
          </w:tcPr>
          <w:p w14:paraId="3FA5BBAF"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tcPr>
          <w:p w14:paraId="541E076F" w14:textId="77777777" w:rsidR="009B75A0" w:rsidRPr="00851192" w:rsidRDefault="009B75A0" w:rsidP="00F27343">
            <w:pPr>
              <w:rPr>
                <w:rFonts w:ascii="Arial" w:hAnsi="Arial" w:cs="Arial"/>
              </w:rPr>
            </w:pPr>
          </w:p>
        </w:tc>
        <w:tc>
          <w:tcPr>
            <w:tcW w:w="2681" w:type="dxa"/>
            <w:tcBorders>
              <w:top w:val="single" w:sz="4" w:space="0" w:color="auto"/>
              <w:left w:val="single" w:sz="4" w:space="0" w:color="auto"/>
              <w:bottom w:val="single" w:sz="4" w:space="0" w:color="auto"/>
              <w:right w:val="single" w:sz="4" w:space="0" w:color="auto"/>
            </w:tcBorders>
          </w:tcPr>
          <w:p w14:paraId="1F100584" w14:textId="77777777" w:rsidR="009B75A0" w:rsidRPr="00851192" w:rsidRDefault="009B75A0" w:rsidP="00F27343">
            <w:pPr>
              <w:rPr>
                <w:rFonts w:ascii="Arial" w:hAnsi="Arial" w:cs="Arial"/>
              </w:rPr>
            </w:pPr>
          </w:p>
        </w:tc>
        <w:tc>
          <w:tcPr>
            <w:tcW w:w="2706" w:type="dxa"/>
            <w:tcBorders>
              <w:top w:val="single" w:sz="4" w:space="0" w:color="auto"/>
              <w:left w:val="single" w:sz="4" w:space="0" w:color="auto"/>
              <w:bottom w:val="single" w:sz="4" w:space="0" w:color="auto"/>
              <w:right w:val="single" w:sz="4" w:space="0" w:color="auto"/>
            </w:tcBorders>
          </w:tcPr>
          <w:p w14:paraId="44B06AC6" w14:textId="77777777" w:rsidR="009B75A0" w:rsidRPr="00851192" w:rsidRDefault="009B75A0" w:rsidP="00F27343">
            <w:pPr>
              <w:rPr>
                <w:rFonts w:ascii="Arial" w:hAnsi="Arial" w:cs="Arial"/>
              </w:rPr>
            </w:pPr>
          </w:p>
        </w:tc>
      </w:tr>
      <w:tr w:rsidR="009B75A0" w:rsidRPr="00851192" w14:paraId="78C8F648"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0E254AF7" w14:textId="77777777" w:rsidR="009B75A0" w:rsidRPr="00851192" w:rsidRDefault="009B75A0" w:rsidP="00F27343">
            <w:pPr>
              <w:jc w:val="center"/>
              <w:rPr>
                <w:rFonts w:ascii="Arial" w:hAnsi="Arial" w:cs="Arial"/>
              </w:rPr>
            </w:pPr>
            <w:r w:rsidRPr="00851192">
              <w:rPr>
                <w:rFonts w:ascii="Arial" w:hAnsi="Arial" w:cs="Arial"/>
              </w:rPr>
              <w:t>Responsible gambling help</w:t>
            </w:r>
          </w:p>
        </w:tc>
        <w:tc>
          <w:tcPr>
            <w:tcW w:w="1803" w:type="dxa"/>
            <w:tcBorders>
              <w:top w:val="single" w:sz="4" w:space="0" w:color="auto"/>
              <w:left w:val="single" w:sz="4" w:space="0" w:color="auto"/>
              <w:bottom w:val="single" w:sz="4" w:space="0" w:color="auto"/>
              <w:right w:val="single" w:sz="4" w:space="0" w:color="auto"/>
            </w:tcBorders>
          </w:tcPr>
          <w:p w14:paraId="47B98BDE" w14:textId="77777777" w:rsidR="009B75A0" w:rsidRPr="00851192" w:rsidRDefault="009B75A0"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3437AEF2" w14:textId="77777777" w:rsidR="009B75A0" w:rsidRPr="00851192" w:rsidRDefault="009B75A0" w:rsidP="00F27343">
            <w:pPr>
              <w:jc w:val="center"/>
              <w:rPr>
                <w:rFonts w:ascii="Arial" w:hAnsi="Arial" w:cs="Arial"/>
              </w:rPr>
            </w:pPr>
            <w:r w:rsidRPr="00851192">
              <w:rPr>
                <w:rFonts w:ascii="Arial" w:hAnsi="Arial" w:cs="Arial"/>
              </w:rPr>
              <w:t>1</w:t>
            </w:r>
          </w:p>
        </w:tc>
        <w:tc>
          <w:tcPr>
            <w:tcW w:w="2681" w:type="dxa"/>
            <w:tcBorders>
              <w:top w:val="single" w:sz="4" w:space="0" w:color="auto"/>
              <w:left w:val="single" w:sz="4" w:space="0" w:color="auto"/>
              <w:bottom w:val="single" w:sz="4" w:space="0" w:color="auto"/>
              <w:right w:val="single" w:sz="4" w:space="0" w:color="auto"/>
            </w:tcBorders>
            <w:hideMark/>
          </w:tcPr>
          <w:p w14:paraId="573F57F3" w14:textId="77777777" w:rsidR="009B75A0" w:rsidRPr="00851192" w:rsidRDefault="009B75A0" w:rsidP="00F27343">
            <w:pPr>
              <w:jc w:val="center"/>
              <w:rPr>
                <w:rFonts w:ascii="Arial" w:hAnsi="Arial" w:cs="Arial"/>
              </w:rPr>
            </w:pPr>
            <w:r w:rsidRPr="00851192">
              <w:rPr>
                <w:rFonts w:ascii="Arial" w:hAnsi="Arial" w:cs="Arial"/>
              </w:rPr>
              <w:t>Very Low</w:t>
            </w:r>
          </w:p>
        </w:tc>
        <w:tc>
          <w:tcPr>
            <w:tcW w:w="2706" w:type="dxa"/>
            <w:tcBorders>
              <w:top w:val="single" w:sz="4" w:space="0" w:color="auto"/>
              <w:left w:val="single" w:sz="4" w:space="0" w:color="auto"/>
              <w:bottom w:val="single" w:sz="4" w:space="0" w:color="auto"/>
              <w:right w:val="single" w:sz="4" w:space="0" w:color="auto"/>
            </w:tcBorders>
            <w:hideMark/>
          </w:tcPr>
          <w:p w14:paraId="341DDD8B" w14:textId="77777777" w:rsidR="009B75A0" w:rsidRPr="00851192" w:rsidRDefault="009B75A0" w:rsidP="00F27343">
            <w:pPr>
              <w:rPr>
                <w:rFonts w:ascii="Arial" w:hAnsi="Arial" w:cs="Arial"/>
              </w:rPr>
            </w:pPr>
            <w:r w:rsidRPr="00851192">
              <w:rPr>
                <w:rFonts w:ascii="Arial" w:hAnsi="Arial" w:cs="Arial"/>
              </w:rPr>
              <w:t>Very minimal information on home page.</w:t>
            </w:r>
          </w:p>
        </w:tc>
      </w:tr>
      <w:tr w:rsidR="009B75A0" w:rsidRPr="00851192" w14:paraId="0CF48D7C"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509D31B9" w14:textId="77777777" w:rsidR="009B75A0" w:rsidRPr="00851192" w:rsidRDefault="009B75A0" w:rsidP="00F27343">
            <w:pPr>
              <w:jc w:val="center"/>
              <w:rPr>
                <w:rFonts w:ascii="Arial" w:hAnsi="Arial" w:cs="Arial"/>
              </w:rPr>
            </w:pPr>
            <w:r w:rsidRPr="00851192">
              <w:rPr>
                <w:rFonts w:ascii="Arial" w:hAnsi="Arial" w:cs="Arial"/>
              </w:rPr>
              <w:lastRenderedPageBreak/>
              <w:t>Link on home page</w:t>
            </w:r>
          </w:p>
        </w:tc>
        <w:tc>
          <w:tcPr>
            <w:tcW w:w="1803" w:type="dxa"/>
            <w:tcBorders>
              <w:top w:val="single" w:sz="4" w:space="0" w:color="auto"/>
              <w:left w:val="single" w:sz="4" w:space="0" w:color="auto"/>
              <w:bottom w:val="single" w:sz="4" w:space="0" w:color="auto"/>
              <w:right w:val="single" w:sz="4" w:space="0" w:color="auto"/>
            </w:tcBorders>
          </w:tcPr>
          <w:p w14:paraId="398972EE" w14:textId="77777777" w:rsidR="009B75A0" w:rsidRPr="00851192" w:rsidRDefault="009B75A0"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690ADD70" w14:textId="77777777" w:rsidR="009B75A0" w:rsidRPr="00851192" w:rsidRDefault="009B75A0" w:rsidP="00F27343">
            <w:pPr>
              <w:jc w:val="center"/>
              <w:rPr>
                <w:rFonts w:ascii="Arial" w:hAnsi="Arial" w:cs="Arial"/>
              </w:rPr>
            </w:pPr>
            <w:r w:rsidRPr="00851192">
              <w:rPr>
                <w:rFonts w:ascii="Arial" w:hAnsi="Arial" w:cs="Arial"/>
              </w:rPr>
              <w:t>1</w:t>
            </w:r>
          </w:p>
        </w:tc>
        <w:tc>
          <w:tcPr>
            <w:tcW w:w="2681" w:type="dxa"/>
            <w:tcBorders>
              <w:top w:val="single" w:sz="4" w:space="0" w:color="auto"/>
              <w:left w:val="single" w:sz="4" w:space="0" w:color="auto"/>
              <w:bottom w:val="single" w:sz="4" w:space="0" w:color="auto"/>
              <w:right w:val="single" w:sz="4" w:space="0" w:color="auto"/>
            </w:tcBorders>
            <w:hideMark/>
          </w:tcPr>
          <w:p w14:paraId="60DE0EBE" w14:textId="77777777" w:rsidR="009B75A0" w:rsidRPr="00851192" w:rsidRDefault="009B75A0" w:rsidP="00F27343">
            <w:pPr>
              <w:jc w:val="center"/>
              <w:rPr>
                <w:rFonts w:ascii="Arial" w:hAnsi="Arial" w:cs="Arial"/>
              </w:rPr>
            </w:pPr>
            <w:r w:rsidRPr="00851192">
              <w:rPr>
                <w:rFonts w:ascii="Arial" w:hAnsi="Arial" w:cs="Arial"/>
              </w:rPr>
              <w:t>Adequate</w:t>
            </w:r>
          </w:p>
        </w:tc>
        <w:tc>
          <w:tcPr>
            <w:tcW w:w="2706" w:type="dxa"/>
            <w:tcBorders>
              <w:top w:val="single" w:sz="4" w:space="0" w:color="auto"/>
              <w:left w:val="single" w:sz="4" w:space="0" w:color="auto"/>
              <w:bottom w:val="single" w:sz="4" w:space="0" w:color="auto"/>
              <w:right w:val="single" w:sz="4" w:space="0" w:color="auto"/>
            </w:tcBorders>
            <w:hideMark/>
          </w:tcPr>
          <w:p w14:paraId="41E86EEF" w14:textId="77777777" w:rsidR="009B75A0" w:rsidRPr="00851192" w:rsidRDefault="009B75A0" w:rsidP="00F27343">
            <w:pPr>
              <w:rPr>
                <w:rFonts w:ascii="Arial" w:hAnsi="Arial" w:cs="Arial"/>
              </w:rPr>
            </w:pPr>
            <w:r w:rsidRPr="00851192">
              <w:rPr>
                <w:rFonts w:ascii="Arial" w:hAnsi="Arial" w:cs="Arial"/>
              </w:rPr>
              <w:t xml:space="preserve">Sponsorship logos are hyperlinked on home page.  </w:t>
            </w:r>
            <w:r w:rsidRPr="00851192">
              <w:rPr>
                <w:rFonts w:ascii="Arial" w:hAnsi="Arial" w:cs="Arial"/>
              </w:rPr>
              <w:br/>
              <w:t xml:space="preserve">Responsible gambling link also on page. </w:t>
            </w:r>
          </w:p>
        </w:tc>
      </w:tr>
      <w:tr w:rsidR="009B75A0" w:rsidRPr="00851192" w14:paraId="0DD2B14F"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1CE48C8A" w14:textId="77777777" w:rsidR="009B75A0" w:rsidRPr="00851192" w:rsidRDefault="009B75A0" w:rsidP="00F27343">
            <w:pPr>
              <w:jc w:val="center"/>
              <w:rPr>
                <w:rFonts w:ascii="Arial" w:hAnsi="Arial" w:cs="Arial"/>
              </w:rPr>
            </w:pPr>
            <w:r w:rsidRPr="00851192">
              <w:rPr>
                <w:rFonts w:ascii="Arial" w:hAnsi="Arial" w:cs="Arial"/>
              </w:rPr>
              <w:t>Message on home page</w:t>
            </w:r>
          </w:p>
        </w:tc>
        <w:tc>
          <w:tcPr>
            <w:tcW w:w="1803" w:type="dxa"/>
            <w:tcBorders>
              <w:top w:val="single" w:sz="4" w:space="0" w:color="auto"/>
              <w:left w:val="single" w:sz="4" w:space="0" w:color="auto"/>
              <w:bottom w:val="single" w:sz="4" w:space="0" w:color="auto"/>
              <w:right w:val="single" w:sz="4" w:space="0" w:color="auto"/>
            </w:tcBorders>
          </w:tcPr>
          <w:p w14:paraId="06F05058" w14:textId="77777777" w:rsidR="009B75A0" w:rsidRPr="00851192" w:rsidRDefault="009B75A0"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4C46FB03" w14:textId="77777777" w:rsidR="009B75A0" w:rsidRPr="00851192" w:rsidRDefault="009B75A0" w:rsidP="00F27343">
            <w:pPr>
              <w:jc w:val="center"/>
              <w:rPr>
                <w:rFonts w:ascii="Arial" w:hAnsi="Arial" w:cs="Arial"/>
              </w:rPr>
            </w:pPr>
            <w:r w:rsidRPr="00851192">
              <w:rPr>
                <w:rFonts w:ascii="Arial" w:hAnsi="Arial" w:cs="Arial"/>
              </w:rPr>
              <w:t>0</w:t>
            </w:r>
          </w:p>
        </w:tc>
        <w:tc>
          <w:tcPr>
            <w:tcW w:w="2681" w:type="dxa"/>
            <w:tcBorders>
              <w:top w:val="single" w:sz="4" w:space="0" w:color="auto"/>
              <w:left w:val="single" w:sz="4" w:space="0" w:color="auto"/>
              <w:bottom w:val="single" w:sz="4" w:space="0" w:color="auto"/>
              <w:right w:val="single" w:sz="4" w:space="0" w:color="auto"/>
            </w:tcBorders>
            <w:hideMark/>
          </w:tcPr>
          <w:p w14:paraId="5A188106" w14:textId="77777777" w:rsidR="009B75A0" w:rsidRPr="00851192" w:rsidRDefault="009B75A0" w:rsidP="00F27343">
            <w:pPr>
              <w:jc w:val="center"/>
              <w:rPr>
                <w:rFonts w:ascii="Arial" w:hAnsi="Arial" w:cs="Arial"/>
              </w:rPr>
            </w:pPr>
            <w:r w:rsidRPr="00851192">
              <w:rPr>
                <w:rFonts w:ascii="Arial" w:hAnsi="Arial" w:cs="Arial"/>
              </w:rPr>
              <w:t>None</w:t>
            </w:r>
          </w:p>
        </w:tc>
        <w:tc>
          <w:tcPr>
            <w:tcW w:w="2706" w:type="dxa"/>
            <w:tcBorders>
              <w:top w:val="single" w:sz="4" w:space="0" w:color="auto"/>
              <w:left w:val="single" w:sz="4" w:space="0" w:color="auto"/>
              <w:bottom w:val="single" w:sz="4" w:space="0" w:color="auto"/>
              <w:right w:val="single" w:sz="4" w:space="0" w:color="auto"/>
            </w:tcBorders>
            <w:hideMark/>
          </w:tcPr>
          <w:p w14:paraId="791AA256" w14:textId="77777777" w:rsidR="009B75A0" w:rsidRPr="00851192" w:rsidRDefault="009B75A0" w:rsidP="00F27343">
            <w:pPr>
              <w:jc w:val="center"/>
              <w:rPr>
                <w:rFonts w:ascii="Arial" w:hAnsi="Arial" w:cs="Arial"/>
              </w:rPr>
            </w:pPr>
            <w:r w:rsidRPr="00851192">
              <w:rPr>
                <w:rFonts w:ascii="Arial" w:hAnsi="Arial" w:cs="Arial"/>
              </w:rPr>
              <w:t>N/A</w:t>
            </w:r>
          </w:p>
        </w:tc>
      </w:tr>
      <w:tr w:rsidR="009B75A0" w:rsidRPr="00851192" w14:paraId="68D2D243"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66E8E51C" w14:textId="77777777" w:rsidR="009B75A0" w:rsidRPr="00851192" w:rsidRDefault="009B75A0" w:rsidP="00F27343">
            <w:pPr>
              <w:jc w:val="center"/>
              <w:rPr>
                <w:rFonts w:ascii="Arial" w:hAnsi="Arial" w:cs="Arial"/>
              </w:rPr>
            </w:pPr>
            <w:r w:rsidRPr="00851192">
              <w:rPr>
                <w:rFonts w:ascii="Arial" w:hAnsi="Arial" w:cs="Arial"/>
              </w:rPr>
              <w:t>Responsible gambling sponsorship on site</w:t>
            </w:r>
          </w:p>
        </w:tc>
        <w:tc>
          <w:tcPr>
            <w:tcW w:w="1803" w:type="dxa"/>
            <w:tcBorders>
              <w:top w:val="single" w:sz="4" w:space="0" w:color="auto"/>
              <w:left w:val="single" w:sz="4" w:space="0" w:color="auto"/>
              <w:bottom w:val="single" w:sz="4" w:space="0" w:color="auto"/>
              <w:right w:val="single" w:sz="4" w:space="0" w:color="auto"/>
            </w:tcBorders>
          </w:tcPr>
          <w:p w14:paraId="0FAA52F8" w14:textId="77777777" w:rsidR="009B75A0" w:rsidRPr="00851192" w:rsidRDefault="009B75A0"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143DA7DF" w14:textId="77777777" w:rsidR="009B75A0" w:rsidRPr="00851192" w:rsidRDefault="009B75A0" w:rsidP="00F27343">
            <w:pPr>
              <w:jc w:val="center"/>
              <w:rPr>
                <w:rFonts w:ascii="Arial" w:hAnsi="Arial" w:cs="Arial"/>
              </w:rPr>
            </w:pPr>
            <w:r w:rsidRPr="00851192">
              <w:rPr>
                <w:rFonts w:ascii="Arial" w:hAnsi="Arial" w:cs="Arial"/>
              </w:rPr>
              <w:t>1</w:t>
            </w:r>
          </w:p>
        </w:tc>
        <w:tc>
          <w:tcPr>
            <w:tcW w:w="2681" w:type="dxa"/>
            <w:tcBorders>
              <w:top w:val="single" w:sz="4" w:space="0" w:color="auto"/>
              <w:left w:val="single" w:sz="4" w:space="0" w:color="auto"/>
              <w:bottom w:val="single" w:sz="4" w:space="0" w:color="auto"/>
              <w:right w:val="single" w:sz="4" w:space="0" w:color="auto"/>
            </w:tcBorders>
            <w:hideMark/>
          </w:tcPr>
          <w:p w14:paraId="1C5DDD32" w14:textId="77777777" w:rsidR="009B75A0" w:rsidRPr="00851192" w:rsidRDefault="009B75A0" w:rsidP="00F27343">
            <w:pPr>
              <w:jc w:val="center"/>
              <w:rPr>
                <w:rFonts w:ascii="Arial" w:hAnsi="Arial" w:cs="Arial"/>
              </w:rPr>
            </w:pPr>
            <w:r w:rsidRPr="00851192">
              <w:rPr>
                <w:rFonts w:ascii="Arial" w:hAnsi="Arial" w:cs="Arial"/>
              </w:rPr>
              <w:t>Adequate</w:t>
            </w:r>
          </w:p>
        </w:tc>
        <w:tc>
          <w:tcPr>
            <w:tcW w:w="2706" w:type="dxa"/>
            <w:tcBorders>
              <w:top w:val="single" w:sz="4" w:space="0" w:color="auto"/>
              <w:left w:val="single" w:sz="4" w:space="0" w:color="auto"/>
              <w:bottom w:val="single" w:sz="4" w:space="0" w:color="auto"/>
              <w:right w:val="single" w:sz="4" w:space="0" w:color="auto"/>
            </w:tcBorders>
            <w:hideMark/>
          </w:tcPr>
          <w:p w14:paraId="57FB9011" w14:textId="77777777" w:rsidR="009B75A0" w:rsidRPr="00851192" w:rsidRDefault="009B75A0" w:rsidP="00F27343">
            <w:pPr>
              <w:rPr>
                <w:rFonts w:ascii="Arial" w:hAnsi="Arial" w:cs="Arial"/>
              </w:rPr>
            </w:pPr>
            <w:r w:rsidRPr="00851192">
              <w:rPr>
                <w:rFonts w:ascii="Arial" w:hAnsi="Arial" w:cs="Arial"/>
              </w:rPr>
              <w:t xml:space="preserve">Responsible gambling sponsorship is present on the site. Clear and stand out. </w:t>
            </w:r>
          </w:p>
        </w:tc>
      </w:tr>
      <w:tr w:rsidR="009B75A0" w:rsidRPr="00851192" w14:paraId="12CC132A"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7AD9385E" w14:textId="77777777" w:rsidR="009B75A0" w:rsidRPr="00851192" w:rsidRDefault="009B75A0" w:rsidP="00F27343">
            <w:pPr>
              <w:jc w:val="center"/>
              <w:rPr>
                <w:rFonts w:ascii="Arial" w:hAnsi="Arial" w:cs="Arial"/>
              </w:rPr>
            </w:pPr>
            <w:r w:rsidRPr="00851192">
              <w:rPr>
                <w:rFonts w:ascii="Arial" w:hAnsi="Arial" w:cs="Arial"/>
              </w:rPr>
              <w:t>External information on responsible gambling on site</w:t>
            </w:r>
          </w:p>
        </w:tc>
        <w:tc>
          <w:tcPr>
            <w:tcW w:w="1803" w:type="dxa"/>
            <w:tcBorders>
              <w:top w:val="single" w:sz="4" w:space="0" w:color="auto"/>
              <w:left w:val="single" w:sz="4" w:space="0" w:color="auto"/>
              <w:bottom w:val="single" w:sz="4" w:space="0" w:color="auto"/>
              <w:right w:val="single" w:sz="4" w:space="0" w:color="auto"/>
            </w:tcBorders>
          </w:tcPr>
          <w:p w14:paraId="7A545ACB" w14:textId="77777777" w:rsidR="009B75A0" w:rsidRPr="00851192" w:rsidRDefault="009B75A0"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112C0646" w14:textId="77777777" w:rsidR="009B75A0" w:rsidRPr="00851192" w:rsidRDefault="009B75A0" w:rsidP="00F27343">
            <w:pPr>
              <w:jc w:val="center"/>
              <w:rPr>
                <w:rFonts w:ascii="Arial" w:hAnsi="Arial" w:cs="Arial"/>
              </w:rPr>
            </w:pPr>
            <w:r w:rsidRPr="00851192">
              <w:rPr>
                <w:rFonts w:ascii="Arial" w:hAnsi="Arial" w:cs="Arial"/>
              </w:rPr>
              <w:t>0</w:t>
            </w:r>
          </w:p>
        </w:tc>
        <w:tc>
          <w:tcPr>
            <w:tcW w:w="2681" w:type="dxa"/>
            <w:tcBorders>
              <w:top w:val="single" w:sz="4" w:space="0" w:color="auto"/>
              <w:left w:val="single" w:sz="4" w:space="0" w:color="auto"/>
              <w:bottom w:val="single" w:sz="4" w:space="0" w:color="auto"/>
              <w:right w:val="single" w:sz="4" w:space="0" w:color="auto"/>
            </w:tcBorders>
            <w:hideMark/>
          </w:tcPr>
          <w:p w14:paraId="60F96DE4" w14:textId="77777777" w:rsidR="009B75A0" w:rsidRPr="00851192" w:rsidRDefault="009B75A0" w:rsidP="00F27343">
            <w:pPr>
              <w:jc w:val="center"/>
              <w:rPr>
                <w:rFonts w:ascii="Arial" w:hAnsi="Arial" w:cs="Arial"/>
              </w:rPr>
            </w:pPr>
            <w:r w:rsidRPr="00851192">
              <w:rPr>
                <w:rFonts w:ascii="Arial" w:hAnsi="Arial" w:cs="Arial"/>
              </w:rPr>
              <w:t>None</w:t>
            </w:r>
          </w:p>
        </w:tc>
        <w:tc>
          <w:tcPr>
            <w:tcW w:w="2706" w:type="dxa"/>
            <w:tcBorders>
              <w:top w:val="single" w:sz="4" w:space="0" w:color="auto"/>
              <w:left w:val="single" w:sz="4" w:space="0" w:color="auto"/>
              <w:bottom w:val="single" w:sz="4" w:space="0" w:color="auto"/>
              <w:right w:val="single" w:sz="4" w:space="0" w:color="auto"/>
            </w:tcBorders>
            <w:hideMark/>
          </w:tcPr>
          <w:p w14:paraId="5BF9A216" w14:textId="77777777" w:rsidR="009B75A0" w:rsidRPr="00851192" w:rsidRDefault="009B75A0" w:rsidP="00F27343">
            <w:pPr>
              <w:jc w:val="center"/>
              <w:rPr>
                <w:rFonts w:ascii="Arial" w:hAnsi="Arial" w:cs="Arial"/>
              </w:rPr>
            </w:pPr>
            <w:r w:rsidRPr="00851192">
              <w:rPr>
                <w:rFonts w:ascii="Arial" w:hAnsi="Arial" w:cs="Arial"/>
              </w:rPr>
              <w:t>N/A</w:t>
            </w:r>
          </w:p>
        </w:tc>
      </w:tr>
      <w:tr w:rsidR="009B75A0" w:rsidRPr="00851192" w14:paraId="722EBBE5"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3A07FEAF" w14:textId="77777777" w:rsidR="009B75A0" w:rsidRPr="00851192" w:rsidRDefault="009B75A0" w:rsidP="00F27343">
            <w:pPr>
              <w:jc w:val="center"/>
              <w:rPr>
                <w:rFonts w:ascii="Arial" w:hAnsi="Arial" w:cs="Arial"/>
              </w:rPr>
            </w:pPr>
            <w:r w:rsidRPr="00851192">
              <w:rPr>
                <w:rFonts w:ascii="Arial" w:hAnsi="Arial" w:cs="Arial"/>
              </w:rPr>
              <w:t>Clarity on responsible gambling assistance</w:t>
            </w:r>
          </w:p>
        </w:tc>
        <w:tc>
          <w:tcPr>
            <w:tcW w:w="1803" w:type="dxa"/>
            <w:tcBorders>
              <w:top w:val="single" w:sz="4" w:space="0" w:color="auto"/>
              <w:left w:val="single" w:sz="4" w:space="0" w:color="auto"/>
              <w:bottom w:val="single" w:sz="4" w:space="0" w:color="auto"/>
              <w:right w:val="single" w:sz="4" w:space="0" w:color="auto"/>
            </w:tcBorders>
          </w:tcPr>
          <w:p w14:paraId="5FC263E7" w14:textId="77777777" w:rsidR="009B75A0" w:rsidRPr="00851192" w:rsidRDefault="009B75A0"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3F7F7713" w14:textId="77777777" w:rsidR="009B75A0" w:rsidRPr="00851192" w:rsidRDefault="009B75A0" w:rsidP="00F27343">
            <w:pPr>
              <w:jc w:val="center"/>
              <w:rPr>
                <w:rFonts w:ascii="Arial" w:hAnsi="Arial" w:cs="Arial"/>
              </w:rPr>
            </w:pPr>
            <w:r w:rsidRPr="00851192">
              <w:rPr>
                <w:rFonts w:ascii="Arial" w:hAnsi="Arial" w:cs="Arial"/>
              </w:rPr>
              <w:t>1</w:t>
            </w:r>
          </w:p>
        </w:tc>
        <w:tc>
          <w:tcPr>
            <w:tcW w:w="2681" w:type="dxa"/>
            <w:tcBorders>
              <w:top w:val="single" w:sz="4" w:space="0" w:color="auto"/>
              <w:left w:val="single" w:sz="4" w:space="0" w:color="auto"/>
              <w:bottom w:val="single" w:sz="4" w:space="0" w:color="auto"/>
              <w:right w:val="single" w:sz="4" w:space="0" w:color="auto"/>
            </w:tcBorders>
            <w:hideMark/>
          </w:tcPr>
          <w:p w14:paraId="1807EBCC" w14:textId="77777777" w:rsidR="009B75A0" w:rsidRPr="00851192" w:rsidRDefault="009B75A0" w:rsidP="00F27343">
            <w:pPr>
              <w:jc w:val="center"/>
              <w:rPr>
                <w:rFonts w:ascii="Arial" w:hAnsi="Arial" w:cs="Arial"/>
              </w:rPr>
            </w:pPr>
            <w:r w:rsidRPr="00851192">
              <w:rPr>
                <w:rFonts w:ascii="Arial" w:hAnsi="Arial" w:cs="Arial"/>
              </w:rPr>
              <w:t>Low</w:t>
            </w:r>
          </w:p>
        </w:tc>
        <w:tc>
          <w:tcPr>
            <w:tcW w:w="2706" w:type="dxa"/>
            <w:tcBorders>
              <w:top w:val="single" w:sz="4" w:space="0" w:color="auto"/>
              <w:left w:val="single" w:sz="4" w:space="0" w:color="auto"/>
              <w:bottom w:val="single" w:sz="4" w:space="0" w:color="auto"/>
              <w:right w:val="single" w:sz="4" w:space="0" w:color="auto"/>
            </w:tcBorders>
            <w:hideMark/>
          </w:tcPr>
          <w:p w14:paraId="02EDA710" w14:textId="77777777" w:rsidR="009B75A0" w:rsidRPr="00851192" w:rsidRDefault="009B75A0" w:rsidP="00F27343">
            <w:pPr>
              <w:rPr>
                <w:rFonts w:ascii="Arial" w:hAnsi="Arial" w:cs="Arial"/>
              </w:rPr>
            </w:pPr>
            <w:r w:rsidRPr="00851192">
              <w:rPr>
                <w:rFonts w:ascii="Arial" w:hAnsi="Arial" w:cs="Arial"/>
              </w:rPr>
              <w:t xml:space="preserve">Home page is short and clear. Although information on responsible gambling is minimal, the comparison against other global gambling operators’ sites stands out with clarity through clear responsible gambling sponsorship. Logos are with colour and stand out. No scrolling is needed on home page to find information. </w:t>
            </w:r>
          </w:p>
        </w:tc>
      </w:tr>
    </w:tbl>
    <w:p w14:paraId="05EB2B0C" w14:textId="77777777" w:rsidR="009B75A0" w:rsidRPr="00851192" w:rsidRDefault="009B75A0" w:rsidP="009B75A0">
      <w:pPr>
        <w:rPr>
          <w:rFonts w:ascii="Arial" w:hAnsi="Arial" w:cs="Arial"/>
        </w:rPr>
      </w:pPr>
    </w:p>
    <w:p w14:paraId="29DF104D" w14:textId="77777777" w:rsidR="009B75A0" w:rsidRPr="00851192" w:rsidRDefault="009B75A0" w:rsidP="009B75A0">
      <w:pPr>
        <w:jc w:val="center"/>
        <w:rPr>
          <w:rFonts w:ascii="Arial" w:hAnsi="Arial" w:cs="Arial"/>
        </w:rPr>
      </w:pPr>
      <w:r w:rsidRPr="00851192">
        <w:rPr>
          <w:rFonts w:ascii="Arial" w:hAnsi="Arial" w:cs="Arial"/>
        </w:rPr>
        <w:t xml:space="preserve">Asia Gaming </w:t>
      </w:r>
    </w:p>
    <w:tbl>
      <w:tblPr>
        <w:tblStyle w:val="TableGrid"/>
        <w:tblW w:w="9918" w:type="dxa"/>
        <w:tblLook w:val="04A0" w:firstRow="1" w:lastRow="0" w:firstColumn="1" w:lastColumn="0" w:noHBand="0" w:noVBand="1"/>
      </w:tblPr>
      <w:tblGrid>
        <w:gridCol w:w="1800"/>
        <w:gridCol w:w="1785"/>
        <w:gridCol w:w="975"/>
        <w:gridCol w:w="2666"/>
        <w:gridCol w:w="2692"/>
      </w:tblGrid>
      <w:tr w:rsidR="009B75A0" w:rsidRPr="00851192" w14:paraId="566B9D62" w14:textId="77777777" w:rsidTr="00F27343">
        <w:trPr>
          <w:trHeight w:val="986"/>
        </w:trPr>
        <w:tc>
          <w:tcPr>
            <w:tcW w:w="1803" w:type="dxa"/>
            <w:tcBorders>
              <w:top w:val="single" w:sz="4" w:space="0" w:color="auto"/>
              <w:left w:val="single" w:sz="4" w:space="0" w:color="auto"/>
              <w:bottom w:val="single" w:sz="4" w:space="0" w:color="auto"/>
              <w:right w:val="single" w:sz="4" w:space="0" w:color="auto"/>
            </w:tcBorders>
            <w:hideMark/>
          </w:tcPr>
          <w:p w14:paraId="6D812280" w14:textId="77777777" w:rsidR="009B75A0" w:rsidRPr="00851192" w:rsidRDefault="009B75A0" w:rsidP="00F27343">
            <w:pPr>
              <w:jc w:val="center"/>
              <w:rPr>
                <w:rFonts w:ascii="Arial" w:hAnsi="Arial" w:cs="Arial"/>
              </w:rPr>
            </w:pPr>
            <w:r w:rsidRPr="00851192">
              <w:rPr>
                <w:rFonts w:ascii="Arial" w:hAnsi="Arial" w:cs="Arial"/>
              </w:rPr>
              <w:t>Categories</w:t>
            </w:r>
          </w:p>
        </w:tc>
        <w:tc>
          <w:tcPr>
            <w:tcW w:w="1803" w:type="dxa"/>
            <w:tcBorders>
              <w:top w:val="single" w:sz="4" w:space="0" w:color="auto"/>
              <w:left w:val="single" w:sz="4" w:space="0" w:color="auto"/>
              <w:bottom w:val="single" w:sz="4" w:space="0" w:color="auto"/>
              <w:right w:val="single" w:sz="4" w:space="0" w:color="auto"/>
            </w:tcBorders>
            <w:hideMark/>
          </w:tcPr>
          <w:p w14:paraId="0E15821D" w14:textId="77777777" w:rsidR="009B75A0" w:rsidRPr="00851192" w:rsidRDefault="009B75A0" w:rsidP="00F27343">
            <w:pPr>
              <w:jc w:val="center"/>
              <w:rPr>
                <w:rFonts w:ascii="Arial" w:hAnsi="Arial" w:cs="Arial"/>
                <w:b/>
              </w:rPr>
            </w:pPr>
            <w:r w:rsidRPr="00851192">
              <w:rPr>
                <w:rFonts w:ascii="Segoe UI Symbol" w:hAnsi="Segoe UI Symbol" w:cs="Segoe UI Symbol"/>
                <w:b/>
                <w:shd w:val="clear" w:color="auto" w:fill="FFFFFF"/>
              </w:rPr>
              <w:t>✓</w:t>
            </w:r>
            <w:r w:rsidRPr="00851192">
              <w:rPr>
                <w:rFonts w:ascii="Arial" w:hAnsi="Arial" w:cs="Arial"/>
                <w:b/>
                <w:shd w:val="clear" w:color="auto" w:fill="FFFFFF"/>
              </w:rPr>
              <w:t xml:space="preserve"> / </w:t>
            </w: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hideMark/>
          </w:tcPr>
          <w:p w14:paraId="6A2D3E84" w14:textId="77777777" w:rsidR="009B75A0" w:rsidRPr="00851192" w:rsidRDefault="009B75A0" w:rsidP="00F27343">
            <w:pPr>
              <w:jc w:val="center"/>
              <w:rPr>
                <w:rFonts w:ascii="Arial" w:hAnsi="Arial" w:cs="Arial"/>
              </w:rPr>
            </w:pPr>
            <w:r w:rsidRPr="00851192">
              <w:rPr>
                <w:rFonts w:ascii="Arial" w:hAnsi="Arial" w:cs="Arial"/>
              </w:rPr>
              <w:t>Present or Not Present</w:t>
            </w:r>
          </w:p>
        </w:tc>
        <w:tc>
          <w:tcPr>
            <w:tcW w:w="2681" w:type="dxa"/>
            <w:tcBorders>
              <w:top w:val="single" w:sz="4" w:space="0" w:color="auto"/>
              <w:left w:val="single" w:sz="4" w:space="0" w:color="auto"/>
              <w:bottom w:val="single" w:sz="4" w:space="0" w:color="auto"/>
              <w:right w:val="single" w:sz="4" w:space="0" w:color="auto"/>
            </w:tcBorders>
            <w:hideMark/>
          </w:tcPr>
          <w:p w14:paraId="64C43FB1" w14:textId="77777777" w:rsidR="009B75A0" w:rsidRPr="00851192" w:rsidRDefault="009B75A0" w:rsidP="00F27343">
            <w:pPr>
              <w:jc w:val="center"/>
              <w:rPr>
                <w:rFonts w:ascii="Arial" w:hAnsi="Arial" w:cs="Arial"/>
              </w:rPr>
            </w:pPr>
            <w:r w:rsidRPr="00851192">
              <w:rPr>
                <w:rFonts w:ascii="Arial" w:hAnsi="Arial" w:cs="Arial"/>
              </w:rPr>
              <w:t>Researchers rating for clear information</w:t>
            </w:r>
          </w:p>
        </w:tc>
        <w:tc>
          <w:tcPr>
            <w:tcW w:w="2706" w:type="dxa"/>
            <w:tcBorders>
              <w:top w:val="single" w:sz="4" w:space="0" w:color="auto"/>
              <w:left w:val="single" w:sz="4" w:space="0" w:color="auto"/>
              <w:bottom w:val="single" w:sz="4" w:space="0" w:color="auto"/>
              <w:right w:val="single" w:sz="4" w:space="0" w:color="auto"/>
            </w:tcBorders>
            <w:hideMark/>
          </w:tcPr>
          <w:p w14:paraId="57CC5F29" w14:textId="77777777" w:rsidR="009B75A0" w:rsidRPr="00851192" w:rsidRDefault="009B75A0" w:rsidP="00F27343">
            <w:pPr>
              <w:jc w:val="center"/>
              <w:rPr>
                <w:rFonts w:ascii="Arial" w:hAnsi="Arial" w:cs="Arial"/>
              </w:rPr>
            </w:pPr>
            <w:r w:rsidRPr="00851192">
              <w:rPr>
                <w:rFonts w:ascii="Arial" w:hAnsi="Arial" w:cs="Arial"/>
              </w:rPr>
              <w:t>Additional Comments</w:t>
            </w:r>
          </w:p>
        </w:tc>
      </w:tr>
      <w:tr w:rsidR="009B75A0" w:rsidRPr="00851192" w14:paraId="0A2F8DE7"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79818B3F" w14:textId="77777777" w:rsidR="009B75A0" w:rsidRPr="00851192" w:rsidRDefault="009B75A0" w:rsidP="00F27343">
            <w:pPr>
              <w:jc w:val="center"/>
              <w:rPr>
                <w:rFonts w:ascii="Arial" w:hAnsi="Arial" w:cs="Arial"/>
                <w:b/>
              </w:rPr>
            </w:pPr>
            <w:r w:rsidRPr="00851192">
              <w:rPr>
                <w:rFonts w:ascii="Arial" w:hAnsi="Arial" w:cs="Arial"/>
                <w:b/>
              </w:rPr>
              <w:t>Responsible Gambling</w:t>
            </w:r>
          </w:p>
        </w:tc>
        <w:tc>
          <w:tcPr>
            <w:tcW w:w="1803" w:type="dxa"/>
            <w:tcBorders>
              <w:top w:val="single" w:sz="4" w:space="0" w:color="auto"/>
              <w:left w:val="single" w:sz="4" w:space="0" w:color="auto"/>
              <w:bottom w:val="single" w:sz="4" w:space="0" w:color="auto"/>
              <w:right w:val="single" w:sz="4" w:space="0" w:color="auto"/>
            </w:tcBorders>
            <w:hideMark/>
          </w:tcPr>
          <w:p w14:paraId="79C7D722"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tcPr>
          <w:p w14:paraId="02953F3F" w14:textId="77777777" w:rsidR="009B75A0" w:rsidRPr="00851192" w:rsidRDefault="009B75A0" w:rsidP="00F27343">
            <w:pPr>
              <w:rPr>
                <w:rFonts w:ascii="Arial" w:hAnsi="Arial" w:cs="Arial"/>
              </w:rPr>
            </w:pPr>
          </w:p>
        </w:tc>
        <w:tc>
          <w:tcPr>
            <w:tcW w:w="2681" w:type="dxa"/>
            <w:tcBorders>
              <w:top w:val="single" w:sz="4" w:space="0" w:color="auto"/>
              <w:left w:val="single" w:sz="4" w:space="0" w:color="auto"/>
              <w:bottom w:val="single" w:sz="4" w:space="0" w:color="auto"/>
              <w:right w:val="single" w:sz="4" w:space="0" w:color="auto"/>
            </w:tcBorders>
          </w:tcPr>
          <w:p w14:paraId="32A80C29" w14:textId="77777777" w:rsidR="009B75A0" w:rsidRPr="00851192" w:rsidRDefault="009B75A0" w:rsidP="00F27343">
            <w:pPr>
              <w:rPr>
                <w:rFonts w:ascii="Arial" w:hAnsi="Arial" w:cs="Arial"/>
              </w:rPr>
            </w:pPr>
          </w:p>
        </w:tc>
        <w:tc>
          <w:tcPr>
            <w:tcW w:w="2706" w:type="dxa"/>
            <w:tcBorders>
              <w:top w:val="single" w:sz="4" w:space="0" w:color="auto"/>
              <w:left w:val="single" w:sz="4" w:space="0" w:color="auto"/>
              <w:bottom w:val="single" w:sz="4" w:space="0" w:color="auto"/>
              <w:right w:val="single" w:sz="4" w:space="0" w:color="auto"/>
            </w:tcBorders>
          </w:tcPr>
          <w:p w14:paraId="73E7442E" w14:textId="77777777" w:rsidR="009B75A0" w:rsidRPr="00851192" w:rsidRDefault="009B75A0" w:rsidP="00F27343">
            <w:pPr>
              <w:rPr>
                <w:rFonts w:ascii="Arial" w:hAnsi="Arial" w:cs="Arial"/>
              </w:rPr>
            </w:pPr>
          </w:p>
        </w:tc>
      </w:tr>
      <w:tr w:rsidR="009B75A0" w:rsidRPr="00851192" w14:paraId="135EC065"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5D638DB0" w14:textId="77777777" w:rsidR="009B75A0" w:rsidRPr="00851192" w:rsidRDefault="009B75A0" w:rsidP="00F27343">
            <w:pPr>
              <w:jc w:val="center"/>
              <w:rPr>
                <w:rFonts w:ascii="Arial" w:hAnsi="Arial" w:cs="Arial"/>
              </w:rPr>
            </w:pPr>
            <w:r w:rsidRPr="00851192">
              <w:rPr>
                <w:rFonts w:ascii="Arial" w:hAnsi="Arial" w:cs="Arial"/>
              </w:rPr>
              <w:t>Responsible gambling help</w:t>
            </w:r>
          </w:p>
        </w:tc>
        <w:tc>
          <w:tcPr>
            <w:tcW w:w="1803" w:type="dxa"/>
            <w:tcBorders>
              <w:top w:val="single" w:sz="4" w:space="0" w:color="auto"/>
              <w:left w:val="single" w:sz="4" w:space="0" w:color="auto"/>
              <w:bottom w:val="single" w:sz="4" w:space="0" w:color="auto"/>
              <w:right w:val="single" w:sz="4" w:space="0" w:color="auto"/>
            </w:tcBorders>
          </w:tcPr>
          <w:p w14:paraId="4F3F90AC" w14:textId="77777777" w:rsidR="009B75A0" w:rsidRPr="00851192" w:rsidRDefault="009B75A0"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549DFA5D" w14:textId="77777777" w:rsidR="009B75A0" w:rsidRPr="00851192" w:rsidRDefault="009B75A0" w:rsidP="00F27343">
            <w:pPr>
              <w:jc w:val="center"/>
              <w:rPr>
                <w:rFonts w:ascii="Arial" w:hAnsi="Arial" w:cs="Arial"/>
              </w:rPr>
            </w:pPr>
            <w:r w:rsidRPr="00851192">
              <w:rPr>
                <w:rFonts w:ascii="Arial" w:hAnsi="Arial" w:cs="Arial"/>
              </w:rPr>
              <w:t>0</w:t>
            </w:r>
          </w:p>
        </w:tc>
        <w:tc>
          <w:tcPr>
            <w:tcW w:w="2681" w:type="dxa"/>
            <w:tcBorders>
              <w:top w:val="single" w:sz="4" w:space="0" w:color="auto"/>
              <w:left w:val="single" w:sz="4" w:space="0" w:color="auto"/>
              <w:bottom w:val="single" w:sz="4" w:space="0" w:color="auto"/>
              <w:right w:val="single" w:sz="4" w:space="0" w:color="auto"/>
            </w:tcBorders>
            <w:hideMark/>
          </w:tcPr>
          <w:p w14:paraId="4B9AA07E" w14:textId="77777777" w:rsidR="009B75A0" w:rsidRPr="00851192" w:rsidRDefault="009B75A0" w:rsidP="00F27343">
            <w:pPr>
              <w:jc w:val="center"/>
              <w:rPr>
                <w:rFonts w:ascii="Arial" w:hAnsi="Arial" w:cs="Arial"/>
              </w:rPr>
            </w:pPr>
            <w:r w:rsidRPr="00851192">
              <w:rPr>
                <w:rFonts w:ascii="Arial" w:hAnsi="Arial" w:cs="Arial"/>
              </w:rPr>
              <w:t>None</w:t>
            </w:r>
          </w:p>
        </w:tc>
        <w:tc>
          <w:tcPr>
            <w:tcW w:w="2706" w:type="dxa"/>
            <w:tcBorders>
              <w:top w:val="single" w:sz="4" w:space="0" w:color="auto"/>
              <w:left w:val="single" w:sz="4" w:space="0" w:color="auto"/>
              <w:bottom w:val="single" w:sz="4" w:space="0" w:color="auto"/>
              <w:right w:val="single" w:sz="4" w:space="0" w:color="auto"/>
            </w:tcBorders>
            <w:hideMark/>
          </w:tcPr>
          <w:p w14:paraId="060BF265" w14:textId="77777777" w:rsidR="009B75A0" w:rsidRPr="00851192" w:rsidRDefault="009B75A0" w:rsidP="00F27343">
            <w:pPr>
              <w:rPr>
                <w:rFonts w:ascii="Arial" w:hAnsi="Arial" w:cs="Arial"/>
              </w:rPr>
            </w:pPr>
            <w:r w:rsidRPr="00851192">
              <w:rPr>
                <w:rFonts w:ascii="Arial" w:hAnsi="Arial" w:cs="Arial"/>
              </w:rPr>
              <w:t>No references towards gambling help. This could be due to the deregulatory standards on providing information regarding responsible gambling within China although being prohibited.</w:t>
            </w:r>
          </w:p>
        </w:tc>
      </w:tr>
      <w:tr w:rsidR="009B75A0" w:rsidRPr="00851192" w14:paraId="19853919"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3507A2E8" w14:textId="77777777" w:rsidR="009B75A0" w:rsidRPr="00851192" w:rsidRDefault="009B75A0" w:rsidP="00F27343">
            <w:pPr>
              <w:jc w:val="center"/>
              <w:rPr>
                <w:rFonts w:ascii="Arial" w:hAnsi="Arial" w:cs="Arial"/>
              </w:rPr>
            </w:pPr>
            <w:r w:rsidRPr="00851192">
              <w:rPr>
                <w:rFonts w:ascii="Arial" w:hAnsi="Arial" w:cs="Arial"/>
              </w:rPr>
              <w:t>Link on home page</w:t>
            </w:r>
          </w:p>
        </w:tc>
        <w:tc>
          <w:tcPr>
            <w:tcW w:w="1803" w:type="dxa"/>
            <w:tcBorders>
              <w:top w:val="single" w:sz="4" w:space="0" w:color="auto"/>
              <w:left w:val="single" w:sz="4" w:space="0" w:color="auto"/>
              <w:bottom w:val="single" w:sz="4" w:space="0" w:color="auto"/>
              <w:right w:val="single" w:sz="4" w:space="0" w:color="auto"/>
            </w:tcBorders>
          </w:tcPr>
          <w:p w14:paraId="01016B50" w14:textId="77777777" w:rsidR="009B75A0" w:rsidRPr="00851192" w:rsidRDefault="009B75A0"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2E7E850D" w14:textId="77777777" w:rsidR="009B75A0" w:rsidRPr="00851192" w:rsidRDefault="009B75A0" w:rsidP="00F27343">
            <w:pPr>
              <w:jc w:val="center"/>
              <w:rPr>
                <w:rFonts w:ascii="Arial" w:hAnsi="Arial" w:cs="Arial"/>
              </w:rPr>
            </w:pPr>
            <w:r w:rsidRPr="00851192">
              <w:rPr>
                <w:rFonts w:ascii="Arial" w:hAnsi="Arial" w:cs="Arial"/>
              </w:rPr>
              <w:t>0</w:t>
            </w:r>
          </w:p>
        </w:tc>
        <w:tc>
          <w:tcPr>
            <w:tcW w:w="2681" w:type="dxa"/>
            <w:tcBorders>
              <w:top w:val="single" w:sz="4" w:space="0" w:color="auto"/>
              <w:left w:val="single" w:sz="4" w:space="0" w:color="auto"/>
              <w:bottom w:val="single" w:sz="4" w:space="0" w:color="auto"/>
              <w:right w:val="single" w:sz="4" w:space="0" w:color="auto"/>
            </w:tcBorders>
            <w:hideMark/>
          </w:tcPr>
          <w:p w14:paraId="46C304E9" w14:textId="77777777" w:rsidR="009B75A0" w:rsidRPr="00851192" w:rsidRDefault="009B75A0" w:rsidP="00F27343">
            <w:pPr>
              <w:jc w:val="center"/>
              <w:rPr>
                <w:rFonts w:ascii="Arial" w:hAnsi="Arial" w:cs="Arial"/>
              </w:rPr>
            </w:pPr>
            <w:r w:rsidRPr="00851192">
              <w:rPr>
                <w:rFonts w:ascii="Arial" w:hAnsi="Arial" w:cs="Arial"/>
              </w:rPr>
              <w:t>None</w:t>
            </w:r>
          </w:p>
        </w:tc>
        <w:tc>
          <w:tcPr>
            <w:tcW w:w="2706" w:type="dxa"/>
            <w:tcBorders>
              <w:top w:val="single" w:sz="4" w:space="0" w:color="auto"/>
              <w:left w:val="single" w:sz="4" w:space="0" w:color="auto"/>
              <w:bottom w:val="single" w:sz="4" w:space="0" w:color="auto"/>
              <w:right w:val="single" w:sz="4" w:space="0" w:color="auto"/>
            </w:tcBorders>
            <w:hideMark/>
          </w:tcPr>
          <w:p w14:paraId="42A04509" w14:textId="77777777" w:rsidR="009B75A0" w:rsidRPr="00851192" w:rsidRDefault="009B75A0" w:rsidP="00F27343">
            <w:pPr>
              <w:jc w:val="center"/>
              <w:rPr>
                <w:rFonts w:ascii="Arial" w:hAnsi="Arial" w:cs="Arial"/>
              </w:rPr>
            </w:pPr>
            <w:r w:rsidRPr="00851192">
              <w:rPr>
                <w:rFonts w:ascii="Arial" w:hAnsi="Arial" w:cs="Arial"/>
              </w:rPr>
              <w:t>N/A</w:t>
            </w:r>
          </w:p>
        </w:tc>
      </w:tr>
      <w:tr w:rsidR="009B75A0" w:rsidRPr="00851192" w14:paraId="76CF23E3"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26EC2ADB" w14:textId="77777777" w:rsidR="009B75A0" w:rsidRPr="00851192" w:rsidRDefault="009B75A0" w:rsidP="00F27343">
            <w:pPr>
              <w:jc w:val="center"/>
              <w:rPr>
                <w:rFonts w:ascii="Arial" w:hAnsi="Arial" w:cs="Arial"/>
              </w:rPr>
            </w:pPr>
            <w:r w:rsidRPr="00851192">
              <w:rPr>
                <w:rFonts w:ascii="Arial" w:hAnsi="Arial" w:cs="Arial"/>
              </w:rPr>
              <w:t>Message on home page</w:t>
            </w:r>
          </w:p>
        </w:tc>
        <w:tc>
          <w:tcPr>
            <w:tcW w:w="1803" w:type="dxa"/>
            <w:tcBorders>
              <w:top w:val="single" w:sz="4" w:space="0" w:color="auto"/>
              <w:left w:val="single" w:sz="4" w:space="0" w:color="auto"/>
              <w:bottom w:val="single" w:sz="4" w:space="0" w:color="auto"/>
              <w:right w:val="single" w:sz="4" w:space="0" w:color="auto"/>
            </w:tcBorders>
          </w:tcPr>
          <w:p w14:paraId="4D34E4EE" w14:textId="77777777" w:rsidR="009B75A0" w:rsidRPr="00851192" w:rsidRDefault="009B75A0"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013F6258" w14:textId="77777777" w:rsidR="009B75A0" w:rsidRPr="00851192" w:rsidRDefault="009B75A0" w:rsidP="00F27343">
            <w:pPr>
              <w:jc w:val="center"/>
              <w:rPr>
                <w:rFonts w:ascii="Arial" w:hAnsi="Arial" w:cs="Arial"/>
              </w:rPr>
            </w:pPr>
            <w:r w:rsidRPr="00851192">
              <w:rPr>
                <w:rFonts w:ascii="Arial" w:hAnsi="Arial" w:cs="Arial"/>
              </w:rPr>
              <w:t>0</w:t>
            </w:r>
          </w:p>
        </w:tc>
        <w:tc>
          <w:tcPr>
            <w:tcW w:w="2681" w:type="dxa"/>
            <w:tcBorders>
              <w:top w:val="single" w:sz="4" w:space="0" w:color="auto"/>
              <w:left w:val="single" w:sz="4" w:space="0" w:color="auto"/>
              <w:bottom w:val="single" w:sz="4" w:space="0" w:color="auto"/>
              <w:right w:val="single" w:sz="4" w:space="0" w:color="auto"/>
            </w:tcBorders>
            <w:hideMark/>
          </w:tcPr>
          <w:p w14:paraId="77AC8250" w14:textId="77777777" w:rsidR="009B75A0" w:rsidRPr="00851192" w:rsidRDefault="009B75A0" w:rsidP="00F27343">
            <w:pPr>
              <w:jc w:val="center"/>
              <w:rPr>
                <w:rFonts w:ascii="Arial" w:hAnsi="Arial" w:cs="Arial"/>
              </w:rPr>
            </w:pPr>
            <w:r w:rsidRPr="00851192">
              <w:rPr>
                <w:rFonts w:ascii="Arial" w:hAnsi="Arial" w:cs="Arial"/>
              </w:rPr>
              <w:t>None</w:t>
            </w:r>
          </w:p>
        </w:tc>
        <w:tc>
          <w:tcPr>
            <w:tcW w:w="2706" w:type="dxa"/>
            <w:tcBorders>
              <w:top w:val="single" w:sz="4" w:space="0" w:color="auto"/>
              <w:left w:val="single" w:sz="4" w:space="0" w:color="auto"/>
              <w:bottom w:val="single" w:sz="4" w:space="0" w:color="auto"/>
              <w:right w:val="single" w:sz="4" w:space="0" w:color="auto"/>
            </w:tcBorders>
            <w:hideMark/>
          </w:tcPr>
          <w:p w14:paraId="301027AF" w14:textId="77777777" w:rsidR="009B75A0" w:rsidRPr="00851192" w:rsidRDefault="009B75A0" w:rsidP="00F27343">
            <w:pPr>
              <w:jc w:val="center"/>
              <w:rPr>
                <w:rFonts w:ascii="Arial" w:hAnsi="Arial" w:cs="Arial"/>
              </w:rPr>
            </w:pPr>
            <w:r w:rsidRPr="00851192">
              <w:rPr>
                <w:rFonts w:ascii="Arial" w:hAnsi="Arial" w:cs="Arial"/>
              </w:rPr>
              <w:t>N/A</w:t>
            </w:r>
          </w:p>
        </w:tc>
      </w:tr>
      <w:tr w:rsidR="009B75A0" w:rsidRPr="00851192" w14:paraId="5B2969CA"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03A0A7F7" w14:textId="77777777" w:rsidR="009B75A0" w:rsidRPr="00851192" w:rsidRDefault="009B75A0" w:rsidP="00F27343">
            <w:pPr>
              <w:jc w:val="center"/>
              <w:rPr>
                <w:rFonts w:ascii="Arial" w:hAnsi="Arial" w:cs="Arial"/>
              </w:rPr>
            </w:pPr>
            <w:r w:rsidRPr="00851192">
              <w:rPr>
                <w:rFonts w:ascii="Arial" w:hAnsi="Arial" w:cs="Arial"/>
              </w:rPr>
              <w:lastRenderedPageBreak/>
              <w:t>Responsible gambling sponsorship on site</w:t>
            </w:r>
          </w:p>
        </w:tc>
        <w:tc>
          <w:tcPr>
            <w:tcW w:w="1803" w:type="dxa"/>
            <w:tcBorders>
              <w:top w:val="single" w:sz="4" w:space="0" w:color="auto"/>
              <w:left w:val="single" w:sz="4" w:space="0" w:color="auto"/>
              <w:bottom w:val="single" w:sz="4" w:space="0" w:color="auto"/>
              <w:right w:val="single" w:sz="4" w:space="0" w:color="auto"/>
            </w:tcBorders>
          </w:tcPr>
          <w:p w14:paraId="455862CE" w14:textId="77777777" w:rsidR="009B75A0" w:rsidRPr="00851192" w:rsidRDefault="009B75A0"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6AD35BE4" w14:textId="77777777" w:rsidR="009B75A0" w:rsidRPr="00851192" w:rsidRDefault="009B75A0" w:rsidP="00F27343">
            <w:pPr>
              <w:jc w:val="center"/>
              <w:rPr>
                <w:rFonts w:ascii="Arial" w:hAnsi="Arial" w:cs="Arial"/>
              </w:rPr>
            </w:pPr>
            <w:r w:rsidRPr="00851192">
              <w:rPr>
                <w:rFonts w:ascii="Arial" w:hAnsi="Arial" w:cs="Arial"/>
              </w:rPr>
              <w:t>0</w:t>
            </w:r>
          </w:p>
        </w:tc>
        <w:tc>
          <w:tcPr>
            <w:tcW w:w="2681" w:type="dxa"/>
            <w:tcBorders>
              <w:top w:val="single" w:sz="4" w:space="0" w:color="auto"/>
              <w:left w:val="single" w:sz="4" w:space="0" w:color="auto"/>
              <w:bottom w:val="single" w:sz="4" w:space="0" w:color="auto"/>
              <w:right w:val="single" w:sz="4" w:space="0" w:color="auto"/>
            </w:tcBorders>
            <w:hideMark/>
          </w:tcPr>
          <w:p w14:paraId="4979189D" w14:textId="77777777" w:rsidR="009B75A0" w:rsidRPr="00851192" w:rsidRDefault="009B75A0" w:rsidP="00F27343">
            <w:pPr>
              <w:jc w:val="center"/>
              <w:rPr>
                <w:rFonts w:ascii="Arial" w:hAnsi="Arial" w:cs="Arial"/>
              </w:rPr>
            </w:pPr>
            <w:r w:rsidRPr="00851192">
              <w:rPr>
                <w:rFonts w:ascii="Arial" w:hAnsi="Arial" w:cs="Arial"/>
              </w:rPr>
              <w:t>None</w:t>
            </w:r>
          </w:p>
        </w:tc>
        <w:tc>
          <w:tcPr>
            <w:tcW w:w="2706" w:type="dxa"/>
            <w:tcBorders>
              <w:top w:val="single" w:sz="4" w:space="0" w:color="auto"/>
              <w:left w:val="single" w:sz="4" w:space="0" w:color="auto"/>
              <w:bottom w:val="single" w:sz="4" w:space="0" w:color="auto"/>
              <w:right w:val="single" w:sz="4" w:space="0" w:color="auto"/>
            </w:tcBorders>
            <w:hideMark/>
          </w:tcPr>
          <w:p w14:paraId="45B21055" w14:textId="77777777" w:rsidR="009B75A0" w:rsidRPr="00851192" w:rsidRDefault="009B75A0" w:rsidP="00F27343">
            <w:pPr>
              <w:jc w:val="center"/>
              <w:rPr>
                <w:rFonts w:ascii="Arial" w:hAnsi="Arial" w:cs="Arial"/>
              </w:rPr>
            </w:pPr>
            <w:r w:rsidRPr="00851192">
              <w:rPr>
                <w:rFonts w:ascii="Arial" w:hAnsi="Arial" w:cs="Arial"/>
              </w:rPr>
              <w:t>N/A</w:t>
            </w:r>
          </w:p>
        </w:tc>
      </w:tr>
      <w:tr w:rsidR="009B75A0" w:rsidRPr="00851192" w14:paraId="6A3E568B"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5ECC4D36" w14:textId="77777777" w:rsidR="009B75A0" w:rsidRPr="00851192" w:rsidRDefault="009B75A0" w:rsidP="00F27343">
            <w:pPr>
              <w:jc w:val="center"/>
              <w:rPr>
                <w:rFonts w:ascii="Arial" w:hAnsi="Arial" w:cs="Arial"/>
              </w:rPr>
            </w:pPr>
            <w:r w:rsidRPr="00851192">
              <w:rPr>
                <w:rFonts w:ascii="Arial" w:hAnsi="Arial" w:cs="Arial"/>
              </w:rPr>
              <w:t>External information on responsible gambling on site</w:t>
            </w:r>
          </w:p>
        </w:tc>
        <w:tc>
          <w:tcPr>
            <w:tcW w:w="1803" w:type="dxa"/>
            <w:tcBorders>
              <w:top w:val="single" w:sz="4" w:space="0" w:color="auto"/>
              <w:left w:val="single" w:sz="4" w:space="0" w:color="auto"/>
              <w:bottom w:val="single" w:sz="4" w:space="0" w:color="auto"/>
              <w:right w:val="single" w:sz="4" w:space="0" w:color="auto"/>
            </w:tcBorders>
          </w:tcPr>
          <w:p w14:paraId="5EBB00DC" w14:textId="77777777" w:rsidR="009B75A0" w:rsidRPr="00851192" w:rsidRDefault="009B75A0"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471CD582" w14:textId="77777777" w:rsidR="009B75A0" w:rsidRPr="00851192" w:rsidRDefault="009B75A0" w:rsidP="00F27343">
            <w:pPr>
              <w:jc w:val="center"/>
              <w:rPr>
                <w:rFonts w:ascii="Arial" w:hAnsi="Arial" w:cs="Arial"/>
              </w:rPr>
            </w:pPr>
            <w:r w:rsidRPr="00851192">
              <w:rPr>
                <w:rFonts w:ascii="Arial" w:hAnsi="Arial" w:cs="Arial"/>
              </w:rPr>
              <w:t>0</w:t>
            </w:r>
          </w:p>
        </w:tc>
        <w:tc>
          <w:tcPr>
            <w:tcW w:w="2681" w:type="dxa"/>
            <w:tcBorders>
              <w:top w:val="single" w:sz="4" w:space="0" w:color="auto"/>
              <w:left w:val="single" w:sz="4" w:space="0" w:color="auto"/>
              <w:bottom w:val="single" w:sz="4" w:space="0" w:color="auto"/>
              <w:right w:val="single" w:sz="4" w:space="0" w:color="auto"/>
            </w:tcBorders>
            <w:hideMark/>
          </w:tcPr>
          <w:p w14:paraId="3837B10C" w14:textId="77777777" w:rsidR="009B75A0" w:rsidRPr="00851192" w:rsidRDefault="009B75A0" w:rsidP="00F27343">
            <w:pPr>
              <w:jc w:val="center"/>
              <w:rPr>
                <w:rFonts w:ascii="Arial" w:hAnsi="Arial" w:cs="Arial"/>
              </w:rPr>
            </w:pPr>
            <w:r w:rsidRPr="00851192">
              <w:rPr>
                <w:rFonts w:ascii="Arial" w:hAnsi="Arial" w:cs="Arial"/>
              </w:rPr>
              <w:t>None</w:t>
            </w:r>
          </w:p>
        </w:tc>
        <w:tc>
          <w:tcPr>
            <w:tcW w:w="2706" w:type="dxa"/>
            <w:tcBorders>
              <w:top w:val="single" w:sz="4" w:space="0" w:color="auto"/>
              <w:left w:val="single" w:sz="4" w:space="0" w:color="auto"/>
              <w:bottom w:val="single" w:sz="4" w:space="0" w:color="auto"/>
              <w:right w:val="single" w:sz="4" w:space="0" w:color="auto"/>
            </w:tcBorders>
            <w:hideMark/>
          </w:tcPr>
          <w:p w14:paraId="4B8FE483" w14:textId="77777777" w:rsidR="009B75A0" w:rsidRPr="00851192" w:rsidRDefault="009B75A0" w:rsidP="00F27343">
            <w:pPr>
              <w:jc w:val="center"/>
              <w:rPr>
                <w:rFonts w:ascii="Arial" w:hAnsi="Arial" w:cs="Arial"/>
              </w:rPr>
            </w:pPr>
            <w:r w:rsidRPr="00851192">
              <w:rPr>
                <w:rFonts w:ascii="Arial" w:hAnsi="Arial" w:cs="Arial"/>
              </w:rPr>
              <w:t>N/A</w:t>
            </w:r>
          </w:p>
        </w:tc>
      </w:tr>
      <w:tr w:rsidR="009B75A0" w:rsidRPr="00851192" w14:paraId="45513867"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748B1458" w14:textId="77777777" w:rsidR="009B75A0" w:rsidRPr="00851192" w:rsidRDefault="009B75A0" w:rsidP="00F27343">
            <w:pPr>
              <w:jc w:val="center"/>
              <w:rPr>
                <w:rFonts w:ascii="Arial" w:hAnsi="Arial" w:cs="Arial"/>
              </w:rPr>
            </w:pPr>
            <w:r w:rsidRPr="00851192">
              <w:rPr>
                <w:rFonts w:ascii="Arial" w:hAnsi="Arial" w:cs="Arial"/>
              </w:rPr>
              <w:t>Clarity on responsible gambling assistance</w:t>
            </w:r>
          </w:p>
        </w:tc>
        <w:tc>
          <w:tcPr>
            <w:tcW w:w="1803" w:type="dxa"/>
            <w:tcBorders>
              <w:top w:val="single" w:sz="4" w:space="0" w:color="auto"/>
              <w:left w:val="single" w:sz="4" w:space="0" w:color="auto"/>
              <w:bottom w:val="single" w:sz="4" w:space="0" w:color="auto"/>
              <w:right w:val="single" w:sz="4" w:space="0" w:color="auto"/>
            </w:tcBorders>
          </w:tcPr>
          <w:p w14:paraId="16986BDB" w14:textId="77777777" w:rsidR="009B75A0" w:rsidRPr="00851192" w:rsidRDefault="009B75A0"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706E7C02" w14:textId="77777777" w:rsidR="009B75A0" w:rsidRPr="00851192" w:rsidRDefault="009B75A0" w:rsidP="00F27343">
            <w:pPr>
              <w:jc w:val="center"/>
              <w:rPr>
                <w:rFonts w:ascii="Arial" w:hAnsi="Arial" w:cs="Arial"/>
              </w:rPr>
            </w:pPr>
            <w:r w:rsidRPr="00851192">
              <w:rPr>
                <w:rFonts w:ascii="Arial" w:hAnsi="Arial" w:cs="Arial"/>
              </w:rPr>
              <w:t>0</w:t>
            </w:r>
          </w:p>
        </w:tc>
        <w:tc>
          <w:tcPr>
            <w:tcW w:w="2681" w:type="dxa"/>
            <w:tcBorders>
              <w:top w:val="single" w:sz="4" w:space="0" w:color="auto"/>
              <w:left w:val="single" w:sz="4" w:space="0" w:color="auto"/>
              <w:bottom w:val="single" w:sz="4" w:space="0" w:color="auto"/>
              <w:right w:val="single" w:sz="4" w:space="0" w:color="auto"/>
            </w:tcBorders>
            <w:hideMark/>
          </w:tcPr>
          <w:p w14:paraId="5998558E" w14:textId="77777777" w:rsidR="009B75A0" w:rsidRPr="00851192" w:rsidRDefault="009B75A0" w:rsidP="00F27343">
            <w:pPr>
              <w:jc w:val="center"/>
              <w:rPr>
                <w:rFonts w:ascii="Arial" w:hAnsi="Arial" w:cs="Arial"/>
              </w:rPr>
            </w:pPr>
            <w:r w:rsidRPr="00851192">
              <w:rPr>
                <w:rFonts w:ascii="Arial" w:hAnsi="Arial" w:cs="Arial"/>
              </w:rPr>
              <w:t>Low</w:t>
            </w:r>
          </w:p>
        </w:tc>
        <w:tc>
          <w:tcPr>
            <w:tcW w:w="2706" w:type="dxa"/>
            <w:tcBorders>
              <w:top w:val="single" w:sz="4" w:space="0" w:color="auto"/>
              <w:left w:val="single" w:sz="4" w:space="0" w:color="auto"/>
              <w:bottom w:val="single" w:sz="4" w:space="0" w:color="auto"/>
              <w:right w:val="single" w:sz="4" w:space="0" w:color="auto"/>
            </w:tcBorders>
            <w:hideMark/>
          </w:tcPr>
          <w:p w14:paraId="44171A1A" w14:textId="77777777" w:rsidR="009B75A0" w:rsidRPr="00851192" w:rsidRDefault="009B75A0" w:rsidP="00F27343">
            <w:pPr>
              <w:rPr>
                <w:rFonts w:ascii="Arial" w:hAnsi="Arial" w:cs="Arial"/>
              </w:rPr>
            </w:pPr>
            <w:r w:rsidRPr="00851192">
              <w:rPr>
                <w:rFonts w:ascii="Arial" w:hAnsi="Arial" w:cs="Arial"/>
              </w:rPr>
              <w:t xml:space="preserve">No references to responsible gambling on home page. The business model of Asia-gaming in comparison to other global gambling operators are vast. Asia-gaming and the manufactures of not only online betting but also app creation and development. Asia-gaming are also responsible for manufacturing slot machines. The promotion of gambling online is big with references to encourage people to join the new and young generation on an online platform within their editorial section. Because of laws present in China, there is no facility to gamble on the website, however, clear information on how to through developed apps are present. </w:t>
            </w:r>
          </w:p>
        </w:tc>
      </w:tr>
    </w:tbl>
    <w:p w14:paraId="0AB82DE0" w14:textId="3C1C53D8" w:rsidR="0017796E" w:rsidRPr="00851192" w:rsidRDefault="0017796E" w:rsidP="0017796E">
      <w:pPr>
        <w:rPr>
          <w:rFonts w:ascii="Arial" w:hAnsi="Arial" w:cs="Arial"/>
          <w:lang w:val="en-US"/>
        </w:rPr>
      </w:pPr>
    </w:p>
    <w:p w14:paraId="3726C4B8" w14:textId="46598EDC" w:rsidR="009B75A0" w:rsidRPr="00851192" w:rsidRDefault="009B75A0" w:rsidP="009B75A0">
      <w:pPr>
        <w:jc w:val="center"/>
        <w:rPr>
          <w:rFonts w:ascii="Arial" w:hAnsi="Arial" w:cs="Arial"/>
        </w:rPr>
      </w:pPr>
      <w:r w:rsidRPr="00851192">
        <w:rPr>
          <w:rFonts w:ascii="Arial" w:hAnsi="Arial" w:cs="Arial"/>
          <w:b/>
        </w:rPr>
        <w:t xml:space="preserve">Table </w:t>
      </w:r>
      <w:r w:rsidR="005E3EE2" w:rsidRPr="00851192">
        <w:rPr>
          <w:rFonts w:ascii="Arial" w:hAnsi="Arial" w:cs="Arial"/>
          <w:b/>
        </w:rPr>
        <w:t>7</w:t>
      </w:r>
      <w:r w:rsidRPr="00851192">
        <w:rPr>
          <w:rFonts w:ascii="Arial" w:hAnsi="Arial" w:cs="Arial"/>
          <w:b/>
        </w:rPr>
        <w:t>.</w:t>
      </w:r>
      <w:r w:rsidR="002D17EA" w:rsidRPr="00851192">
        <w:rPr>
          <w:rFonts w:ascii="Arial" w:hAnsi="Arial" w:cs="Arial"/>
          <w:b/>
        </w:rPr>
        <w:t>1</w:t>
      </w:r>
      <w:r w:rsidRPr="00851192">
        <w:rPr>
          <w:rFonts w:ascii="Arial" w:hAnsi="Arial" w:cs="Arial"/>
        </w:rPr>
        <w:t xml:space="preserve"> Global Gambling Operators and Fair Gaming </w:t>
      </w:r>
    </w:p>
    <w:p w14:paraId="6555A254" w14:textId="56564838" w:rsidR="009B75A0" w:rsidRPr="00851192" w:rsidRDefault="009B75A0" w:rsidP="009B75A0">
      <w:pPr>
        <w:jc w:val="center"/>
        <w:rPr>
          <w:rFonts w:ascii="Arial" w:hAnsi="Arial" w:cs="Arial"/>
        </w:rPr>
      </w:pPr>
      <w:r w:rsidRPr="00851192">
        <w:rPr>
          <w:rFonts w:ascii="Arial" w:hAnsi="Arial" w:cs="Arial"/>
        </w:rPr>
        <w:t>Bet365</w:t>
      </w:r>
    </w:p>
    <w:tbl>
      <w:tblPr>
        <w:tblStyle w:val="TableGrid"/>
        <w:tblW w:w="9918" w:type="dxa"/>
        <w:tblLook w:val="04A0" w:firstRow="1" w:lastRow="0" w:firstColumn="1" w:lastColumn="0" w:noHBand="0" w:noVBand="1"/>
      </w:tblPr>
      <w:tblGrid>
        <w:gridCol w:w="1797"/>
        <w:gridCol w:w="1786"/>
        <w:gridCol w:w="975"/>
        <w:gridCol w:w="2667"/>
        <w:gridCol w:w="2693"/>
      </w:tblGrid>
      <w:tr w:rsidR="009B75A0" w:rsidRPr="00851192" w14:paraId="26716CBC" w14:textId="77777777" w:rsidTr="00F27343">
        <w:trPr>
          <w:trHeight w:val="986"/>
        </w:trPr>
        <w:tc>
          <w:tcPr>
            <w:tcW w:w="1803" w:type="dxa"/>
            <w:tcBorders>
              <w:top w:val="single" w:sz="4" w:space="0" w:color="auto"/>
              <w:left w:val="single" w:sz="4" w:space="0" w:color="auto"/>
              <w:bottom w:val="single" w:sz="4" w:space="0" w:color="auto"/>
              <w:right w:val="single" w:sz="4" w:space="0" w:color="auto"/>
            </w:tcBorders>
            <w:hideMark/>
          </w:tcPr>
          <w:p w14:paraId="21416867" w14:textId="77777777" w:rsidR="009B75A0" w:rsidRPr="00851192" w:rsidRDefault="009B75A0" w:rsidP="00F27343">
            <w:pPr>
              <w:jc w:val="center"/>
              <w:rPr>
                <w:rFonts w:ascii="Arial" w:hAnsi="Arial" w:cs="Arial"/>
              </w:rPr>
            </w:pPr>
            <w:r w:rsidRPr="00851192">
              <w:rPr>
                <w:rFonts w:ascii="Arial" w:hAnsi="Arial" w:cs="Arial"/>
              </w:rPr>
              <w:t>Categories</w:t>
            </w:r>
          </w:p>
        </w:tc>
        <w:tc>
          <w:tcPr>
            <w:tcW w:w="1803" w:type="dxa"/>
            <w:tcBorders>
              <w:top w:val="single" w:sz="4" w:space="0" w:color="auto"/>
              <w:left w:val="single" w:sz="4" w:space="0" w:color="auto"/>
              <w:bottom w:val="single" w:sz="4" w:space="0" w:color="auto"/>
              <w:right w:val="single" w:sz="4" w:space="0" w:color="auto"/>
            </w:tcBorders>
            <w:hideMark/>
          </w:tcPr>
          <w:p w14:paraId="654F02DE" w14:textId="77777777" w:rsidR="009B75A0" w:rsidRPr="00851192" w:rsidRDefault="009B75A0" w:rsidP="00F27343">
            <w:pPr>
              <w:jc w:val="center"/>
              <w:rPr>
                <w:rFonts w:ascii="Arial" w:hAnsi="Arial" w:cs="Arial"/>
                <w:b/>
              </w:rPr>
            </w:pPr>
            <w:r w:rsidRPr="00851192">
              <w:rPr>
                <w:rFonts w:ascii="Segoe UI Symbol" w:hAnsi="Segoe UI Symbol" w:cs="Segoe UI Symbol"/>
                <w:b/>
                <w:shd w:val="clear" w:color="auto" w:fill="FFFFFF"/>
              </w:rPr>
              <w:t>✓</w:t>
            </w:r>
            <w:r w:rsidRPr="00851192">
              <w:rPr>
                <w:rFonts w:ascii="Arial" w:hAnsi="Arial" w:cs="Arial"/>
                <w:b/>
                <w:shd w:val="clear" w:color="auto" w:fill="FFFFFF"/>
              </w:rPr>
              <w:t xml:space="preserve"> / </w:t>
            </w: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hideMark/>
          </w:tcPr>
          <w:p w14:paraId="232DFB7B" w14:textId="77777777" w:rsidR="009B75A0" w:rsidRPr="00851192" w:rsidRDefault="009B75A0" w:rsidP="00F27343">
            <w:pPr>
              <w:jc w:val="center"/>
              <w:rPr>
                <w:rFonts w:ascii="Arial" w:hAnsi="Arial" w:cs="Arial"/>
              </w:rPr>
            </w:pPr>
            <w:r w:rsidRPr="00851192">
              <w:rPr>
                <w:rFonts w:ascii="Arial" w:hAnsi="Arial" w:cs="Arial"/>
              </w:rPr>
              <w:t>Present or Not Present</w:t>
            </w:r>
          </w:p>
        </w:tc>
        <w:tc>
          <w:tcPr>
            <w:tcW w:w="2681" w:type="dxa"/>
            <w:tcBorders>
              <w:top w:val="single" w:sz="4" w:space="0" w:color="auto"/>
              <w:left w:val="single" w:sz="4" w:space="0" w:color="auto"/>
              <w:bottom w:val="single" w:sz="4" w:space="0" w:color="auto"/>
              <w:right w:val="single" w:sz="4" w:space="0" w:color="auto"/>
            </w:tcBorders>
            <w:hideMark/>
          </w:tcPr>
          <w:p w14:paraId="361568B0" w14:textId="77777777" w:rsidR="009B75A0" w:rsidRPr="00851192" w:rsidRDefault="009B75A0" w:rsidP="00F27343">
            <w:pPr>
              <w:jc w:val="center"/>
              <w:rPr>
                <w:rFonts w:ascii="Arial" w:hAnsi="Arial" w:cs="Arial"/>
              </w:rPr>
            </w:pPr>
            <w:r w:rsidRPr="00851192">
              <w:rPr>
                <w:rFonts w:ascii="Arial" w:hAnsi="Arial" w:cs="Arial"/>
              </w:rPr>
              <w:t>Researchers rating for clear information</w:t>
            </w:r>
          </w:p>
        </w:tc>
        <w:tc>
          <w:tcPr>
            <w:tcW w:w="2706" w:type="dxa"/>
            <w:tcBorders>
              <w:top w:val="single" w:sz="4" w:space="0" w:color="auto"/>
              <w:left w:val="single" w:sz="4" w:space="0" w:color="auto"/>
              <w:bottom w:val="single" w:sz="4" w:space="0" w:color="auto"/>
              <w:right w:val="single" w:sz="4" w:space="0" w:color="auto"/>
            </w:tcBorders>
            <w:hideMark/>
          </w:tcPr>
          <w:p w14:paraId="6E5DFAF5" w14:textId="77777777" w:rsidR="009B75A0" w:rsidRPr="00851192" w:rsidRDefault="009B75A0" w:rsidP="00F27343">
            <w:pPr>
              <w:jc w:val="center"/>
              <w:rPr>
                <w:rFonts w:ascii="Arial" w:hAnsi="Arial" w:cs="Arial"/>
              </w:rPr>
            </w:pPr>
            <w:r w:rsidRPr="00851192">
              <w:rPr>
                <w:rFonts w:ascii="Arial" w:hAnsi="Arial" w:cs="Arial"/>
              </w:rPr>
              <w:t>Additional Comments</w:t>
            </w:r>
          </w:p>
        </w:tc>
      </w:tr>
      <w:tr w:rsidR="009B75A0" w:rsidRPr="00851192" w14:paraId="468686A2"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68653924" w14:textId="77777777" w:rsidR="009B75A0" w:rsidRPr="00851192" w:rsidRDefault="009B75A0" w:rsidP="00F27343">
            <w:pPr>
              <w:jc w:val="center"/>
              <w:rPr>
                <w:rFonts w:ascii="Arial" w:hAnsi="Arial" w:cs="Arial"/>
                <w:b/>
              </w:rPr>
            </w:pPr>
            <w:r w:rsidRPr="00851192">
              <w:rPr>
                <w:rFonts w:ascii="Arial" w:hAnsi="Arial" w:cs="Arial"/>
                <w:b/>
              </w:rPr>
              <w:t>Fair Gaming</w:t>
            </w:r>
          </w:p>
        </w:tc>
        <w:tc>
          <w:tcPr>
            <w:tcW w:w="1803" w:type="dxa"/>
            <w:tcBorders>
              <w:top w:val="single" w:sz="4" w:space="0" w:color="auto"/>
              <w:left w:val="single" w:sz="4" w:space="0" w:color="auto"/>
              <w:bottom w:val="single" w:sz="4" w:space="0" w:color="auto"/>
              <w:right w:val="single" w:sz="4" w:space="0" w:color="auto"/>
            </w:tcBorders>
            <w:hideMark/>
          </w:tcPr>
          <w:p w14:paraId="0E4E19E9"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tcPr>
          <w:p w14:paraId="6544AE79" w14:textId="77777777" w:rsidR="009B75A0" w:rsidRPr="00851192" w:rsidRDefault="009B75A0" w:rsidP="00F27343">
            <w:pPr>
              <w:rPr>
                <w:rFonts w:ascii="Arial" w:hAnsi="Arial" w:cs="Arial"/>
              </w:rPr>
            </w:pPr>
          </w:p>
        </w:tc>
        <w:tc>
          <w:tcPr>
            <w:tcW w:w="2681" w:type="dxa"/>
            <w:tcBorders>
              <w:top w:val="single" w:sz="4" w:space="0" w:color="auto"/>
              <w:left w:val="single" w:sz="4" w:space="0" w:color="auto"/>
              <w:bottom w:val="single" w:sz="4" w:space="0" w:color="auto"/>
              <w:right w:val="single" w:sz="4" w:space="0" w:color="auto"/>
            </w:tcBorders>
          </w:tcPr>
          <w:p w14:paraId="16E645F4" w14:textId="77777777" w:rsidR="009B75A0" w:rsidRPr="00851192" w:rsidRDefault="009B75A0" w:rsidP="00F27343">
            <w:pPr>
              <w:rPr>
                <w:rFonts w:ascii="Arial" w:hAnsi="Arial" w:cs="Arial"/>
              </w:rPr>
            </w:pPr>
          </w:p>
        </w:tc>
        <w:tc>
          <w:tcPr>
            <w:tcW w:w="2706" w:type="dxa"/>
            <w:tcBorders>
              <w:top w:val="single" w:sz="4" w:space="0" w:color="auto"/>
              <w:left w:val="single" w:sz="4" w:space="0" w:color="auto"/>
              <w:bottom w:val="single" w:sz="4" w:space="0" w:color="auto"/>
              <w:right w:val="single" w:sz="4" w:space="0" w:color="auto"/>
            </w:tcBorders>
          </w:tcPr>
          <w:p w14:paraId="1B166DFF" w14:textId="77777777" w:rsidR="009B75A0" w:rsidRPr="00851192" w:rsidRDefault="009B75A0" w:rsidP="00F27343">
            <w:pPr>
              <w:rPr>
                <w:rFonts w:ascii="Arial" w:hAnsi="Arial" w:cs="Arial"/>
              </w:rPr>
            </w:pPr>
          </w:p>
        </w:tc>
      </w:tr>
      <w:tr w:rsidR="009B75A0" w:rsidRPr="00851192" w14:paraId="2C5DAD57"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31E7DB21" w14:textId="77777777" w:rsidR="009B75A0" w:rsidRPr="00851192" w:rsidRDefault="009B75A0" w:rsidP="00F27343">
            <w:pPr>
              <w:jc w:val="center"/>
              <w:rPr>
                <w:rFonts w:ascii="Arial" w:hAnsi="Arial" w:cs="Arial"/>
              </w:rPr>
            </w:pPr>
            <w:r w:rsidRPr="00851192">
              <w:rPr>
                <w:rFonts w:ascii="Arial" w:hAnsi="Arial" w:cs="Arial"/>
              </w:rPr>
              <w:t>Information on fair Gaming</w:t>
            </w:r>
          </w:p>
        </w:tc>
        <w:tc>
          <w:tcPr>
            <w:tcW w:w="1803" w:type="dxa"/>
            <w:tcBorders>
              <w:top w:val="single" w:sz="4" w:space="0" w:color="auto"/>
              <w:left w:val="single" w:sz="4" w:space="0" w:color="auto"/>
              <w:bottom w:val="single" w:sz="4" w:space="0" w:color="auto"/>
              <w:right w:val="single" w:sz="4" w:space="0" w:color="auto"/>
            </w:tcBorders>
          </w:tcPr>
          <w:p w14:paraId="26CE5882" w14:textId="77777777" w:rsidR="009B75A0" w:rsidRPr="00851192" w:rsidRDefault="009B75A0"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55262CB2" w14:textId="77777777" w:rsidR="009B75A0" w:rsidRPr="00851192" w:rsidRDefault="009B75A0" w:rsidP="00F27343">
            <w:pPr>
              <w:jc w:val="center"/>
              <w:rPr>
                <w:rFonts w:ascii="Arial" w:hAnsi="Arial" w:cs="Arial"/>
              </w:rPr>
            </w:pPr>
            <w:r w:rsidRPr="00851192">
              <w:rPr>
                <w:rFonts w:ascii="Arial" w:hAnsi="Arial" w:cs="Arial"/>
              </w:rPr>
              <w:t>1</w:t>
            </w:r>
          </w:p>
        </w:tc>
        <w:tc>
          <w:tcPr>
            <w:tcW w:w="2681" w:type="dxa"/>
            <w:tcBorders>
              <w:top w:val="single" w:sz="4" w:space="0" w:color="auto"/>
              <w:left w:val="single" w:sz="4" w:space="0" w:color="auto"/>
              <w:bottom w:val="single" w:sz="4" w:space="0" w:color="auto"/>
              <w:right w:val="single" w:sz="4" w:space="0" w:color="auto"/>
            </w:tcBorders>
            <w:hideMark/>
          </w:tcPr>
          <w:p w14:paraId="348D8EB8" w14:textId="77777777" w:rsidR="009B75A0" w:rsidRPr="00851192" w:rsidRDefault="009B75A0" w:rsidP="00F27343">
            <w:pPr>
              <w:jc w:val="center"/>
              <w:rPr>
                <w:rFonts w:ascii="Arial" w:hAnsi="Arial" w:cs="Arial"/>
              </w:rPr>
            </w:pPr>
            <w:r w:rsidRPr="00851192">
              <w:rPr>
                <w:rFonts w:ascii="Arial" w:hAnsi="Arial" w:cs="Arial"/>
              </w:rPr>
              <w:t>Adequate</w:t>
            </w:r>
          </w:p>
        </w:tc>
        <w:tc>
          <w:tcPr>
            <w:tcW w:w="2706" w:type="dxa"/>
            <w:tcBorders>
              <w:top w:val="single" w:sz="4" w:space="0" w:color="auto"/>
              <w:left w:val="single" w:sz="4" w:space="0" w:color="auto"/>
              <w:bottom w:val="single" w:sz="4" w:space="0" w:color="auto"/>
              <w:right w:val="single" w:sz="4" w:space="0" w:color="auto"/>
            </w:tcBorders>
            <w:hideMark/>
          </w:tcPr>
          <w:p w14:paraId="35A8EB75" w14:textId="77777777" w:rsidR="009B75A0" w:rsidRPr="00851192" w:rsidRDefault="009B75A0" w:rsidP="00F27343">
            <w:pPr>
              <w:rPr>
                <w:rFonts w:ascii="Arial" w:hAnsi="Arial" w:cs="Arial"/>
              </w:rPr>
            </w:pPr>
            <w:r w:rsidRPr="00851192">
              <w:rPr>
                <w:rFonts w:ascii="Arial" w:hAnsi="Arial" w:cs="Arial"/>
              </w:rPr>
              <w:t xml:space="preserve">Adequate information on fair gaming. A break down on the different generated game types such as live casino and </w:t>
            </w:r>
            <w:r w:rsidRPr="00851192">
              <w:rPr>
                <w:rFonts w:ascii="Arial" w:hAnsi="Arial" w:cs="Arial"/>
              </w:rPr>
              <w:lastRenderedPageBreak/>
              <w:t xml:space="preserve">bingo. Games are consistent throughout different global URL access point links. Certificates present on webpage demonstrating certified and rigorous testing carried out on games. Virtual sports are tested separately by an independent body. </w:t>
            </w:r>
          </w:p>
        </w:tc>
      </w:tr>
    </w:tbl>
    <w:p w14:paraId="20CFA12C" w14:textId="77777777" w:rsidR="009B75A0" w:rsidRPr="00851192" w:rsidRDefault="009B75A0" w:rsidP="009B75A0">
      <w:pPr>
        <w:rPr>
          <w:rFonts w:ascii="Arial" w:hAnsi="Arial" w:cs="Arial"/>
        </w:rPr>
      </w:pPr>
    </w:p>
    <w:p w14:paraId="5866E229" w14:textId="77777777" w:rsidR="009B75A0" w:rsidRPr="00851192" w:rsidRDefault="009B75A0" w:rsidP="009B75A0">
      <w:pPr>
        <w:jc w:val="center"/>
        <w:rPr>
          <w:rFonts w:ascii="Arial" w:hAnsi="Arial" w:cs="Arial"/>
        </w:rPr>
      </w:pPr>
      <w:proofErr w:type="spellStart"/>
      <w:r w:rsidRPr="00851192">
        <w:rPr>
          <w:rFonts w:ascii="Arial" w:hAnsi="Arial" w:cs="Arial"/>
        </w:rPr>
        <w:t>Bwin</w:t>
      </w:r>
      <w:proofErr w:type="spellEnd"/>
    </w:p>
    <w:tbl>
      <w:tblPr>
        <w:tblStyle w:val="TableGrid"/>
        <w:tblW w:w="9918" w:type="dxa"/>
        <w:tblLook w:val="04A0" w:firstRow="1" w:lastRow="0" w:firstColumn="1" w:lastColumn="0" w:noHBand="0" w:noVBand="1"/>
      </w:tblPr>
      <w:tblGrid>
        <w:gridCol w:w="1797"/>
        <w:gridCol w:w="1786"/>
        <w:gridCol w:w="975"/>
        <w:gridCol w:w="2666"/>
        <w:gridCol w:w="2694"/>
      </w:tblGrid>
      <w:tr w:rsidR="009B75A0" w:rsidRPr="00851192" w14:paraId="66D7F0BF" w14:textId="77777777" w:rsidTr="00F27343">
        <w:trPr>
          <w:trHeight w:val="986"/>
        </w:trPr>
        <w:tc>
          <w:tcPr>
            <w:tcW w:w="1803" w:type="dxa"/>
            <w:tcBorders>
              <w:top w:val="single" w:sz="4" w:space="0" w:color="auto"/>
              <w:left w:val="single" w:sz="4" w:space="0" w:color="auto"/>
              <w:bottom w:val="single" w:sz="4" w:space="0" w:color="auto"/>
              <w:right w:val="single" w:sz="4" w:space="0" w:color="auto"/>
            </w:tcBorders>
            <w:hideMark/>
          </w:tcPr>
          <w:p w14:paraId="7DFF1C2D" w14:textId="77777777" w:rsidR="009B75A0" w:rsidRPr="00851192" w:rsidRDefault="009B75A0" w:rsidP="00F27343">
            <w:pPr>
              <w:jc w:val="center"/>
              <w:rPr>
                <w:rFonts w:ascii="Arial" w:hAnsi="Arial" w:cs="Arial"/>
              </w:rPr>
            </w:pPr>
            <w:r w:rsidRPr="00851192">
              <w:rPr>
                <w:rFonts w:ascii="Arial" w:hAnsi="Arial" w:cs="Arial"/>
              </w:rPr>
              <w:t>Categories</w:t>
            </w:r>
          </w:p>
        </w:tc>
        <w:tc>
          <w:tcPr>
            <w:tcW w:w="1803" w:type="dxa"/>
            <w:tcBorders>
              <w:top w:val="single" w:sz="4" w:space="0" w:color="auto"/>
              <w:left w:val="single" w:sz="4" w:space="0" w:color="auto"/>
              <w:bottom w:val="single" w:sz="4" w:space="0" w:color="auto"/>
              <w:right w:val="single" w:sz="4" w:space="0" w:color="auto"/>
            </w:tcBorders>
            <w:hideMark/>
          </w:tcPr>
          <w:p w14:paraId="3EE8F005" w14:textId="77777777" w:rsidR="009B75A0" w:rsidRPr="00851192" w:rsidRDefault="009B75A0" w:rsidP="00F27343">
            <w:pPr>
              <w:jc w:val="center"/>
              <w:rPr>
                <w:rFonts w:ascii="Arial" w:hAnsi="Arial" w:cs="Arial"/>
                <w:b/>
              </w:rPr>
            </w:pPr>
            <w:r w:rsidRPr="00851192">
              <w:rPr>
                <w:rFonts w:ascii="Segoe UI Symbol" w:hAnsi="Segoe UI Symbol" w:cs="Segoe UI Symbol"/>
                <w:b/>
                <w:shd w:val="clear" w:color="auto" w:fill="FFFFFF"/>
              </w:rPr>
              <w:t>✓</w:t>
            </w:r>
            <w:r w:rsidRPr="00851192">
              <w:rPr>
                <w:rFonts w:ascii="Arial" w:hAnsi="Arial" w:cs="Arial"/>
                <w:b/>
                <w:shd w:val="clear" w:color="auto" w:fill="FFFFFF"/>
              </w:rPr>
              <w:t xml:space="preserve"> / </w:t>
            </w: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hideMark/>
          </w:tcPr>
          <w:p w14:paraId="094CCB75" w14:textId="77777777" w:rsidR="009B75A0" w:rsidRPr="00851192" w:rsidRDefault="009B75A0" w:rsidP="00F27343">
            <w:pPr>
              <w:jc w:val="center"/>
              <w:rPr>
                <w:rFonts w:ascii="Arial" w:hAnsi="Arial" w:cs="Arial"/>
              </w:rPr>
            </w:pPr>
            <w:r w:rsidRPr="00851192">
              <w:rPr>
                <w:rFonts w:ascii="Arial" w:hAnsi="Arial" w:cs="Arial"/>
              </w:rPr>
              <w:t>Present or Not Present</w:t>
            </w:r>
          </w:p>
        </w:tc>
        <w:tc>
          <w:tcPr>
            <w:tcW w:w="2681" w:type="dxa"/>
            <w:tcBorders>
              <w:top w:val="single" w:sz="4" w:space="0" w:color="auto"/>
              <w:left w:val="single" w:sz="4" w:space="0" w:color="auto"/>
              <w:bottom w:val="single" w:sz="4" w:space="0" w:color="auto"/>
              <w:right w:val="single" w:sz="4" w:space="0" w:color="auto"/>
            </w:tcBorders>
            <w:hideMark/>
          </w:tcPr>
          <w:p w14:paraId="62260099" w14:textId="77777777" w:rsidR="009B75A0" w:rsidRPr="00851192" w:rsidRDefault="009B75A0" w:rsidP="00F27343">
            <w:pPr>
              <w:jc w:val="center"/>
              <w:rPr>
                <w:rFonts w:ascii="Arial" w:hAnsi="Arial" w:cs="Arial"/>
              </w:rPr>
            </w:pPr>
            <w:r w:rsidRPr="00851192">
              <w:rPr>
                <w:rFonts w:ascii="Arial" w:hAnsi="Arial" w:cs="Arial"/>
              </w:rPr>
              <w:t>Researchers rating for clear information</w:t>
            </w:r>
          </w:p>
        </w:tc>
        <w:tc>
          <w:tcPr>
            <w:tcW w:w="2706" w:type="dxa"/>
            <w:tcBorders>
              <w:top w:val="single" w:sz="4" w:space="0" w:color="auto"/>
              <w:left w:val="single" w:sz="4" w:space="0" w:color="auto"/>
              <w:bottom w:val="single" w:sz="4" w:space="0" w:color="auto"/>
              <w:right w:val="single" w:sz="4" w:space="0" w:color="auto"/>
            </w:tcBorders>
            <w:hideMark/>
          </w:tcPr>
          <w:p w14:paraId="66F1D727" w14:textId="77777777" w:rsidR="009B75A0" w:rsidRPr="00851192" w:rsidRDefault="009B75A0" w:rsidP="00F27343">
            <w:pPr>
              <w:jc w:val="center"/>
              <w:rPr>
                <w:rFonts w:ascii="Arial" w:hAnsi="Arial" w:cs="Arial"/>
              </w:rPr>
            </w:pPr>
            <w:r w:rsidRPr="00851192">
              <w:rPr>
                <w:rFonts w:ascii="Arial" w:hAnsi="Arial" w:cs="Arial"/>
              </w:rPr>
              <w:t>Additional Comments</w:t>
            </w:r>
          </w:p>
        </w:tc>
      </w:tr>
      <w:tr w:rsidR="009B75A0" w:rsidRPr="00851192" w14:paraId="7D2BB71D"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053BB9B7" w14:textId="77777777" w:rsidR="009B75A0" w:rsidRPr="00851192" w:rsidRDefault="009B75A0" w:rsidP="00F27343">
            <w:pPr>
              <w:jc w:val="center"/>
              <w:rPr>
                <w:rFonts w:ascii="Arial" w:hAnsi="Arial" w:cs="Arial"/>
                <w:b/>
              </w:rPr>
            </w:pPr>
            <w:r w:rsidRPr="00851192">
              <w:rPr>
                <w:rFonts w:ascii="Arial" w:hAnsi="Arial" w:cs="Arial"/>
                <w:b/>
              </w:rPr>
              <w:t>Fair Gaming</w:t>
            </w:r>
          </w:p>
        </w:tc>
        <w:tc>
          <w:tcPr>
            <w:tcW w:w="1803" w:type="dxa"/>
            <w:tcBorders>
              <w:top w:val="single" w:sz="4" w:space="0" w:color="auto"/>
              <w:left w:val="single" w:sz="4" w:space="0" w:color="auto"/>
              <w:bottom w:val="single" w:sz="4" w:space="0" w:color="auto"/>
              <w:right w:val="single" w:sz="4" w:space="0" w:color="auto"/>
            </w:tcBorders>
            <w:hideMark/>
          </w:tcPr>
          <w:p w14:paraId="5F504B4A"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tcPr>
          <w:p w14:paraId="26653D5C" w14:textId="77777777" w:rsidR="009B75A0" w:rsidRPr="00851192" w:rsidRDefault="009B75A0" w:rsidP="00F27343">
            <w:pPr>
              <w:rPr>
                <w:rFonts w:ascii="Arial" w:hAnsi="Arial" w:cs="Arial"/>
              </w:rPr>
            </w:pPr>
          </w:p>
        </w:tc>
        <w:tc>
          <w:tcPr>
            <w:tcW w:w="2681" w:type="dxa"/>
            <w:tcBorders>
              <w:top w:val="single" w:sz="4" w:space="0" w:color="auto"/>
              <w:left w:val="single" w:sz="4" w:space="0" w:color="auto"/>
              <w:bottom w:val="single" w:sz="4" w:space="0" w:color="auto"/>
              <w:right w:val="single" w:sz="4" w:space="0" w:color="auto"/>
            </w:tcBorders>
          </w:tcPr>
          <w:p w14:paraId="14EFC658" w14:textId="77777777" w:rsidR="009B75A0" w:rsidRPr="00851192" w:rsidRDefault="009B75A0" w:rsidP="00F27343">
            <w:pPr>
              <w:rPr>
                <w:rFonts w:ascii="Arial" w:hAnsi="Arial" w:cs="Arial"/>
              </w:rPr>
            </w:pPr>
          </w:p>
        </w:tc>
        <w:tc>
          <w:tcPr>
            <w:tcW w:w="2706" w:type="dxa"/>
            <w:tcBorders>
              <w:top w:val="single" w:sz="4" w:space="0" w:color="auto"/>
              <w:left w:val="single" w:sz="4" w:space="0" w:color="auto"/>
              <w:bottom w:val="single" w:sz="4" w:space="0" w:color="auto"/>
              <w:right w:val="single" w:sz="4" w:space="0" w:color="auto"/>
            </w:tcBorders>
          </w:tcPr>
          <w:p w14:paraId="4D98E23A" w14:textId="77777777" w:rsidR="009B75A0" w:rsidRPr="00851192" w:rsidRDefault="009B75A0" w:rsidP="00F27343">
            <w:pPr>
              <w:rPr>
                <w:rFonts w:ascii="Arial" w:hAnsi="Arial" w:cs="Arial"/>
              </w:rPr>
            </w:pPr>
          </w:p>
        </w:tc>
      </w:tr>
      <w:tr w:rsidR="009B75A0" w:rsidRPr="00851192" w14:paraId="0F73AFE8"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111CD0E5" w14:textId="77777777" w:rsidR="009B75A0" w:rsidRPr="00851192" w:rsidRDefault="009B75A0" w:rsidP="00F27343">
            <w:pPr>
              <w:jc w:val="center"/>
              <w:rPr>
                <w:rFonts w:ascii="Arial" w:hAnsi="Arial" w:cs="Arial"/>
              </w:rPr>
            </w:pPr>
            <w:r w:rsidRPr="00851192">
              <w:rPr>
                <w:rFonts w:ascii="Arial" w:hAnsi="Arial" w:cs="Arial"/>
              </w:rPr>
              <w:t>Information on fair Gaming</w:t>
            </w:r>
          </w:p>
        </w:tc>
        <w:tc>
          <w:tcPr>
            <w:tcW w:w="1803" w:type="dxa"/>
            <w:tcBorders>
              <w:top w:val="single" w:sz="4" w:space="0" w:color="auto"/>
              <w:left w:val="single" w:sz="4" w:space="0" w:color="auto"/>
              <w:bottom w:val="single" w:sz="4" w:space="0" w:color="auto"/>
              <w:right w:val="single" w:sz="4" w:space="0" w:color="auto"/>
            </w:tcBorders>
          </w:tcPr>
          <w:p w14:paraId="19869053" w14:textId="77777777" w:rsidR="009B75A0" w:rsidRPr="00851192" w:rsidRDefault="009B75A0"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5A5B7D4B" w14:textId="77777777" w:rsidR="009B75A0" w:rsidRPr="00851192" w:rsidRDefault="009B75A0" w:rsidP="00F27343">
            <w:pPr>
              <w:jc w:val="center"/>
              <w:rPr>
                <w:rFonts w:ascii="Arial" w:hAnsi="Arial" w:cs="Arial"/>
              </w:rPr>
            </w:pPr>
            <w:r w:rsidRPr="00851192">
              <w:rPr>
                <w:rFonts w:ascii="Arial" w:hAnsi="Arial" w:cs="Arial"/>
              </w:rPr>
              <w:t>1</w:t>
            </w:r>
          </w:p>
        </w:tc>
        <w:tc>
          <w:tcPr>
            <w:tcW w:w="2681" w:type="dxa"/>
            <w:tcBorders>
              <w:top w:val="single" w:sz="4" w:space="0" w:color="auto"/>
              <w:left w:val="single" w:sz="4" w:space="0" w:color="auto"/>
              <w:bottom w:val="single" w:sz="4" w:space="0" w:color="auto"/>
              <w:right w:val="single" w:sz="4" w:space="0" w:color="auto"/>
            </w:tcBorders>
            <w:hideMark/>
          </w:tcPr>
          <w:p w14:paraId="02E2887B" w14:textId="77777777" w:rsidR="009B75A0" w:rsidRPr="00851192" w:rsidRDefault="009B75A0" w:rsidP="00F27343">
            <w:pPr>
              <w:jc w:val="center"/>
              <w:rPr>
                <w:rFonts w:ascii="Arial" w:hAnsi="Arial" w:cs="Arial"/>
              </w:rPr>
            </w:pPr>
            <w:r w:rsidRPr="00851192">
              <w:rPr>
                <w:rFonts w:ascii="Arial" w:hAnsi="Arial" w:cs="Arial"/>
              </w:rPr>
              <w:t>Very High</w:t>
            </w:r>
          </w:p>
        </w:tc>
        <w:tc>
          <w:tcPr>
            <w:tcW w:w="2706" w:type="dxa"/>
            <w:tcBorders>
              <w:top w:val="single" w:sz="4" w:space="0" w:color="auto"/>
              <w:left w:val="single" w:sz="4" w:space="0" w:color="auto"/>
              <w:bottom w:val="single" w:sz="4" w:space="0" w:color="auto"/>
              <w:right w:val="single" w:sz="4" w:space="0" w:color="auto"/>
            </w:tcBorders>
            <w:hideMark/>
          </w:tcPr>
          <w:p w14:paraId="479A8F2E" w14:textId="77777777" w:rsidR="009B75A0" w:rsidRPr="00851192" w:rsidRDefault="009B75A0" w:rsidP="00F27343">
            <w:pPr>
              <w:rPr>
                <w:rFonts w:ascii="Arial" w:hAnsi="Arial" w:cs="Arial"/>
              </w:rPr>
            </w:pPr>
            <w:r w:rsidRPr="00851192">
              <w:rPr>
                <w:rFonts w:ascii="Arial" w:hAnsi="Arial" w:cs="Arial"/>
              </w:rPr>
              <w:t xml:space="preserve">Very comprehensive information on fair gaming. A break down on the different generated game types such as live casino and bingo. Games are consistent throughout different global URL access point links. Certificates present on webpage demonstrating certified and rigorous testing carried out on games. Auditing reports are also present on the webpage which can be accessed by all stakeholders. Independent auditing reports on each game type are also accessible. Virtual sports are tested separately by an independent body. </w:t>
            </w:r>
          </w:p>
        </w:tc>
      </w:tr>
    </w:tbl>
    <w:p w14:paraId="643019BE" w14:textId="77777777" w:rsidR="009B75A0" w:rsidRPr="00851192" w:rsidRDefault="009B75A0" w:rsidP="009B75A0">
      <w:pPr>
        <w:jc w:val="center"/>
        <w:rPr>
          <w:rFonts w:ascii="Arial" w:hAnsi="Arial" w:cs="Arial"/>
        </w:rPr>
      </w:pPr>
    </w:p>
    <w:p w14:paraId="24586C49" w14:textId="77777777" w:rsidR="009B75A0" w:rsidRPr="00851192" w:rsidRDefault="009B75A0" w:rsidP="009B75A0">
      <w:pPr>
        <w:jc w:val="center"/>
        <w:rPr>
          <w:rFonts w:ascii="Arial" w:hAnsi="Arial" w:cs="Arial"/>
        </w:rPr>
      </w:pPr>
      <w:r w:rsidRPr="00851192">
        <w:rPr>
          <w:rFonts w:ascii="Arial" w:hAnsi="Arial" w:cs="Arial"/>
        </w:rPr>
        <w:t>Asia Gaming</w:t>
      </w:r>
    </w:p>
    <w:tbl>
      <w:tblPr>
        <w:tblStyle w:val="TableGrid"/>
        <w:tblW w:w="9918" w:type="dxa"/>
        <w:tblLook w:val="04A0" w:firstRow="1" w:lastRow="0" w:firstColumn="1" w:lastColumn="0" w:noHBand="0" w:noVBand="1"/>
      </w:tblPr>
      <w:tblGrid>
        <w:gridCol w:w="1797"/>
        <w:gridCol w:w="1786"/>
        <w:gridCol w:w="975"/>
        <w:gridCol w:w="2667"/>
        <w:gridCol w:w="2693"/>
      </w:tblGrid>
      <w:tr w:rsidR="009B75A0" w:rsidRPr="00851192" w14:paraId="7C7205F0" w14:textId="77777777" w:rsidTr="00F27343">
        <w:trPr>
          <w:trHeight w:val="986"/>
        </w:trPr>
        <w:tc>
          <w:tcPr>
            <w:tcW w:w="1803" w:type="dxa"/>
            <w:tcBorders>
              <w:top w:val="single" w:sz="4" w:space="0" w:color="auto"/>
              <w:left w:val="single" w:sz="4" w:space="0" w:color="auto"/>
              <w:bottom w:val="single" w:sz="4" w:space="0" w:color="auto"/>
              <w:right w:val="single" w:sz="4" w:space="0" w:color="auto"/>
            </w:tcBorders>
            <w:hideMark/>
          </w:tcPr>
          <w:p w14:paraId="6F3EF353" w14:textId="77777777" w:rsidR="009B75A0" w:rsidRPr="00851192" w:rsidRDefault="009B75A0" w:rsidP="00F27343">
            <w:pPr>
              <w:jc w:val="center"/>
              <w:rPr>
                <w:rFonts w:ascii="Arial" w:hAnsi="Arial" w:cs="Arial"/>
              </w:rPr>
            </w:pPr>
            <w:r w:rsidRPr="00851192">
              <w:rPr>
                <w:rFonts w:ascii="Arial" w:hAnsi="Arial" w:cs="Arial"/>
              </w:rPr>
              <w:t>Categories</w:t>
            </w:r>
          </w:p>
        </w:tc>
        <w:tc>
          <w:tcPr>
            <w:tcW w:w="1803" w:type="dxa"/>
            <w:tcBorders>
              <w:top w:val="single" w:sz="4" w:space="0" w:color="auto"/>
              <w:left w:val="single" w:sz="4" w:space="0" w:color="auto"/>
              <w:bottom w:val="single" w:sz="4" w:space="0" w:color="auto"/>
              <w:right w:val="single" w:sz="4" w:space="0" w:color="auto"/>
            </w:tcBorders>
            <w:hideMark/>
          </w:tcPr>
          <w:p w14:paraId="5D09A9F1" w14:textId="77777777" w:rsidR="009B75A0" w:rsidRPr="00851192" w:rsidRDefault="009B75A0" w:rsidP="00F27343">
            <w:pPr>
              <w:jc w:val="center"/>
              <w:rPr>
                <w:rFonts w:ascii="Arial" w:hAnsi="Arial" w:cs="Arial"/>
                <w:b/>
              </w:rPr>
            </w:pPr>
            <w:r w:rsidRPr="00851192">
              <w:rPr>
                <w:rFonts w:ascii="Segoe UI Symbol" w:hAnsi="Segoe UI Symbol" w:cs="Segoe UI Symbol"/>
                <w:b/>
                <w:shd w:val="clear" w:color="auto" w:fill="FFFFFF"/>
              </w:rPr>
              <w:t>✓</w:t>
            </w:r>
            <w:r w:rsidRPr="00851192">
              <w:rPr>
                <w:rFonts w:ascii="Arial" w:hAnsi="Arial" w:cs="Arial"/>
                <w:b/>
                <w:shd w:val="clear" w:color="auto" w:fill="FFFFFF"/>
              </w:rPr>
              <w:t xml:space="preserve"> / </w:t>
            </w: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hideMark/>
          </w:tcPr>
          <w:p w14:paraId="56C966E1" w14:textId="77777777" w:rsidR="009B75A0" w:rsidRPr="00851192" w:rsidRDefault="009B75A0" w:rsidP="00F27343">
            <w:pPr>
              <w:jc w:val="center"/>
              <w:rPr>
                <w:rFonts w:ascii="Arial" w:hAnsi="Arial" w:cs="Arial"/>
              </w:rPr>
            </w:pPr>
            <w:r w:rsidRPr="00851192">
              <w:rPr>
                <w:rFonts w:ascii="Arial" w:hAnsi="Arial" w:cs="Arial"/>
              </w:rPr>
              <w:t>Present or Not Present</w:t>
            </w:r>
          </w:p>
        </w:tc>
        <w:tc>
          <w:tcPr>
            <w:tcW w:w="2681" w:type="dxa"/>
            <w:tcBorders>
              <w:top w:val="single" w:sz="4" w:space="0" w:color="auto"/>
              <w:left w:val="single" w:sz="4" w:space="0" w:color="auto"/>
              <w:bottom w:val="single" w:sz="4" w:space="0" w:color="auto"/>
              <w:right w:val="single" w:sz="4" w:space="0" w:color="auto"/>
            </w:tcBorders>
            <w:hideMark/>
          </w:tcPr>
          <w:p w14:paraId="077CA7E6" w14:textId="77777777" w:rsidR="009B75A0" w:rsidRPr="00851192" w:rsidRDefault="009B75A0" w:rsidP="00F27343">
            <w:pPr>
              <w:jc w:val="center"/>
              <w:rPr>
                <w:rFonts w:ascii="Arial" w:hAnsi="Arial" w:cs="Arial"/>
              </w:rPr>
            </w:pPr>
            <w:r w:rsidRPr="00851192">
              <w:rPr>
                <w:rFonts w:ascii="Arial" w:hAnsi="Arial" w:cs="Arial"/>
              </w:rPr>
              <w:t>Researchers rating for clear information</w:t>
            </w:r>
          </w:p>
        </w:tc>
        <w:tc>
          <w:tcPr>
            <w:tcW w:w="2706" w:type="dxa"/>
            <w:tcBorders>
              <w:top w:val="single" w:sz="4" w:space="0" w:color="auto"/>
              <w:left w:val="single" w:sz="4" w:space="0" w:color="auto"/>
              <w:bottom w:val="single" w:sz="4" w:space="0" w:color="auto"/>
              <w:right w:val="single" w:sz="4" w:space="0" w:color="auto"/>
            </w:tcBorders>
            <w:hideMark/>
          </w:tcPr>
          <w:p w14:paraId="5441D415" w14:textId="77777777" w:rsidR="009B75A0" w:rsidRPr="00851192" w:rsidRDefault="009B75A0" w:rsidP="00F27343">
            <w:pPr>
              <w:jc w:val="center"/>
              <w:rPr>
                <w:rFonts w:ascii="Arial" w:hAnsi="Arial" w:cs="Arial"/>
              </w:rPr>
            </w:pPr>
            <w:r w:rsidRPr="00851192">
              <w:rPr>
                <w:rFonts w:ascii="Arial" w:hAnsi="Arial" w:cs="Arial"/>
              </w:rPr>
              <w:t>Additional Comments</w:t>
            </w:r>
          </w:p>
        </w:tc>
      </w:tr>
      <w:tr w:rsidR="009B75A0" w:rsidRPr="00851192" w14:paraId="476C7B6E"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3D5AC000" w14:textId="77777777" w:rsidR="009B75A0" w:rsidRPr="00851192" w:rsidRDefault="009B75A0" w:rsidP="00F27343">
            <w:pPr>
              <w:jc w:val="center"/>
              <w:rPr>
                <w:rFonts w:ascii="Arial" w:hAnsi="Arial" w:cs="Arial"/>
                <w:b/>
              </w:rPr>
            </w:pPr>
            <w:r w:rsidRPr="00851192">
              <w:rPr>
                <w:rFonts w:ascii="Arial" w:hAnsi="Arial" w:cs="Arial"/>
                <w:b/>
              </w:rPr>
              <w:t>Fair Gaming</w:t>
            </w:r>
          </w:p>
        </w:tc>
        <w:tc>
          <w:tcPr>
            <w:tcW w:w="1803" w:type="dxa"/>
            <w:tcBorders>
              <w:top w:val="single" w:sz="4" w:space="0" w:color="auto"/>
              <w:left w:val="single" w:sz="4" w:space="0" w:color="auto"/>
              <w:bottom w:val="single" w:sz="4" w:space="0" w:color="auto"/>
              <w:right w:val="single" w:sz="4" w:space="0" w:color="auto"/>
            </w:tcBorders>
            <w:hideMark/>
          </w:tcPr>
          <w:p w14:paraId="5D84848F"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tcPr>
          <w:p w14:paraId="3FDE4382" w14:textId="77777777" w:rsidR="009B75A0" w:rsidRPr="00851192" w:rsidRDefault="009B75A0" w:rsidP="00F27343">
            <w:pPr>
              <w:rPr>
                <w:rFonts w:ascii="Arial" w:hAnsi="Arial" w:cs="Arial"/>
              </w:rPr>
            </w:pPr>
          </w:p>
        </w:tc>
        <w:tc>
          <w:tcPr>
            <w:tcW w:w="2681" w:type="dxa"/>
            <w:tcBorders>
              <w:top w:val="single" w:sz="4" w:space="0" w:color="auto"/>
              <w:left w:val="single" w:sz="4" w:space="0" w:color="auto"/>
              <w:bottom w:val="single" w:sz="4" w:space="0" w:color="auto"/>
              <w:right w:val="single" w:sz="4" w:space="0" w:color="auto"/>
            </w:tcBorders>
          </w:tcPr>
          <w:p w14:paraId="4CD098BC" w14:textId="77777777" w:rsidR="009B75A0" w:rsidRPr="00851192" w:rsidRDefault="009B75A0" w:rsidP="00F27343">
            <w:pPr>
              <w:rPr>
                <w:rFonts w:ascii="Arial" w:hAnsi="Arial" w:cs="Arial"/>
              </w:rPr>
            </w:pPr>
          </w:p>
        </w:tc>
        <w:tc>
          <w:tcPr>
            <w:tcW w:w="2706" w:type="dxa"/>
            <w:tcBorders>
              <w:top w:val="single" w:sz="4" w:space="0" w:color="auto"/>
              <w:left w:val="single" w:sz="4" w:space="0" w:color="auto"/>
              <w:bottom w:val="single" w:sz="4" w:space="0" w:color="auto"/>
              <w:right w:val="single" w:sz="4" w:space="0" w:color="auto"/>
            </w:tcBorders>
          </w:tcPr>
          <w:p w14:paraId="79803B36" w14:textId="77777777" w:rsidR="009B75A0" w:rsidRPr="00851192" w:rsidRDefault="009B75A0" w:rsidP="00F27343">
            <w:pPr>
              <w:rPr>
                <w:rFonts w:ascii="Arial" w:hAnsi="Arial" w:cs="Arial"/>
              </w:rPr>
            </w:pPr>
          </w:p>
        </w:tc>
      </w:tr>
      <w:tr w:rsidR="009B75A0" w:rsidRPr="00851192" w14:paraId="6A24FE2E"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27C80BB2" w14:textId="77777777" w:rsidR="009B75A0" w:rsidRPr="00851192" w:rsidRDefault="009B75A0" w:rsidP="00F27343">
            <w:pPr>
              <w:jc w:val="center"/>
              <w:rPr>
                <w:rFonts w:ascii="Arial" w:hAnsi="Arial" w:cs="Arial"/>
              </w:rPr>
            </w:pPr>
            <w:r w:rsidRPr="00851192">
              <w:rPr>
                <w:rFonts w:ascii="Arial" w:hAnsi="Arial" w:cs="Arial"/>
              </w:rPr>
              <w:lastRenderedPageBreak/>
              <w:t>Information on fair Gaming</w:t>
            </w:r>
          </w:p>
        </w:tc>
        <w:tc>
          <w:tcPr>
            <w:tcW w:w="1803" w:type="dxa"/>
            <w:tcBorders>
              <w:top w:val="single" w:sz="4" w:space="0" w:color="auto"/>
              <w:left w:val="single" w:sz="4" w:space="0" w:color="auto"/>
              <w:bottom w:val="single" w:sz="4" w:space="0" w:color="auto"/>
              <w:right w:val="single" w:sz="4" w:space="0" w:color="auto"/>
            </w:tcBorders>
          </w:tcPr>
          <w:p w14:paraId="4075723F" w14:textId="77777777" w:rsidR="009B75A0" w:rsidRPr="00851192" w:rsidRDefault="009B75A0"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74ACB8C5" w14:textId="77777777" w:rsidR="009B75A0" w:rsidRPr="00851192" w:rsidRDefault="009B75A0" w:rsidP="00F27343">
            <w:pPr>
              <w:jc w:val="center"/>
              <w:rPr>
                <w:rFonts w:ascii="Arial" w:hAnsi="Arial" w:cs="Arial"/>
              </w:rPr>
            </w:pPr>
            <w:r w:rsidRPr="00851192">
              <w:rPr>
                <w:rFonts w:ascii="Arial" w:hAnsi="Arial" w:cs="Arial"/>
              </w:rPr>
              <w:t>0</w:t>
            </w:r>
          </w:p>
        </w:tc>
        <w:tc>
          <w:tcPr>
            <w:tcW w:w="2681" w:type="dxa"/>
            <w:tcBorders>
              <w:top w:val="single" w:sz="4" w:space="0" w:color="auto"/>
              <w:left w:val="single" w:sz="4" w:space="0" w:color="auto"/>
              <w:bottom w:val="single" w:sz="4" w:space="0" w:color="auto"/>
              <w:right w:val="single" w:sz="4" w:space="0" w:color="auto"/>
            </w:tcBorders>
            <w:hideMark/>
          </w:tcPr>
          <w:p w14:paraId="21394E43" w14:textId="77777777" w:rsidR="009B75A0" w:rsidRPr="00851192" w:rsidRDefault="009B75A0" w:rsidP="00F27343">
            <w:pPr>
              <w:jc w:val="center"/>
              <w:rPr>
                <w:rFonts w:ascii="Arial" w:hAnsi="Arial" w:cs="Arial"/>
              </w:rPr>
            </w:pPr>
            <w:r w:rsidRPr="00851192">
              <w:rPr>
                <w:rFonts w:ascii="Arial" w:hAnsi="Arial" w:cs="Arial"/>
              </w:rPr>
              <w:t>None</w:t>
            </w:r>
          </w:p>
        </w:tc>
        <w:tc>
          <w:tcPr>
            <w:tcW w:w="2706" w:type="dxa"/>
            <w:tcBorders>
              <w:top w:val="single" w:sz="4" w:space="0" w:color="auto"/>
              <w:left w:val="single" w:sz="4" w:space="0" w:color="auto"/>
              <w:bottom w:val="single" w:sz="4" w:space="0" w:color="auto"/>
              <w:right w:val="single" w:sz="4" w:space="0" w:color="auto"/>
            </w:tcBorders>
            <w:hideMark/>
          </w:tcPr>
          <w:p w14:paraId="2E7C1B03" w14:textId="77777777" w:rsidR="009B75A0" w:rsidRPr="00851192" w:rsidRDefault="009B75A0" w:rsidP="00F27343">
            <w:pPr>
              <w:rPr>
                <w:rFonts w:ascii="Arial" w:hAnsi="Arial" w:cs="Arial"/>
              </w:rPr>
            </w:pPr>
            <w:r w:rsidRPr="00851192">
              <w:rPr>
                <w:rFonts w:ascii="Arial" w:hAnsi="Arial" w:cs="Arial"/>
              </w:rPr>
              <w:t xml:space="preserve">No evidence of fair gaming on Asia Betting. However, products of Asia Betting such as apps and Ali88win.com show minimal information of fair gaming. Although some information towards randomisation is claimed by products of Asia Betting. No evidence suggests that this is true as in comparison to other global gambling operators within the study. </w:t>
            </w:r>
          </w:p>
        </w:tc>
      </w:tr>
    </w:tbl>
    <w:p w14:paraId="25C950A0" w14:textId="4966AD80" w:rsidR="009B75A0" w:rsidRPr="00851192" w:rsidRDefault="009B75A0" w:rsidP="0017796E">
      <w:pPr>
        <w:rPr>
          <w:rFonts w:ascii="Arial" w:hAnsi="Arial" w:cs="Arial"/>
          <w:lang w:val="en-US"/>
        </w:rPr>
      </w:pPr>
    </w:p>
    <w:p w14:paraId="3A7CEA2E" w14:textId="1AD42964" w:rsidR="009B75A0" w:rsidRPr="00851192" w:rsidRDefault="009B75A0" w:rsidP="009B75A0">
      <w:pPr>
        <w:jc w:val="center"/>
        <w:rPr>
          <w:rFonts w:ascii="Arial" w:hAnsi="Arial" w:cs="Arial"/>
        </w:rPr>
      </w:pPr>
      <w:r w:rsidRPr="00851192">
        <w:rPr>
          <w:rFonts w:ascii="Arial" w:hAnsi="Arial" w:cs="Arial"/>
          <w:b/>
        </w:rPr>
        <w:t xml:space="preserve">Table </w:t>
      </w:r>
      <w:r w:rsidR="005E3EE2" w:rsidRPr="00851192">
        <w:rPr>
          <w:rFonts w:ascii="Arial" w:hAnsi="Arial" w:cs="Arial"/>
          <w:b/>
        </w:rPr>
        <w:t>7</w:t>
      </w:r>
      <w:r w:rsidRPr="00851192">
        <w:rPr>
          <w:rFonts w:ascii="Arial" w:hAnsi="Arial" w:cs="Arial"/>
          <w:b/>
        </w:rPr>
        <w:t>.</w:t>
      </w:r>
      <w:r w:rsidR="002D17EA" w:rsidRPr="00851192">
        <w:rPr>
          <w:rFonts w:ascii="Arial" w:hAnsi="Arial" w:cs="Arial"/>
          <w:b/>
        </w:rPr>
        <w:t>2</w:t>
      </w:r>
      <w:r w:rsidRPr="00851192">
        <w:rPr>
          <w:rFonts w:ascii="Arial" w:hAnsi="Arial" w:cs="Arial"/>
        </w:rPr>
        <w:t xml:space="preserve"> Global Gambling Operators and Ethical / Responsible Statements</w:t>
      </w:r>
    </w:p>
    <w:p w14:paraId="6530CB44" w14:textId="471D7BFD" w:rsidR="009B75A0" w:rsidRPr="00851192" w:rsidRDefault="009B75A0" w:rsidP="009B75A0">
      <w:pPr>
        <w:jc w:val="center"/>
        <w:rPr>
          <w:rFonts w:ascii="Arial" w:hAnsi="Arial" w:cs="Arial"/>
        </w:rPr>
      </w:pPr>
      <w:r w:rsidRPr="00851192">
        <w:rPr>
          <w:rFonts w:ascii="Arial" w:hAnsi="Arial" w:cs="Arial"/>
        </w:rPr>
        <w:t>B</w:t>
      </w:r>
      <w:r w:rsidR="00682E18" w:rsidRPr="00851192">
        <w:rPr>
          <w:rFonts w:ascii="Arial" w:hAnsi="Arial" w:cs="Arial"/>
        </w:rPr>
        <w:t>et</w:t>
      </w:r>
      <w:r w:rsidRPr="00851192">
        <w:rPr>
          <w:rFonts w:ascii="Arial" w:hAnsi="Arial" w:cs="Arial"/>
        </w:rPr>
        <w:t>365</w:t>
      </w:r>
    </w:p>
    <w:tbl>
      <w:tblPr>
        <w:tblStyle w:val="TableGrid"/>
        <w:tblW w:w="9918" w:type="dxa"/>
        <w:tblLook w:val="04A0" w:firstRow="1" w:lastRow="0" w:firstColumn="1" w:lastColumn="0" w:noHBand="0" w:noVBand="1"/>
      </w:tblPr>
      <w:tblGrid>
        <w:gridCol w:w="1800"/>
        <w:gridCol w:w="1786"/>
        <w:gridCol w:w="975"/>
        <w:gridCol w:w="2667"/>
        <w:gridCol w:w="2690"/>
      </w:tblGrid>
      <w:tr w:rsidR="009B75A0" w:rsidRPr="00851192" w14:paraId="2282F862" w14:textId="77777777" w:rsidTr="00F27343">
        <w:trPr>
          <w:trHeight w:val="986"/>
        </w:trPr>
        <w:tc>
          <w:tcPr>
            <w:tcW w:w="1803" w:type="dxa"/>
            <w:tcBorders>
              <w:top w:val="single" w:sz="4" w:space="0" w:color="auto"/>
              <w:left w:val="single" w:sz="4" w:space="0" w:color="auto"/>
              <w:bottom w:val="single" w:sz="4" w:space="0" w:color="auto"/>
              <w:right w:val="single" w:sz="4" w:space="0" w:color="auto"/>
            </w:tcBorders>
            <w:hideMark/>
          </w:tcPr>
          <w:p w14:paraId="1BF2D768" w14:textId="77777777" w:rsidR="009B75A0" w:rsidRPr="00851192" w:rsidRDefault="009B75A0" w:rsidP="00F27343">
            <w:pPr>
              <w:jc w:val="center"/>
              <w:rPr>
                <w:rFonts w:ascii="Arial" w:hAnsi="Arial" w:cs="Arial"/>
              </w:rPr>
            </w:pPr>
            <w:r w:rsidRPr="00851192">
              <w:rPr>
                <w:rFonts w:ascii="Arial" w:hAnsi="Arial" w:cs="Arial"/>
              </w:rPr>
              <w:t>Categories</w:t>
            </w:r>
          </w:p>
        </w:tc>
        <w:tc>
          <w:tcPr>
            <w:tcW w:w="1803" w:type="dxa"/>
            <w:tcBorders>
              <w:top w:val="single" w:sz="4" w:space="0" w:color="auto"/>
              <w:left w:val="single" w:sz="4" w:space="0" w:color="auto"/>
              <w:bottom w:val="single" w:sz="4" w:space="0" w:color="auto"/>
              <w:right w:val="single" w:sz="4" w:space="0" w:color="auto"/>
            </w:tcBorders>
            <w:hideMark/>
          </w:tcPr>
          <w:p w14:paraId="4E3E733E" w14:textId="77777777" w:rsidR="009B75A0" w:rsidRPr="00851192" w:rsidRDefault="009B75A0" w:rsidP="00F27343">
            <w:pPr>
              <w:jc w:val="center"/>
              <w:rPr>
                <w:rFonts w:ascii="Arial" w:hAnsi="Arial" w:cs="Arial"/>
                <w:b/>
              </w:rPr>
            </w:pPr>
            <w:r w:rsidRPr="00851192">
              <w:rPr>
                <w:rFonts w:ascii="Segoe UI Symbol" w:hAnsi="Segoe UI Symbol" w:cs="Segoe UI Symbol"/>
                <w:b/>
                <w:shd w:val="clear" w:color="auto" w:fill="FFFFFF"/>
              </w:rPr>
              <w:t>✓</w:t>
            </w:r>
            <w:r w:rsidRPr="00851192">
              <w:rPr>
                <w:rFonts w:ascii="Arial" w:hAnsi="Arial" w:cs="Arial"/>
                <w:b/>
                <w:shd w:val="clear" w:color="auto" w:fill="FFFFFF"/>
              </w:rPr>
              <w:t xml:space="preserve"> / </w:t>
            </w: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hideMark/>
          </w:tcPr>
          <w:p w14:paraId="4CD7EFC8" w14:textId="77777777" w:rsidR="009B75A0" w:rsidRPr="00851192" w:rsidRDefault="009B75A0" w:rsidP="00F27343">
            <w:pPr>
              <w:jc w:val="center"/>
              <w:rPr>
                <w:rFonts w:ascii="Arial" w:hAnsi="Arial" w:cs="Arial"/>
              </w:rPr>
            </w:pPr>
            <w:r w:rsidRPr="00851192">
              <w:rPr>
                <w:rFonts w:ascii="Arial" w:hAnsi="Arial" w:cs="Arial"/>
              </w:rPr>
              <w:t>Present or Not Present</w:t>
            </w:r>
          </w:p>
        </w:tc>
        <w:tc>
          <w:tcPr>
            <w:tcW w:w="2681" w:type="dxa"/>
            <w:tcBorders>
              <w:top w:val="single" w:sz="4" w:space="0" w:color="auto"/>
              <w:left w:val="single" w:sz="4" w:space="0" w:color="auto"/>
              <w:bottom w:val="single" w:sz="4" w:space="0" w:color="auto"/>
              <w:right w:val="single" w:sz="4" w:space="0" w:color="auto"/>
            </w:tcBorders>
            <w:hideMark/>
          </w:tcPr>
          <w:p w14:paraId="1316B8D4" w14:textId="77777777" w:rsidR="009B75A0" w:rsidRPr="00851192" w:rsidRDefault="009B75A0" w:rsidP="00F27343">
            <w:pPr>
              <w:jc w:val="center"/>
              <w:rPr>
                <w:rFonts w:ascii="Arial" w:hAnsi="Arial" w:cs="Arial"/>
              </w:rPr>
            </w:pPr>
            <w:r w:rsidRPr="00851192">
              <w:rPr>
                <w:rFonts w:ascii="Arial" w:hAnsi="Arial" w:cs="Arial"/>
              </w:rPr>
              <w:t>Researchers rating for clear information</w:t>
            </w:r>
          </w:p>
        </w:tc>
        <w:tc>
          <w:tcPr>
            <w:tcW w:w="2706" w:type="dxa"/>
            <w:tcBorders>
              <w:top w:val="single" w:sz="4" w:space="0" w:color="auto"/>
              <w:left w:val="single" w:sz="4" w:space="0" w:color="auto"/>
              <w:bottom w:val="single" w:sz="4" w:space="0" w:color="auto"/>
              <w:right w:val="single" w:sz="4" w:space="0" w:color="auto"/>
            </w:tcBorders>
            <w:hideMark/>
          </w:tcPr>
          <w:p w14:paraId="69BD6971" w14:textId="77777777" w:rsidR="009B75A0" w:rsidRPr="00851192" w:rsidRDefault="009B75A0" w:rsidP="00F27343">
            <w:pPr>
              <w:jc w:val="center"/>
              <w:rPr>
                <w:rFonts w:ascii="Arial" w:hAnsi="Arial" w:cs="Arial"/>
              </w:rPr>
            </w:pPr>
            <w:r w:rsidRPr="00851192">
              <w:rPr>
                <w:rFonts w:ascii="Arial" w:hAnsi="Arial" w:cs="Arial"/>
              </w:rPr>
              <w:t>Additional Comments</w:t>
            </w:r>
          </w:p>
        </w:tc>
      </w:tr>
      <w:tr w:rsidR="009B75A0" w:rsidRPr="00851192" w14:paraId="02B29924"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157F8366" w14:textId="77777777" w:rsidR="009B75A0" w:rsidRPr="00851192" w:rsidRDefault="009B75A0" w:rsidP="00F27343">
            <w:pPr>
              <w:jc w:val="center"/>
              <w:rPr>
                <w:rFonts w:ascii="Arial" w:hAnsi="Arial" w:cs="Arial"/>
                <w:b/>
              </w:rPr>
            </w:pPr>
            <w:r w:rsidRPr="00851192">
              <w:rPr>
                <w:rFonts w:ascii="Arial" w:hAnsi="Arial" w:cs="Arial"/>
                <w:b/>
              </w:rPr>
              <w:t>Ethical / Responsible Statement</w:t>
            </w:r>
          </w:p>
        </w:tc>
        <w:tc>
          <w:tcPr>
            <w:tcW w:w="1803" w:type="dxa"/>
            <w:tcBorders>
              <w:top w:val="single" w:sz="4" w:space="0" w:color="auto"/>
              <w:left w:val="single" w:sz="4" w:space="0" w:color="auto"/>
              <w:bottom w:val="single" w:sz="4" w:space="0" w:color="auto"/>
              <w:right w:val="single" w:sz="4" w:space="0" w:color="auto"/>
            </w:tcBorders>
            <w:hideMark/>
          </w:tcPr>
          <w:p w14:paraId="57E09195"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tcPr>
          <w:p w14:paraId="5D3DDD70" w14:textId="77777777" w:rsidR="009B75A0" w:rsidRPr="00851192" w:rsidRDefault="009B75A0" w:rsidP="00F27343">
            <w:pPr>
              <w:rPr>
                <w:rFonts w:ascii="Arial" w:hAnsi="Arial" w:cs="Arial"/>
              </w:rPr>
            </w:pPr>
          </w:p>
        </w:tc>
        <w:tc>
          <w:tcPr>
            <w:tcW w:w="2681" w:type="dxa"/>
            <w:tcBorders>
              <w:top w:val="single" w:sz="4" w:space="0" w:color="auto"/>
              <w:left w:val="single" w:sz="4" w:space="0" w:color="auto"/>
              <w:bottom w:val="single" w:sz="4" w:space="0" w:color="auto"/>
              <w:right w:val="single" w:sz="4" w:space="0" w:color="auto"/>
            </w:tcBorders>
          </w:tcPr>
          <w:p w14:paraId="29650980" w14:textId="77777777" w:rsidR="009B75A0" w:rsidRPr="00851192" w:rsidRDefault="009B75A0" w:rsidP="00F27343">
            <w:pPr>
              <w:rPr>
                <w:rFonts w:ascii="Arial" w:hAnsi="Arial" w:cs="Arial"/>
              </w:rPr>
            </w:pPr>
          </w:p>
        </w:tc>
        <w:tc>
          <w:tcPr>
            <w:tcW w:w="2706" w:type="dxa"/>
            <w:tcBorders>
              <w:top w:val="single" w:sz="4" w:space="0" w:color="auto"/>
              <w:left w:val="single" w:sz="4" w:space="0" w:color="auto"/>
              <w:bottom w:val="single" w:sz="4" w:space="0" w:color="auto"/>
              <w:right w:val="single" w:sz="4" w:space="0" w:color="auto"/>
            </w:tcBorders>
          </w:tcPr>
          <w:p w14:paraId="242A37FD" w14:textId="77777777" w:rsidR="009B75A0" w:rsidRPr="00851192" w:rsidRDefault="009B75A0" w:rsidP="00F27343">
            <w:pPr>
              <w:rPr>
                <w:rFonts w:ascii="Arial" w:hAnsi="Arial" w:cs="Arial"/>
              </w:rPr>
            </w:pPr>
          </w:p>
        </w:tc>
      </w:tr>
      <w:tr w:rsidR="009B75A0" w:rsidRPr="00851192" w14:paraId="5DD709C8"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18A99E59" w14:textId="77777777" w:rsidR="009B75A0" w:rsidRPr="00851192" w:rsidRDefault="009B75A0" w:rsidP="00F27343">
            <w:pPr>
              <w:jc w:val="center"/>
              <w:rPr>
                <w:rFonts w:ascii="Arial" w:hAnsi="Arial" w:cs="Arial"/>
              </w:rPr>
            </w:pPr>
            <w:r w:rsidRPr="00851192">
              <w:rPr>
                <w:rFonts w:ascii="Arial" w:hAnsi="Arial" w:cs="Arial"/>
              </w:rPr>
              <w:t>Statement present on site</w:t>
            </w:r>
          </w:p>
        </w:tc>
        <w:tc>
          <w:tcPr>
            <w:tcW w:w="1803" w:type="dxa"/>
            <w:tcBorders>
              <w:top w:val="single" w:sz="4" w:space="0" w:color="auto"/>
              <w:left w:val="single" w:sz="4" w:space="0" w:color="auto"/>
              <w:bottom w:val="single" w:sz="4" w:space="0" w:color="auto"/>
              <w:right w:val="single" w:sz="4" w:space="0" w:color="auto"/>
            </w:tcBorders>
          </w:tcPr>
          <w:p w14:paraId="3E2C6C84" w14:textId="77777777" w:rsidR="009B75A0" w:rsidRPr="00851192" w:rsidRDefault="009B75A0"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494BC690" w14:textId="77777777" w:rsidR="009B75A0" w:rsidRPr="00851192" w:rsidRDefault="009B75A0" w:rsidP="00F27343">
            <w:pPr>
              <w:jc w:val="center"/>
              <w:rPr>
                <w:rFonts w:ascii="Arial" w:hAnsi="Arial" w:cs="Arial"/>
              </w:rPr>
            </w:pPr>
            <w:r w:rsidRPr="00851192">
              <w:rPr>
                <w:rFonts w:ascii="Arial" w:hAnsi="Arial" w:cs="Arial"/>
              </w:rPr>
              <w:t>1</w:t>
            </w:r>
          </w:p>
        </w:tc>
        <w:tc>
          <w:tcPr>
            <w:tcW w:w="2681" w:type="dxa"/>
            <w:tcBorders>
              <w:top w:val="single" w:sz="4" w:space="0" w:color="auto"/>
              <w:left w:val="single" w:sz="4" w:space="0" w:color="auto"/>
              <w:bottom w:val="single" w:sz="4" w:space="0" w:color="auto"/>
              <w:right w:val="single" w:sz="4" w:space="0" w:color="auto"/>
            </w:tcBorders>
            <w:hideMark/>
          </w:tcPr>
          <w:p w14:paraId="7B0D6E81" w14:textId="77777777" w:rsidR="009B75A0" w:rsidRPr="00851192" w:rsidRDefault="009B75A0" w:rsidP="00F27343">
            <w:pPr>
              <w:jc w:val="center"/>
              <w:rPr>
                <w:rFonts w:ascii="Arial" w:hAnsi="Arial" w:cs="Arial"/>
              </w:rPr>
            </w:pPr>
            <w:r w:rsidRPr="00851192">
              <w:rPr>
                <w:rFonts w:ascii="Arial" w:hAnsi="Arial" w:cs="Arial"/>
              </w:rPr>
              <w:t>Very High</w:t>
            </w:r>
          </w:p>
        </w:tc>
        <w:tc>
          <w:tcPr>
            <w:tcW w:w="2706" w:type="dxa"/>
            <w:tcBorders>
              <w:top w:val="single" w:sz="4" w:space="0" w:color="auto"/>
              <w:left w:val="single" w:sz="4" w:space="0" w:color="auto"/>
              <w:bottom w:val="single" w:sz="4" w:space="0" w:color="auto"/>
              <w:right w:val="single" w:sz="4" w:space="0" w:color="auto"/>
            </w:tcBorders>
            <w:hideMark/>
          </w:tcPr>
          <w:p w14:paraId="4D555628" w14:textId="77777777" w:rsidR="009B75A0" w:rsidRPr="00851192" w:rsidRDefault="009B75A0" w:rsidP="00F27343">
            <w:pPr>
              <w:rPr>
                <w:rFonts w:ascii="Arial" w:hAnsi="Arial" w:cs="Arial"/>
              </w:rPr>
            </w:pPr>
            <w:r w:rsidRPr="00851192">
              <w:rPr>
                <w:rFonts w:ascii="Arial" w:hAnsi="Arial" w:cs="Arial"/>
              </w:rPr>
              <w:t xml:space="preserve">A statement is provided by the global gambling operator. Statement is within the responsible gambling link provided on the home page. Statement is not present on the home page though. </w:t>
            </w:r>
          </w:p>
        </w:tc>
      </w:tr>
    </w:tbl>
    <w:p w14:paraId="1D9F21EA" w14:textId="77777777" w:rsidR="009B75A0" w:rsidRPr="00851192" w:rsidRDefault="009B75A0" w:rsidP="009B75A0">
      <w:pPr>
        <w:rPr>
          <w:rFonts w:ascii="Arial" w:hAnsi="Arial" w:cs="Arial"/>
        </w:rPr>
      </w:pPr>
    </w:p>
    <w:p w14:paraId="7CE4C2D4" w14:textId="77777777" w:rsidR="009B75A0" w:rsidRPr="00851192" w:rsidRDefault="009B75A0" w:rsidP="009B75A0">
      <w:pPr>
        <w:jc w:val="center"/>
        <w:rPr>
          <w:rFonts w:ascii="Arial" w:hAnsi="Arial" w:cs="Arial"/>
        </w:rPr>
      </w:pPr>
      <w:proofErr w:type="spellStart"/>
      <w:r w:rsidRPr="00851192">
        <w:rPr>
          <w:rFonts w:ascii="Arial" w:hAnsi="Arial" w:cs="Arial"/>
        </w:rPr>
        <w:t>Bwin</w:t>
      </w:r>
      <w:proofErr w:type="spellEnd"/>
    </w:p>
    <w:tbl>
      <w:tblPr>
        <w:tblStyle w:val="TableGrid"/>
        <w:tblW w:w="9918" w:type="dxa"/>
        <w:tblLook w:val="04A0" w:firstRow="1" w:lastRow="0" w:firstColumn="1" w:lastColumn="0" w:noHBand="0" w:noVBand="1"/>
      </w:tblPr>
      <w:tblGrid>
        <w:gridCol w:w="1800"/>
        <w:gridCol w:w="1786"/>
        <w:gridCol w:w="975"/>
        <w:gridCol w:w="2667"/>
        <w:gridCol w:w="2690"/>
      </w:tblGrid>
      <w:tr w:rsidR="009B75A0" w:rsidRPr="00851192" w14:paraId="3B8C9757" w14:textId="77777777" w:rsidTr="00F27343">
        <w:trPr>
          <w:trHeight w:val="986"/>
        </w:trPr>
        <w:tc>
          <w:tcPr>
            <w:tcW w:w="1803" w:type="dxa"/>
            <w:tcBorders>
              <w:top w:val="single" w:sz="4" w:space="0" w:color="auto"/>
              <w:left w:val="single" w:sz="4" w:space="0" w:color="auto"/>
              <w:bottom w:val="single" w:sz="4" w:space="0" w:color="auto"/>
              <w:right w:val="single" w:sz="4" w:space="0" w:color="auto"/>
            </w:tcBorders>
            <w:hideMark/>
          </w:tcPr>
          <w:p w14:paraId="6F134163" w14:textId="77777777" w:rsidR="009B75A0" w:rsidRPr="00851192" w:rsidRDefault="009B75A0" w:rsidP="00F27343">
            <w:pPr>
              <w:jc w:val="center"/>
              <w:rPr>
                <w:rFonts w:ascii="Arial" w:hAnsi="Arial" w:cs="Arial"/>
              </w:rPr>
            </w:pPr>
            <w:r w:rsidRPr="00851192">
              <w:rPr>
                <w:rFonts w:ascii="Arial" w:hAnsi="Arial" w:cs="Arial"/>
              </w:rPr>
              <w:t>Categories</w:t>
            </w:r>
          </w:p>
        </w:tc>
        <w:tc>
          <w:tcPr>
            <w:tcW w:w="1803" w:type="dxa"/>
            <w:tcBorders>
              <w:top w:val="single" w:sz="4" w:space="0" w:color="auto"/>
              <w:left w:val="single" w:sz="4" w:space="0" w:color="auto"/>
              <w:bottom w:val="single" w:sz="4" w:space="0" w:color="auto"/>
              <w:right w:val="single" w:sz="4" w:space="0" w:color="auto"/>
            </w:tcBorders>
            <w:hideMark/>
          </w:tcPr>
          <w:p w14:paraId="50C07544" w14:textId="77777777" w:rsidR="009B75A0" w:rsidRPr="00851192" w:rsidRDefault="009B75A0" w:rsidP="00F27343">
            <w:pPr>
              <w:jc w:val="center"/>
              <w:rPr>
                <w:rFonts w:ascii="Arial" w:hAnsi="Arial" w:cs="Arial"/>
                <w:b/>
              </w:rPr>
            </w:pPr>
            <w:r w:rsidRPr="00851192">
              <w:rPr>
                <w:rFonts w:ascii="Segoe UI Symbol" w:hAnsi="Segoe UI Symbol" w:cs="Segoe UI Symbol"/>
                <w:b/>
                <w:shd w:val="clear" w:color="auto" w:fill="FFFFFF"/>
              </w:rPr>
              <w:t>✓</w:t>
            </w:r>
            <w:r w:rsidRPr="00851192">
              <w:rPr>
                <w:rFonts w:ascii="Arial" w:hAnsi="Arial" w:cs="Arial"/>
                <w:b/>
                <w:shd w:val="clear" w:color="auto" w:fill="FFFFFF"/>
              </w:rPr>
              <w:t xml:space="preserve"> / </w:t>
            </w: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hideMark/>
          </w:tcPr>
          <w:p w14:paraId="025F86C0" w14:textId="77777777" w:rsidR="009B75A0" w:rsidRPr="00851192" w:rsidRDefault="009B75A0" w:rsidP="00F27343">
            <w:pPr>
              <w:jc w:val="center"/>
              <w:rPr>
                <w:rFonts w:ascii="Arial" w:hAnsi="Arial" w:cs="Arial"/>
              </w:rPr>
            </w:pPr>
            <w:r w:rsidRPr="00851192">
              <w:rPr>
                <w:rFonts w:ascii="Arial" w:hAnsi="Arial" w:cs="Arial"/>
              </w:rPr>
              <w:t>Present or Not Present</w:t>
            </w:r>
          </w:p>
        </w:tc>
        <w:tc>
          <w:tcPr>
            <w:tcW w:w="2681" w:type="dxa"/>
            <w:tcBorders>
              <w:top w:val="single" w:sz="4" w:space="0" w:color="auto"/>
              <w:left w:val="single" w:sz="4" w:space="0" w:color="auto"/>
              <w:bottom w:val="single" w:sz="4" w:space="0" w:color="auto"/>
              <w:right w:val="single" w:sz="4" w:space="0" w:color="auto"/>
            </w:tcBorders>
            <w:hideMark/>
          </w:tcPr>
          <w:p w14:paraId="25C12D72" w14:textId="77777777" w:rsidR="009B75A0" w:rsidRPr="00851192" w:rsidRDefault="009B75A0" w:rsidP="00F27343">
            <w:pPr>
              <w:jc w:val="center"/>
              <w:rPr>
                <w:rFonts w:ascii="Arial" w:hAnsi="Arial" w:cs="Arial"/>
              </w:rPr>
            </w:pPr>
            <w:r w:rsidRPr="00851192">
              <w:rPr>
                <w:rFonts w:ascii="Arial" w:hAnsi="Arial" w:cs="Arial"/>
              </w:rPr>
              <w:t>Researchers rating for clear information</w:t>
            </w:r>
          </w:p>
        </w:tc>
        <w:tc>
          <w:tcPr>
            <w:tcW w:w="2706" w:type="dxa"/>
            <w:tcBorders>
              <w:top w:val="single" w:sz="4" w:space="0" w:color="auto"/>
              <w:left w:val="single" w:sz="4" w:space="0" w:color="auto"/>
              <w:bottom w:val="single" w:sz="4" w:space="0" w:color="auto"/>
              <w:right w:val="single" w:sz="4" w:space="0" w:color="auto"/>
            </w:tcBorders>
            <w:hideMark/>
          </w:tcPr>
          <w:p w14:paraId="7EF94302" w14:textId="77777777" w:rsidR="009B75A0" w:rsidRPr="00851192" w:rsidRDefault="009B75A0" w:rsidP="00F27343">
            <w:pPr>
              <w:jc w:val="center"/>
              <w:rPr>
                <w:rFonts w:ascii="Arial" w:hAnsi="Arial" w:cs="Arial"/>
              </w:rPr>
            </w:pPr>
            <w:r w:rsidRPr="00851192">
              <w:rPr>
                <w:rFonts w:ascii="Arial" w:hAnsi="Arial" w:cs="Arial"/>
              </w:rPr>
              <w:t>Additional Comments</w:t>
            </w:r>
          </w:p>
        </w:tc>
      </w:tr>
      <w:tr w:rsidR="009B75A0" w:rsidRPr="00851192" w14:paraId="1AA10BBF"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1B96C8F0" w14:textId="77777777" w:rsidR="009B75A0" w:rsidRPr="00851192" w:rsidRDefault="009B75A0" w:rsidP="00F27343">
            <w:pPr>
              <w:jc w:val="center"/>
              <w:rPr>
                <w:rFonts w:ascii="Arial" w:hAnsi="Arial" w:cs="Arial"/>
                <w:b/>
              </w:rPr>
            </w:pPr>
            <w:r w:rsidRPr="00851192">
              <w:rPr>
                <w:rFonts w:ascii="Arial" w:hAnsi="Arial" w:cs="Arial"/>
                <w:b/>
              </w:rPr>
              <w:t>Ethical / Responsible Statement</w:t>
            </w:r>
          </w:p>
        </w:tc>
        <w:tc>
          <w:tcPr>
            <w:tcW w:w="1803" w:type="dxa"/>
            <w:tcBorders>
              <w:top w:val="single" w:sz="4" w:space="0" w:color="auto"/>
              <w:left w:val="single" w:sz="4" w:space="0" w:color="auto"/>
              <w:bottom w:val="single" w:sz="4" w:space="0" w:color="auto"/>
              <w:right w:val="single" w:sz="4" w:space="0" w:color="auto"/>
            </w:tcBorders>
            <w:hideMark/>
          </w:tcPr>
          <w:p w14:paraId="02A75AFC"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tcPr>
          <w:p w14:paraId="695A2713" w14:textId="77777777" w:rsidR="009B75A0" w:rsidRPr="00851192" w:rsidRDefault="009B75A0" w:rsidP="00F27343">
            <w:pPr>
              <w:rPr>
                <w:rFonts w:ascii="Arial" w:hAnsi="Arial" w:cs="Arial"/>
              </w:rPr>
            </w:pPr>
          </w:p>
        </w:tc>
        <w:tc>
          <w:tcPr>
            <w:tcW w:w="2681" w:type="dxa"/>
            <w:tcBorders>
              <w:top w:val="single" w:sz="4" w:space="0" w:color="auto"/>
              <w:left w:val="single" w:sz="4" w:space="0" w:color="auto"/>
              <w:bottom w:val="single" w:sz="4" w:space="0" w:color="auto"/>
              <w:right w:val="single" w:sz="4" w:space="0" w:color="auto"/>
            </w:tcBorders>
          </w:tcPr>
          <w:p w14:paraId="4299E037" w14:textId="77777777" w:rsidR="009B75A0" w:rsidRPr="00851192" w:rsidRDefault="009B75A0" w:rsidP="00F27343">
            <w:pPr>
              <w:rPr>
                <w:rFonts w:ascii="Arial" w:hAnsi="Arial" w:cs="Arial"/>
              </w:rPr>
            </w:pPr>
          </w:p>
        </w:tc>
        <w:tc>
          <w:tcPr>
            <w:tcW w:w="2706" w:type="dxa"/>
            <w:tcBorders>
              <w:top w:val="single" w:sz="4" w:space="0" w:color="auto"/>
              <w:left w:val="single" w:sz="4" w:space="0" w:color="auto"/>
              <w:bottom w:val="single" w:sz="4" w:space="0" w:color="auto"/>
              <w:right w:val="single" w:sz="4" w:space="0" w:color="auto"/>
            </w:tcBorders>
          </w:tcPr>
          <w:p w14:paraId="243B866F" w14:textId="77777777" w:rsidR="009B75A0" w:rsidRPr="00851192" w:rsidRDefault="009B75A0" w:rsidP="00F27343">
            <w:pPr>
              <w:rPr>
                <w:rFonts w:ascii="Arial" w:hAnsi="Arial" w:cs="Arial"/>
              </w:rPr>
            </w:pPr>
          </w:p>
        </w:tc>
      </w:tr>
      <w:tr w:rsidR="009B75A0" w:rsidRPr="00851192" w14:paraId="64BB87A3" w14:textId="77777777" w:rsidTr="00F27343">
        <w:trPr>
          <w:trHeight w:val="1455"/>
        </w:trPr>
        <w:tc>
          <w:tcPr>
            <w:tcW w:w="1803" w:type="dxa"/>
            <w:tcBorders>
              <w:top w:val="single" w:sz="4" w:space="0" w:color="auto"/>
              <w:left w:val="single" w:sz="4" w:space="0" w:color="auto"/>
              <w:bottom w:val="single" w:sz="4" w:space="0" w:color="auto"/>
              <w:right w:val="single" w:sz="4" w:space="0" w:color="auto"/>
            </w:tcBorders>
            <w:hideMark/>
          </w:tcPr>
          <w:p w14:paraId="2F4C5370" w14:textId="77777777" w:rsidR="009B75A0" w:rsidRPr="00851192" w:rsidRDefault="009B75A0" w:rsidP="00F27343">
            <w:pPr>
              <w:jc w:val="center"/>
              <w:rPr>
                <w:rFonts w:ascii="Arial" w:hAnsi="Arial" w:cs="Arial"/>
              </w:rPr>
            </w:pPr>
            <w:r w:rsidRPr="00851192">
              <w:rPr>
                <w:rFonts w:ascii="Arial" w:hAnsi="Arial" w:cs="Arial"/>
              </w:rPr>
              <w:t>Statement present on site</w:t>
            </w:r>
          </w:p>
        </w:tc>
        <w:tc>
          <w:tcPr>
            <w:tcW w:w="1803" w:type="dxa"/>
            <w:tcBorders>
              <w:top w:val="single" w:sz="4" w:space="0" w:color="auto"/>
              <w:left w:val="single" w:sz="4" w:space="0" w:color="auto"/>
              <w:bottom w:val="single" w:sz="4" w:space="0" w:color="auto"/>
              <w:right w:val="single" w:sz="4" w:space="0" w:color="auto"/>
            </w:tcBorders>
          </w:tcPr>
          <w:p w14:paraId="1E29BA3E" w14:textId="77777777" w:rsidR="009B75A0" w:rsidRPr="00851192" w:rsidRDefault="009B75A0"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41DAAC19" w14:textId="77777777" w:rsidR="009B75A0" w:rsidRPr="00851192" w:rsidRDefault="009B75A0" w:rsidP="00F27343">
            <w:pPr>
              <w:jc w:val="center"/>
              <w:rPr>
                <w:rFonts w:ascii="Arial" w:hAnsi="Arial" w:cs="Arial"/>
              </w:rPr>
            </w:pPr>
            <w:r w:rsidRPr="00851192">
              <w:rPr>
                <w:rFonts w:ascii="Arial" w:hAnsi="Arial" w:cs="Arial"/>
              </w:rPr>
              <w:t>1</w:t>
            </w:r>
          </w:p>
        </w:tc>
        <w:tc>
          <w:tcPr>
            <w:tcW w:w="2681" w:type="dxa"/>
            <w:tcBorders>
              <w:top w:val="single" w:sz="4" w:space="0" w:color="auto"/>
              <w:left w:val="single" w:sz="4" w:space="0" w:color="auto"/>
              <w:bottom w:val="single" w:sz="4" w:space="0" w:color="auto"/>
              <w:right w:val="single" w:sz="4" w:space="0" w:color="auto"/>
            </w:tcBorders>
            <w:hideMark/>
          </w:tcPr>
          <w:p w14:paraId="7D09112C" w14:textId="77777777" w:rsidR="009B75A0" w:rsidRPr="00851192" w:rsidRDefault="009B75A0" w:rsidP="00F27343">
            <w:pPr>
              <w:jc w:val="center"/>
              <w:rPr>
                <w:rFonts w:ascii="Arial" w:hAnsi="Arial" w:cs="Arial"/>
              </w:rPr>
            </w:pPr>
            <w:r w:rsidRPr="00851192">
              <w:rPr>
                <w:rFonts w:ascii="Arial" w:hAnsi="Arial" w:cs="Arial"/>
              </w:rPr>
              <w:t>Very High</w:t>
            </w:r>
          </w:p>
        </w:tc>
        <w:tc>
          <w:tcPr>
            <w:tcW w:w="2706" w:type="dxa"/>
            <w:tcBorders>
              <w:top w:val="single" w:sz="4" w:space="0" w:color="auto"/>
              <w:left w:val="single" w:sz="4" w:space="0" w:color="auto"/>
              <w:bottom w:val="single" w:sz="4" w:space="0" w:color="auto"/>
              <w:right w:val="single" w:sz="4" w:space="0" w:color="auto"/>
            </w:tcBorders>
            <w:hideMark/>
          </w:tcPr>
          <w:p w14:paraId="5FE4B9DF" w14:textId="77777777" w:rsidR="009B75A0" w:rsidRPr="00851192" w:rsidRDefault="009B75A0" w:rsidP="00F27343">
            <w:pPr>
              <w:rPr>
                <w:rFonts w:ascii="Arial" w:hAnsi="Arial" w:cs="Arial"/>
              </w:rPr>
            </w:pPr>
            <w:r w:rsidRPr="00851192">
              <w:rPr>
                <w:rFonts w:ascii="Arial" w:hAnsi="Arial" w:cs="Arial"/>
              </w:rPr>
              <w:t xml:space="preserve">A statement is provided by the global gambling operator. Statement is within the responsible gambling link provided on the home page. </w:t>
            </w:r>
            <w:r w:rsidRPr="00851192">
              <w:rPr>
                <w:rFonts w:ascii="Arial" w:hAnsi="Arial" w:cs="Arial"/>
              </w:rPr>
              <w:lastRenderedPageBreak/>
              <w:t xml:space="preserve">Statement is not present on the home page though. </w:t>
            </w:r>
          </w:p>
        </w:tc>
      </w:tr>
    </w:tbl>
    <w:p w14:paraId="6EC24159" w14:textId="5128EEFD" w:rsidR="00682E18" w:rsidRPr="00851192" w:rsidRDefault="00682E18" w:rsidP="00682E18">
      <w:pPr>
        <w:jc w:val="center"/>
        <w:rPr>
          <w:rFonts w:ascii="Arial" w:hAnsi="Arial" w:cs="Arial"/>
        </w:rPr>
      </w:pPr>
    </w:p>
    <w:p w14:paraId="2A653FD2" w14:textId="094E21F3" w:rsidR="008A11E4" w:rsidRPr="00851192" w:rsidRDefault="008A11E4" w:rsidP="00682E18">
      <w:pPr>
        <w:jc w:val="center"/>
        <w:rPr>
          <w:rFonts w:ascii="Arial" w:hAnsi="Arial" w:cs="Arial"/>
        </w:rPr>
      </w:pPr>
    </w:p>
    <w:p w14:paraId="157925C5" w14:textId="77777777" w:rsidR="008A11E4" w:rsidRPr="00851192" w:rsidRDefault="008A11E4" w:rsidP="00682E18">
      <w:pPr>
        <w:jc w:val="center"/>
        <w:rPr>
          <w:rFonts w:ascii="Arial" w:hAnsi="Arial" w:cs="Arial"/>
        </w:rPr>
      </w:pPr>
    </w:p>
    <w:p w14:paraId="27444B92" w14:textId="3DCFFA4D" w:rsidR="009B75A0" w:rsidRPr="00851192" w:rsidRDefault="009B75A0" w:rsidP="00682E18">
      <w:pPr>
        <w:jc w:val="center"/>
        <w:rPr>
          <w:rFonts w:ascii="Arial" w:hAnsi="Arial" w:cs="Arial"/>
        </w:rPr>
      </w:pPr>
      <w:r w:rsidRPr="00851192">
        <w:rPr>
          <w:rFonts w:ascii="Arial" w:hAnsi="Arial" w:cs="Arial"/>
        </w:rPr>
        <w:t>Asia Gaming</w:t>
      </w:r>
    </w:p>
    <w:tbl>
      <w:tblPr>
        <w:tblStyle w:val="TableGrid"/>
        <w:tblW w:w="9918" w:type="dxa"/>
        <w:tblLook w:val="04A0" w:firstRow="1" w:lastRow="0" w:firstColumn="1" w:lastColumn="0" w:noHBand="0" w:noVBand="1"/>
      </w:tblPr>
      <w:tblGrid>
        <w:gridCol w:w="1800"/>
        <w:gridCol w:w="1786"/>
        <w:gridCol w:w="975"/>
        <w:gridCol w:w="2667"/>
        <w:gridCol w:w="2690"/>
      </w:tblGrid>
      <w:tr w:rsidR="009B75A0" w:rsidRPr="00851192" w14:paraId="3CFB28D1" w14:textId="77777777" w:rsidTr="00F27343">
        <w:trPr>
          <w:trHeight w:val="986"/>
        </w:trPr>
        <w:tc>
          <w:tcPr>
            <w:tcW w:w="1803" w:type="dxa"/>
            <w:tcBorders>
              <w:top w:val="single" w:sz="4" w:space="0" w:color="auto"/>
              <w:left w:val="single" w:sz="4" w:space="0" w:color="auto"/>
              <w:bottom w:val="single" w:sz="4" w:space="0" w:color="auto"/>
              <w:right w:val="single" w:sz="4" w:space="0" w:color="auto"/>
            </w:tcBorders>
            <w:hideMark/>
          </w:tcPr>
          <w:p w14:paraId="0213F29D" w14:textId="77777777" w:rsidR="009B75A0" w:rsidRPr="00851192" w:rsidRDefault="009B75A0" w:rsidP="00F27343">
            <w:pPr>
              <w:jc w:val="center"/>
              <w:rPr>
                <w:rFonts w:ascii="Arial" w:hAnsi="Arial" w:cs="Arial"/>
              </w:rPr>
            </w:pPr>
            <w:r w:rsidRPr="00851192">
              <w:rPr>
                <w:rFonts w:ascii="Arial" w:hAnsi="Arial" w:cs="Arial"/>
              </w:rPr>
              <w:t>Categories</w:t>
            </w:r>
          </w:p>
        </w:tc>
        <w:tc>
          <w:tcPr>
            <w:tcW w:w="1803" w:type="dxa"/>
            <w:tcBorders>
              <w:top w:val="single" w:sz="4" w:space="0" w:color="auto"/>
              <w:left w:val="single" w:sz="4" w:space="0" w:color="auto"/>
              <w:bottom w:val="single" w:sz="4" w:space="0" w:color="auto"/>
              <w:right w:val="single" w:sz="4" w:space="0" w:color="auto"/>
            </w:tcBorders>
            <w:hideMark/>
          </w:tcPr>
          <w:p w14:paraId="524F2AF4" w14:textId="77777777" w:rsidR="009B75A0" w:rsidRPr="00851192" w:rsidRDefault="009B75A0" w:rsidP="00F27343">
            <w:pPr>
              <w:jc w:val="center"/>
              <w:rPr>
                <w:rFonts w:ascii="Arial" w:hAnsi="Arial" w:cs="Arial"/>
                <w:b/>
              </w:rPr>
            </w:pPr>
            <w:r w:rsidRPr="00851192">
              <w:rPr>
                <w:rFonts w:ascii="Segoe UI Symbol" w:hAnsi="Segoe UI Symbol" w:cs="Segoe UI Symbol"/>
                <w:b/>
                <w:shd w:val="clear" w:color="auto" w:fill="FFFFFF"/>
              </w:rPr>
              <w:t>✓</w:t>
            </w:r>
            <w:r w:rsidRPr="00851192">
              <w:rPr>
                <w:rFonts w:ascii="Arial" w:hAnsi="Arial" w:cs="Arial"/>
                <w:b/>
                <w:shd w:val="clear" w:color="auto" w:fill="FFFFFF"/>
              </w:rPr>
              <w:t xml:space="preserve"> / </w:t>
            </w: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hideMark/>
          </w:tcPr>
          <w:p w14:paraId="422FBC24" w14:textId="77777777" w:rsidR="009B75A0" w:rsidRPr="00851192" w:rsidRDefault="009B75A0" w:rsidP="00F27343">
            <w:pPr>
              <w:jc w:val="center"/>
              <w:rPr>
                <w:rFonts w:ascii="Arial" w:hAnsi="Arial" w:cs="Arial"/>
              </w:rPr>
            </w:pPr>
            <w:r w:rsidRPr="00851192">
              <w:rPr>
                <w:rFonts w:ascii="Arial" w:hAnsi="Arial" w:cs="Arial"/>
              </w:rPr>
              <w:t>Present or Not Present</w:t>
            </w:r>
          </w:p>
        </w:tc>
        <w:tc>
          <w:tcPr>
            <w:tcW w:w="2681" w:type="dxa"/>
            <w:tcBorders>
              <w:top w:val="single" w:sz="4" w:space="0" w:color="auto"/>
              <w:left w:val="single" w:sz="4" w:space="0" w:color="auto"/>
              <w:bottom w:val="single" w:sz="4" w:space="0" w:color="auto"/>
              <w:right w:val="single" w:sz="4" w:space="0" w:color="auto"/>
            </w:tcBorders>
            <w:hideMark/>
          </w:tcPr>
          <w:p w14:paraId="3C519854" w14:textId="77777777" w:rsidR="009B75A0" w:rsidRPr="00851192" w:rsidRDefault="009B75A0" w:rsidP="00F27343">
            <w:pPr>
              <w:jc w:val="center"/>
              <w:rPr>
                <w:rFonts w:ascii="Arial" w:hAnsi="Arial" w:cs="Arial"/>
              </w:rPr>
            </w:pPr>
            <w:r w:rsidRPr="00851192">
              <w:rPr>
                <w:rFonts w:ascii="Arial" w:hAnsi="Arial" w:cs="Arial"/>
              </w:rPr>
              <w:t>Researchers rating for clear information</w:t>
            </w:r>
          </w:p>
        </w:tc>
        <w:tc>
          <w:tcPr>
            <w:tcW w:w="2706" w:type="dxa"/>
            <w:tcBorders>
              <w:top w:val="single" w:sz="4" w:space="0" w:color="auto"/>
              <w:left w:val="single" w:sz="4" w:space="0" w:color="auto"/>
              <w:bottom w:val="single" w:sz="4" w:space="0" w:color="auto"/>
              <w:right w:val="single" w:sz="4" w:space="0" w:color="auto"/>
            </w:tcBorders>
            <w:hideMark/>
          </w:tcPr>
          <w:p w14:paraId="214DB3E5" w14:textId="77777777" w:rsidR="009B75A0" w:rsidRPr="00851192" w:rsidRDefault="009B75A0" w:rsidP="00F27343">
            <w:pPr>
              <w:jc w:val="center"/>
              <w:rPr>
                <w:rFonts w:ascii="Arial" w:hAnsi="Arial" w:cs="Arial"/>
              </w:rPr>
            </w:pPr>
            <w:r w:rsidRPr="00851192">
              <w:rPr>
                <w:rFonts w:ascii="Arial" w:hAnsi="Arial" w:cs="Arial"/>
              </w:rPr>
              <w:t>Additional Comments</w:t>
            </w:r>
          </w:p>
        </w:tc>
      </w:tr>
      <w:tr w:rsidR="009B75A0" w:rsidRPr="00851192" w14:paraId="74311807"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0A599E7D" w14:textId="77777777" w:rsidR="009B75A0" w:rsidRPr="00851192" w:rsidRDefault="009B75A0" w:rsidP="00F27343">
            <w:pPr>
              <w:jc w:val="center"/>
              <w:rPr>
                <w:rFonts w:ascii="Arial" w:hAnsi="Arial" w:cs="Arial"/>
                <w:b/>
              </w:rPr>
            </w:pPr>
            <w:r w:rsidRPr="00851192">
              <w:rPr>
                <w:rFonts w:ascii="Arial" w:hAnsi="Arial" w:cs="Arial"/>
                <w:b/>
              </w:rPr>
              <w:t>Ethical / Responsible Statement</w:t>
            </w:r>
          </w:p>
        </w:tc>
        <w:tc>
          <w:tcPr>
            <w:tcW w:w="1803" w:type="dxa"/>
            <w:tcBorders>
              <w:top w:val="single" w:sz="4" w:space="0" w:color="auto"/>
              <w:left w:val="single" w:sz="4" w:space="0" w:color="auto"/>
              <w:bottom w:val="single" w:sz="4" w:space="0" w:color="auto"/>
              <w:right w:val="single" w:sz="4" w:space="0" w:color="auto"/>
            </w:tcBorders>
            <w:hideMark/>
          </w:tcPr>
          <w:p w14:paraId="2B21DC9B"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tcPr>
          <w:p w14:paraId="4D18ECD1" w14:textId="77777777" w:rsidR="009B75A0" w:rsidRPr="00851192" w:rsidRDefault="009B75A0" w:rsidP="00F27343">
            <w:pPr>
              <w:rPr>
                <w:rFonts w:ascii="Arial" w:hAnsi="Arial" w:cs="Arial"/>
              </w:rPr>
            </w:pPr>
          </w:p>
        </w:tc>
        <w:tc>
          <w:tcPr>
            <w:tcW w:w="2681" w:type="dxa"/>
            <w:tcBorders>
              <w:top w:val="single" w:sz="4" w:space="0" w:color="auto"/>
              <w:left w:val="single" w:sz="4" w:space="0" w:color="auto"/>
              <w:bottom w:val="single" w:sz="4" w:space="0" w:color="auto"/>
              <w:right w:val="single" w:sz="4" w:space="0" w:color="auto"/>
            </w:tcBorders>
          </w:tcPr>
          <w:p w14:paraId="5041E4D8" w14:textId="77777777" w:rsidR="009B75A0" w:rsidRPr="00851192" w:rsidRDefault="009B75A0" w:rsidP="00F27343">
            <w:pPr>
              <w:rPr>
                <w:rFonts w:ascii="Arial" w:hAnsi="Arial" w:cs="Arial"/>
              </w:rPr>
            </w:pPr>
          </w:p>
        </w:tc>
        <w:tc>
          <w:tcPr>
            <w:tcW w:w="2706" w:type="dxa"/>
            <w:tcBorders>
              <w:top w:val="single" w:sz="4" w:space="0" w:color="auto"/>
              <w:left w:val="single" w:sz="4" w:space="0" w:color="auto"/>
              <w:bottom w:val="single" w:sz="4" w:space="0" w:color="auto"/>
              <w:right w:val="single" w:sz="4" w:space="0" w:color="auto"/>
            </w:tcBorders>
          </w:tcPr>
          <w:p w14:paraId="0AF500EC" w14:textId="77777777" w:rsidR="009B75A0" w:rsidRPr="00851192" w:rsidRDefault="009B75A0" w:rsidP="00F27343">
            <w:pPr>
              <w:rPr>
                <w:rFonts w:ascii="Arial" w:hAnsi="Arial" w:cs="Arial"/>
              </w:rPr>
            </w:pPr>
          </w:p>
        </w:tc>
      </w:tr>
      <w:tr w:rsidR="009B75A0" w:rsidRPr="00851192" w14:paraId="22A8BBF2"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1A73AA86" w14:textId="77777777" w:rsidR="009B75A0" w:rsidRPr="00851192" w:rsidRDefault="009B75A0" w:rsidP="00F27343">
            <w:pPr>
              <w:jc w:val="center"/>
              <w:rPr>
                <w:rFonts w:ascii="Arial" w:hAnsi="Arial" w:cs="Arial"/>
              </w:rPr>
            </w:pPr>
            <w:r w:rsidRPr="00851192">
              <w:rPr>
                <w:rFonts w:ascii="Arial" w:hAnsi="Arial" w:cs="Arial"/>
              </w:rPr>
              <w:t>Statement present on site</w:t>
            </w:r>
          </w:p>
        </w:tc>
        <w:tc>
          <w:tcPr>
            <w:tcW w:w="1803" w:type="dxa"/>
            <w:tcBorders>
              <w:top w:val="single" w:sz="4" w:space="0" w:color="auto"/>
              <w:left w:val="single" w:sz="4" w:space="0" w:color="auto"/>
              <w:bottom w:val="single" w:sz="4" w:space="0" w:color="auto"/>
              <w:right w:val="single" w:sz="4" w:space="0" w:color="auto"/>
            </w:tcBorders>
          </w:tcPr>
          <w:p w14:paraId="62619265" w14:textId="77777777" w:rsidR="009B75A0" w:rsidRPr="00851192" w:rsidRDefault="009B75A0"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543A23FA" w14:textId="77777777" w:rsidR="009B75A0" w:rsidRPr="00851192" w:rsidRDefault="009B75A0" w:rsidP="00F27343">
            <w:pPr>
              <w:jc w:val="center"/>
              <w:rPr>
                <w:rFonts w:ascii="Arial" w:hAnsi="Arial" w:cs="Arial"/>
              </w:rPr>
            </w:pPr>
            <w:r w:rsidRPr="00851192">
              <w:rPr>
                <w:rFonts w:ascii="Arial" w:hAnsi="Arial" w:cs="Arial"/>
              </w:rPr>
              <w:t>0</w:t>
            </w:r>
          </w:p>
        </w:tc>
        <w:tc>
          <w:tcPr>
            <w:tcW w:w="2681" w:type="dxa"/>
            <w:tcBorders>
              <w:top w:val="single" w:sz="4" w:space="0" w:color="auto"/>
              <w:left w:val="single" w:sz="4" w:space="0" w:color="auto"/>
              <w:bottom w:val="single" w:sz="4" w:space="0" w:color="auto"/>
              <w:right w:val="single" w:sz="4" w:space="0" w:color="auto"/>
            </w:tcBorders>
            <w:hideMark/>
          </w:tcPr>
          <w:p w14:paraId="55830E41" w14:textId="77777777" w:rsidR="009B75A0" w:rsidRPr="00851192" w:rsidRDefault="009B75A0" w:rsidP="00F27343">
            <w:pPr>
              <w:jc w:val="center"/>
              <w:rPr>
                <w:rFonts w:ascii="Arial" w:hAnsi="Arial" w:cs="Arial"/>
              </w:rPr>
            </w:pPr>
            <w:r w:rsidRPr="00851192">
              <w:rPr>
                <w:rFonts w:ascii="Arial" w:hAnsi="Arial" w:cs="Arial"/>
              </w:rPr>
              <w:t>None</w:t>
            </w:r>
          </w:p>
        </w:tc>
        <w:tc>
          <w:tcPr>
            <w:tcW w:w="2706" w:type="dxa"/>
            <w:tcBorders>
              <w:top w:val="single" w:sz="4" w:space="0" w:color="auto"/>
              <w:left w:val="single" w:sz="4" w:space="0" w:color="auto"/>
              <w:bottom w:val="single" w:sz="4" w:space="0" w:color="auto"/>
              <w:right w:val="single" w:sz="4" w:space="0" w:color="auto"/>
            </w:tcBorders>
            <w:hideMark/>
          </w:tcPr>
          <w:p w14:paraId="1FC6A4B0" w14:textId="77777777" w:rsidR="009B75A0" w:rsidRPr="00851192" w:rsidRDefault="009B75A0" w:rsidP="00F27343">
            <w:pPr>
              <w:rPr>
                <w:rFonts w:ascii="Arial" w:hAnsi="Arial" w:cs="Arial"/>
              </w:rPr>
            </w:pPr>
            <w:r w:rsidRPr="00851192">
              <w:rPr>
                <w:rFonts w:ascii="Arial" w:hAnsi="Arial" w:cs="Arial"/>
              </w:rPr>
              <w:t xml:space="preserve">No statement is provided by Asia Gaming across studied platforms and product offering. An assumption that due to the lack of regulation towards responsible gambling and the business model Asia Gaming have, the need to provide an ethical or responsible statement towards problem gambling is not necessary. A statement towards products are provided though regarding fair gaming although the issue of statement as no evidence to support product testing. </w:t>
            </w:r>
          </w:p>
        </w:tc>
      </w:tr>
    </w:tbl>
    <w:p w14:paraId="031AE983" w14:textId="3E3EFBBF" w:rsidR="009B75A0" w:rsidRPr="00851192" w:rsidRDefault="009B75A0" w:rsidP="0017796E">
      <w:pPr>
        <w:rPr>
          <w:rFonts w:ascii="Arial" w:hAnsi="Arial" w:cs="Arial"/>
          <w:lang w:val="en-US"/>
        </w:rPr>
      </w:pPr>
    </w:p>
    <w:p w14:paraId="1A22CCB7" w14:textId="2146EE0E" w:rsidR="009B75A0" w:rsidRPr="00851192" w:rsidRDefault="009B75A0" w:rsidP="009B75A0">
      <w:pPr>
        <w:jc w:val="center"/>
        <w:rPr>
          <w:rFonts w:ascii="Arial" w:hAnsi="Arial" w:cs="Arial"/>
        </w:rPr>
      </w:pPr>
      <w:r w:rsidRPr="00851192">
        <w:rPr>
          <w:rFonts w:ascii="Arial" w:hAnsi="Arial" w:cs="Arial"/>
          <w:b/>
        </w:rPr>
        <w:t xml:space="preserve">Table </w:t>
      </w:r>
      <w:r w:rsidR="005E3EE2" w:rsidRPr="00851192">
        <w:rPr>
          <w:rFonts w:ascii="Arial" w:hAnsi="Arial" w:cs="Arial"/>
          <w:b/>
        </w:rPr>
        <w:t>7</w:t>
      </w:r>
      <w:r w:rsidRPr="00851192">
        <w:rPr>
          <w:rFonts w:ascii="Arial" w:hAnsi="Arial" w:cs="Arial"/>
          <w:b/>
        </w:rPr>
        <w:t>.</w:t>
      </w:r>
      <w:r w:rsidR="002D17EA" w:rsidRPr="00851192">
        <w:rPr>
          <w:rFonts w:ascii="Arial" w:hAnsi="Arial" w:cs="Arial"/>
          <w:b/>
        </w:rPr>
        <w:t>3</w:t>
      </w:r>
      <w:r w:rsidRPr="00851192">
        <w:rPr>
          <w:rFonts w:ascii="Arial" w:hAnsi="Arial" w:cs="Arial"/>
        </w:rPr>
        <w:t xml:space="preserve"> Global Gambling Operators and Self-Exclusion Facilities</w:t>
      </w:r>
    </w:p>
    <w:p w14:paraId="44144CBD" w14:textId="512A651D" w:rsidR="009B75A0" w:rsidRPr="00851192" w:rsidRDefault="009B75A0" w:rsidP="009B75A0">
      <w:pPr>
        <w:jc w:val="center"/>
        <w:rPr>
          <w:rFonts w:ascii="Arial" w:hAnsi="Arial" w:cs="Arial"/>
        </w:rPr>
      </w:pPr>
      <w:r w:rsidRPr="00851192">
        <w:rPr>
          <w:rFonts w:ascii="Arial" w:hAnsi="Arial" w:cs="Arial"/>
        </w:rPr>
        <w:t>B</w:t>
      </w:r>
      <w:r w:rsidR="00682E18" w:rsidRPr="00851192">
        <w:rPr>
          <w:rFonts w:ascii="Arial" w:hAnsi="Arial" w:cs="Arial"/>
        </w:rPr>
        <w:t>et</w:t>
      </w:r>
      <w:r w:rsidRPr="00851192">
        <w:rPr>
          <w:rFonts w:ascii="Arial" w:hAnsi="Arial" w:cs="Arial"/>
        </w:rPr>
        <w:t>365</w:t>
      </w:r>
    </w:p>
    <w:tbl>
      <w:tblPr>
        <w:tblStyle w:val="TableGrid"/>
        <w:tblW w:w="9918" w:type="dxa"/>
        <w:tblLook w:val="04A0" w:firstRow="1" w:lastRow="0" w:firstColumn="1" w:lastColumn="0" w:noHBand="0" w:noVBand="1"/>
      </w:tblPr>
      <w:tblGrid>
        <w:gridCol w:w="1797"/>
        <w:gridCol w:w="1787"/>
        <w:gridCol w:w="975"/>
        <w:gridCol w:w="2668"/>
        <w:gridCol w:w="2691"/>
      </w:tblGrid>
      <w:tr w:rsidR="009B75A0" w:rsidRPr="00851192" w14:paraId="56F515C5" w14:textId="77777777" w:rsidTr="00F27343">
        <w:trPr>
          <w:trHeight w:val="986"/>
        </w:trPr>
        <w:tc>
          <w:tcPr>
            <w:tcW w:w="1803" w:type="dxa"/>
            <w:tcBorders>
              <w:top w:val="single" w:sz="4" w:space="0" w:color="auto"/>
              <w:left w:val="single" w:sz="4" w:space="0" w:color="auto"/>
              <w:bottom w:val="single" w:sz="4" w:space="0" w:color="auto"/>
              <w:right w:val="single" w:sz="4" w:space="0" w:color="auto"/>
            </w:tcBorders>
            <w:hideMark/>
          </w:tcPr>
          <w:p w14:paraId="59D0DAB5" w14:textId="77777777" w:rsidR="009B75A0" w:rsidRPr="00851192" w:rsidRDefault="009B75A0" w:rsidP="00F27343">
            <w:pPr>
              <w:jc w:val="center"/>
              <w:rPr>
                <w:rFonts w:ascii="Arial" w:hAnsi="Arial" w:cs="Arial"/>
              </w:rPr>
            </w:pPr>
            <w:r w:rsidRPr="00851192">
              <w:rPr>
                <w:rFonts w:ascii="Arial" w:hAnsi="Arial" w:cs="Arial"/>
              </w:rPr>
              <w:t>Categories</w:t>
            </w:r>
          </w:p>
        </w:tc>
        <w:tc>
          <w:tcPr>
            <w:tcW w:w="1803" w:type="dxa"/>
            <w:tcBorders>
              <w:top w:val="single" w:sz="4" w:space="0" w:color="auto"/>
              <w:left w:val="single" w:sz="4" w:space="0" w:color="auto"/>
              <w:bottom w:val="single" w:sz="4" w:space="0" w:color="auto"/>
              <w:right w:val="single" w:sz="4" w:space="0" w:color="auto"/>
            </w:tcBorders>
            <w:hideMark/>
          </w:tcPr>
          <w:p w14:paraId="3C6328BF" w14:textId="77777777" w:rsidR="009B75A0" w:rsidRPr="00851192" w:rsidRDefault="009B75A0" w:rsidP="00F27343">
            <w:pPr>
              <w:jc w:val="center"/>
              <w:rPr>
                <w:rFonts w:ascii="Arial" w:hAnsi="Arial" w:cs="Arial"/>
                <w:b/>
              </w:rPr>
            </w:pPr>
            <w:r w:rsidRPr="00851192">
              <w:rPr>
                <w:rFonts w:ascii="Segoe UI Symbol" w:hAnsi="Segoe UI Symbol" w:cs="Segoe UI Symbol"/>
                <w:b/>
                <w:shd w:val="clear" w:color="auto" w:fill="FFFFFF"/>
              </w:rPr>
              <w:t>✓</w:t>
            </w:r>
            <w:r w:rsidRPr="00851192">
              <w:rPr>
                <w:rFonts w:ascii="Arial" w:hAnsi="Arial" w:cs="Arial"/>
                <w:b/>
                <w:shd w:val="clear" w:color="auto" w:fill="FFFFFF"/>
              </w:rPr>
              <w:t xml:space="preserve"> / </w:t>
            </w: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hideMark/>
          </w:tcPr>
          <w:p w14:paraId="431EFCCE" w14:textId="77777777" w:rsidR="009B75A0" w:rsidRPr="00851192" w:rsidRDefault="009B75A0" w:rsidP="00F27343">
            <w:pPr>
              <w:jc w:val="center"/>
              <w:rPr>
                <w:rFonts w:ascii="Arial" w:hAnsi="Arial" w:cs="Arial"/>
              </w:rPr>
            </w:pPr>
            <w:r w:rsidRPr="00851192">
              <w:rPr>
                <w:rFonts w:ascii="Arial" w:hAnsi="Arial" w:cs="Arial"/>
              </w:rPr>
              <w:t>Present or Not Present</w:t>
            </w:r>
          </w:p>
        </w:tc>
        <w:tc>
          <w:tcPr>
            <w:tcW w:w="2681" w:type="dxa"/>
            <w:tcBorders>
              <w:top w:val="single" w:sz="4" w:space="0" w:color="auto"/>
              <w:left w:val="single" w:sz="4" w:space="0" w:color="auto"/>
              <w:bottom w:val="single" w:sz="4" w:space="0" w:color="auto"/>
              <w:right w:val="single" w:sz="4" w:space="0" w:color="auto"/>
            </w:tcBorders>
            <w:hideMark/>
          </w:tcPr>
          <w:p w14:paraId="16D54760" w14:textId="77777777" w:rsidR="009B75A0" w:rsidRPr="00851192" w:rsidRDefault="009B75A0" w:rsidP="00F27343">
            <w:pPr>
              <w:jc w:val="center"/>
              <w:rPr>
                <w:rFonts w:ascii="Arial" w:hAnsi="Arial" w:cs="Arial"/>
              </w:rPr>
            </w:pPr>
            <w:r w:rsidRPr="00851192">
              <w:rPr>
                <w:rFonts w:ascii="Arial" w:hAnsi="Arial" w:cs="Arial"/>
              </w:rPr>
              <w:t>Researchers rating for clear information</w:t>
            </w:r>
          </w:p>
        </w:tc>
        <w:tc>
          <w:tcPr>
            <w:tcW w:w="2706" w:type="dxa"/>
            <w:tcBorders>
              <w:top w:val="single" w:sz="4" w:space="0" w:color="auto"/>
              <w:left w:val="single" w:sz="4" w:space="0" w:color="auto"/>
              <w:bottom w:val="single" w:sz="4" w:space="0" w:color="auto"/>
              <w:right w:val="single" w:sz="4" w:space="0" w:color="auto"/>
            </w:tcBorders>
            <w:hideMark/>
          </w:tcPr>
          <w:p w14:paraId="0F1FEDDE" w14:textId="77777777" w:rsidR="009B75A0" w:rsidRPr="00851192" w:rsidRDefault="009B75A0" w:rsidP="00F27343">
            <w:pPr>
              <w:jc w:val="center"/>
              <w:rPr>
                <w:rFonts w:ascii="Arial" w:hAnsi="Arial" w:cs="Arial"/>
              </w:rPr>
            </w:pPr>
            <w:r w:rsidRPr="00851192">
              <w:rPr>
                <w:rFonts w:ascii="Arial" w:hAnsi="Arial" w:cs="Arial"/>
              </w:rPr>
              <w:t>Additional Comments</w:t>
            </w:r>
          </w:p>
        </w:tc>
      </w:tr>
      <w:tr w:rsidR="009B75A0" w:rsidRPr="00851192" w14:paraId="7C523DF2"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13510248" w14:textId="77777777" w:rsidR="009B75A0" w:rsidRPr="00851192" w:rsidRDefault="009B75A0" w:rsidP="00F27343">
            <w:pPr>
              <w:jc w:val="center"/>
              <w:rPr>
                <w:rFonts w:ascii="Arial" w:hAnsi="Arial" w:cs="Arial"/>
                <w:b/>
              </w:rPr>
            </w:pPr>
            <w:r w:rsidRPr="00851192">
              <w:rPr>
                <w:rFonts w:ascii="Arial" w:hAnsi="Arial" w:cs="Arial"/>
                <w:b/>
              </w:rPr>
              <w:t>Self-Exclusion Facility</w:t>
            </w:r>
          </w:p>
        </w:tc>
        <w:tc>
          <w:tcPr>
            <w:tcW w:w="1803" w:type="dxa"/>
            <w:tcBorders>
              <w:top w:val="single" w:sz="4" w:space="0" w:color="auto"/>
              <w:left w:val="single" w:sz="4" w:space="0" w:color="auto"/>
              <w:bottom w:val="single" w:sz="4" w:space="0" w:color="auto"/>
              <w:right w:val="single" w:sz="4" w:space="0" w:color="auto"/>
            </w:tcBorders>
            <w:hideMark/>
          </w:tcPr>
          <w:p w14:paraId="25D14439"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tcPr>
          <w:p w14:paraId="6832FDCB" w14:textId="77777777" w:rsidR="009B75A0" w:rsidRPr="00851192" w:rsidRDefault="009B75A0" w:rsidP="00F27343">
            <w:pPr>
              <w:rPr>
                <w:rFonts w:ascii="Arial" w:hAnsi="Arial" w:cs="Arial"/>
              </w:rPr>
            </w:pPr>
          </w:p>
        </w:tc>
        <w:tc>
          <w:tcPr>
            <w:tcW w:w="2681" w:type="dxa"/>
            <w:tcBorders>
              <w:top w:val="single" w:sz="4" w:space="0" w:color="auto"/>
              <w:left w:val="single" w:sz="4" w:space="0" w:color="auto"/>
              <w:bottom w:val="single" w:sz="4" w:space="0" w:color="auto"/>
              <w:right w:val="single" w:sz="4" w:space="0" w:color="auto"/>
            </w:tcBorders>
          </w:tcPr>
          <w:p w14:paraId="073F52B4" w14:textId="77777777" w:rsidR="009B75A0" w:rsidRPr="00851192" w:rsidRDefault="009B75A0" w:rsidP="00F27343">
            <w:pPr>
              <w:rPr>
                <w:rFonts w:ascii="Arial" w:hAnsi="Arial" w:cs="Arial"/>
              </w:rPr>
            </w:pPr>
          </w:p>
        </w:tc>
        <w:tc>
          <w:tcPr>
            <w:tcW w:w="2706" w:type="dxa"/>
            <w:tcBorders>
              <w:top w:val="single" w:sz="4" w:space="0" w:color="auto"/>
              <w:left w:val="single" w:sz="4" w:space="0" w:color="auto"/>
              <w:bottom w:val="single" w:sz="4" w:space="0" w:color="auto"/>
              <w:right w:val="single" w:sz="4" w:space="0" w:color="auto"/>
            </w:tcBorders>
          </w:tcPr>
          <w:p w14:paraId="235483D5" w14:textId="77777777" w:rsidR="009B75A0" w:rsidRPr="00851192" w:rsidRDefault="009B75A0" w:rsidP="00F27343">
            <w:pPr>
              <w:rPr>
                <w:rFonts w:ascii="Arial" w:hAnsi="Arial" w:cs="Arial"/>
              </w:rPr>
            </w:pPr>
          </w:p>
        </w:tc>
      </w:tr>
      <w:tr w:rsidR="009B75A0" w:rsidRPr="00851192" w14:paraId="17B24A42"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7A1F5643" w14:textId="77777777" w:rsidR="009B75A0" w:rsidRPr="00851192" w:rsidRDefault="009B75A0" w:rsidP="00F27343">
            <w:pPr>
              <w:jc w:val="center"/>
              <w:rPr>
                <w:rFonts w:ascii="Arial" w:hAnsi="Arial" w:cs="Arial"/>
              </w:rPr>
            </w:pPr>
            <w:r w:rsidRPr="00851192">
              <w:rPr>
                <w:rFonts w:ascii="Arial" w:hAnsi="Arial" w:cs="Arial"/>
              </w:rPr>
              <w:t>Self-Exclusion Service</w:t>
            </w:r>
          </w:p>
        </w:tc>
        <w:tc>
          <w:tcPr>
            <w:tcW w:w="1803" w:type="dxa"/>
            <w:tcBorders>
              <w:top w:val="single" w:sz="4" w:space="0" w:color="auto"/>
              <w:left w:val="single" w:sz="4" w:space="0" w:color="auto"/>
              <w:bottom w:val="single" w:sz="4" w:space="0" w:color="auto"/>
              <w:right w:val="single" w:sz="4" w:space="0" w:color="auto"/>
            </w:tcBorders>
          </w:tcPr>
          <w:p w14:paraId="1F3D312B" w14:textId="77777777" w:rsidR="009B75A0" w:rsidRPr="00851192" w:rsidRDefault="009B75A0"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0993F699" w14:textId="77777777" w:rsidR="009B75A0" w:rsidRPr="00851192" w:rsidRDefault="009B75A0" w:rsidP="00F27343">
            <w:pPr>
              <w:jc w:val="center"/>
              <w:rPr>
                <w:rFonts w:ascii="Arial" w:hAnsi="Arial" w:cs="Arial"/>
              </w:rPr>
            </w:pPr>
            <w:r w:rsidRPr="00851192">
              <w:rPr>
                <w:rFonts w:ascii="Arial" w:hAnsi="Arial" w:cs="Arial"/>
              </w:rPr>
              <w:t>1</w:t>
            </w:r>
          </w:p>
        </w:tc>
        <w:tc>
          <w:tcPr>
            <w:tcW w:w="2681" w:type="dxa"/>
            <w:tcBorders>
              <w:top w:val="single" w:sz="4" w:space="0" w:color="auto"/>
              <w:left w:val="single" w:sz="4" w:space="0" w:color="auto"/>
              <w:bottom w:val="single" w:sz="4" w:space="0" w:color="auto"/>
              <w:right w:val="single" w:sz="4" w:space="0" w:color="auto"/>
            </w:tcBorders>
            <w:hideMark/>
          </w:tcPr>
          <w:p w14:paraId="0C67F2FF" w14:textId="77777777" w:rsidR="009B75A0" w:rsidRPr="00851192" w:rsidRDefault="009B75A0" w:rsidP="00F27343">
            <w:pPr>
              <w:jc w:val="center"/>
              <w:rPr>
                <w:rFonts w:ascii="Arial" w:hAnsi="Arial" w:cs="Arial"/>
              </w:rPr>
            </w:pPr>
            <w:r w:rsidRPr="00851192">
              <w:rPr>
                <w:rFonts w:ascii="Arial" w:hAnsi="Arial" w:cs="Arial"/>
              </w:rPr>
              <w:t>Adequate</w:t>
            </w:r>
          </w:p>
        </w:tc>
        <w:tc>
          <w:tcPr>
            <w:tcW w:w="2706" w:type="dxa"/>
            <w:tcBorders>
              <w:top w:val="single" w:sz="4" w:space="0" w:color="auto"/>
              <w:left w:val="single" w:sz="4" w:space="0" w:color="auto"/>
              <w:bottom w:val="single" w:sz="4" w:space="0" w:color="auto"/>
              <w:right w:val="single" w:sz="4" w:space="0" w:color="auto"/>
            </w:tcBorders>
            <w:hideMark/>
          </w:tcPr>
          <w:p w14:paraId="0AE1E8F2" w14:textId="77777777" w:rsidR="009B75A0" w:rsidRPr="00851192" w:rsidRDefault="009B75A0" w:rsidP="00F27343">
            <w:pPr>
              <w:rPr>
                <w:rFonts w:ascii="Arial" w:hAnsi="Arial" w:cs="Arial"/>
              </w:rPr>
            </w:pPr>
            <w:r w:rsidRPr="00851192">
              <w:rPr>
                <w:rFonts w:ascii="Arial" w:hAnsi="Arial" w:cs="Arial"/>
              </w:rPr>
              <w:t>The global gambling operator provide a self-</w:t>
            </w:r>
            <w:r w:rsidRPr="00851192">
              <w:rPr>
                <w:rFonts w:ascii="Arial" w:hAnsi="Arial" w:cs="Arial"/>
              </w:rPr>
              <w:lastRenderedPageBreak/>
              <w:t xml:space="preserve">exclusion service. The information is clear and user friendly. </w:t>
            </w:r>
          </w:p>
        </w:tc>
      </w:tr>
      <w:tr w:rsidR="009B75A0" w:rsidRPr="00851192" w14:paraId="25714F7C"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2DD77E40" w14:textId="77777777" w:rsidR="009B75A0" w:rsidRPr="00851192" w:rsidRDefault="009B75A0" w:rsidP="00F27343">
            <w:pPr>
              <w:jc w:val="center"/>
              <w:rPr>
                <w:rFonts w:ascii="Arial" w:hAnsi="Arial" w:cs="Arial"/>
              </w:rPr>
            </w:pPr>
            <w:r w:rsidRPr="00851192">
              <w:rPr>
                <w:rFonts w:ascii="Arial" w:hAnsi="Arial" w:cs="Arial"/>
              </w:rPr>
              <w:lastRenderedPageBreak/>
              <w:t>Flexibility</w:t>
            </w:r>
          </w:p>
        </w:tc>
        <w:tc>
          <w:tcPr>
            <w:tcW w:w="1803" w:type="dxa"/>
            <w:tcBorders>
              <w:top w:val="single" w:sz="4" w:space="0" w:color="auto"/>
              <w:left w:val="single" w:sz="4" w:space="0" w:color="auto"/>
              <w:bottom w:val="single" w:sz="4" w:space="0" w:color="auto"/>
              <w:right w:val="single" w:sz="4" w:space="0" w:color="auto"/>
            </w:tcBorders>
          </w:tcPr>
          <w:p w14:paraId="3F132089" w14:textId="77777777" w:rsidR="009B75A0" w:rsidRPr="00851192" w:rsidRDefault="009B75A0"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5BD405F4" w14:textId="77777777" w:rsidR="009B75A0" w:rsidRPr="00851192" w:rsidRDefault="009B75A0" w:rsidP="00F27343">
            <w:pPr>
              <w:jc w:val="center"/>
              <w:rPr>
                <w:rFonts w:ascii="Arial" w:hAnsi="Arial" w:cs="Arial"/>
              </w:rPr>
            </w:pPr>
            <w:r w:rsidRPr="00851192">
              <w:rPr>
                <w:rFonts w:ascii="Arial" w:hAnsi="Arial" w:cs="Arial"/>
              </w:rPr>
              <w:t>0</w:t>
            </w:r>
          </w:p>
        </w:tc>
        <w:tc>
          <w:tcPr>
            <w:tcW w:w="2681" w:type="dxa"/>
            <w:tcBorders>
              <w:top w:val="single" w:sz="4" w:space="0" w:color="auto"/>
              <w:left w:val="single" w:sz="4" w:space="0" w:color="auto"/>
              <w:bottom w:val="single" w:sz="4" w:space="0" w:color="auto"/>
              <w:right w:val="single" w:sz="4" w:space="0" w:color="auto"/>
            </w:tcBorders>
            <w:hideMark/>
          </w:tcPr>
          <w:p w14:paraId="6FF547D7" w14:textId="77777777" w:rsidR="009B75A0" w:rsidRPr="00851192" w:rsidRDefault="009B75A0" w:rsidP="00F27343">
            <w:pPr>
              <w:jc w:val="center"/>
              <w:rPr>
                <w:rFonts w:ascii="Arial" w:hAnsi="Arial" w:cs="Arial"/>
              </w:rPr>
            </w:pPr>
            <w:r w:rsidRPr="00851192">
              <w:rPr>
                <w:rFonts w:ascii="Arial" w:hAnsi="Arial" w:cs="Arial"/>
              </w:rPr>
              <w:t>None</w:t>
            </w:r>
          </w:p>
        </w:tc>
        <w:tc>
          <w:tcPr>
            <w:tcW w:w="2706" w:type="dxa"/>
            <w:tcBorders>
              <w:top w:val="single" w:sz="4" w:space="0" w:color="auto"/>
              <w:left w:val="single" w:sz="4" w:space="0" w:color="auto"/>
              <w:bottom w:val="single" w:sz="4" w:space="0" w:color="auto"/>
              <w:right w:val="single" w:sz="4" w:space="0" w:color="auto"/>
            </w:tcBorders>
            <w:hideMark/>
          </w:tcPr>
          <w:p w14:paraId="2FD1FA05" w14:textId="77777777" w:rsidR="009B75A0" w:rsidRPr="00851192" w:rsidRDefault="009B75A0" w:rsidP="00F27343">
            <w:pPr>
              <w:rPr>
                <w:rFonts w:ascii="Arial" w:hAnsi="Arial" w:cs="Arial"/>
              </w:rPr>
            </w:pPr>
            <w:r w:rsidRPr="00851192">
              <w:rPr>
                <w:rFonts w:ascii="Arial" w:hAnsi="Arial" w:cs="Arial"/>
              </w:rPr>
              <w:t xml:space="preserve">Within the self-exclusion facility provided by the global gambling operator, a fixed period is provided for the user which limits their flexibility. Although self-exclusion may help a problem gambler, it does not defeat the opportunity to gamble. </w:t>
            </w:r>
          </w:p>
        </w:tc>
      </w:tr>
    </w:tbl>
    <w:p w14:paraId="07030E55" w14:textId="77777777" w:rsidR="009B75A0" w:rsidRPr="00851192" w:rsidRDefault="009B75A0" w:rsidP="009B75A0">
      <w:pPr>
        <w:rPr>
          <w:rFonts w:ascii="Arial" w:hAnsi="Arial" w:cs="Arial"/>
        </w:rPr>
      </w:pPr>
    </w:p>
    <w:p w14:paraId="1B4994E5" w14:textId="77777777" w:rsidR="009B75A0" w:rsidRPr="00851192" w:rsidRDefault="009B75A0" w:rsidP="009B75A0">
      <w:pPr>
        <w:jc w:val="center"/>
        <w:rPr>
          <w:rFonts w:ascii="Arial" w:hAnsi="Arial" w:cs="Arial"/>
        </w:rPr>
      </w:pPr>
      <w:proofErr w:type="spellStart"/>
      <w:r w:rsidRPr="00851192">
        <w:rPr>
          <w:rFonts w:ascii="Arial" w:hAnsi="Arial" w:cs="Arial"/>
        </w:rPr>
        <w:t>Bwin</w:t>
      </w:r>
      <w:proofErr w:type="spellEnd"/>
    </w:p>
    <w:tbl>
      <w:tblPr>
        <w:tblStyle w:val="TableGrid"/>
        <w:tblW w:w="9918" w:type="dxa"/>
        <w:tblLook w:val="04A0" w:firstRow="1" w:lastRow="0" w:firstColumn="1" w:lastColumn="0" w:noHBand="0" w:noVBand="1"/>
      </w:tblPr>
      <w:tblGrid>
        <w:gridCol w:w="1797"/>
        <w:gridCol w:w="1786"/>
        <w:gridCol w:w="975"/>
        <w:gridCol w:w="2666"/>
        <w:gridCol w:w="2694"/>
      </w:tblGrid>
      <w:tr w:rsidR="009B75A0" w:rsidRPr="00851192" w14:paraId="2D78054E" w14:textId="77777777" w:rsidTr="00F27343">
        <w:trPr>
          <w:trHeight w:val="986"/>
        </w:trPr>
        <w:tc>
          <w:tcPr>
            <w:tcW w:w="1803" w:type="dxa"/>
            <w:tcBorders>
              <w:top w:val="single" w:sz="4" w:space="0" w:color="auto"/>
              <w:left w:val="single" w:sz="4" w:space="0" w:color="auto"/>
              <w:bottom w:val="single" w:sz="4" w:space="0" w:color="auto"/>
              <w:right w:val="single" w:sz="4" w:space="0" w:color="auto"/>
            </w:tcBorders>
            <w:hideMark/>
          </w:tcPr>
          <w:p w14:paraId="70E1C9A3" w14:textId="77777777" w:rsidR="009B75A0" w:rsidRPr="00851192" w:rsidRDefault="009B75A0" w:rsidP="00F27343">
            <w:pPr>
              <w:jc w:val="center"/>
              <w:rPr>
                <w:rFonts w:ascii="Arial" w:hAnsi="Arial" w:cs="Arial"/>
              </w:rPr>
            </w:pPr>
            <w:r w:rsidRPr="00851192">
              <w:rPr>
                <w:rFonts w:ascii="Arial" w:hAnsi="Arial" w:cs="Arial"/>
              </w:rPr>
              <w:t>Categories</w:t>
            </w:r>
          </w:p>
        </w:tc>
        <w:tc>
          <w:tcPr>
            <w:tcW w:w="1803" w:type="dxa"/>
            <w:tcBorders>
              <w:top w:val="single" w:sz="4" w:space="0" w:color="auto"/>
              <w:left w:val="single" w:sz="4" w:space="0" w:color="auto"/>
              <w:bottom w:val="single" w:sz="4" w:space="0" w:color="auto"/>
              <w:right w:val="single" w:sz="4" w:space="0" w:color="auto"/>
            </w:tcBorders>
            <w:hideMark/>
          </w:tcPr>
          <w:p w14:paraId="2101781D" w14:textId="77777777" w:rsidR="009B75A0" w:rsidRPr="00851192" w:rsidRDefault="009B75A0" w:rsidP="00F27343">
            <w:pPr>
              <w:jc w:val="center"/>
              <w:rPr>
                <w:rFonts w:ascii="Arial" w:hAnsi="Arial" w:cs="Arial"/>
                <w:b/>
              </w:rPr>
            </w:pPr>
            <w:r w:rsidRPr="00851192">
              <w:rPr>
                <w:rFonts w:ascii="Segoe UI Symbol" w:hAnsi="Segoe UI Symbol" w:cs="Segoe UI Symbol"/>
                <w:b/>
                <w:shd w:val="clear" w:color="auto" w:fill="FFFFFF"/>
              </w:rPr>
              <w:t>✓</w:t>
            </w:r>
            <w:r w:rsidRPr="00851192">
              <w:rPr>
                <w:rFonts w:ascii="Arial" w:hAnsi="Arial" w:cs="Arial"/>
                <w:b/>
                <w:shd w:val="clear" w:color="auto" w:fill="FFFFFF"/>
              </w:rPr>
              <w:t xml:space="preserve"> / </w:t>
            </w: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hideMark/>
          </w:tcPr>
          <w:p w14:paraId="5069BACA" w14:textId="77777777" w:rsidR="009B75A0" w:rsidRPr="00851192" w:rsidRDefault="009B75A0" w:rsidP="00F27343">
            <w:pPr>
              <w:jc w:val="center"/>
              <w:rPr>
                <w:rFonts w:ascii="Arial" w:hAnsi="Arial" w:cs="Arial"/>
              </w:rPr>
            </w:pPr>
            <w:r w:rsidRPr="00851192">
              <w:rPr>
                <w:rFonts w:ascii="Arial" w:hAnsi="Arial" w:cs="Arial"/>
              </w:rPr>
              <w:t>Present or Not Present</w:t>
            </w:r>
          </w:p>
        </w:tc>
        <w:tc>
          <w:tcPr>
            <w:tcW w:w="2681" w:type="dxa"/>
            <w:tcBorders>
              <w:top w:val="single" w:sz="4" w:space="0" w:color="auto"/>
              <w:left w:val="single" w:sz="4" w:space="0" w:color="auto"/>
              <w:bottom w:val="single" w:sz="4" w:space="0" w:color="auto"/>
              <w:right w:val="single" w:sz="4" w:space="0" w:color="auto"/>
            </w:tcBorders>
            <w:hideMark/>
          </w:tcPr>
          <w:p w14:paraId="032FB173" w14:textId="77777777" w:rsidR="009B75A0" w:rsidRPr="00851192" w:rsidRDefault="009B75A0" w:rsidP="00F27343">
            <w:pPr>
              <w:jc w:val="center"/>
              <w:rPr>
                <w:rFonts w:ascii="Arial" w:hAnsi="Arial" w:cs="Arial"/>
              </w:rPr>
            </w:pPr>
            <w:r w:rsidRPr="00851192">
              <w:rPr>
                <w:rFonts w:ascii="Arial" w:hAnsi="Arial" w:cs="Arial"/>
              </w:rPr>
              <w:t>Researchers rating for clear information</w:t>
            </w:r>
          </w:p>
        </w:tc>
        <w:tc>
          <w:tcPr>
            <w:tcW w:w="2706" w:type="dxa"/>
            <w:tcBorders>
              <w:top w:val="single" w:sz="4" w:space="0" w:color="auto"/>
              <w:left w:val="single" w:sz="4" w:space="0" w:color="auto"/>
              <w:bottom w:val="single" w:sz="4" w:space="0" w:color="auto"/>
              <w:right w:val="single" w:sz="4" w:space="0" w:color="auto"/>
            </w:tcBorders>
            <w:hideMark/>
          </w:tcPr>
          <w:p w14:paraId="57B748FD" w14:textId="77777777" w:rsidR="009B75A0" w:rsidRPr="00851192" w:rsidRDefault="009B75A0" w:rsidP="00F27343">
            <w:pPr>
              <w:jc w:val="center"/>
              <w:rPr>
                <w:rFonts w:ascii="Arial" w:hAnsi="Arial" w:cs="Arial"/>
              </w:rPr>
            </w:pPr>
            <w:r w:rsidRPr="00851192">
              <w:rPr>
                <w:rFonts w:ascii="Arial" w:hAnsi="Arial" w:cs="Arial"/>
              </w:rPr>
              <w:t>Additional Comments</w:t>
            </w:r>
          </w:p>
        </w:tc>
      </w:tr>
      <w:tr w:rsidR="009B75A0" w:rsidRPr="00851192" w14:paraId="4F678F25"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70704152" w14:textId="77777777" w:rsidR="009B75A0" w:rsidRPr="00851192" w:rsidRDefault="009B75A0" w:rsidP="00F27343">
            <w:pPr>
              <w:jc w:val="center"/>
              <w:rPr>
                <w:rFonts w:ascii="Arial" w:hAnsi="Arial" w:cs="Arial"/>
                <w:b/>
              </w:rPr>
            </w:pPr>
            <w:r w:rsidRPr="00851192">
              <w:rPr>
                <w:rFonts w:ascii="Arial" w:hAnsi="Arial" w:cs="Arial"/>
                <w:b/>
              </w:rPr>
              <w:t>Self-Exclusion Facility</w:t>
            </w:r>
          </w:p>
        </w:tc>
        <w:tc>
          <w:tcPr>
            <w:tcW w:w="1803" w:type="dxa"/>
            <w:tcBorders>
              <w:top w:val="single" w:sz="4" w:space="0" w:color="auto"/>
              <w:left w:val="single" w:sz="4" w:space="0" w:color="auto"/>
              <w:bottom w:val="single" w:sz="4" w:space="0" w:color="auto"/>
              <w:right w:val="single" w:sz="4" w:space="0" w:color="auto"/>
            </w:tcBorders>
            <w:hideMark/>
          </w:tcPr>
          <w:p w14:paraId="1D86EBA4"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tcPr>
          <w:p w14:paraId="5C0AA800" w14:textId="77777777" w:rsidR="009B75A0" w:rsidRPr="00851192" w:rsidRDefault="009B75A0" w:rsidP="00F27343">
            <w:pPr>
              <w:rPr>
                <w:rFonts w:ascii="Arial" w:hAnsi="Arial" w:cs="Arial"/>
              </w:rPr>
            </w:pPr>
          </w:p>
        </w:tc>
        <w:tc>
          <w:tcPr>
            <w:tcW w:w="2681" w:type="dxa"/>
            <w:tcBorders>
              <w:top w:val="single" w:sz="4" w:space="0" w:color="auto"/>
              <w:left w:val="single" w:sz="4" w:space="0" w:color="auto"/>
              <w:bottom w:val="single" w:sz="4" w:space="0" w:color="auto"/>
              <w:right w:val="single" w:sz="4" w:space="0" w:color="auto"/>
            </w:tcBorders>
          </w:tcPr>
          <w:p w14:paraId="1FDBF566" w14:textId="77777777" w:rsidR="009B75A0" w:rsidRPr="00851192" w:rsidRDefault="009B75A0" w:rsidP="00F27343">
            <w:pPr>
              <w:rPr>
                <w:rFonts w:ascii="Arial" w:hAnsi="Arial" w:cs="Arial"/>
              </w:rPr>
            </w:pPr>
          </w:p>
        </w:tc>
        <w:tc>
          <w:tcPr>
            <w:tcW w:w="2706" w:type="dxa"/>
            <w:tcBorders>
              <w:top w:val="single" w:sz="4" w:space="0" w:color="auto"/>
              <w:left w:val="single" w:sz="4" w:space="0" w:color="auto"/>
              <w:bottom w:val="single" w:sz="4" w:space="0" w:color="auto"/>
              <w:right w:val="single" w:sz="4" w:space="0" w:color="auto"/>
            </w:tcBorders>
          </w:tcPr>
          <w:p w14:paraId="54620506" w14:textId="77777777" w:rsidR="009B75A0" w:rsidRPr="00851192" w:rsidRDefault="009B75A0" w:rsidP="00F27343">
            <w:pPr>
              <w:rPr>
                <w:rFonts w:ascii="Arial" w:hAnsi="Arial" w:cs="Arial"/>
              </w:rPr>
            </w:pPr>
          </w:p>
        </w:tc>
      </w:tr>
      <w:tr w:rsidR="009B75A0" w:rsidRPr="00851192" w14:paraId="61567DDF"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52EB61B8" w14:textId="77777777" w:rsidR="009B75A0" w:rsidRPr="00851192" w:rsidRDefault="009B75A0" w:rsidP="00F27343">
            <w:pPr>
              <w:jc w:val="center"/>
              <w:rPr>
                <w:rFonts w:ascii="Arial" w:hAnsi="Arial" w:cs="Arial"/>
              </w:rPr>
            </w:pPr>
            <w:r w:rsidRPr="00851192">
              <w:rPr>
                <w:rFonts w:ascii="Arial" w:hAnsi="Arial" w:cs="Arial"/>
              </w:rPr>
              <w:t>Self-Exclusion Service</w:t>
            </w:r>
          </w:p>
        </w:tc>
        <w:tc>
          <w:tcPr>
            <w:tcW w:w="1803" w:type="dxa"/>
            <w:tcBorders>
              <w:top w:val="single" w:sz="4" w:space="0" w:color="auto"/>
              <w:left w:val="single" w:sz="4" w:space="0" w:color="auto"/>
              <w:bottom w:val="single" w:sz="4" w:space="0" w:color="auto"/>
              <w:right w:val="single" w:sz="4" w:space="0" w:color="auto"/>
            </w:tcBorders>
          </w:tcPr>
          <w:p w14:paraId="2B10C389" w14:textId="77777777" w:rsidR="009B75A0" w:rsidRPr="00851192" w:rsidRDefault="009B75A0"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3D2A23A1" w14:textId="77777777" w:rsidR="009B75A0" w:rsidRPr="00851192" w:rsidRDefault="009B75A0" w:rsidP="00F27343">
            <w:pPr>
              <w:jc w:val="center"/>
              <w:rPr>
                <w:rFonts w:ascii="Arial" w:hAnsi="Arial" w:cs="Arial"/>
              </w:rPr>
            </w:pPr>
            <w:r w:rsidRPr="00851192">
              <w:rPr>
                <w:rFonts w:ascii="Arial" w:hAnsi="Arial" w:cs="Arial"/>
              </w:rPr>
              <w:t>1</w:t>
            </w:r>
          </w:p>
        </w:tc>
        <w:tc>
          <w:tcPr>
            <w:tcW w:w="2681" w:type="dxa"/>
            <w:tcBorders>
              <w:top w:val="single" w:sz="4" w:space="0" w:color="auto"/>
              <w:left w:val="single" w:sz="4" w:space="0" w:color="auto"/>
              <w:bottom w:val="single" w:sz="4" w:space="0" w:color="auto"/>
              <w:right w:val="single" w:sz="4" w:space="0" w:color="auto"/>
            </w:tcBorders>
            <w:hideMark/>
          </w:tcPr>
          <w:p w14:paraId="14A5AE8F" w14:textId="77777777" w:rsidR="009B75A0" w:rsidRPr="00851192" w:rsidRDefault="009B75A0" w:rsidP="00F27343">
            <w:pPr>
              <w:jc w:val="center"/>
              <w:rPr>
                <w:rFonts w:ascii="Arial" w:hAnsi="Arial" w:cs="Arial"/>
              </w:rPr>
            </w:pPr>
            <w:r w:rsidRPr="00851192">
              <w:rPr>
                <w:rFonts w:ascii="Arial" w:hAnsi="Arial" w:cs="Arial"/>
              </w:rPr>
              <w:t>High</w:t>
            </w:r>
          </w:p>
        </w:tc>
        <w:tc>
          <w:tcPr>
            <w:tcW w:w="2706" w:type="dxa"/>
            <w:tcBorders>
              <w:top w:val="single" w:sz="4" w:space="0" w:color="auto"/>
              <w:left w:val="single" w:sz="4" w:space="0" w:color="auto"/>
              <w:bottom w:val="single" w:sz="4" w:space="0" w:color="auto"/>
              <w:right w:val="single" w:sz="4" w:space="0" w:color="auto"/>
            </w:tcBorders>
            <w:hideMark/>
          </w:tcPr>
          <w:p w14:paraId="332659F9" w14:textId="77777777" w:rsidR="009B75A0" w:rsidRPr="00851192" w:rsidRDefault="009B75A0" w:rsidP="00F27343">
            <w:pPr>
              <w:rPr>
                <w:rFonts w:ascii="Arial" w:hAnsi="Arial" w:cs="Arial"/>
              </w:rPr>
            </w:pPr>
            <w:r w:rsidRPr="00851192">
              <w:rPr>
                <w:rFonts w:ascii="Arial" w:hAnsi="Arial" w:cs="Arial"/>
              </w:rPr>
              <w:t xml:space="preserve">The global gambling operator provide a self-exclusion service. The information very comprehensive and interactive with the user by asking engaging questions about possibly coming to a self-realisation of problem gambling. </w:t>
            </w:r>
          </w:p>
        </w:tc>
      </w:tr>
      <w:tr w:rsidR="009B75A0" w:rsidRPr="00851192" w14:paraId="04A4F3BD"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4E27BABD" w14:textId="77777777" w:rsidR="009B75A0" w:rsidRPr="00851192" w:rsidRDefault="009B75A0" w:rsidP="00F27343">
            <w:pPr>
              <w:jc w:val="center"/>
              <w:rPr>
                <w:rFonts w:ascii="Arial" w:hAnsi="Arial" w:cs="Arial"/>
              </w:rPr>
            </w:pPr>
            <w:r w:rsidRPr="00851192">
              <w:rPr>
                <w:rFonts w:ascii="Arial" w:hAnsi="Arial" w:cs="Arial"/>
              </w:rPr>
              <w:t>Flexibility</w:t>
            </w:r>
          </w:p>
        </w:tc>
        <w:tc>
          <w:tcPr>
            <w:tcW w:w="1803" w:type="dxa"/>
            <w:tcBorders>
              <w:top w:val="single" w:sz="4" w:space="0" w:color="auto"/>
              <w:left w:val="single" w:sz="4" w:space="0" w:color="auto"/>
              <w:bottom w:val="single" w:sz="4" w:space="0" w:color="auto"/>
              <w:right w:val="single" w:sz="4" w:space="0" w:color="auto"/>
            </w:tcBorders>
          </w:tcPr>
          <w:p w14:paraId="6533BF9F" w14:textId="77777777" w:rsidR="009B75A0" w:rsidRPr="00851192" w:rsidRDefault="009B75A0"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0D4B243C" w14:textId="77777777" w:rsidR="009B75A0" w:rsidRPr="00851192" w:rsidRDefault="009B75A0" w:rsidP="00F27343">
            <w:pPr>
              <w:jc w:val="center"/>
              <w:rPr>
                <w:rFonts w:ascii="Arial" w:hAnsi="Arial" w:cs="Arial"/>
              </w:rPr>
            </w:pPr>
            <w:r w:rsidRPr="00851192">
              <w:rPr>
                <w:rFonts w:ascii="Arial" w:hAnsi="Arial" w:cs="Arial"/>
              </w:rPr>
              <w:t>1</w:t>
            </w:r>
          </w:p>
        </w:tc>
        <w:tc>
          <w:tcPr>
            <w:tcW w:w="2681" w:type="dxa"/>
            <w:tcBorders>
              <w:top w:val="single" w:sz="4" w:space="0" w:color="auto"/>
              <w:left w:val="single" w:sz="4" w:space="0" w:color="auto"/>
              <w:bottom w:val="single" w:sz="4" w:space="0" w:color="auto"/>
              <w:right w:val="single" w:sz="4" w:space="0" w:color="auto"/>
            </w:tcBorders>
            <w:hideMark/>
          </w:tcPr>
          <w:p w14:paraId="16B9D3BD" w14:textId="77777777" w:rsidR="009B75A0" w:rsidRPr="00851192" w:rsidRDefault="009B75A0" w:rsidP="00F27343">
            <w:pPr>
              <w:jc w:val="center"/>
              <w:rPr>
                <w:rFonts w:ascii="Arial" w:hAnsi="Arial" w:cs="Arial"/>
              </w:rPr>
            </w:pPr>
            <w:r w:rsidRPr="00851192">
              <w:rPr>
                <w:rFonts w:ascii="Arial" w:hAnsi="Arial" w:cs="Arial"/>
              </w:rPr>
              <w:t>Adequate</w:t>
            </w:r>
          </w:p>
        </w:tc>
        <w:tc>
          <w:tcPr>
            <w:tcW w:w="2706" w:type="dxa"/>
            <w:tcBorders>
              <w:top w:val="single" w:sz="4" w:space="0" w:color="auto"/>
              <w:left w:val="single" w:sz="4" w:space="0" w:color="auto"/>
              <w:bottom w:val="single" w:sz="4" w:space="0" w:color="auto"/>
              <w:right w:val="single" w:sz="4" w:space="0" w:color="auto"/>
            </w:tcBorders>
            <w:hideMark/>
          </w:tcPr>
          <w:p w14:paraId="71FCA724" w14:textId="77777777" w:rsidR="009B75A0" w:rsidRPr="00851192" w:rsidRDefault="009B75A0" w:rsidP="00F27343">
            <w:pPr>
              <w:rPr>
                <w:rFonts w:ascii="Arial" w:hAnsi="Arial" w:cs="Arial"/>
              </w:rPr>
            </w:pPr>
            <w:r w:rsidRPr="00851192">
              <w:rPr>
                <w:rFonts w:ascii="Arial" w:hAnsi="Arial" w:cs="Arial"/>
              </w:rPr>
              <w:t xml:space="preserve">Within the self-exclusion facility provided by the global gambling operator, a specified and fixed period is provided for the user alongside a custom measurement of time. Although self-exclusion may help a problem gambler, it does not defeat the opportunity to gamble. </w:t>
            </w:r>
          </w:p>
        </w:tc>
      </w:tr>
    </w:tbl>
    <w:p w14:paraId="47273D40" w14:textId="77777777" w:rsidR="009B75A0" w:rsidRPr="00851192" w:rsidRDefault="009B75A0" w:rsidP="009B75A0">
      <w:pPr>
        <w:rPr>
          <w:rFonts w:ascii="Arial" w:hAnsi="Arial" w:cs="Arial"/>
        </w:rPr>
      </w:pPr>
    </w:p>
    <w:p w14:paraId="4765A4CE" w14:textId="77777777" w:rsidR="009B75A0" w:rsidRPr="00851192" w:rsidRDefault="009B75A0" w:rsidP="009B75A0">
      <w:pPr>
        <w:jc w:val="center"/>
        <w:rPr>
          <w:rFonts w:ascii="Arial" w:hAnsi="Arial" w:cs="Arial"/>
        </w:rPr>
      </w:pPr>
      <w:r w:rsidRPr="00851192">
        <w:rPr>
          <w:rFonts w:ascii="Arial" w:hAnsi="Arial" w:cs="Arial"/>
        </w:rPr>
        <w:t>Asia Gaming</w:t>
      </w:r>
    </w:p>
    <w:tbl>
      <w:tblPr>
        <w:tblStyle w:val="TableGrid"/>
        <w:tblW w:w="9918" w:type="dxa"/>
        <w:tblLook w:val="04A0" w:firstRow="1" w:lastRow="0" w:firstColumn="1" w:lastColumn="0" w:noHBand="0" w:noVBand="1"/>
      </w:tblPr>
      <w:tblGrid>
        <w:gridCol w:w="1797"/>
        <w:gridCol w:w="1788"/>
        <w:gridCol w:w="975"/>
        <w:gridCol w:w="2668"/>
        <w:gridCol w:w="2690"/>
      </w:tblGrid>
      <w:tr w:rsidR="009B75A0" w:rsidRPr="00851192" w14:paraId="42C2849F" w14:textId="77777777" w:rsidTr="00F27343">
        <w:trPr>
          <w:trHeight w:val="986"/>
        </w:trPr>
        <w:tc>
          <w:tcPr>
            <w:tcW w:w="1803" w:type="dxa"/>
            <w:tcBorders>
              <w:top w:val="single" w:sz="4" w:space="0" w:color="auto"/>
              <w:left w:val="single" w:sz="4" w:space="0" w:color="auto"/>
              <w:bottom w:val="single" w:sz="4" w:space="0" w:color="auto"/>
              <w:right w:val="single" w:sz="4" w:space="0" w:color="auto"/>
            </w:tcBorders>
            <w:hideMark/>
          </w:tcPr>
          <w:p w14:paraId="21704389" w14:textId="77777777" w:rsidR="009B75A0" w:rsidRPr="00851192" w:rsidRDefault="009B75A0" w:rsidP="00F27343">
            <w:pPr>
              <w:jc w:val="center"/>
              <w:rPr>
                <w:rFonts w:ascii="Arial" w:hAnsi="Arial" w:cs="Arial"/>
              </w:rPr>
            </w:pPr>
            <w:r w:rsidRPr="00851192">
              <w:rPr>
                <w:rFonts w:ascii="Arial" w:hAnsi="Arial" w:cs="Arial"/>
              </w:rPr>
              <w:t>Categories</w:t>
            </w:r>
          </w:p>
        </w:tc>
        <w:tc>
          <w:tcPr>
            <w:tcW w:w="1803" w:type="dxa"/>
            <w:tcBorders>
              <w:top w:val="single" w:sz="4" w:space="0" w:color="auto"/>
              <w:left w:val="single" w:sz="4" w:space="0" w:color="auto"/>
              <w:bottom w:val="single" w:sz="4" w:space="0" w:color="auto"/>
              <w:right w:val="single" w:sz="4" w:space="0" w:color="auto"/>
            </w:tcBorders>
            <w:hideMark/>
          </w:tcPr>
          <w:p w14:paraId="6ADBAA4C" w14:textId="77777777" w:rsidR="009B75A0" w:rsidRPr="00851192" w:rsidRDefault="009B75A0" w:rsidP="00F27343">
            <w:pPr>
              <w:jc w:val="center"/>
              <w:rPr>
                <w:rFonts w:ascii="Arial" w:hAnsi="Arial" w:cs="Arial"/>
                <w:b/>
              </w:rPr>
            </w:pPr>
            <w:r w:rsidRPr="00851192">
              <w:rPr>
                <w:rFonts w:ascii="Segoe UI Symbol" w:hAnsi="Segoe UI Symbol" w:cs="Segoe UI Symbol"/>
                <w:b/>
                <w:shd w:val="clear" w:color="auto" w:fill="FFFFFF"/>
              </w:rPr>
              <w:t>✓</w:t>
            </w:r>
            <w:r w:rsidRPr="00851192">
              <w:rPr>
                <w:rFonts w:ascii="Arial" w:hAnsi="Arial" w:cs="Arial"/>
                <w:b/>
                <w:shd w:val="clear" w:color="auto" w:fill="FFFFFF"/>
              </w:rPr>
              <w:t xml:space="preserve"> / </w:t>
            </w: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hideMark/>
          </w:tcPr>
          <w:p w14:paraId="0821030C" w14:textId="77777777" w:rsidR="009B75A0" w:rsidRPr="00851192" w:rsidRDefault="009B75A0" w:rsidP="00F27343">
            <w:pPr>
              <w:jc w:val="center"/>
              <w:rPr>
                <w:rFonts w:ascii="Arial" w:hAnsi="Arial" w:cs="Arial"/>
              </w:rPr>
            </w:pPr>
            <w:r w:rsidRPr="00851192">
              <w:rPr>
                <w:rFonts w:ascii="Arial" w:hAnsi="Arial" w:cs="Arial"/>
              </w:rPr>
              <w:t>Present or Not Present</w:t>
            </w:r>
          </w:p>
        </w:tc>
        <w:tc>
          <w:tcPr>
            <w:tcW w:w="2681" w:type="dxa"/>
            <w:tcBorders>
              <w:top w:val="single" w:sz="4" w:space="0" w:color="auto"/>
              <w:left w:val="single" w:sz="4" w:space="0" w:color="auto"/>
              <w:bottom w:val="single" w:sz="4" w:space="0" w:color="auto"/>
              <w:right w:val="single" w:sz="4" w:space="0" w:color="auto"/>
            </w:tcBorders>
            <w:hideMark/>
          </w:tcPr>
          <w:p w14:paraId="757EAA50" w14:textId="77777777" w:rsidR="009B75A0" w:rsidRPr="00851192" w:rsidRDefault="009B75A0" w:rsidP="00F27343">
            <w:pPr>
              <w:jc w:val="center"/>
              <w:rPr>
                <w:rFonts w:ascii="Arial" w:hAnsi="Arial" w:cs="Arial"/>
              </w:rPr>
            </w:pPr>
            <w:r w:rsidRPr="00851192">
              <w:rPr>
                <w:rFonts w:ascii="Arial" w:hAnsi="Arial" w:cs="Arial"/>
              </w:rPr>
              <w:t>Researchers rating for clear information</w:t>
            </w:r>
          </w:p>
        </w:tc>
        <w:tc>
          <w:tcPr>
            <w:tcW w:w="2706" w:type="dxa"/>
            <w:tcBorders>
              <w:top w:val="single" w:sz="4" w:space="0" w:color="auto"/>
              <w:left w:val="single" w:sz="4" w:space="0" w:color="auto"/>
              <w:bottom w:val="single" w:sz="4" w:space="0" w:color="auto"/>
              <w:right w:val="single" w:sz="4" w:space="0" w:color="auto"/>
            </w:tcBorders>
            <w:hideMark/>
          </w:tcPr>
          <w:p w14:paraId="1758BFCB" w14:textId="77777777" w:rsidR="009B75A0" w:rsidRPr="00851192" w:rsidRDefault="009B75A0" w:rsidP="00F27343">
            <w:pPr>
              <w:jc w:val="center"/>
              <w:rPr>
                <w:rFonts w:ascii="Arial" w:hAnsi="Arial" w:cs="Arial"/>
              </w:rPr>
            </w:pPr>
            <w:r w:rsidRPr="00851192">
              <w:rPr>
                <w:rFonts w:ascii="Arial" w:hAnsi="Arial" w:cs="Arial"/>
              </w:rPr>
              <w:t>Additional Comments</w:t>
            </w:r>
          </w:p>
        </w:tc>
      </w:tr>
      <w:tr w:rsidR="009B75A0" w:rsidRPr="00851192" w14:paraId="30D514E8"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3B66923E" w14:textId="77777777" w:rsidR="009B75A0" w:rsidRPr="00851192" w:rsidRDefault="009B75A0" w:rsidP="00F27343">
            <w:pPr>
              <w:jc w:val="center"/>
              <w:rPr>
                <w:rFonts w:ascii="Arial" w:hAnsi="Arial" w:cs="Arial"/>
                <w:b/>
              </w:rPr>
            </w:pPr>
            <w:r w:rsidRPr="00851192">
              <w:rPr>
                <w:rFonts w:ascii="Arial" w:hAnsi="Arial" w:cs="Arial"/>
                <w:b/>
              </w:rPr>
              <w:lastRenderedPageBreak/>
              <w:t>Self-Exclusion Facility</w:t>
            </w:r>
          </w:p>
        </w:tc>
        <w:tc>
          <w:tcPr>
            <w:tcW w:w="1803" w:type="dxa"/>
            <w:tcBorders>
              <w:top w:val="single" w:sz="4" w:space="0" w:color="auto"/>
              <w:left w:val="single" w:sz="4" w:space="0" w:color="auto"/>
              <w:bottom w:val="single" w:sz="4" w:space="0" w:color="auto"/>
              <w:right w:val="single" w:sz="4" w:space="0" w:color="auto"/>
            </w:tcBorders>
            <w:hideMark/>
          </w:tcPr>
          <w:p w14:paraId="69051D20"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tcPr>
          <w:p w14:paraId="043B5535" w14:textId="77777777" w:rsidR="009B75A0" w:rsidRPr="00851192" w:rsidRDefault="009B75A0" w:rsidP="00F27343">
            <w:pPr>
              <w:rPr>
                <w:rFonts w:ascii="Arial" w:hAnsi="Arial" w:cs="Arial"/>
              </w:rPr>
            </w:pPr>
          </w:p>
        </w:tc>
        <w:tc>
          <w:tcPr>
            <w:tcW w:w="2681" w:type="dxa"/>
            <w:tcBorders>
              <w:top w:val="single" w:sz="4" w:space="0" w:color="auto"/>
              <w:left w:val="single" w:sz="4" w:space="0" w:color="auto"/>
              <w:bottom w:val="single" w:sz="4" w:space="0" w:color="auto"/>
              <w:right w:val="single" w:sz="4" w:space="0" w:color="auto"/>
            </w:tcBorders>
          </w:tcPr>
          <w:p w14:paraId="73407A0A" w14:textId="77777777" w:rsidR="009B75A0" w:rsidRPr="00851192" w:rsidRDefault="009B75A0" w:rsidP="00F27343">
            <w:pPr>
              <w:rPr>
                <w:rFonts w:ascii="Arial" w:hAnsi="Arial" w:cs="Arial"/>
              </w:rPr>
            </w:pPr>
          </w:p>
        </w:tc>
        <w:tc>
          <w:tcPr>
            <w:tcW w:w="2706" w:type="dxa"/>
            <w:tcBorders>
              <w:top w:val="single" w:sz="4" w:space="0" w:color="auto"/>
              <w:left w:val="single" w:sz="4" w:space="0" w:color="auto"/>
              <w:bottom w:val="single" w:sz="4" w:space="0" w:color="auto"/>
              <w:right w:val="single" w:sz="4" w:space="0" w:color="auto"/>
            </w:tcBorders>
          </w:tcPr>
          <w:p w14:paraId="0B96BCC9" w14:textId="77777777" w:rsidR="009B75A0" w:rsidRPr="00851192" w:rsidRDefault="009B75A0" w:rsidP="00F27343">
            <w:pPr>
              <w:rPr>
                <w:rFonts w:ascii="Arial" w:hAnsi="Arial" w:cs="Arial"/>
              </w:rPr>
            </w:pPr>
          </w:p>
        </w:tc>
      </w:tr>
      <w:tr w:rsidR="009B75A0" w:rsidRPr="00851192" w14:paraId="1E516F15"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798FD05C" w14:textId="77777777" w:rsidR="009B75A0" w:rsidRPr="00851192" w:rsidRDefault="009B75A0" w:rsidP="00F27343">
            <w:pPr>
              <w:jc w:val="center"/>
              <w:rPr>
                <w:rFonts w:ascii="Arial" w:hAnsi="Arial" w:cs="Arial"/>
              </w:rPr>
            </w:pPr>
            <w:r w:rsidRPr="00851192">
              <w:rPr>
                <w:rFonts w:ascii="Arial" w:hAnsi="Arial" w:cs="Arial"/>
              </w:rPr>
              <w:t>Self-Exclusion Service</w:t>
            </w:r>
          </w:p>
        </w:tc>
        <w:tc>
          <w:tcPr>
            <w:tcW w:w="1803" w:type="dxa"/>
            <w:tcBorders>
              <w:top w:val="single" w:sz="4" w:space="0" w:color="auto"/>
              <w:left w:val="single" w:sz="4" w:space="0" w:color="auto"/>
              <w:bottom w:val="single" w:sz="4" w:space="0" w:color="auto"/>
              <w:right w:val="single" w:sz="4" w:space="0" w:color="auto"/>
            </w:tcBorders>
          </w:tcPr>
          <w:p w14:paraId="1D394F96" w14:textId="77777777" w:rsidR="009B75A0" w:rsidRPr="00851192" w:rsidRDefault="009B75A0"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3AAEF234" w14:textId="77777777" w:rsidR="009B75A0" w:rsidRPr="00851192" w:rsidRDefault="009B75A0" w:rsidP="00F27343">
            <w:pPr>
              <w:jc w:val="center"/>
              <w:rPr>
                <w:rFonts w:ascii="Arial" w:hAnsi="Arial" w:cs="Arial"/>
              </w:rPr>
            </w:pPr>
            <w:r w:rsidRPr="00851192">
              <w:rPr>
                <w:rFonts w:ascii="Arial" w:hAnsi="Arial" w:cs="Arial"/>
              </w:rPr>
              <w:t>0</w:t>
            </w:r>
          </w:p>
        </w:tc>
        <w:tc>
          <w:tcPr>
            <w:tcW w:w="2681" w:type="dxa"/>
            <w:tcBorders>
              <w:top w:val="single" w:sz="4" w:space="0" w:color="auto"/>
              <w:left w:val="single" w:sz="4" w:space="0" w:color="auto"/>
              <w:bottom w:val="single" w:sz="4" w:space="0" w:color="auto"/>
              <w:right w:val="single" w:sz="4" w:space="0" w:color="auto"/>
            </w:tcBorders>
            <w:hideMark/>
          </w:tcPr>
          <w:p w14:paraId="648E7E05" w14:textId="77777777" w:rsidR="009B75A0" w:rsidRPr="00851192" w:rsidRDefault="009B75A0" w:rsidP="00F27343">
            <w:pPr>
              <w:jc w:val="center"/>
              <w:rPr>
                <w:rFonts w:ascii="Arial" w:hAnsi="Arial" w:cs="Arial"/>
              </w:rPr>
            </w:pPr>
            <w:r w:rsidRPr="00851192">
              <w:rPr>
                <w:rFonts w:ascii="Arial" w:hAnsi="Arial" w:cs="Arial"/>
              </w:rPr>
              <w:t>None</w:t>
            </w:r>
          </w:p>
        </w:tc>
        <w:tc>
          <w:tcPr>
            <w:tcW w:w="2706" w:type="dxa"/>
            <w:tcBorders>
              <w:top w:val="single" w:sz="4" w:space="0" w:color="auto"/>
              <w:left w:val="single" w:sz="4" w:space="0" w:color="auto"/>
              <w:bottom w:val="single" w:sz="4" w:space="0" w:color="auto"/>
              <w:right w:val="single" w:sz="4" w:space="0" w:color="auto"/>
            </w:tcBorders>
            <w:hideMark/>
          </w:tcPr>
          <w:p w14:paraId="49856A72" w14:textId="77777777" w:rsidR="009B75A0" w:rsidRPr="00851192" w:rsidRDefault="009B75A0" w:rsidP="00F27343">
            <w:pPr>
              <w:rPr>
                <w:rFonts w:ascii="Arial" w:hAnsi="Arial" w:cs="Arial"/>
              </w:rPr>
            </w:pPr>
            <w:r w:rsidRPr="00851192">
              <w:rPr>
                <w:rFonts w:ascii="Arial" w:hAnsi="Arial" w:cs="Arial"/>
              </w:rPr>
              <w:t xml:space="preserve">The global gambling operator do not provide a self-exclusion service across their platforms and product offerings. </w:t>
            </w:r>
          </w:p>
        </w:tc>
      </w:tr>
      <w:tr w:rsidR="009B75A0" w:rsidRPr="00851192" w14:paraId="7F37231C"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351F4009" w14:textId="77777777" w:rsidR="009B75A0" w:rsidRPr="00851192" w:rsidRDefault="009B75A0" w:rsidP="00F27343">
            <w:pPr>
              <w:jc w:val="center"/>
              <w:rPr>
                <w:rFonts w:ascii="Arial" w:hAnsi="Arial" w:cs="Arial"/>
              </w:rPr>
            </w:pPr>
            <w:r w:rsidRPr="00851192">
              <w:rPr>
                <w:rFonts w:ascii="Arial" w:hAnsi="Arial" w:cs="Arial"/>
              </w:rPr>
              <w:t>Flexibility</w:t>
            </w:r>
          </w:p>
        </w:tc>
        <w:tc>
          <w:tcPr>
            <w:tcW w:w="1803" w:type="dxa"/>
            <w:tcBorders>
              <w:top w:val="single" w:sz="4" w:space="0" w:color="auto"/>
              <w:left w:val="single" w:sz="4" w:space="0" w:color="auto"/>
              <w:bottom w:val="single" w:sz="4" w:space="0" w:color="auto"/>
              <w:right w:val="single" w:sz="4" w:space="0" w:color="auto"/>
            </w:tcBorders>
          </w:tcPr>
          <w:p w14:paraId="0AE87715" w14:textId="77777777" w:rsidR="009B75A0" w:rsidRPr="00851192" w:rsidRDefault="009B75A0"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132D23FE" w14:textId="77777777" w:rsidR="009B75A0" w:rsidRPr="00851192" w:rsidRDefault="009B75A0" w:rsidP="00F27343">
            <w:pPr>
              <w:jc w:val="center"/>
              <w:rPr>
                <w:rFonts w:ascii="Arial" w:hAnsi="Arial" w:cs="Arial"/>
              </w:rPr>
            </w:pPr>
            <w:r w:rsidRPr="00851192">
              <w:rPr>
                <w:rFonts w:ascii="Arial" w:hAnsi="Arial" w:cs="Arial"/>
              </w:rPr>
              <w:t>0</w:t>
            </w:r>
          </w:p>
        </w:tc>
        <w:tc>
          <w:tcPr>
            <w:tcW w:w="2681" w:type="dxa"/>
            <w:tcBorders>
              <w:top w:val="single" w:sz="4" w:space="0" w:color="auto"/>
              <w:left w:val="single" w:sz="4" w:space="0" w:color="auto"/>
              <w:bottom w:val="single" w:sz="4" w:space="0" w:color="auto"/>
              <w:right w:val="single" w:sz="4" w:space="0" w:color="auto"/>
            </w:tcBorders>
            <w:hideMark/>
          </w:tcPr>
          <w:p w14:paraId="45CA8610" w14:textId="77777777" w:rsidR="009B75A0" w:rsidRPr="00851192" w:rsidRDefault="009B75A0" w:rsidP="00F27343">
            <w:pPr>
              <w:jc w:val="center"/>
              <w:rPr>
                <w:rFonts w:ascii="Arial" w:hAnsi="Arial" w:cs="Arial"/>
              </w:rPr>
            </w:pPr>
            <w:r w:rsidRPr="00851192">
              <w:rPr>
                <w:rFonts w:ascii="Arial" w:hAnsi="Arial" w:cs="Arial"/>
              </w:rPr>
              <w:t>None</w:t>
            </w:r>
          </w:p>
        </w:tc>
        <w:tc>
          <w:tcPr>
            <w:tcW w:w="2706" w:type="dxa"/>
            <w:tcBorders>
              <w:top w:val="single" w:sz="4" w:space="0" w:color="auto"/>
              <w:left w:val="single" w:sz="4" w:space="0" w:color="auto"/>
              <w:bottom w:val="single" w:sz="4" w:space="0" w:color="auto"/>
              <w:right w:val="single" w:sz="4" w:space="0" w:color="auto"/>
            </w:tcBorders>
            <w:hideMark/>
          </w:tcPr>
          <w:p w14:paraId="0585F5E6" w14:textId="77777777" w:rsidR="009B75A0" w:rsidRPr="00851192" w:rsidRDefault="009B75A0" w:rsidP="00F27343">
            <w:pPr>
              <w:jc w:val="center"/>
              <w:rPr>
                <w:rFonts w:ascii="Arial" w:hAnsi="Arial" w:cs="Arial"/>
              </w:rPr>
            </w:pPr>
            <w:r w:rsidRPr="00851192">
              <w:rPr>
                <w:rFonts w:ascii="Arial" w:hAnsi="Arial" w:cs="Arial"/>
              </w:rPr>
              <w:t>N/A</w:t>
            </w:r>
          </w:p>
        </w:tc>
      </w:tr>
    </w:tbl>
    <w:p w14:paraId="5057F601" w14:textId="77777777" w:rsidR="002D17EA" w:rsidRPr="00851192" w:rsidRDefault="002D17EA" w:rsidP="009B75A0">
      <w:pPr>
        <w:jc w:val="center"/>
        <w:rPr>
          <w:rFonts w:ascii="Arial" w:hAnsi="Arial" w:cs="Arial"/>
          <w:b/>
        </w:rPr>
      </w:pPr>
    </w:p>
    <w:p w14:paraId="6E338EC6" w14:textId="77777777" w:rsidR="002D17EA" w:rsidRPr="00851192" w:rsidRDefault="002D17EA" w:rsidP="009B75A0">
      <w:pPr>
        <w:jc w:val="center"/>
        <w:rPr>
          <w:rFonts w:ascii="Arial" w:hAnsi="Arial" w:cs="Arial"/>
          <w:b/>
        </w:rPr>
      </w:pPr>
    </w:p>
    <w:p w14:paraId="54D8A1CA" w14:textId="77777777" w:rsidR="002D17EA" w:rsidRPr="00851192" w:rsidRDefault="002D17EA" w:rsidP="009B75A0">
      <w:pPr>
        <w:jc w:val="center"/>
        <w:rPr>
          <w:rFonts w:ascii="Arial" w:hAnsi="Arial" w:cs="Arial"/>
          <w:b/>
        </w:rPr>
      </w:pPr>
    </w:p>
    <w:p w14:paraId="5B4D6EB4" w14:textId="0C052B9E" w:rsidR="009B75A0" w:rsidRPr="00851192" w:rsidRDefault="009B75A0" w:rsidP="009B75A0">
      <w:pPr>
        <w:jc w:val="center"/>
        <w:rPr>
          <w:rFonts w:ascii="Arial" w:hAnsi="Arial" w:cs="Arial"/>
        </w:rPr>
      </w:pPr>
      <w:r w:rsidRPr="00851192">
        <w:rPr>
          <w:rFonts w:ascii="Arial" w:hAnsi="Arial" w:cs="Arial"/>
          <w:b/>
        </w:rPr>
        <w:t xml:space="preserve">Table </w:t>
      </w:r>
      <w:r w:rsidR="005E3EE2" w:rsidRPr="00851192">
        <w:rPr>
          <w:rFonts w:ascii="Arial" w:hAnsi="Arial" w:cs="Arial"/>
          <w:b/>
        </w:rPr>
        <w:t>7</w:t>
      </w:r>
      <w:r w:rsidRPr="00851192">
        <w:rPr>
          <w:rFonts w:ascii="Arial" w:hAnsi="Arial" w:cs="Arial"/>
          <w:b/>
        </w:rPr>
        <w:t>.</w:t>
      </w:r>
      <w:r w:rsidR="002D17EA" w:rsidRPr="00851192">
        <w:rPr>
          <w:rFonts w:ascii="Arial" w:hAnsi="Arial" w:cs="Arial"/>
          <w:b/>
        </w:rPr>
        <w:t>4</w:t>
      </w:r>
      <w:r w:rsidRPr="00851192">
        <w:rPr>
          <w:rFonts w:ascii="Arial" w:hAnsi="Arial" w:cs="Arial"/>
        </w:rPr>
        <w:t xml:space="preserve"> Global Gambling Operators and Social Media Presence</w:t>
      </w:r>
    </w:p>
    <w:p w14:paraId="449CD12C" w14:textId="6275D8F5" w:rsidR="009B75A0" w:rsidRPr="00851192" w:rsidRDefault="009B75A0" w:rsidP="009B75A0">
      <w:pPr>
        <w:jc w:val="center"/>
        <w:rPr>
          <w:rFonts w:ascii="Arial" w:hAnsi="Arial" w:cs="Arial"/>
        </w:rPr>
      </w:pPr>
      <w:r w:rsidRPr="00851192">
        <w:rPr>
          <w:rFonts w:ascii="Arial" w:hAnsi="Arial" w:cs="Arial"/>
        </w:rPr>
        <w:t>B</w:t>
      </w:r>
      <w:r w:rsidR="00682E18" w:rsidRPr="00851192">
        <w:rPr>
          <w:rFonts w:ascii="Arial" w:hAnsi="Arial" w:cs="Arial"/>
        </w:rPr>
        <w:t>et</w:t>
      </w:r>
      <w:r w:rsidRPr="00851192">
        <w:rPr>
          <w:rFonts w:ascii="Arial" w:hAnsi="Arial" w:cs="Arial"/>
        </w:rPr>
        <w:t>365 – Facebook Social Media and Twitter</w:t>
      </w:r>
    </w:p>
    <w:tbl>
      <w:tblPr>
        <w:tblStyle w:val="TableGrid"/>
        <w:tblW w:w="0" w:type="auto"/>
        <w:jc w:val="center"/>
        <w:tblLook w:val="04A0" w:firstRow="1" w:lastRow="0" w:firstColumn="1" w:lastColumn="0" w:noHBand="0" w:noVBand="1"/>
      </w:tblPr>
      <w:tblGrid>
        <w:gridCol w:w="1803"/>
        <w:gridCol w:w="1803"/>
        <w:gridCol w:w="1803"/>
      </w:tblGrid>
      <w:tr w:rsidR="009B75A0" w:rsidRPr="00851192" w14:paraId="44C481FB" w14:textId="77777777" w:rsidTr="00F27343">
        <w:trPr>
          <w:trHeight w:val="986"/>
          <w:jc w:val="center"/>
        </w:trPr>
        <w:tc>
          <w:tcPr>
            <w:tcW w:w="1803" w:type="dxa"/>
            <w:tcBorders>
              <w:top w:val="single" w:sz="4" w:space="0" w:color="auto"/>
              <w:left w:val="single" w:sz="4" w:space="0" w:color="auto"/>
              <w:bottom w:val="single" w:sz="4" w:space="0" w:color="auto"/>
              <w:right w:val="single" w:sz="4" w:space="0" w:color="auto"/>
            </w:tcBorders>
            <w:hideMark/>
          </w:tcPr>
          <w:p w14:paraId="4F116065" w14:textId="77777777" w:rsidR="009B75A0" w:rsidRPr="00851192" w:rsidRDefault="009B75A0" w:rsidP="00F27343">
            <w:pPr>
              <w:jc w:val="center"/>
              <w:rPr>
                <w:rFonts w:ascii="Arial" w:hAnsi="Arial" w:cs="Arial"/>
              </w:rPr>
            </w:pPr>
            <w:r w:rsidRPr="00851192">
              <w:rPr>
                <w:rFonts w:ascii="Arial" w:hAnsi="Arial" w:cs="Arial"/>
              </w:rPr>
              <w:t>Categories</w:t>
            </w:r>
          </w:p>
        </w:tc>
        <w:tc>
          <w:tcPr>
            <w:tcW w:w="1803" w:type="dxa"/>
            <w:tcBorders>
              <w:top w:val="single" w:sz="4" w:space="0" w:color="auto"/>
              <w:left w:val="single" w:sz="4" w:space="0" w:color="auto"/>
              <w:bottom w:val="single" w:sz="4" w:space="0" w:color="auto"/>
              <w:right w:val="single" w:sz="4" w:space="0" w:color="auto"/>
            </w:tcBorders>
            <w:hideMark/>
          </w:tcPr>
          <w:p w14:paraId="68ABF39B" w14:textId="77777777" w:rsidR="009B75A0" w:rsidRPr="00851192" w:rsidRDefault="009B75A0" w:rsidP="00F27343">
            <w:pPr>
              <w:jc w:val="center"/>
              <w:rPr>
                <w:rFonts w:ascii="Arial" w:hAnsi="Arial" w:cs="Arial"/>
                <w:b/>
              </w:rPr>
            </w:pPr>
            <w:r w:rsidRPr="00851192">
              <w:rPr>
                <w:rFonts w:ascii="Segoe UI Symbol" w:hAnsi="Segoe UI Symbol" w:cs="Segoe UI Symbol"/>
                <w:b/>
                <w:shd w:val="clear" w:color="auto" w:fill="FFFFFF"/>
              </w:rPr>
              <w:t>✓</w:t>
            </w:r>
            <w:r w:rsidRPr="00851192">
              <w:rPr>
                <w:rFonts w:ascii="Arial" w:hAnsi="Arial" w:cs="Arial"/>
                <w:b/>
                <w:shd w:val="clear" w:color="auto" w:fill="FFFFFF"/>
              </w:rPr>
              <w:t xml:space="preserve"> / </w:t>
            </w:r>
            <w:r w:rsidRPr="00851192">
              <w:rPr>
                <w:rFonts w:ascii="Segoe UI Symbol" w:hAnsi="Segoe UI Symbol" w:cs="Segoe UI Symbol"/>
                <w:b/>
                <w:shd w:val="clear" w:color="auto" w:fill="FFFFFF"/>
              </w:rPr>
              <w:t>☓</w:t>
            </w:r>
          </w:p>
        </w:tc>
        <w:tc>
          <w:tcPr>
            <w:tcW w:w="1803" w:type="dxa"/>
            <w:tcBorders>
              <w:top w:val="single" w:sz="4" w:space="0" w:color="auto"/>
              <w:left w:val="single" w:sz="4" w:space="0" w:color="auto"/>
              <w:bottom w:val="single" w:sz="4" w:space="0" w:color="auto"/>
              <w:right w:val="single" w:sz="4" w:space="0" w:color="auto"/>
            </w:tcBorders>
            <w:hideMark/>
          </w:tcPr>
          <w:p w14:paraId="27AD773F" w14:textId="77777777" w:rsidR="009B75A0" w:rsidRPr="00851192" w:rsidRDefault="009B75A0" w:rsidP="00F27343">
            <w:pPr>
              <w:jc w:val="center"/>
              <w:rPr>
                <w:rFonts w:ascii="Arial" w:hAnsi="Arial" w:cs="Arial"/>
              </w:rPr>
            </w:pPr>
            <w:r w:rsidRPr="00851192">
              <w:rPr>
                <w:rFonts w:ascii="Arial" w:hAnsi="Arial" w:cs="Arial"/>
              </w:rPr>
              <w:t>Researchers rating for clear clarity on category</w:t>
            </w:r>
          </w:p>
        </w:tc>
      </w:tr>
      <w:tr w:rsidR="009B75A0" w:rsidRPr="00851192" w14:paraId="0F69411A" w14:textId="77777777" w:rsidTr="00F27343">
        <w:trPr>
          <w:jc w:val="center"/>
        </w:trPr>
        <w:tc>
          <w:tcPr>
            <w:tcW w:w="1803" w:type="dxa"/>
            <w:tcBorders>
              <w:top w:val="single" w:sz="4" w:space="0" w:color="auto"/>
              <w:left w:val="single" w:sz="4" w:space="0" w:color="auto"/>
              <w:bottom w:val="single" w:sz="4" w:space="0" w:color="auto"/>
              <w:right w:val="single" w:sz="4" w:space="0" w:color="auto"/>
            </w:tcBorders>
            <w:hideMark/>
          </w:tcPr>
          <w:p w14:paraId="41BB48B5" w14:textId="77777777" w:rsidR="009B75A0" w:rsidRPr="00851192" w:rsidRDefault="009B75A0" w:rsidP="00F27343">
            <w:pPr>
              <w:jc w:val="center"/>
              <w:rPr>
                <w:rFonts w:ascii="Arial" w:hAnsi="Arial" w:cs="Arial"/>
                <w:b/>
              </w:rPr>
            </w:pPr>
            <w:r w:rsidRPr="00851192">
              <w:rPr>
                <w:rFonts w:ascii="Arial" w:hAnsi="Arial" w:cs="Arial"/>
                <w:b/>
              </w:rPr>
              <w:t>Social Media Presence</w:t>
            </w:r>
          </w:p>
        </w:tc>
        <w:tc>
          <w:tcPr>
            <w:tcW w:w="1803" w:type="dxa"/>
            <w:tcBorders>
              <w:top w:val="single" w:sz="4" w:space="0" w:color="auto"/>
              <w:left w:val="single" w:sz="4" w:space="0" w:color="auto"/>
              <w:bottom w:val="single" w:sz="4" w:space="0" w:color="auto"/>
              <w:right w:val="single" w:sz="4" w:space="0" w:color="auto"/>
            </w:tcBorders>
          </w:tcPr>
          <w:p w14:paraId="48E12F61" w14:textId="77777777" w:rsidR="009B75A0" w:rsidRPr="00851192" w:rsidRDefault="009B75A0" w:rsidP="00F27343">
            <w:pPr>
              <w:jc w:val="center"/>
              <w:rPr>
                <w:rFonts w:ascii="Arial" w:hAnsi="Arial" w:cs="Arial"/>
                <w:b/>
                <w:shd w:val="clear" w:color="auto" w:fill="FFFFFF"/>
              </w:rPr>
            </w:pPr>
          </w:p>
        </w:tc>
        <w:tc>
          <w:tcPr>
            <w:tcW w:w="1803" w:type="dxa"/>
            <w:tcBorders>
              <w:top w:val="single" w:sz="4" w:space="0" w:color="auto"/>
              <w:left w:val="single" w:sz="4" w:space="0" w:color="auto"/>
              <w:bottom w:val="single" w:sz="4" w:space="0" w:color="auto"/>
              <w:right w:val="single" w:sz="4" w:space="0" w:color="auto"/>
            </w:tcBorders>
          </w:tcPr>
          <w:p w14:paraId="01E37E19" w14:textId="77777777" w:rsidR="009B75A0" w:rsidRPr="00851192" w:rsidRDefault="009B75A0" w:rsidP="00F27343">
            <w:pPr>
              <w:jc w:val="center"/>
              <w:rPr>
                <w:rFonts w:ascii="Arial" w:hAnsi="Arial" w:cs="Arial"/>
              </w:rPr>
            </w:pPr>
          </w:p>
        </w:tc>
      </w:tr>
      <w:tr w:rsidR="009B75A0" w:rsidRPr="00851192" w14:paraId="7E6DE8F1" w14:textId="77777777" w:rsidTr="00F27343">
        <w:trPr>
          <w:jc w:val="center"/>
        </w:trPr>
        <w:tc>
          <w:tcPr>
            <w:tcW w:w="1803" w:type="dxa"/>
            <w:tcBorders>
              <w:top w:val="single" w:sz="4" w:space="0" w:color="auto"/>
              <w:left w:val="single" w:sz="4" w:space="0" w:color="auto"/>
              <w:bottom w:val="single" w:sz="4" w:space="0" w:color="auto"/>
              <w:right w:val="single" w:sz="4" w:space="0" w:color="auto"/>
            </w:tcBorders>
            <w:hideMark/>
          </w:tcPr>
          <w:p w14:paraId="53F348E1" w14:textId="77777777" w:rsidR="009B75A0" w:rsidRPr="00851192" w:rsidRDefault="009B75A0" w:rsidP="00F27343">
            <w:pPr>
              <w:jc w:val="center"/>
              <w:rPr>
                <w:rFonts w:ascii="Arial" w:hAnsi="Arial" w:cs="Arial"/>
              </w:rPr>
            </w:pPr>
            <w:r w:rsidRPr="00851192">
              <w:rPr>
                <w:rFonts w:ascii="Arial" w:hAnsi="Arial" w:cs="Arial"/>
              </w:rPr>
              <w:t>Responsible Gambling</w:t>
            </w:r>
          </w:p>
        </w:tc>
        <w:tc>
          <w:tcPr>
            <w:tcW w:w="1803" w:type="dxa"/>
            <w:tcBorders>
              <w:top w:val="single" w:sz="4" w:space="0" w:color="auto"/>
              <w:left w:val="single" w:sz="4" w:space="0" w:color="auto"/>
              <w:bottom w:val="single" w:sz="4" w:space="0" w:color="auto"/>
              <w:right w:val="single" w:sz="4" w:space="0" w:color="auto"/>
            </w:tcBorders>
            <w:hideMark/>
          </w:tcPr>
          <w:p w14:paraId="373FC6B1" w14:textId="4E5AFFE7" w:rsidR="009B75A0" w:rsidRPr="00851192" w:rsidRDefault="00F22F28" w:rsidP="00F27343">
            <w:pPr>
              <w:jc w:val="center"/>
              <w:rPr>
                <w:rFonts w:ascii="Arial" w:hAnsi="Arial" w:cs="Arial"/>
              </w:rPr>
            </w:pPr>
            <w:r w:rsidRPr="00851192">
              <w:rPr>
                <w:rFonts w:ascii="Segoe UI Symbol" w:hAnsi="Segoe UI Symbol" w:cs="Segoe UI Symbol"/>
                <w:b/>
                <w:shd w:val="clear" w:color="auto" w:fill="FFFFFF"/>
              </w:rPr>
              <w:t>✓</w:t>
            </w:r>
          </w:p>
        </w:tc>
        <w:tc>
          <w:tcPr>
            <w:tcW w:w="1803" w:type="dxa"/>
            <w:tcBorders>
              <w:top w:val="single" w:sz="4" w:space="0" w:color="auto"/>
              <w:left w:val="single" w:sz="4" w:space="0" w:color="auto"/>
              <w:bottom w:val="single" w:sz="4" w:space="0" w:color="auto"/>
              <w:right w:val="single" w:sz="4" w:space="0" w:color="auto"/>
            </w:tcBorders>
            <w:hideMark/>
          </w:tcPr>
          <w:p w14:paraId="24B63DCF" w14:textId="1F8D1481" w:rsidR="009B75A0" w:rsidRPr="00851192" w:rsidRDefault="00F22F28" w:rsidP="00F27343">
            <w:pPr>
              <w:jc w:val="center"/>
              <w:rPr>
                <w:rFonts w:ascii="Arial" w:hAnsi="Arial" w:cs="Arial"/>
              </w:rPr>
            </w:pPr>
            <w:r w:rsidRPr="00851192">
              <w:rPr>
                <w:rFonts w:ascii="Arial" w:hAnsi="Arial" w:cs="Arial"/>
              </w:rPr>
              <w:t xml:space="preserve">Responsible gambling statement on Twitter but not Facebook. </w:t>
            </w:r>
          </w:p>
        </w:tc>
      </w:tr>
      <w:tr w:rsidR="009B75A0" w:rsidRPr="00851192" w14:paraId="432E2C9F" w14:textId="77777777" w:rsidTr="00F27343">
        <w:trPr>
          <w:jc w:val="center"/>
        </w:trPr>
        <w:tc>
          <w:tcPr>
            <w:tcW w:w="1803" w:type="dxa"/>
            <w:tcBorders>
              <w:top w:val="single" w:sz="4" w:space="0" w:color="auto"/>
              <w:left w:val="single" w:sz="4" w:space="0" w:color="auto"/>
              <w:bottom w:val="single" w:sz="4" w:space="0" w:color="auto"/>
              <w:right w:val="single" w:sz="4" w:space="0" w:color="auto"/>
            </w:tcBorders>
            <w:hideMark/>
          </w:tcPr>
          <w:p w14:paraId="598E4EF9" w14:textId="77777777" w:rsidR="009B75A0" w:rsidRPr="00851192" w:rsidRDefault="009B75A0" w:rsidP="00F27343">
            <w:pPr>
              <w:jc w:val="center"/>
              <w:rPr>
                <w:rFonts w:ascii="Arial" w:hAnsi="Arial" w:cs="Arial"/>
              </w:rPr>
            </w:pPr>
            <w:r w:rsidRPr="00851192">
              <w:rPr>
                <w:rFonts w:ascii="Arial" w:hAnsi="Arial" w:cs="Arial"/>
              </w:rPr>
              <w:t>Problem Gambling Support</w:t>
            </w:r>
          </w:p>
        </w:tc>
        <w:tc>
          <w:tcPr>
            <w:tcW w:w="1803" w:type="dxa"/>
            <w:tcBorders>
              <w:top w:val="single" w:sz="4" w:space="0" w:color="auto"/>
              <w:left w:val="single" w:sz="4" w:space="0" w:color="auto"/>
              <w:bottom w:val="single" w:sz="4" w:space="0" w:color="auto"/>
              <w:right w:val="single" w:sz="4" w:space="0" w:color="auto"/>
            </w:tcBorders>
            <w:hideMark/>
          </w:tcPr>
          <w:p w14:paraId="4378962D"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1803" w:type="dxa"/>
            <w:tcBorders>
              <w:top w:val="single" w:sz="4" w:space="0" w:color="auto"/>
              <w:left w:val="single" w:sz="4" w:space="0" w:color="auto"/>
              <w:bottom w:val="single" w:sz="4" w:space="0" w:color="auto"/>
              <w:right w:val="single" w:sz="4" w:space="0" w:color="auto"/>
            </w:tcBorders>
            <w:hideMark/>
          </w:tcPr>
          <w:p w14:paraId="04260F86" w14:textId="77777777" w:rsidR="009B75A0" w:rsidRPr="00851192" w:rsidRDefault="009B75A0" w:rsidP="00F27343">
            <w:pPr>
              <w:jc w:val="center"/>
              <w:rPr>
                <w:rFonts w:ascii="Arial" w:hAnsi="Arial" w:cs="Arial"/>
              </w:rPr>
            </w:pPr>
            <w:r w:rsidRPr="00851192">
              <w:rPr>
                <w:rFonts w:ascii="Arial" w:hAnsi="Arial" w:cs="Arial"/>
              </w:rPr>
              <w:t>None</w:t>
            </w:r>
          </w:p>
        </w:tc>
      </w:tr>
      <w:tr w:rsidR="009B75A0" w:rsidRPr="00851192" w14:paraId="45FC7CC5" w14:textId="77777777" w:rsidTr="00F27343">
        <w:trPr>
          <w:jc w:val="center"/>
        </w:trPr>
        <w:tc>
          <w:tcPr>
            <w:tcW w:w="1803" w:type="dxa"/>
            <w:tcBorders>
              <w:top w:val="single" w:sz="4" w:space="0" w:color="auto"/>
              <w:left w:val="single" w:sz="4" w:space="0" w:color="auto"/>
              <w:bottom w:val="single" w:sz="4" w:space="0" w:color="auto"/>
              <w:right w:val="single" w:sz="4" w:space="0" w:color="auto"/>
            </w:tcBorders>
            <w:hideMark/>
          </w:tcPr>
          <w:p w14:paraId="5D72984A" w14:textId="77777777" w:rsidR="009B75A0" w:rsidRPr="00851192" w:rsidRDefault="009B75A0" w:rsidP="00F27343">
            <w:pPr>
              <w:jc w:val="center"/>
              <w:rPr>
                <w:rFonts w:ascii="Arial" w:hAnsi="Arial" w:cs="Arial"/>
              </w:rPr>
            </w:pPr>
            <w:r w:rsidRPr="00851192">
              <w:rPr>
                <w:rFonts w:ascii="Arial" w:hAnsi="Arial" w:cs="Arial"/>
              </w:rPr>
              <w:t>Technical Support Links (Customer Service)</w:t>
            </w:r>
          </w:p>
        </w:tc>
        <w:tc>
          <w:tcPr>
            <w:tcW w:w="1803" w:type="dxa"/>
            <w:tcBorders>
              <w:top w:val="single" w:sz="4" w:space="0" w:color="auto"/>
              <w:left w:val="single" w:sz="4" w:space="0" w:color="auto"/>
              <w:bottom w:val="single" w:sz="4" w:space="0" w:color="auto"/>
              <w:right w:val="single" w:sz="4" w:space="0" w:color="auto"/>
            </w:tcBorders>
            <w:hideMark/>
          </w:tcPr>
          <w:p w14:paraId="1049487F"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1803" w:type="dxa"/>
            <w:tcBorders>
              <w:top w:val="single" w:sz="4" w:space="0" w:color="auto"/>
              <w:left w:val="single" w:sz="4" w:space="0" w:color="auto"/>
              <w:bottom w:val="single" w:sz="4" w:space="0" w:color="auto"/>
              <w:right w:val="single" w:sz="4" w:space="0" w:color="auto"/>
            </w:tcBorders>
            <w:hideMark/>
          </w:tcPr>
          <w:p w14:paraId="666EDC0B" w14:textId="77777777" w:rsidR="009B75A0" w:rsidRPr="00851192" w:rsidRDefault="009B75A0" w:rsidP="00F27343">
            <w:pPr>
              <w:jc w:val="center"/>
              <w:rPr>
                <w:rFonts w:ascii="Arial" w:hAnsi="Arial" w:cs="Arial"/>
              </w:rPr>
            </w:pPr>
            <w:r w:rsidRPr="00851192">
              <w:rPr>
                <w:rFonts w:ascii="Arial" w:hAnsi="Arial" w:cs="Arial"/>
              </w:rPr>
              <w:t>Very High</w:t>
            </w:r>
          </w:p>
        </w:tc>
      </w:tr>
      <w:tr w:rsidR="009B75A0" w:rsidRPr="00851192" w14:paraId="2289AACF" w14:textId="77777777" w:rsidTr="00F27343">
        <w:trPr>
          <w:jc w:val="center"/>
        </w:trPr>
        <w:tc>
          <w:tcPr>
            <w:tcW w:w="1803" w:type="dxa"/>
            <w:tcBorders>
              <w:top w:val="single" w:sz="4" w:space="0" w:color="auto"/>
              <w:left w:val="single" w:sz="4" w:space="0" w:color="auto"/>
              <w:bottom w:val="single" w:sz="4" w:space="0" w:color="auto"/>
              <w:right w:val="single" w:sz="4" w:space="0" w:color="auto"/>
            </w:tcBorders>
            <w:hideMark/>
          </w:tcPr>
          <w:p w14:paraId="024B6531" w14:textId="77777777" w:rsidR="009B75A0" w:rsidRPr="00851192" w:rsidRDefault="009B75A0" w:rsidP="00F27343">
            <w:pPr>
              <w:jc w:val="center"/>
              <w:rPr>
                <w:rFonts w:ascii="Arial" w:hAnsi="Arial" w:cs="Arial"/>
              </w:rPr>
            </w:pPr>
            <w:r w:rsidRPr="00851192">
              <w:rPr>
                <w:rFonts w:ascii="Arial" w:hAnsi="Arial" w:cs="Arial"/>
              </w:rPr>
              <w:t>Promotional Gambling Advertisement</w:t>
            </w:r>
          </w:p>
        </w:tc>
        <w:tc>
          <w:tcPr>
            <w:tcW w:w="1803" w:type="dxa"/>
            <w:tcBorders>
              <w:top w:val="single" w:sz="4" w:space="0" w:color="auto"/>
              <w:left w:val="single" w:sz="4" w:space="0" w:color="auto"/>
              <w:bottom w:val="single" w:sz="4" w:space="0" w:color="auto"/>
              <w:right w:val="single" w:sz="4" w:space="0" w:color="auto"/>
            </w:tcBorders>
            <w:hideMark/>
          </w:tcPr>
          <w:p w14:paraId="2175B130"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1803" w:type="dxa"/>
            <w:tcBorders>
              <w:top w:val="single" w:sz="4" w:space="0" w:color="auto"/>
              <w:left w:val="single" w:sz="4" w:space="0" w:color="auto"/>
              <w:bottom w:val="single" w:sz="4" w:space="0" w:color="auto"/>
              <w:right w:val="single" w:sz="4" w:space="0" w:color="auto"/>
            </w:tcBorders>
            <w:hideMark/>
          </w:tcPr>
          <w:p w14:paraId="3B1B549C" w14:textId="77777777" w:rsidR="009B75A0" w:rsidRPr="00851192" w:rsidRDefault="009B75A0" w:rsidP="00F27343">
            <w:pPr>
              <w:jc w:val="center"/>
              <w:rPr>
                <w:rFonts w:ascii="Arial" w:hAnsi="Arial" w:cs="Arial"/>
              </w:rPr>
            </w:pPr>
            <w:r w:rsidRPr="00851192">
              <w:rPr>
                <w:rFonts w:ascii="Arial" w:hAnsi="Arial" w:cs="Arial"/>
              </w:rPr>
              <w:t>Very High</w:t>
            </w:r>
          </w:p>
        </w:tc>
      </w:tr>
      <w:tr w:rsidR="009B75A0" w:rsidRPr="00851192" w14:paraId="49124A9A" w14:textId="77777777" w:rsidTr="00F27343">
        <w:trPr>
          <w:jc w:val="center"/>
        </w:trPr>
        <w:tc>
          <w:tcPr>
            <w:tcW w:w="1803" w:type="dxa"/>
            <w:tcBorders>
              <w:top w:val="single" w:sz="4" w:space="0" w:color="auto"/>
              <w:left w:val="single" w:sz="4" w:space="0" w:color="auto"/>
              <w:bottom w:val="single" w:sz="4" w:space="0" w:color="auto"/>
              <w:right w:val="single" w:sz="4" w:space="0" w:color="auto"/>
            </w:tcBorders>
            <w:hideMark/>
          </w:tcPr>
          <w:p w14:paraId="166A7B47" w14:textId="77777777" w:rsidR="009B75A0" w:rsidRPr="00851192" w:rsidRDefault="009B75A0" w:rsidP="00F27343">
            <w:pPr>
              <w:jc w:val="center"/>
              <w:rPr>
                <w:rFonts w:ascii="Arial" w:hAnsi="Arial" w:cs="Arial"/>
              </w:rPr>
            </w:pPr>
            <w:r w:rsidRPr="00851192">
              <w:rPr>
                <w:rFonts w:ascii="Arial" w:hAnsi="Arial" w:cs="Arial"/>
              </w:rPr>
              <w:t>Age Verification or statement to visit Facebook and Twitter Page</w:t>
            </w:r>
          </w:p>
        </w:tc>
        <w:tc>
          <w:tcPr>
            <w:tcW w:w="1803" w:type="dxa"/>
            <w:tcBorders>
              <w:top w:val="single" w:sz="4" w:space="0" w:color="auto"/>
              <w:left w:val="single" w:sz="4" w:space="0" w:color="auto"/>
              <w:bottom w:val="single" w:sz="4" w:space="0" w:color="auto"/>
              <w:right w:val="single" w:sz="4" w:space="0" w:color="auto"/>
            </w:tcBorders>
            <w:hideMark/>
          </w:tcPr>
          <w:p w14:paraId="0E080F7D"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1803" w:type="dxa"/>
            <w:tcBorders>
              <w:top w:val="single" w:sz="4" w:space="0" w:color="auto"/>
              <w:left w:val="single" w:sz="4" w:space="0" w:color="auto"/>
              <w:bottom w:val="single" w:sz="4" w:space="0" w:color="auto"/>
              <w:right w:val="single" w:sz="4" w:space="0" w:color="auto"/>
            </w:tcBorders>
            <w:hideMark/>
          </w:tcPr>
          <w:p w14:paraId="6646E6D4" w14:textId="77777777" w:rsidR="009B75A0" w:rsidRPr="00851192" w:rsidRDefault="009B75A0" w:rsidP="00F27343">
            <w:pPr>
              <w:jc w:val="center"/>
              <w:rPr>
                <w:rFonts w:ascii="Arial" w:hAnsi="Arial" w:cs="Arial"/>
              </w:rPr>
            </w:pPr>
            <w:r w:rsidRPr="00851192">
              <w:rPr>
                <w:rFonts w:ascii="Arial" w:hAnsi="Arial" w:cs="Arial"/>
              </w:rPr>
              <w:t>None</w:t>
            </w:r>
          </w:p>
        </w:tc>
      </w:tr>
      <w:tr w:rsidR="009B75A0" w:rsidRPr="00851192" w14:paraId="708507FB" w14:textId="77777777" w:rsidTr="00F27343">
        <w:trPr>
          <w:jc w:val="center"/>
        </w:trPr>
        <w:tc>
          <w:tcPr>
            <w:tcW w:w="1803" w:type="dxa"/>
            <w:tcBorders>
              <w:top w:val="single" w:sz="4" w:space="0" w:color="auto"/>
              <w:left w:val="single" w:sz="4" w:space="0" w:color="auto"/>
              <w:bottom w:val="single" w:sz="4" w:space="0" w:color="auto"/>
              <w:right w:val="single" w:sz="4" w:space="0" w:color="auto"/>
            </w:tcBorders>
            <w:hideMark/>
          </w:tcPr>
          <w:p w14:paraId="5DC4CBE3" w14:textId="77777777" w:rsidR="009B75A0" w:rsidRPr="00851192" w:rsidRDefault="009B75A0" w:rsidP="00F27343">
            <w:pPr>
              <w:jc w:val="center"/>
              <w:rPr>
                <w:rFonts w:ascii="Arial" w:hAnsi="Arial" w:cs="Arial"/>
              </w:rPr>
            </w:pPr>
            <w:r w:rsidRPr="00851192">
              <w:rPr>
                <w:rFonts w:ascii="Arial" w:hAnsi="Arial" w:cs="Arial"/>
              </w:rPr>
              <w:t>Links to Sign up</w:t>
            </w:r>
          </w:p>
        </w:tc>
        <w:tc>
          <w:tcPr>
            <w:tcW w:w="1803" w:type="dxa"/>
            <w:tcBorders>
              <w:top w:val="single" w:sz="4" w:space="0" w:color="auto"/>
              <w:left w:val="single" w:sz="4" w:space="0" w:color="auto"/>
              <w:bottom w:val="single" w:sz="4" w:space="0" w:color="auto"/>
              <w:right w:val="single" w:sz="4" w:space="0" w:color="auto"/>
            </w:tcBorders>
            <w:hideMark/>
          </w:tcPr>
          <w:p w14:paraId="61CEAA6A"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1803" w:type="dxa"/>
            <w:tcBorders>
              <w:top w:val="single" w:sz="4" w:space="0" w:color="auto"/>
              <w:left w:val="single" w:sz="4" w:space="0" w:color="auto"/>
              <w:bottom w:val="single" w:sz="4" w:space="0" w:color="auto"/>
              <w:right w:val="single" w:sz="4" w:space="0" w:color="auto"/>
            </w:tcBorders>
            <w:hideMark/>
          </w:tcPr>
          <w:p w14:paraId="506C9460" w14:textId="77777777" w:rsidR="009B75A0" w:rsidRPr="00851192" w:rsidRDefault="009B75A0" w:rsidP="00F27343">
            <w:pPr>
              <w:jc w:val="center"/>
              <w:rPr>
                <w:rFonts w:ascii="Arial" w:hAnsi="Arial" w:cs="Arial"/>
              </w:rPr>
            </w:pPr>
            <w:r w:rsidRPr="00851192">
              <w:rPr>
                <w:rFonts w:ascii="Arial" w:hAnsi="Arial" w:cs="Arial"/>
              </w:rPr>
              <w:t xml:space="preserve">Very High </w:t>
            </w:r>
          </w:p>
        </w:tc>
      </w:tr>
      <w:tr w:rsidR="009B75A0" w:rsidRPr="00851192" w14:paraId="0BCB89C9" w14:textId="77777777" w:rsidTr="00F27343">
        <w:trPr>
          <w:jc w:val="center"/>
        </w:trPr>
        <w:tc>
          <w:tcPr>
            <w:tcW w:w="1803" w:type="dxa"/>
            <w:tcBorders>
              <w:top w:val="single" w:sz="4" w:space="0" w:color="auto"/>
              <w:left w:val="single" w:sz="4" w:space="0" w:color="auto"/>
              <w:bottom w:val="single" w:sz="4" w:space="0" w:color="auto"/>
              <w:right w:val="single" w:sz="4" w:space="0" w:color="auto"/>
            </w:tcBorders>
            <w:hideMark/>
          </w:tcPr>
          <w:p w14:paraId="3A90119C" w14:textId="77777777" w:rsidR="009B75A0" w:rsidRPr="00851192" w:rsidRDefault="009B75A0" w:rsidP="00F27343">
            <w:pPr>
              <w:jc w:val="center"/>
              <w:rPr>
                <w:rFonts w:ascii="Arial" w:hAnsi="Arial" w:cs="Arial"/>
              </w:rPr>
            </w:pPr>
            <w:r w:rsidRPr="00851192">
              <w:rPr>
                <w:rFonts w:ascii="Arial" w:hAnsi="Arial" w:cs="Arial"/>
              </w:rPr>
              <w:t>Links to other Social Media Platforms</w:t>
            </w:r>
          </w:p>
        </w:tc>
        <w:tc>
          <w:tcPr>
            <w:tcW w:w="1803" w:type="dxa"/>
            <w:tcBorders>
              <w:top w:val="single" w:sz="4" w:space="0" w:color="auto"/>
              <w:left w:val="single" w:sz="4" w:space="0" w:color="auto"/>
              <w:bottom w:val="single" w:sz="4" w:space="0" w:color="auto"/>
              <w:right w:val="single" w:sz="4" w:space="0" w:color="auto"/>
            </w:tcBorders>
            <w:hideMark/>
          </w:tcPr>
          <w:p w14:paraId="44005707"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1803" w:type="dxa"/>
            <w:tcBorders>
              <w:top w:val="single" w:sz="4" w:space="0" w:color="auto"/>
              <w:left w:val="single" w:sz="4" w:space="0" w:color="auto"/>
              <w:bottom w:val="single" w:sz="4" w:space="0" w:color="auto"/>
              <w:right w:val="single" w:sz="4" w:space="0" w:color="auto"/>
            </w:tcBorders>
            <w:hideMark/>
          </w:tcPr>
          <w:p w14:paraId="5C177AB6" w14:textId="77777777" w:rsidR="009B75A0" w:rsidRPr="00851192" w:rsidRDefault="009B75A0" w:rsidP="00F27343">
            <w:pPr>
              <w:jc w:val="center"/>
              <w:rPr>
                <w:rFonts w:ascii="Arial" w:hAnsi="Arial" w:cs="Arial"/>
              </w:rPr>
            </w:pPr>
            <w:r w:rsidRPr="00851192">
              <w:rPr>
                <w:rFonts w:ascii="Arial" w:hAnsi="Arial" w:cs="Arial"/>
              </w:rPr>
              <w:t xml:space="preserve">Adequate </w:t>
            </w:r>
          </w:p>
        </w:tc>
      </w:tr>
      <w:tr w:rsidR="009B75A0" w:rsidRPr="00851192" w14:paraId="09317210" w14:textId="77777777" w:rsidTr="00F27343">
        <w:trPr>
          <w:jc w:val="center"/>
        </w:trPr>
        <w:tc>
          <w:tcPr>
            <w:tcW w:w="1803" w:type="dxa"/>
            <w:tcBorders>
              <w:top w:val="single" w:sz="4" w:space="0" w:color="auto"/>
              <w:left w:val="single" w:sz="4" w:space="0" w:color="auto"/>
              <w:bottom w:val="single" w:sz="4" w:space="0" w:color="auto"/>
              <w:right w:val="single" w:sz="4" w:space="0" w:color="auto"/>
            </w:tcBorders>
            <w:hideMark/>
          </w:tcPr>
          <w:p w14:paraId="1A71AC8E" w14:textId="77777777" w:rsidR="009B75A0" w:rsidRPr="00851192" w:rsidRDefault="009B75A0" w:rsidP="00F27343">
            <w:pPr>
              <w:jc w:val="center"/>
              <w:rPr>
                <w:rFonts w:ascii="Arial" w:hAnsi="Arial" w:cs="Arial"/>
              </w:rPr>
            </w:pPr>
            <w:r w:rsidRPr="00851192">
              <w:rPr>
                <w:rFonts w:ascii="Arial" w:hAnsi="Arial" w:cs="Arial"/>
              </w:rPr>
              <w:t xml:space="preserve">Promotion of betting culture through photos and advertisement </w:t>
            </w:r>
          </w:p>
        </w:tc>
        <w:tc>
          <w:tcPr>
            <w:tcW w:w="1803" w:type="dxa"/>
            <w:tcBorders>
              <w:top w:val="single" w:sz="4" w:space="0" w:color="auto"/>
              <w:left w:val="single" w:sz="4" w:space="0" w:color="auto"/>
              <w:bottom w:val="single" w:sz="4" w:space="0" w:color="auto"/>
              <w:right w:val="single" w:sz="4" w:space="0" w:color="auto"/>
            </w:tcBorders>
            <w:hideMark/>
          </w:tcPr>
          <w:p w14:paraId="15F57079"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1803" w:type="dxa"/>
            <w:tcBorders>
              <w:top w:val="single" w:sz="4" w:space="0" w:color="auto"/>
              <w:left w:val="single" w:sz="4" w:space="0" w:color="auto"/>
              <w:bottom w:val="single" w:sz="4" w:space="0" w:color="auto"/>
              <w:right w:val="single" w:sz="4" w:space="0" w:color="auto"/>
            </w:tcBorders>
            <w:hideMark/>
          </w:tcPr>
          <w:p w14:paraId="03E87DDE" w14:textId="77777777" w:rsidR="009B75A0" w:rsidRPr="00851192" w:rsidRDefault="009B75A0" w:rsidP="00F27343">
            <w:pPr>
              <w:jc w:val="center"/>
              <w:rPr>
                <w:rFonts w:ascii="Arial" w:hAnsi="Arial" w:cs="Arial"/>
              </w:rPr>
            </w:pPr>
            <w:r w:rsidRPr="00851192">
              <w:rPr>
                <w:rFonts w:ascii="Arial" w:hAnsi="Arial" w:cs="Arial"/>
              </w:rPr>
              <w:t>Very High</w:t>
            </w:r>
          </w:p>
        </w:tc>
      </w:tr>
    </w:tbl>
    <w:p w14:paraId="48F17D12" w14:textId="77777777" w:rsidR="009B75A0" w:rsidRPr="00851192" w:rsidRDefault="009B75A0" w:rsidP="009B75A0">
      <w:pPr>
        <w:rPr>
          <w:rFonts w:ascii="Arial" w:hAnsi="Arial" w:cs="Arial"/>
        </w:rPr>
      </w:pPr>
    </w:p>
    <w:p w14:paraId="7357EA49" w14:textId="56BB23DE" w:rsidR="009B75A0" w:rsidRPr="00851192" w:rsidRDefault="009B75A0" w:rsidP="009B75A0">
      <w:pPr>
        <w:jc w:val="center"/>
        <w:rPr>
          <w:rFonts w:ascii="Arial" w:hAnsi="Arial" w:cs="Arial"/>
        </w:rPr>
      </w:pPr>
      <w:proofErr w:type="spellStart"/>
      <w:r w:rsidRPr="00851192">
        <w:rPr>
          <w:rFonts w:ascii="Arial" w:hAnsi="Arial" w:cs="Arial"/>
        </w:rPr>
        <w:t>Bwin</w:t>
      </w:r>
      <w:proofErr w:type="spellEnd"/>
      <w:r w:rsidRPr="00851192">
        <w:rPr>
          <w:rFonts w:ascii="Arial" w:hAnsi="Arial" w:cs="Arial"/>
        </w:rPr>
        <w:t xml:space="preserve"> – </w:t>
      </w:r>
      <w:r w:rsidR="00F22F28" w:rsidRPr="00851192">
        <w:rPr>
          <w:rFonts w:ascii="Arial" w:hAnsi="Arial" w:cs="Arial"/>
        </w:rPr>
        <w:t xml:space="preserve">Twitter </w:t>
      </w:r>
      <w:r w:rsidRPr="00851192">
        <w:rPr>
          <w:rFonts w:ascii="Arial" w:hAnsi="Arial" w:cs="Arial"/>
        </w:rPr>
        <w:t xml:space="preserve">Social Media </w:t>
      </w:r>
    </w:p>
    <w:tbl>
      <w:tblPr>
        <w:tblStyle w:val="TableGrid"/>
        <w:tblW w:w="0" w:type="auto"/>
        <w:jc w:val="center"/>
        <w:tblLook w:val="04A0" w:firstRow="1" w:lastRow="0" w:firstColumn="1" w:lastColumn="0" w:noHBand="0" w:noVBand="1"/>
      </w:tblPr>
      <w:tblGrid>
        <w:gridCol w:w="1803"/>
        <w:gridCol w:w="1803"/>
        <w:gridCol w:w="1803"/>
      </w:tblGrid>
      <w:tr w:rsidR="009B75A0" w:rsidRPr="00851192" w14:paraId="2B0DFB10" w14:textId="77777777" w:rsidTr="00F27343">
        <w:trPr>
          <w:trHeight w:val="986"/>
          <w:jc w:val="center"/>
        </w:trPr>
        <w:tc>
          <w:tcPr>
            <w:tcW w:w="1803" w:type="dxa"/>
            <w:tcBorders>
              <w:top w:val="single" w:sz="4" w:space="0" w:color="auto"/>
              <w:left w:val="single" w:sz="4" w:space="0" w:color="auto"/>
              <w:bottom w:val="single" w:sz="4" w:space="0" w:color="auto"/>
              <w:right w:val="single" w:sz="4" w:space="0" w:color="auto"/>
            </w:tcBorders>
            <w:hideMark/>
          </w:tcPr>
          <w:p w14:paraId="0EC3EF0E" w14:textId="77777777" w:rsidR="009B75A0" w:rsidRPr="00851192" w:rsidRDefault="009B75A0" w:rsidP="00F27343">
            <w:pPr>
              <w:jc w:val="center"/>
              <w:rPr>
                <w:rFonts w:ascii="Arial" w:hAnsi="Arial" w:cs="Arial"/>
              </w:rPr>
            </w:pPr>
            <w:r w:rsidRPr="00851192">
              <w:rPr>
                <w:rFonts w:ascii="Arial" w:hAnsi="Arial" w:cs="Arial"/>
              </w:rPr>
              <w:lastRenderedPageBreak/>
              <w:t>Categories</w:t>
            </w:r>
          </w:p>
        </w:tc>
        <w:tc>
          <w:tcPr>
            <w:tcW w:w="1803" w:type="dxa"/>
            <w:tcBorders>
              <w:top w:val="single" w:sz="4" w:space="0" w:color="auto"/>
              <w:left w:val="single" w:sz="4" w:space="0" w:color="auto"/>
              <w:bottom w:val="single" w:sz="4" w:space="0" w:color="auto"/>
              <w:right w:val="single" w:sz="4" w:space="0" w:color="auto"/>
            </w:tcBorders>
            <w:hideMark/>
          </w:tcPr>
          <w:p w14:paraId="0DB69B5E" w14:textId="77777777" w:rsidR="009B75A0" w:rsidRPr="00851192" w:rsidRDefault="009B75A0" w:rsidP="00F27343">
            <w:pPr>
              <w:jc w:val="center"/>
              <w:rPr>
                <w:rFonts w:ascii="Arial" w:hAnsi="Arial" w:cs="Arial"/>
                <w:b/>
              </w:rPr>
            </w:pPr>
            <w:r w:rsidRPr="00851192">
              <w:rPr>
                <w:rFonts w:ascii="Segoe UI Symbol" w:hAnsi="Segoe UI Symbol" w:cs="Segoe UI Symbol"/>
                <w:b/>
                <w:shd w:val="clear" w:color="auto" w:fill="FFFFFF"/>
              </w:rPr>
              <w:t>✓</w:t>
            </w:r>
            <w:r w:rsidRPr="00851192">
              <w:rPr>
                <w:rFonts w:ascii="Arial" w:hAnsi="Arial" w:cs="Arial"/>
                <w:b/>
                <w:shd w:val="clear" w:color="auto" w:fill="FFFFFF"/>
              </w:rPr>
              <w:t xml:space="preserve"> / </w:t>
            </w:r>
            <w:r w:rsidRPr="00851192">
              <w:rPr>
                <w:rFonts w:ascii="Segoe UI Symbol" w:hAnsi="Segoe UI Symbol" w:cs="Segoe UI Symbol"/>
                <w:b/>
                <w:shd w:val="clear" w:color="auto" w:fill="FFFFFF"/>
              </w:rPr>
              <w:t>☓</w:t>
            </w:r>
          </w:p>
        </w:tc>
        <w:tc>
          <w:tcPr>
            <w:tcW w:w="1803" w:type="dxa"/>
            <w:tcBorders>
              <w:top w:val="single" w:sz="4" w:space="0" w:color="auto"/>
              <w:left w:val="single" w:sz="4" w:space="0" w:color="auto"/>
              <w:bottom w:val="single" w:sz="4" w:space="0" w:color="auto"/>
              <w:right w:val="single" w:sz="4" w:space="0" w:color="auto"/>
            </w:tcBorders>
            <w:hideMark/>
          </w:tcPr>
          <w:p w14:paraId="3173303A" w14:textId="77777777" w:rsidR="009B75A0" w:rsidRPr="00851192" w:rsidRDefault="009B75A0" w:rsidP="00F27343">
            <w:pPr>
              <w:jc w:val="center"/>
              <w:rPr>
                <w:rFonts w:ascii="Arial" w:hAnsi="Arial" w:cs="Arial"/>
              </w:rPr>
            </w:pPr>
            <w:r w:rsidRPr="00851192">
              <w:rPr>
                <w:rFonts w:ascii="Arial" w:hAnsi="Arial" w:cs="Arial"/>
              </w:rPr>
              <w:t>Researchers rating for clear clarity on category</w:t>
            </w:r>
          </w:p>
        </w:tc>
      </w:tr>
      <w:tr w:rsidR="009B75A0" w:rsidRPr="00851192" w14:paraId="1D9394A9" w14:textId="77777777" w:rsidTr="00F27343">
        <w:trPr>
          <w:jc w:val="center"/>
        </w:trPr>
        <w:tc>
          <w:tcPr>
            <w:tcW w:w="1803" w:type="dxa"/>
            <w:tcBorders>
              <w:top w:val="single" w:sz="4" w:space="0" w:color="auto"/>
              <w:left w:val="single" w:sz="4" w:space="0" w:color="auto"/>
              <w:bottom w:val="single" w:sz="4" w:space="0" w:color="auto"/>
              <w:right w:val="single" w:sz="4" w:space="0" w:color="auto"/>
            </w:tcBorders>
            <w:hideMark/>
          </w:tcPr>
          <w:p w14:paraId="52654E0F" w14:textId="77777777" w:rsidR="009B75A0" w:rsidRPr="00851192" w:rsidRDefault="009B75A0" w:rsidP="00F27343">
            <w:pPr>
              <w:jc w:val="center"/>
              <w:rPr>
                <w:rFonts w:ascii="Arial" w:hAnsi="Arial" w:cs="Arial"/>
                <w:b/>
              </w:rPr>
            </w:pPr>
            <w:r w:rsidRPr="00851192">
              <w:rPr>
                <w:rFonts w:ascii="Arial" w:hAnsi="Arial" w:cs="Arial"/>
                <w:b/>
              </w:rPr>
              <w:t>Social Media Presence</w:t>
            </w:r>
          </w:p>
        </w:tc>
        <w:tc>
          <w:tcPr>
            <w:tcW w:w="1803" w:type="dxa"/>
            <w:tcBorders>
              <w:top w:val="single" w:sz="4" w:space="0" w:color="auto"/>
              <w:left w:val="single" w:sz="4" w:space="0" w:color="auto"/>
              <w:bottom w:val="single" w:sz="4" w:space="0" w:color="auto"/>
              <w:right w:val="single" w:sz="4" w:space="0" w:color="auto"/>
            </w:tcBorders>
          </w:tcPr>
          <w:p w14:paraId="13706699" w14:textId="77777777" w:rsidR="009B75A0" w:rsidRPr="00851192" w:rsidRDefault="009B75A0" w:rsidP="00F27343">
            <w:pPr>
              <w:jc w:val="center"/>
              <w:rPr>
                <w:rFonts w:ascii="Arial" w:hAnsi="Arial" w:cs="Arial"/>
                <w:b/>
                <w:shd w:val="clear" w:color="auto" w:fill="FFFFFF"/>
              </w:rPr>
            </w:pPr>
          </w:p>
        </w:tc>
        <w:tc>
          <w:tcPr>
            <w:tcW w:w="1803" w:type="dxa"/>
            <w:tcBorders>
              <w:top w:val="single" w:sz="4" w:space="0" w:color="auto"/>
              <w:left w:val="single" w:sz="4" w:space="0" w:color="auto"/>
              <w:bottom w:val="single" w:sz="4" w:space="0" w:color="auto"/>
              <w:right w:val="single" w:sz="4" w:space="0" w:color="auto"/>
            </w:tcBorders>
          </w:tcPr>
          <w:p w14:paraId="5A1CCA8E" w14:textId="77777777" w:rsidR="009B75A0" w:rsidRPr="00851192" w:rsidRDefault="009B75A0" w:rsidP="00F27343">
            <w:pPr>
              <w:jc w:val="center"/>
              <w:rPr>
                <w:rFonts w:ascii="Arial" w:hAnsi="Arial" w:cs="Arial"/>
              </w:rPr>
            </w:pPr>
          </w:p>
        </w:tc>
      </w:tr>
      <w:tr w:rsidR="009B75A0" w:rsidRPr="00851192" w14:paraId="7044F48D" w14:textId="77777777" w:rsidTr="00F27343">
        <w:trPr>
          <w:jc w:val="center"/>
        </w:trPr>
        <w:tc>
          <w:tcPr>
            <w:tcW w:w="1803" w:type="dxa"/>
            <w:tcBorders>
              <w:top w:val="single" w:sz="4" w:space="0" w:color="auto"/>
              <w:left w:val="single" w:sz="4" w:space="0" w:color="auto"/>
              <w:bottom w:val="single" w:sz="4" w:space="0" w:color="auto"/>
              <w:right w:val="single" w:sz="4" w:space="0" w:color="auto"/>
            </w:tcBorders>
            <w:hideMark/>
          </w:tcPr>
          <w:p w14:paraId="41BAE086" w14:textId="77777777" w:rsidR="009B75A0" w:rsidRPr="00851192" w:rsidRDefault="009B75A0" w:rsidP="00F27343">
            <w:pPr>
              <w:jc w:val="center"/>
              <w:rPr>
                <w:rFonts w:ascii="Arial" w:hAnsi="Arial" w:cs="Arial"/>
              </w:rPr>
            </w:pPr>
            <w:r w:rsidRPr="00851192">
              <w:rPr>
                <w:rFonts w:ascii="Arial" w:hAnsi="Arial" w:cs="Arial"/>
              </w:rPr>
              <w:t>Responsible Gambling</w:t>
            </w:r>
          </w:p>
        </w:tc>
        <w:tc>
          <w:tcPr>
            <w:tcW w:w="1803" w:type="dxa"/>
            <w:tcBorders>
              <w:top w:val="single" w:sz="4" w:space="0" w:color="auto"/>
              <w:left w:val="single" w:sz="4" w:space="0" w:color="auto"/>
              <w:bottom w:val="single" w:sz="4" w:space="0" w:color="auto"/>
              <w:right w:val="single" w:sz="4" w:space="0" w:color="auto"/>
            </w:tcBorders>
            <w:hideMark/>
          </w:tcPr>
          <w:p w14:paraId="3944594F" w14:textId="04821B62" w:rsidR="009B75A0" w:rsidRPr="00851192" w:rsidRDefault="00F22F28" w:rsidP="00F27343">
            <w:pPr>
              <w:jc w:val="center"/>
              <w:rPr>
                <w:rFonts w:ascii="Arial" w:hAnsi="Arial" w:cs="Arial"/>
              </w:rPr>
            </w:pPr>
            <w:r w:rsidRPr="00851192">
              <w:rPr>
                <w:rFonts w:ascii="Segoe UI Symbol" w:hAnsi="Segoe UI Symbol" w:cs="Segoe UI Symbol"/>
                <w:b/>
                <w:shd w:val="clear" w:color="auto" w:fill="FFFFFF"/>
              </w:rPr>
              <w:t>✓</w:t>
            </w:r>
          </w:p>
        </w:tc>
        <w:tc>
          <w:tcPr>
            <w:tcW w:w="1803" w:type="dxa"/>
            <w:tcBorders>
              <w:top w:val="single" w:sz="4" w:space="0" w:color="auto"/>
              <w:left w:val="single" w:sz="4" w:space="0" w:color="auto"/>
              <w:bottom w:val="single" w:sz="4" w:space="0" w:color="auto"/>
              <w:right w:val="single" w:sz="4" w:space="0" w:color="auto"/>
            </w:tcBorders>
            <w:hideMark/>
          </w:tcPr>
          <w:p w14:paraId="0E23035E" w14:textId="0B8B9A3D" w:rsidR="009B75A0" w:rsidRPr="00851192" w:rsidRDefault="00F22F28" w:rsidP="00F27343">
            <w:pPr>
              <w:jc w:val="center"/>
              <w:rPr>
                <w:rFonts w:ascii="Arial" w:hAnsi="Arial" w:cs="Arial"/>
              </w:rPr>
            </w:pPr>
            <w:r w:rsidRPr="00851192">
              <w:rPr>
                <w:rFonts w:ascii="Arial" w:hAnsi="Arial" w:cs="Arial"/>
              </w:rPr>
              <w:t>Responsible gambling statement on twitter</w:t>
            </w:r>
          </w:p>
        </w:tc>
      </w:tr>
      <w:tr w:rsidR="009B75A0" w:rsidRPr="00851192" w14:paraId="460FD97A" w14:textId="77777777" w:rsidTr="00F27343">
        <w:trPr>
          <w:jc w:val="center"/>
        </w:trPr>
        <w:tc>
          <w:tcPr>
            <w:tcW w:w="1803" w:type="dxa"/>
            <w:tcBorders>
              <w:top w:val="single" w:sz="4" w:space="0" w:color="auto"/>
              <w:left w:val="single" w:sz="4" w:space="0" w:color="auto"/>
              <w:bottom w:val="single" w:sz="4" w:space="0" w:color="auto"/>
              <w:right w:val="single" w:sz="4" w:space="0" w:color="auto"/>
            </w:tcBorders>
            <w:hideMark/>
          </w:tcPr>
          <w:p w14:paraId="2066C966" w14:textId="77777777" w:rsidR="009B75A0" w:rsidRPr="00851192" w:rsidRDefault="009B75A0" w:rsidP="00F27343">
            <w:pPr>
              <w:jc w:val="center"/>
              <w:rPr>
                <w:rFonts w:ascii="Arial" w:hAnsi="Arial" w:cs="Arial"/>
              </w:rPr>
            </w:pPr>
            <w:r w:rsidRPr="00851192">
              <w:rPr>
                <w:rFonts w:ascii="Arial" w:hAnsi="Arial" w:cs="Arial"/>
              </w:rPr>
              <w:t>Problem Gambling Support</w:t>
            </w:r>
          </w:p>
        </w:tc>
        <w:tc>
          <w:tcPr>
            <w:tcW w:w="1803" w:type="dxa"/>
            <w:tcBorders>
              <w:top w:val="single" w:sz="4" w:space="0" w:color="auto"/>
              <w:left w:val="single" w:sz="4" w:space="0" w:color="auto"/>
              <w:bottom w:val="single" w:sz="4" w:space="0" w:color="auto"/>
              <w:right w:val="single" w:sz="4" w:space="0" w:color="auto"/>
            </w:tcBorders>
            <w:hideMark/>
          </w:tcPr>
          <w:p w14:paraId="2249116B"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1803" w:type="dxa"/>
            <w:tcBorders>
              <w:top w:val="single" w:sz="4" w:space="0" w:color="auto"/>
              <w:left w:val="single" w:sz="4" w:space="0" w:color="auto"/>
              <w:bottom w:val="single" w:sz="4" w:space="0" w:color="auto"/>
              <w:right w:val="single" w:sz="4" w:space="0" w:color="auto"/>
            </w:tcBorders>
            <w:hideMark/>
          </w:tcPr>
          <w:p w14:paraId="682DF4A9" w14:textId="77777777" w:rsidR="009B75A0" w:rsidRPr="00851192" w:rsidRDefault="009B75A0" w:rsidP="00F27343">
            <w:pPr>
              <w:jc w:val="center"/>
              <w:rPr>
                <w:rFonts w:ascii="Arial" w:hAnsi="Arial" w:cs="Arial"/>
              </w:rPr>
            </w:pPr>
            <w:r w:rsidRPr="00851192">
              <w:rPr>
                <w:rFonts w:ascii="Arial" w:hAnsi="Arial" w:cs="Arial"/>
              </w:rPr>
              <w:t>None</w:t>
            </w:r>
          </w:p>
        </w:tc>
      </w:tr>
      <w:tr w:rsidR="009B75A0" w:rsidRPr="00851192" w14:paraId="6F09CF45" w14:textId="77777777" w:rsidTr="00F27343">
        <w:trPr>
          <w:jc w:val="center"/>
        </w:trPr>
        <w:tc>
          <w:tcPr>
            <w:tcW w:w="1803" w:type="dxa"/>
            <w:tcBorders>
              <w:top w:val="single" w:sz="4" w:space="0" w:color="auto"/>
              <w:left w:val="single" w:sz="4" w:space="0" w:color="auto"/>
              <w:bottom w:val="single" w:sz="4" w:space="0" w:color="auto"/>
              <w:right w:val="single" w:sz="4" w:space="0" w:color="auto"/>
            </w:tcBorders>
            <w:hideMark/>
          </w:tcPr>
          <w:p w14:paraId="6916EE3E" w14:textId="77777777" w:rsidR="009B75A0" w:rsidRPr="00851192" w:rsidRDefault="009B75A0" w:rsidP="00F27343">
            <w:pPr>
              <w:jc w:val="center"/>
              <w:rPr>
                <w:rFonts w:ascii="Arial" w:hAnsi="Arial" w:cs="Arial"/>
              </w:rPr>
            </w:pPr>
            <w:r w:rsidRPr="00851192">
              <w:rPr>
                <w:rFonts w:ascii="Arial" w:hAnsi="Arial" w:cs="Arial"/>
              </w:rPr>
              <w:t>Technical Support Links (Customer Service)</w:t>
            </w:r>
          </w:p>
        </w:tc>
        <w:tc>
          <w:tcPr>
            <w:tcW w:w="1803" w:type="dxa"/>
            <w:tcBorders>
              <w:top w:val="single" w:sz="4" w:space="0" w:color="auto"/>
              <w:left w:val="single" w:sz="4" w:space="0" w:color="auto"/>
              <w:bottom w:val="single" w:sz="4" w:space="0" w:color="auto"/>
              <w:right w:val="single" w:sz="4" w:space="0" w:color="auto"/>
            </w:tcBorders>
            <w:hideMark/>
          </w:tcPr>
          <w:p w14:paraId="2FBEA0F5"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1803" w:type="dxa"/>
            <w:tcBorders>
              <w:top w:val="single" w:sz="4" w:space="0" w:color="auto"/>
              <w:left w:val="single" w:sz="4" w:space="0" w:color="auto"/>
              <w:bottom w:val="single" w:sz="4" w:space="0" w:color="auto"/>
              <w:right w:val="single" w:sz="4" w:space="0" w:color="auto"/>
            </w:tcBorders>
            <w:hideMark/>
          </w:tcPr>
          <w:p w14:paraId="3F31A814" w14:textId="77777777" w:rsidR="009B75A0" w:rsidRPr="00851192" w:rsidRDefault="009B75A0" w:rsidP="00F27343">
            <w:pPr>
              <w:jc w:val="center"/>
              <w:rPr>
                <w:rFonts w:ascii="Arial" w:hAnsi="Arial" w:cs="Arial"/>
              </w:rPr>
            </w:pPr>
            <w:r w:rsidRPr="00851192">
              <w:rPr>
                <w:rFonts w:ascii="Arial" w:hAnsi="Arial" w:cs="Arial"/>
              </w:rPr>
              <w:t>Very High</w:t>
            </w:r>
          </w:p>
        </w:tc>
      </w:tr>
      <w:tr w:rsidR="009B75A0" w:rsidRPr="00851192" w14:paraId="504EB8EB" w14:textId="77777777" w:rsidTr="00F27343">
        <w:trPr>
          <w:jc w:val="center"/>
        </w:trPr>
        <w:tc>
          <w:tcPr>
            <w:tcW w:w="1803" w:type="dxa"/>
            <w:tcBorders>
              <w:top w:val="single" w:sz="4" w:space="0" w:color="auto"/>
              <w:left w:val="single" w:sz="4" w:space="0" w:color="auto"/>
              <w:bottom w:val="single" w:sz="4" w:space="0" w:color="auto"/>
              <w:right w:val="single" w:sz="4" w:space="0" w:color="auto"/>
            </w:tcBorders>
            <w:hideMark/>
          </w:tcPr>
          <w:p w14:paraId="66617942" w14:textId="77777777" w:rsidR="009B75A0" w:rsidRPr="00851192" w:rsidRDefault="009B75A0" w:rsidP="00F27343">
            <w:pPr>
              <w:jc w:val="center"/>
              <w:rPr>
                <w:rFonts w:ascii="Arial" w:hAnsi="Arial" w:cs="Arial"/>
              </w:rPr>
            </w:pPr>
            <w:r w:rsidRPr="00851192">
              <w:rPr>
                <w:rFonts w:ascii="Arial" w:hAnsi="Arial" w:cs="Arial"/>
              </w:rPr>
              <w:t>Promotional Gambling Advertisement</w:t>
            </w:r>
          </w:p>
        </w:tc>
        <w:tc>
          <w:tcPr>
            <w:tcW w:w="1803" w:type="dxa"/>
            <w:tcBorders>
              <w:top w:val="single" w:sz="4" w:space="0" w:color="auto"/>
              <w:left w:val="single" w:sz="4" w:space="0" w:color="auto"/>
              <w:bottom w:val="single" w:sz="4" w:space="0" w:color="auto"/>
              <w:right w:val="single" w:sz="4" w:space="0" w:color="auto"/>
            </w:tcBorders>
            <w:hideMark/>
          </w:tcPr>
          <w:p w14:paraId="4475C818"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1803" w:type="dxa"/>
            <w:tcBorders>
              <w:top w:val="single" w:sz="4" w:space="0" w:color="auto"/>
              <w:left w:val="single" w:sz="4" w:space="0" w:color="auto"/>
              <w:bottom w:val="single" w:sz="4" w:space="0" w:color="auto"/>
              <w:right w:val="single" w:sz="4" w:space="0" w:color="auto"/>
            </w:tcBorders>
            <w:hideMark/>
          </w:tcPr>
          <w:p w14:paraId="758A28DE" w14:textId="77777777" w:rsidR="009B75A0" w:rsidRPr="00851192" w:rsidRDefault="009B75A0" w:rsidP="00F27343">
            <w:pPr>
              <w:jc w:val="center"/>
              <w:rPr>
                <w:rFonts w:ascii="Arial" w:hAnsi="Arial" w:cs="Arial"/>
              </w:rPr>
            </w:pPr>
            <w:r w:rsidRPr="00851192">
              <w:rPr>
                <w:rFonts w:ascii="Arial" w:hAnsi="Arial" w:cs="Arial"/>
              </w:rPr>
              <w:t>Very High</w:t>
            </w:r>
          </w:p>
        </w:tc>
      </w:tr>
      <w:tr w:rsidR="009B75A0" w:rsidRPr="00851192" w14:paraId="7D81CAB9" w14:textId="77777777" w:rsidTr="00F27343">
        <w:trPr>
          <w:jc w:val="center"/>
        </w:trPr>
        <w:tc>
          <w:tcPr>
            <w:tcW w:w="1803" w:type="dxa"/>
            <w:tcBorders>
              <w:top w:val="single" w:sz="4" w:space="0" w:color="auto"/>
              <w:left w:val="single" w:sz="4" w:space="0" w:color="auto"/>
              <w:bottom w:val="single" w:sz="4" w:space="0" w:color="auto"/>
              <w:right w:val="single" w:sz="4" w:space="0" w:color="auto"/>
            </w:tcBorders>
            <w:hideMark/>
          </w:tcPr>
          <w:p w14:paraId="7718FB57" w14:textId="77777777" w:rsidR="009B75A0" w:rsidRPr="00851192" w:rsidRDefault="009B75A0" w:rsidP="00F27343">
            <w:pPr>
              <w:jc w:val="center"/>
              <w:rPr>
                <w:rFonts w:ascii="Arial" w:hAnsi="Arial" w:cs="Arial"/>
              </w:rPr>
            </w:pPr>
            <w:r w:rsidRPr="00851192">
              <w:rPr>
                <w:rFonts w:ascii="Arial" w:hAnsi="Arial" w:cs="Arial"/>
              </w:rPr>
              <w:t>Age Verification or statement to visit Facebook and Twitter Page</w:t>
            </w:r>
          </w:p>
        </w:tc>
        <w:tc>
          <w:tcPr>
            <w:tcW w:w="1803" w:type="dxa"/>
            <w:tcBorders>
              <w:top w:val="single" w:sz="4" w:space="0" w:color="auto"/>
              <w:left w:val="single" w:sz="4" w:space="0" w:color="auto"/>
              <w:bottom w:val="single" w:sz="4" w:space="0" w:color="auto"/>
              <w:right w:val="single" w:sz="4" w:space="0" w:color="auto"/>
            </w:tcBorders>
            <w:hideMark/>
          </w:tcPr>
          <w:p w14:paraId="146F2EFF"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1803" w:type="dxa"/>
            <w:tcBorders>
              <w:top w:val="single" w:sz="4" w:space="0" w:color="auto"/>
              <w:left w:val="single" w:sz="4" w:space="0" w:color="auto"/>
              <w:bottom w:val="single" w:sz="4" w:space="0" w:color="auto"/>
              <w:right w:val="single" w:sz="4" w:space="0" w:color="auto"/>
            </w:tcBorders>
            <w:hideMark/>
          </w:tcPr>
          <w:p w14:paraId="086A9FD1" w14:textId="77777777" w:rsidR="009B75A0" w:rsidRPr="00851192" w:rsidRDefault="009B75A0" w:rsidP="00F27343">
            <w:pPr>
              <w:jc w:val="center"/>
              <w:rPr>
                <w:rFonts w:ascii="Arial" w:hAnsi="Arial" w:cs="Arial"/>
              </w:rPr>
            </w:pPr>
            <w:r w:rsidRPr="00851192">
              <w:rPr>
                <w:rFonts w:ascii="Arial" w:hAnsi="Arial" w:cs="Arial"/>
              </w:rPr>
              <w:t>None</w:t>
            </w:r>
          </w:p>
        </w:tc>
      </w:tr>
      <w:tr w:rsidR="009B75A0" w:rsidRPr="00851192" w14:paraId="730DB9FC" w14:textId="77777777" w:rsidTr="00F27343">
        <w:trPr>
          <w:jc w:val="center"/>
        </w:trPr>
        <w:tc>
          <w:tcPr>
            <w:tcW w:w="1803" w:type="dxa"/>
            <w:tcBorders>
              <w:top w:val="single" w:sz="4" w:space="0" w:color="auto"/>
              <w:left w:val="single" w:sz="4" w:space="0" w:color="auto"/>
              <w:bottom w:val="single" w:sz="4" w:space="0" w:color="auto"/>
              <w:right w:val="single" w:sz="4" w:space="0" w:color="auto"/>
            </w:tcBorders>
            <w:hideMark/>
          </w:tcPr>
          <w:p w14:paraId="774B0514" w14:textId="77777777" w:rsidR="009B75A0" w:rsidRPr="00851192" w:rsidRDefault="009B75A0" w:rsidP="00F27343">
            <w:pPr>
              <w:jc w:val="center"/>
              <w:rPr>
                <w:rFonts w:ascii="Arial" w:hAnsi="Arial" w:cs="Arial"/>
              </w:rPr>
            </w:pPr>
            <w:r w:rsidRPr="00851192">
              <w:rPr>
                <w:rFonts w:ascii="Arial" w:hAnsi="Arial" w:cs="Arial"/>
              </w:rPr>
              <w:t>Links to Sign up</w:t>
            </w:r>
          </w:p>
        </w:tc>
        <w:tc>
          <w:tcPr>
            <w:tcW w:w="1803" w:type="dxa"/>
            <w:tcBorders>
              <w:top w:val="single" w:sz="4" w:space="0" w:color="auto"/>
              <w:left w:val="single" w:sz="4" w:space="0" w:color="auto"/>
              <w:bottom w:val="single" w:sz="4" w:space="0" w:color="auto"/>
              <w:right w:val="single" w:sz="4" w:space="0" w:color="auto"/>
            </w:tcBorders>
            <w:hideMark/>
          </w:tcPr>
          <w:p w14:paraId="140EC36F"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1803" w:type="dxa"/>
            <w:tcBorders>
              <w:top w:val="single" w:sz="4" w:space="0" w:color="auto"/>
              <w:left w:val="single" w:sz="4" w:space="0" w:color="auto"/>
              <w:bottom w:val="single" w:sz="4" w:space="0" w:color="auto"/>
              <w:right w:val="single" w:sz="4" w:space="0" w:color="auto"/>
            </w:tcBorders>
            <w:hideMark/>
          </w:tcPr>
          <w:p w14:paraId="156C33D9" w14:textId="77777777" w:rsidR="009B75A0" w:rsidRPr="00851192" w:rsidRDefault="009B75A0" w:rsidP="00F27343">
            <w:pPr>
              <w:jc w:val="center"/>
              <w:rPr>
                <w:rFonts w:ascii="Arial" w:hAnsi="Arial" w:cs="Arial"/>
              </w:rPr>
            </w:pPr>
            <w:r w:rsidRPr="00851192">
              <w:rPr>
                <w:rFonts w:ascii="Arial" w:hAnsi="Arial" w:cs="Arial"/>
              </w:rPr>
              <w:t xml:space="preserve">Very High </w:t>
            </w:r>
          </w:p>
        </w:tc>
      </w:tr>
      <w:tr w:rsidR="009B75A0" w:rsidRPr="00851192" w14:paraId="2793D5C3" w14:textId="77777777" w:rsidTr="00F27343">
        <w:trPr>
          <w:jc w:val="center"/>
        </w:trPr>
        <w:tc>
          <w:tcPr>
            <w:tcW w:w="1803" w:type="dxa"/>
            <w:tcBorders>
              <w:top w:val="single" w:sz="4" w:space="0" w:color="auto"/>
              <w:left w:val="single" w:sz="4" w:space="0" w:color="auto"/>
              <w:bottom w:val="single" w:sz="4" w:space="0" w:color="auto"/>
              <w:right w:val="single" w:sz="4" w:space="0" w:color="auto"/>
            </w:tcBorders>
            <w:hideMark/>
          </w:tcPr>
          <w:p w14:paraId="70A4F48D" w14:textId="77777777" w:rsidR="009B75A0" w:rsidRPr="00851192" w:rsidRDefault="009B75A0" w:rsidP="00F27343">
            <w:pPr>
              <w:jc w:val="center"/>
              <w:rPr>
                <w:rFonts w:ascii="Arial" w:hAnsi="Arial" w:cs="Arial"/>
              </w:rPr>
            </w:pPr>
            <w:r w:rsidRPr="00851192">
              <w:rPr>
                <w:rFonts w:ascii="Arial" w:hAnsi="Arial" w:cs="Arial"/>
              </w:rPr>
              <w:t>Links to other Social Media Platforms</w:t>
            </w:r>
          </w:p>
        </w:tc>
        <w:tc>
          <w:tcPr>
            <w:tcW w:w="1803" w:type="dxa"/>
            <w:tcBorders>
              <w:top w:val="single" w:sz="4" w:space="0" w:color="auto"/>
              <w:left w:val="single" w:sz="4" w:space="0" w:color="auto"/>
              <w:bottom w:val="single" w:sz="4" w:space="0" w:color="auto"/>
              <w:right w:val="single" w:sz="4" w:space="0" w:color="auto"/>
            </w:tcBorders>
            <w:hideMark/>
          </w:tcPr>
          <w:p w14:paraId="0346B6BE"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1803" w:type="dxa"/>
            <w:tcBorders>
              <w:top w:val="single" w:sz="4" w:space="0" w:color="auto"/>
              <w:left w:val="single" w:sz="4" w:space="0" w:color="auto"/>
              <w:bottom w:val="single" w:sz="4" w:space="0" w:color="auto"/>
              <w:right w:val="single" w:sz="4" w:space="0" w:color="auto"/>
            </w:tcBorders>
            <w:hideMark/>
          </w:tcPr>
          <w:p w14:paraId="4ADD51B1" w14:textId="77777777" w:rsidR="009B75A0" w:rsidRPr="00851192" w:rsidRDefault="009B75A0" w:rsidP="00F27343">
            <w:pPr>
              <w:jc w:val="center"/>
              <w:rPr>
                <w:rFonts w:ascii="Arial" w:hAnsi="Arial" w:cs="Arial"/>
              </w:rPr>
            </w:pPr>
            <w:r w:rsidRPr="00851192">
              <w:rPr>
                <w:rFonts w:ascii="Arial" w:hAnsi="Arial" w:cs="Arial"/>
              </w:rPr>
              <w:t xml:space="preserve">Adequate </w:t>
            </w:r>
          </w:p>
        </w:tc>
      </w:tr>
      <w:tr w:rsidR="009B75A0" w:rsidRPr="00851192" w14:paraId="6CD012A4" w14:textId="77777777" w:rsidTr="00F27343">
        <w:trPr>
          <w:jc w:val="center"/>
        </w:trPr>
        <w:tc>
          <w:tcPr>
            <w:tcW w:w="1803" w:type="dxa"/>
            <w:tcBorders>
              <w:top w:val="single" w:sz="4" w:space="0" w:color="auto"/>
              <w:left w:val="single" w:sz="4" w:space="0" w:color="auto"/>
              <w:bottom w:val="single" w:sz="4" w:space="0" w:color="auto"/>
              <w:right w:val="single" w:sz="4" w:space="0" w:color="auto"/>
            </w:tcBorders>
            <w:hideMark/>
          </w:tcPr>
          <w:p w14:paraId="6D7C57E1" w14:textId="77777777" w:rsidR="009B75A0" w:rsidRPr="00851192" w:rsidRDefault="009B75A0" w:rsidP="00F27343">
            <w:pPr>
              <w:jc w:val="center"/>
              <w:rPr>
                <w:rFonts w:ascii="Arial" w:hAnsi="Arial" w:cs="Arial"/>
              </w:rPr>
            </w:pPr>
            <w:r w:rsidRPr="00851192">
              <w:rPr>
                <w:rFonts w:ascii="Arial" w:hAnsi="Arial" w:cs="Arial"/>
              </w:rPr>
              <w:t xml:space="preserve">Promotion of betting culture through photos and advertisement </w:t>
            </w:r>
          </w:p>
        </w:tc>
        <w:tc>
          <w:tcPr>
            <w:tcW w:w="1803" w:type="dxa"/>
            <w:tcBorders>
              <w:top w:val="single" w:sz="4" w:space="0" w:color="auto"/>
              <w:left w:val="single" w:sz="4" w:space="0" w:color="auto"/>
              <w:bottom w:val="single" w:sz="4" w:space="0" w:color="auto"/>
              <w:right w:val="single" w:sz="4" w:space="0" w:color="auto"/>
            </w:tcBorders>
            <w:hideMark/>
          </w:tcPr>
          <w:p w14:paraId="56443BDD"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1803" w:type="dxa"/>
            <w:tcBorders>
              <w:top w:val="single" w:sz="4" w:space="0" w:color="auto"/>
              <w:left w:val="single" w:sz="4" w:space="0" w:color="auto"/>
              <w:bottom w:val="single" w:sz="4" w:space="0" w:color="auto"/>
              <w:right w:val="single" w:sz="4" w:space="0" w:color="auto"/>
            </w:tcBorders>
            <w:hideMark/>
          </w:tcPr>
          <w:p w14:paraId="12B96122" w14:textId="77777777" w:rsidR="009B75A0" w:rsidRPr="00851192" w:rsidRDefault="009B75A0" w:rsidP="00F27343">
            <w:pPr>
              <w:jc w:val="center"/>
              <w:rPr>
                <w:rFonts w:ascii="Arial" w:hAnsi="Arial" w:cs="Arial"/>
              </w:rPr>
            </w:pPr>
            <w:r w:rsidRPr="00851192">
              <w:rPr>
                <w:rFonts w:ascii="Arial" w:hAnsi="Arial" w:cs="Arial"/>
              </w:rPr>
              <w:t>Very High</w:t>
            </w:r>
          </w:p>
        </w:tc>
      </w:tr>
    </w:tbl>
    <w:p w14:paraId="05680DC0" w14:textId="77777777" w:rsidR="009B75A0" w:rsidRPr="00851192" w:rsidRDefault="009B75A0" w:rsidP="009B75A0">
      <w:pPr>
        <w:rPr>
          <w:rFonts w:ascii="Arial" w:hAnsi="Arial" w:cs="Arial"/>
        </w:rPr>
      </w:pPr>
    </w:p>
    <w:p w14:paraId="03E42F15" w14:textId="61C2331D" w:rsidR="009B75A0" w:rsidRPr="00851192" w:rsidRDefault="009B75A0" w:rsidP="009B75A0">
      <w:pPr>
        <w:jc w:val="center"/>
        <w:rPr>
          <w:rFonts w:ascii="Arial" w:hAnsi="Arial" w:cs="Arial"/>
        </w:rPr>
      </w:pPr>
      <w:r w:rsidRPr="00851192">
        <w:rPr>
          <w:rFonts w:ascii="Arial" w:hAnsi="Arial" w:cs="Arial"/>
        </w:rPr>
        <w:t>Asia-Gaming – Weibo</w:t>
      </w:r>
      <w:r w:rsidR="00F22F28" w:rsidRPr="00851192">
        <w:rPr>
          <w:rFonts w:ascii="Arial" w:hAnsi="Arial" w:cs="Arial"/>
        </w:rPr>
        <w:t xml:space="preserve"> and </w:t>
      </w:r>
      <w:r w:rsidRPr="00851192">
        <w:rPr>
          <w:rFonts w:ascii="Arial" w:hAnsi="Arial" w:cs="Arial"/>
        </w:rPr>
        <w:t>Facebook Social Media</w:t>
      </w:r>
    </w:p>
    <w:tbl>
      <w:tblPr>
        <w:tblStyle w:val="TableGrid"/>
        <w:tblW w:w="0" w:type="auto"/>
        <w:jc w:val="center"/>
        <w:tblLook w:val="04A0" w:firstRow="1" w:lastRow="0" w:firstColumn="1" w:lastColumn="0" w:noHBand="0" w:noVBand="1"/>
      </w:tblPr>
      <w:tblGrid>
        <w:gridCol w:w="1803"/>
        <w:gridCol w:w="1803"/>
        <w:gridCol w:w="1803"/>
      </w:tblGrid>
      <w:tr w:rsidR="009B75A0" w:rsidRPr="00851192" w14:paraId="5BB3508D" w14:textId="77777777" w:rsidTr="00F27343">
        <w:trPr>
          <w:trHeight w:val="986"/>
          <w:jc w:val="center"/>
        </w:trPr>
        <w:tc>
          <w:tcPr>
            <w:tcW w:w="1803" w:type="dxa"/>
            <w:tcBorders>
              <w:top w:val="single" w:sz="4" w:space="0" w:color="auto"/>
              <w:left w:val="single" w:sz="4" w:space="0" w:color="auto"/>
              <w:bottom w:val="single" w:sz="4" w:space="0" w:color="auto"/>
              <w:right w:val="single" w:sz="4" w:space="0" w:color="auto"/>
            </w:tcBorders>
            <w:hideMark/>
          </w:tcPr>
          <w:p w14:paraId="63EEF22C" w14:textId="77777777" w:rsidR="009B75A0" w:rsidRPr="00851192" w:rsidRDefault="009B75A0" w:rsidP="00F27343">
            <w:pPr>
              <w:jc w:val="center"/>
              <w:rPr>
                <w:rFonts w:ascii="Arial" w:hAnsi="Arial" w:cs="Arial"/>
              </w:rPr>
            </w:pPr>
            <w:r w:rsidRPr="00851192">
              <w:rPr>
                <w:rFonts w:ascii="Arial" w:hAnsi="Arial" w:cs="Arial"/>
              </w:rPr>
              <w:t>Categories</w:t>
            </w:r>
          </w:p>
        </w:tc>
        <w:tc>
          <w:tcPr>
            <w:tcW w:w="1803" w:type="dxa"/>
            <w:tcBorders>
              <w:top w:val="single" w:sz="4" w:space="0" w:color="auto"/>
              <w:left w:val="single" w:sz="4" w:space="0" w:color="auto"/>
              <w:bottom w:val="single" w:sz="4" w:space="0" w:color="auto"/>
              <w:right w:val="single" w:sz="4" w:space="0" w:color="auto"/>
            </w:tcBorders>
            <w:hideMark/>
          </w:tcPr>
          <w:p w14:paraId="60CD6F01" w14:textId="77777777" w:rsidR="009B75A0" w:rsidRPr="00851192" w:rsidRDefault="009B75A0" w:rsidP="00F27343">
            <w:pPr>
              <w:jc w:val="center"/>
              <w:rPr>
                <w:rFonts w:ascii="Arial" w:hAnsi="Arial" w:cs="Arial"/>
                <w:b/>
              </w:rPr>
            </w:pPr>
            <w:r w:rsidRPr="00851192">
              <w:rPr>
                <w:rFonts w:ascii="Segoe UI Symbol" w:hAnsi="Segoe UI Symbol" w:cs="Segoe UI Symbol"/>
                <w:b/>
                <w:shd w:val="clear" w:color="auto" w:fill="FFFFFF"/>
              </w:rPr>
              <w:t>✓</w:t>
            </w:r>
            <w:r w:rsidRPr="00851192">
              <w:rPr>
                <w:rFonts w:ascii="Arial" w:hAnsi="Arial" w:cs="Arial"/>
                <w:b/>
                <w:shd w:val="clear" w:color="auto" w:fill="FFFFFF"/>
              </w:rPr>
              <w:t xml:space="preserve"> / </w:t>
            </w:r>
            <w:r w:rsidRPr="00851192">
              <w:rPr>
                <w:rFonts w:ascii="Segoe UI Symbol" w:hAnsi="Segoe UI Symbol" w:cs="Segoe UI Symbol"/>
                <w:b/>
                <w:shd w:val="clear" w:color="auto" w:fill="FFFFFF"/>
              </w:rPr>
              <w:t>☓</w:t>
            </w:r>
          </w:p>
        </w:tc>
        <w:tc>
          <w:tcPr>
            <w:tcW w:w="1803" w:type="dxa"/>
            <w:tcBorders>
              <w:top w:val="single" w:sz="4" w:space="0" w:color="auto"/>
              <w:left w:val="single" w:sz="4" w:space="0" w:color="auto"/>
              <w:bottom w:val="single" w:sz="4" w:space="0" w:color="auto"/>
              <w:right w:val="single" w:sz="4" w:space="0" w:color="auto"/>
            </w:tcBorders>
            <w:hideMark/>
          </w:tcPr>
          <w:p w14:paraId="44285E38" w14:textId="77777777" w:rsidR="009B75A0" w:rsidRPr="00851192" w:rsidRDefault="009B75A0" w:rsidP="00F27343">
            <w:pPr>
              <w:jc w:val="center"/>
              <w:rPr>
                <w:rFonts w:ascii="Arial" w:hAnsi="Arial" w:cs="Arial"/>
              </w:rPr>
            </w:pPr>
            <w:r w:rsidRPr="00851192">
              <w:rPr>
                <w:rFonts w:ascii="Arial" w:hAnsi="Arial" w:cs="Arial"/>
              </w:rPr>
              <w:t>Researchers rating for clear clarity on category</w:t>
            </w:r>
          </w:p>
        </w:tc>
      </w:tr>
      <w:tr w:rsidR="009B75A0" w:rsidRPr="00851192" w14:paraId="67DB9764" w14:textId="77777777" w:rsidTr="00F27343">
        <w:trPr>
          <w:jc w:val="center"/>
        </w:trPr>
        <w:tc>
          <w:tcPr>
            <w:tcW w:w="1803" w:type="dxa"/>
            <w:tcBorders>
              <w:top w:val="single" w:sz="4" w:space="0" w:color="auto"/>
              <w:left w:val="single" w:sz="4" w:space="0" w:color="auto"/>
              <w:bottom w:val="single" w:sz="4" w:space="0" w:color="auto"/>
              <w:right w:val="single" w:sz="4" w:space="0" w:color="auto"/>
            </w:tcBorders>
            <w:hideMark/>
          </w:tcPr>
          <w:p w14:paraId="092612A2" w14:textId="77777777" w:rsidR="009B75A0" w:rsidRPr="00851192" w:rsidRDefault="009B75A0" w:rsidP="00F27343">
            <w:pPr>
              <w:jc w:val="center"/>
              <w:rPr>
                <w:rFonts w:ascii="Arial" w:hAnsi="Arial" w:cs="Arial"/>
                <w:b/>
              </w:rPr>
            </w:pPr>
            <w:r w:rsidRPr="00851192">
              <w:rPr>
                <w:rFonts w:ascii="Arial" w:hAnsi="Arial" w:cs="Arial"/>
                <w:b/>
              </w:rPr>
              <w:t>Social Media Presence</w:t>
            </w:r>
          </w:p>
        </w:tc>
        <w:tc>
          <w:tcPr>
            <w:tcW w:w="1803" w:type="dxa"/>
            <w:tcBorders>
              <w:top w:val="single" w:sz="4" w:space="0" w:color="auto"/>
              <w:left w:val="single" w:sz="4" w:space="0" w:color="auto"/>
              <w:bottom w:val="single" w:sz="4" w:space="0" w:color="auto"/>
              <w:right w:val="single" w:sz="4" w:space="0" w:color="auto"/>
            </w:tcBorders>
          </w:tcPr>
          <w:p w14:paraId="14A5896D" w14:textId="77777777" w:rsidR="009B75A0" w:rsidRPr="00851192" w:rsidRDefault="009B75A0" w:rsidP="00F27343">
            <w:pPr>
              <w:jc w:val="center"/>
              <w:rPr>
                <w:rFonts w:ascii="Arial" w:hAnsi="Arial" w:cs="Arial"/>
                <w:b/>
                <w:shd w:val="clear" w:color="auto" w:fill="FFFFFF"/>
              </w:rPr>
            </w:pPr>
          </w:p>
        </w:tc>
        <w:tc>
          <w:tcPr>
            <w:tcW w:w="1803" w:type="dxa"/>
            <w:tcBorders>
              <w:top w:val="single" w:sz="4" w:space="0" w:color="auto"/>
              <w:left w:val="single" w:sz="4" w:space="0" w:color="auto"/>
              <w:bottom w:val="single" w:sz="4" w:space="0" w:color="auto"/>
              <w:right w:val="single" w:sz="4" w:space="0" w:color="auto"/>
            </w:tcBorders>
          </w:tcPr>
          <w:p w14:paraId="2D95D365" w14:textId="77777777" w:rsidR="009B75A0" w:rsidRPr="00851192" w:rsidRDefault="009B75A0" w:rsidP="00F27343">
            <w:pPr>
              <w:jc w:val="center"/>
              <w:rPr>
                <w:rFonts w:ascii="Arial" w:hAnsi="Arial" w:cs="Arial"/>
              </w:rPr>
            </w:pPr>
          </w:p>
        </w:tc>
      </w:tr>
      <w:tr w:rsidR="009B75A0" w:rsidRPr="00851192" w14:paraId="0CAB1EE7" w14:textId="77777777" w:rsidTr="00F27343">
        <w:trPr>
          <w:jc w:val="center"/>
        </w:trPr>
        <w:tc>
          <w:tcPr>
            <w:tcW w:w="1803" w:type="dxa"/>
            <w:tcBorders>
              <w:top w:val="single" w:sz="4" w:space="0" w:color="auto"/>
              <w:left w:val="single" w:sz="4" w:space="0" w:color="auto"/>
              <w:bottom w:val="single" w:sz="4" w:space="0" w:color="auto"/>
              <w:right w:val="single" w:sz="4" w:space="0" w:color="auto"/>
            </w:tcBorders>
            <w:hideMark/>
          </w:tcPr>
          <w:p w14:paraId="6E4BBF07" w14:textId="77777777" w:rsidR="009B75A0" w:rsidRPr="00851192" w:rsidRDefault="009B75A0" w:rsidP="00F27343">
            <w:pPr>
              <w:jc w:val="center"/>
              <w:rPr>
                <w:rFonts w:ascii="Arial" w:hAnsi="Arial" w:cs="Arial"/>
              </w:rPr>
            </w:pPr>
            <w:r w:rsidRPr="00851192">
              <w:rPr>
                <w:rFonts w:ascii="Arial" w:hAnsi="Arial" w:cs="Arial"/>
              </w:rPr>
              <w:t>Responsible Gambling</w:t>
            </w:r>
          </w:p>
        </w:tc>
        <w:tc>
          <w:tcPr>
            <w:tcW w:w="1803" w:type="dxa"/>
            <w:tcBorders>
              <w:top w:val="single" w:sz="4" w:space="0" w:color="auto"/>
              <w:left w:val="single" w:sz="4" w:space="0" w:color="auto"/>
              <w:bottom w:val="single" w:sz="4" w:space="0" w:color="auto"/>
              <w:right w:val="single" w:sz="4" w:space="0" w:color="auto"/>
            </w:tcBorders>
            <w:hideMark/>
          </w:tcPr>
          <w:p w14:paraId="6AEC585E" w14:textId="7315602B" w:rsidR="009B75A0" w:rsidRPr="00851192" w:rsidRDefault="00F22F28" w:rsidP="00F27343">
            <w:pPr>
              <w:jc w:val="center"/>
              <w:rPr>
                <w:rFonts w:ascii="Arial" w:hAnsi="Arial" w:cs="Arial"/>
              </w:rPr>
            </w:pPr>
            <w:r w:rsidRPr="00851192">
              <w:rPr>
                <w:rFonts w:ascii="Segoe UI Symbol" w:hAnsi="Segoe UI Symbol" w:cs="Segoe UI Symbol"/>
                <w:b/>
                <w:shd w:val="clear" w:color="auto" w:fill="FFFFFF"/>
              </w:rPr>
              <w:t>☓</w:t>
            </w:r>
          </w:p>
        </w:tc>
        <w:tc>
          <w:tcPr>
            <w:tcW w:w="1803" w:type="dxa"/>
            <w:tcBorders>
              <w:top w:val="single" w:sz="4" w:space="0" w:color="auto"/>
              <w:left w:val="single" w:sz="4" w:space="0" w:color="auto"/>
              <w:bottom w:val="single" w:sz="4" w:space="0" w:color="auto"/>
              <w:right w:val="single" w:sz="4" w:space="0" w:color="auto"/>
            </w:tcBorders>
            <w:hideMark/>
          </w:tcPr>
          <w:p w14:paraId="0806EC7D" w14:textId="77777777" w:rsidR="009B75A0" w:rsidRPr="00851192" w:rsidRDefault="009B75A0" w:rsidP="00F27343">
            <w:pPr>
              <w:jc w:val="center"/>
              <w:rPr>
                <w:rFonts w:ascii="Arial" w:hAnsi="Arial" w:cs="Arial"/>
              </w:rPr>
            </w:pPr>
            <w:r w:rsidRPr="00851192">
              <w:rPr>
                <w:rFonts w:ascii="Arial" w:hAnsi="Arial" w:cs="Arial"/>
              </w:rPr>
              <w:t>None</w:t>
            </w:r>
          </w:p>
        </w:tc>
      </w:tr>
      <w:tr w:rsidR="009B75A0" w:rsidRPr="00851192" w14:paraId="47AD0BFC" w14:textId="77777777" w:rsidTr="00F27343">
        <w:trPr>
          <w:jc w:val="center"/>
        </w:trPr>
        <w:tc>
          <w:tcPr>
            <w:tcW w:w="1803" w:type="dxa"/>
            <w:tcBorders>
              <w:top w:val="single" w:sz="4" w:space="0" w:color="auto"/>
              <w:left w:val="single" w:sz="4" w:space="0" w:color="auto"/>
              <w:bottom w:val="single" w:sz="4" w:space="0" w:color="auto"/>
              <w:right w:val="single" w:sz="4" w:space="0" w:color="auto"/>
            </w:tcBorders>
            <w:hideMark/>
          </w:tcPr>
          <w:p w14:paraId="1BCD2CD5" w14:textId="77777777" w:rsidR="009B75A0" w:rsidRPr="00851192" w:rsidRDefault="009B75A0" w:rsidP="00F27343">
            <w:pPr>
              <w:jc w:val="center"/>
              <w:rPr>
                <w:rFonts w:ascii="Arial" w:hAnsi="Arial" w:cs="Arial"/>
              </w:rPr>
            </w:pPr>
            <w:r w:rsidRPr="00851192">
              <w:rPr>
                <w:rFonts w:ascii="Arial" w:hAnsi="Arial" w:cs="Arial"/>
              </w:rPr>
              <w:t>Problem Gambling Support</w:t>
            </w:r>
          </w:p>
        </w:tc>
        <w:tc>
          <w:tcPr>
            <w:tcW w:w="1803" w:type="dxa"/>
            <w:tcBorders>
              <w:top w:val="single" w:sz="4" w:space="0" w:color="auto"/>
              <w:left w:val="single" w:sz="4" w:space="0" w:color="auto"/>
              <w:bottom w:val="single" w:sz="4" w:space="0" w:color="auto"/>
              <w:right w:val="single" w:sz="4" w:space="0" w:color="auto"/>
            </w:tcBorders>
            <w:hideMark/>
          </w:tcPr>
          <w:p w14:paraId="293DA19A"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1803" w:type="dxa"/>
            <w:tcBorders>
              <w:top w:val="single" w:sz="4" w:space="0" w:color="auto"/>
              <w:left w:val="single" w:sz="4" w:space="0" w:color="auto"/>
              <w:bottom w:val="single" w:sz="4" w:space="0" w:color="auto"/>
              <w:right w:val="single" w:sz="4" w:space="0" w:color="auto"/>
            </w:tcBorders>
            <w:hideMark/>
          </w:tcPr>
          <w:p w14:paraId="3C6D4997" w14:textId="77777777" w:rsidR="009B75A0" w:rsidRPr="00851192" w:rsidRDefault="009B75A0" w:rsidP="00F27343">
            <w:pPr>
              <w:jc w:val="center"/>
              <w:rPr>
                <w:rFonts w:ascii="Arial" w:hAnsi="Arial" w:cs="Arial"/>
              </w:rPr>
            </w:pPr>
            <w:r w:rsidRPr="00851192">
              <w:rPr>
                <w:rFonts w:ascii="Arial" w:hAnsi="Arial" w:cs="Arial"/>
              </w:rPr>
              <w:t>None</w:t>
            </w:r>
          </w:p>
        </w:tc>
      </w:tr>
      <w:tr w:rsidR="009B75A0" w:rsidRPr="00851192" w14:paraId="7DBBA588" w14:textId="77777777" w:rsidTr="00F27343">
        <w:trPr>
          <w:jc w:val="center"/>
        </w:trPr>
        <w:tc>
          <w:tcPr>
            <w:tcW w:w="1803" w:type="dxa"/>
            <w:tcBorders>
              <w:top w:val="single" w:sz="4" w:space="0" w:color="auto"/>
              <w:left w:val="single" w:sz="4" w:space="0" w:color="auto"/>
              <w:bottom w:val="single" w:sz="4" w:space="0" w:color="auto"/>
              <w:right w:val="single" w:sz="4" w:space="0" w:color="auto"/>
            </w:tcBorders>
            <w:hideMark/>
          </w:tcPr>
          <w:p w14:paraId="54B18C20" w14:textId="77777777" w:rsidR="009B75A0" w:rsidRPr="00851192" w:rsidRDefault="009B75A0" w:rsidP="00F27343">
            <w:pPr>
              <w:jc w:val="center"/>
              <w:rPr>
                <w:rFonts w:ascii="Arial" w:hAnsi="Arial" w:cs="Arial"/>
              </w:rPr>
            </w:pPr>
            <w:r w:rsidRPr="00851192">
              <w:rPr>
                <w:rFonts w:ascii="Arial" w:hAnsi="Arial" w:cs="Arial"/>
              </w:rPr>
              <w:t>Technical Support Links (Customer Service)</w:t>
            </w:r>
          </w:p>
        </w:tc>
        <w:tc>
          <w:tcPr>
            <w:tcW w:w="1803" w:type="dxa"/>
            <w:tcBorders>
              <w:top w:val="single" w:sz="4" w:space="0" w:color="auto"/>
              <w:left w:val="single" w:sz="4" w:space="0" w:color="auto"/>
              <w:bottom w:val="single" w:sz="4" w:space="0" w:color="auto"/>
              <w:right w:val="single" w:sz="4" w:space="0" w:color="auto"/>
            </w:tcBorders>
            <w:hideMark/>
          </w:tcPr>
          <w:p w14:paraId="3A598FB3"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1803" w:type="dxa"/>
            <w:tcBorders>
              <w:top w:val="single" w:sz="4" w:space="0" w:color="auto"/>
              <w:left w:val="single" w:sz="4" w:space="0" w:color="auto"/>
              <w:bottom w:val="single" w:sz="4" w:space="0" w:color="auto"/>
              <w:right w:val="single" w:sz="4" w:space="0" w:color="auto"/>
            </w:tcBorders>
            <w:hideMark/>
          </w:tcPr>
          <w:p w14:paraId="18EAAB55" w14:textId="77777777" w:rsidR="009B75A0" w:rsidRPr="00851192" w:rsidRDefault="009B75A0" w:rsidP="00F27343">
            <w:pPr>
              <w:jc w:val="center"/>
              <w:rPr>
                <w:rFonts w:ascii="Arial" w:hAnsi="Arial" w:cs="Arial"/>
              </w:rPr>
            </w:pPr>
            <w:r w:rsidRPr="00851192">
              <w:rPr>
                <w:rFonts w:ascii="Arial" w:hAnsi="Arial" w:cs="Arial"/>
              </w:rPr>
              <w:t>Very High</w:t>
            </w:r>
          </w:p>
        </w:tc>
      </w:tr>
      <w:tr w:rsidR="009B75A0" w:rsidRPr="00851192" w14:paraId="6487CDFE" w14:textId="77777777" w:rsidTr="00F27343">
        <w:trPr>
          <w:jc w:val="center"/>
        </w:trPr>
        <w:tc>
          <w:tcPr>
            <w:tcW w:w="1803" w:type="dxa"/>
            <w:tcBorders>
              <w:top w:val="single" w:sz="4" w:space="0" w:color="auto"/>
              <w:left w:val="single" w:sz="4" w:space="0" w:color="auto"/>
              <w:bottom w:val="single" w:sz="4" w:space="0" w:color="auto"/>
              <w:right w:val="single" w:sz="4" w:space="0" w:color="auto"/>
            </w:tcBorders>
            <w:hideMark/>
          </w:tcPr>
          <w:p w14:paraId="22CA4174" w14:textId="77777777" w:rsidR="009B75A0" w:rsidRPr="00851192" w:rsidRDefault="009B75A0" w:rsidP="00F27343">
            <w:pPr>
              <w:jc w:val="center"/>
              <w:rPr>
                <w:rFonts w:ascii="Arial" w:hAnsi="Arial" w:cs="Arial"/>
              </w:rPr>
            </w:pPr>
            <w:r w:rsidRPr="00851192">
              <w:rPr>
                <w:rFonts w:ascii="Arial" w:hAnsi="Arial" w:cs="Arial"/>
              </w:rPr>
              <w:lastRenderedPageBreak/>
              <w:t>Promotional Gambling Advertisement</w:t>
            </w:r>
          </w:p>
        </w:tc>
        <w:tc>
          <w:tcPr>
            <w:tcW w:w="1803" w:type="dxa"/>
            <w:tcBorders>
              <w:top w:val="single" w:sz="4" w:space="0" w:color="auto"/>
              <w:left w:val="single" w:sz="4" w:space="0" w:color="auto"/>
              <w:bottom w:val="single" w:sz="4" w:space="0" w:color="auto"/>
              <w:right w:val="single" w:sz="4" w:space="0" w:color="auto"/>
            </w:tcBorders>
            <w:hideMark/>
          </w:tcPr>
          <w:p w14:paraId="443DBA1C"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1803" w:type="dxa"/>
            <w:tcBorders>
              <w:top w:val="single" w:sz="4" w:space="0" w:color="auto"/>
              <w:left w:val="single" w:sz="4" w:space="0" w:color="auto"/>
              <w:bottom w:val="single" w:sz="4" w:space="0" w:color="auto"/>
              <w:right w:val="single" w:sz="4" w:space="0" w:color="auto"/>
            </w:tcBorders>
            <w:hideMark/>
          </w:tcPr>
          <w:p w14:paraId="0F199C24" w14:textId="77777777" w:rsidR="009B75A0" w:rsidRPr="00851192" w:rsidRDefault="009B75A0" w:rsidP="00F27343">
            <w:pPr>
              <w:jc w:val="center"/>
              <w:rPr>
                <w:rFonts w:ascii="Arial" w:hAnsi="Arial" w:cs="Arial"/>
              </w:rPr>
            </w:pPr>
            <w:r w:rsidRPr="00851192">
              <w:rPr>
                <w:rFonts w:ascii="Arial" w:hAnsi="Arial" w:cs="Arial"/>
              </w:rPr>
              <w:t>Very High</w:t>
            </w:r>
          </w:p>
        </w:tc>
      </w:tr>
      <w:tr w:rsidR="009B75A0" w:rsidRPr="00851192" w14:paraId="3F2AE91F" w14:textId="77777777" w:rsidTr="00F27343">
        <w:trPr>
          <w:jc w:val="center"/>
        </w:trPr>
        <w:tc>
          <w:tcPr>
            <w:tcW w:w="1803" w:type="dxa"/>
            <w:tcBorders>
              <w:top w:val="single" w:sz="4" w:space="0" w:color="auto"/>
              <w:left w:val="single" w:sz="4" w:space="0" w:color="auto"/>
              <w:bottom w:val="single" w:sz="4" w:space="0" w:color="auto"/>
              <w:right w:val="single" w:sz="4" w:space="0" w:color="auto"/>
            </w:tcBorders>
            <w:hideMark/>
          </w:tcPr>
          <w:p w14:paraId="48F67CF6" w14:textId="77777777" w:rsidR="009B75A0" w:rsidRPr="00851192" w:rsidRDefault="009B75A0" w:rsidP="00F27343">
            <w:pPr>
              <w:jc w:val="center"/>
              <w:rPr>
                <w:rFonts w:ascii="Arial" w:hAnsi="Arial" w:cs="Arial"/>
              </w:rPr>
            </w:pPr>
            <w:r w:rsidRPr="00851192">
              <w:rPr>
                <w:rFonts w:ascii="Arial" w:hAnsi="Arial" w:cs="Arial"/>
              </w:rPr>
              <w:t>Age Verification or statement to visit Weibo, Twitter and Facebook Page</w:t>
            </w:r>
          </w:p>
        </w:tc>
        <w:tc>
          <w:tcPr>
            <w:tcW w:w="1803" w:type="dxa"/>
            <w:tcBorders>
              <w:top w:val="single" w:sz="4" w:space="0" w:color="auto"/>
              <w:left w:val="single" w:sz="4" w:space="0" w:color="auto"/>
              <w:bottom w:val="single" w:sz="4" w:space="0" w:color="auto"/>
              <w:right w:val="single" w:sz="4" w:space="0" w:color="auto"/>
            </w:tcBorders>
            <w:hideMark/>
          </w:tcPr>
          <w:p w14:paraId="3324D497"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1803" w:type="dxa"/>
            <w:tcBorders>
              <w:top w:val="single" w:sz="4" w:space="0" w:color="auto"/>
              <w:left w:val="single" w:sz="4" w:space="0" w:color="auto"/>
              <w:bottom w:val="single" w:sz="4" w:space="0" w:color="auto"/>
              <w:right w:val="single" w:sz="4" w:space="0" w:color="auto"/>
            </w:tcBorders>
            <w:hideMark/>
          </w:tcPr>
          <w:p w14:paraId="26FC7BED" w14:textId="77777777" w:rsidR="009B75A0" w:rsidRPr="00851192" w:rsidRDefault="009B75A0" w:rsidP="00F27343">
            <w:pPr>
              <w:jc w:val="center"/>
              <w:rPr>
                <w:rFonts w:ascii="Arial" w:hAnsi="Arial" w:cs="Arial"/>
              </w:rPr>
            </w:pPr>
            <w:r w:rsidRPr="00851192">
              <w:rPr>
                <w:rFonts w:ascii="Arial" w:hAnsi="Arial" w:cs="Arial"/>
              </w:rPr>
              <w:t>None</w:t>
            </w:r>
          </w:p>
        </w:tc>
      </w:tr>
      <w:tr w:rsidR="009B75A0" w:rsidRPr="00851192" w14:paraId="3A5F2C20" w14:textId="77777777" w:rsidTr="00F27343">
        <w:trPr>
          <w:jc w:val="center"/>
        </w:trPr>
        <w:tc>
          <w:tcPr>
            <w:tcW w:w="1803" w:type="dxa"/>
            <w:tcBorders>
              <w:top w:val="single" w:sz="4" w:space="0" w:color="auto"/>
              <w:left w:val="single" w:sz="4" w:space="0" w:color="auto"/>
              <w:bottom w:val="single" w:sz="4" w:space="0" w:color="auto"/>
              <w:right w:val="single" w:sz="4" w:space="0" w:color="auto"/>
            </w:tcBorders>
            <w:hideMark/>
          </w:tcPr>
          <w:p w14:paraId="6C3E22AD" w14:textId="77777777" w:rsidR="009B75A0" w:rsidRPr="00851192" w:rsidRDefault="009B75A0" w:rsidP="00F27343">
            <w:pPr>
              <w:jc w:val="center"/>
              <w:rPr>
                <w:rFonts w:ascii="Arial" w:hAnsi="Arial" w:cs="Arial"/>
              </w:rPr>
            </w:pPr>
            <w:r w:rsidRPr="00851192">
              <w:rPr>
                <w:rFonts w:ascii="Arial" w:hAnsi="Arial" w:cs="Arial"/>
              </w:rPr>
              <w:t>Links to Sign up</w:t>
            </w:r>
          </w:p>
        </w:tc>
        <w:tc>
          <w:tcPr>
            <w:tcW w:w="1803" w:type="dxa"/>
            <w:tcBorders>
              <w:top w:val="single" w:sz="4" w:space="0" w:color="auto"/>
              <w:left w:val="single" w:sz="4" w:space="0" w:color="auto"/>
              <w:bottom w:val="single" w:sz="4" w:space="0" w:color="auto"/>
              <w:right w:val="single" w:sz="4" w:space="0" w:color="auto"/>
            </w:tcBorders>
            <w:hideMark/>
          </w:tcPr>
          <w:p w14:paraId="26C52D94"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1803" w:type="dxa"/>
            <w:tcBorders>
              <w:top w:val="single" w:sz="4" w:space="0" w:color="auto"/>
              <w:left w:val="single" w:sz="4" w:space="0" w:color="auto"/>
              <w:bottom w:val="single" w:sz="4" w:space="0" w:color="auto"/>
              <w:right w:val="single" w:sz="4" w:space="0" w:color="auto"/>
            </w:tcBorders>
            <w:hideMark/>
          </w:tcPr>
          <w:p w14:paraId="75723B70" w14:textId="77777777" w:rsidR="009B75A0" w:rsidRPr="00851192" w:rsidRDefault="009B75A0" w:rsidP="00F27343">
            <w:pPr>
              <w:jc w:val="center"/>
              <w:rPr>
                <w:rFonts w:ascii="Arial" w:hAnsi="Arial" w:cs="Arial"/>
              </w:rPr>
            </w:pPr>
            <w:r w:rsidRPr="00851192">
              <w:rPr>
                <w:rFonts w:ascii="Arial" w:hAnsi="Arial" w:cs="Arial"/>
              </w:rPr>
              <w:t xml:space="preserve">Very High </w:t>
            </w:r>
          </w:p>
        </w:tc>
      </w:tr>
      <w:tr w:rsidR="009B75A0" w:rsidRPr="00851192" w14:paraId="5C07F720" w14:textId="77777777" w:rsidTr="00F27343">
        <w:trPr>
          <w:jc w:val="center"/>
        </w:trPr>
        <w:tc>
          <w:tcPr>
            <w:tcW w:w="1803" w:type="dxa"/>
            <w:tcBorders>
              <w:top w:val="single" w:sz="4" w:space="0" w:color="auto"/>
              <w:left w:val="single" w:sz="4" w:space="0" w:color="auto"/>
              <w:bottom w:val="single" w:sz="4" w:space="0" w:color="auto"/>
              <w:right w:val="single" w:sz="4" w:space="0" w:color="auto"/>
            </w:tcBorders>
            <w:hideMark/>
          </w:tcPr>
          <w:p w14:paraId="702CABF4" w14:textId="77777777" w:rsidR="009B75A0" w:rsidRPr="00851192" w:rsidRDefault="009B75A0" w:rsidP="00F27343">
            <w:pPr>
              <w:jc w:val="center"/>
              <w:rPr>
                <w:rFonts w:ascii="Arial" w:hAnsi="Arial" w:cs="Arial"/>
              </w:rPr>
            </w:pPr>
            <w:r w:rsidRPr="00851192">
              <w:rPr>
                <w:rFonts w:ascii="Arial" w:hAnsi="Arial" w:cs="Arial"/>
              </w:rPr>
              <w:t>Links to other Social Media Platforms</w:t>
            </w:r>
          </w:p>
        </w:tc>
        <w:tc>
          <w:tcPr>
            <w:tcW w:w="1803" w:type="dxa"/>
            <w:tcBorders>
              <w:top w:val="single" w:sz="4" w:space="0" w:color="auto"/>
              <w:left w:val="single" w:sz="4" w:space="0" w:color="auto"/>
              <w:bottom w:val="single" w:sz="4" w:space="0" w:color="auto"/>
              <w:right w:val="single" w:sz="4" w:space="0" w:color="auto"/>
            </w:tcBorders>
            <w:hideMark/>
          </w:tcPr>
          <w:p w14:paraId="7CCD91CB"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1803" w:type="dxa"/>
            <w:tcBorders>
              <w:top w:val="single" w:sz="4" w:space="0" w:color="auto"/>
              <w:left w:val="single" w:sz="4" w:space="0" w:color="auto"/>
              <w:bottom w:val="single" w:sz="4" w:space="0" w:color="auto"/>
              <w:right w:val="single" w:sz="4" w:space="0" w:color="auto"/>
            </w:tcBorders>
            <w:hideMark/>
          </w:tcPr>
          <w:p w14:paraId="755F1726" w14:textId="77777777" w:rsidR="009B75A0" w:rsidRPr="00851192" w:rsidRDefault="009B75A0" w:rsidP="00F27343">
            <w:pPr>
              <w:jc w:val="center"/>
              <w:rPr>
                <w:rFonts w:ascii="Arial" w:hAnsi="Arial" w:cs="Arial"/>
              </w:rPr>
            </w:pPr>
            <w:r w:rsidRPr="00851192">
              <w:rPr>
                <w:rFonts w:ascii="Arial" w:hAnsi="Arial" w:cs="Arial"/>
              </w:rPr>
              <w:t>None</w:t>
            </w:r>
          </w:p>
        </w:tc>
      </w:tr>
      <w:tr w:rsidR="009B75A0" w:rsidRPr="00851192" w14:paraId="453963DD" w14:textId="77777777" w:rsidTr="00F27343">
        <w:trPr>
          <w:jc w:val="center"/>
        </w:trPr>
        <w:tc>
          <w:tcPr>
            <w:tcW w:w="1803" w:type="dxa"/>
            <w:tcBorders>
              <w:top w:val="single" w:sz="4" w:space="0" w:color="auto"/>
              <w:left w:val="single" w:sz="4" w:space="0" w:color="auto"/>
              <w:bottom w:val="single" w:sz="4" w:space="0" w:color="auto"/>
              <w:right w:val="single" w:sz="4" w:space="0" w:color="auto"/>
            </w:tcBorders>
            <w:hideMark/>
          </w:tcPr>
          <w:p w14:paraId="38A07D3D" w14:textId="77777777" w:rsidR="009B75A0" w:rsidRPr="00851192" w:rsidRDefault="009B75A0" w:rsidP="00F27343">
            <w:pPr>
              <w:jc w:val="center"/>
              <w:rPr>
                <w:rFonts w:ascii="Arial" w:hAnsi="Arial" w:cs="Arial"/>
              </w:rPr>
            </w:pPr>
            <w:r w:rsidRPr="00851192">
              <w:rPr>
                <w:rFonts w:ascii="Arial" w:hAnsi="Arial" w:cs="Arial"/>
              </w:rPr>
              <w:t xml:space="preserve">Promotion of betting culture through photos and advertisement </w:t>
            </w:r>
          </w:p>
        </w:tc>
        <w:tc>
          <w:tcPr>
            <w:tcW w:w="1803" w:type="dxa"/>
            <w:tcBorders>
              <w:top w:val="single" w:sz="4" w:space="0" w:color="auto"/>
              <w:left w:val="single" w:sz="4" w:space="0" w:color="auto"/>
              <w:bottom w:val="single" w:sz="4" w:space="0" w:color="auto"/>
              <w:right w:val="single" w:sz="4" w:space="0" w:color="auto"/>
            </w:tcBorders>
            <w:hideMark/>
          </w:tcPr>
          <w:p w14:paraId="7FF1553D"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1803" w:type="dxa"/>
            <w:tcBorders>
              <w:top w:val="single" w:sz="4" w:space="0" w:color="auto"/>
              <w:left w:val="single" w:sz="4" w:space="0" w:color="auto"/>
              <w:bottom w:val="single" w:sz="4" w:space="0" w:color="auto"/>
              <w:right w:val="single" w:sz="4" w:space="0" w:color="auto"/>
            </w:tcBorders>
            <w:hideMark/>
          </w:tcPr>
          <w:p w14:paraId="685FFB52" w14:textId="77777777" w:rsidR="009B75A0" w:rsidRPr="00851192" w:rsidRDefault="009B75A0" w:rsidP="00F27343">
            <w:pPr>
              <w:jc w:val="center"/>
              <w:rPr>
                <w:rFonts w:ascii="Arial" w:hAnsi="Arial" w:cs="Arial"/>
              </w:rPr>
            </w:pPr>
            <w:r w:rsidRPr="00851192">
              <w:rPr>
                <w:rFonts w:ascii="Arial" w:hAnsi="Arial" w:cs="Arial"/>
              </w:rPr>
              <w:t>Very High</w:t>
            </w:r>
          </w:p>
        </w:tc>
      </w:tr>
    </w:tbl>
    <w:p w14:paraId="114C9725" w14:textId="1818240F" w:rsidR="009B75A0" w:rsidRPr="00851192" w:rsidRDefault="009B75A0" w:rsidP="0017796E">
      <w:pPr>
        <w:rPr>
          <w:rFonts w:ascii="Arial" w:hAnsi="Arial" w:cs="Arial"/>
          <w:lang w:val="en-US"/>
        </w:rPr>
      </w:pPr>
    </w:p>
    <w:p w14:paraId="43D883D3" w14:textId="114B9CB8" w:rsidR="009B75A0" w:rsidRPr="00851192" w:rsidRDefault="009B75A0" w:rsidP="009B75A0">
      <w:pPr>
        <w:jc w:val="center"/>
        <w:rPr>
          <w:rFonts w:ascii="Arial" w:hAnsi="Arial" w:cs="Arial"/>
        </w:rPr>
      </w:pPr>
      <w:r w:rsidRPr="00851192">
        <w:rPr>
          <w:rFonts w:ascii="Arial" w:hAnsi="Arial" w:cs="Arial"/>
          <w:b/>
        </w:rPr>
        <w:t xml:space="preserve">Table </w:t>
      </w:r>
      <w:r w:rsidR="005E3EE2" w:rsidRPr="00851192">
        <w:rPr>
          <w:rFonts w:ascii="Arial" w:hAnsi="Arial" w:cs="Arial"/>
          <w:b/>
        </w:rPr>
        <w:t>7</w:t>
      </w:r>
      <w:r w:rsidRPr="00851192">
        <w:rPr>
          <w:rFonts w:ascii="Arial" w:hAnsi="Arial" w:cs="Arial"/>
          <w:b/>
        </w:rPr>
        <w:t>.</w:t>
      </w:r>
      <w:r w:rsidR="009E5260" w:rsidRPr="00851192">
        <w:rPr>
          <w:rFonts w:ascii="Arial" w:hAnsi="Arial" w:cs="Arial"/>
          <w:b/>
        </w:rPr>
        <w:t>5</w:t>
      </w:r>
      <w:r w:rsidRPr="00851192">
        <w:rPr>
          <w:rFonts w:ascii="Arial" w:hAnsi="Arial" w:cs="Arial"/>
        </w:rPr>
        <w:t xml:space="preserve"> Global Gambling Operators and Age Verification</w:t>
      </w:r>
    </w:p>
    <w:p w14:paraId="64462106" w14:textId="5E111D86" w:rsidR="009B75A0" w:rsidRPr="00851192" w:rsidRDefault="009B75A0" w:rsidP="009B75A0">
      <w:pPr>
        <w:jc w:val="center"/>
        <w:rPr>
          <w:rFonts w:ascii="Arial" w:hAnsi="Arial" w:cs="Arial"/>
        </w:rPr>
      </w:pPr>
      <w:r w:rsidRPr="00851192">
        <w:rPr>
          <w:rFonts w:ascii="Arial" w:hAnsi="Arial" w:cs="Arial"/>
        </w:rPr>
        <w:t>B</w:t>
      </w:r>
      <w:r w:rsidR="00682E18" w:rsidRPr="00851192">
        <w:rPr>
          <w:rFonts w:ascii="Arial" w:hAnsi="Arial" w:cs="Arial"/>
        </w:rPr>
        <w:t>et</w:t>
      </w:r>
      <w:r w:rsidRPr="00851192">
        <w:rPr>
          <w:rFonts w:ascii="Arial" w:hAnsi="Arial" w:cs="Arial"/>
        </w:rPr>
        <w:t>365</w:t>
      </w:r>
    </w:p>
    <w:tbl>
      <w:tblPr>
        <w:tblStyle w:val="TableGrid"/>
        <w:tblW w:w="9918" w:type="dxa"/>
        <w:tblLook w:val="04A0" w:firstRow="1" w:lastRow="0" w:firstColumn="1" w:lastColumn="0" w:noHBand="0" w:noVBand="1"/>
      </w:tblPr>
      <w:tblGrid>
        <w:gridCol w:w="1799"/>
        <w:gridCol w:w="1787"/>
        <w:gridCol w:w="975"/>
        <w:gridCol w:w="2667"/>
        <w:gridCol w:w="2690"/>
      </w:tblGrid>
      <w:tr w:rsidR="009B75A0" w:rsidRPr="00851192" w14:paraId="5BFADFE5" w14:textId="77777777" w:rsidTr="00F27343">
        <w:trPr>
          <w:trHeight w:val="986"/>
        </w:trPr>
        <w:tc>
          <w:tcPr>
            <w:tcW w:w="1803" w:type="dxa"/>
            <w:tcBorders>
              <w:top w:val="single" w:sz="4" w:space="0" w:color="auto"/>
              <w:left w:val="single" w:sz="4" w:space="0" w:color="auto"/>
              <w:bottom w:val="single" w:sz="4" w:space="0" w:color="auto"/>
              <w:right w:val="single" w:sz="4" w:space="0" w:color="auto"/>
            </w:tcBorders>
            <w:hideMark/>
          </w:tcPr>
          <w:p w14:paraId="716DC82E" w14:textId="77777777" w:rsidR="009B75A0" w:rsidRPr="00851192" w:rsidRDefault="009B75A0" w:rsidP="00F27343">
            <w:pPr>
              <w:jc w:val="center"/>
              <w:rPr>
                <w:rFonts w:ascii="Arial" w:hAnsi="Arial" w:cs="Arial"/>
              </w:rPr>
            </w:pPr>
            <w:r w:rsidRPr="00851192">
              <w:rPr>
                <w:rFonts w:ascii="Arial" w:hAnsi="Arial" w:cs="Arial"/>
              </w:rPr>
              <w:t>Categories</w:t>
            </w:r>
          </w:p>
        </w:tc>
        <w:tc>
          <w:tcPr>
            <w:tcW w:w="1803" w:type="dxa"/>
            <w:tcBorders>
              <w:top w:val="single" w:sz="4" w:space="0" w:color="auto"/>
              <w:left w:val="single" w:sz="4" w:space="0" w:color="auto"/>
              <w:bottom w:val="single" w:sz="4" w:space="0" w:color="auto"/>
              <w:right w:val="single" w:sz="4" w:space="0" w:color="auto"/>
            </w:tcBorders>
            <w:hideMark/>
          </w:tcPr>
          <w:p w14:paraId="1BA58739" w14:textId="77777777" w:rsidR="009B75A0" w:rsidRPr="00851192" w:rsidRDefault="009B75A0" w:rsidP="00F27343">
            <w:pPr>
              <w:jc w:val="center"/>
              <w:rPr>
                <w:rFonts w:ascii="Arial" w:hAnsi="Arial" w:cs="Arial"/>
                <w:b/>
              </w:rPr>
            </w:pPr>
            <w:r w:rsidRPr="00851192">
              <w:rPr>
                <w:rFonts w:ascii="Segoe UI Symbol" w:hAnsi="Segoe UI Symbol" w:cs="Segoe UI Symbol"/>
                <w:b/>
                <w:shd w:val="clear" w:color="auto" w:fill="FFFFFF"/>
              </w:rPr>
              <w:t>✓</w:t>
            </w:r>
            <w:r w:rsidRPr="00851192">
              <w:rPr>
                <w:rFonts w:ascii="Arial" w:hAnsi="Arial" w:cs="Arial"/>
                <w:b/>
                <w:shd w:val="clear" w:color="auto" w:fill="FFFFFF"/>
              </w:rPr>
              <w:t xml:space="preserve"> / </w:t>
            </w: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hideMark/>
          </w:tcPr>
          <w:p w14:paraId="38414896" w14:textId="77777777" w:rsidR="009B75A0" w:rsidRPr="00851192" w:rsidRDefault="009B75A0" w:rsidP="00F27343">
            <w:pPr>
              <w:jc w:val="center"/>
              <w:rPr>
                <w:rFonts w:ascii="Arial" w:hAnsi="Arial" w:cs="Arial"/>
              </w:rPr>
            </w:pPr>
            <w:r w:rsidRPr="00851192">
              <w:rPr>
                <w:rFonts w:ascii="Arial" w:hAnsi="Arial" w:cs="Arial"/>
              </w:rPr>
              <w:t>Present or Not Present</w:t>
            </w:r>
          </w:p>
        </w:tc>
        <w:tc>
          <w:tcPr>
            <w:tcW w:w="2681" w:type="dxa"/>
            <w:tcBorders>
              <w:top w:val="single" w:sz="4" w:space="0" w:color="auto"/>
              <w:left w:val="single" w:sz="4" w:space="0" w:color="auto"/>
              <w:bottom w:val="single" w:sz="4" w:space="0" w:color="auto"/>
              <w:right w:val="single" w:sz="4" w:space="0" w:color="auto"/>
            </w:tcBorders>
            <w:hideMark/>
          </w:tcPr>
          <w:p w14:paraId="3B8A62C8" w14:textId="77777777" w:rsidR="009B75A0" w:rsidRPr="00851192" w:rsidRDefault="009B75A0" w:rsidP="00F27343">
            <w:pPr>
              <w:jc w:val="center"/>
              <w:rPr>
                <w:rFonts w:ascii="Arial" w:hAnsi="Arial" w:cs="Arial"/>
              </w:rPr>
            </w:pPr>
            <w:r w:rsidRPr="00851192">
              <w:rPr>
                <w:rFonts w:ascii="Arial" w:hAnsi="Arial" w:cs="Arial"/>
              </w:rPr>
              <w:t>Researchers rating for clear information</w:t>
            </w:r>
          </w:p>
        </w:tc>
        <w:tc>
          <w:tcPr>
            <w:tcW w:w="2706" w:type="dxa"/>
            <w:tcBorders>
              <w:top w:val="single" w:sz="4" w:space="0" w:color="auto"/>
              <w:left w:val="single" w:sz="4" w:space="0" w:color="auto"/>
              <w:bottom w:val="single" w:sz="4" w:space="0" w:color="auto"/>
              <w:right w:val="single" w:sz="4" w:space="0" w:color="auto"/>
            </w:tcBorders>
            <w:hideMark/>
          </w:tcPr>
          <w:p w14:paraId="46FC66A7" w14:textId="77777777" w:rsidR="009B75A0" w:rsidRPr="00851192" w:rsidRDefault="009B75A0" w:rsidP="00F27343">
            <w:pPr>
              <w:jc w:val="center"/>
              <w:rPr>
                <w:rFonts w:ascii="Arial" w:hAnsi="Arial" w:cs="Arial"/>
              </w:rPr>
            </w:pPr>
            <w:r w:rsidRPr="00851192">
              <w:rPr>
                <w:rFonts w:ascii="Arial" w:hAnsi="Arial" w:cs="Arial"/>
              </w:rPr>
              <w:t>Additional Comments</w:t>
            </w:r>
          </w:p>
        </w:tc>
      </w:tr>
      <w:tr w:rsidR="009B75A0" w:rsidRPr="00851192" w14:paraId="49D994D2"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426C3C1E" w14:textId="77777777" w:rsidR="009B75A0" w:rsidRPr="00851192" w:rsidRDefault="009B75A0" w:rsidP="00F27343">
            <w:pPr>
              <w:jc w:val="center"/>
              <w:rPr>
                <w:rFonts w:ascii="Arial" w:hAnsi="Arial" w:cs="Arial"/>
                <w:b/>
              </w:rPr>
            </w:pPr>
            <w:r w:rsidRPr="00851192">
              <w:rPr>
                <w:rFonts w:ascii="Arial" w:hAnsi="Arial" w:cs="Arial"/>
                <w:b/>
              </w:rPr>
              <w:t>Age Verification</w:t>
            </w:r>
          </w:p>
        </w:tc>
        <w:tc>
          <w:tcPr>
            <w:tcW w:w="1803" w:type="dxa"/>
            <w:tcBorders>
              <w:top w:val="single" w:sz="4" w:space="0" w:color="auto"/>
              <w:left w:val="single" w:sz="4" w:space="0" w:color="auto"/>
              <w:bottom w:val="single" w:sz="4" w:space="0" w:color="auto"/>
              <w:right w:val="single" w:sz="4" w:space="0" w:color="auto"/>
            </w:tcBorders>
            <w:hideMark/>
          </w:tcPr>
          <w:p w14:paraId="4D4B2244"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tcPr>
          <w:p w14:paraId="566E5C99" w14:textId="77777777" w:rsidR="009B75A0" w:rsidRPr="00851192" w:rsidRDefault="009B75A0" w:rsidP="00F27343">
            <w:pPr>
              <w:rPr>
                <w:rFonts w:ascii="Arial" w:hAnsi="Arial" w:cs="Arial"/>
              </w:rPr>
            </w:pPr>
          </w:p>
        </w:tc>
        <w:tc>
          <w:tcPr>
            <w:tcW w:w="2681" w:type="dxa"/>
            <w:tcBorders>
              <w:top w:val="single" w:sz="4" w:space="0" w:color="auto"/>
              <w:left w:val="single" w:sz="4" w:space="0" w:color="auto"/>
              <w:bottom w:val="single" w:sz="4" w:space="0" w:color="auto"/>
              <w:right w:val="single" w:sz="4" w:space="0" w:color="auto"/>
            </w:tcBorders>
          </w:tcPr>
          <w:p w14:paraId="62E347E0" w14:textId="77777777" w:rsidR="009B75A0" w:rsidRPr="00851192" w:rsidRDefault="009B75A0" w:rsidP="00F27343">
            <w:pPr>
              <w:rPr>
                <w:rFonts w:ascii="Arial" w:hAnsi="Arial" w:cs="Arial"/>
              </w:rPr>
            </w:pPr>
          </w:p>
        </w:tc>
        <w:tc>
          <w:tcPr>
            <w:tcW w:w="2706" w:type="dxa"/>
            <w:tcBorders>
              <w:top w:val="single" w:sz="4" w:space="0" w:color="auto"/>
              <w:left w:val="single" w:sz="4" w:space="0" w:color="auto"/>
              <w:bottom w:val="single" w:sz="4" w:space="0" w:color="auto"/>
              <w:right w:val="single" w:sz="4" w:space="0" w:color="auto"/>
            </w:tcBorders>
          </w:tcPr>
          <w:p w14:paraId="4449449A" w14:textId="77777777" w:rsidR="009B75A0" w:rsidRPr="00851192" w:rsidRDefault="009B75A0" w:rsidP="00F27343">
            <w:pPr>
              <w:rPr>
                <w:rFonts w:ascii="Arial" w:hAnsi="Arial" w:cs="Arial"/>
              </w:rPr>
            </w:pPr>
          </w:p>
        </w:tc>
      </w:tr>
      <w:tr w:rsidR="009B75A0" w:rsidRPr="00851192" w14:paraId="41EE4A3B"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3B2F2411" w14:textId="77777777" w:rsidR="009B75A0" w:rsidRPr="00851192" w:rsidRDefault="009B75A0" w:rsidP="00F27343">
            <w:pPr>
              <w:jc w:val="center"/>
              <w:rPr>
                <w:rFonts w:ascii="Arial" w:hAnsi="Arial" w:cs="Arial"/>
              </w:rPr>
            </w:pPr>
            <w:r w:rsidRPr="00851192">
              <w:rPr>
                <w:rFonts w:ascii="Arial" w:hAnsi="Arial" w:cs="Arial"/>
              </w:rPr>
              <w:t>Age Verification Service</w:t>
            </w:r>
          </w:p>
        </w:tc>
        <w:tc>
          <w:tcPr>
            <w:tcW w:w="1803" w:type="dxa"/>
            <w:tcBorders>
              <w:top w:val="single" w:sz="4" w:space="0" w:color="auto"/>
              <w:left w:val="single" w:sz="4" w:space="0" w:color="auto"/>
              <w:bottom w:val="single" w:sz="4" w:space="0" w:color="auto"/>
              <w:right w:val="single" w:sz="4" w:space="0" w:color="auto"/>
            </w:tcBorders>
          </w:tcPr>
          <w:p w14:paraId="1A87699C" w14:textId="77777777" w:rsidR="009B75A0" w:rsidRPr="00851192" w:rsidRDefault="009B75A0"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57EB3972" w14:textId="77777777" w:rsidR="009B75A0" w:rsidRPr="00851192" w:rsidRDefault="009B75A0" w:rsidP="00F27343">
            <w:pPr>
              <w:jc w:val="center"/>
              <w:rPr>
                <w:rFonts w:ascii="Arial" w:hAnsi="Arial" w:cs="Arial"/>
              </w:rPr>
            </w:pPr>
            <w:r w:rsidRPr="00851192">
              <w:rPr>
                <w:rFonts w:ascii="Arial" w:hAnsi="Arial" w:cs="Arial"/>
              </w:rPr>
              <w:t>1</w:t>
            </w:r>
          </w:p>
        </w:tc>
        <w:tc>
          <w:tcPr>
            <w:tcW w:w="2681" w:type="dxa"/>
            <w:tcBorders>
              <w:top w:val="single" w:sz="4" w:space="0" w:color="auto"/>
              <w:left w:val="single" w:sz="4" w:space="0" w:color="auto"/>
              <w:bottom w:val="single" w:sz="4" w:space="0" w:color="auto"/>
              <w:right w:val="single" w:sz="4" w:space="0" w:color="auto"/>
            </w:tcBorders>
            <w:hideMark/>
          </w:tcPr>
          <w:p w14:paraId="7607B7F5" w14:textId="77777777" w:rsidR="009B75A0" w:rsidRPr="00851192" w:rsidRDefault="009B75A0" w:rsidP="00F27343">
            <w:pPr>
              <w:jc w:val="center"/>
              <w:rPr>
                <w:rFonts w:ascii="Arial" w:hAnsi="Arial" w:cs="Arial"/>
              </w:rPr>
            </w:pPr>
            <w:r w:rsidRPr="00851192">
              <w:rPr>
                <w:rFonts w:ascii="Arial" w:hAnsi="Arial" w:cs="Arial"/>
              </w:rPr>
              <w:t>Adequate</w:t>
            </w:r>
          </w:p>
        </w:tc>
        <w:tc>
          <w:tcPr>
            <w:tcW w:w="2706" w:type="dxa"/>
            <w:tcBorders>
              <w:top w:val="single" w:sz="4" w:space="0" w:color="auto"/>
              <w:left w:val="single" w:sz="4" w:space="0" w:color="auto"/>
              <w:bottom w:val="single" w:sz="4" w:space="0" w:color="auto"/>
              <w:right w:val="single" w:sz="4" w:space="0" w:color="auto"/>
            </w:tcBorders>
            <w:hideMark/>
          </w:tcPr>
          <w:p w14:paraId="21292146" w14:textId="77777777" w:rsidR="009B75A0" w:rsidRPr="00851192" w:rsidRDefault="009B75A0" w:rsidP="00F27343">
            <w:pPr>
              <w:rPr>
                <w:rFonts w:ascii="Arial" w:hAnsi="Arial" w:cs="Arial"/>
              </w:rPr>
            </w:pPr>
            <w:r w:rsidRPr="00851192">
              <w:rPr>
                <w:rFonts w:ascii="Arial" w:hAnsi="Arial" w:cs="Arial"/>
              </w:rPr>
              <w:t xml:space="preserve">The global gambling operator does provide an age verification service. It also provides information to users if they are aware of any other user using the service under the age of 18. </w:t>
            </w:r>
          </w:p>
        </w:tc>
      </w:tr>
      <w:tr w:rsidR="009B75A0" w:rsidRPr="00851192" w14:paraId="1ADA0E7F"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6DA27E11" w14:textId="77777777" w:rsidR="009B75A0" w:rsidRPr="00851192" w:rsidRDefault="009B75A0" w:rsidP="00F27343">
            <w:pPr>
              <w:jc w:val="center"/>
              <w:rPr>
                <w:rFonts w:ascii="Arial" w:hAnsi="Arial" w:cs="Arial"/>
              </w:rPr>
            </w:pPr>
            <w:r w:rsidRPr="00851192">
              <w:rPr>
                <w:rFonts w:ascii="Arial" w:hAnsi="Arial" w:cs="Arial"/>
              </w:rPr>
              <w:t>Age Verification Measures</w:t>
            </w:r>
          </w:p>
        </w:tc>
        <w:tc>
          <w:tcPr>
            <w:tcW w:w="1803" w:type="dxa"/>
            <w:tcBorders>
              <w:top w:val="single" w:sz="4" w:space="0" w:color="auto"/>
              <w:left w:val="single" w:sz="4" w:space="0" w:color="auto"/>
              <w:bottom w:val="single" w:sz="4" w:space="0" w:color="auto"/>
              <w:right w:val="single" w:sz="4" w:space="0" w:color="auto"/>
            </w:tcBorders>
          </w:tcPr>
          <w:p w14:paraId="0DCB3AB4" w14:textId="77777777" w:rsidR="009B75A0" w:rsidRPr="00851192" w:rsidRDefault="009B75A0"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4897CDDA" w14:textId="77777777" w:rsidR="009B75A0" w:rsidRPr="00851192" w:rsidRDefault="009B75A0" w:rsidP="00F27343">
            <w:pPr>
              <w:jc w:val="center"/>
              <w:rPr>
                <w:rFonts w:ascii="Arial" w:hAnsi="Arial" w:cs="Arial"/>
              </w:rPr>
            </w:pPr>
            <w:r w:rsidRPr="00851192">
              <w:rPr>
                <w:rFonts w:ascii="Arial" w:hAnsi="Arial" w:cs="Arial"/>
              </w:rPr>
              <w:t>1</w:t>
            </w:r>
          </w:p>
        </w:tc>
        <w:tc>
          <w:tcPr>
            <w:tcW w:w="2681" w:type="dxa"/>
            <w:tcBorders>
              <w:top w:val="single" w:sz="4" w:space="0" w:color="auto"/>
              <w:left w:val="single" w:sz="4" w:space="0" w:color="auto"/>
              <w:bottom w:val="single" w:sz="4" w:space="0" w:color="auto"/>
              <w:right w:val="single" w:sz="4" w:space="0" w:color="auto"/>
            </w:tcBorders>
            <w:hideMark/>
          </w:tcPr>
          <w:p w14:paraId="02C10276" w14:textId="77777777" w:rsidR="009B75A0" w:rsidRPr="00851192" w:rsidRDefault="009B75A0" w:rsidP="00F27343">
            <w:pPr>
              <w:jc w:val="center"/>
              <w:rPr>
                <w:rFonts w:ascii="Arial" w:hAnsi="Arial" w:cs="Arial"/>
              </w:rPr>
            </w:pPr>
            <w:r w:rsidRPr="00851192">
              <w:rPr>
                <w:rFonts w:ascii="Arial" w:hAnsi="Arial" w:cs="Arial"/>
              </w:rPr>
              <w:t>Adequate</w:t>
            </w:r>
          </w:p>
        </w:tc>
        <w:tc>
          <w:tcPr>
            <w:tcW w:w="2706" w:type="dxa"/>
            <w:tcBorders>
              <w:top w:val="single" w:sz="4" w:space="0" w:color="auto"/>
              <w:left w:val="single" w:sz="4" w:space="0" w:color="auto"/>
              <w:bottom w:val="single" w:sz="4" w:space="0" w:color="auto"/>
              <w:right w:val="single" w:sz="4" w:space="0" w:color="auto"/>
            </w:tcBorders>
            <w:hideMark/>
          </w:tcPr>
          <w:p w14:paraId="41880950" w14:textId="77777777" w:rsidR="009B75A0" w:rsidRPr="00851192" w:rsidRDefault="009B75A0" w:rsidP="005E3EE2">
            <w:pPr>
              <w:rPr>
                <w:rFonts w:ascii="Arial" w:hAnsi="Arial" w:cs="Arial"/>
              </w:rPr>
            </w:pPr>
            <w:r w:rsidRPr="00851192">
              <w:rPr>
                <w:rFonts w:ascii="Arial" w:hAnsi="Arial" w:cs="Arial"/>
              </w:rPr>
              <w:t xml:space="preserve">A picture of driving licence or passport is required before accessing winnings. Verification of date of birth is required when signing up to the global gambling operator’s online platform. </w:t>
            </w:r>
            <w:proofErr w:type="gramStart"/>
            <w:r w:rsidRPr="00851192">
              <w:rPr>
                <w:rFonts w:ascii="Arial" w:hAnsi="Arial" w:cs="Arial"/>
              </w:rPr>
              <w:t>from</w:t>
            </w:r>
            <w:proofErr w:type="gramEnd"/>
            <w:r w:rsidRPr="00851192">
              <w:rPr>
                <w:rFonts w:ascii="Arial" w:hAnsi="Arial" w:cs="Arial"/>
              </w:rPr>
              <w:t xml:space="preserve"> the global gambling operator. </w:t>
            </w:r>
          </w:p>
        </w:tc>
      </w:tr>
    </w:tbl>
    <w:p w14:paraId="3A6ACCBE" w14:textId="77777777" w:rsidR="009B75A0" w:rsidRPr="00851192" w:rsidRDefault="009B75A0" w:rsidP="009B75A0">
      <w:pPr>
        <w:rPr>
          <w:rFonts w:ascii="Arial" w:hAnsi="Arial" w:cs="Arial"/>
        </w:rPr>
      </w:pPr>
    </w:p>
    <w:p w14:paraId="2E3D6E1D" w14:textId="77777777" w:rsidR="009B75A0" w:rsidRPr="00851192" w:rsidRDefault="009B75A0" w:rsidP="009B75A0">
      <w:pPr>
        <w:jc w:val="center"/>
        <w:rPr>
          <w:rFonts w:ascii="Arial" w:hAnsi="Arial" w:cs="Arial"/>
        </w:rPr>
      </w:pPr>
      <w:proofErr w:type="spellStart"/>
      <w:r w:rsidRPr="00851192">
        <w:rPr>
          <w:rFonts w:ascii="Arial" w:hAnsi="Arial" w:cs="Arial"/>
        </w:rPr>
        <w:t>Bwin</w:t>
      </w:r>
      <w:proofErr w:type="spellEnd"/>
    </w:p>
    <w:tbl>
      <w:tblPr>
        <w:tblStyle w:val="TableGrid"/>
        <w:tblW w:w="9868" w:type="dxa"/>
        <w:tblLook w:val="04A0" w:firstRow="1" w:lastRow="0" w:firstColumn="1" w:lastColumn="0" w:noHBand="0" w:noVBand="1"/>
      </w:tblPr>
      <w:tblGrid>
        <w:gridCol w:w="1789"/>
        <w:gridCol w:w="1776"/>
        <w:gridCol w:w="975"/>
        <w:gridCol w:w="2653"/>
        <w:gridCol w:w="2675"/>
      </w:tblGrid>
      <w:tr w:rsidR="009B75A0" w:rsidRPr="00851192" w14:paraId="7FE7EA48" w14:textId="77777777" w:rsidTr="00F27343">
        <w:trPr>
          <w:trHeight w:val="1002"/>
        </w:trPr>
        <w:tc>
          <w:tcPr>
            <w:tcW w:w="1794" w:type="dxa"/>
            <w:tcBorders>
              <w:top w:val="single" w:sz="4" w:space="0" w:color="auto"/>
              <w:left w:val="single" w:sz="4" w:space="0" w:color="auto"/>
              <w:bottom w:val="single" w:sz="4" w:space="0" w:color="auto"/>
              <w:right w:val="single" w:sz="4" w:space="0" w:color="auto"/>
            </w:tcBorders>
            <w:hideMark/>
          </w:tcPr>
          <w:p w14:paraId="05B62741" w14:textId="77777777" w:rsidR="009B75A0" w:rsidRPr="00851192" w:rsidRDefault="009B75A0" w:rsidP="00F27343">
            <w:pPr>
              <w:jc w:val="center"/>
              <w:rPr>
                <w:rFonts w:ascii="Arial" w:hAnsi="Arial" w:cs="Arial"/>
              </w:rPr>
            </w:pPr>
            <w:r w:rsidRPr="00851192">
              <w:rPr>
                <w:rFonts w:ascii="Arial" w:hAnsi="Arial" w:cs="Arial"/>
              </w:rPr>
              <w:lastRenderedPageBreak/>
              <w:t>Categories</w:t>
            </w:r>
          </w:p>
        </w:tc>
        <w:tc>
          <w:tcPr>
            <w:tcW w:w="1794" w:type="dxa"/>
            <w:tcBorders>
              <w:top w:val="single" w:sz="4" w:space="0" w:color="auto"/>
              <w:left w:val="single" w:sz="4" w:space="0" w:color="auto"/>
              <w:bottom w:val="single" w:sz="4" w:space="0" w:color="auto"/>
              <w:right w:val="single" w:sz="4" w:space="0" w:color="auto"/>
            </w:tcBorders>
            <w:hideMark/>
          </w:tcPr>
          <w:p w14:paraId="380C9E7D" w14:textId="77777777" w:rsidR="009B75A0" w:rsidRPr="00851192" w:rsidRDefault="009B75A0" w:rsidP="00F27343">
            <w:pPr>
              <w:jc w:val="center"/>
              <w:rPr>
                <w:rFonts w:ascii="Arial" w:hAnsi="Arial" w:cs="Arial"/>
                <w:b/>
              </w:rPr>
            </w:pPr>
            <w:r w:rsidRPr="00851192">
              <w:rPr>
                <w:rFonts w:ascii="Segoe UI Symbol" w:hAnsi="Segoe UI Symbol" w:cs="Segoe UI Symbol"/>
                <w:b/>
                <w:shd w:val="clear" w:color="auto" w:fill="FFFFFF"/>
              </w:rPr>
              <w:t>✓</w:t>
            </w:r>
            <w:r w:rsidRPr="00851192">
              <w:rPr>
                <w:rFonts w:ascii="Arial" w:hAnsi="Arial" w:cs="Arial"/>
                <w:b/>
                <w:shd w:val="clear" w:color="auto" w:fill="FFFFFF"/>
              </w:rPr>
              <w:t xml:space="preserve"> / </w:t>
            </w:r>
            <w:r w:rsidRPr="00851192">
              <w:rPr>
                <w:rFonts w:ascii="Segoe UI Symbol" w:hAnsi="Segoe UI Symbol" w:cs="Segoe UI Symbol"/>
                <w:b/>
                <w:shd w:val="clear" w:color="auto" w:fill="FFFFFF"/>
              </w:rPr>
              <w:t>☓</w:t>
            </w:r>
          </w:p>
        </w:tc>
        <w:tc>
          <w:tcPr>
            <w:tcW w:w="919" w:type="dxa"/>
            <w:tcBorders>
              <w:top w:val="single" w:sz="4" w:space="0" w:color="auto"/>
              <w:left w:val="single" w:sz="4" w:space="0" w:color="auto"/>
              <w:bottom w:val="single" w:sz="4" w:space="0" w:color="auto"/>
              <w:right w:val="single" w:sz="4" w:space="0" w:color="auto"/>
            </w:tcBorders>
            <w:hideMark/>
          </w:tcPr>
          <w:p w14:paraId="5728EBE3" w14:textId="77777777" w:rsidR="009B75A0" w:rsidRPr="00851192" w:rsidRDefault="009B75A0" w:rsidP="00F27343">
            <w:pPr>
              <w:jc w:val="center"/>
              <w:rPr>
                <w:rFonts w:ascii="Arial" w:hAnsi="Arial" w:cs="Arial"/>
              </w:rPr>
            </w:pPr>
            <w:r w:rsidRPr="00851192">
              <w:rPr>
                <w:rFonts w:ascii="Arial" w:hAnsi="Arial" w:cs="Arial"/>
              </w:rPr>
              <w:t>Present or Not Present</w:t>
            </w:r>
          </w:p>
        </w:tc>
        <w:tc>
          <w:tcPr>
            <w:tcW w:w="2668" w:type="dxa"/>
            <w:tcBorders>
              <w:top w:val="single" w:sz="4" w:space="0" w:color="auto"/>
              <w:left w:val="single" w:sz="4" w:space="0" w:color="auto"/>
              <w:bottom w:val="single" w:sz="4" w:space="0" w:color="auto"/>
              <w:right w:val="single" w:sz="4" w:space="0" w:color="auto"/>
            </w:tcBorders>
            <w:hideMark/>
          </w:tcPr>
          <w:p w14:paraId="57EE526F" w14:textId="77777777" w:rsidR="009B75A0" w:rsidRPr="00851192" w:rsidRDefault="009B75A0" w:rsidP="00F27343">
            <w:pPr>
              <w:jc w:val="center"/>
              <w:rPr>
                <w:rFonts w:ascii="Arial" w:hAnsi="Arial" w:cs="Arial"/>
              </w:rPr>
            </w:pPr>
            <w:r w:rsidRPr="00851192">
              <w:rPr>
                <w:rFonts w:ascii="Arial" w:hAnsi="Arial" w:cs="Arial"/>
              </w:rPr>
              <w:t>Researchers rating for clear information</w:t>
            </w:r>
          </w:p>
        </w:tc>
        <w:tc>
          <w:tcPr>
            <w:tcW w:w="2693" w:type="dxa"/>
            <w:tcBorders>
              <w:top w:val="single" w:sz="4" w:space="0" w:color="auto"/>
              <w:left w:val="single" w:sz="4" w:space="0" w:color="auto"/>
              <w:bottom w:val="single" w:sz="4" w:space="0" w:color="auto"/>
              <w:right w:val="single" w:sz="4" w:space="0" w:color="auto"/>
            </w:tcBorders>
            <w:hideMark/>
          </w:tcPr>
          <w:p w14:paraId="6CDD4689" w14:textId="77777777" w:rsidR="009B75A0" w:rsidRPr="00851192" w:rsidRDefault="009B75A0" w:rsidP="00F27343">
            <w:pPr>
              <w:jc w:val="center"/>
              <w:rPr>
                <w:rFonts w:ascii="Arial" w:hAnsi="Arial" w:cs="Arial"/>
              </w:rPr>
            </w:pPr>
            <w:r w:rsidRPr="00851192">
              <w:rPr>
                <w:rFonts w:ascii="Arial" w:hAnsi="Arial" w:cs="Arial"/>
              </w:rPr>
              <w:t>Additional Comments</w:t>
            </w:r>
          </w:p>
        </w:tc>
      </w:tr>
      <w:tr w:rsidR="009B75A0" w:rsidRPr="00851192" w14:paraId="295FAFF2" w14:textId="77777777" w:rsidTr="00F27343">
        <w:trPr>
          <w:trHeight w:val="304"/>
        </w:trPr>
        <w:tc>
          <w:tcPr>
            <w:tcW w:w="1794" w:type="dxa"/>
            <w:tcBorders>
              <w:top w:val="single" w:sz="4" w:space="0" w:color="auto"/>
              <w:left w:val="single" w:sz="4" w:space="0" w:color="auto"/>
              <w:bottom w:val="single" w:sz="4" w:space="0" w:color="auto"/>
              <w:right w:val="single" w:sz="4" w:space="0" w:color="auto"/>
            </w:tcBorders>
            <w:hideMark/>
          </w:tcPr>
          <w:p w14:paraId="7F13B760" w14:textId="77777777" w:rsidR="009B75A0" w:rsidRPr="00851192" w:rsidRDefault="009B75A0" w:rsidP="00F27343">
            <w:pPr>
              <w:jc w:val="center"/>
              <w:rPr>
                <w:rFonts w:ascii="Arial" w:hAnsi="Arial" w:cs="Arial"/>
                <w:b/>
              </w:rPr>
            </w:pPr>
            <w:r w:rsidRPr="00851192">
              <w:rPr>
                <w:rFonts w:ascii="Arial" w:hAnsi="Arial" w:cs="Arial"/>
                <w:b/>
              </w:rPr>
              <w:t>Age Verification</w:t>
            </w:r>
          </w:p>
        </w:tc>
        <w:tc>
          <w:tcPr>
            <w:tcW w:w="1794" w:type="dxa"/>
            <w:tcBorders>
              <w:top w:val="single" w:sz="4" w:space="0" w:color="auto"/>
              <w:left w:val="single" w:sz="4" w:space="0" w:color="auto"/>
              <w:bottom w:val="single" w:sz="4" w:space="0" w:color="auto"/>
              <w:right w:val="single" w:sz="4" w:space="0" w:color="auto"/>
            </w:tcBorders>
            <w:hideMark/>
          </w:tcPr>
          <w:p w14:paraId="326EDB62"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919" w:type="dxa"/>
            <w:tcBorders>
              <w:top w:val="single" w:sz="4" w:space="0" w:color="auto"/>
              <w:left w:val="single" w:sz="4" w:space="0" w:color="auto"/>
              <w:bottom w:val="single" w:sz="4" w:space="0" w:color="auto"/>
              <w:right w:val="single" w:sz="4" w:space="0" w:color="auto"/>
            </w:tcBorders>
          </w:tcPr>
          <w:p w14:paraId="61E2FBAB" w14:textId="77777777" w:rsidR="009B75A0" w:rsidRPr="00851192" w:rsidRDefault="009B75A0" w:rsidP="00F27343">
            <w:pPr>
              <w:rPr>
                <w:rFonts w:ascii="Arial" w:hAnsi="Arial" w:cs="Arial"/>
              </w:rPr>
            </w:pPr>
          </w:p>
        </w:tc>
        <w:tc>
          <w:tcPr>
            <w:tcW w:w="2668" w:type="dxa"/>
            <w:tcBorders>
              <w:top w:val="single" w:sz="4" w:space="0" w:color="auto"/>
              <w:left w:val="single" w:sz="4" w:space="0" w:color="auto"/>
              <w:bottom w:val="single" w:sz="4" w:space="0" w:color="auto"/>
              <w:right w:val="single" w:sz="4" w:space="0" w:color="auto"/>
            </w:tcBorders>
          </w:tcPr>
          <w:p w14:paraId="5BDDAA62" w14:textId="77777777" w:rsidR="009B75A0" w:rsidRPr="00851192" w:rsidRDefault="009B75A0" w:rsidP="00F27343">
            <w:pPr>
              <w:rPr>
                <w:rFonts w:ascii="Arial" w:hAnsi="Arial" w:cs="Arial"/>
              </w:rPr>
            </w:pPr>
          </w:p>
        </w:tc>
        <w:tc>
          <w:tcPr>
            <w:tcW w:w="2693" w:type="dxa"/>
            <w:tcBorders>
              <w:top w:val="single" w:sz="4" w:space="0" w:color="auto"/>
              <w:left w:val="single" w:sz="4" w:space="0" w:color="auto"/>
              <w:bottom w:val="single" w:sz="4" w:space="0" w:color="auto"/>
              <w:right w:val="single" w:sz="4" w:space="0" w:color="auto"/>
            </w:tcBorders>
          </w:tcPr>
          <w:p w14:paraId="61DE5495" w14:textId="77777777" w:rsidR="009B75A0" w:rsidRPr="00851192" w:rsidRDefault="009B75A0" w:rsidP="00F27343">
            <w:pPr>
              <w:rPr>
                <w:rFonts w:ascii="Arial" w:hAnsi="Arial" w:cs="Arial"/>
              </w:rPr>
            </w:pPr>
          </w:p>
        </w:tc>
      </w:tr>
      <w:tr w:rsidR="009B75A0" w:rsidRPr="00851192" w14:paraId="7FB30F2E" w14:textId="77777777" w:rsidTr="00F27343">
        <w:trPr>
          <w:trHeight w:val="1906"/>
        </w:trPr>
        <w:tc>
          <w:tcPr>
            <w:tcW w:w="1794" w:type="dxa"/>
            <w:tcBorders>
              <w:top w:val="single" w:sz="4" w:space="0" w:color="auto"/>
              <w:left w:val="single" w:sz="4" w:space="0" w:color="auto"/>
              <w:bottom w:val="single" w:sz="4" w:space="0" w:color="auto"/>
              <w:right w:val="single" w:sz="4" w:space="0" w:color="auto"/>
            </w:tcBorders>
            <w:hideMark/>
          </w:tcPr>
          <w:p w14:paraId="56EDAC42" w14:textId="77777777" w:rsidR="009B75A0" w:rsidRPr="00851192" w:rsidRDefault="009B75A0" w:rsidP="00F27343">
            <w:pPr>
              <w:jc w:val="center"/>
              <w:rPr>
                <w:rFonts w:ascii="Arial" w:hAnsi="Arial" w:cs="Arial"/>
              </w:rPr>
            </w:pPr>
            <w:r w:rsidRPr="00851192">
              <w:rPr>
                <w:rFonts w:ascii="Arial" w:hAnsi="Arial" w:cs="Arial"/>
              </w:rPr>
              <w:t>Age Verification Service</w:t>
            </w:r>
          </w:p>
        </w:tc>
        <w:tc>
          <w:tcPr>
            <w:tcW w:w="1794" w:type="dxa"/>
            <w:tcBorders>
              <w:top w:val="single" w:sz="4" w:space="0" w:color="auto"/>
              <w:left w:val="single" w:sz="4" w:space="0" w:color="auto"/>
              <w:bottom w:val="single" w:sz="4" w:space="0" w:color="auto"/>
              <w:right w:val="single" w:sz="4" w:space="0" w:color="auto"/>
            </w:tcBorders>
          </w:tcPr>
          <w:p w14:paraId="76F6358B" w14:textId="77777777" w:rsidR="009B75A0" w:rsidRPr="00851192" w:rsidRDefault="009B75A0" w:rsidP="00F27343">
            <w:pPr>
              <w:rPr>
                <w:rFonts w:ascii="Arial" w:hAnsi="Arial" w:cs="Arial"/>
              </w:rPr>
            </w:pPr>
          </w:p>
        </w:tc>
        <w:tc>
          <w:tcPr>
            <w:tcW w:w="919" w:type="dxa"/>
            <w:tcBorders>
              <w:top w:val="single" w:sz="4" w:space="0" w:color="auto"/>
              <w:left w:val="single" w:sz="4" w:space="0" w:color="auto"/>
              <w:bottom w:val="single" w:sz="4" w:space="0" w:color="auto"/>
              <w:right w:val="single" w:sz="4" w:space="0" w:color="auto"/>
            </w:tcBorders>
            <w:hideMark/>
          </w:tcPr>
          <w:p w14:paraId="5E70FFF8" w14:textId="77777777" w:rsidR="009B75A0" w:rsidRPr="00851192" w:rsidRDefault="009B75A0" w:rsidP="00F27343">
            <w:pPr>
              <w:jc w:val="center"/>
              <w:rPr>
                <w:rFonts w:ascii="Arial" w:hAnsi="Arial" w:cs="Arial"/>
              </w:rPr>
            </w:pPr>
            <w:r w:rsidRPr="00851192">
              <w:rPr>
                <w:rFonts w:ascii="Arial" w:hAnsi="Arial" w:cs="Arial"/>
              </w:rPr>
              <w:t>1</w:t>
            </w:r>
          </w:p>
        </w:tc>
        <w:tc>
          <w:tcPr>
            <w:tcW w:w="2668" w:type="dxa"/>
            <w:tcBorders>
              <w:top w:val="single" w:sz="4" w:space="0" w:color="auto"/>
              <w:left w:val="single" w:sz="4" w:space="0" w:color="auto"/>
              <w:bottom w:val="single" w:sz="4" w:space="0" w:color="auto"/>
              <w:right w:val="single" w:sz="4" w:space="0" w:color="auto"/>
            </w:tcBorders>
            <w:hideMark/>
          </w:tcPr>
          <w:p w14:paraId="3018AB48" w14:textId="77777777" w:rsidR="009B75A0" w:rsidRPr="00851192" w:rsidRDefault="009B75A0" w:rsidP="00F27343">
            <w:pPr>
              <w:jc w:val="center"/>
              <w:rPr>
                <w:rFonts w:ascii="Arial" w:hAnsi="Arial" w:cs="Arial"/>
              </w:rPr>
            </w:pPr>
            <w:r w:rsidRPr="00851192">
              <w:rPr>
                <w:rFonts w:ascii="Arial" w:hAnsi="Arial" w:cs="Arial"/>
              </w:rPr>
              <w:t>Adequate</w:t>
            </w:r>
          </w:p>
        </w:tc>
        <w:tc>
          <w:tcPr>
            <w:tcW w:w="2693" w:type="dxa"/>
            <w:tcBorders>
              <w:top w:val="single" w:sz="4" w:space="0" w:color="auto"/>
              <w:left w:val="single" w:sz="4" w:space="0" w:color="auto"/>
              <w:bottom w:val="single" w:sz="4" w:space="0" w:color="auto"/>
              <w:right w:val="single" w:sz="4" w:space="0" w:color="auto"/>
            </w:tcBorders>
            <w:hideMark/>
          </w:tcPr>
          <w:p w14:paraId="3D6FA8FF" w14:textId="77777777" w:rsidR="009B75A0" w:rsidRPr="00851192" w:rsidRDefault="009B75A0" w:rsidP="00F27343">
            <w:pPr>
              <w:rPr>
                <w:rFonts w:ascii="Arial" w:hAnsi="Arial" w:cs="Arial"/>
              </w:rPr>
            </w:pPr>
            <w:r w:rsidRPr="00851192">
              <w:rPr>
                <w:rFonts w:ascii="Arial" w:hAnsi="Arial" w:cs="Arial"/>
              </w:rPr>
              <w:t xml:space="preserve">The global gambling operator does provide an age verification service. It also provides information to users if they are aware of any other user using the service under the age of 18. </w:t>
            </w:r>
          </w:p>
        </w:tc>
      </w:tr>
      <w:tr w:rsidR="009B75A0" w:rsidRPr="00851192" w14:paraId="06CA27C0" w14:textId="77777777" w:rsidTr="00F27343">
        <w:trPr>
          <w:trHeight w:val="1082"/>
        </w:trPr>
        <w:tc>
          <w:tcPr>
            <w:tcW w:w="1794" w:type="dxa"/>
            <w:tcBorders>
              <w:top w:val="single" w:sz="4" w:space="0" w:color="auto"/>
              <w:left w:val="single" w:sz="4" w:space="0" w:color="auto"/>
              <w:bottom w:val="single" w:sz="4" w:space="0" w:color="auto"/>
              <w:right w:val="single" w:sz="4" w:space="0" w:color="auto"/>
            </w:tcBorders>
            <w:hideMark/>
          </w:tcPr>
          <w:p w14:paraId="135A6208" w14:textId="77777777" w:rsidR="009B75A0" w:rsidRPr="00851192" w:rsidRDefault="009B75A0" w:rsidP="00F27343">
            <w:pPr>
              <w:jc w:val="center"/>
              <w:rPr>
                <w:rFonts w:ascii="Arial" w:hAnsi="Arial" w:cs="Arial"/>
              </w:rPr>
            </w:pPr>
            <w:r w:rsidRPr="00851192">
              <w:rPr>
                <w:rFonts w:ascii="Arial" w:hAnsi="Arial" w:cs="Arial"/>
              </w:rPr>
              <w:t>Age Verification Measures</w:t>
            </w:r>
          </w:p>
        </w:tc>
        <w:tc>
          <w:tcPr>
            <w:tcW w:w="1794" w:type="dxa"/>
            <w:tcBorders>
              <w:top w:val="single" w:sz="4" w:space="0" w:color="auto"/>
              <w:left w:val="single" w:sz="4" w:space="0" w:color="auto"/>
              <w:bottom w:val="single" w:sz="4" w:space="0" w:color="auto"/>
              <w:right w:val="single" w:sz="4" w:space="0" w:color="auto"/>
            </w:tcBorders>
          </w:tcPr>
          <w:p w14:paraId="0D6F8C60" w14:textId="77777777" w:rsidR="009B75A0" w:rsidRPr="00851192" w:rsidRDefault="009B75A0" w:rsidP="00F27343">
            <w:pPr>
              <w:rPr>
                <w:rFonts w:ascii="Arial" w:hAnsi="Arial" w:cs="Arial"/>
              </w:rPr>
            </w:pPr>
          </w:p>
        </w:tc>
        <w:tc>
          <w:tcPr>
            <w:tcW w:w="919" w:type="dxa"/>
            <w:tcBorders>
              <w:top w:val="single" w:sz="4" w:space="0" w:color="auto"/>
              <w:left w:val="single" w:sz="4" w:space="0" w:color="auto"/>
              <w:bottom w:val="single" w:sz="4" w:space="0" w:color="auto"/>
              <w:right w:val="single" w:sz="4" w:space="0" w:color="auto"/>
            </w:tcBorders>
            <w:hideMark/>
          </w:tcPr>
          <w:p w14:paraId="0B68EC96" w14:textId="77777777" w:rsidR="009B75A0" w:rsidRPr="00851192" w:rsidRDefault="009B75A0" w:rsidP="00F27343">
            <w:pPr>
              <w:jc w:val="center"/>
              <w:rPr>
                <w:rFonts w:ascii="Arial" w:hAnsi="Arial" w:cs="Arial"/>
              </w:rPr>
            </w:pPr>
            <w:r w:rsidRPr="00851192">
              <w:rPr>
                <w:rFonts w:ascii="Arial" w:hAnsi="Arial" w:cs="Arial"/>
              </w:rPr>
              <w:t>1</w:t>
            </w:r>
          </w:p>
        </w:tc>
        <w:tc>
          <w:tcPr>
            <w:tcW w:w="2668" w:type="dxa"/>
            <w:tcBorders>
              <w:top w:val="single" w:sz="4" w:space="0" w:color="auto"/>
              <w:left w:val="single" w:sz="4" w:space="0" w:color="auto"/>
              <w:bottom w:val="single" w:sz="4" w:space="0" w:color="auto"/>
              <w:right w:val="single" w:sz="4" w:space="0" w:color="auto"/>
            </w:tcBorders>
            <w:hideMark/>
          </w:tcPr>
          <w:p w14:paraId="5348E253" w14:textId="77777777" w:rsidR="009B75A0" w:rsidRPr="00851192" w:rsidRDefault="009B75A0" w:rsidP="00F27343">
            <w:pPr>
              <w:jc w:val="center"/>
              <w:rPr>
                <w:rFonts w:ascii="Arial" w:hAnsi="Arial" w:cs="Arial"/>
              </w:rPr>
            </w:pPr>
            <w:r w:rsidRPr="00851192">
              <w:rPr>
                <w:rFonts w:ascii="Arial" w:hAnsi="Arial" w:cs="Arial"/>
              </w:rPr>
              <w:t>Adequate</w:t>
            </w:r>
          </w:p>
        </w:tc>
        <w:tc>
          <w:tcPr>
            <w:tcW w:w="2693" w:type="dxa"/>
            <w:tcBorders>
              <w:top w:val="single" w:sz="4" w:space="0" w:color="auto"/>
              <w:left w:val="single" w:sz="4" w:space="0" w:color="auto"/>
              <w:bottom w:val="single" w:sz="4" w:space="0" w:color="auto"/>
              <w:right w:val="single" w:sz="4" w:space="0" w:color="auto"/>
            </w:tcBorders>
            <w:hideMark/>
          </w:tcPr>
          <w:p w14:paraId="2E1F6DF5" w14:textId="77777777" w:rsidR="009B75A0" w:rsidRPr="00851192" w:rsidRDefault="009B75A0" w:rsidP="00F27343">
            <w:pPr>
              <w:jc w:val="center"/>
              <w:rPr>
                <w:rFonts w:ascii="Arial" w:hAnsi="Arial" w:cs="Arial"/>
              </w:rPr>
            </w:pPr>
            <w:r w:rsidRPr="00851192">
              <w:rPr>
                <w:rFonts w:ascii="Arial" w:hAnsi="Arial" w:cs="Arial"/>
              </w:rPr>
              <w:t>Verification of date of birth is required when signing up to the global gambling operator’s online platform.</w:t>
            </w:r>
          </w:p>
        </w:tc>
      </w:tr>
    </w:tbl>
    <w:p w14:paraId="146398C4" w14:textId="77777777" w:rsidR="009B75A0" w:rsidRPr="00851192" w:rsidRDefault="009B75A0" w:rsidP="009B75A0">
      <w:pPr>
        <w:rPr>
          <w:rFonts w:ascii="Arial" w:hAnsi="Arial" w:cs="Arial"/>
        </w:rPr>
      </w:pPr>
    </w:p>
    <w:p w14:paraId="4BE84A87" w14:textId="77777777" w:rsidR="009B75A0" w:rsidRPr="00851192" w:rsidRDefault="009B75A0" w:rsidP="009B75A0">
      <w:pPr>
        <w:jc w:val="center"/>
        <w:rPr>
          <w:rFonts w:ascii="Arial" w:hAnsi="Arial" w:cs="Arial"/>
        </w:rPr>
      </w:pPr>
      <w:r w:rsidRPr="00851192">
        <w:rPr>
          <w:rFonts w:ascii="Arial" w:hAnsi="Arial" w:cs="Arial"/>
        </w:rPr>
        <w:t>Asia Gaming</w:t>
      </w:r>
    </w:p>
    <w:tbl>
      <w:tblPr>
        <w:tblStyle w:val="TableGrid"/>
        <w:tblW w:w="9868" w:type="dxa"/>
        <w:tblLook w:val="04A0" w:firstRow="1" w:lastRow="0" w:firstColumn="1" w:lastColumn="0" w:noHBand="0" w:noVBand="1"/>
      </w:tblPr>
      <w:tblGrid>
        <w:gridCol w:w="1789"/>
        <w:gridCol w:w="1776"/>
        <w:gridCol w:w="975"/>
        <w:gridCol w:w="2653"/>
        <w:gridCol w:w="2675"/>
      </w:tblGrid>
      <w:tr w:rsidR="009B75A0" w:rsidRPr="00851192" w14:paraId="506F12E0" w14:textId="77777777" w:rsidTr="00F27343">
        <w:trPr>
          <w:trHeight w:val="1002"/>
        </w:trPr>
        <w:tc>
          <w:tcPr>
            <w:tcW w:w="1794" w:type="dxa"/>
            <w:tcBorders>
              <w:top w:val="single" w:sz="4" w:space="0" w:color="auto"/>
              <w:left w:val="single" w:sz="4" w:space="0" w:color="auto"/>
              <w:bottom w:val="single" w:sz="4" w:space="0" w:color="auto"/>
              <w:right w:val="single" w:sz="4" w:space="0" w:color="auto"/>
            </w:tcBorders>
            <w:hideMark/>
          </w:tcPr>
          <w:p w14:paraId="29800725" w14:textId="77777777" w:rsidR="009B75A0" w:rsidRPr="00851192" w:rsidRDefault="009B75A0" w:rsidP="00F27343">
            <w:pPr>
              <w:jc w:val="center"/>
              <w:rPr>
                <w:rFonts w:ascii="Arial" w:hAnsi="Arial" w:cs="Arial"/>
              </w:rPr>
            </w:pPr>
            <w:r w:rsidRPr="00851192">
              <w:rPr>
                <w:rFonts w:ascii="Arial" w:hAnsi="Arial" w:cs="Arial"/>
              </w:rPr>
              <w:t>Categories</w:t>
            </w:r>
          </w:p>
        </w:tc>
        <w:tc>
          <w:tcPr>
            <w:tcW w:w="1794" w:type="dxa"/>
            <w:tcBorders>
              <w:top w:val="single" w:sz="4" w:space="0" w:color="auto"/>
              <w:left w:val="single" w:sz="4" w:space="0" w:color="auto"/>
              <w:bottom w:val="single" w:sz="4" w:space="0" w:color="auto"/>
              <w:right w:val="single" w:sz="4" w:space="0" w:color="auto"/>
            </w:tcBorders>
            <w:hideMark/>
          </w:tcPr>
          <w:p w14:paraId="2F9ED1B6" w14:textId="77777777" w:rsidR="009B75A0" w:rsidRPr="00851192" w:rsidRDefault="009B75A0" w:rsidP="00F27343">
            <w:pPr>
              <w:jc w:val="center"/>
              <w:rPr>
                <w:rFonts w:ascii="Arial" w:hAnsi="Arial" w:cs="Arial"/>
                <w:b/>
              </w:rPr>
            </w:pPr>
            <w:r w:rsidRPr="00851192">
              <w:rPr>
                <w:rFonts w:ascii="Segoe UI Symbol" w:hAnsi="Segoe UI Symbol" w:cs="Segoe UI Symbol"/>
                <w:b/>
                <w:shd w:val="clear" w:color="auto" w:fill="FFFFFF"/>
              </w:rPr>
              <w:t>✓</w:t>
            </w:r>
            <w:r w:rsidRPr="00851192">
              <w:rPr>
                <w:rFonts w:ascii="Arial" w:hAnsi="Arial" w:cs="Arial"/>
                <w:b/>
                <w:shd w:val="clear" w:color="auto" w:fill="FFFFFF"/>
              </w:rPr>
              <w:t xml:space="preserve"> / </w:t>
            </w:r>
            <w:r w:rsidRPr="00851192">
              <w:rPr>
                <w:rFonts w:ascii="Segoe UI Symbol" w:hAnsi="Segoe UI Symbol" w:cs="Segoe UI Symbol"/>
                <w:b/>
                <w:shd w:val="clear" w:color="auto" w:fill="FFFFFF"/>
              </w:rPr>
              <w:t>☓</w:t>
            </w:r>
          </w:p>
        </w:tc>
        <w:tc>
          <w:tcPr>
            <w:tcW w:w="919" w:type="dxa"/>
            <w:tcBorders>
              <w:top w:val="single" w:sz="4" w:space="0" w:color="auto"/>
              <w:left w:val="single" w:sz="4" w:space="0" w:color="auto"/>
              <w:bottom w:val="single" w:sz="4" w:space="0" w:color="auto"/>
              <w:right w:val="single" w:sz="4" w:space="0" w:color="auto"/>
            </w:tcBorders>
            <w:hideMark/>
          </w:tcPr>
          <w:p w14:paraId="7AE00097" w14:textId="77777777" w:rsidR="009B75A0" w:rsidRPr="00851192" w:rsidRDefault="009B75A0" w:rsidP="00F27343">
            <w:pPr>
              <w:jc w:val="center"/>
              <w:rPr>
                <w:rFonts w:ascii="Arial" w:hAnsi="Arial" w:cs="Arial"/>
              </w:rPr>
            </w:pPr>
            <w:r w:rsidRPr="00851192">
              <w:rPr>
                <w:rFonts w:ascii="Arial" w:hAnsi="Arial" w:cs="Arial"/>
              </w:rPr>
              <w:t>Present or Not Present</w:t>
            </w:r>
          </w:p>
        </w:tc>
        <w:tc>
          <w:tcPr>
            <w:tcW w:w="2668" w:type="dxa"/>
            <w:tcBorders>
              <w:top w:val="single" w:sz="4" w:space="0" w:color="auto"/>
              <w:left w:val="single" w:sz="4" w:space="0" w:color="auto"/>
              <w:bottom w:val="single" w:sz="4" w:space="0" w:color="auto"/>
              <w:right w:val="single" w:sz="4" w:space="0" w:color="auto"/>
            </w:tcBorders>
            <w:hideMark/>
          </w:tcPr>
          <w:p w14:paraId="7E839A03" w14:textId="77777777" w:rsidR="009B75A0" w:rsidRPr="00851192" w:rsidRDefault="009B75A0" w:rsidP="00F27343">
            <w:pPr>
              <w:jc w:val="center"/>
              <w:rPr>
                <w:rFonts w:ascii="Arial" w:hAnsi="Arial" w:cs="Arial"/>
              </w:rPr>
            </w:pPr>
            <w:r w:rsidRPr="00851192">
              <w:rPr>
                <w:rFonts w:ascii="Arial" w:hAnsi="Arial" w:cs="Arial"/>
              </w:rPr>
              <w:t>Researchers rating for clear information</w:t>
            </w:r>
          </w:p>
        </w:tc>
        <w:tc>
          <w:tcPr>
            <w:tcW w:w="2693" w:type="dxa"/>
            <w:tcBorders>
              <w:top w:val="single" w:sz="4" w:space="0" w:color="auto"/>
              <w:left w:val="single" w:sz="4" w:space="0" w:color="auto"/>
              <w:bottom w:val="single" w:sz="4" w:space="0" w:color="auto"/>
              <w:right w:val="single" w:sz="4" w:space="0" w:color="auto"/>
            </w:tcBorders>
            <w:hideMark/>
          </w:tcPr>
          <w:p w14:paraId="19B85A5B" w14:textId="77777777" w:rsidR="009B75A0" w:rsidRPr="00851192" w:rsidRDefault="009B75A0" w:rsidP="00F27343">
            <w:pPr>
              <w:jc w:val="center"/>
              <w:rPr>
                <w:rFonts w:ascii="Arial" w:hAnsi="Arial" w:cs="Arial"/>
              </w:rPr>
            </w:pPr>
            <w:r w:rsidRPr="00851192">
              <w:rPr>
                <w:rFonts w:ascii="Arial" w:hAnsi="Arial" w:cs="Arial"/>
              </w:rPr>
              <w:t>Additional Comments</w:t>
            </w:r>
          </w:p>
        </w:tc>
      </w:tr>
      <w:tr w:rsidR="009B75A0" w:rsidRPr="00851192" w14:paraId="0E8396B9" w14:textId="77777777" w:rsidTr="00F27343">
        <w:trPr>
          <w:trHeight w:val="304"/>
        </w:trPr>
        <w:tc>
          <w:tcPr>
            <w:tcW w:w="1794" w:type="dxa"/>
            <w:tcBorders>
              <w:top w:val="single" w:sz="4" w:space="0" w:color="auto"/>
              <w:left w:val="single" w:sz="4" w:space="0" w:color="auto"/>
              <w:bottom w:val="single" w:sz="4" w:space="0" w:color="auto"/>
              <w:right w:val="single" w:sz="4" w:space="0" w:color="auto"/>
            </w:tcBorders>
            <w:hideMark/>
          </w:tcPr>
          <w:p w14:paraId="5033EF98" w14:textId="77777777" w:rsidR="009B75A0" w:rsidRPr="00851192" w:rsidRDefault="009B75A0" w:rsidP="00F27343">
            <w:pPr>
              <w:jc w:val="center"/>
              <w:rPr>
                <w:rFonts w:ascii="Arial" w:hAnsi="Arial" w:cs="Arial"/>
                <w:b/>
              </w:rPr>
            </w:pPr>
            <w:r w:rsidRPr="00851192">
              <w:rPr>
                <w:rFonts w:ascii="Arial" w:hAnsi="Arial" w:cs="Arial"/>
                <w:b/>
              </w:rPr>
              <w:t>Age Verification</w:t>
            </w:r>
          </w:p>
        </w:tc>
        <w:tc>
          <w:tcPr>
            <w:tcW w:w="1794" w:type="dxa"/>
            <w:tcBorders>
              <w:top w:val="single" w:sz="4" w:space="0" w:color="auto"/>
              <w:left w:val="single" w:sz="4" w:space="0" w:color="auto"/>
              <w:bottom w:val="single" w:sz="4" w:space="0" w:color="auto"/>
              <w:right w:val="single" w:sz="4" w:space="0" w:color="auto"/>
            </w:tcBorders>
            <w:hideMark/>
          </w:tcPr>
          <w:p w14:paraId="737B7A59"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919" w:type="dxa"/>
            <w:tcBorders>
              <w:top w:val="single" w:sz="4" w:space="0" w:color="auto"/>
              <w:left w:val="single" w:sz="4" w:space="0" w:color="auto"/>
              <w:bottom w:val="single" w:sz="4" w:space="0" w:color="auto"/>
              <w:right w:val="single" w:sz="4" w:space="0" w:color="auto"/>
            </w:tcBorders>
          </w:tcPr>
          <w:p w14:paraId="6311AA42" w14:textId="77777777" w:rsidR="009B75A0" w:rsidRPr="00851192" w:rsidRDefault="009B75A0" w:rsidP="00F27343">
            <w:pPr>
              <w:rPr>
                <w:rFonts w:ascii="Arial" w:hAnsi="Arial" w:cs="Arial"/>
              </w:rPr>
            </w:pPr>
          </w:p>
        </w:tc>
        <w:tc>
          <w:tcPr>
            <w:tcW w:w="2668" w:type="dxa"/>
            <w:tcBorders>
              <w:top w:val="single" w:sz="4" w:space="0" w:color="auto"/>
              <w:left w:val="single" w:sz="4" w:space="0" w:color="auto"/>
              <w:bottom w:val="single" w:sz="4" w:space="0" w:color="auto"/>
              <w:right w:val="single" w:sz="4" w:space="0" w:color="auto"/>
            </w:tcBorders>
          </w:tcPr>
          <w:p w14:paraId="37BD7E9E" w14:textId="77777777" w:rsidR="009B75A0" w:rsidRPr="00851192" w:rsidRDefault="009B75A0" w:rsidP="00F27343">
            <w:pPr>
              <w:rPr>
                <w:rFonts w:ascii="Arial" w:hAnsi="Arial" w:cs="Arial"/>
              </w:rPr>
            </w:pPr>
          </w:p>
        </w:tc>
        <w:tc>
          <w:tcPr>
            <w:tcW w:w="2693" w:type="dxa"/>
            <w:tcBorders>
              <w:top w:val="single" w:sz="4" w:space="0" w:color="auto"/>
              <w:left w:val="single" w:sz="4" w:space="0" w:color="auto"/>
              <w:bottom w:val="single" w:sz="4" w:space="0" w:color="auto"/>
              <w:right w:val="single" w:sz="4" w:space="0" w:color="auto"/>
            </w:tcBorders>
          </w:tcPr>
          <w:p w14:paraId="7BAF48AA" w14:textId="77777777" w:rsidR="009B75A0" w:rsidRPr="00851192" w:rsidRDefault="009B75A0" w:rsidP="00F27343">
            <w:pPr>
              <w:rPr>
                <w:rFonts w:ascii="Arial" w:hAnsi="Arial" w:cs="Arial"/>
              </w:rPr>
            </w:pPr>
          </w:p>
        </w:tc>
      </w:tr>
      <w:tr w:rsidR="009B75A0" w:rsidRPr="00851192" w14:paraId="4F9AAEC5" w14:textId="77777777" w:rsidTr="00F27343">
        <w:trPr>
          <w:trHeight w:val="1906"/>
        </w:trPr>
        <w:tc>
          <w:tcPr>
            <w:tcW w:w="1794" w:type="dxa"/>
            <w:tcBorders>
              <w:top w:val="single" w:sz="4" w:space="0" w:color="auto"/>
              <w:left w:val="single" w:sz="4" w:space="0" w:color="auto"/>
              <w:bottom w:val="single" w:sz="4" w:space="0" w:color="auto"/>
              <w:right w:val="single" w:sz="4" w:space="0" w:color="auto"/>
            </w:tcBorders>
            <w:hideMark/>
          </w:tcPr>
          <w:p w14:paraId="6939FF83" w14:textId="77777777" w:rsidR="009B75A0" w:rsidRPr="00851192" w:rsidRDefault="009B75A0" w:rsidP="00F27343">
            <w:pPr>
              <w:jc w:val="center"/>
              <w:rPr>
                <w:rFonts w:ascii="Arial" w:hAnsi="Arial" w:cs="Arial"/>
              </w:rPr>
            </w:pPr>
            <w:r w:rsidRPr="00851192">
              <w:rPr>
                <w:rFonts w:ascii="Arial" w:hAnsi="Arial" w:cs="Arial"/>
              </w:rPr>
              <w:t>Age Verification Service</w:t>
            </w:r>
          </w:p>
        </w:tc>
        <w:tc>
          <w:tcPr>
            <w:tcW w:w="1794" w:type="dxa"/>
            <w:tcBorders>
              <w:top w:val="single" w:sz="4" w:space="0" w:color="auto"/>
              <w:left w:val="single" w:sz="4" w:space="0" w:color="auto"/>
              <w:bottom w:val="single" w:sz="4" w:space="0" w:color="auto"/>
              <w:right w:val="single" w:sz="4" w:space="0" w:color="auto"/>
            </w:tcBorders>
          </w:tcPr>
          <w:p w14:paraId="710C294A" w14:textId="77777777" w:rsidR="009B75A0" w:rsidRPr="00851192" w:rsidRDefault="009B75A0" w:rsidP="00F27343">
            <w:pPr>
              <w:rPr>
                <w:rFonts w:ascii="Arial" w:hAnsi="Arial" w:cs="Arial"/>
              </w:rPr>
            </w:pPr>
          </w:p>
        </w:tc>
        <w:tc>
          <w:tcPr>
            <w:tcW w:w="919" w:type="dxa"/>
            <w:tcBorders>
              <w:top w:val="single" w:sz="4" w:space="0" w:color="auto"/>
              <w:left w:val="single" w:sz="4" w:space="0" w:color="auto"/>
              <w:bottom w:val="single" w:sz="4" w:space="0" w:color="auto"/>
              <w:right w:val="single" w:sz="4" w:space="0" w:color="auto"/>
            </w:tcBorders>
            <w:hideMark/>
          </w:tcPr>
          <w:p w14:paraId="7A9900E1" w14:textId="77777777" w:rsidR="009B75A0" w:rsidRPr="00851192" w:rsidRDefault="009B75A0" w:rsidP="00F27343">
            <w:pPr>
              <w:jc w:val="center"/>
              <w:rPr>
                <w:rFonts w:ascii="Arial" w:hAnsi="Arial" w:cs="Arial"/>
              </w:rPr>
            </w:pPr>
            <w:r w:rsidRPr="00851192">
              <w:rPr>
                <w:rFonts w:ascii="Arial" w:hAnsi="Arial" w:cs="Arial"/>
              </w:rPr>
              <w:t>1</w:t>
            </w:r>
          </w:p>
        </w:tc>
        <w:tc>
          <w:tcPr>
            <w:tcW w:w="2668" w:type="dxa"/>
            <w:tcBorders>
              <w:top w:val="single" w:sz="4" w:space="0" w:color="auto"/>
              <w:left w:val="single" w:sz="4" w:space="0" w:color="auto"/>
              <w:bottom w:val="single" w:sz="4" w:space="0" w:color="auto"/>
              <w:right w:val="single" w:sz="4" w:space="0" w:color="auto"/>
            </w:tcBorders>
            <w:hideMark/>
          </w:tcPr>
          <w:p w14:paraId="5AC3A176" w14:textId="77777777" w:rsidR="009B75A0" w:rsidRPr="00851192" w:rsidRDefault="009B75A0" w:rsidP="00F27343">
            <w:pPr>
              <w:jc w:val="center"/>
              <w:rPr>
                <w:rFonts w:ascii="Arial" w:hAnsi="Arial" w:cs="Arial"/>
              </w:rPr>
            </w:pPr>
            <w:r w:rsidRPr="00851192">
              <w:rPr>
                <w:rFonts w:ascii="Arial" w:hAnsi="Arial" w:cs="Arial"/>
              </w:rPr>
              <w:t>Low</w:t>
            </w:r>
          </w:p>
        </w:tc>
        <w:tc>
          <w:tcPr>
            <w:tcW w:w="2693" w:type="dxa"/>
            <w:tcBorders>
              <w:top w:val="single" w:sz="4" w:space="0" w:color="auto"/>
              <w:left w:val="single" w:sz="4" w:space="0" w:color="auto"/>
              <w:bottom w:val="single" w:sz="4" w:space="0" w:color="auto"/>
              <w:right w:val="single" w:sz="4" w:space="0" w:color="auto"/>
            </w:tcBorders>
            <w:hideMark/>
          </w:tcPr>
          <w:p w14:paraId="1E161119" w14:textId="77777777" w:rsidR="009B75A0" w:rsidRPr="00851192" w:rsidRDefault="009B75A0" w:rsidP="00F27343">
            <w:pPr>
              <w:rPr>
                <w:rFonts w:ascii="Arial" w:hAnsi="Arial" w:cs="Arial"/>
              </w:rPr>
            </w:pPr>
            <w:r w:rsidRPr="00851192">
              <w:rPr>
                <w:rFonts w:ascii="Arial" w:hAnsi="Arial" w:cs="Arial"/>
              </w:rPr>
              <w:t xml:space="preserve">The global gambling operator does provide an age verification service. </w:t>
            </w:r>
          </w:p>
        </w:tc>
      </w:tr>
      <w:tr w:rsidR="009B75A0" w:rsidRPr="00851192" w14:paraId="06502C92" w14:textId="77777777" w:rsidTr="00F27343">
        <w:trPr>
          <w:trHeight w:val="1082"/>
        </w:trPr>
        <w:tc>
          <w:tcPr>
            <w:tcW w:w="1794" w:type="dxa"/>
            <w:tcBorders>
              <w:top w:val="single" w:sz="4" w:space="0" w:color="auto"/>
              <w:left w:val="single" w:sz="4" w:space="0" w:color="auto"/>
              <w:bottom w:val="single" w:sz="4" w:space="0" w:color="auto"/>
              <w:right w:val="single" w:sz="4" w:space="0" w:color="auto"/>
            </w:tcBorders>
            <w:hideMark/>
          </w:tcPr>
          <w:p w14:paraId="7C2F885D" w14:textId="77777777" w:rsidR="009B75A0" w:rsidRPr="00851192" w:rsidRDefault="009B75A0" w:rsidP="00F27343">
            <w:pPr>
              <w:jc w:val="center"/>
              <w:rPr>
                <w:rFonts w:ascii="Arial" w:hAnsi="Arial" w:cs="Arial"/>
              </w:rPr>
            </w:pPr>
            <w:r w:rsidRPr="00851192">
              <w:rPr>
                <w:rFonts w:ascii="Arial" w:hAnsi="Arial" w:cs="Arial"/>
              </w:rPr>
              <w:t>Age Verification Measures</w:t>
            </w:r>
          </w:p>
        </w:tc>
        <w:tc>
          <w:tcPr>
            <w:tcW w:w="1794" w:type="dxa"/>
            <w:tcBorders>
              <w:top w:val="single" w:sz="4" w:space="0" w:color="auto"/>
              <w:left w:val="single" w:sz="4" w:space="0" w:color="auto"/>
              <w:bottom w:val="single" w:sz="4" w:space="0" w:color="auto"/>
              <w:right w:val="single" w:sz="4" w:space="0" w:color="auto"/>
            </w:tcBorders>
          </w:tcPr>
          <w:p w14:paraId="468F5EF5" w14:textId="77777777" w:rsidR="009B75A0" w:rsidRPr="00851192" w:rsidRDefault="009B75A0" w:rsidP="00F27343">
            <w:pPr>
              <w:rPr>
                <w:rFonts w:ascii="Arial" w:hAnsi="Arial" w:cs="Arial"/>
              </w:rPr>
            </w:pPr>
          </w:p>
        </w:tc>
        <w:tc>
          <w:tcPr>
            <w:tcW w:w="919" w:type="dxa"/>
            <w:tcBorders>
              <w:top w:val="single" w:sz="4" w:space="0" w:color="auto"/>
              <w:left w:val="single" w:sz="4" w:space="0" w:color="auto"/>
              <w:bottom w:val="single" w:sz="4" w:space="0" w:color="auto"/>
              <w:right w:val="single" w:sz="4" w:space="0" w:color="auto"/>
            </w:tcBorders>
            <w:hideMark/>
          </w:tcPr>
          <w:p w14:paraId="053AAA8F" w14:textId="77777777" w:rsidR="009B75A0" w:rsidRPr="00851192" w:rsidRDefault="009B75A0" w:rsidP="00F27343">
            <w:pPr>
              <w:jc w:val="center"/>
              <w:rPr>
                <w:rFonts w:ascii="Arial" w:hAnsi="Arial" w:cs="Arial"/>
              </w:rPr>
            </w:pPr>
            <w:r w:rsidRPr="00851192">
              <w:rPr>
                <w:rFonts w:ascii="Arial" w:hAnsi="Arial" w:cs="Arial"/>
              </w:rPr>
              <w:t>1</w:t>
            </w:r>
          </w:p>
        </w:tc>
        <w:tc>
          <w:tcPr>
            <w:tcW w:w="2668" w:type="dxa"/>
            <w:tcBorders>
              <w:top w:val="single" w:sz="4" w:space="0" w:color="auto"/>
              <w:left w:val="single" w:sz="4" w:space="0" w:color="auto"/>
              <w:bottom w:val="single" w:sz="4" w:space="0" w:color="auto"/>
              <w:right w:val="single" w:sz="4" w:space="0" w:color="auto"/>
            </w:tcBorders>
            <w:hideMark/>
          </w:tcPr>
          <w:p w14:paraId="36ADE35A" w14:textId="77777777" w:rsidR="009B75A0" w:rsidRPr="00851192" w:rsidRDefault="009B75A0" w:rsidP="00F27343">
            <w:pPr>
              <w:jc w:val="center"/>
              <w:rPr>
                <w:rFonts w:ascii="Arial" w:hAnsi="Arial" w:cs="Arial"/>
              </w:rPr>
            </w:pPr>
            <w:r w:rsidRPr="00851192">
              <w:rPr>
                <w:rFonts w:ascii="Arial" w:hAnsi="Arial" w:cs="Arial"/>
              </w:rPr>
              <w:t>Adequate</w:t>
            </w:r>
          </w:p>
        </w:tc>
        <w:tc>
          <w:tcPr>
            <w:tcW w:w="2693" w:type="dxa"/>
            <w:tcBorders>
              <w:top w:val="single" w:sz="4" w:space="0" w:color="auto"/>
              <w:left w:val="single" w:sz="4" w:space="0" w:color="auto"/>
              <w:bottom w:val="single" w:sz="4" w:space="0" w:color="auto"/>
              <w:right w:val="single" w:sz="4" w:space="0" w:color="auto"/>
            </w:tcBorders>
            <w:hideMark/>
          </w:tcPr>
          <w:p w14:paraId="47F7BE66" w14:textId="77777777" w:rsidR="009B75A0" w:rsidRPr="00851192" w:rsidRDefault="009B75A0" w:rsidP="00F27343">
            <w:pPr>
              <w:jc w:val="center"/>
              <w:rPr>
                <w:rFonts w:ascii="Arial" w:hAnsi="Arial" w:cs="Arial"/>
              </w:rPr>
            </w:pPr>
            <w:r w:rsidRPr="00851192">
              <w:rPr>
                <w:rFonts w:ascii="Arial" w:hAnsi="Arial" w:cs="Arial"/>
              </w:rPr>
              <w:t>Verification of date of birth is required when signing up to the global gambling operator’s online platform.</w:t>
            </w:r>
          </w:p>
        </w:tc>
      </w:tr>
    </w:tbl>
    <w:p w14:paraId="16644F7A" w14:textId="77777777" w:rsidR="00682E18" w:rsidRPr="00851192" w:rsidRDefault="00682E18" w:rsidP="008A11E4">
      <w:pPr>
        <w:rPr>
          <w:rFonts w:ascii="Arial" w:hAnsi="Arial" w:cs="Arial"/>
          <w:b/>
        </w:rPr>
      </w:pPr>
    </w:p>
    <w:p w14:paraId="4151A396" w14:textId="194F5062" w:rsidR="009B75A0" w:rsidRPr="00851192" w:rsidRDefault="009B75A0" w:rsidP="009B75A0">
      <w:pPr>
        <w:jc w:val="center"/>
        <w:rPr>
          <w:rFonts w:ascii="Arial" w:hAnsi="Arial" w:cs="Arial"/>
        </w:rPr>
      </w:pPr>
      <w:r w:rsidRPr="00851192">
        <w:rPr>
          <w:rFonts w:ascii="Arial" w:hAnsi="Arial" w:cs="Arial"/>
          <w:b/>
        </w:rPr>
        <w:t xml:space="preserve">Table </w:t>
      </w:r>
      <w:r w:rsidR="005E3EE2" w:rsidRPr="00851192">
        <w:rPr>
          <w:rFonts w:ascii="Arial" w:hAnsi="Arial" w:cs="Arial"/>
          <w:b/>
        </w:rPr>
        <w:t>7</w:t>
      </w:r>
      <w:r w:rsidRPr="00851192">
        <w:rPr>
          <w:rFonts w:ascii="Arial" w:hAnsi="Arial" w:cs="Arial"/>
          <w:b/>
        </w:rPr>
        <w:t>.</w:t>
      </w:r>
      <w:r w:rsidR="009E5260" w:rsidRPr="00851192">
        <w:rPr>
          <w:rFonts w:ascii="Arial" w:hAnsi="Arial" w:cs="Arial"/>
          <w:b/>
        </w:rPr>
        <w:t>6</w:t>
      </w:r>
      <w:r w:rsidRPr="00851192">
        <w:rPr>
          <w:rFonts w:ascii="Arial" w:hAnsi="Arial" w:cs="Arial"/>
        </w:rPr>
        <w:t xml:space="preserve"> Global Gambling Operators and Technical Support</w:t>
      </w:r>
    </w:p>
    <w:p w14:paraId="73FD77D9" w14:textId="51A67472" w:rsidR="009B75A0" w:rsidRPr="00851192" w:rsidRDefault="009B75A0" w:rsidP="009B75A0">
      <w:pPr>
        <w:jc w:val="center"/>
        <w:rPr>
          <w:rFonts w:ascii="Arial" w:hAnsi="Arial" w:cs="Arial"/>
        </w:rPr>
      </w:pPr>
      <w:r w:rsidRPr="00851192">
        <w:rPr>
          <w:rFonts w:ascii="Arial" w:hAnsi="Arial" w:cs="Arial"/>
        </w:rPr>
        <w:t>B</w:t>
      </w:r>
      <w:r w:rsidR="00682E18" w:rsidRPr="00851192">
        <w:rPr>
          <w:rFonts w:ascii="Arial" w:hAnsi="Arial" w:cs="Arial"/>
        </w:rPr>
        <w:t>et</w:t>
      </w:r>
      <w:r w:rsidRPr="00851192">
        <w:rPr>
          <w:rFonts w:ascii="Arial" w:hAnsi="Arial" w:cs="Arial"/>
        </w:rPr>
        <w:t>365</w:t>
      </w:r>
    </w:p>
    <w:tbl>
      <w:tblPr>
        <w:tblStyle w:val="TableGrid"/>
        <w:tblW w:w="9846" w:type="dxa"/>
        <w:tblLook w:val="04A0" w:firstRow="1" w:lastRow="0" w:firstColumn="1" w:lastColumn="0" w:noHBand="0" w:noVBand="1"/>
      </w:tblPr>
      <w:tblGrid>
        <w:gridCol w:w="1784"/>
        <w:gridCol w:w="1771"/>
        <w:gridCol w:w="975"/>
        <w:gridCol w:w="2645"/>
        <w:gridCol w:w="2671"/>
      </w:tblGrid>
      <w:tr w:rsidR="009B75A0" w:rsidRPr="00851192" w14:paraId="78239F08" w14:textId="77777777" w:rsidTr="00F27343">
        <w:trPr>
          <w:trHeight w:val="1005"/>
        </w:trPr>
        <w:tc>
          <w:tcPr>
            <w:tcW w:w="1790" w:type="dxa"/>
            <w:tcBorders>
              <w:top w:val="single" w:sz="4" w:space="0" w:color="auto"/>
              <w:left w:val="single" w:sz="4" w:space="0" w:color="auto"/>
              <w:bottom w:val="single" w:sz="4" w:space="0" w:color="auto"/>
              <w:right w:val="single" w:sz="4" w:space="0" w:color="auto"/>
            </w:tcBorders>
            <w:hideMark/>
          </w:tcPr>
          <w:p w14:paraId="5DEBC62D" w14:textId="77777777" w:rsidR="009B75A0" w:rsidRPr="00851192" w:rsidRDefault="009B75A0" w:rsidP="00F27343">
            <w:pPr>
              <w:jc w:val="center"/>
              <w:rPr>
                <w:rFonts w:ascii="Arial" w:hAnsi="Arial" w:cs="Arial"/>
              </w:rPr>
            </w:pPr>
            <w:r w:rsidRPr="00851192">
              <w:rPr>
                <w:rFonts w:ascii="Arial" w:hAnsi="Arial" w:cs="Arial"/>
              </w:rPr>
              <w:t>Categories</w:t>
            </w:r>
          </w:p>
        </w:tc>
        <w:tc>
          <w:tcPr>
            <w:tcW w:w="1790" w:type="dxa"/>
            <w:tcBorders>
              <w:top w:val="single" w:sz="4" w:space="0" w:color="auto"/>
              <w:left w:val="single" w:sz="4" w:space="0" w:color="auto"/>
              <w:bottom w:val="single" w:sz="4" w:space="0" w:color="auto"/>
              <w:right w:val="single" w:sz="4" w:space="0" w:color="auto"/>
            </w:tcBorders>
            <w:hideMark/>
          </w:tcPr>
          <w:p w14:paraId="391EA06A" w14:textId="77777777" w:rsidR="009B75A0" w:rsidRPr="00851192" w:rsidRDefault="009B75A0" w:rsidP="00F27343">
            <w:pPr>
              <w:jc w:val="center"/>
              <w:rPr>
                <w:rFonts w:ascii="Arial" w:hAnsi="Arial" w:cs="Arial"/>
                <w:b/>
              </w:rPr>
            </w:pPr>
            <w:r w:rsidRPr="00851192">
              <w:rPr>
                <w:rFonts w:ascii="Segoe UI Symbol" w:hAnsi="Segoe UI Symbol" w:cs="Segoe UI Symbol"/>
                <w:b/>
                <w:shd w:val="clear" w:color="auto" w:fill="FFFFFF"/>
              </w:rPr>
              <w:t>✓</w:t>
            </w:r>
            <w:r w:rsidRPr="00851192">
              <w:rPr>
                <w:rFonts w:ascii="Arial" w:hAnsi="Arial" w:cs="Arial"/>
                <w:b/>
                <w:shd w:val="clear" w:color="auto" w:fill="FFFFFF"/>
              </w:rPr>
              <w:t xml:space="preserve"> / </w:t>
            </w:r>
            <w:r w:rsidRPr="00851192">
              <w:rPr>
                <w:rFonts w:ascii="Segoe UI Symbol" w:hAnsi="Segoe UI Symbol" w:cs="Segoe UI Symbol"/>
                <w:b/>
                <w:shd w:val="clear" w:color="auto" w:fill="FFFFFF"/>
              </w:rPr>
              <w:t>☓</w:t>
            </w:r>
          </w:p>
        </w:tc>
        <w:tc>
          <w:tcPr>
            <w:tcW w:w="917" w:type="dxa"/>
            <w:tcBorders>
              <w:top w:val="single" w:sz="4" w:space="0" w:color="auto"/>
              <w:left w:val="single" w:sz="4" w:space="0" w:color="auto"/>
              <w:bottom w:val="single" w:sz="4" w:space="0" w:color="auto"/>
              <w:right w:val="single" w:sz="4" w:space="0" w:color="auto"/>
            </w:tcBorders>
            <w:hideMark/>
          </w:tcPr>
          <w:p w14:paraId="66FCC3D8" w14:textId="77777777" w:rsidR="009B75A0" w:rsidRPr="00851192" w:rsidRDefault="009B75A0" w:rsidP="00F27343">
            <w:pPr>
              <w:jc w:val="center"/>
              <w:rPr>
                <w:rFonts w:ascii="Arial" w:hAnsi="Arial" w:cs="Arial"/>
              </w:rPr>
            </w:pPr>
            <w:r w:rsidRPr="00851192">
              <w:rPr>
                <w:rFonts w:ascii="Arial" w:hAnsi="Arial" w:cs="Arial"/>
              </w:rPr>
              <w:t>Present or Not Present</w:t>
            </w:r>
          </w:p>
        </w:tc>
        <w:tc>
          <w:tcPr>
            <w:tcW w:w="2662" w:type="dxa"/>
            <w:tcBorders>
              <w:top w:val="single" w:sz="4" w:space="0" w:color="auto"/>
              <w:left w:val="single" w:sz="4" w:space="0" w:color="auto"/>
              <w:bottom w:val="single" w:sz="4" w:space="0" w:color="auto"/>
              <w:right w:val="single" w:sz="4" w:space="0" w:color="auto"/>
            </w:tcBorders>
            <w:hideMark/>
          </w:tcPr>
          <w:p w14:paraId="09F21E4C" w14:textId="77777777" w:rsidR="009B75A0" w:rsidRPr="00851192" w:rsidRDefault="009B75A0" w:rsidP="00F27343">
            <w:pPr>
              <w:jc w:val="center"/>
              <w:rPr>
                <w:rFonts w:ascii="Arial" w:hAnsi="Arial" w:cs="Arial"/>
              </w:rPr>
            </w:pPr>
            <w:r w:rsidRPr="00851192">
              <w:rPr>
                <w:rFonts w:ascii="Arial" w:hAnsi="Arial" w:cs="Arial"/>
              </w:rPr>
              <w:t>Researchers rating for clear information</w:t>
            </w:r>
          </w:p>
        </w:tc>
        <w:tc>
          <w:tcPr>
            <w:tcW w:w="2687" w:type="dxa"/>
            <w:tcBorders>
              <w:top w:val="single" w:sz="4" w:space="0" w:color="auto"/>
              <w:left w:val="single" w:sz="4" w:space="0" w:color="auto"/>
              <w:bottom w:val="single" w:sz="4" w:space="0" w:color="auto"/>
              <w:right w:val="single" w:sz="4" w:space="0" w:color="auto"/>
            </w:tcBorders>
            <w:hideMark/>
          </w:tcPr>
          <w:p w14:paraId="28810182" w14:textId="77777777" w:rsidR="009B75A0" w:rsidRPr="00851192" w:rsidRDefault="009B75A0" w:rsidP="00F27343">
            <w:pPr>
              <w:jc w:val="center"/>
              <w:rPr>
                <w:rFonts w:ascii="Arial" w:hAnsi="Arial" w:cs="Arial"/>
              </w:rPr>
            </w:pPr>
            <w:r w:rsidRPr="00851192">
              <w:rPr>
                <w:rFonts w:ascii="Arial" w:hAnsi="Arial" w:cs="Arial"/>
              </w:rPr>
              <w:t>Additional Comments</w:t>
            </w:r>
          </w:p>
        </w:tc>
      </w:tr>
      <w:tr w:rsidR="009B75A0" w:rsidRPr="00851192" w14:paraId="583B94AC" w14:textId="77777777" w:rsidTr="00F27343">
        <w:trPr>
          <w:trHeight w:val="304"/>
        </w:trPr>
        <w:tc>
          <w:tcPr>
            <w:tcW w:w="1790" w:type="dxa"/>
            <w:tcBorders>
              <w:top w:val="single" w:sz="4" w:space="0" w:color="auto"/>
              <w:left w:val="single" w:sz="4" w:space="0" w:color="auto"/>
              <w:bottom w:val="single" w:sz="4" w:space="0" w:color="auto"/>
              <w:right w:val="single" w:sz="4" w:space="0" w:color="auto"/>
            </w:tcBorders>
            <w:hideMark/>
          </w:tcPr>
          <w:p w14:paraId="0998E8B3" w14:textId="77777777" w:rsidR="009B75A0" w:rsidRPr="00851192" w:rsidRDefault="009B75A0" w:rsidP="00F27343">
            <w:pPr>
              <w:jc w:val="center"/>
              <w:rPr>
                <w:rFonts w:ascii="Arial" w:hAnsi="Arial" w:cs="Arial"/>
                <w:b/>
              </w:rPr>
            </w:pPr>
            <w:r w:rsidRPr="00851192">
              <w:rPr>
                <w:rFonts w:ascii="Arial" w:hAnsi="Arial" w:cs="Arial"/>
                <w:b/>
              </w:rPr>
              <w:t>Technical Support</w:t>
            </w:r>
          </w:p>
        </w:tc>
        <w:tc>
          <w:tcPr>
            <w:tcW w:w="1790" w:type="dxa"/>
            <w:tcBorders>
              <w:top w:val="single" w:sz="4" w:space="0" w:color="auto"/>
              <w:left w:val="single" w:sz="4" w:space="0" w:color="auto"/>
              <w:bottom w:val="single" w:sz="4" w:space="0" w:color="auto"/>
              <w:right w:val="single" w:sz="4" w:space="0" w:color="auto"/>
            </w:tcBorders>
            <w:hideMark/>
          </w:tcPr>
          <w:p w14:paraId="4A23D8FE"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917" w:type="dxa"/>
            <w:tcBorders>
              <w:top w:val="single" w:sz="4" w:space="0" w:color="auto"/>
              <w:left w:val="single" w:sz="4" w:space="0" w:color="auto"/>
              <w:bottom w:val="single" w:sz="4" w:space="0" w:color="auto"/>
              <w:right w:val="single" w:sz="4" w:space="0" w:color="auto"/>
            </w:tcBorders>
          </w:tcPr>
          <w:p w14:paraId="5C486A6E" w14:textId="77777777" w:rsidR="009B75A0" w:rsidRPr="00851192" w:rsidRDefault="009B75A0" w:rsidP="00F27343">
            <w:pPr>
              <w:rPr>
                <w:rFonts w:ascii="Arial" w:hAnsi="Arial" w:cs="Arial"/>
              </w:rPr>
            </w:pPr>
          </w:p>
        </w:tc>
        <w:tc>
          <w:tcPr>
            <w:tcW w:w="2662" w:type="dxa"/>
            <w:tcBorders>
              <w:top w:val="single" w:sz="4" w:space="0" w:color="auto"/>
              <w:left w:val="single" w:sz="4" w:space="0" w:color="auto"/>
              <w:bottom w:val="single" w:sz="4" w:space="0" w:color="auto"/>
              <w:right w:val="single" w:sz="4" w:space="0" w:color="auto"/>
            </w:tcBorders>
          </w:tcPr>
          <w:p w14:paraId="6127D5DA" w14:textId="77777777" w:rsidR="009B75A0" w:rsidRPr="00851192" w:rsidRDefault="009B75A0" w:rsidP="00F27343">
            <w:pPr>
              <w:rPr>
                <w:rFonts w:ascii="Arial" w:hAnsi="Arial" w:cs="Arial"/>
              </w:rPr>
            </w:pPr>
          </w:p>
        </w:tc>
        <w:tc>
          <w:tcPr>
            <w:tcW w:w="2687" w:type="dxa"/>
            <w:tcBorders>
              <w:top w:val="single" w:sz="4" w:space="0" w:color="auto"/>
              <w:left w:val="single" w:sz="4" w:space="0" w:color="auto"/>
              <w:bottom w:val="single" w:sz="4" w:space="0" w:color="auto"/>
              <w:right w:val="single" w:sz="4" w:space="0" w:color="auto"/>
            </w:tcBorders>
          </w:tcPr>
          <w:p w14:paraId="5043E882" w14:textId="77777777" w:rsidR="009B75A0" w:rsidRPr="00851192" w:rsidRDefault="009B75A0" w:rsidP="00F27343">
            <w:pPr>
              <w:rPr>
                <w:rFonts w:ascii="Arial" w:hAnsi="Arial" w:cs="Arial"/>
              </w:rPr>
            </w:pPr>
          </w:p>
        </w:tc>
      </w:tr>
      <w:tr w:rsidR="009B75A0" w:rsidRPr="00851192" w14:paraId="6E1966E0" w14:textId="77777777" w:rsidTr="00F27343">
        <w:trPr>
          <w:trHeight w:val="1913"/>
        </w:trPr>
        <w:tc>
          <w:tcPr>
            <w:tcW w:w="1790" w:type="dxa"/>
            <w:tcBorders>
              <w:top w:val="single" w:sz="4" w:space="0" w:color="auto"/>
              <w:left w:val="single" w:sz="4" w:space="0" w:color="auto"/>
              <w:bottom w:val="single" w:sz="4" w:space="0" w:color="auto"/>
              <w:right w:val="single" w:sz="4" w:space="0" w:color="auto"/>
            </w:tcBorders>
            <w:hideMark/>
          </w:tcPr>
          <w:p w14:paraId="00C37556" w14:textId="77777777" w:rsidR="009B75A0" w:rsidRPr="00851192" w:rsidRDefault="009B75A0" w:rsidP="00F27343">
            <w:pPr>
              <w:jc w:val="center"/>
              <w:rPr>
                <w:rFonts w:ascii="Arial" w:hAnsi="Arial" w:cs="Arial"/>
              </w:rPr>
            </w:pPr>
            <w:r w:rsidRPr="00851192">
              <w:rPr>
                <w:rFonts w:ascii="Arial" w:hAnsi="Arial" w:cs="Arial"/>
              </w:rPr>
              <w:lastRenderedPageBreak/>
              <w:t>Technical support service</w:t>
            </w:r>
          </w:p>
        </w:tc>
        <w:tc>
          <w:tcPr>
            <w:tcW w:w="1790" w:type="dxa"/>
            <w:tcBorders>
              <w:top w:val="single" w:sz="4" w:space="0" w:color="auto"/>
              <w:left w:val="single" w:sz="4" w:space="0" w:color="auto"/>
              <w:bottom w:val="single" w:sz="4" w:space="0" w:color="auto"/>
              <w:right w:val="single" w:sz="4" w:space="0" w:color="auto"/>
            </w:tcBorders>
          </w:tcPr>
          <w:p w14:paraId="65791877" w14:textId="77777777" w:rsidR="009B75A0" w:rsidRPr="00851192" w:rsidRDefault="009B75A0" w:rsidP="00F27343">
            <w:pPr>
              <w:rPr>
                <w:rFonts w:ascii="Arial" w:hAnsi="Arial" w:cs="Arial"/>
              </w:rPr>
            </w:pPr>
          </w:p>
        </w:tc>
        <w:tc>
          <w:tcPr>
            <w:tcW w:w="917" w:type="dxa"/>
            <w:tcBorders>
              <w:top w:val="single" w:sz="4" w:space="0" w:color="auto"/>
              <w:left w:val="single" w:sz="4" w:space="0" w:color="auto"/>
              <w:bottom w:val="single" w:sz="4" w:space="0" w:color="auto"/>
              <w:right w:val="single" w:sz="4" w:space="0" w:color="auto"/>
            </w:tcBorders>
            <w:hideMark/>
          </w:tcPr>
          <w:p w14:paraId="71AC7E39" w14:textId="77777777" w:rsidR="009B75A0" w:rsidRPr="00851192" w:rsidRDefault="009B75A0" w:rsidP="00F27343">
            <w:pPr>
              <w:jc w:val="center"/>
              <w:rPr>
                <w:rFonts w:ascii="Arial" w:hAnsi="Arial" w:cs="Arial"/>
              </w:rPr>
            </w:pPr>
            <w:r w:rsidRPr="00851192">
              <w:rPr>
                <w:rFonts w:ascii="Arial" w:hAnsi="Arial" w:cs="Arial"/>
              </w:rPr>
              <w:t>1</w:t>
            </w:r>
          </w:p>
        </w:tc>
        <w:tc>
          <w:tcPr>
            <w:tcW w:w="2662" w:type="dxa"/>
            <w:tcBorders>
              <w:top w:val="single" w:sz="4" w:space="0" w:color="auto"/>
              <w:left w:val="single" w:sz="4" w:space="0" w:color="auto"/>
              <w:bottom w:val="single" w:sz="4" w:space="0" w:color="auto"/>
              <w:right w:val="single" w:sz="4" w:space="0" w:color="auto"/>
            </w:tcBorders>
            <w:hideMark/>
          </w:tcPr>
          <w:p w14:paraId="017332B8" w14:textId="77777777" w:rsidR="009B75A0" w:rsidRPr="00851192" w:rsidRDefault="009B75A0" w:rsidP="00F27343">
            <w:pPr>
              <w:jc w:val="center"/>
              <w:rPr>
                <w:rFonts w:ascii="Arial" w:hAnsi="Arial" w:cs="Arial"/>
              </w:rPr>
            </w:pPr>
            <w:r w:rsidRPr="00851192">
              <w:rPr>
                <w:rFonts w:ascii="Arial" w:hAnsi="Arial" w:cs="Arial"/>
              </w:rPr>
              <w:t>Very High</w:t>
            </w:r>
          </w:p>
        </w:tc>
        <w:tc>
          <w:tcPr>
            <w:tcW w:w="2687" w:type="dxa"/>
            <w:tcBorders>
              <w:top w:val="single" w:sz="4" w:space="0" w:color="auto"/>
              <w:left w:val="single" w:sz="4" w:space="0" w:color="auto"/>
              <w:bottom w:val="single" w:sz="4" w:space="0" w:color="auto"/>
              <w:right w:val="single" w:sz="4" w:space="0" w:color="auto"/>
            </w:tcBorders>
            <w:hideMark/>
          </w:tcPr>
          <w:p w14:paraId="3B6D606F" w14:textId="77777777" w:rsidR="009B75A0" w:rsidRPr="00851192" w:rsidRDefault="009B75A0" w:rsidP="00F27343">
            <w:pPr>
              <w:rPr>
                <w:rFonts w:ascii="Arial" w:hAnsi="Arial" w:cs="Arial"/>
              </w:rPr>
            </w:pPr>
            <w:r w:rsidRPr="00851192">
              <w:rPr>
                <w:rFonts w:ascii="Arial" w:hAnsi="Arial" w:cs="Arial"/>
              </w:rPr>
              <w:t>Technical support is highly sufficient and is a key area of BET 365’s business model. It’s an avenue and opportunity to ensure that productivity and profitability is sustained within the business and can provide customer care.</w:t>
            </w:r>
          </w:p>
        </w:tc>
      </w:tr>
      <w:tr w:rsidR="009B75A0" w:rsidRPr="00851192" w14:paraId="73FB09BA" w14:textId="77777777" w:rsidTr="00F27343">
        <w:trPr>
          <w:trHeight w:val="1085"/>
        </w:trPr>
        <w:tc>
          <w:tcPr>
            <w:tcW w:w="1790" w:type="dxa"/>
            <w:tcBorders>
              <w:top w:val="single" w:sz="4" w:space="0" w:color="auto"/>
              <w:left w:val="single" w:sz="4" w:space="0" w:color="auto"/>
              <w:bottom w:val="single" w:sz="4" w:space="0" w:color="auto"/>
              <w:right w:val="single" w:sz="4" w:space="0" w:color="auto"/>
            </w:tcBorders>
            <w:hideMark/>
          </w:tcPr>
          <w:p w14:paraId="5F8CA1E6" w14:textId="77777777" w:rsidR="009B75A0" w:rsidRPr="00851192" w:rsidRDefault="009B75A0" w:rsidP="00F27343">
            <w:pPr>
              <w:jc w:val="center"/>
              <w:rPr>
                <w:rFonts w:ascii="Arial" w:hAnsi="Arial" w:cs="Arial"/>
              </w:rPr>
            </w:pPr>
            <w:r w:rsidRPr="00851192">
              <w:rPr>
                <w:rFonts w:ascii="Arial" w:hAnsi="Arial" w:cs="Arial"/>
              </w:rPr>
              <w:t>Customer service department</w:t>
            </w:r>
          </w:p>
        </w:tc>
        <w:tc>
          <w:tcPr>
            <w:tcW w:w="1790" w:type="dxa"/>
            <w:tcBorders>
              <w:top w:val="single" w:sz="4" w:space="0" w:color="auto"/>
              <w:left w:val="single" w:sz="4" w:space="0" w:color="auto"/>
              <w:bottom w:val="single" w:sz="4" w:space="0" w:color="auto"/>
              <w:right w:val="single" w:sz="4" w:space="0" w:color="auto"/>
            </w:tcBorders>
          </w:tcPr>
          <w:p w14:paraId="312BDE94" w14:textId="77777777" w:rsidR="009B75A0" w:rsidRPr="00851192" w:rsidRDefault="009B75A0" w:rsidP="00F27343">
            <w:pPr>
              <w:rPr>
                <w:rFonts w:ascii="Arial" w:hAnsi="Arial" w:cs="Arial"/>
              </w:rPr>
            </w:pPr>
          </w:p>
        </w:tc>
        <w:tc>
          <w:tcPr>
            <w:tcW w:w="917" w:type="dxa"/>
            <w:tcBorders>
              <w:top w:val="single" w:sz="4" w:space="0" w:color="auto"/>
              <w:left w:val="single" w:sz="4" w:space="0" w:color="auto"/>
              <w:bottom w:val="single" w:sz="4" w:space="0" w:color="auto"/>
              <w:right w:val="single" w:sz="4" w:space="0" w:color="auto"/>
            </w:tcBorders>
            <w:hideMark/>
          </w:tcPr>
          <w:p w14:paraId="7B06AE6D" w14:textId="77777777" w:rsidR="009B75A0" w:rsidRPr="00851192" w:rsidRDefault="009B75A0" w:rsidP="00F27343">
            <w:pPr>
              <w:jc w:val="center"/>
              <w:rPr>
                <w:rFonts w:ascii="Arial" w:hAnsi="Arial" w:cs="Arial"/>
              </w:rPr>
            </w:pPr>
            <w:r w:rsidRPr="00851192">
              <w:rPr>
                <w:rFonts w:ascii="Arial" w:hAnsi="Arial" w:cs="Arial"/>
              </w:rPr>
              <w:t>1</w:t>
            </w:r>
          </w:p>
        </w:tc>
        <w:tc>
          <w:tcPr>
            <w:tcW w:w="2662" w:type="dxa"/>
            <w:tcBorders>
              <w:top w:val="single" w:sz="4" w:space="0" w:color="auto"/>
              <w:left w:val="single" w:sz="4" w:space="0" w:color="auto"/>
              <w:bottom w:val="single" w:sz="4" w:space="0" w:color="auto"/>
              <w:right w:val="single" w:sz="4" w:space="0" w:color="auto"/>
            </w:tcBorders>
            <w:hideMark/>
          </w:tcPr>
          <w:p w14:paraId="4A5E838F" w14:textId="77777777" w:rsidR="009B75A0" w:rsidRPr="00851192" w:rsidRDefault="009B75A0" w:rsidP="00F27343">
            <w:pPr>
              <w:jc w:val="center"/>
              <w:rPr>
                <w:rFonts w:ascii="Arial" w:hAnsi="Arial" w:cs="Arial"/>
              </w:rPr>
            </w:pPr>
            <w:r w:rsidRPr="00851192">
              <w:rPr>
                <w:rFonts w:ascii="Arial" w:hAnsi="Arial" w:cs="Arial"/>
              </w:rPr>
              <w:t>Very High</w:t>
            </w:r>
          </w:p>
        </w:tc>
        <w:tc>
          <w:tcPr>
            <w:tcW w:w="2687" w:type="dxa"/>
            <w:tcBorders>
              <w:top w:val="single" w:sz="4" w:space="0" w:color="auto"/>
              <w:left w:val="single" w:sz="4" w:space="0" w:color="auto"/>
              <w:bottom w:val="single" w:sz="4" w:space="0" w:color="auto"/>
              <w:right w:val="single" w:sz="4" w:space="0" w:color="auto"/>
            </w:tcBorders>
            <w:hideMark/>
          </w:tcPr>
          <w:p w14:paraId="26E9D772" w14:textId="77777777" w:rsidR="009B75A0" w:rsidRPr="00851192" w:rsidRDefault="009B75A0" w:rsidP="00F27343">
            <w:pPr>
              <w:rPr>
                <w:rFonts w:ascii="Arial" w:hAnsi="Arial" w:cs="Arial"/>
              </w:rPr>
            </w:pPr>
            <w:r w:rsidRPr="00851192">
              <w:rPr>
                <w:rFonts w:ascii="Arial" w:hAnsi="Arial" w:cs="Arial"/>
              </w:rPr>
              <w:t xml:space="preserve">Customer service department is present within the global gambling operator. A customer service line is also issued on their website. </w:t>
            </w:r>
          </w:p>
        </w:tc>
      </w:tr>
      <w:tr w:rsidR="009B75A0" w:rsidRPr="00851192" w14:paraId="5FB8ED19" w14:textId="77777777" w:rsidTr="00F27343">
        <w:trPr>
          <w:trHeight w:val="1085"/>
        </w:trPr>
        <w:tc>
          <w:tcPr>
            <w:tcW w:w="1790" w:type="dxa"/>
            <w:tcBorders>
              <w:top w:val="single" w:sz="4" w:space="0" w:color="auto"/>
              <w:left w:val="single" w:sz="4" w:space="0" w:color="auto"/>
              <w:bottom w:val="single" w:sz="4" w:space="0" w:color="auto"/>
              <w:right w:val="single" w:sz="4" w:space="0" w:color="auto"/>
            </w:tcBorders>
            <w:hideMark/>
          </w:tcPr>
          <w:p w14:paraId="00B11232" w14:textId="77777777" w:rsidR="009B75A0" w:rsidRPr="00851192" w:rsidRDefault="009B75A0" w:rsidP="00F27343">
            <w:pPr>
              <w:jc w:val="center"/>
              <w:rPr>
                <w:rFonts w:ascii="Arial" w:hAnsi="Arial" w:cs="Arial"/>
              </w:rPr>
            </w:pPr>
            <w:r w:rsidRPr="00851192">
              <w:rPr>
                <w:rFonts w:ascii="Arial" w:hAnsi="Arial" w:cs="Arial"/>
              </w:rPr>
              <w:t>Clarity on investment into technical support by global gambling operator</w:t>
            </w:r>
          </w:p>
        </w:tc>
        <w:tc>
          <w:tcPr>
            <w:tcW w:w="1790" w:type="dxa"/>
            <w:tcBorders>
              <w:top w:val="single" w:sz="4" w:space="0" w:color="auto"/>
              <w:left w:val="single" w:sz="4" w:space="0" w:color="auto"/>
              <w:bottom w:val="single" w:sz="4" w:space="0" w:color="auto"/>
              <w:right w:val="single" w:sz="4" w:space="0" w:color="auto"/>
            </w:tcBorders>
          </w:tcPr>
          <w:p w14:paraId="2413B1C0" w14:textId="77777777" w:rsidR="009B75A0" w:rsidRPr="00851192" w:rsidRDefault="009B75A0" w:rsidP="00F27343">
            <w:pPr>
              <w:rPr>
                <w:rFonts w:ascii="Arial" w:hAnsi="Arial" w:cs="Arial"/>
              </w:rPr>
            </w:pPr>
          </w:p>
        </w:tc>
        <w:tc>
          <w:tcPr>
            <w:tcW w:w="917" w:type="dxa"/>
            <w:tcBorders>
              <w:top w:val="single" w:sz="4" w:space="0" w:color="auto"/>
              <w:left w:val="single" w:sz="4" w:space="0" w:color="auto"/>
              <w:bottom w:val="single" w:sz="4" w:space="0" w:color="auto"/>
              <w:right w:val="single" w:sz="4" w:space="0" w:color="auto"/>
            </w:tcBorders>
            <w:hideMark/>
          </w:tcPr>
          <w:p w14:paraId="2296E553" w14:textId="77777777" w:rsidR="009B75A0" w:rsidRPr="00851192" w:rsidRDefault="009B75A0" w:rsidP="00F27343">
            <w:pPr>
              <w:jc w:val="center"/>
              <w:rPr>
                <w:rFonts w:ascii="Arial" w:hAnsi="Arial" w:cs="Arial"/>
              </w:rPr>
            </w:pPr>
            <w:r w:rsidRPr="00851192">
              <w:rPr>
                <w:rFonts w:ascii="Arial" w:hAnsi="Arial" w:cs="Arial"/>
              </w:rPr>
              <w:t>1</w:t>
            </w:r>
          </w:p>
        </w:tc>
        <w:tc>
          <w:tcPr>
            <w:tcW w:w="2662" w:type="dxa"/>
            <w:tcBorders>
              <w:top w:val="single" w:sz="4" w:space="0" w:color="auto"/>
              <w:left w:val="single" w:sz="4" w:space="0" w:color="auto"/>
              <w:bottom w:val="single" w:sz="4" w:space="0" w:color="auto"/>
              <w:right w:val="single" w:sz="4" w:space="0" w:color="auto"/>
            </w:tcBorders>
            <w:hideMark/>
          </w:tcPr>
          <w:p w14:paraId="11E86694" w14:textId="77777777" w:rsidR="009B75A0" w:rsidRPr="00851192" w:rsidRDefault="009B75A0" w:rsidP="00F27343">
            <w:pPr>
              <w:jc w:val="center"/>
              <w:rPr>
                <w:rFonts w:ascii="Arial" w:hAnsi="Arial" w:cs="Arial"/>
              </w:rPr>
            </w:pPr>
            <w:r w:rsidRPr="00851192">
              <w:rPr>
                <w:rFonts w:ascii="Arial" w:hAnsi="Arial" w:cs="Arial"/>
              </w:rPr>
              <w:t>Very High</w:t>
            </w:r>
          </w:p>
        </w:tc>
        <w:tc>
          <w:tcPr>
            <w:tcW w:w="2687" w:type="dxa"/>
            <w:tcBorders>
              <w:top w:val="single" w:sz="4" w:space="0" w:color="auto"/>
              <w:left w:val="single" w:sz="4" w:space="0" w:color="auto"/>
              <w:bottom w:val="single" w:sz="4" w:space="0" w:color="auto"/>
              <w:right w:val="single" w:sz="4" w:space="0" w:color="auto"/>
            </w:tcBorders>
            <w:hideMark/>
          </w:tcPr>
          <w:p w14:paraId="1BB3E730" w14:textId="77777777" w:rsidR="009B75A0" w:rsidRPr="00851192" w:rsidRDefault="009B75A0" w:rsidP="00F27343">
            <w:pPr>
              <w:rPr>
                <w:rFonts w:ascii="Arial" w:hAnsi="Arial" w:cs="Arial"/>
              </w:rPr>
            </w:pPr>
            <w:r w:rsidRPr="00851192">
              <w:rPr>
                <w:rFonts w:ascii="Arial" w:hAnsi="Arial" w:cs="Arial"/>
              </w:rPr>
              <w:t xml:space="preserve">BET 365 have demonstrated heavy investment into technical support and customer service department through annual reports published. The level of support within these areas for users is highly sufficient. </w:t>
            </w:r>
          </w:p>
        </w:tc>
      </w:tr>
    </w:tbl>
    <w:p w14:paraId="546CB34E" w14:textId="77777777" w:rsidR="009B75A0" w:rsidRPr="00851192" w:rsidRDefault="009B75A0" w:rsidP="009B75A0">
      <w:pPr>
        <w:rPr>
          <w:rFonts w:ascii="Arial" w:hAnsi="Arial" w:cs="Arial"/>
        </w:rPr>
      </w:pPr>
    </w:p>
    <w:p w14:paraId="6927A9F9" w14:textId="77777777" w:rsidR="009B75A0" w:rsidRPr="00851192" w:rsidRDefault="009B75A0" w:rsidP="009B75A0">
      <w:pPr>
        <w:jc w:val="center"/>
        <w:rPr>
          <w:rFonts w:ascii="Arial" w:hAnsi="Arial" w:cs="Arial"/>
        </w:rPr>
      </w:pPr>
      <w:proofErr w:type="spellStart"/>
      <w:r w:rsidRPr="00851192">
        <w:rPr>
          <w:rFonts w:ascii="Arial" w:hAnsi="Arial" w:cs="Arial"/>
        </w:rPr>
        <w:t>Bwin</w:t>
      </w:r>
      <w:proofErr w:type="spellEnd"/>
    </w:p>
    <w:tbl>
      <w:tblPr>
        <w:tblStyle w:val="TableGrid"/>
        <w:tblW w:w="9868" w:type="dxa"/>
        <w:tblLook w:val="04A0" w:firstRow="1" w:lastRow="0" w:firstColumn="1" w:lastColumn="0" w:noHBand="0" w:noVBand="1"/>
      </w:tblPr>
      <w:tblGrid>
        <w:gridCol w:w="1788"/>
        <w:gridCol w:w="1775"/>
        <w:gridCol w:w="975"/>
        <w:gridCol w:w="2652"/>
        <w:gridCol w:w="2678"/>
      </w:tblGrid>
      <w:tr w:rsidR="009B75A0" w:rsidRPr="00851192" w14:paraId="02DA38D8" w14:textId="77777777" w:rsidTr="00F27343">
        <w:trPr>
          <w:trHeight w:val="1003"/>
        </w:trPr>
        <w:tc>
          <w:tcPr>
            <w:tcW w:w="1794" w:type="dxa"/>
            <w:tcBorders>
              <w:top w:val="single" w:sz="4" w:space="0" w:color="auto"/>
              <w:left w:val="single" w:sz="4" w:space="0" w:color="auto"/>
              <w:bottom w:val="single" w:sz="4" w:space="0" w:color="auto"/>
              <w:right w:val="single" w:sz="4" w:space="0" w:color="auto"/>
            </w:tcBorders>
            <w:hideMark/>
          </w:tcPr>
          <w:p w14:paraId="31B0B237" w14:textId="77777777" w:rsidR="009B75A0" w:rsidRPr="00851192" w:rsidRDefault="009B75A0" w:rsidP="00F27343">
            <w:pPr>
              <w:jc w:val="center"/>
              <w:rPr>
                <w:rFonts w:ascii="Arial" w:hAnsi="Arial" w:cs="Arial"/>
              </w:rPr>
            </w:pPr>
            <w:r w:rsidRPr="00851192">
              <w:rPr>
                <w:rFonts w:ascii="Arial" w:hAnsi="Arial" w:cs="Arial"/>
              </w:rPr>
              <w:t>Categories</w:t>
            </w:r>
          </w:p>
        </w:tc>
        <w:tc>
          <w:tcPr>
            <w:tcW w:w="1794" w:type="dxa"/>
            <w:tcBorders>
              <w:top w:val="single" w:sz="4" w:space="0" w:color="auto"/>
              <w:left w:val="single" w:sz="4" w:space="0" w:color="auto"/>
              <w:bottom w:val="single" w:sz="4" w:space="0" w:color="auto"/>
              <w:right w:val="single" w:sz="4" w:space="0" w:color="auto"/>
            </w:tcBorders>
            <w:hideMark/>
          </w:tcPr>
          <w:p w14:paraId="62B1AC03" w14:textId="77777777" w:rsidR="009B75A0" w:rsidRPr="00851192" w:rsidRDefault="009B75A0" w:rsidP="00F27343">
            <w:pPr>
              <w:jc w:val="center"/>
              <w:rPr>
                <w:rFonts w:ascii="Arial" w:hAnsi="Arial" w:cs="Arial"/>
                <w:b/>
              </w:rPr>
            </w:pPr>
            <w:r w:rsidRPr="00851192">
              <w:rPr>
                <w:rFonts w:ascii="Segoe UI Symbol" w:hAnsi="Segoe UI Symbol" w:cs="Segoe UI Symbol"/>
                <w:b/>
                <w:shd w:val="clear" w:color="auto" w:fill="FFFFFF"/>
              </w:rPr>
              <w:t>✓</w:t>
            </w:r>
            <w:r w:rsidRPr="00851192">
              <w:rPr>
                <w:rFonts w:ascii="Arial" w:hAnsi="Arial" w:cs="Arial"/>
                <w:b/>
                <w:shd w:val="clear" w:color="auto" w:fill="FFFFFF"/>
              </w:rPr>
              <w:t xml:space="preserve"> / </w:t>
            </w:r>
            <w:r w:rsidRPr="00851192">
              <w:rPr>
                <w:rFonts w:ascii="Segoe UI Symbol" w:hAnsi="Segoe UI Symbol" w:cs="Segoe UI Symbol"/>
                <w:b/>
                <w:shd w:val="clear" w:color="auto" w:fill="FFFFFF"/>
              </w:rPr>
              <w:t>☓</w:t>
            </w:r>
          </w:p>
        </w:tc>
        <w:tc>
          <w:tcPr>
            <w:tcW w:w="919" w:type="dxa"/>
            <w:tcBorders>
              <w:top w:val="single" w:sz="4" w:space="0" w:color="auto"/>
              <w:left w:val="single" w:sz="4" w:space="0" w:color="auto"/>
              <w:bottom w:val="single" w:sz="4" w:space="0" w:color="auto"/>
              <w:right w:val="single" w:sz="4" w:space="0" w:color="auto"/>
            </w:tcBorders>
            <w:hideMark/>
          </w:tcPr>
          <w:p w14:paraId="5520EC98" w14:textId="77777777" w:rsidR="009B75A0" w:rsidRPr="00851192" w:rsidRDefault="009B75A0" w:rsidP="00F27343">
            <w:pPr>
              <w:jc w:val="center"/>
              <w:rPr>
                <w:rFonts w:ascii="Arial" w:hAnsi="Arial" w:cs="Arial"/>
              </w:rPr>
            </w:pPr>
            <w:r w:rsidRPr="00851192">
              <w:rPr>
                <w:rFonts w:ascii="Arial" w:hAnsi="Arial" w:cs="Arial"/>
              </w:rPr>
              <w:t>Present or Not Present</w:t>
            </w:r>
          </w:p>
        </w:tc>
        <w:tc>
          <w:tcPr>
            <w:tcW w:w="2668" w:type="dxa"/>
            <w:tcBorders>
              <w:top w:val="single" w:sz="4" w:space="0" w:color="auto"/>
              <w:left w:val="single" w:sz="4" w:space="0" w:color="auto"/>
              <w:bottom w:val="single" w:sz="4" w:space="0" w:color="auto"/>
              <w:right w:val="single" w:sz="4" w:space="0" w:color="auto"/>
            </w:tcBorders>
            <w:hideMark/>
          </w:tcPr>
          <w:p w14:paraId="6B216692" w14:textId="77777777" w:rsidR="009B75A0" w:rsidRPr="00851192" w:rsidRDefault="009B75A0" w:rsidP="00F27343">
            <w:pPr>
              <w:jc w:val="center"/>
              <w:rPr>
                <w:rFonts w:ascii="Arial" w:hAnsi="Arial" w:cs="Arial"/>
              </w:rPr>
            </w:pPr>
            <w:r w:rsidRPr="00851192">
              <w:rPr>
                <w:rFonts w:ascii="Arial" w:hAnsi="Arial" w:cs="Arial"/>
              </w:rPr>
              <w:t>Researchers rating for clear information</w:t>
            </w:r>
          </w:p>
        </w:tc>
        <w:tc>
          <w:tcPr>
            <w:tcW w:w="2693" w:type="dxa"/>
            <w:tcBorders>
              <w:top w:val="single" w:sz="4" w:space="0" w:color="auto"/>
              <w:left w:val="single" w:sz="4" w:space="0" w:color="auto"/>
              <w:bottom w:val="single" w:sz="4" w:space="0" w:color="auto"/>
              <w:right w:val="single" w:sz="4" w:space="0" w:color="auto"/>
            </w:tcBorders>
            <w:hideMark/>
          </w:tcPr>
          <w:p w14:paraId="7B68E9B2" w14:textId="77777777" w:rsidR="009B75A0" w:rsidRPr="00851192" w:rsidRDefault="009B75A0" w:rsidP="00F27343">
            <w:pPr>
              <w:jc w:val="center"/>
              <w:rPr>
                <w:rFonts w:ascii="Arial" w:hAnsi="Arial" w:cs="Arial"/>
              </w:rPr>
            </w:pPr>
            <w:r w:rsidRPr="00851192">
              <w:rPr>
                <w:rFonts w:ascii="Arial" w:hAnsi="Arial" w:cs="Arial"/>
              </w:rPr>
              <w:t>Additional Comments</w:t>
            </w:r>
          </w:p>
        </w:tc>
      </w:tr>
      <w:tr w:rsidR="009B75A0" w:rsidRPr="00851192" w14:paraId="741612A0" w14:textId="77777777" w:rsidTr="00F27343">
        <w:trPr>
          <w:trHeight w:val="304"/>
        </w:trPr>
        <w:tc>
          <w:tcPr>
            <w:tcW w:w="1794" w:type="dxa"/>
            <w:tcBorders>
              <w:top w:val="single" w:sz="4" w:space="0" w:color="auto"/>
              <w:left w:val="single" w:sz="4" w:space="0" w:color="auto"/>
              <w:bottom w:val="single" w:sz="4" w:space="0" w:color="auto"/>
              <w:right w:val="single" w:sz="4" w:space="0" w:color="auto"/>
            </w:tcBorders>
            <w:hideMark/>
          </w:tcPr>
          <w:p w14:paraId="08C36E98" w14:textId="77777777" w:rsidR="009B75A0" w:rsidRPr="00851192" w:rsidRDefault="009B75A0" w:rsidP="00F27343">
            <w:pPr>
              <w:jc w:val="center"/>
              <w:rPr>
                <w:rFonts w:ascii="Arial" w:hAnsi="Arial" w:cs="Arial"/>
                <w:b/>
              </w:rPr>
            </w:pPr>
            <w:r w:rsidRPr="00851192">
              <w:rPr>
                <w:rFonts w:ascii="Arial" w:hAnsi="Arial" w:cs="Arial"/>
                <w:b/>
              </w:rPr>
              <w:t>Technical Support</w:t>
            </w:r>
          </w:p>
        </w:tc>
        <w:tc>
          <w:tcPr>
            <w:tcW w:w="1794" w:type="dxa"/>
            <w:tcBorders>
              <w:top w:val="single" w:sz="4" w:space="0" w:color="auto"/>
              <w:left w:val="single" w:sz="4" w:space="0" w:color="auto"/>
              <w:bottom w:val="single" w:sz="4" w:space="0" w:color="auto"/>
              <w:right w:val="single" w:sz="4" w:space="0" w:color="auto"/>
            </w:tcBorders>
            <w:hideMark/>
          </w:tcPr>
          <w:p w14:paraId="4C767292"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919" w:type="dxa"/>
            <w:tcBorders>
              <w:top w:val="single" w:sz="4" w:space="0" w:color="auto"/>
              <w:left w:val="single" w:sz="4" w:space="0" w:color="auto"/>
              <w:bottom w:val="single" w:sz="4" w:space="0" w:color="auto"/>
              <w:right w:val="single" w:sz="4" w:space="0" w:color="auto"/>
            </w:tcBorders>
          </w:tcPr>
          <w:p w14:paraId="77162218" w14:textId="77777777" w:rsidR="009B75A0" w:rsidRPr="00851192" w:rsidRDefault="009B75A0" w:rsidP="00F27343">
            <w:pPr>
              <w:rPr>
                <w:rFonts w:ascii="Arial" w:hAnsi="Arial" w:cs="Arial"/>
              </w:rPr>
            </w:pPr>
          </w:p>
        </w:tc>
        <w:tc>
          <w:tcPr>
            <w:tcW w:w="2668" w:type="dxa"/>
            <w:tcBorders>
              <w:top w:val="single" w:sz="4" w:space="0" w:color="auto"/>
              <w:left w:val="single" w:sz="4" w:space="0" w:color="auto"/>
              <w:bottom w:val="single" w:sz="4" w:space="0" w:color="auto"/>
              <w:right w:val="single" w:sz="4" w:space="0" w:color="auto"/>
            </w:tcBorders>
          </w:tcPr>
          <w:p w14:paraId="2726E62F" w14:textId="77777777" w:rsidR="009B75A0" w:rsidRPr="00851192" w:rsidRDefault="009B75A0" w:rsidP="00F27343">
            <w:pPr>
              <w:rPr>
                <w:rFonts w:ascii="Arial" w:hAnsi="Arial" w:cs="Arial"/>
              </w:rPr>
            </w:pPr>
          </w:p>
        </w:tc>
        <w:tc>
          <w:tcPr>
            <w:tcW w:w="2693" w:type="dxa"/>
            <w:tcBorders>
              <w:top w:val="single" w:sz="4" w:space="0" w:color="auto"/>
              <w:left w:val="single" w:sz="4" w:space="0" w:color="auto"/>
              <w:bottom w:val="single" w:sz="4" w:space="0" w:color="auto"/>
              <w:right w:val="single" w:sz="4" w:space="0" w:color="auto"/>
            </w:tcBorders>
          </w:tcPr>
          <w:p w14:paraId="1A596F78" w14:textId="77777777" w:rsidR="009B75A0" w:rsidRPr="00851192" w:rsidRDefault="009B75A0" w:rsidP="00F27343">
            <w:pPr>
              <w:rPr>
                <w:rFonts w:ascii="Arial" w:hAnsi="Arial" w:cs="Arial"/>
              </w:rPr>
            </w:pPr>
          </w:p>
        </w:tc>
      </w:tr>
      <w:tr w:rsidR="009B75A0" w:rsidRPr="00851192" w14:paraId="168C9583" w14:textId="77777777" w:rsidTr="00F27343">
        <w:trPr>
          <w:trHeight w:val="1909"/>
        </w:trPr>
        <w:tc>
          <w:tcPr>
            <w:tcW w:w="1794" w:type="dxa"/>
            <w:tcBorders>
              <w:top w:val="single" w:sz="4" w:space="0" w:color="auto"/>
              <w:left w:val="single" w:sz="4" w:space="0" w:color="auto"/>
              <w:bottom w:val="single" w:sz="4" w:space="0" w:color="auto"/>
              <w:right w:val="single" w:sz="4" w:space="0" w:color="auto"/>
            </w:tcBorders>
            <w:hideMark/>
          </w:tcPr>
          <w:p w14:paraId="0DD581A2" w14:textId="77777777" w:rsidR="009B75A0" w:rsidRPr="00851192" w:rsidRDefault="009B75A0" w:rsidP="00F27343">
            <w:pPr>
              <w:jc w:val="center"/>
              <w:rPr>
                <w:rFonts w:ascii="Arial" w:hAnsi="Arial" w:cs="Arial"/>
              </w:rPr>
            </w:pPr>
            <w:r w:rsidRPr="00851192">
              <w:rPr>
                <w:rFonts w:ascii="Arial" w:hAnsi="Arial" w:cs="Arial"/>
              </w:rPr>
              <w:t>Technical support service</w:t>
            </w:r>
          </w:p>
        </w:tc>
        <w:tc>
          <w:tcPr>
            <w:tcW w:w="1794" w:type="dxa"/>
            <w:tcBorders>
              <w:top w:val="single" w:sz="4" w:space="0" w:color="auto"/>
              <w:left w:val="single" w:sz="4" w:space="0" w:color="auto"/>
              <w:bottom w:val="single" w:sz="4" w:space="0" w:color="auto"/>
              <w:right w:val="single" w:sz="4" w:space="0" w:color="auto"/>
            </w:tcBorders>
          </w:tcPr>
          <w:p w14:paraId="52DAE0EB" w14:textId="77777777" w:rsidR="009B75A0" w:rsidRPr="00851192" w:rsidRDefault="009B75A0" w:rsidP="00F27343">
            <w:pPr>
              <w:rPr>
                <w:rFonts w:ascii="Arial" w:hAnsi="Arial" w:cs="Arial"/>
              </w:rPr>
            </w:pPr>
          </w:p>
        </w:tc>
        <w:tc>
          <w:tcPr>
            <w:tcW w:w="919" w:type="dxa"/>
            <w:tcBorders>
              <w:top w:val="single" w:sz="4" w:space="0" w:color="auto"/>
              <w:left w:val="single" w:sz="4" w:space="0" w:color="auto"/>
              <w:bottom w:val="single" w:sz="4" w:space="0" w:color="auto"/>
              <w:right w:val="single" w:sz="4" w:space="0" w:color="auto"/>
            </w:tcBorders>
            <w:hideMark/>
          </w:tcPr>
          <w:p w14:paraId="31F372A3" w14:textId="77777777" w:rsidR="009B75A0" w:rsidRPr="00851192" w:rsidRDefault="009B75A0" w:rsidP="00F27343">
            <w:pPr>
              <w:jc w:val="center"/>
              <w:rPr>
                <w:rFonts w:ascii="Arial" w:hAnsi="Arial" w:cs="Arial"/>
              </w:rPr>
            </w:pPr>
            <w:r w:rsidRPr="00851192">
              <w:rPr>
                <w:rFonts w:ascii="Arial" w:hAnsi="Arial" w:cs="Arial"/>
              </w:rPr>
              <w:t>1</w:t>
            </w:r>
          </w:p>
        </w:tc>
        <w:tc>
          <w:tcPr>
            <w:tcW w:w="2668" w:type="dxa"/>
            <w:tcBorders>
              <w:top w:val="single" w:sz="4" w:space="0" w:color="auto"/>
              <w:left w:val="single" w:sz="4" w:space="0" w:color="auto"/>
              <w:bottom w:val="single" w:sz="4" w:space="0" w:color="auto"/>
              <w:right w:val="single" w:sz="4" w:space="0" w:color="auto"/>
            </w:tcBorders>
            <w:hideMark/>
          </w:tcPr>
          <w:p w14:paraId="638193D4" w14:textId="77777777" w:rsidR="009B75A0" w:rsidRPr="00851192" w:rsidRDefault="009B75A0" w:rsidP="00F27343">
            <w:pPr>
              <w:jc w:val="center"/>
              <w:rPr>
                <w:rFonts w:ascii="Arial" w:hAnsi="Arial" w:cs="Arial"/>
              </w:rPr>
            </w:pPr>
            <w:r w:rsidRPr="00851192">
              <w:rPr>
                <w:rFonts w:ascii="Arial" w:hAnsi="Arial" w:cs="Arial"/>
              </w:rPr>
              <w:t>Very High</w:t>
            </w:r>
          </w:p>
        </w:tc>
        <w:tc>
          <w:tcPr>
            <w:tcW w:w="2693" w:type="dxa"/>
            <w:tcBorders>
              <w:top w:val="single" w:sz="4" w:space="0" w:color="auto"/>
              <w:left w:val="single" w:sz="4" w:space="0" w:color="auto"/>
              <w:bottom w:val="single" w:sz="4" w:space="0" w:color="auto"/>
              <w:right w:val="single" w:sz="4" w:space="0" w:color="auto"/>
            </w:tcBorders>
            <w:hideMark/>
          </w:tcPr>
          <w:p w14:paraId="7D112A31" w14:textId="77777777" w:rsidR="009B75A0" w:rsidRPr="00851192" w:rsidRDefault="009B75A0" w:rsidP="00F27343">
            <w:pPr>
              <w:rPr>
                <w:rFonts w:ascii="Arial" w:hAnsi="Arial" w:cs="Arial"/>
              </w:rPr>
            </w:pPr>
            <w:r w:rsidRPr="00851192">
              <w:rPr>
                <w:rFonts w:ascii="Arial" w:hAnsi="Arial" w:cs="Arial"/>
              </w:rPr>
              <w:t xml:space="preserve">Technical support is highly sufficient and is a key area of </w:t>
            </w:r>
            <w:proofErr w:type="spellStart"/>
            <w:r w:rsidRPr="00851192">
              <w:rPr>
                <w:rFonts w:ascii="Arial" w:hAnsi="Arial" w:cs="Arial"/>
              </w:rPr>
              <w:t>Bwin’s</w:t>
            </w:r>
            <w:proofErr w:type="spellEnd"/>
            <w:r w:rsidRPr="00851192">
              <w:rPr>
                <w:rFonts w:ascii="Arial" w:hAnsi="Arial" w:cs="Arial"/>
              </w:rPr>
              <w:t xml:space="preserve"> business model. It’s an avenue and opportunity to ensure that productivity and profitability is sustained within the business and can provide customer care.</w:t>
            </w:r>
          </w:p>
        </w:tc>
      </w:tr>
      <w:tr w:rsidR="009B75A0" w:rsidRPr="00851192" w14:paraId="490385DF" w14:textId="77777777" w:rsidTr="00F27343">
        <w:trPr>
          <w:trHeight w:val="1083"/>
        </w:trPr>
        <w:tc>
          <w:tcPr>
            <w:tcW w:w="1794" w:type="dxa"/>
            <w:tcBorders>
              <w:top w:val="single" w:sz="4" w:space="0" w:color="auto"/>
              <w:left w:val="single" w:sz="4" w:space="0" w:color="auto"/>
              <w:bottom w:val="single" w:sz="4" w:space="0" w:color="auto"/>
              <w:right w:val="single" w:sz="4" w:space="0" w:color="auto"/>
            </w:tcBorders>
            <w:hideMark/>
          </w:tcPr>
          <w:p w14:paraId="2A5071DF" w14:textId="77777777" w:rsidR="009B75A0" w:rsidRPr="00851192" w:rsidRDefault="009B75A0" w:rsidP="00F27343">
            <w:pPr>
              <w:jc w:val="center"/>
              <w:rPr>
                <w:rFonts w:ascii="Arial" w:hAnsi="Arial" w:cs="Arial"/>
              </w:rPr>
            </w:pPr>
            <w:r w:rsidRPr="00851192">
              <w:rPr>
                <w:rFonts w:ascii="Arial" w:hAnsi="Arial" w:cs="Arial"/>
              </w:rPr>
              <w:t>Customer service department</w:t>
            </w:r>
          </w:p>
        </w:tc>
        <w:tc>
          <w:tcPr>
            <w:tcW w:w="1794" w:type="dxa"/>
            <w:tcBorders>
              <w:top w:val="single" w:sz="4" w:space="0" w:color="auto"/>
              <w:left w:val="single" w:sz="4" w:space="0" w:color="auto"/>
              <w:bottom w:val="single" w:sz="4" w:space="0" w:color="auto"/>
              <w:right w:val="single" w:sz="4" w:space="0" w:color="auto"/>
            </w:tcBorders>
          </w:tcPr>
          <w:p w14:paraId="6B2D4316" w14:textId="77777777" w:rsidR="009B75A0" w:rsidRPr="00851192" w:rsidRDefault="009B75A0" w:rsidP="00F27343">
            <w:pPr>
              <w:rPr>
                <w:rFonts w:ascii="Arial" w:hAnsi="Arial" w:cs="Arial"/>
              </w:rPr>
            </w:pPr>
          </w:p>
        </w:tc>
        <w:tc>
          <w:tcPr>
            <w:tcW w:w="919" w:type="dxa"/>
            <w:tcBorders>
              <w:top w:val="single" w:sz="4" w:space="0" w:color="auto"/>
              <w:left w:val="single" w:sz="4" w:space="0" w:color="auto"/>
              <w:bottom w:val="single" w:sz="4" w:space="0" w:color="auto"/>
              <w:right w:val="single" w:sz="4" w:space="0" w:color="auto"/>
            </w:tcBorders>
            <w:hideMark/>
          </w:tcPr>
          <w:p w14:paraId="4273A358" w14:textId="77777777" w:rsidR="009B75A0" w:rsidRPr="00851192" w:rsidRDefault="009B75A0" w:rsidP="00F27343">
            <w:pPr>
              <w:jc w:val="center"/>
              <w:rPr>
                <w:rFonts w:ascii="Arial" w:hAnsi="Arial" w:cs="Arial"/>
              </w:rPr>
            </w:pPr>
            <w:r w:rsidRPr="00851192">
              <w:rPr>
                <w:rFonts w:ascii="Arial" w:hAnsi="Arial" w:cs="Arial"/>
              </w:rPr>
              <w:t>1</w:t>
            </w:r>
          </w:p>
        </w:tc>
        <w:tc>
          <w:tcPr>
            <w:tcW w:w="2668" w:type="dxa"/>
            <w:tcBorders>
              <w:top w:val="single" w:sz="4" w:space="0" w:color="auto"/>
              <w:left w:val="single" w:sz="4" w:space="0" w:color="auto"/>
              <w:bottom w:val="single" w:sz="4" w:space="0" w:color="auto"/>
              <w:right w:val="single" w:sz="4" w:space="0" w:color="auto"/>
            </w:tcBorders>
            <w:hideMark/>
          </w:tcPr>
          <w:p w14:paraId="694E46A6" w14:textId="77777777" w:rsidR="009B75A0" w:rsidRPr="00851192" w:rsidRDefault="009B75A0" w:rsidP="00F27343">
            <w:pPr>
              <w:jc w:val="center"/>
              <w:rPr>
                <w:rFonts w:ascii="Arial" w:hAnsi="Arial" w:cs="Arial"/>
              </w:rPr>
            </w:pPr>
            <w:r w:rsidRPr="00851192">
              <w:rPr>
                <w:rFonts w:ascii="Arial" w:hAnsi="Arial" w:cs="Arial"/>
              </w:rPr>
              <w:t>Very High</w:t>
            </w:r>
          </w:p>
        </w:tc>
        <w:tc>
          <w:tcPr>
            <w:tcW w:w="2693" w:type="dxa"/>
            <w:tcBorders>
              <w:top w:val="single" w:sz="4" w:space="0" w:color="auto"/>
              <w:left w:val="single" w:sz="4" w:space="0" w:color="auto"/>
              <w:bottom w:val="single" w:sz="4" w:space="0" w:color="auto"/>
              <w:right w:val="single" w:sz="4" w:space="0" w:color="auto"/>
            </w:tcBorders>
            <w:hideMark/>
          </w:tcPr>
          <w:p w14:paraId="7AF94CC8" w14:textId="77777777" w:rsidR="009B75A0" w:rsidRPr="00851192" w:rsidRDefault="009B75A0" w:rsidP="00F27343">
            <w:pPr>
              <w:rPr>
                <w:rFonts w:ascii="Arial" w:hAnsi="Arial" w:cs="Arial"/>
              </w:rPr>
            </w:pPr>
            <w:r w:rsidRPr="00851192">
              <w:rPr>
                <w:rFonts w:ascii="Arial" w:hAnsi="Arial" w:cs="Arial"/>
              </w:rPr>
              <w:t xml:space="preserve">Customer service department is present within the global gambling operator. A customer service line is </w:t>
            </w:r>
            <w:r w:rsidRPr="00851192">
              <w:rPr>
                <w:rFonts w:ascii="Arial" w:hAnsi="Arial" w:cs="Arial"/>
              </w:rPr>
              <w:lastRenderedPageBreak/>
              <w:t xml:space="preserve">also issued on their website. </w:t>
            </w:r>
          </w:p>
        </w:tc>
      </w:tr>
      <w:tr w:rsidR="009B75A0" w:rsidRPr="00851192" w14:paraId="7C9B75BE" w14:textId="77777777" w:rsidTr="00F27343">
        <w:trPr>
          <w:trHeight w:val="1083"/>
        </w:trPr>
        <w:tc>
          <w:tcPr>
            <w:tcW w:w="1794" w:type="dxa"/>
            <w:tcBorders>
              <w:top w:val="single" w:sz="4" w:space="0" w:color="auto"/>
              <w:left w:val="single" w:sz="4" w:space="0" w:color="auto"/>
              <w:bottom w:val="single" w:sz="4" w:space="0" w:color="auto"/>
              <w:right w:val="single" w:sz="4" w:space="0" w:color="auto"/>
            </w:tcBorders>
            <w:hideMark/>
          </w:tcPr>
          <w:p w14:paraId="2733A789" w14:textId="77777777" w:rsidR="009B75A0" w:rsidRPr="00851192" w:rsidRDefault="009B75A0" w:rsidP="00F27343">
            <w:pPr>
              <w:jc w:val="center"/>
              <w:rPr>
                <w:rFonts w:ascii="Arial" w:hAnsi="Arial" w:cs="Arial"/>
              </w:rPr>
            </w:pPr>
            <w:r w:rsidRPr="00851192">
              <w:rPr>
                <w:rFonts w:ascii="Arial" w:hAnsi="Arial" w:cs="Arial"/>
              </w:rPr>
              <w:lastRenderedPageBreak/>
              <w:t>Clarity on investment into technical support by global gambling operator</w:t>
            </w:r>
          </w:p>
        </w:tc>
        <w:tc>
          <w:tcPr>
            <w:tcW w:w="1794" w:type="dxa"/>
            <w:tcBorders>
              <w:top w:val="single" w:sz="4" w:space="0" w:color="auto"/>
              <w:left w:val="single" w:sz="4" w:space="0" w:color="auto"/>
              <w:bottom w:val="single" w:sz="4" w:space="0" w:color="auto"/>
              <w:right w:val="single" w:sz="4" w:space="0" w:color="auto"/>
            </w:tcBorders>
          </w:tcPr>
          <w:p w14:paraId="03AEFF5A" w14:textId="77777777" w:rsidR="009B75A0" w:rsidRPr="00851192" w:rsidRDefault="009B75A0" w:rsidP="00F27343">
            <w:pPr>
              <w:rPr>
                <w:rFonts w:ascii="Arial" w:hAnsi="Arial" w:cs="Arial"/>
              </w:rPr>
            </w:pPr>
          </w:p>
        </w:tc>
        <w:tc>
          <w:tcPr>
            <w:tcW w:w="919" w:type="dxa"/>
            <w:tcBorders>
              <w:top w:val="single" w:sz="4" w:space="0" w:color="auto"/>
              <w:left w:val="single" w:sz="4" w:space="0" w:color="auto"/>
              <w:bottom w:val="single" w:sz="4" w:space="0" w:color="auto"/>
              <w:right w:val="single" w:sz="4" w:space="0" w:color="auto"/>
            </w:tcBorders>
            <w:hideMark/>
          </w:tcPr>
          <w:p w14:paraId="6B86C53B" w14:textId="77777777" w:rsidR="009B75A0" w:rsidRPr="00851192" w:rsidRDefault="009B75A0" w:rsidP="00F27343">
            <w:pPr>
              <w:jc w:val="center"/>
              <w:rPr>
                <w:rFonts w:ascii="Arial" w:hAnsi="Arial" w:cs="Arial"/>
              </w:rPr>
            </w:pPr>
            <w:r w:rsidRPr="00851192">
              <w:rPr>
                <w:rFonts w:ascii="Arial" w:hAnsi="Arial" w:cs="Arial"/>
              </w:rPr>
              <w:t>1</w:t>
            </w:r>
          </w:p>
        </w:tc>
        <w:tc>
          <w:tcPr>
            <w:tcW w:w="2668" w:type="dxa"/>
            <w:tcBorders>
              <w:top w:val="single" w:sz="4" w:space="0" w:color="auto"/>
              <w:left w:val="single" w:sz="4" w:space="0" w:color="auto"/>
              <w:bottom w:val="single" w:sz="4" w:space="0" w:color="auto"/>
              <w:right w:val="single" w:sz="4" w:space="0" w:color="auto"/>
            </w:tcBorders>
            <w:hideMark/>
          </w:tcPr>
          <w:p w14:paraId="2C4968B6" w14:textId="77777777" w:rsidR="009B75A0" w:rsidRPr="00851192" w:rsidRDefault="009B75A0" w:rsidP="00F27343">
            <w:pPr>
              <w:jc w:val="center"/>
              <w:rPr>
                <w:rFonts w:ascii="Arial" w:hAnsi="Arial" w:cs="Arial"/>
              </w:rPr>
            </w:pPr>
            <w:r w:rsidRPr="00851192">
              <w:rPr>
                <w:rFonts w:ascii="Arial" w:hAnsi="Arial" w:cs="Arial"/>
              </w:rPr>
              <w:t>Very High</w:t>
            </w:r>
          </w:p>
        </w:tc>
        <w:tc>
          <w:tcPr>
            <w:tcW w:w="2693" w:type="dxa"/>
            <w:tcBorders>
              <w:top w:val="single" w:sz="4" w:space="0" w:color="auto"/>
              <w:left w:val="single" w:sz="4" w:space="0" w:color="auto"/>
              <w:bottom w:val="single" w:sz="4" w:space="0" w:color="auto"/>
              <w:right w:val="single" w:sz="4" w:space="0" w:color="auto"/>
            </w:tcBorders>
            <w:hideMark/>
          </w:tcPr>
          <w:p w14:paraId="1742E6C3" w14:textId="77777777" w:rsidR="009B75A0" w:rsidRPr="00851192" w:rsidRDefault="009B75A0" w:rsidP="00F27343">
            <w:pPr>
              <w:rPr>
                <w:rFonts w:ascii="Arial" w:hAnsi="Arial" w:cs="Arial"/>
              </w:rPr>
            </w:pPr>
            <w:proofErr w:type="spellStart"/>
            <w:r w:rsidRPr="00851192">
              <w:rPr>
                <w:rFonts w:ascii="Arial" w:hAnsi="Arial" w:cs="Arial"/>
              </w:rPr>
              <w:t>Bwin</w:t>
            </w:r>
            <w:proofErr w:type="spellEnd"/>
            <w:r w:rsidRPr="00851192">
              <w:rPr>
                <w:rFonts w:ascii="Arial" w:hAnsi="Arial" w:cs="Arial"/>
              </w:rPr>
              <w:t xml:space="preserve"> have demonstrated heavy investment into technical support and customer service department through annual reports published by GVC Holdings. The level of support within these areas for users is highly sufficient. </w:t>
            </w:r>
          </w:p>
        </w:tc>
      </w:tr>
    </w:tbl>
    <w:p w14:paraId="7300EEFC" w14:textId="77777777" w:rsidR="009B75A0" w:rsidRPr="00851192" w:rsidRDefault="009B75A0" w:rsidP="009B75A0">
      <w:pPr>
        <w:rPr>
          <w:rFonts w:ascii="Arial" w:hAnsi="Arial" w:cs="Arial"/>
        </w:rPr>
      </w:pPr>
    </w:p>
    <w:p w14:paraId="222196E8" w14:textId="77777777" w:rsidR="009E5260" w:rsidRPr="00851192" w:rsidRDefault="009E5260" w:rsidP="009B75A0">
      <w:pPr>
        <w:jc w:val="center"/>
        <w:rPr>
          <w:rFonts w:ascii="Arial" w:hAnsi="Arial" w:cs="Arial"/>
        </w:rPr>
      </w:pPr>
    </w:p>
    <w:p w14:paraId="05DD2838" w14:textId="12CB73AE" w:rsidR="009B75A0" w:rsidRPr="00851192" w:rsidRDefault="009B75A0" w:rsidP="009B75A0">
      <w:pPr>
        <w:jc w:val="center"/>
        <w:rPr>
          <w:rFonts w:ascii="Arial" w:hAnsi="Arial" w:cs="Arial"/>
        </w:rPr>
      </w:pPr>
      <w:r w:rsidRPr="00851192">
        <w:rPr>
          <w:rFonts w:ascii="Arial" w:hAnsi="Arial" w:cs="Arial"/>
        </w:rPr>
        <w:t>Asia Gaming</w:t>
      </w:r>
    </w:p>
    <w:tbl>
      <w:tblPr>
        <w:tblStyle w:val="TableGrid"/>
        <w:tblW w:w="9868" w:type="dxa"/>
        <w:tblLook w:val="04A0" w:firstRow="1" w:lastRow="0" w:firstColumn="1" w:lastColumn="0" w:noHBand="0" w:noVBand="1"/>
      </w:tblPr>
      <w:tblGrid>
        <w:gridCol w:w="1788"/>
        <w:gridCol w:w="1775"/>
        <w:gridCol w:w="975"/>
        <w:gridCol w:w="2652"/>
        <w:gridCol w:w="2678"/>
      </w:tblGrid>
      <w:tr w:rsidR="009B75A0" w:rsidRPr="00851192" w14:paraId="45884AD5" w14:textId="77777777" w:rsidTr="00F27343">
        <w:trPr>
          <w:trHeight w:val="1003"/>
        </w:trPr>
        <w:tc>
          <w:tcPr>
            <w:tcW w:w="1794" w:type="dxa"/>
            <w:tcBorders>
              <w:top w:val="single" w:sz="4" w:space="0" w:color="auto"/>
              <w:left w:val="single" w:sz="4" w:space="0" w:color="auto"/>
              <w:bottom w:val="single" w:sz="4" w:space="0" w:color="auto"/>
              <w:right w:val="single" w:sz="4" w:space="0" w:color="auto"/>
            </w:tcBorders>
            <w:hideMark/>
          </w:tcPr>
          <w:p w14:paraId="105CAAC3" w14:textId="77777777" w:rsidR="009B75A0" w:rsidRPr="00851192" w:rsidRDefault="009B75A0" w:rsidP="00F27343">
            <w:pPr>
              <w:jc w:val="center"/>
              <w:rPr>
                <w:rFonts w:ascii="Arial" w:hAnsi="Arial" w:cs="Arial"/>
              </w:rPr>
            </w:pPr>
            <w:r w:rsidRPr="00851192">
              <w:rPr>
                <w:rFonts w:ascii="Arial" w:hAnsi="Arial" w:cs="Arial"/>
              </w:rPr>
              <w:t>Categories</w:t>
            </w:r>
          </w:p>
        </w:tc>
        <w:tc>
          <w:tcPr>
            <w:tcW w:w="1794" w:type="dxa"/>
            <w:tcBorders>
              <w:top w:val="single" w:sz="4" w:space="0" w:color="auto"/>
              <w:left w:val="single" w:sz="4" w:space="0" w:color="auto"/>
              <w:bottom w:val="single" w:sz="4" w:space="0" w:color="auto"/>
              <w:right w:val="single" w:sz="4" w:space="0" w:color="auto"/>
            </w:tcBorders>
            <w:hideMark/>
          </w:tcPr>
          <w:p w14:paraId="4E0FBA14" w14:textId="77777777" w:rsidR="009B75A0" w:rsidRPr="00851192" w:rsidRDefault="009B75A0" w:rsidP="00F27343">
            <w:pPr>
              <w:jc w:val="center"/>
              <w:rPr>
                <w:rFonts w:ascii="Arial" w:hAnsi="Arial" w:cs="Arial"/>
                <w:b/>
              </w:rPr>
            </w:pPr>
            <w:r w:rsidRPr="00851192">
              <w:rPr>
                <w:rFonts w:ascii="Segoe UI Symbol" w:hAnsi="Segoe UI Symbol" w:cs="Segoe UI Symbol"/>
                <w:b/>
                <w:shd w:val="clear" w:color="auto" w:fill="FFFFFF"/>
              </w:rPr>
              <w:t>✓</w:t>
            </w:r>
            <w:r w:rsidRPr="00851192">
              <w:rPr>
                <w:rFonts w:ascii="Arial" w:hAnsi="Arial" w:cs="Arial"/>
                <w:b/>
                <w:shd w:val="clear" w:color="auto" w:fill="FFFFFF"/>
              </w:rPr>
              <w:t xml:space="preserve"> / </w:t>
            </w:r>
            <w:r w:rsidRPr="00851192">
              <w:rPr>
                <w:rFonts w:ascii="Segoe UI Symbol" w:hAnsi="Segoe UI Symbol" w:cs="Segoe UI Symbol"/>
                <w:b/>
                <w:shd w:val="clear" w:color="auto" w:fill="FFFFFF"/>
              </w:rPr>
              <w:t>☓</w:t>
            </w:r>
          </w:p>
        </w:tc>
        <w:tc>
          <w:tcPr>
            <w:tcW w:w="919" w:type="dxa"/>
            <w:tcBorders>
              <w:top w:val="single" w:sz="4" w:space="0" w:color="auto"/>
              <w:left w:val="single" w:sz="4" w:space="0" w:color="auto"/>
              <w:bottom w:val="single" w:sz="4" w:space="0" w:color="auto"/>
              <w:right w:val="single" w:sz="4" w:space="0" w:color="auto"/>
            </w:tcBorders>
            <w:hideMark/>
          </w:tcPr>
          <w:p w14:paraId="4C6276CB" w14:textId="77777777" w:rsidR="009B75A0" w:rsidRPr="00851192" w:rsidRDefault="009B75A0" w:rsidP="00F27343">
            <w:pPr>
              <w:jc w:val="center"/>
              <w:rPr>
                <w:rFonts w:ascii="Arial" w:hAnsi="Arial" w:cs="Arial"/>
              </w:rPr>
            </w:pPr>
            <w:r w:rsidRPr="00851192">
              <w:rPr>
                <w:rFonts w:ascii="Arial" w:hAnsi="Arial" w:cs="Arial"/>
              </w:rPr>
              <w:t>Present or Not Present</w:t>
            </w:r>
          </w:p>
        </w:tc>
        <w:tc>
          <w:tcPr>
            <w:tcW w:w="2668" w:type="dxa"/>
            <w:tcBorders>
              <w:top w:val="single" w:sz="4" w:space="0" w:color="auto"/>
              <w:left w:val="single" w:sz="4" w:space="0" w:color="auto"/>
              <w:bottom w:val="single" w:sz="4" w:space="0" w:color="auto"/>
              <w:right w:val="single" w:sz="4" w:space="0" w:color="auto"/>
            </w:tcBorders>
            <w:hideMark/>
          </w:tcPr>
          <w:p w14:paraId="7874284D" w14:textId="77777777" w:rsidR="009B75A0" w:rsidRPr="00851192" w:rsidRDefault="009B75A0" w:rsidP="00F27343">
            <w:pPr>
              <w:jc w:val="center"/>
              <w:rPr>
                <w:rFonts w:ascii="Arial" w:hAnsi="Arial" w:cs="Arial"/>
              </w:rPr>
            </w:pPr>
            <w:r w:rsidRPr="00851192">
              <w:rPr>
                <w:rFonts w:ascii="Arial" w:hAnsi="Arial" w:cs="Arial"/>
              </w:rPr>
              <w:t>Researchers rating for clear information</w:t>
            </w:r>
          </w:p>
        </w:tc>
        <w:tc>
          <w:tcPr>
            <w:tcW w:w="2693" w:type="dxa"/>
            <w:tcBorders>
              <w:top w:val="single" w:sz="4" w:space="0" w:color="auto"/>
              <w:left w:val="single" w:sz="4" w:space="0" w:color="auto"/>
              <w:bottom w:val="single" w:sz="4" w:space="0" w:color="auto"/>
              <w:right w:val="single" w:sz="4" w:space="0" w:color="auto"/>
            </w:tcBorders>
            <w:hideMark/>
          </w:tcPr>
          <w:p w14:paraId="1B3B1B05" w14:textId="77777777" w:rsidR="009B75A0" w:rsidRPr="00851192" w:rsidRDefault="009B75A0" w:rsidP="00F27343">
            <w:pPr>
              <w:jc w:val="center"/>
              <w:rPr>
                <w:rFonts w:ascii="Arial" w:hAnsi="Arial" w:cs="Arial"/>
              </w:rPr>
            </w:pPr>
            <w:r w:rsidRPr="00851192">
              <w:rPr>
                <w:rFonts w:ascii="Arial" w:hAnsi="Arial" w:cs="Arial"/>
              </w:rPr>
              <w:t>Additional Comments</w:t>
            </w:r>
          </w:p>
        </w:tc>
      </w:tr>
      <w:tr w:rsidR="009B75A0" w:rsidRPr="00851192" w14:paraId="3033032E" w14:textId="77777777" w:rsidTr="00F27343">
        <w:trPr>
          <w:trHeight w:val="304"/>
        </w:trPr>
        <w:tc>
          <w:tcPr>
            <w:tcW w:w="1794" w:type="dxa"/>
            <w:tcBorders>
              <w:top w:val="single" w:sz="4" w:space="0" w:color="auto"/>
              <w:left w:val="single" w:sz="4" w:space="0" w:color="auto"/>
              <w:bottom w:val="single" w:sz="4" w:space="0" w:color="auto"/>
              <w:right w:val="single" w:sz="4" w:space="0" w:color="auto"/>
            </w:tcBorders>
            <w:hideMark/>
          </w:tcPr>
          <w:p w14:paraId="18ABBA2D" w14:textId="77777777" w:rsidR="009B75A0" w:rsidRPr="00851192" w:rsidRDefault="009B75A0" w:rsidP="00F27343">
            <w:pPr>
              <w:jc w:val="center"/>
              <w:rPr>
                <w:rFonts w:ascii="Arial" w:hAnsi="Arial" w:cs="Arial"/>
                <w:b/>
              </w:rPr>
            </w:pPr>
            <w:r w:rsidRPr="00851192">
              <w:rPr>
                <w:rFonts w:ascii="Arial" w:hAnsi="Arial" w:cs="Arial"/>
                <w:b/>
              </w:rPr>
              <w:t>Technical Support</w:t>
            </w:r>
          </w:p>
        </w:tc>
        <w:tc>
          <w:tcPr>
            <w:tcW w:w="1794" w:type="dxa"/>
            <w:tcBorders>
              <w:top w:val="single" w:sz="4" w:space="0" w:color="auto"/>
              <w:left w:val="single" w:sz="4" w:space="0" w:color="auto"/>
              <w:bottom w:val="single" w:sz="4" w:space="0" w:color="auto"/>
              <w:right w:val="single" w:sz="4" w:space="0" w:color="auto"/>
            </w:tcBorders>
            <w:hideMark/>
          </w:tcPr>
          <w:p w14:paraId="0F12204D"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919" w:type="dxa"/>
            <w:tcBorders>
              <w:top w:val="single" w:sz="4" w:space="0" w:color="auto"/>
              <w:left w:val="single" w:sz="4" w:space="0" w:color="auto"/>
              <w:bottom w:val="single" w:sz="4" w:space="0" w:color="auto"/>
              <w:right w:val="single" w:sz="4" w:space="0" w:color="auto"/>
            </w:tcBorders>
          </w:tcPr>
          <w:p w14:paraId="456DD62E" w14:textId="77777777" w:rsidR="009B75A0" w:rsidRPr="00851192" w:rsidRDefault="009B75A0" w:rsidP="00F27343">
            <w:pPr>
              <w:rPr>
                <w:rFonts w:ascii="Arial" w:hAnsi="Arial" w:cs="Arial"/>
              </w:rPr>
            </w:pPr>
          </w:p>
        </w:tc>
        <w:tc>
          <w:tcPr>
            <w:tcW w:w="2668" w:type="dxa"/>
            <w:tcBorders>
              <w:top w:val="single" w:sz="4" w:space="0" w:color="auto"/>
              <w:left w:val="single" w:sz="4" w:space="0" w:color="auto"/>
              <w:bottom w:val="single" w:sz="4" w:space="0" w:color="auto"/>
              <w:right w:val="single" w:sz="4" w:space="0" w:color="auto"/>
            </w:tcBorders>
          </w:tcPr>
          <w:p w14:paraId="21BE82FF" w14:textId="77777777" w:rsidR="009B75A0" w:rsidRPr="00851192" w:rsidRDefault="009B75A0" w:rsidP="00F27343">
            <w:pPr>
              <w:rPr>
                <w:rFonts w:ascii="Arial" w:hAnsi="Arial" w:cs="Arial"/>
              </w:rPr>
            </w:pPr>
          </w:p>
        </w:tc>
        <w:tc>
          <w:tcPr>
            <w:tcW w:w="2693" w:type="dxa"/>
            <w:tcBorders>
              <w:top w:val="single" w:sz="4" w:space="0" w:color="auto"/>
              <w:left w:val="single" w:sz="4" w:space="0" w:color="auto"/>
              <w:bottom w:val="single" w:sz="4" w:space="0" w:color="auto"/>
              <w:right w:val="single" w:sz="4" w:space="0" w:color="auto"/>
            </w:tcBorders>
          </w:tcPr>
          <w:p w14:paraId="24B433C6" w14:textId="77777777" w:rsidR="009B75A0" w:rsidRPr="00851192" w:rsidRDefault="009B75A0" w:rsidP="00F27343">
            <w:pPr>
              <w:rPr>
                <w:rFonts w:ascii="Arial" w:hAnsi="Arial" w:cs="Arial"/>
              </w:rPr>
            </w:pPr>
          </w:p>
        </w:tc>
      </w:tr>
      <w:tr w:rsidR="009B75A0" w:rsidRPr="00851192" w14:paraId="6F2843B6" w14:textId="77777777" w:rsidTr="00F27343">
        <w:trPr>
          <w:trHeight w:val="1909"/>
        </w:trPr>
        <w:tc>
          <w:tcPr>
            <w:tcW w:w="1794" w:type="dxa"/>
            <w:tcBorders>
              <w:top w:val="single" w:sz="4" w:space="0" w:color="auto"/>
              <w:left w:val="single" w:sz="4" w:space="0" w:color="auto"/>
              <w:bottom w:val="single" w:sz="4" w:space="0" w:color="auto"/>
              <w:right w:val="single" w:sz="4" w:space="0" w:color="auto"/>
            </w:tcBorders>
            <w:hideMark/>
          </w:tcPr>
          <w:p w14:paraId="300DC3CB" w14:textId="77777777" w:rsidR="009B75A0" w:rsidRPr="00851192" w:rsidRDefault="009B75A0" w:rsidP="00F27343">
            <w:pPr>
              <w:jc w:val="center"/>
              <w:rPr>
                <w:rFonts w:ascii="Arial" w:hAnsi="Arial" w:cs="Arial"/>
              </w:rPr>
            </w:pPr>
            <w:r w:rsidRPr="00851192">
              <w:rPr>
                <w:rFonts w:ascii="Arial" w:hAnsi="Arial" w:cs="Arial"/>
              </w:rPr>
              <w:t>Technical support service</w:t>
            </w:r>
          </w:p>
        </w:tc>
        <w:tc>
          <w:tcPr>
            <w:tcW w:w="1794" w:type="dxa"/>
            <w:tcBorders>
              <w:top w:val="single" w:sz="4" w:space="0" w:color="auto"/>
              <w:left w:val="single" w:sz="4" w:space="0" w:color="auto"/>
              <w:bottom w:val="single" w:sz="4" w:space="0" w:color="auto"/>
              <w:right w:val="single" w:sz="4" w:space="0" w:color="auto"/>
            </w:tcBorders>
          </w:tcPr>
          <w:p w14:paraId="1B1D128C" w14:textId="77777777" w:rsidR="009B75A0" w:rsidRPr="00851192" w:rsidRDefault="009B75A0" w:rsidP="00F27343">
            <w:pPr>
              <w:rPr>
                <w:rFonts w:ascii="Arial" w:hAnsi="Arial" w:cs="Arial"/>
              </w:rPr>
            </w:pPr>
          </w:p>
        </w:tc>
        <w:tc>
          <w:tcPr>
            <w:tcW w:w="919" w:type="dxa"/>
            <w:tcBorders>
              <w:top w:val="single" w:sz="4" w:space="0" w:color="auto"/>
              <w:left w:val="single" w:sz="4" w:space="0" w:color="auto"/>
              <w:bottom w:val="single" w:sz="4" w:space="0" w:color="auto"/>
              <w:right w:val="single" w:sz="4" w:space="0" w:color="auto"/>
            </w:tcBorders>
            <w:hideMark/>
          </w:tcPr>
          <w:p w14:paraId="455D497E" w14:textId="77777777" w:rsidR="009B75A0" w:rsidRPr="00851192" w:rsidRDefault="009B75A0" w:rsidP="00F27343">
            <w:pPr>
              <w:jc w:val="center"/>
              <w:rPr>
                <w:rFonts w:ascii="Arial" w:hAnsi="Arial" w:cs="Arial"/>
              </w:rPr>
            </w:pPr>
            <w:r w:rsidRPr="00851192">
              <w:rPr>
                <w:rFonts w:ascii="Arial" w:hAnsi="Arial" w:cs="Arial"/>
              </w:rPr>
              <w:t>1</w:t>
            </w:r>
          </w:p>
        </w:tc>
        <w:tc>
          <w:tcPr>
            <w:tcW w:w="2668" w:type="dxa"/>
            <w:tcBorders>
              <w:top w:val="single" w:sz="4" w:space="0" w:color="auto"/>
              <w:left w:val="single" w:sz="4" w:space="0" w:color="auto"/>
              <w:bottom w:val="single" w:sz="4" w:space="0" w:color="auto"/>
              <w:right w:val="single" w:sz="4" w:space="0" w:color="auto"/>
            </w:tcBorders>
            <w:hideMark/>
          </w:tcPr>
          <w:p w14:paraId="26D94F4D" w14:textId="77777777" w:rsidR="009B75A0" w:rsidRPr="00851192" w:rsidRDefault="009B75A0" w:rsidP="00F27343">
            <w:pPr>
              <w:jc w:val="center"/>
              <w:rPr>
                <w:rFonts w:ascii="Arial" w:hAnsi="Arial" w:cs="Arial"/>
              </w:rPr>
            </w:pPr>
            <w:r w:rsidRPr="00851192">
              <w:rPr>
                <w:rFonts w:ascii="Arial" w:hAnsi="Arial" w:cs="Arial"/>
              </w:rPr>
              <w:t>Very High</w:t>
            </w:r>
          </w:p>
        </w:tc>
        <w:tc>
          <w:tcPr>
            <w:tcW w:w="2693" w:type="dxa"/>
            <w:tcBorders>
              <w:top w:val="single" w:sz="4" w:space="0" w:color="auto"/>
              <w:left w:val="single" w:sz="4" w:space="0" w:color="auto"/>
              <w:bottom w:val="single" w:sz="4" w:space="0" w:color="auto"/>
              <w:right w:val="single" w:sz="4" w:space="0" w:color="auto"/>
            </w:tcBorders>
            <w:hideMark/>
          </w:tcPr>
          <w:p w14:paraId="79C3FF5B" w14:textId="77777777" w:rsidR="009B75A0" w:rsidRPr="00851192" w:rsidRDefault="009B75A0" w:rsidP="00F27343">
            <w:pPr>
              <w:rPr>
                <w:rFonts w:ascii="Arial" w:hAnsi="Arial" w:cs="Arial"/>
              </w:rPr>
            </w:pPr>
            <w:r w:rsidRPr="00851192">
              <w:rPr>
                <w:rFonts w:ascii="Arial" w:hAnsi="Arial" w:cs="Arial"/>
              </w:rPr>
              <w:t xml:space="preserve">Technical support is at the forefront for Asia Gaming. As a manufacturer of hardware gambling facilities alongside app development and software, technical support has a large influence on how the operator performs as it both considers B2B and B2C cliental. </w:t>
            </w:r>
          </w:p>
        </w:tc>
      </w:tr>
      <w:tr w:rsidR="009B75A0" w:rsidRPr="00851192" w14:paraId="0C7FA3E9" w14:textId="77777777" w:rsidTr="00F27343">
        <w:trPr>
          <w:trHeight w:val="1083"/>
        </w:trPr>
        <w:tc>
          <w:tcPr>
            <w:tcW w:w="1794" w:type="dxa"/>
            <w:tcBorders>
              <w:top w:val="single" w:sz="4" w:space="0" w:color="auto"/>
              <w:left w:val="single" w:sz="4" w:space="0" w:color="auto"/>
              <w:bottom w:val="single" w:sz="4" w:space="0" w:color="auto"/>
              <w:right w:val="single" w:sz="4" w:space="0" w:color="auto"/>
            </w:tcBorders>
            <w:hideMark/>
          </w:tcPr>
          <w:p w14:paraId="76BA8E7B" w14:textId="77777777" w:rsidR="009B75A0" w:rsidRPr="00851192" w:rsidRDefault="009B75A0" w:rsidP="00F27343">
            <w:pPr>
              <w:jc w:val="center"/>
              <w:rPr>
                <w:rFonts w:ascii="Arial" w:hAnsi="Arial" w:cs="Arial"/>
              </w:rPr>
            </w:pPr>
            <w:r w:rsidRPr="00851192">
              <w:rPr>
                <w:rFonts w:ascii="Arial" w:hAnsi="Arial" w:cs="Arial"/>
              </w:rPr>
              <w:t>Customer service department</w:t>
            </w:r>
          </w:p>
        </w:tc>
        <w:tc>
          <w:tcPr>
            <w:tcW w:w="1794" w:type="dxa"/>
            <w:tcBorders>
              <w:top w:val="single" w:sz="4" w:space="0" w:color="auto"/>
              <w:left w:val="single" w:sz="4" w:space="0" w:color="auto"/>
              <w:bottom w:val="single" w:sz="4" w:space="0" w:color="auto"/>
              <w:right w:val="single" w:sz="4" w:space="0" w:color="auto"/>
            </w:tcBorders>
          </w:tcPr>
          <w:p w14:paraId="6DF8FE24" w14:textId="77777777" w:rsidR="009B75A0" w:rsidRPr="00851192" w:rsidRDefault="009B75A0" w:rsidP="00F27343">
            <w:pPr>
              <w:rPr>
                <w:rFonts w:ascii="Arial" w:hAnsi="Arial" w:cs="Arial"/>
              </w:rPr>
            </w:pPr>
          </w:p>
        </w:tc>
        <w:tc>
          <w:tcPr>
            <w:tcW w:w="919" w:type="dxa"/>
            <w:tcBorders>
              <w:top w:val="single" w:sz="4" w:space="0" w:color="auto"/>
              <w:left w:val="single" w:sz="4" w:space="0" w:color="auto"/>
              <w:bottom w:val="single" w:sz="4" w:space="0" w:color="auto"/>
              <w:right w:val="single" w:sz="4" w:space="0" w:color="auto"/>
            </w:tcBorders>
            <w:hideMark/>
          </w:tcPr>
          <w:p w14:paraId="043A95DB" w14:textId="77777777" w:rsidR="009B75A0" w:rsidRPr="00851192" w:rsidRDefault="009B75A0" w:rsidP="00F27343">
            <w:pPr>
              <w:jc w:val="center"/>
              <w:rPr>
                <w:rFonts w:ascii="Arial" w:hAnsi="Arial" w:cs="Arial"/>
              </w:rPr>
            </w:pPr>
            <w:r w:rsidRPr="00851192">
              <w:rPr>
                <w:rFonts w:ascii="Arial" w:hAnsi="Arial" w:cs="Arial"/>
              </w:rPr>
              <w:t>1</w:t>
            </w:r>
          </w:p>
        </w:tc>
        <w:tc>
          <w:tcPr>
            <w:tcW w:w="2668" w:type="dxa"/>
            <w:tcBorders>
              <w:top w:val="single" w:sz="4" w:space="0" w:color="auto"/>
              <w:left w:val="single" w:sz="4" w:space="0" w:color="auto"/>
              <w:bottom w:val="single" w:sz="4" w:space="0" w:color="auto"/>
              <w:right w:val="single" w:sz="4" w:space="0" w:color="auto"/>
            </w:tcBorders>
            <w:hideMark/>
          </w:tcPr>
          <w:p w14:paraId="56939FE4" w14:textId="77777777" w:rsidR="009B75A0" w:rsidRPr="00851192" w:rsidRDefault="009B75A0" w:rsidP="00F27343">
            <w:pPr>
              <w:jc w:val="center"/>
              <w:rPr>
                <w:rFonts w:ascii="Arial" w:hAnsi="Arial" w:cs="Arial"/>
              </w:rPr>
            </w:pPr>
            <w:r w:rsidRPr="00851192">
              <w:rPr>
                <w:rFonts w:ascii="Arial" w:hAnsi="Arial" w:cs="Arial"/>
              </w:rPr>
              <w:t>Very High</w:t>
            </w:r>
          </w:p>
        </w:tc>
        <w:tc>
          <w:tcPr>
            <w:tcW w:w="2693" w:type="dxa"/>
            <w:tcBorders>
              <w:top w:val="single" w:sz="4" w:space="0" w:color="auto"/>
              <w:left w:val="single" w:sz="4" w:space="0" w:color="auto"/>
              <w:bottom w:val="single" w:sz="4" w:space="0" w:color="auto"/>
              <w:right w:val="single" w:sz="4" w:space="0" w:color="auto"/>
            </w:tcBorders>
            <w:hideMark/>
          </w:tcPr>
          <w:p w14:paraId="7869C38B" w14:textId="77777777" w:rsidR="009B75A0" w:rsidRPr="00851192" w:rsidRDefault="009B75A0" w:rsidP="00F27343">
            <w:pPr>
              <w:rPr>
                <w:rFonts w:ascii="Arial" w:hAnsi="Arial" w:cs="Arial"/>
              </w:rPr>
            </w:pPr>
            <w:r w:rsidRPr="00851192">
              <w:rPr>
                <w:rFonts w:ascii="Arial" w:hAnsi="Arial" w:cs="Arial"/>
              </w:rPr>
              <w:t xml:space="preserve">Customer service department is present within the global gambling operator. A customer service line is also issued on their website. </w:t>
            </w:r>
          </w:p>
        </w:tc>
      </w:tr>
      <w:tr w:rsidR="009B75A0" w:rsidRPr="00851192" w14:paraId="3FC36F92" w14:textId="77777777" w:rsidTr="00F27343">
        <w:trPr>
          <w:trHeight w:val="699"/>
        </w:trPr>
        <w:tc>
          <w:tcPr>
            <w:tcW w:w="1794" w:type="dxa"/>
            <w:tcBorders>
              <w:top w:val="single" w:sz="4" w:space="0" w:color="auto"/>
              <w:left w:val="single" w:sz="4" w:space="0" w:color="auto"/>
              <w:bottom w:val="single" w:sz="4" w:space="0" w:color="auto"/>
              <w:right w:val="single" w:sz="4" w:space="0" w:color="auto"/>
            </w:tcBorders>
            <w:hideMark/>
          </w:tcPr>
          <w:p w14:paraId="17BFD13A" w14:textId="77777777" w:rsidR="009B75A0" w:rsidRPr="00851192" w:rsidRDefault="009B75A0" w:rsidP="00F27343">
            <w:pPr>
              <w:jc w:val="center"/>
              <w:rPr>
                <w:rFonts w:ascii="Arial" w:hAnsi="Arial" w:cs="Arial"/>
              </w:rPr>
            </w:pPr>
            <w:r w:rsidRPr="00851192">
              <w:rPr>
                <w:rFonts w:ascii="Arial" w:hAnsi="Arial" w:cs="Arial"/>
              </w:rPr>
              <w:t>Clarity on investment into technical support by global gambling operator</w:t>
            </w:r>
          </w:p>
        </w:tc>
        <w:tc>
          <w:tcPr>
            <w:tcW w:w="1794" w:type="dxa"/>
            <w:tcBorders>
              <w:top w:val="single" w:sz="4" w:space="0" w:color="auto"/>
              <w:left w:val="single" w:sz="4" w:space="0" w:color="auto"/>
              <w:bottom w:val="single" w:sz="4" w:space="0" w:color="auto"/>
              <w:right w:val="single" w:sz="4" w:space="0" w:color="auto"/>
            </w:tcBorders>
          </w:tcPr>
          <w:p w14:paraId="34CA5EA9" w14:textId="77777777" w:rsidR="009B75A0" w:rsidRPr="00851192" w:rsidRDefault="009B75A0" w:rsidP="00F27343">
            <w:pPr>
              <w:rPr>
                <w:rFonts w:ascii="Arial" w:hAnsi="Arial" w:cs="Arial"/>
              </w:rPr>
            </w:pPr>
          </w:p>
        </w:tc>
        <w:tc>
          <w:tcPr>
            <w:tcW w:w="919" w:type="dxa"/>
            <w:tcBorders>
              <w:top w:val="single" w:sz="4" w:space="0" w:color="auto"/>
              <w:left w:val="single" w:sz="4" w:space="0" w:color="auto"/>
              <w:bottom w:val="single" w:sz="4" w:space="0" w:color="auto"/>
              <w:right w:val="single" w:sz="4" w:space="0" w:color="auto"/>
            </w:tcBorders>
            <w:hideMark/>
          </w:tcPr>
          <w:p w14:paraId="529E42E6" w14:textId="77777777" w:rsidR="009B75A0" w:rsidRPr="00851192" w:rsidRDefault="009B75A0" w:rsidP="00F27343">
            <w:pPr>
              <w:jc w:val="center"/>
              <w:rPr>
                <w:rFonts w:ascii="Arial" w:hAnsi="Arial" w:cs="Arial"/>
              </w:rPr>
            </w:pPr>
            <w:r w:rsidRPr="00851192">
              <w:rPr>
                <w:rFonts w:ascii="Arial" w:hAnsi="Arial" w:cs="Arial"/>
              </w:rPr>
              <w:t>1</w:t>
            </w:r>
          </w:p>
        </w:tc>
        <w:tc>
          <w:tcPr>
            <w:tcW w:w="2668" w:type="dxa"/>
            <w:tcBorders>
              <w:top w:val="single" w:sz="4" w:space="0" w:color="auto"/>
              <w:left w:val="single" w:sz="4" w:space="0" w:color="auto"/>
              <w:bottom w:val="single" w:sz="4" w:space="0" w:color="auto"/>
              <w:right w:val="single" w:sz="4" w:space="0" w:color="auto"/>
            </w:tcBorders>
            <w:hideMark/>
          </w:tcPr>
          <w:p w14:paraId="1C7952AA" w14:textId="77777777" w:rsidR="009B75A0" w:rsidRPr="00851192" w:rsidRDefault="009B75A0" w:rsidP="00F27343">
            <w:pPr>
              <w:jc w:val="center"/>
              <w:rPr>
                <w:rFonts w:ascii="Arial" w:hAnsi="Arial" w:cs="Arial"/>
              </w:rPr>
            </w:pPr>
            <w:r w:rsidRPr="00851192">
              <w:rPr>
                <w:rFonts w:ascii="Arial" w:hAnsi="Arial" w:cs="Arial"/>
              </w:rPr>
              <w:t>Very High</w:t>
            </w:r>
          </w:p>
        </w:tc>
        <w:tc>
          <w:tcPr>
            <w:tcW w:w="2693" w:type="dxa"/>
            <w:tcBorders>
              <w:top w:val="single" w:sz="4" w:space="0" w:color="auto"/>
              <w:left w:val="single" w:sz="4" w:space="0" w:color="auto"/>
              <w:bottom w:val="single" w:sz="4" w:space="0" w:color="auto"/>
              <w:right w:val="single" w:sz="4" w:space="0" w:color="auto"/>
            </w:tcBorders>
            <w:hideMark/>
          </w:tcPr>
          <w:p w14:paraId="756506D1" w14:textId="77777777" w:rsidR="009B75A0" w:rsidRPr="00851192" w:rsidRDefault="009B75A0" w:rsidP="00F27343">
            <w:pPr>
              <w:rPr>
                <w:rFonts w:ascii="Arial" w:hAnsi="Arial" w:cs="Arial"/>
              </w:rPr>
            </w:pPr>
            <w:r w:rsidRPr="00851192">
              <w:rPr>
                <w:rFonts w:ascii="Arial" w:hAnsi="Arial" w:cs="Arial"/>
              </w:rPr>
              <w:t xml:space="preserve">Heavy investment into technical support has been implemented by Entertainment Gaming Asia </w:t>
            </w:r>
            <w:proofErr w:type="spellStart"/>
            <w:r w:rsidRPr="00851192">
              <w:rPr>
                <w:rFonts w:ascii="Arial" w:hAnsi="Arial" w:cs="Arial"/>
              </w:rPr>
              <w:t>Inc</w:t>
            </w:r>
            <w:proofErr w:type="spellEnd"/>
            <w:r w:rsidRPr="00851192">
              <w:rPr>
                <w:rFonts w:ascii="Arial" w:hAnsi="Arial" w:cs="Arial"/>
              </w:rPr>
              <w:t xml:space="preserve">, owner of Asia Gaming. Evidence of this is illustrated within annual reports and the business function is vital </w:t>
            </w:r>
            <w:r w:rsidRPr="00851192">
              <w:rPr>
                <w:rFonts w:ascii="Arial" w:hAnsi="Arial" w:cs="Arial"/>
              </w:rPr>
              <w:lastRenderedPageBreak/>
              <w:t>for the global gambling operator.</w:t>
            </w:r>
          </w:p>
        </w:tc>
      </w:tr>
    </w:tbl>
    <w:p w14:paraId="46C7D9B0" w14:textId="77777777" w:rsidR="009B75A0" w:rsidRPr="00851192" w:rsidRDefault="009B75A0" w:rsidP="0017796E">
      <w:pPr>
        <w:rPr>
          <w:rFonts w:ascii="Arial" w:hAnsi="Arial" w:cs="Arial"/>
          <w:lang w:val="en-US"/>
        </w:rPr>
      </w:pPr>
    </w:p>
    <w:p w14:paraId="08BFF783" w14:textId="09EC9C9E" w:rsidR="009B75A0" w:rsidRPr="00851192" w:rsidRDefault="009B75A0" w:rsidP="009B75A0">
      <w:pPr>
        <w:jc w:val="center"/>
        <w:rPr>
          <w:rFonts w:ascii="Arial" w:hAnsi="Arial" w:cs="Arial"/>
        </w:rPr>
      </w:pPr>
      <w:r w:rsidRPr="00851192">
        <w:rPr>
          <w:rFonts w:ascii="Arial" w:hAnsi="Arial" w:cs="Arial"/>
          <w:b/>
        </w:rPr>
        <w:t xml:space="preserve">Table </w:t>
      </w:r>
      <w:r w:rsidR="005E3EE2" w:rsidRPr="00851192">
        <w:rPr>
          <w:rFonts w:ascii="Arial" w:hAnsi="Arial" w:cs="Arial"/>
          <w:b/>
        </w:rPr>
        <w:t>7</w:t>
      </w:r>
      <w:r w:rsidRPr="00851192">
        <w:rPr>
          <w:rFonts w:ascii="Arial" w:hAnsi="Arial" w:cs="Arial"/>
          <w:b/>
        </w:rPr>
        <w:t>.</w:t>
      </w:r>
      <w:r w:rsidR="009E5260" w:rsidRPr="00851192">
        <w:rPr>
          <w:rFonts w:ascii="Arial" w:hAnsi="Arial" w:cs="Arial"/>
          <w:b/>
        </w:rPr>
        <w:t>7</w:t>
      </w:r>
      <w:r w:rsidRPr="00851192">
        <w:rPr>
          <w:rFonts w:ascii="Arial" w:hAnsi="Arial" w:cs="Arial"/>
        </w:rPr>
        <w:t xml:space="preserve"> Global Gambling Operators and Promotional Gambling Advertisement</w:t>
      </w:r>
    </w:p>
    <w:p w14:paraId="47871469" w14:textId="79CE204A" w:rsidR="009B75A0" w:rsidRPr="00851192" w:rsidRDefault="009B75A0" w:rsidP="009B75A0">
      <w:pPr>
        <w:jc w:val="center"/>
        <w:rPr>
          <w:rFonts w:ascii="Arial" w:hAnsi="Arial" w:cs="Arial"/>
        </w:rPr>
      </w:pPr>
      <w:r w:rsidRPr="00851192">
        <w:rPr>
          <w:rFonts w:ascii="Arial" w:hAnsi="Arial" w:cs="Arial"/>
        </w:rPr>
        <w:t>B</w:t>
      </w:r>
      <w:r w:rsidR="00682E18" w:rsidRPr="00851192">
        <w:rPr>
          <w:rFonts w:ascii="Arial" w:hAnsi="Arial" w:cs="Arial"/>
        </w:rPr>
        <w:t>et</w:t>
      </w:r>
      <w:r w:rsidRPr="00851192">
        <w:rPr>
          <w:rFonts w:ascii="Arial" w:hAnsi="Arial" w:cs="Arial"/>
        </w:rPr>
        <w:t>365</w:t>
      </w:r>
    </w:p>
    <w:tbl>
      <w:tblPr>
        <w:tblStyle w:val="TableGrid"/>
        <w:tblW w:w="9918" w:type="dxa"/>
        <w:tblLook w:val="04A0" w:firstRow="1" w:lastRow="0" w:firstColumn="1" w:lastColumn="0" w:noHBand="0" w:noVBand="1"/>
      </w:tblPr>
      <w:tblGrid>
        <w:gridCol w:w="1803"/>
        <w:gridCol w:w="1785"/>
        <w:gridCol w:w="975"/>
        <w:gridCol w:w="2666"/>
        <w:gridCol w:w="2689"/>
      </w:tblGrid>
      <w:tr w:rsidR="009B75A0" w:rsidRPr="00851192" w14:paraId="2C99F2DE" w14:textId="77777777" w:rsidTr="00F27343">
        <w:trPr>
          <w:trHeight w:val="986"/>
        </w:trPr>
        <w:tc>
          <w:tcPr>
            <w:tcW w:w="1803" w:type="dxa"/>
            <w:tcBorders>
              <w:top w:val="single" w:sz="4" w:space="0" w:color="auto"/>
              <w:left w:val="single" w:sz="4" w:space="0" w:color="auto"/>
              <w:bottom w:val="single" w:sz="4" w:space="0" w:color="auto"/>
              <w:right w:val="single" w:sz="4" w:space="0" w:color="auto"/>
            </w:tcBorders>
            <w:hideMark/>
          </w:tcPr>
          <w:p w14:paraId="2426E659" w14:textId="77777777" w:rsidR="009B75A0" w:rsidRPr="00851192" w:rsidRDefault="009B75A0" w:rsidP="00F27343">
            <w:pPr>
              <w:jc w:val="center"/>
              <w:rPr>
                <w:rFonts w:ascii="Arial" w:hAnsi="Arial" w:cs="Arial"/>
              </w:rPr>
            </w:pPr>
            <w:r w:rsidRPr="00851192">
              <w:rPr>
                <w:rFonts w:ascii="Arial" w:hAnsi="Arial" w:cs="Arial"/>
              </w:rPr>
              <w:t>Categories</w:t>
            </w:r>
          </w:p>
        </w:tc>
        <w:tc>
          <w:tcPr>
            <w:tcW w:w="1803" w:type="dxa"/>
            <w:tcBorders>
              <w:top w:val="single" w:sz="4" w:space="0" w:color="auto"/>
              <w:left w:val="single" w:sz="4" w:space="0" w:color="auto"/>
              <w:bottom w:val="single" w:sz="4" w:space="0" w:color="auto"/>
              <w:right w:val="single" w:sz="4" w:space="0" w:color="auto"/>
            </w:tcBorders>
            <w:hideMark/>
          </w:tcPr>
          <w:p w14:paraId="035FB4E2" w14:textId="77777777" w:rsidR="009B75A0" w:rsidRPr="00851192" w:rsidRDefault="009B75A0" w:rsidP="00F27343">
            <w:pPr>
              <w:jc w:val="center"/>
              <w:rPr>
                <w:rFonts w:ascii="Arial" w:hAnsi="Arial" w:cs="Arial"/>
                <w:b/>
              </w:rPr>
            </w:pPr>
            <w:r w:rsidRPr="00851192">
              <w:rPr>
                <w:rFonts w:ascii="Segoe UI Symbol" w:hAnsi="Segoe UI Symbol" w:cs="Segoe UI Symbol"/>
                <w:b/>
                <w:shd w:val="clear" w:color="auto" w:fill="FFFFFF"/>
              </w:rPr>
              <w:t>✓</w:t>
            </w:r>
            <w:r w:rsidRPr="00851192">
              <w:rPr>
                <w:rFonts w:ascii="Arial" w:hAnsi="Arial" w:cs="Arial"/>
                <w:b/>
                <w:shd w:val="clear" w:color="auto" w:fill="FFFFFF"/>
              </w:rPr>
              <w:t xml:space="preserve"> / </w:t>
            </w: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hideMark/>
          </w:tcPr>
          <w:p w14:paraId="09AAFFB2" w14:textId="77777777" w:rsidR="009B75A0" w:rsidRPr="00851192" w:rsidRDefault="009B75A0" w:rsidP="00F27343">
            <w:pPr>
              <w:jc w:val="center"/>
              <w:rPr>
                <w:rFonts w:ascii="Arial" w:hAnsi="Arial" w:cs="Arial"/>
              </w:rPr>
            </w:pPr>
            <w:r w:rsidRPr="00851192">
              <w:rPr>
                <w:rFonts w:ascii="Arial" w:hAnsi="Arial" w:cs="Arial"/>
              </w:rPr>
              <w:t>Present or Not Present</w:t>
            </w:r>
          </w:p>
        </w:tc>
        <w:tc>
          <w:tcPr>
            <w:tcW w:w="2681" w:type="dxa"/>
            <w:tcBorders>
              <w:top w:val="single" w:sz="4" w:space="0" w:color="auto"/>
              <w:left w:val="single" w:sz="4" w:space="0" w:color="auto"/>
              <w:bottom w:val="single" w:sz="4" w:space="0" w:color="auto"/>
              <w:right w:val="single" w:sz="4" w:space="0" w:color="auto"/>
            </w:tcBorders>
            <w:hideMark/>
          </w:tcPr>
          <w:p w14:paraId="00200EFC" w14:textId="77777777" w:rsidR="009B75A0" w:rsidRPr="00851192" w:rsidRDefault="009B75A0" w:rsidP="00F27343">
            <w:pPr>
              <w:jc w:val="center"/>
              <w:rPr>
                <w:rFonts w:ascii="Arial" w:hAnsi="Arial" w:cs="Arial"/>
              </w:rPr>
            </w:pPr>
            <w:r w:rsidRPr="00851192">
              <w:rPr>
                <w:rFonts w:ascii="Arial" w:hAnsi="Arial" w:cs="Arial"/>
              </w:rPr>
              <w:t>Researchers rating for clear information</w:t>
            </w:r>
          </w:p>
        </w:tc>
        <w:tc>
          <w:tcPr>
            <w:tcW w:w="2706" w:type="dxa"/>
            <w:tcBorders>
              <w:top w:val="single" w:sz="4" w:space="0" w:color="auto"/>
              <w:left w:val="single" w:sz="4" w:space="0" w:color="auto"/>
              <w:bottom w:val="single" w:sz="4" w:space="0" w:color="auto"/>
              <w:right w:val="single" w:sz="4" w:space="0" w:color="auto"/>
            </w:tcBorders>
            <w:hideMark/>
          </w:tcPr>
          <w:p w14:paraId="68EB7950" w14:textId="77777777" w:rsidR="009B75A0" w:rsidRPr="00851192" w:rsidRDefault="009B75A0" w:rsidP="00F27343">
            <w:pPr>
              <w:jc w:val="center"/>
              <w:rPr>
                <w:rFonts w:ascii="Arial" w:hAnsi="Arial" w:cs="Arial"/>
              </w:rPr>
            </w:pPr>
            <w:r w:rsidRPr="00851192">
              <w:rPr>
                <w:rFonts w:ascii="Arial" w:hAnsi="Arial" w:cs="Arial"/>
              </w:rPr>
              <w:t>Additional Comments</w:t>
            </w:r>
          </w:p>
        </w:tc>
      </w:tr>
      <w:tr w:rsidR="009B75A0" w:rsidRPr="00851192" w14:paraId="4E5F204F"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2906F9BA" w14:textId="77777777" w:rsidR="009B75A0" w:rsidRPr="00851192" w:rsidRDefault="009B75A0" w:rsidP="00F27343">
            <w:pPr>
              <w:jc w:val="center"/>
              <w:rPr>
                <w:rFonts w:ascii="Arial" w:hAnsi="Arial" w:cs="Arial"/>
                <w:b/>
              </w:rPr>
            </w:pPr>
            <w:r w:rsidRPr="00851192">
              <w:rPr>
                <w:rFonts w:ascii="Arial" w:hAnsi="Arial" w:cs="Arial"/>
                <w:b/>
              </w:rPr>
              <w:t>Promotional Gambling Advertisement</w:t>
            </w:r>
          </w:p>
        </w:tc>
        <w:tc>
          <w:tcPr>
            <w:tcW w:w="1803" w:type="dxa"/>
            <w:tcBorders>
              <w:top w:val="single" w:sz="4" w:space="0" w:color="auto"/>
              <w:left w:val="single" w:sz="4" w:space="0" w:color="auto"/>
              <w:bottom w:val="single" w:sz="4" w:space="0" w:color="auto"/>
              <w:right w:val="single" w:sz="4" w:space="0" w:color="auto"/>
            </w:tcBorders>
            <w:hideMark/>
          </w:tcPr>
          <w:p w14:paraId="0BA72E90"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tcPr>
          <w:p w14:paraId="27B2038F" w14:textId="77777777" w:rsidR="009B75A0" w:rsidRPr="00851192" w:rsidRDefault="009B75A0" w:rsidP="00F27343">
            <w:pPr>
              <w:rPr>
                <w:rFonts w:ascii="Arial" w:hAnsi="Arial" w:cs="Arial"/>
              </w:rPr>
            </w:pPr>
          </w:p>
        </w:tc>
        <w:tc>
          <w:tcPr>
            <w:tcW w:w="2681" w:type="dxa"/>
            <w:tcBorders>
              <w:top w:val="single" w:sz="4" w:space="0" w:color="auto"/>
              <w:left w:val="single" w:sz="4" w:space="0" w:color="auto"/>
              <w:bottom w:val="single" w:sz="4" w:space="0" w:color="auto"/>
              <w:right w:val="single" w:sz="4" w:space="0" w:color="auto"/>
            </w:tcBorders>
          </w:tcPr>
          <w:p w14:paraId="733F5618" w14:textId="77777777" w:rsidR="009B75A0" w:rsidRPr="00851192" w:rsidRDefault="009B75A0" w:rsidP="00F27343">
            <w:pPr>
              <w:rPr>
                <w:rFonts w:ascii="Arial" w:hAnsi="Arial" w:cs="Arial"/>
              </w:rPr>
            </w:pPr>
          </w:p>
        </w:tc>
        <w:tc>
          <w:tcPr>
            <w:tcW w:w="2706" w:type="dxa"/>
            <w:tcBorders>
              <w:top w:val="single" w:sz="4" w:space="0" w:color="auto"/>
              <w:left w:val="single" w:sz="4" w:space="0" w:color="auto"/>
              <w:bottom w:val="single" w:sz="4" w:space="0" w:color="auto"/>
              <w:right w:val="single" w:sz="4" w:space="0" w:color="auto"/>
            </w:tcBorders>
          </w:tcPr>
          <w:p w14:paraId="5FD6CC0E" w14:textId="77777777" w:rsidR="009B75A0" w:rsidRPr="00851192" w:rsidRDefault="009B75A0" w:rsidP="00F27343">
            <w:pPr>
              <w:rPr>
                <w:rFonts w:ascii="Arial" w:hAnsi="Arial" w:cs="Arial"/>
              </w:rPr>
            </w:pPr>
          </w:p>
        </w:tc>
      </w:tr>
      <w:tr w:rsidR="009B75A0" w:rsidRPr="00851192" w14:paraId="372B313A"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32674DC4" w14:textId="77777777" w:rsidR="009B75A0" w:rsidRPr="00851192" w:rsidRDefault="009B75A0" w:rsidP="00F27343">
            <w:pPr>
              <w:jc w:val="center"/>
              <w:rPr>
                <w:rFonts w:ascii="Arial" w:hAnsi="Arial" w:cs="Arial"/>
              </w:rPr>
            </w:pPr>
            <w:r w:rsidRPr="00851192">
              <w:rPr>
                <w:rFonts w:ascii="Arial" w:hAnsi="Arial" w:cs="Arial"/>
              </w:rPr>
              <w:t>Online Marketing</w:t>
            </w:r>
          </w:p>
        </w:tc>
        <w:tc>
          <w:tcPr>
            <w:tcW w:w="1803" w:type="dxa"/>
            <w:tcBorders>
              <w:top w:val="single" w:sz="4" w:space="0" w:color="auto"/>
              <w:left w:val="single" w:sz="4" w:space="0" w:color="auto"/>
              <w:bottom w:val="single" w:sz="4" w:space="0" w:color="auto"/>
              <w:right w:val="single" w:sz="4" w:space="0" w:color="auto"/>
            </w:tcBorders>
          </w:tcPr>
          <w:p w14:paraId="401F3497" w14:textId="77777777" w:rsidR="009B75A0" w:rsidRPr="00851192" w:rsidRDefault="009B75A0"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08315D46" w14:textId="77777777" w:rsidR="009B75A0" w:rsidRPr="00851192" w:rsidRDefault="009B75A0" w:rsidP="00F27343">
            <w:pPr>
              <w:jc w:val="center"/>
              <w:rPr>
                <w:rFonts w:ascii="Arial" w:hAnsi="Arial" w:cs="Arial"/>
              </w:rPr>
            </w:pPr>
            <w:r w:rsidRPr="00851192">
              <w:rPr>
                <w:rFonts w:ascii="Arial" w:hAnsi="Arial" w:cs="Arial"/>
              </w:rPr>
              <w:t>1</w:t>
            </w:r>
          </w:p>
        </w:tc>
        <w:tc>
          <w:tcPr>
            <w:tcW w:w="2681" w:type="dxa"/>
            <w:tcBorders>
              <w:top w:val="single" w:sz="4" w:space="0" w:color="auto"/>
              <w:left w:val="single" w:sz="4" w:space="0" w:color="auto"/>
              <w:bottom w:val="single" w:sz="4" w:space="0" w:color="auto"/>
              <w:right w:val="single" w:sz="4" w:space="0" w:color="auto"/>
            </w:tcBorders>
            <w:hideMark/>
          </w:tcPr>
          <w:p w14:paraId="68D406CA" w14:textId="77777777" w:rsidR="009B75A0" w:rsidRPr="00851192" w:rsidRDefault="009B75A0" w:rsidP="00F27343">
            <w:pPr>
              <w:jc w:val="center"/>
              <w:rPr>
                <w:rFonts w:ascii="Arial" w:hAnsi="Arial" w:cs="Arial"/>
              </w:rPr>
            </w:pPr>
            <w:r w:rsidRPr="00851192">
              <w:rPr>
                <w:rFonts w:ascii="Arial" w:hAnsi="Arial" w:cs="Arial"/>
              </w:rPr>
              <w:t>High</w:t>
            </w:r>
          </w:p>
        </w:tc>
        <w:tc>
          <w:tcPr>
            <w:tcW w:w="2706" w:type="dxa"/>
            <w:tcBorders>
              <w:top w:val="single" w:sz="4" w:space="0" w:color="auto"/>
              <w:left w:val="single" w:sz="4" w:space="0" w:color="auto"/>
              <w:bottom w:val="single" w:sz="4" w:space="0" w:color="auto"/>
              <w:right w:val="single" w:sz="4" w:space="0" w:color="auto"/>
            </w:tcBorders>
            <w:hideMark/>
          </w:tcPr>
          <w:p w14:paraId="291574B6" w14:textId="77777777" w:rsidR="009B75A0" w:rsidRPr="00851192" w:rsidRDefault="009B75A0" w:rsidP="00F27343">
            <w:pPr>
              <w:rPr>
                <w:rFonts w:ascii="Arial" w:hAnsi="Arial" w:cs="Arial"/>
              </w:rPr>
            </w:pPr>
            <w:r w:rsidRPr="00851192">
              <w:rPr>
                <w:rFonts w:ascii="Arial" w:hAnsi="Arial" w:cs="Arial"/>
              </w:rPr>
              <w:t>The global gambling operator market promotional offers across the internet. They are discovered on third party websites such as ‘</w:t>
            </w:r>
            <w:r w:rsidRPr="00851192">
              <w:rPr>
                <w:rFonts w:ascii="Arial" w:hAnsi="Arial" w:cs="Arial"/>
                <w:i/>
              </w:rPr>
              <w:t>flash scores’</w:t>
            </w:r>
            <w:r w:rsidRPr="00851192">
              <w:rPr>
                <w:rFonts w:ascii="Arial" w:hAnsi="Arial" w:cs="Arial"/>
              </w:rPr>
              <w:t xml:space="preserve"> and other sport news apps. The level of marketing is highly impactful on users and potential consumers to encourage gambling. </w:t>
            </w:r>
          </w:p>
        </w:tc>
      </w:tr>
      <w:tr w:rsidR="009B75A0" w:rsidRPr="00851192" w14:paraId="0E4BF46E"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0F0C4003" w14:textId="77777777" w:rsidR="009B75A0" w:rsidRPr="00851192" w:rsidRDefault="009B75A0" w:rsidP="00F27343">
            <w:pPr>
              <w:jc w:val="center"/>
              <w:rPr>
                <w:rFonts w:ascii="Arial" w:hAnsi="Arial" w:cs="Arial"/>
              </w:rPr>
            </w:pPr>
            <w:r w:rsidRPr="00851192">
              <w:rPr>
                <w:rFonts w:ascii="Arial" w:hAnsi="Arial" w:cs="Arial"/>
              </w:rPr>
              <w:t>Media Marketing (The use of video media)</w:t>
            </w:r>
          </w:p>
        </w:tc>
        <w:tc>
          <w:tcPr>
            <w:tcW w:w="1803" w:type="dxa"/>
            <w:tcBorders>
              <w:top w:val="single" w:sz="4" w:space="0" w:color="auto"/>
              <w:left w:val="single" w:sz="4" w:space="0" w:color="auto"/>
              <w:bottom w:val="single" w:sz="4" w:space="0" w:color="auto"/>
              <w:right w:val="single" w:sz="4" w:space="0" w:color="auto"/>
            </w:tcBorders>
          </w:tcPr>
          <w:p w14:paraId="64006092" w14:textId="77777777" w:rsidR="009B75A0" w:rsidRPr="00851192" w:rsidRDefault="009B75A0"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7D85A4B1" w14:textId="77777777" w:rsidR="009B75A0" w:rsidRPr="00851192" w:rsidRDefault="009B75A0" w:rsidP="00F27343">
            <w:pPr>
              <w:jc w:val="center"/>
              <w:rPr>
                <w:rFonts w:ascii="Arial" w:hAnsi="Arial" w:cs="Arial"/>
              </w:rPr>
            </w:pPr>
            <w:r w:rsidRPr="00851192">
              <w:rPr>
                <w:rFonts w:ascii="Arial" w:hAnsi="Arial" w:cs="Arial"/>
              </w:rPr>
              <w:t>1</w:t>
            </w:r>
          </w:p>
        </w:tc>
        <w:tc>
          <w:tcPr>
            <w:tcW w:w="2681" w:type="dxa"/>
            <w:tcBorders>
              <w:top w:val="single" w:sz="4" w:space="0" w:color="auto"/>
              <w:left w:val="single" w:sz="4" w:space="0" w:color="auto"/>
              <w:bottom w:val="single" w:sz="4" w:space="0" w:color="auto"/>
              <w:right w:val="single" w:sz="4" w:space="0" w:color="auto"/>
            </w:tcBorders>
            <w:hideMark/>
          </w:tcPr>
          <w:p w14:paraId="0B0C0A79" w14:textId="77777777" w:rsidR="009B75A0" w:rsidRPr="00851192" w:rsidRDefault="009B75A0" w:rsidP="00F27343">
            <w:pPr>
              <w:jc w:val="center"/>
              <w:rPr>
                <w:rFonts w:ascii="Arial" w:hAnsi="Arial" w:cs="Arial"/>
              </w:rPr>
            </w:pPr>
            <w:r w:rsidRPr="00851192">
              <w:rPr>
                <w:rFonts w:ascii="Arial" w:hAnsi="Arial" w:cs="Arial"/>
              </w:rPr>
              <w:t>High</w:t>
            </w:r>
          </w:p>
        </w:tc>
        <w:tc>
          <w:tcPr>
            <w:tcW w:w="2706" w:type="dxa"/>
            <w:tcBorders>
              <w:top w:val="single" w:sz="4" w:space="0" w:color="auto"/>
              <w:left w:val="single" w:sz="4" w:space="0" w:color="auto"/>
              <w:bottom w:val="single" w:sz="4" w:space="0" w:color="auto"/>
              <w:right w:val="single" w:sz="4" w:space="0" w:color="auto"/>
            </w:tcBorders>
            <w:hideMark/>
          </w:tcPr>
          <w:p w14:paraId="67FA7449" w14:textId="77777777" w:rsidR="009B75A0" w:rsidRPr="00851192" w:rsidRDefault="009B75A0" w:rsidP="00F27343">
            <w:pPr>
              <w:rPr>
                <w:rFonts w:ascii="Arial" w:hAnsi="Arial" w:cs="Arial"/>
              </w:rPr>
            </w:pPr>
            <w:r w:rsidRPr="00851192">
              <w:rPr>
                <w:rFonts w:ascii="Arial" w:hAnsi="Arial" w:cs="Arial"/>
              </w:rPr>
              <w:t xml:space="preserve">BET 365 Televise promotional gambling. Further to this, the global gambling operator also use video footage on social media websites. </w:t>
            </w:r>
          </w:p>
        </w:tc>
      </w:tr>
    </w:tbl>
    <w:p w14:paraId="12ECE69F" w14:textId="77777777" w:rsidR="009B75A0" w:rsidRPr="00851192" w:rsidRDefault="009B75A0" w:rsidP="009B75A0">
      <w:pPr>
        <w:jc w:val="center"/>
        <w:rPr>
          <w:rFonts w:ascii="Arial" w:hAnsi="Arial" w:cs="Arial"/>
        </w:rPr>
      </w:pPr>
    </w:p>
    <w:p w14:paraId="25582041" w14:textId="77777777" w:rsidR="009B75A0" w:rsidRPr="00851192" w:rsidRDefault="009B75A0" w:rsidP="009B75A0">
      <w:pPr>
        <w:jc w:val="center"/>
        <w:rPr>
          <w:rFonts w:ascii="Arial" w:hAnsi="Arial" w:cs="Arial"/>
        </w:rPr>
      </w:pPr>
      <w:proofErr w:type="spellStart"/>
      <w:r w:rsidRPr="00851192">
        <w:rPr>
          <w:rFonts w:ascii="Arial" w:hAnsi="Arial" w:cs="Arial"/>
        </w:rPr>
        <w:t>Bwin</w:t>
      </w:r>
      <w:proofErr w:type="spellEnd"/>
    </w:p>
    <w:tbl>
      <w:tblPr>
        <w:tblStyle w:val="TableGrid"/>
        <w:tblW w:w="9918" w:type="dxa"/>
        <w:tblLook w:val="04A0" w:firstRow="1" w:lastRow="0" w:firstColumn="1" w:lastColumn="0" w:noHBand="0" w:noVBand="1"/>
      </w:tblPr>
      <w:tblGrid>
        <w:gridCol w:w="1803"/>
        <w:gridCol w:w="1785"/>
        <w:gridCol w:w="975"/>
        <w:gridCol w:w="2666"/>
        <w:gridCol w:w="2689"/>
      </w:tblGrid>
      <w:tr w:rsidR="009B75A0" w:rsidRPr="00851192" w14:paraId="344A01E9" w14:textId="77777777" w:rsidTr="00F27343">
        <w:trPr>
          <w:trHeight w:val="986"/>
        </w:trPr>
        <w:tc>
          <w:tcPr>
            <w:tcW w:w="1803" w:type="dxa"/>
            <w:tcBorders>
              <w:top w:val="single" w:sz="4" w:space="0" w:color="auto"/>
              <w:left w:val="single" w:sz="4" w:space="0" w:color="auto"/>
              <w:bottom w:val="single" w:sz="4" w:space="0" w:color="auto"/>
              <w:right w:val="single" w:sz="4" w:space="0" w:color="auto"/>
            </w:tcBorders>
            <w:hideMark/>
          </w:tcPr>
          <w:p w14:paraId="40DA23D2" w14:textId="77777777" w:rsidR="009B75A0" w:rsidRPr="00851192" w:rsidRDefault="009B75A0" w:rsidP="00F27343">
            <w:pPr>
              <w:jc w:val="center"/>
              <w:rPr>
                <w:rFonts w:ascii="Arial" w:hAnsi="Arial" w:cs="Arial"/>
              </w:rPr>
            </w:pPr>
            <w:r w:rsidRPr="00851192">
              <w:rPr>
                <w:rFonts w:ascii="Arial" w:hAnsi="Arial" w:cs="Arial"/>
              </w:rPr>
              <w:t>Categories</w:t>
            </w:r>
          </w:p>
        </w:tc>
        <w:tc>
          <w:tcPr>
            <w:tcW w:w="1803" w:type="dxa"/>
            <w:tcBorders>
              <w:top w:val="single" w:sz="4" w:space="0" w:color="auto"/>
              <w:left w:val="single" w:sz="4" w:space="0" w:color="auto"/>
              <w:bottom w:val="single" w:sz="4" w:space="0" w:color="auto"/>
              <w:right w:val="single" w:sz="4" w:space="0" w:color="auto"/>
            </w:tcBorders>
            <w:hideMark/>
          </w:tcPr>
          <w:p w14:paraId="0B9D10B3" w14:textId="77777777" w:rsidR="009B75A0" w:rsidRPr="00851192" w:rsidRDefault="009B75A0" w:rsidP="00F27343">
            <w:pPr>
              <w:jc w:val="center"/>
              <w:rPr>
                <w:rFonts w:ascii="Arial" w:hAnsi="Arial" w:cs="Arial"/>
                <w:b/>
              </w:rPr>
            </w:pPr>
            <w:r w:rsidRPr="00851192">
              <w:rPr>
                <w:rFonts w:ascii="Segoe UI Symbol" w:hAnsi="Segoe UI Symbol" w:cs="Segoe UI Symbol"/>
                <w:b/>
                <w:shd w:val="clear" w:color="auto" w:fill="FFFFFF"/>
              </w:rPr>
              <w:t>✓</w:t>
            </w:r>
            <w:r w:rsidRPr="00851192">
              <w:rPr>
                <w:rFonts w:ascii="Arial" w:hAnsi="Arial" w:cs="Arial"/>
                <w:b/>
                <w:shd w:val="clear" w:color="auto" w:fill="FFFFFF"/>
              </w:rPr>
              <w:t xml:space="preserve"> / </w:t>
            </w: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hideMark/>
          </w:tcPr>
          <w:p w14:paraId="23965B9A" w14:textId="77777777" w:rsidR="009B75A0" w:rsidRPr="00851192" w:rsidRDefault="009B75A0" w:rsidP="00F27343">
            <w:pPr>
              <w:jc w:val="center"/>
              <w:rPr>
                <w:rFonts w:ascii="Arial" w:hAnsi="Arial" w:cs="Arial"/>
              </w:rPr>
            </w:pPr>
            <w:r w:rsidRPr="00851192">
              <w:rPr>
                <w:rFonts w:ascii="Arial" w:hAnsi="Arial" w:cs="Arial"/>
              </w:rPr>
              <w:t>Present or Not Present</w:t>
            </w:r>
          </w:p>
        </w:tc>
        <w:tc>
          <w:tcPr>
            <w:tcW w:w="2681" w:type="dxa"/>
            <w:tcBorders>
              <w:top w:val="single" w:sz="4" w:space="0" w:color="auto"/>
              <w:left w:val="single" w:sz="4" w:space="0" w:color="auto"/>
              <w:bottom w:val="single" w:sz="4" w:space="0" w:color="auto"/>
              <w:right w:val="single" w:sz="4" w:space="0" w:color="auto"/>
            </w:tcBorders>
            <w:hideMark/>
          </w:tcPr>
          <w:p w14:paraId="5A44DBBD" w14:textId="77777777" w:rsidR="009B75A0" w:rsidRPr="00851192" w:rsidRDefault="009B75A0" w:rsidP="00F27343">
            <w:pPr>
              <w:jc w:val="center"/>
              <w:rPr>
                <w:rFonts w:ascii="Arial" w:hAnsi="Arial" w:cs="Arial"/>
              </w:rPr>
            </w:pPr>
            <w:r w:rsidRPr="00851192">
              <w:rPr>
                <w:rFonts w:ascii="Arial" w:hAnsi="Arial" w:cs="Arial"/>
              </w:rPr>
              <w:t>Researchers rating for clear information</w:t>
            </w:r>
          </w:p>
        </w:tc>
        <w:tc>
          <w:tcPr>
            <w:tcW w:w="2706" w:type="dxa"/>
            <w:tcBorders>
              <w:top w:val="single" w:sz="4" w:space="0" w:color="auto"/>
              <w:left w:val="single" w:sz="4" w:space="0" w:color="auto"/>
              <w:bottom w:val="single" w:sz="4" w:space="0" w:color="auto"/>
              <w:right w:val="single" w:sz="4" w:space="0" w:color="auto"/>
            </w:tcBorders>
            <w:hideMark/>
          </w:tcPr>
          <w:p w14:paraId="1EAED5BA" w14:textId="77777777" w:rsidR="009B75A0" w:rsidRPr="00851192" w:rsidRDefault="009B75A0" w:rsidP="00F27343">
            <w:pPr>
              <w:jc w:val="center"/>
              <w:rPr>
                <w:rFonts w:ascii="Arial" w:hAnsi="Arial" w:cs="Arial"/>
              </w:rPr>
            </w:pPr>
            <w:r w:rsidRPr="00851192">
              <w:rPr>
                <w:rFonts w:ascii="Arial" w:hAnsi="Arial" w:cs="Arial"/>
              </w:rPr>
              <w:t>Additional Comments</w:t>
            </w:r>
          </w:p>
        </w:tc>
      </w:tr>
      <w:tr w:rsidR="009B75A0" w:rsidRPr="00851192" w14:paraId="17D6E3E3"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16380A1C" w14:textId="77777777" w:rsidR="009B75A0" w:rsidRPr="00851192" w:rsidRDefault="009B75A0" w:rsidP="00F27343">
            <w:pPr>
              <w:jc w:val="center"/>
              <w:rPr>
                <w:rFonts w:ascii="Arial" w:hAnsi="Arial" w:cs="Arial"/>
                <w:b/>
              </w:rPr>
            </w:pPr>
            <w:r w:rsidRPr="00851192">
              <w:rPr>
                <w:rFonts w:ascii="Arial" w:hAnsi="Arial" w:cs="Arial"/>
                <w:b/>
              </w:rPr>
              <w:t>Promotional Gambling Advertisement</w:t>
            </w:r>
          </w:p>
        </w:tc>
        <w:tc>
          <w:tcPr>
            <w:tcW w:w="1803" w:type="dxa"/>
            <w:tcBorders>
              <w:top w:val="single" w:sz="4" w:space="0" w:color="auto"/>
              <w:left w:val="single" w:sz="4" w:space="0" w:color="auto"/>
              <w:bottom w:val="single" w:sz="4" w:space="0" w:color="auto"/>
              <w:right w:val="single" w:sz="4" w:space="0" w:color="auto"/>
            </w:tcBorders>
            <w:hideMark/>
          </w:tcPr>
          <w:p w14:paraId="7EE88C11"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tcPr>
          <w:p w14:paraId="3A525559" w14:textId="77777777" w:rsidR="009B75A0" w:rsidRPr="00851192" w:rsidRDefault="009B75A0" w:rsidP="00F27343">
            <w:pPr>
              <w:rPr>
                <w:rFonts w:ascii="Arial" w:hAnsi="Arial" w:cs="Arial"/>
              </w:rPr>
            </w:pPr>
          </w:p>
        </w:tc>
        <w:tc>
          <w:tcPr>
            <w:tcW w:w="2681" w:type="dxa"/>
            <w:tcBorders>
              <w:top w:val="single" w:sz="4" w:space="0" w:color="auto"/>
              <w:left w:val="single" w:sz="4" w:space="0" w:color="auto"/>
              <w:bottom w:val="single" w:sz="4" w:space="0" w:color="auto"/>
              <w:right w:val="single" w:sz="4" w:space="0" w:color="auto"/>
            </w:tcBorders>
          </w:tcPr>
          <w:p w14:paraId="03A103D6" w14:textId="77777777" w:rsidR="009B75A0" w:rsidRPr="00851192" w:rsidRDefault="009B75A0" w:rsidP="00F27343">
            <w:pPr>
              <w:rPr>
                <w:rFonts w:ascii="Arial" w:hAnsi="Arial" w:cs="Arial"/>
              </w:rPr>
            </w:pPr>
          </w:p>
        </w:tc>
        <w:tc>
          <w:tcPr>
            <w:tcW w:w="2706" w:type="dxa"/>
            <w:tcBorders>
              <w:top w:val="single" w:sz="4" w:space="0" w:color="auto"/>
              <w:left w:val="single" w:sz="4" w:space="0" w:color="auto"/>
              <w:bottom w:val="single" w:sz="4" w:space="0" w:color="auto"/>
              <w:right w:val="single" w:sz="4" w:space="0" w:color="auto"/>
            </w:tcBorders>
          </w:tcPr>
          <w:p w14:paraId="531CEDAD" w14:textId="77777777" w:rsidR="009B75A0" w:rsidRPr="00851192" w:rsidRDefault="009B75A0" w:rsidP="00F27343">
            <w:pPr>
              <w:rPr>
                <w:rFonts w:ascii="Arial" w:hAnsi="Arial" w:cs="Arial"/>
              </w:rPr>
            </w:pPr>
          </w:p>
        </w:tc>
      </w:tr>
      <w:tr w:rsidR="009B75A0" w:rsidRPr="00851192" w14:paraId="78880015"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29F12D5E" w14:textId="77777777" w:rsidR="009B75A0" w:rsidRPr="00851192" w:rsidRDefault="009B75A0" w:rsidP="00F27343">
            <w:pPr>
              <w:jc w:val="center"/>
              <w:rPr>
                <w:rFonts w:ascii="Arial" w:hAnsi="Arial" w:cs="Arial"/>
              </w:rPr>
            </w:pPr>
            <w:r w:rsidRPr="00851192">
              <w:rPr>
                <w:rFonts w:ascii="Arial" w:hAnsi="Arial" w:cs="Arial"/>
              </w:rPr>
              <w:t>Online Marketing</w:t>
            </w:r>
          </w:p>
        </w:tc>
        <w:tc>
          <w:tcPr>
            <w:tcW w:w="1803" w:type="dxa"/>
            <w:tcBorders>
              <w:top w:val="single" w:sz="4" w:space="0" w:color="auto"/>
              <w:left w:val="single" w:sz="4" w:space="0" w:color="auto"/>
              <w:bottom w:val="single" w:sz="4" w:space="0" w:color="auto"/>
              <w:right w:val="single" w:sz="4" w:space="0" w:color="auto"/>
            </w:tcBorders>
          </w:tcPr>
          <w:p w14:paraId="246647F1" w14:textId="77777777" w:rsidR="009B75A0" w:rsidRPr="00851192" w:rsidRDefault="009B75A0"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02E2A566" w14:textId="77777777" w:rsidR="009B75A0" w:rsidRPr="00851192" w:rsidRDefault="009B75A0" w:rsidP="00F27343">
            <w:pPr>
              <w:jc w:val="center"/>
              <w:rPr>
                <w:rFonts w:ascii="Arial" w:hAnsi="Arial" w:cs="Arial"/>
              </w:rPr>
            </w:pPr>
            <w:r w:rsidRPr="00851192">
              <w:rPr>
                <w:rFonts w:ascii="Arial" w:hAnsi="Arial" w:cs="Arial"/>
              </w:rPr>
              <w:t>1</w:t>
            </w:r>
          </w:p>
        </w:tc>
        <w:tc>
          <w:tcPr>
            <w:tcW w:w="2681" w:type="dxa"/>
            <w:tcBorders>
              <w:top w:val="single" w:sz="4" w:space="0" w:color="auto"/>
              <w:left w:val="single" w:sz="4" w:space="0" w:color="auto"/>
              <w:bottom w:val="single" w:sz="4" w:space="0" w:color="auto"/>
              <w:right w:val="single" w:sz="4" w:space="0" w:color="auto"/>
            </w:tcBorders>
            <w:hideMark/>
          </w:tcPr>
          <w:p w14:paraId="4BEFDA0C" w14:textId="77777777" w:rsidR="009B75A0" w:rsidRPr="00851192" w:rsidRDefault="009B75A0" w:rsidP="00F27343">
            <w:pPr>
              <w:jc w:val="center"/>
              <w:rPr>
                <w:rFonts w:ascii="Arial" w:hAnsi="Arial" w:cs="Arial"/>
              </w:rPr>
            </w:pPr>
            <w:r w:rsidRPr="00851192">
              <w:rPr>
                <w:rFonts w:ascii="Arial" w:hAnsi="Arial" w:cs="Arial"/>
              </w:rPr>
              <w:t>High</w:t>
            </w:r>
          </w:p>
        </w:tc>
        <w:tc>
          <w:tcPr>
            <w:tcW w:w="2706" w:type="dxa"/>
            <w:tcBorders>
              <w:top w:val="single" w:sz="4" w:space="0" w:color="auto"/>
              <w:left w:val="single" w:sz="4" w:space="0" w:color="auto"/>
              <w:bottom w:val="single" w:sz="4" w:space="0" w:color="auto"/>
              <w:right w:val="single" w:sz="4" w:space="0" w:color="auto"/>
            </w:tcBorders>
            <w:hideMark/>
          </w:tcPr>
          <w:p w14:paraId="4B8CEDB4" w14:textId="77777777" w:rsidR="009B75A0" w:rsidRPr="00851192" w:rsidRDefault="009B75A0" w:rsidP="00F27343">
            <w:pPr>
              <w:rPr>
                <w:rFonts w:ascii="Arial" w:hAnsi="Arial" w:cs="Arial"/>
              </w:rPr>
            </w:pPr>
            <w:r w:rsidRPr="00851192">
              <w:rPr>
                <w:rFonts w:ascii="Arial" w:hAnsi="Arial" w:cs="Arial"/>
              </w:rPr>
              <w:t>The global gambling operator market promotional offers across the internet. They are discovered on third party websites such as ‘</w:t>
            </w:r>
            <w:r w:rsidRPr="00851192">
              <w:rPr>
                <w:rFonts w:ascii="Arial" w:hAnsi="Arial" w:cs="Arial"/>
                <w:i/>
              </w:rPr>
              <w:t>flash scores’</w:t>
            </w:r>
            <w:r w:rsidRPr="00851192">
              <w:rPr>
                <w:rFonts w:ascii="Arial" w:hAnsi="Arial" w:cs="Arial"/>
              </w:rPr>
              <w:t xml:space="preserve"> and other sport news apps. The level of marketing is highly impactful on users and </w:t>
            </w:r>
            <w:r w:rsidRPr="00851192">
              <w:rPr>
                <w:rFonts w:ascii="Arial" w:hAnsi="Arial" w:cs="Arial"/>
              </w:rPr>
              <w:lastRenderedPageBreak/>
              <w:t xml:space="preserve">potential consumers to encourage gambling. </w:t>
            </w:r>
          </w:p>
        </w:tc>
      </w:tr>
      <w:tr w:rsidR="009B75A0" w:rsidRPr="00851192" w14:paraId="0ECBCA50"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147822D6" w14:textId="77777777" w:rsidR="009B75A0" w:rsidRPr="00851192" w:rsidRDefault="009B75A0" w:rsidP="00F27343">
            <w:pPr>
              <w:jc w:val="center"/>
              <w:rPr>
                <w:rFonts w:ascii="Arial" w:hAnsi="Arial" w:cs="Arial"/>
              </w:rPr>
            </w:pPr>
            <w:r w:rsidRPr="00851192">
              <w:rPr>
                <w:rFonts w:ascii="Arial" w:hAnsi="Arial" w:cs="Arial"/>
              </w:rPr>
              <w:lastRenderedPageBreak/>
              <w:t>Media Marketing (The use of video media)</w:t>
            </w:r>
          </w:p>
        </w:tc>
        <w:tc>
          <w:tcPr>
            <w:tcW w:w="1803" w:type="dxa"/>
            <w:tcBorders>
              <w:top w:val="single" w:sz="4" w:space="0" w:color="auto"/>
              <w:left w:val="single" w:sz="4" w:space="0" w:color="auto"/>
              <w:bottom w:val="single" w:sz="4" w:space="0" w:color="auto"/>
              <w:right w:val="single" w:sz="4" w:space="0" w:color="auto"/>
            </w:tcBorders>
          </w:tcPr>
          <w:p w14:paraId="5FDD334C" w14:textId="77777777" w:rsidR="009B75A0" w:rsidRPr="00851192" w:rsidRDefault="009B75A0"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4405D65B" w14:textId="77777777" w:rsidR="009B75A0" w:rsidRPr="00851192" w:rsidRDefault="009B75A0" w:rsidP="00F27343">
            <w:pPr>
              <w:jc w:val="center"/>
              <w:rPr>
                <w:rFonts w:ascii="Arial" w:hAnsi="Arial" w:cs="Arial"/>
              </w:rPr>
            </w:pPr>
            <w:r w:rsidRPr="00851192">
              <w:rPr>
                <w:rFonts w:ascii="Arial" w:hAnsi="Arial" w:cs="Arial"/>
              </w:rPr>
              <w:t>1</w:t>
            </w:r>
          </w:p>
        </w:tc>
        <w:tc>
          <w:tcPr>
            <w:tcW w:w="2681" w:type="dxa"/>
            <w:tcBorders>
              <w:top w:val="single" w:sz="4" w:space="0" w:color="auto"/>
              <w:left w:val="single" w:sz="4" w:space="0" w:color="auto"/>
              <w:bottom w:val="single" w:sz="4" w:space="0" w:color="auto"/>
              <w:right w:val="single" w:sz="4" w:space="0" w:color="auto"/>
            </w:tcBorders>
            <w:hideMark/>
          </w:tcPr>
          <w:p w14:paraId="2EFD428B" w14:textId="77777777" w:rsidR="009B75A0" w:rsidRPr="00851192" w:rsidRDefault="009B75A0" w:rsidP="00F27343">
            <w:pPr>
              <w:jc w:val="center"/>
              <w:rPr>
                <w:rFonts w:ascii="Arial" w:hAnsi="Arial" w:cs="Arial"/>
              </w:rPr>
            </w:pPr>
            <w:r w:rsidRPr="00851192">
              <w:rPr>
                <w:rFonts w:ascii="Arial" w:hAnsi="Arial" w:cs="Arial"/>
              </w:rPr>
              <w:t>High</w:t>
            </w:r>
          </w:p>
        </w:tc>
        <w:tc>
          <w:tcPr>
            <w:tcW w:w="2706" w:type="dxa"/>
            <w:tcBorders>
              <w:top w:val="single" w:sz="4" w:space="0" w:color="auto"/>
              <w:left w:val="single" w:sz="4" w:space="0" w:color="auto"/>
              <w:bottom w:val="single" w:sz="4" w:space="0" w:color="auto"/>
              <w:right w:val="single" w:sz="4" w:space="0" w:color="auto"/>
            </w:tcBorders>
            <w:hideMark/>
          </w:tcPr>
          <w:p w14:paraId="44EE8E09" w14:textId="77777777" w:rsidR="009B75A0" w:rsidRPr="00851192" w:rsidRDefault="009B75A0" w:rsidP="00F27343">
            <w:pPr>
              <w:rPr>
                <w:rFonts w:ascii="Arial" w:hAnsi="Arial" w:cs="Arial"/>
              </w:rPr>
            </w:pPr>
            <w:r w:rsidRPr="00851192">
              <w:rPr>
                <w:rFonts w:ascii="Arial" w:hAnsi="Arial" w:cs="Arial"/>
              </w:rPr>
              <w:t xml:space="preserve">There is no evidence to suggest </w:t>
            </w:r>
            <w:proofErr w:type="spellStart"/>
            <w:r w:rsidRPr="00851192">
              <w:rPr>
                <w:rFonts w:ascii="Arial" w:hAnsi="Arial" w:cs="Arial"/>
              </w:rPr>
              <w:t>Bwin</w:t>
            </w:r>
            <w:proofErr w:type="spellEnd"/>
            <w:r w:rsidRPr="00851192">
              <w:rPr>
                <w:rFonts w:ascii="Arial" w:hAnsi="Arial" w:cs="Arial"/>
              </w:rPr>
              <w:t xml:space="preserve"> Televise promotional gambling due to the location of the study being carried out alongside the limitations of the researcher. However, the global gambling operator also use video footage on social media websites. </w:t>
            </w:r>
          </w:p>
        </w:tc>
      </w:tr>
    </w:tbl>
    <w:p w14:paraId="3B1D06C6" w14:textId="63AABCC6" w:rsidR="009B75A0" w:rsidRPr="00851192" w:rsidRDefault="009B75A0" w:rsidP="009B75A0">
      <w:pPr>
        <w:rPr>
          <w:rFonts w:ascii="Arial" w:hAnsi="Arial" w:cs="Arial"/>
        </w:rPr>
      </w:pPr>
    </w:p>
    <w:p w14:paraId="2818D957" w14:textId="5C56972D" w:rsidR="008A11E4" w:rsidRPr="00851192" w:rsidRDefault="008A11E4" w:rsidP="009B75A0">
      <w:pPr>
        <w:rPr>
          <w:rFonts w:ascii="Arial" w:hAnsi="Arial" w:cs="Arial"/>
        </w:rPr>
      </w:pPr>
    </w:p>
    <w:p w14:paraId="00F27883" w14:textId="77777777" w:rsidR="008A11E4" w:rsidRPr="00851192" w:rsidRDefault="008A11E4" w:rsidP="009B75A0">
      <w:pPr>
        <w:rPr>
          <w:rFonts w:ascii="Arial" w:hAnsi="Arial" w:cs="Arial"/>
        </w:rPr>
      </w:pPr>
    </w:p>
    <w:p w14:paraId="6399BE1B" w14:textId="77777777" w:rsidR="009B75A0" w:rsidRPr="00851192" w:rsidRDefault="009B75A0" w:rsidP="009B75A0">
      <w:pPr>
        <w:jc w:val="center"/>
        <w:rPr>
          <w:rFonts w:ascii="Arial" w:hAnsi="Arial" w:cs="Arial"/>
        </w:rPr>
      </w:pPr>
      <w:r w:rsidRPr="00851192">
        <w:rPr>
          <w:rFonts w:ascii="Arial" w:hAnsi="Arial" w:cs="Arial"/>
        </w:rPr>
        <w:t>Asia Gaming</w:t>
      </w:r>
    </w:p>
    <w:tbl>
      <w:tblPr>
        <w:tblStyle w:val="TableGrid"/>
        <w:tblW w:w="9918" w:type="dxa"/>
        <w:tblLook w:val="04A0" w:firstRow="1" w:lastRow="0" w:firstColumn="1" w:lastColumn="0" w:noHBand="0" w:noVBand="1"/>
      </w:tblPr>
      <w:tblGrid>
        <w:gridCol w:w="1802"/>
        <w:gridCol w:w="1784"/>
        <w:gridCol w:w="975"/>
        <w:gridCol w:w="2665"/>
        <w:gridCol w:w="2692"/>
      </w:tblGrid>
      <w:tr w:rsidR="009B75A0" w:rsidRPr="00851192" w14:paraId="5EFB0F94" w14:textId="77777777" w:rsidTr="00F27343">
        <w:trPr>
          <w:trHeight w:val="986"/>
        </w:trPr>
        <w:tc>
          <w:tcPr>
            <w:tcW w:w="1803" w:type="dxa"/>
            <w:tcBorders>
              <w:top w:val="single" w:sz="4" w:space="0" w:color="auto"/>
              <w:left w:val="single" w:sz="4" w:space="0" w:color="auto"/>
              <w:bottom w:val="single" w:sz="4" w:space="0" w:color="auto"/>
              <w:right w:val="single" w:sz="4" w:space="0" w:color="auto"/>
            </w:tcBorders>
            <w:hideMark/>
          </w:tcPr>
          <w:p w14:paraId="1C1F0C65" w14:textId="77777777" w:rsidR="009B75A0" w:rsidRPr="00851192" w:rsidRDefault="009B75A0" w:rsidP="00F27343">
            <w:pPr>
              <w:jc w:val="center"/>
              <w:rPr>
                <w:rFonts w:ascii="Arial" w:hAnsi="Arial" w:cs="Arial"/>
              </w:rPr>
            </w:pPr>
            <w:r w:rsidRPr="00851192">
              <w:rPr>
                <w:rFonts w:ascii="Arial" w:hAnsi="Arial" w:cs="Arial"/>
              </w:rPr>
              <w:t>Categories</w:t>
            </w:r>
          </w:p>
        </w:tc>
        <w:tc>
          <w:tcPr>
            <w:tcW w:w="1803" w:type="dxa"/>
            <w:tcBorders>
              <w:top w:val="single" w:sz="4" w:space="0" w:color="auto"/>
              <w:left w:val="single" w:sz="4" w:space="0" w:color="auto"/>
              <w:bottom w:val="single" w:sz="4" w:space="0" w:color="auto"/>
              <w:right w:val="single" w:sz="4" w:space="0" w:color="auto"/>
            </w:tcBorders>
            <w:hideMark/>
          </w:tcPr>
          <w:p w14:paraId="6E2B3875" w14:textId="77777777" w:rsidR="009B75A0" w:rsidRPr="00851192" w:rsidRDefault="009B75A0" w:rsidP="00F27343">
            <w:pPr>
              <w:jc w:val="center"/>
              <w:rPr>
                <w:rFonts w:ascii="Arial" w:hAnsi="Arial" w:cs="Arial"/>
                <w:b/>
              </w:rPr>
            </w:pPr>
            <w:r w:rsidRPr="00851192">
              <w:rPr>
                <w:rFonts w:ascii="Segoe UI Symbol" w:hAnsi="Segoe UI Symbol" w:cs="Segoe UI Symbol"/>
                <w:b/>
                <w:shd w:val="clear" w:color="auto" w:fill="FFFFFF"/>
              </w:rPr>
              <w:t>✓</w:t>
            </w:r>
            <w:r w:rsidRPr="00851192">
              <w:rPr>
                <w:rFonts w:ascii="Arial" w:hAnsi="Arial" w:cs="Arial"/>
                <w:b/>
                <w:shd w:val="clear" w:color="auto" w:fill="FFFFFF"/>
              </w:rPr>
              <w:t xml:space="preserve"> / </w:t>
            </w: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hideMark/>
          </w:tcPr>
          <w:p w14:paraId="0B21E26F" w14:textId="77777777" w:rsidR="009B75A0" w:rsidRPr="00851192" w:rsidRDefault="009B75A0" w:rsidP="00F27343">
            <w:pPr>
              <w:jc w:val="center"/>
              <w:rPr>
                <w:rFonts w:ascii="Arial" w:hAnsi="Arial" w:cs="Arial"/>
              </w:rPr>
            </w:pPr>
            <w:r w:rsidRPr="00851192">
              <w:rPr>
                <w:rFonts w:ascii="Arial" w:hAnsi="Arial" w:cs="Arial"/>
              </w:rPr>
              <w:t>Present or Not Present</w:t>
            </w:r>
          </w:p>
        </w:tc>
        <w:tc>
          <w:tcPr>
            <w:tcW w:w="2681" w:type="dxa"/>
            <w:tcBorders>
              <w:top w:val="single" w:sz="4" w:space="0" w:color="auto"/>
              <w:left w:val="single" w:sz="4" w:space="0" w:color="auto"/>
              <w:bottom w:val="single" w:sz="4" w:space="0" w:color="auto"/>
              <w:right w:val="single" w:sz="4" w:space="0" w:color="auto"/>
            </w:tcBorders>
            <w:hideMark/>
          </w:tcPr>
          <w:p w14:paraId="2DF86E9A" w14:textId="77777777" w:rsidR="009B75A0" w:rsidRPr="00851192" w:rsidRDefault="009B75A0" w:rsidP="00F27343">
            <w:pPr>
              <w:jc w:val="center"/>
              <w:rPr>
                <w:rFonts w:ascii="Arial" w:hAnsi="Arial" w:cs="Arial"/>
              </w:rPr>
            </w:pPr>
            <w:r w:rsidRPr="00851192">
              <w:rPr>
                <w:rFonts w:ascii="Arial" w:hAnsi="Arial" w:cs="Arial"/>
              </w:rPr>
              <w:t>Researchers rating for clear information</w:t>
            </w:r>
          </w:p>
        </w:tc>
        <w:tc>
          <w:tcPr>
            <w:tcW w:w="2706" w:type="dxa"/>
            <w:tcBorders>
              <w:top w:val="single" w:sz="4" w:space="0" w:color="auto"/>
              <w:left w:val="single" w:sz="4" w:space="0" w:color="auto"/>
              <w:bottom w:val="single" w:sz="4" w:space="0" w:color="auto"/>
              <w:right w:val="single" w:sz="4" w:space="0" w:color="auto"/>
            </w:tcBorders>
            <w:hideMark/>
          </w:tcPr>
          <w:p w14:paraId="2EB7DF37" w14:textId="77777777" w:rsidR="009B75A0" w:rsidRPr="00851192" w:rsidRDefault="009B75A0" w:rsidP="00F27343">
            <w:pPr>
              <w:jc w:val="center"/>
              <w:rPr>
                <w:rFonts w:ascii="Arial" w:hAnsi="Arial" w:cs="Arial"/>
              </w:rPr>
            </w:pPr>
            <w:r w:rsidRPr="00851192">
              <w:rPr>
                <w:rFonts w:ascii="Arial" w:hAnsi="Arial" w:cs="Arial"/>
              </w:rPr>
              <w:t>Additional Comments</w:t>
            </w:r>
          </w:p>
        </w:tc>
      </w:tr>
      <w:tr w:rsidR="009B75A0" w:rsidRPr="00851192" w14:paraId="2114AF96"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60918F5C" w14:textId="77777777" w:rsidR="009B75A0" w:rsidRPr="00851192" w:rsidRDefault="009B75A0" w:rsidP="00F27343">
            <w:pPr>
              <w:jc w:val="center"/>
              <w:rPr>
                <w:rFonts w:ascii="Arial" w:hAnsi="Arial" w:cs="Arial"/>
                <w:b/>
              </w:rPr>
            </w:pPr>
            <w:r w:rsidRPr="00851192">
              <w:rPr>
                <w:rFonts w:ascii="Arial" w:hAnsi="Arial" w:cs="Arial"/>
                <w:b/>
              </w:rPr>
              <w:t>Promotional Gambling Advertisement</w:t>
            </w:r>
          </w:p>
        </w:tc>
        <w:tc>
          <w:tcPr>
            <w:tcW w:w="1803" w:type="dxa"/>
            <w:tcBorders>
              <w:top w:val="single" w:sz="4" w:space="0" w:color="auto"/>
              <w:left w:val="single" w:sz="4" w:space="0" w:color="auto"/>
              <w:bottom w:val="single" w:sz="4" w:space="0" w:color="auto"/>
              <w:right w:val="single" w:sz="4" w:space="0" w:color="auto"/>
            </w:tcBorders>
            <w:hideMark/>
          </w:tcPr>
          <w:p w14:paraId="4B359A28"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tcPr>
          <w:p w14:paraId="6267D349" w14:textId="77777777" w:rsidR="009B75A0" w:rsidRPr="00851192" w:rsidRDefault="009B75A0" w:rsidP="00F27343">
            <w:pPr>
              <w:rPr>
                <w:rFonts w:ascii="Arial" w:hAnsi="Arial" w:cs="Arial"/>
              </w:rPr>
            </w:pPr>
          </w:p>
        </w:tc>
        <w:tc>
          <w:tcPr>
            <w:tcW w:w="2681" w:type="dxa"/>
            <w:tcBorders>
              <w:top w:val="single" w:sz="4" w:space="0" w:color="auto"/>
              <w:left w:val="single" w:sz="4" w:space="0" w:color="auto"/>
              <w:bottom w:val="single" w:sz="4" w:space="0" w:color="auto"/>
              <w:right w:val="single" w:sz="4" w:space="0" w:color="auto"/>
            </w:tcBorders>
          </w:tcPr>
          <w:p w14:paraId="442180CB" w14:textId="77777777" w:rsidR="009B75A0" w:rsidRPr="00851192" w:rsidRDefault="009B75A0" w:rsidP="00F27343">
            <w:pPr>
              <w:rPr>
                <w:rFonts w:ascii="Arial" w:hAnsi="Arial" w:cs="Arial"/>
              </w:rPr>
            </w:pPr>
          </w:p>
        </w:tc>
        <w:tc>
          <w:tcPr>
            <w:tcW w:w="2706" w:type="dxa"/>
            <w:tcBorders>
              <w:top w:val="single" w:sz="4" w:space="0" w:color="auto"/>
              <w:left w:val="single" w:sz="4" w:space="0" w:color="auto"/>
              <w:bottom w:val="single" w:sz="4" w:space="0" w:color="auto"/>
              <w:right w:val="single" w:sz="4" w:space="0" w:color="auto"/>
            </w:tcBorders>
          </w:tcPr>
          <w:p w14:paraId="5456CD74" w14:textId="77777777" w:rsidR="009B75A0" w:rsidRPr="00851192" w:rsidRDefault="009B75A0" w:rsidP="00F27343">
            <w:pPr>
              <w:rPr>
                <w:rFonts w:ascii="Arial" w:hAnsi="Arial" w:cs="Arial"/>
              </w:rPr>
            </w:pPr>
          </w:p>
        </w:tc>
      </w:tr>
      <w:tr w:rsidR="009B75A0" w:rsidRPr="00851192" w14:paraId="29E811EF"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31A0DC2B" w14:textId="77777777" w:rsidR="009B75A0" w:rsidRPr="00851192" w:rsidRDefault="009B75A0" w:rsidP="00F27343">
            <w:pPr>
              <w:jc w:val="center"/>
              <w:rPr>
                <w:rFonts w:ascii="Arial" w:hAnsi="Arial" w:cs="Arial"/>
              </w:rPr>
            </w:pPr>
            <w:r w:rsidRPr="00851192">
              <w:rPr>
                <w:rFonts w:ascii="Arial" w:hAnsi="Arial" w:cs="Arial"/>
              </w:rPr>
              <w:t>Online Marketing</w:t>
            </w:r>
          </w:p>
        </w:tc>
        <w:tc>
          <w:tcPr>
            <w:tcW w:w="1803" w:type="dxa"/>
            <w:tcBorders>
              <w:top w:val="single" w:sz="4" w:space="0" w:color="auto"/>
              <w:left w:val="single" w:sz="4" w:space="0" w:color="auto"/>
              <w:bottom w:val="single" w:sz="4" w:space="0" w:color="auto"/>
              <w:right w:val="single" w:sz="4" w:space="0" w:color="auto"/>
            </w:tcBorders>
          </w:tcPr>
          <w:p w14:paraId="032B2CD3" w14:textId="77777777" w:rsidR="009B75A0" w:rsidRPr="00851192" w:rsidRDefault="009B75A0"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2A634DE8" w14:textId="77777777" w:rsidR="009B75A0" w:rsidRPr="00851192" w:rsidRDefault="009B75A0" w:rsidP="00F27343">
            <w:pPr>
              <w:jc w:val="center"/>
              <w:rPr>
                <w:rFonts w:ascii="Arial" w:hAnsi="Arial" w:cs="Arial"/>
              </w:rPr>
            </w:pPr>
            <w:r w:rsidRPr="00851192">
              <w:rPr>
                <w:rFonts w:ascii="Arial" w:hAnsi="Arial" w:cs="Arial"/>
              </w:rPr>
              <w:t>1</w:t>
            </w:r>
          </w:p>
        </w:tc>
        <w:tc>
          <w:tcPr>
            <w:tcW w:w="2681" w:type="dxa"/>
            <w:tcBorders>
              <w:top w:val="single" w:sz="4" w:space="0" w:color="auto"/>
              <w:left w:val="single" w:sz="4" w:space="0" w:color="auto"/>
              <w:bottom w:val="single" w:sz="4" w:space="0" w:color="auto"/>
              <w:right w:val="single" w:sz="4" w:space="0" w:color="auto"/>
            </w:tcBorders>
            <w:hideMark/>
          </w:tcPr>
          <w:p w14:paraId="3EB07A0D" w14:textId="77777777" w:rsidR="009B75A0" w:rsidRPr="00851192" w:rsidRDefault="009B75A0" w:rsidP="00F27343">
            <w:pPr>
              <w:jc w:val="center"/>
              <w:rPr>
                <w:rFonts w:ascii="Arial" w:hAnsi="Arial" w:cs="Arial"/>
              </w:rPr>
            </w:pPr>
            <w:r w:rsidRPr="00851192">
              <w:rPr>
                <w:rFonts w:ascii="Arial" w:hAnsi="Arial" w:cs="Arial"/>
              </w:rPr>
              <w:t>High</w:t>
            </w:r>
          </w:p>
        </w:tc>
        <w:tc>
          <w:tcPr>
            <w:tcW w:w="2706" w:type="dxa"/>
            <w:tcBorders>
              <w:top w:val="single" w:sz="4" w:space="0" w:color="auto"/>
              <w:left w:val="single" w:sz="4" w:space="0" w:color="auto"/>
              <w:bottom w:val="single" w:sz="4" w:space="0" w:color="auto"/>
              <w:right w:val="single" w:sz="4" w:space="0" w:color="auto"/>
            </w:tcBorders>
            <w:hideMark/>
          </w:tcPr>
          <w:p w14:paraId="13471B1E" w14:textId="77777777" w:rsidR="009B75A0" w:rsidRPr="00851192" w:rsidRDefault="009B75A0" w:rsidP="00F27343">
            <w:pPr>
              <w:rPr>
                <w:rFonts w:ascii="Arial" w:hAnsi="Arial" w:cs="Arial"/>
              </w:rPr>
            </w:pPr>
            <w:r w:rsidRPr="00851192">
              <w:rPr>
                <w:rFonts w:ascii="Arial" w:hAnsi="Arial" w:cs="Arial"/>
              </w:rPr>
              <w:t>The global gambling operator market promotional offers across the internet. They are discovered on third party websites such as ‘</w:t>
            </w:r>
            <w:r w:rsidRPr="00851192">
              <w:rPr>
                <w:rFonts w:ascii="Arial" w:hAnsi="Arial" w:cs="Arial"/>
                <w:i/>
              </w:rPr>
              <w:t>flash scores’</w:t>
            </w:r>
            <w:r w:rsidRPr="00851192">
              <w:rPr>
                <w:rFonts w:ascii="Arial" w:hAnsi="Arial" w:cs="Arial"/>
              </w:rPr>
              <w:t xml:space="preserve"> and other sport news apps. The level of marketing is highly impactful on users and potential consumers to encourage gambling. </w:t>
            </w:r>
          </w:p>
        </w:tc>
      </w:tr>
      <w:tr w:rsidR="009B75A0" w:rsidRPr="00851192" w14:paraId="3C630CC2"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4704D4F7" w14:textId="77777777" w:rsidR="009B75A0" w:rsidRPr="00851192" w:rsidRDefault="009B75A0" w:rsidP="00F27343">
            <w:pPr>
              <w:jc w:val="center"/>
              <w:rPr>
                <w:rFonts w:ascii="Arial" w:hAnsi="Arial" w:cs="Arial"/>
              </w:rPr>
            </w:pPr>
            <w:r w:rsidRPr="00851192">
              <w:rPr>
                <w:rFonts w:ascii="Arial" w:hAnsi="Arial" w:cs="Arial"/>
              </w:rPr>
              <w:t>Media Marketing (The use of video media)</w:t>
            </w:r>
          </w:p>
        </w:tc>
        <w:tc>
          <w:tcPr>
            <w:tcW w:w="1803" w:type="dxa"/>
            <w:tcBorders>
              <w:top w:val="single" w:sz="4" w:space="0" w:color="auto"/>
              <w:left w:val="single" w:sz="4" w:space="0" w:color="auto"/>
              <w:bottom w:val="single" w:sz="4" w:space="0" w:color="auto"/>
              <w:right w:val="single" w:sz="4" w:space="0" w:color="auto"/>
            </w:tcBorders>
          </w:tcPr>
          <w:p w14:paraId="1F6AEB16" w14:textId="77777777" w:rsidR="009B75A0" w:rsidRPr="00851192" w:rsidRDefault="009B75A0"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63C97F49" w14:textId="77777777" w:rsidR="009B75A0" w:rsidRPr="00851192" w:rsidRDefault="009B75A0" w:rsidP="00F27343">
            <w:pPr>
              <w:jc w:val="center"/>
              <w:rPr>
                <w:rFonts w:ascii="Arial" w:hAnsi="Arial" w:cs="Arial"/>
              </w:rPr>
            </w:pPr>
            <w:r w:rsidRPr="00851192">
              <w:rPr>
                <w:rFonts w:ascii="Arial" w:hAnsi="Arial" w:cs="Arial"/>
              </w:rPr>
              <w:t>1</w:t>
            </w:r>
          </w:p>
        </w:tc>
        <w:tc>
          <w:tcPr>
            <w:tcW w:w="2681" w:type="dxa"/>
            <w:tcBorders>
              <w:top w:val="single" w:sz="4" w:space="0" w:color="auto"/>
              <w:left w:val="single" w:sz="4" w:space="0" w:color="auto"/>
              <w:bottom w:val="single" w:sz="4" w:space="0" w:color="auto"/>
              <w:right w:val="single" w:sz="4" w:space="0" w:color="auto"/>
            </w:tcBorders>
            <w:hideMark/>
          </w:tcPr>
          <w:p w14:paraId="4424FA9F" w14:textId="77777777" w:rsidR="009B75A0" w:rsidRPr="00851192" w:rsidRDefault="009B75A0" w:rsidP="00F27343">
            <w:pPr>
              <w:jc w:val="center"/>
              <w:rPr>
                <w:rFonts w:ascii="Arial" w:hAnsi="Arial" w:cs="Arial"/>
              </w:rPr>
            </w:pPr>
            <w:r w:rsidRPr="00851192">
              <w:rPr>
                <w:rFonts w:ascii="Arial" w:hAnsi="Arial" w:cs="Arial"/>
              </w:rPr>
              <w:t>High</w:t>
            </w:r>
          </w:p>
        </w:tc>
        <w:tc>
          <w:tcPr>
            <w:tcW w:w="2706" w:type="dxa"/>
            <w:tcBorders>
              <w:top w:val="single" w:sz="4" w:space="0" w:color="auto"/>
              <w:left w:val="single" w:sz="4" w:space="0" w:color="auto"/>
              <w:bottom w:val="single" w:sz="4" w:space="0" w:color="auto"/>
              <w:right w:val="single" w:sz="4" w:space="0" w:color="auto"/>
            </w:tcBorders>
            <w:hideMark/>
          </w:tcPr>
          <w:p w14:paraId="59AF7D34" w14:textId="77777777" w:rsidR="009B75A0" w:rsidRPr="00851192" w:rsidRDefault="009B75A0" w:rsidP="00F27343">
            <w:pPr>
              <w:rPr>
                <w:rFonts w:ascii="Arial" w:hAnsi="Arial" w:cs="Arial"/>
              </w:rPr>
            </w:pPr>
            <w:r w:rsidRPr="00851192">
              <w:rPr>
                <w:rFonts w:ascii="Arial" w:hAnsi="Arial" w:cs="Arial"/>
              </w:rPr>
              <w:t xml:space="preserve">There is no evidence to suggest Asia Gaming Televise promotional gambling due to the location of the study being carried out alongside the limitations of the researcher. However, the global gambling operator also use video footage on social media websites. It is key to note that the way media marketing is emitted from the global gambling operator is </w:t>
            </w:r>
            <w:r w:rsidRPr="00851192">
              <w:rPr>
                <w:rFonts w:ascii="Arial" w:hAnsi="Arial" w:cs="Arial"/>
              </w:rPr>
              <w:lastRenderedPageBreak/>
              <w:t xml:space="preserve">quite diverse to how BET 365 and </w:t>
            </w:r>
            <w:proofErr w:type="spellStart"/>
            <w:r w:rsidRPr="00851192">
              <w:rPr>
                <w:rFonts w:ascii="Arial" w:hAnsi="Arial" w:cs="Arial"/>
              </w:rPr>
              <w:t>Bwin</w:t>
            </w:r>
            <w:proofErr w:type="spellEnd"/>
            <w:r w:rsidRPr="00851192">
              <w:rPr>
                <w:rFonts w:ascii="Arial" w:hAnsi="Arial" w:cs="Arial"/>
              </w:rPr>
              <w:t xml:space="preserve"> advertise. Instead of putting deals and offers at the forefront of gambling advertisement, Asia Gaming use females to discuss about gambling options and offers. </w:t>
            </w:r>
          </w:p>
        </w:tc>
      </w:tr>
    </w:tbl>
    <w:p w14:paraId="60396D23" w14:textId="7105E0ED" w:rsidR="009B75A0" w:rsidRPr="00851192" w:rsidRDefault="009B75A0" w:rsidP="0017796E">
      <w:pPr>
        <w:rPr>
          <w:rFonts w:ascii="Arial" w:hAnsi="Arial" w:cs="Arial"/>
          <w:lang w:val="en-US"/>
        </w:rPr>
      </w:pPr>
    </w:p>
    <w:p w14:paraId="0992CBCE" w14:textId="5FA14579" w:rsidR="008A11E4" w:rsidRPr="00851192" w:rsidRDefault="008A11E4" w:rsidP="0017796E">
      <w:pPr>
        <w:rPr>
          <w:rFonts w:ascii="Arial" w:hAnsi="Arial" w:cs="Arial"/>
          <w:lang w:val="en-US"/>
        </w:rPr>
      </w:pPr>
    </w:p>
    <w:p w14:paraId="48F3102B" w14:textId="2FC019F6" w:rsidR="008A11E4" w:rsidRPr="00851192" w:rsidRDefault="008A11E4" w:rsidP="0017796E">
      <w:pPr>
        <w:rPr>
          <w:rFonts w:ascii="Arial" w:hAnsi="Arial" w:cs="Arial"/>
          <w:lang w:val="en-US"/>
        </w:rPr>
      </w:pPr>
    </w:p>
    <w:p w14:paraId="77B0D21F" w14:textId="5579F4B5" w:rsidR="008A11E4" w:rsidRPr="00851192" w:rsidRDefault="008A11E4" w:rsidP="0017796E">
      <w:pPr>
        <w:rPr>
          <w:rFonts w:ascii="Arial" w:hAnsi="Arial" w:cs="Arial"/>
          <w:lang w:val="en-US"/>
        </w:rPr>
      </w:pPr>
    </w:p>
    <w:p w14:paraId="42ADB0ED" w14:textId="77777777" w:rsidR="008A11E4" w:rsidRPr="00851192" w:rsidRDefault="008A11E4" w:rsidP="0017796E">
      <w:pPr>
        <w:rPr>
          <w:rFonts w:ascii="Arial" w:hAnsi="Arial" w:cs="Arial"/>
          <w:lang w:val="en-US"/>
        </w:rPr>
      </w:pPr>
    </w:p>
    <w:p w14:paraId="3DADB8D8" w14:textId="613B866F" w:rsidR="009B75A0" w:rsidRPr="00851192" w:rsidRDefault="009B75A0" w:rsidP="009B75A0">
      <w:pPr>
        <w:jc w:val="center"/>
        <w:rPr>
          <w:rFonts w:ascii="Arial" w:hAnsi="Arial" w:cs="Arial"/>
        </w:rPr>
      </w:pPr>
      <w:r w:rsidRPr="00851192">
        <w:rPr>
          <w:rFonts w:ascii="Arial" w:hAnsi="Arial" w:cs="Arial"/>
          <w:b/>
        </w:rPr>
        <w:t xml:space="preserve">Table </w:t>
      </w:r>
      <w:r w:rsidR="005E3EE2" w:rsidRPr="00851192">
        <w:rPr>
          <w:rFonts w:ascii="Arial" w:hAnsi="Arial" w:cs="Arial"/>
          <w:b/>
        </w:rPr>
        <w:t>7</w:t>
      </w:r>
      <w:r w:rsidRPr="00851192">
        <w:rPr>
          <w:rFonts w:ascii="Arial" w:hAnsi="Arial" w:cs="Arial"/>
          <w:b/>
        </w:rPr>
        <w:t>.</w:t>
      </w:r>
      <w:r w:rsidR="009E5260" w:rsidRPr="00851192">
        <w:rPr>
          <w:rFonts w:ascii="Arial" w:hAnsi="Arial" w:cs="Arial"/>
          <w:b/>
        </w:rPr>
        <w:t>8</w:t>
      </w:r>
      <w:r w:rsidRPr="00851192">
        <w:rPr>
          <w:rFonts w:ascii="Arial" w:hAnsi="Arial" w:cs="Arial"/>
        </w:rPr>
        <w:t xml:space="preserve"> Global Gambling Operators and Secure Transactions</w:t>
      </w:r>
    </w:p>
    <w:p w14:paraId="4C9916D3" w14:textId="73B99FC8" w:rsidR="009B75A0" w:rsidRPr="00851192" w:rsidRDefault="009B75A0" w:rsidP="009B75A0">
      <w:pPr>
        <w:jc w:val="center"/>
        <w:rPr>
          <w:rFonts w:ascii="Arial" w:hAnsi="Arial" w:cs="Arial"/>
        </w:rPr>
      </w:pPr>
      <w:r w:rsidRPr="00851192">
        <w:rPr>
          <w:rFonts w:ascii="Arial" w:hAnsi="Arial" w:cs="Arial"/>
        </w:rPr>
        <w:t>B</w:t>
      </w:r>
      <w:r w:rsidR="00682E18" w:rsidRPr="00851192">
        <w:rPr>
          <w:rFonts w:ascii="Arial" w:hAnsi="Arial" w:cs="Arial"/>
        </w:rPr>
        <w:t>et</w:t>
      </w:r>
      <w:r w:rsidRPr="00851192">
        <w:rPr>
          <w:rFonts w:ascii="Arial" w:hAnsi="Arial" w:cs="Arial"/>
        </w:rPr>
        <w:t>365</w:t>
      </w:r>
    </w:p>
    <w:tbl>
      <w:tblPr>
        <w:tblStyle w:val="TableGrid"/>
        <w:tblW w:w="9918" w:type="dxa"/>
        <w:tblLook w:val="04A0" w:firstRow="1" w:lastRow="0" w:firstColumn="1" w:lastColumn="0" w:noHBand="0" w:noVBand="1"/>
      </w:tblPr>
      <w:tblGrid>
        <w:gridCol w:w="1799"/>
        <w:gridCol w:w="1786"/>
        <w:gridCol w:w="975"/>
        <w:gridCol w:w="2667"/>
        <w:gridCol w:w="2691"/>
      </w:tblGrid>
      <w:tr w:rsidR="009B75A0" w:rsidRPr="00851192" w14:paraId="451E1D66" w14:textId="77777777" w:rsidTr="00F27343">
        <w:trPr>
          <w:trHeight w:val="986"/>
        </w:trPr>
        <w:tc>
          <w:tcPr>
            <w:tcW w:w="1803" w:type="dxa"/>
            <w:tcBorders>
              <w:top w:val="single" w:sz="4" w:space="0" w:color="auto"/>
              <w:left w:val="single" w:sz="4" w:space="0" w:color="auto"/>
              <w:bottom w:val="single" w:sz="4" w:space="0" w:color="auto"/>
              <w:right w:val="single" w:sz="4" w:space="0" w:color="auto"/>
            </w:tcBorders>
            <w:hideMark/>
          </w:tcPr>
          <w:p w14:paraId="280D8D1F" w14:textId="77777777" w:rsidR="009B75A0" w:rsidRPr="00851192" w:rsidRDefault="009B75A0" w:rsidP="00F27343">
            <w:pPr>
              <w:jc w:val="center"/>
              <w:rPr>
                <w:rFonts w:ascii="Arial" w:hAnsi="Arial" w:cs="Arial"/>
              </w:rPr>
            </w:pPr>
            <w:r w:rsidRPr="00851192">
              <w:rPr>
                <w:rFonts w:ascii="Arial" w:hAnsi="Arial" w:cs="Arial"/>
              </w:rPr>
              <w:t>Categories</w:t>
            </w:r>
          </w:p>
        </w:tc>
        <w:tc>
          <w:tcPr>
            <w:tcW w:w="1803" w:type="dxa"/>
            <w:tcBorders>
              <w:top w:val="single" w:sz="4" w:space="0" w:color="auto"/>
              <w:left w:val="single" w:sz="4" w:space="0" w:color="auto"/>
              <w:bottom w:val="single" w:sz="4" w:space="0" w:color="auto"/>
              <w:right w:val="single" w:sz="4" w:space="0" w:color="auto"/>
            </w:tcBorders>
            <w:hideMark/>
          </w:tcPr>
          <w:p w14:paraId="2AEBAA64" w14:textId="77777777" w:rsidR="009B75A0" w:rsidRPr="00851192" w:rsidRDefault="009B75A0" w:rsidP="00F27343">
            <w:pPr>
              <w:jc w:val="center"/>
              <w:rPr>
                <w:rFonts w:ascii="Arial" w:hAnsi="Arial" w:cs="Arial"/>
                <w:b/>
              </w:rPr>
            </w:pPr>
            <w:r w:rsidRPr="00851192">
              <w:rPr>
                <w:rFonts w:ascii="Segoe UI Symbol" w:hAnsi="Segoe UI Symbol" w:cs="Segoe UI Symbol"/>
                <w:b/>
                <w:shd w:val="clear" w:color="auto" w:fill="FFFFFF"/>
              </w:rPr>
              <w:t>✓</w:t>
            </w:r>
            <w:r w:rsidRPr="00851192">
              <w:rPr>
                <w:rFonts w:ascii="Arial" w:hAnsi="Arial" w:cs="Arial"/>
                <w:b/>
                <w:shd w:val="clear" w:color="auto" w:fill="FFFFFF"/>
              </w:rPr>
              <w:t xml:space="preserve"> / </w:t>
            </w: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hideMark/>
          </w:tcPr>
          <w:p w14:paraId="2DF486C9" w14:textId="77777777" w:rsidR="009B75A0" w:rsidRPr="00851192" w:rsidRDefault="009B75A0" w:rsidP="00F27343">
            <w:pPr>
              <w:jc w:val="center"/>
              <w:rPr>
                <w:rFonts w:ascii="Arial" w:hAnsi="Arial" w:cs="Arial"/>
              </w:rPr>
            </w:pPr>
            <w:r w:rsidRPr="00851192">
              <w:rPr>
                <w:rFonts w:ascii="Arial" w:hAnsi="Arial" w:cs="Arial"/>
              </w:rPr>
              <w:t>Present or Not Present</w:t>
            </w:r>
          </w:p>
        </w:tc>
        <w:tc>
          <w:tcPr>
            <w:tcW w:w="2681" w:type="dxa"/>
            <w:tcBorders>
              <w:top w:val="single" w:sz="4" w:space="0" w:color="auto"/>
              <w:left w:val="single" w:sz="4" w:space="0" w:color="auto"/>
              <w:bottom w:val="single" w:sz="4" w:space="0" w:color="auto"/>
              <w:right w:val="single" w:sz="4" w:space="0" w:color="auto"/>
            </w:tcBorders>
            <w:hideMark/>
          </w:tcPr>
          <w:p w14:paraId="18E3994D" w14:textId="77777777" w:rsidR="009B75A0" w:rsidRPr="00851192" w:rsidRDefault="009B75A0" w:rsidP="00F27343">
            <w:pPr>
              <w:jc w:val="center"/>
              <w:rPr>
                <w:rFonts w:ascii="Arial" w:hAnsi="Arial" w:cs="Arial"/>
              </w:rPr>
            </w:pPr>
            <w:r w:rsidRPr="00851192">
              <w:rPr>
                <w:rFonts w:ascii="Arial" w:hAnsi="Arial" w:cs="Arial"/>
              </w:rPr>
              <w:t>Researchers rating for clear information</w:t>
            </w:r>
          </w:p>
        </w:tc>
        <w:tc>
          <w:tcPr>
            <w:tcW w:w="2706" w:type="dxa"/>
            <w:tcBorders>
              <w:top w:val="single" w:sz="4" w:space="0" w:color="auto"/>
              <w:left w:val="single" w:sz="4" w:space="0" w:color="auto"/>
              <w:bottom w:val="single" w:sz="4" w:space="0" w:color="auto"/>
              <w:right w:val="single" w:sz="4" w:space="0" w:color="auto"/>
            </w:tcBorders>
            <w:hideMark/>
          </w:tcPr>
          <w:p w14:paraId="6E7CCF00" w14:textId="77777777" w:rsidR="009B75A0" w:rsidRPr="00851192" w:rsidRDefault="009B75A0" w:rsidP="00F27343">
            <w:pPr>
              <w:jc w:val="center"/>
              <w:rPr>
                <w:rFonts w:ascii="Arial" w:hAnsi="Arial" w:cs="Arial"/>
              </w:rPr>
            </w:pPr>
            <w:r w:rsidRPr="00851192">
              <w:rPr>
                <w:rFonts w:ascii="Arial" w:hAnsi="Arial" w:cs="Arial"/>
              </w:rPr>
              <w:t>Additional Comments</w:t>
            </w:r>
          </w:p>
        </w:tc>
      </w:tr>
      <w:tr w:rsidR="009B75A0" w:rsidRPr="00851192" w14:paraId="16CDDB61"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2F5AA933" w14:textId="77777777" w:rsidR="009B75A0" w:rsidRPr="00851192" w:rsidRDefault="009B75A0" w:rsidP="00F27343">
            <w:pPr>
              <w:jc w:val="center"/>
              <w:rPr>
                <w:rFonts w:ascii="Arial" w:hAnsi="Arial" w:cs="Arial"/>
                <w:b/>
              </w:rPr>
            </w:pPr>
            <w:r w:rsidRPr="00851192">
              <w:rPr>
                <w:rFonts w:ascii="Arial" w:hAnsi="Arial" w:cs="Arial"/>
                <w:b/>
              </w:rPr>
              <w:t>Secure Transaction</w:t>
            </w:r>
          </w:p>
        </w:tc>
        <w:tc>
          <w:tcPr>
            <w:tcW w:w="1803" w:type="dxa"/>
            <w:tcBorders>
              <w:top w:val="single" w:sz="4" w:space="0" w:color="auto"/>
              <w:left w:val="single" w:sz="4" w:space="0" w:color="auto"/>
              <w:bottom w:val="single" w:sz="4" w:space="0" w:color="auto"/>
              <w:right w:val="single" w:sz="4" w:space="0" w:color="auto"/>
            </w:tcBorders>
            <w:hideMark/>
          </w:tcPr>
          <w:p w14:paraId="4419C685"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tcPr>
          <w:p w14:paraId="2BE1B09D" w14:textId="77777777" w:rsidR="009B75A0" w:rsidRPr="00851192" w:rsidRDefault="009B75A0" w:rsidP="00F27343">
            <w:pPr>
              <w:rPr>
                <w:rFonts w:ascii="Arial" w:hAnsi="Arial" w:cs="Arial"/>
              </w:rPr>
            </w:pPr>
          </w:p>
        </w:tc>
        <w:tc>
          <w:tcPr>
            <w:tcW w:w="2681" w:type="dxa"/>
            <w:tcBorders>
              <w:top w:val="single" w:sz="4" w:space="0" w:color="auto"/>
              <w:left w:val="single" w:sz="4" w:space="0" w:color="auto"/>
              <w:bottom w:val="single" w:sz="4" w:space="0" w:color="auto"/>
              <w:right w:val="single" w:sz="4" w:space="0" w:color="auto"/>
            </w:tcBorders>
          </w:tcPr>
          <w:p w14:paraId="0C4137C7" w14:textId="77777777" w:rsidR="009B75A0" w:rsidRPr="00851192" w:rsidRDefault="009B75A0" w:rsidP="00F27343">
            <w:pPr>
              <w:rPr>
                <w:rFonts w:ascii="Arial" w:hAnsi="Arial" w:cs="Arial"/>
              </w:rPr>
            </w:pPr>
          </w:p>
        </w:tc>
        <w:tc>
          <w:tcPr>
            <w:tcW w:w="2706" w:type="dxa"/>
            <w:tcBorders>
              <w:top w:val="single" w:sz="4" w:space="0" w:color="auto"/>
              <w:left w:val="single" w:sz="4" w:space="0" w:color="auto"/>
              <w:bottom w:val="single" w:sz="4" w:space="0" w:color="auto"/>
              <w:right w:val="single" w:sz="4" w:space="0" w:color="auto"/>
            </w:tcBorders>
          </w:tcPr>
          <w:p w14:paraId="3D057E5F" w14:textId="77777777" w:rsidR="009B75A0" w:rsidRPr="00851192" w:rsidRDefault="009B75A0" w:rsidP="00F27343">
            <w:pPr>
              <w:rPr>
                <w:rFonts w:ascii="Arial" w:hAnsi="Arial" w:cs="Arial"/>
              </w:rPr>
            </w:pPr>
          </w:p>
        </w:tc>
      </w:tr>
      <w:tr w:rsidR="009B75A0" w:rsidRPr="00851192" w14:paraId="1BAAEB07"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7265DC0C" w14:textId="77777777" w:rsidR="009B75A0" w:rsidRPr="00851192" w:rsidRDefault="009B75A0" w:rsidP="00F27343">
            <w:pPr>
              <w:jc w:val="center"/>
              <w:rPr>
                <w:rFonts w:ascii="Arial" w:hAnsi="Arial" w:cs="Arial"/>
              </w:rPr>
            </w:pPr>
            <w:r w:rsidRPr="00851192">
              <w:rPr>
                <w:rFonts w:ascii="Arial" w:hAnsi="Arial" w:cs="Arial"/>
              </w:rPr>
              <w:t xml:space="preserve">Independent and governance body associated with global gambling operator. </w:t>
            </w:r>
          </w:p>
        </w:tc>
        <w:tc>
          <w:tcPr>
            <w:tcW w:w="1803" w:type="dxa"/>
            <w:tcBorders>
              <w:top w:val="single" w:sz="4" w:space="0" w:color="auto"/>
              <w:left w:val="single" w:sz="4" w:space="0" w:color="auto"/>
              <w:bottom w:val="single" w:sz="4" w:space="0" w:color="auto"/>
              <w:right w:val="single" w:sz="4" w:space="0" w:color="auto"/>
            </w:tcBorders>
          </w:tcPr>
          <w:p w14:paraId="48B7A0F6" w14:textId="77777777" w:rsidR="009B75A0" w:rsidRPr="00851192" w:rsidRDefault="009B75A0"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47A6C6B9" w14:textId="77777777" w:rsidR="009B75A0" w:rsidRPr="00851192" w:rsidRDefault="009B75A0" w:rsidP="00F27343">
            <w:pPr>
              <w:jc w:val="center"/>
              <w:rPr>
                <w:rFonts w:ascii="Arial" w:hAnsi="Arial" w:cs="Arial"/>
              </w:rPr>
            </w:pPr>
            <w:r w:rsidRPr="00851192">
              <w:rPr>
                <w:rFonts w:ascii="Arial" w:hAnsi="Arial" w:cs="Arial"/>
              </w:rPr>
              <w:t>1</w:t>
            </w:r>
          </w:p>
        </w:tc>
        <w:tc>
          <w:tcPr>
            <w:tcW w:w="2681" w:type="dxa"/>
            <w:tcBorders>
              <w:top w:val="single" w:sz="4" w:space="0" w:color="auto"/>
              <w:left w:val="single" w:sz="4" w:space="0" w:color="auto"/>
              <w:bottom w:val="single" w:sz="4" w:space="0" w:color="auto"/>
              <w:right w:val="single" w:sz="4" w:space="0" w:color="auto"/>
            </w:tcBorders>
            <w:hideMark/>
          </w:tcPr>
          <w:p w14:paraId="64227A60" w14:textId="77777777" w:rsidR="009B75A0" w:rsidRPr="00851192" w:rsidRDefault="009B75A0" w:rsidP="00F27343">
            <w:pPr>
              <w:jc w:val="center"/>
              <w:rPr>
                <w:rFonts w:ascii="Arial" w:hAnsi="Arial" w:cs="Arial"/>
              </w:rPr>
            </w:pPr>
            <w:r w:rsidRPr="00851192">
              <w:rPr>
                <w:rFonts w:ascii="Arial" w:hAnsi="Arial" w:cs="Arial"/>
              </w:rPr>
              <w:t>High</w:t>
            </w:r>
          </w:p>
        </w:tc>
        <w:tc>
          <w:tcPr>
            <w:tcW w:w="2706" w:type="dxa"/>
            <w:tcBorders>
              <w:top w:val="single" w:sz="4" w:space="0" w:color="auto"/>
              <w:left w:val="single" w:sz="4" w:space="0" w:color="auto"/>
              <w:bottom w:val="single" w:sz="4" w:space="0" w:color="auto"/>
              <w:right w:val="single" w:sz="4" w:space="0" w:color="auto"/>
            </w:tcBorders>
            <w:hideMark/>
          </w:tcPr>
          <w:p w14:paraId="19BDA68B" w14:textId="77777777" w:rsidR="009B75A0" w:rsidRPr="00851192" w:rsidRDefault="009B75A0" w:rsidP="00F27343">
            <w:pPr>
              <w:rPr>
                <w:rFonts w:ascii="Arial" w:hAnsi="Arial" w:cs="Arial"/>
              </w:rPr>
            </w:pPr>
            <w:r w:rsidRPr="00851192">
              <w:rPr>
                <w:rFonts w:ascii="Arial" w:hAnsi="Arial" w:cs="Arial"/>
              </w:rPr>
              <w:t xml:space="preserve">The global gambling operator are regulated and associated with independent bodies which audit the organisation. The organisation demonstrate that they comply with data protection act alongside the electronic funds transaction act. It is important to note that due to the location of the study (UK based), a limitation on whether secure transaction is consistently carried out throughout different countries is unaccounted for.  </w:t>
            </w:r>
          </w:p>
        </w:tc>
      </w:tr>
    </w:tbl>
    <w:p w14:paraId="07073ECB" w14:textId="77777777" w:rsidR="009B75A0" w:rsidRPr="00851192" w:rsidRDefault="009B75A0" w:rsidP="009B75A0">
      <w:pPr>
        <w:rPr>
          <w:rFonts w:ascii="Arial" w:hAnsi="Arial" w:cs="Arial"/>
        </w:rPr>
      </w:pPr>
    </w:p>
    <w:p w14:paraId="3C009DA8" w14:textId="77777777" w:rsidR="009B75A0" w:rsidRPr="00851192" w:rsidRDefault="009B75A0" w:rsidP="009B75A0">
      <w:pPr>
        <w:jc w:val="center"/>
        <w:rPr>
          <w:rFonts w:ascii="Arial" w:hAnsi="Arial" w:cs="Arial"/>
        </w:rPr>
      </w:pPr>
      <w:proofErr w:type="spellStart"/>
      <w:r w:rsidRPr="00851192">
        <w:rPr>
          <w:rFonts w:ascii="Arial" w:hAnsi="Arial" w:cs="Arial"/>
        </w:rPr>
        <w:t>Bwin</w:t>
      </w:r>
      <w:proofErr w:type="spellEnd"/>
    </w:p>
    <w:tbl>
      <w:tblPr>
        <w:tblStyle w:val="TableGrid"/>
        <w:tblW w:w="9918" w:type="dxa"/>
        <w:tblLook w:val="04A0" w:firstRow="1" w:lastRow="0" w:firstColumn="1" w:lastColumn="0" w:noHBand="0" w:noVBand="1"/>
      </w:tblPr>
      <w:tblGrid>
        <w:gridCol w:w="1799"/>
        <w:gridCol w:w="1786"/>
        <w:gridCol w:w="975"/>
        <w:gridCol w:w="2667"/>
        <w:gridCol w:w="2691"/>
      </w:tblGrid>
      <w:tr w:rsidR="009B75A0" w:rsidRPr="00851192" w14:paraId="418EAB36" w14:textId="77777777" w:rsidTr="00F27343">
        <w:trPr>
          <w:trHeight w:val="986"/>
        </w:trPr>
        <w:tc>
          <w:tcPr>
            <w:tcW w:w="1803" w:type="dxa"/>
            <w:tcBorders>
              <w:top w:val="single" w:sz="4" w:space="0" w:color="auto"/>
              <w:left w:val="single" w:sz="4" w:space="0" w:color="auto"/>
              <w:bottom w:val="single" w:sz="4" w:space="0" w:color="auto"/>
              <w:right w:val="single" w:sz="4" w:space="0" w:color="auto"/>
            </w:tcBorders>
            <w:hideMark/>
          </w:tcPr>
          <w:p w14:paraId="7EACFA70" w14:textId="77777777" w:rsidR="009B75A0" w:rsidRPr="00851192" w:rsidRDefault="009B75A0" w:rsidP="00F27343">
            <w:pPr>
              <w:jc w:val="center"/>
              <w:rPr>
                <w:rFonts w:ascii="Arial" w:hAnsi="Arial" w:cs="Arial"/>
              </w:rPr>
            </w:pPr>
            <w:r w:rsidRPr="00851192">
              <w:rPr>
                <w:rFonts w:ascii="Arial" w:hAnsi="Arial" w:cs="Arial"/>
              </w:rPr>
              <w:lastRenderedPageBreak/>
              <w:t>Categories</w:t>
            </w:r>
          </w:p>
        </w:tc>
        <w:tc>
          <w:tcPr>
            <w:tcW w:w="1803" w:type="dxa"/>
            <w:tcBorders>
              <w:top w:val="single" w:sz="4" w:space="0" w:color="auto"/>
              <w:left w:val="single" w:sz="4" w:space="0" w:color="auto"/>
              <w:bottom w:val="single" w:sz="4" w:space="0" w:color="auto"/>
              <w:right w:val="single" w:sz="4" w:space="0" w:color="auto"/>
            </w:tcBorders>
            <w:hideMark/>
          </w:tcPr>
          <w:p w14:paraId="4D1094AC" w14:textId="77777777" w:rsidR="009B75A0" w:rsidRPr="00851192" w:rsidRDefault="009B75A0" w:rsidP="00F27343">
            <w:pPr>
              <w:jc w:val="center"/>
              <w:rPr>
                <w:rFonts w:ascii="Arial" w:hAnsi="Arial" w:cs="Arial"/>
                <w:b/>
              </w:rPr>
            </w:pPr>
            <w:r w:rsidRPr="00851192">
              <w:rPr>
                <w:rFonts w:ascii="Segoe UI Symbol" w:hAnsi="Segoe UI Symbol" w:cs="Segoe UI Symbol"/>
                <w:b/>
                <w:shd w:val="clear" w:color="auto" w:fill="FFFFFF"/>
              </w:rPr>
              <w:t>✓</w:t>
            </w:r>
            <w:r w:rsidRPr="00851192">
              <w:rPr>
                <w:rFonts w:ascii="Arial" w:hAnsi="Arial" w:cs="Arial"/>
                <w:b/>
                <w:shd w:val="clear" w:color="auto" w:fill="FFFFFF"/>
              </w:rPr>
              <w:t xml:space="preserve"> / </w:t>
            </w: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hideMark/>
          </w:tcPr>
          <w:p w14:paraId="1024593D" w14:textId="77777777" w:rsidR="009B75A0" w:rsidRPr="00851192" w:rsidRDefault="009B75A0" w:rsidP="00F27343">
            <w:pPr>
              <w:jc w:val="center"/>
              <w:rPr>
                <w:rFonts w:ascii="Arial" w:hAnsi="Arial" w:cs="Arial"/>
              </w:rPr>
            </w:pPr>
            <w:r w:rsidRPr="00851192">
              <w:rPr>
                <w:rFonts w:ascii="Arial" w:hAnsi="Arial" w:cs="Arial"/>
              </w:rPr>
              <w:t>Present or Not Present</w:t>
            </w:r>
          </w:p>
        </w:tc>
        <w:tc>
          <w:tcPr>
            <w:tcW w:w="2681" w:type="dxa"/>
            <w:tcBorders>
              <w:top w:val="single" w:sz="4" w:space="0" w:color="auto"/>
              <w:left w:val="single" w:sz="4" w:space="0" w:color="auto"/>
              <w:bottom w:val="single" w:sz="4" w:space="0" w:color="auto"/>
              <w:right w:val="single" w:sz="4" w:space="0" w:color="auto"/>
            </w:tcBorders>
            <w:hideMark/>
          </w:tcPr>
          <w:p w14:paraId="5D8028F7" w14:textId="77777777" w:rsidR="009B75A0" w:rsidRPr="00851192" w:rsidRDefault="009B75A0" w:rsidP="00F27343">
            <w:pPr>
              <w:jc w:val="center"/>
              <w:rPr>
                <w:rFonts w:ascii="Arial" w:hAnsi="Arial" w:cs="Arial"/>
              </w:rPr>
            </w:pPr>
            <w:r w:rsidRPr="00851192">
              <w:rPr>
                <w:rFonts w:ascii="Arial" w:hAnsi="Arial" w:cs="Arial"/>
              </w:rPr>
              <w:t>Researchers rating for clear information</w:t>
            </w:r>
          </w:p>
        </w:tc>
        <w:tc>
          <w:tcPr>
            <w:tcW w:w="2706" w:type="dxa"/>
            <w:tcBorders>
              <w:top w:val="single" w:sz="4" w:space="0" w:color="auto"/>
              <w:left w:val="single" w:sz="4" w:space="0" w:color="auto"/>
              <w:bottom w:val="single" w:sz="4" w:space="0" w:color="auto"/>
              <w:right w:val="single" w:sz="4" w:space="0" w:color="auto"/>
            </w:tcBorders>
            <w:hideMark/>
          </w:tcPr>
          <w:p w14:paraId="18B0613A" w14:textId="77777777" w:rsidR="009B75A0" w:rsidRPr="00851192" w:rsidRDefault="009B75A0" w:rsidP="00F27343">
            <w:pPr>
              <w:jc w:val="center"/>
              <w:rPr>
                <w:rFonts w:ascii="Arial" w:hAnsi="Arial" w:cs="Arial"/>
              </w:rPr>
            </w:pPr>
            <w:r w:rsidRPr="00851192">
              <w:rPr>
                <w:rFonts w:ascii="Arial" w:hAnsi="Arial" w:cs="Arial"/>
              </w:rPr>
              <w:t>Additional Comments</w:t>
            </w:r>
          </w:p>
        </w:tc>
      </w:tr>
      <w:tr w:rsidR="009B75A0" w:rsidRPr="00851192" w14:paraId="677CACAD"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194B18DA" w14:textId="77777777" w:rsidR="009B75A0" w:rsidRPr="00851192" w:rsidRDefault="009B75A0" w:rsidP="00F27343">
            <w:pPr>
              <w:jc w:val="center"/>
              <w:rPr>
                <w:rFonts w:ascii="Arial" w:hAnsi="Arial" w:cs="Arial"/>
                <w:b/>
              </w:rPr>
            </w:pPr>
            <w:r w:rsidRPr="00851192">
              <w:rPr>
                <w:rFonts w:ascii="Arial" w:hAnsi="Arial" w:cs="Arial"/>
                <w:b/>
              </w:rPr>
              <w:t>Secure Transaction</w:t>
            </w:r>
          </w:p>
        </w:tc>
        <w:tc>
          <w:tcPr>
            <w:tcW w:w="1803" w:type="dxa"/>
            <w:tcBorders>
              <w:top w:val="single" w:sz="4" w:space="0" w:color="auto"/>
              <w:left w:val="single" w:sz="4" w:space="0" w:color="auto"/>
              <w:bottom w:val="single" w:sz="4" w:space="0" w:color="auto"/>
              <w:right w:val="single" w:sz="4" w:space="0" w:color="auto"/>
            </w:tcBorders>
            <w:hideMark/>
          </w:tcPr>
          <w:p w14:paraId="71051BB0"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tcPr>
          <w:p w14:paraId="6C042D7D" w14:textId="77777777" w:rsidR="009B75A0" w:rsidRPr="00851192" w:rsidRDefault="009B75A0" w:rsidP="00F27343">
            <w:pPr>
              <w:rPr>
                <w:rFonts w:ascii="Arial" w:hAnsi="Arial" w:cs="Arial"/>
              </w:rPr>
            </w:pPr>
          </w:p>
        </w:tc>
        <w:tc>
          <w:tcPr>
            <w:tcW w:w="2681" w:type="dxa"/>
            <w:tcBorders>
              <w:top w:val="single" w:sz="4" w:space="0" w:color="auto"/>
              <w:left w:val="single" w:sz="4" w:space="0" w:color="auto"/>
              <w:bottom w:val="single" w:sz="4" w:space="0" w:color="auto"/>
              <w:right w:val="single" w:sz="4" w:space="0" w:color="auto"/>
            </w:tcBorders>
          </w:tcPr>
          <w:p w14:paraId="77520CAB" w14:textId="77777777" w:rsidR="009B75A0" w:rsidRPr="00851192" w:rsidRDefault="009B75A0" w:rsidP="00F27343">
            <w:pPr>
              <w:rPr>
                <w:rFonts w:ascii="Arial" w:hAnsi="Arial" w:cs="Arial"/>
              </w:rPr>
            </w:pPr>
          </w:p>
        </w:tc>
        <w:tc>
          <w:tcPr>
            <w:tcW w:w="2706" w:type="dxa"/>
            <w:tcBorders>
              <w:top w:val="single" w:sz="4" w:space="0" w:color="auto"/>
              <w:left w:val="single" w:sz="4" w:space="0" w:color="auto"/>
              <w:bottom w:val="single" w:sz="4" w:space="0" w:color="auto"/>
              <w:right w:val="single" w:sz="4" w:space="0" w:color="auto"/>
            </w:tcBorders>
          </w:tcPr>
          <w:p w14:paraId="21BCEA7E" w14:textId="77777777" w:rsidR="009B75A0" w:rsidRPr="00851192" w:rsidRDefault="009B75A0" w:rsidP="00F27343">
            <w:pPr>
              <w:rPr>
                <w:rFonts w:ascii="Arial" w:hAnsi="Arial" w:cs="Arial"/>
              </w:rPr>
            </w:pPr>
          </w:p>
        </w:tc>
      </w:tr>
      <w:tr w:rsidR="009B75A0" w:rsidRPr="00851192" w14:paraId="175079AC"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34F95EF0" w14:textId="77777777" w:rsidR="009B75A0" w:rsidRPr="00851192" w:rsidRDefault="009B75A0" w:rsidP="00F27343">
            <w:pPr>
              <w:jc w:val="center"/>
              <w:rPr>
                <w:rFonts w:ascii="Arial" w:hAnsi="Arial" w:cs="Arial"/>
              </w:rPr>
            </w:pPr>
            <w:r w:rsidRPr="00851192">
              <w:rPr>
                <w:rFonts w:ascii="Arial" w:hAnsi="Arial" w:cs="Arial"/>
              </w:rPr>
              <w:t xml:space="preserve">Independent and governance body associated with global gambling operator. </w:t>
            </w:r>
          </w:p>
        </w:tc>
        <w:tc>
          <w:tcPr>
            <w:tcW w:w="1803" w:type="dxa"/>
            <w:tcBorders>
              <w:top w:val="single" w:sz="4" w:space="0" w:color="auto"/>
              <w:left w:val="single" w:sz="4" w:space="0" w:color="auto"/>
              <w:bottom w:val="single" w:sz="4" w:space="0" w:color="auto"/>
              <w:right w:val="single" w:sz="4" w:space="0" w:color="auto"/>
            </w:tcBorders>
          </w:tcPr>
          <w:p w14:paraId="5DBBDADA" w14:textId="77777777" w:rsidR="009B75A0" w:rsidRPr="00851192" w:rsidRDefault="009B75A0"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0AC7C9D8" w14:textId="77777777" w:rsidR="009B75A0" w:rsidRPr="00851192" w:rsidRDefault="009B75A0" w:rsidP="00F27343">
            <w:pPr>
              <w:jc w:val="center"/>
              <w:rPr>
                <w:rFonts w:ascii="Arial" w:hAnsi="Arial" w:cs="Arial"/>
              </w:rPr>
            </w:pPr>
            <w:r w:rsidRPr="00851192">
              <w:rPr>
                <w:rFonts w:ascii="Arial" w:hAnsi="Arial" w:cs="Arial"/>
              </w:rPr>
              <w:t>1</w:t>
            </w:r>
          </w:p>
        </w:tc>
        <w:tc>
          <w:tcPr>
            <w:tcW w:w="2681" w:type="dxa"/>
            <w:tcBorders>
              <w:top w:val="single" w:sz="4" w:space="0" w:color="auto"/>
              <w:left w:val="single" w:sz="4" w:space="0" w:color="auto"/>
              <w:bottom w:val="single" w:sz="4" w:space="0" w:color="auto"/>
              <w:right w:val="single" w:sz="4" w:space="0" w:color="auto"/>
            </w:tcBorders>
            <w:hideMark/>
          </w:tcPr>
          <w:p w14:paraId="2D97257B" w14:textId="77777777" w:rsidR="009B75A0" w:rsidRPr="00851192" w:rsidRDefault="009B75A0" w:rsidP="00F27343">
            <w:pPr>
              <w:jc w:val="center"/>
              <w:rPr>
                <w:rFonts w:ascii="Arial" w:hAnsi="Arial" w:cs="Arial"/>
              </w:rPr>
            </w:pPr>
            <w:r w:rsidRPr="00851192">
              <w:rPr>
                <w:rFonts w:ascii="Arial" w:hAnsi="Arial" w:cs="Arial"/>
              </w:rPr>
              <w:t>High</w:t>
            </w:r>
          </w:p>
        </w:tc>
        <w:tc>
          <w:tcPr>
            <w:tcW w:w="2706" w:type="dxa"/>
            <w:tcBorders>
              <w:top w:val="single" w:sz="4" w:space="0" w:color="auto"/>
              <w:left w:val="single" w:sz="4" w:space="0" w:color="auto"/>
              <w:bottom w:val="single" w:sz="4" w:space="0" w:color="auto"/>
              <w:right w:val="single" w:sz="4" w:space="0" w:color="auto"/>
            </w:tcBorders>
            <w:hideMark/>
          </w:tcPr>
          <w:p w14:paraId="1A85BA80" w14:textId="77777777" w:rsidR="009B75A0" w:rsidRPr="00851192" w:rsidRDefault="009B75A0" w:rsidP="00F27343">
            <w:pPr>
              <w:rPr>
                <w:rFonts w:ascii="Arial" w:hAnsi="Arial" w:cs="Arial"/>
              </w:rPr>
            </w:pPr>
            <w:r w:rsidRPr="00851192">
              <w:rPr>
                <w:rFonts w:ascii="Arial" w:hAnsi="Arial" w:cs="Arial"/>
              </w:rPr>
              <w:t xml:space="preserve">The global gambling operator are regulated and associated with independent bodies which audit the organisation. The organisation demonstrate that they comply with data protection act alongside the electronic funds transaction act. It is important to note that due to the location of the study (UK based), a limitation on whether secure transaction is consistently carried out throughout different countries is unaccounted for. </w:t>
            </w:r>
          </w:p>
        </w:tc>
      </w:tr>
    </w:tbl>
    <w:p w14:paraId="055885AB" w14:textId="77777777" w:rsidR="009B75A0" w:rsidRPr="00851192" w:rsidRDefault="009B75A0" w:rsidP="009B75A0">
      <w:pPr>
        <w:rPr>
          <w:rFonts w:ascii="Arial" w:hAnsi="Arial" w:cs="Arial"/>
        </w:rPr>
      </w:pPr>
    </w:p>
    <w:p w14:paraId="300C9DDB" w14:textId="77777777" w:rsidR="009B75A0" w:rsidRPr="00851192" w:rsidRDefault="009B75A0" w:rsidP="009B75A0">
      <w:pPr>
        <w:jc w:val="center"/>
        <w:rPr>
          <w:rFonts w:ascii="Arial" w:hAnsi="Arial" w:cs="Arial"/>
        </w:rPr>
      </w:pPr>
      <w:r w:rsidRPr="00851192">
        <w:rPr>
          <w:rFonts w:ascii="Arial" w:hAnsi="Arial" w:cs="Arial"/>
        </w:rPr>
        <w:t>Asia Gaming</w:t>
      </w:r>
    </w:p>
    <w:tbl>
      <w:tblPr>
        <w:tblStyle w:val="TableGrid"/>
        <w:tblW w:w="9918" w:type="dxa"/>
        <w:tblLook w:val="04A0" w:firstRow="1" w:lastRow="0" w:firstColumn="1" w:lastColumn="0" w:noHBand="0" w:noVBand="1"/>
      </w:tblPr>
      <w:tblGrid>
        <w:gridCol w:w="1799"/>
        <w:gridCol w:w="1786"/>
        <w:gridCol w:w="975"/>
        <w:gridCol w:w="2666"/>
        <w:gridCol w:w="2692"/>
      </w:tblGrid>
      <w:tr w:rsidR="009B75A0" w:rsidRPr="00851192" w14:paraId="3E8F9761" w14:textId="77777777" w:rsidTr="00F27343">
        <w:trPr>
          <w:trHeight w:val="986"/>
        </w:trPr>
        <w:tc>
          <w:tcPr>
            <w:tcW w:w="1803" w:type="dxa"/>
            <w:tcBorders>
              <w:top w:val="single" w:sz="4" w:space="0" w:color="auto"/>
              <w:left w:val="single" w:sz="4" w:space="0" w:color="auto"/>
              <w:bottom w:val="single" w:sz="4" w:space="0" w:color="auto"/>
              <w:right w:val="single" w:sz="4" w:space="0" w:color="auto"/>
            </w:tcBorders>
            <w:hideMark/>
          </w:tcPr>
          <w:p w14:paraId="6F109EE4" w14:textId="77777777" w:rsidR="009B75A0" w:rsidRPr="00851192" w:rsidRDefault="009B75A0" w:rsidP="00F27343">
            <w:pPr>
              <w:jc w:val="center"/>
              <w:rPr>
                <w:rFonts w:ascii="Arial" w:hAnsi="Arial" w:cs="Arial"/>
              </w:rPr>
            </w:pPr>
            <w:r w:rsidRPr="00851192">
              <w:rPr>
                <w:rFonts w:ascii="Arial" w:hAnsi="Arial" w:cs="Arial"/>
              </w:rPr>
              <w:t>Categories</w:t>
            </w:r>
          </w:p>
        </w:tc>
        <w:tc>
          <w:tcPr>
            <w:tcW w:w="1803" w:type="dxa"/>
            <w:tcBorders>
              <w:top w:val="single" w:sz="4" w:space="0" w:color="auto"/>
              <w:left w:val="single" w:sz="4" w:space="0" w:color="auto"/>
              <w:bottom w:val="single" w:sz="4" w:space="0" w:color="auto"/>
              <w:right w:val="single" w:sz="4" w:space="0" w:color="auto"/>
            </w:tcBorders>
            <w:hideMark/>
          </w:tcPr>
          <w:p w14:paraId="6BAC83D7" w14:textId="77777777" w:rsidR="009B75A0" w:rsidRPr="00851192" w:rsidRDefault="009B75A0" w:rsidP="00F27343">
            <w:pPr>
              <w:jc w:val="center"/>
              <w:rPr>
                <w:rFonts w:ascii="Arial" w:hAnsi="Arial" w:cs="Arial"/>
                <w:b/>
              </w:rPr>
            </w:pPr>
            <w:r w:rsidRPr="00851192">
              <w:rPr>
                <w:rFonts w:ascii="Segoe UI Symbol" w:hAnsi="Segoe UI Symbol" w:cs="Segoe UI Symbol"/>
                <w:b/>
                <w:shd w:val="clear" w:color="auto" w:fill="FFFFFF"/>
              </w:rPr>
              <w:t>✓</w:t>
            </w:r>
            <w:r w:rsidRPr="00851192">
              <w:rPr>
                <w:rFonts w:ascii="Arial" w:hAnsi="Arial" w:cs="Arial"/>
                <w:b/>
                <w:shd w:val="clear" w:color="auto" w:fill="FFFFFF"/>
              </w:rPr>
              <w:t xml:space="preserve"> / </w:t>
            </w: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hideMark/>
          </w:tcPr>
          <w:p w14:paraId="544AC86A" w14:textId="77777777" w:rsidR="009B75A0" w:rsidRPr="00851192" w:rsidRDefault="009B75A0" w:rsidP="00F27343">
            <w:pPr>
              <w:jc w:val="center"/>
              <w:rPr>
                <w:rFonts w:ascii="Arial" w:hAnsi="Arial" w:cs="Arial"/>
              </w:rPr>
            </w:pPr>
            <w:r w:rsidRPr="00851192">
              <w:rPr>
                <w:rFonts w:ascii="Arial" w:hAnsi="Arial" w:cs="Arial"/>
              </w:rPr>
              <w:t>Present or Not Present</w:t>
            </w:r>
          </w:p>
        </w:tc>
        <w:tc>
          <w:tcPr>
            <w:tcW w:w="2681" w:type="dxa"/>
            <w:tcBorders>
              <w:top w:val="single" w:sz="4" w:space="0" w:color="auto"/>
              <w:left w:val="single" w:sz="4" w:space="0" w:color="auto"/>
              <w:bottom w:val="single" w:sz="4" w:space="0" w:color="auto"/>
              <w:right w:val="single" w:sz="4" w:space="0" w:color="auto"/>
            </w:tcBorders>
            <w:hideMark/>
          </w:tcPr>
          <w:p w14:paraId="53F76758" w14:textId="77777777" w:rsidR="009B75A0" w:rsidRPr="00851192" w:rsidRDefault="009B75A0" w:rsidP="00F27343">
            <w:pPr>
              <w:jc w:val="center"/>
              <w:rPr>
                <w:rFonts w:ascii="Arial" w:hAnsi="Arial" w:cs="Arial"/>
              </w:rPr>
            </w:pPr>
            <w:r w:rsidRPr="00851192">
              <w:rPr>
                <w:rFonts w:ascii="Arial" w:hAnsi="Arial" w:cs="Arial"/>
              </w:rPr>
              <w:t>Researchers rating for clear information</w:t>
            </w:r>
          </w:p>
        </w:tc>
        <w:tc>
          <w:tcPr>
            <w:tcW w:w="2706" w:type="dxa"/>
            <w:tcBorders>
              <w:top w:val="single" w:sz="4" w:space="0" w:color="auto"/>
              <w:left w:val="single" w:sz="4" w:space="0" w:color="auto"/>
              <w:bottom w:val="single" w:sz="4" w:space="0" w:color="auto"/>
              <w:right w:val="single" w:sz="4" w:space="0" w:color="auto"/>
            </w:tcBorders>
            <w:hideMark/>
          </w:tcPr>
          <w:p w14:paraId="554476D4" w14:textId="77777777" w:rsidR="009B75A0" w:rsidRPr="00851192" w:rsidRDefault="009B75A0" w:rsidP="00F27343">
            <w:pPr>
              <w:jc w:val="center"/>
              <w:rPr>
                <w:rFonts w:ascii="Arial" w:hAnsi="Arial" w:cs="Arial"/>
              </w:rPr>
            </w:pPr>
            <w:r w:rsidRPr="00851192">
              <w:rPr>
                <w:rFonts w:ascii="Arial" w:hAnsi="Arial" w:cs="Arial"/>
              </w:rPr>
              <w:t>Additional Comments</w:t>
            </w:r>
          </w:p>
        </w:tc>
      </w:tr>
      <w:tr w:rsidR="009B75A0" w:rsidRPr="00851192" w14:paraId="71C0E04F"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25AF4173" w14:textId="77777777" w:rsidR="009B75A0" w:rsidRPr="00851192" w:rsidRDefault="009B75A0" w:rsidP="00F27343">
            <w:pPr>
              <w:jc w:val="center"/>
              <w:rPr>
                <w:rFonts w:ascii="Arial" w:hAnsi="Arial" w:cs="Arial"/>
                <w:b/>
              </w:rPr>
            </w:pPr>
            <w:r w:rsidRPr="00851192">
              <w:rPr>
                <w:rFonts w:ascii="Arial" w:hAnsi="Arial" w:cs="Arial"/>
                <w:b/>
              </w:rPr>
              <w:t>Secure Transaction</w:t>
            </w:r>
          </w:p>
        </w:tc>
        <w:tc>
          <w:tcPr>
            <w:tcW w:w="1803" w:type="dxa"/>
            <w:tcBorders>
              <w:top w:val="single" w:sz="4" w:space="0" w:color="auto"/>
              <w:left w:val="single" w:sz="4" w:space="0" w:color="auto"/>
              <w:bottom w:val="single" w:sz="4" w:space="0" w:color="auto"/>
              <w:right w:val="single" w:sz="4" w:space="0" w:color="auto"/>
            </w:tcBorders>
            <w:hideMark/>
          </w:tcPr>
          <w:p w14:paraId="4F6EB11E" w14:textId="77777777" w:rsidR="009B75A0" w:rsidRPr="00851192" w:rsidRDefault="009B75A0" w:rsidP="00F27343">
            <w:pPr>
              <w:jc w:val="center"/>
              <w:rPr>
                <w:rFonts w:ascii="Arial" w:hAnsi="Arial" w:cs="Arial"/>
              </w:rPr>
            </w:pP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tcPr>
          <w:p w14:paraId="648DABA8" w14:textId="77777777" w:rsidR="009B75A0" w:rsidRPr="00851192" w:rsidRDefault="009B75A0" w:rsidP="00F27343">
            <w:pPr>
              <w:rPr>
                <w:rFonts w:ascii="Arial" w:hAnsi="Arial" w:cs="Arial"/>
              </w:rPr>
            </w:pPr>
          </w:p>
        </w:tc>
        <w:tc>
          <w:tcPr>
            <w:tcW w:w="2681" w:type="dxa"/>
            <w:tcBorders>
              <w:top w:val="single" w:sz="4" w:space="0" w:color="auto"/>
              <w:left w:val="single" w:sz="4" w:space="0" w:color="auto"/>
              <w:bottom w:val="single" w:sz="4" w:space="0" w:color="auto"/>
              <w:right w:val="single" w:sz="4" w:space="0" w:color="auto"/>
            </w:tcBorders>
          </w:tcPr>
          <w:p w14:paraId="29FF2B1E" w14:textId="77777777" w:rsidR="009B75A0" w:rsidRPr="00851192" w:rsidRDefault="009B75A0" w:rsidP="00F27343">
            <w:pPr>
              <w:rPr>
                <w:rFonts w:ascii="Arial" w:hAnsi="Arial" w:cs="Arial"/>
              </w:rPr>
            </w:pPr>
          </w:p>
        </w:tc>
        <w:tc>
          <w:tcPr>
            <w:tcW w:w="2706" w:type="dxa"/>
            <w:tcBorders>
              <w:top w:val="single" w:sz="4" w:space="0" w:color="auto"/>
              <w:left w:val="single" w:sz="4" w:space="0" w:color="auto"/>
              <w:bottom w:val="single" w:sz="4" w:space="0" w:color="auto"/>
              <w:right w:val="single" w:sz="4" w:space="0" w:color="auto"/>
            </w:tcBorders>
          </w:tcPr>
          <w:p w14:paraId="3D25E4A2" w14:textId="77777777" w:rsidR="009B75A0" w:rsidRPr="00851192" w:rsidRDefault="009B75A0" w:rsidP="00F27343">
            <w:pPr>
              <w:rPr>
                <w:rFonts w:ascii="Arial" w:hAnsi="Arial" w:cs="Arial"/>
              </w:rPr>
            </w:pPr>
          </w:p>
        </w:tc>
      </w:tr>
      <w:tr w:rsidR="009B75A0" w:rsidRPr="00851192" w14:paraId="5E321630"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0F6A1F27" w14:textId="77777777" w:rsidR="009B75A0" w:rsidRPr="00851192" w:rsidRDefault="009B75A0" w:rsidP="00F27343">
            <w:pPr>
              <w:jc w:val="center"/>
              <w:rPr>
                <w:rFonts w:ascii="Arial" w:hAnsi="Arial" w:cs="Arial"/>
              </w:rPr>
            </w:pPr>
            <w:r w:rsidRPr="00851192">
              <w:rPr>
                <w:rFonts w:ascii="Arial" w:hAnsi="Arial" w:cs="Arial"/>
              </w:rPr>
              <w:t xml:space="preserve">Independent and governance body associated with global gambling operator. </w:t>
            </w:r>
          </w:p>
        </w:tc>
        <w:tc>
          <w:tcPr>
            <w:tcW w:w="1803" w:type="dxa"/>
            <w:tcBorders>
              <w:top w:val="single" w:sz="4" w:space="0" w:color="auto"/>
              <w:left w:val="single" w:sz="4" w:space="0" w:color="auto"/>
              <w:bottom w:val="single" w:sz="4" w:space="0" w:color="auto"/>
              <w:right w:val="single" w:sz="4" w:space="0" w:color="auto"/>
            </w:tcBorders>
          </w:tcPr>
          <w:p w14:paraId="7539D6BC" w14:textId="77777777" w:rsidR="009B75A0" w:rsidRPr="00851192" w:rsidRDefault="009B75A0"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46EFD3A5" w14:textId="77777777" w:rsidR="009B75A0" w:rsidRPr="00851192" w:rsidRDefault="009B75A0" w:rsidP="00F27343">
            <w:pPr>
              <w:jc w:val="center"/>
              <w:rPr>
                <w:rFonts w:ascii="Arial" w:hAnsi="Arial" w:cs="Arial"/>
              </w:rPr>
            </w:pPr>
            <w:r w:rsidRPr="00851192">
              <w:rPr>
                <w:rFonts w:ascii="Arial" w:hAnsi="Arial" w:cs="Arial"/>
              </w:rPr>
              <w:t>1</w:t>
            </w:r>
          </w:p>
        </w:tc>
        <w:tc>
          <w:tcPr>
            <w:tcW w:w="2681" w:type="dxa"/>
            <w:tcBorders>
              <w:top w:val="single" w:sz="4" w:space="0" w:color="auto"/>
              <w:left w:val="single" w:sz="4" w:space="0" w:color="auto"/>
              <w:bottom w:val="single" w:sz="4" w:space="0" w:color="auto"/>
              <w:right w:val="single" w:sz="4" w:space="0" w:color="auto"/>
            </w:tcBorders>
            <w:hideMark/>
          </w:tcPr>
          <w:p w14:paraId="799749C3" w14:textId="77777777" w:rsidR="009B75A0" w:rsidRPr="00851192" w:rsidRDefault="009B75A0" w:rsidP="00F27343">
            <w:pPr>
              <w:jc w:val="center"/>
              <w:rPr>
                <w:rFonts w:ascii="Arial" w:hAnsi="Arial" w:cs="Arial"/>
              </w:rPr>
            </w:pPr>
            <w:r w:rsidRPr="00851192">
              <w:rPr>
                <w:rFonts w:ascii="Arial" w:hAnsi="Arial" w:cs="Arial"/>
              </w:rPr>
              <w:t>Adequate</w:t>
            </w:r>
          </w:p>
        </w:tc>
        <w:tc>
          <w:tcPr>
            <w:tcW w:w="2706" w:type="dxa"/>
            <w:tcBorders>
              <w:top w:val="single" w:sz="4" w:space="0" w:color="auto"/>
              <w:left w:val="single" w:sz="4" w:space="0" w:color="auto"/>
              <w:bottom w:val="single" w:sz="4" w:space="0" w:color="auto"/>
              <w:right w:val="single" w:sz="4" w:space="0" w:color="auto"/>
            </w:tcBorders>
            <w:hideMark/>
          </w:tcPr>
          <w:p w14:paraId="3BF5C277" w14:textId="77777777" w:rsidR="009B75A0" w:rsidRPr="00851192" w:rsidRDefault="009B75A0" w:rsidP="00F27343">
            <w:pPr>
              <w:rPr>
                <w:rFonts w:ascii="Arial" w:hAnsi="Arial" w:cs="Arial"/>
              </w:rPr>
            </w:pPr>
            <w:r w:rsidRPr="00851192">
              <w:rPr>
                <w:rFonts w:ascii="Arial" w:hAnsi="Arial" w:cs="Arial"/>
              </w:rPr>
              <w:t xml:space="preserve">The global gambling operator are regulated and associated with independent bodies which audit the organisation, this is demonstrated within Entertainment Asia Gaming Inc. It is important to note that due to the location of the study (UK based), a limitation on whether secure transaction is consistently carried out throughout different countries is unaccounted for. </w:t>
            </w:r>
          </w:p>
        </w:tc>
      </w:tr>
    </w:tbl>
    <w:p w14:paraId="4376BFED" w14:textId="428A09CD" w:rsidR="009B75A0" w:rsidRPr="00851192" w:rsidRDefault="009B75A0" w:rsidP="0017796E">
      <w:pPr>
        <w:rPr>
          <w:rFonts w:ascii="Arial" w:hAnsi="Arial" w:cs="Arial"/>
          <w:lang w:val="en-US"/>
        </w:rPr>
      </w:pPr>
    </w:p>
    <w:p w14:paraId="7C4B14BB" w14:textId="77777777" w:rsidR="00682E18" w:rsidRPr="00851192" w:rsidRDefault="00682E18" w:rsidP="009F0D2A">
      <w:pPr>
        <w:jc w:val="center"/>
        <w:rPr>
          <w:rFonts w:ascii="Arial" w:hAnsi="Arial" w:cs="Arial"/>
          <w:b/>
        </w:rPr>
      </w:pPr>
    </w:p>
    <w:p w14:paraId="42535724" w14:textId="7B83C93E" w:rsidR="009F0D2A" w:rsidRPr="00851192" w:rsidRDefault="009F0D2A" w:rsidP="009F0D2A">
      <w:pPr>
        <w:jc w:val="center"/>
        <w:rPr>
          <w:rFonts w:ascii="Arial" w:hAnsi="Arial" w:cs="Arial"/>
        </w:rPr>
      </w:pPr>
      <w:r w:rsidRPr="00851192">
        <w:rPr>
          <w:rFonts w:ascii="Arial" w:hAnsi="Arial" w:cs="Arial"/>
          <w:b/>
        </w:rPr>
        <w:t xml:space="preserve">Table </w:t>
      </w:r>
      <w:r w:rsidR="005E3EE2" w:rsidRPr="00851192">
        <w:rPr>
          <w:rFonts w:ascii="Arial" w:hAnsi="Arial" w:cs="Arial"/>
          <w:b/>
        </w:rPr>
        <w:t>7</w:t>
      </w:r>
      <w:r w:rsidRPr="00851192">
        <w:rPr>
          <w:rFonts w:ascii="Arial" w:hAnsi="Arial" w:cs="Arial"/>
          <w:b/>
        </w:rPr>
        <w:t>.</w:t>
      </w:r>
      <w:r w:rsidR="009E5260" w:rsidRPr="00851192">
        <w:rPr>
          <w:rFonts w:ascii="Arial" w:hAnsi="Arial" w:cs="Arial"/>
          <w:b/>
        </w:rPr>
        <w:t>9</w:t>
      </w:r>
      <w:r w:rsidRPr="00851192">
        <w:rPr>
          <w:rFonts w:ascii="Arial" w:hAnsi="Arial" w:cs="Arial"/>
        </w:rPr>
        <w:t xml:space="preserve"> Global Gambling Operators and Money Balance Services</w:t>
      </w:r>
    </w:p>
    <w:p w14:paraId="1242D234" w14:textId="3333A0E3" w:rsidR="009F0D2A" w:rsidRPr="00851192" w:rsidRDefault="009F0D2A" w:rsidP="009F0D2A">
      <w:pPr>
        <w:jc w:val="center"/>
        <w:rPr>
          <w:rFonts w:ascii="Arial" w:hAnsi="Arial" w:cs="Arial"/>
        </w:rPr>
      </w:pPr>
      <w:r w:rsidRPr="00851192">
        <w:rPr>
          <w:rFonts w:ascii="Arial" w:hAnsi="Arial" w:cs="Arial"/>
        </w:rPr>
        <w:t>B</w:t>
      </w:r>
      <w:r w:rsidR="00682E18" w:rsidRPr="00851192">
        <w:rPr>
          <w:rFonts w:ascii="Arial" w:hAnsi="Arial" w:cs="Arial"/>
        </w:rPr>
        <w:t>et</w:t>
      </w:r>
      <w:r w:rsidRPr="00851192">
        <w:rPr>
          <w:rFonts w:ascii="Arial" w:hAnsi="Arial" w:cs="Arial"/>
        </w:rPr>
        <w:t>365</w:t>
      </w:r>
    </w:p>
    <w:tbl>
      <w:tblPr>
        <w:tblStyle w:val="TableGrid"/>
        <w:tblW w:w="9918" w:type="dxa"/>
        <w:tblLook w:val="04A0" w:firstRow="1" w:lastRow="0" w:firstColumn="1" w:lastColumn="0" w:noHBand="0" w:noVBand="1"/>
      </w:tblPr>
      <w:tblGrid>
        <w:gridCol w:w="1800"/>
        <w:gridCol w:w="1786"/>
        <w:gridCol w:w="975"/>
        <w:gridCol w:w="2666"/>
        <w:gridCol w:w="2691"/>
      </w:tblGrid>
      <w:tr w:rsidR="009F0D2A" w:rsidRPr="00851192" w14:paraId="3B26F05C" w14:textId="77777777" w:rsidTr="00F27343">
        <w:trPr>
          <w:trHeight w:val="986"/>
        </w:trPr>
        <w:tc>
          <w:tcPr>
            <w:tcW w:w="1803" w:type="dxa"/>
            <w:tcBorders>
              <w:top w:val="single" w:sz="4" w:space="0" w:color="auto"/>
              <w:left w:val="single" w:sz="4" w:space="0" w:color="auto"/>
              <w:bottom w:val="single" w:sz="4" w:space="0" w:color="auto"/>
              <w:right w:val="single" w:sz="4" w:space="0" w:color="auto"/>
            </w:tcBorders>
            <w:hideMark/>
          </w:tcPr>
          <w:p w14:paraId="2886CB5E" w14:textId="77777777" w:rsidR="009F0D2A" w:rsidRPr="00851192" w:rsidRDefault="009F0D2A" w:rsidP="00F27343">
            <w:pPr>
              <w:jc w:val="center"/>
              <w:rPr>
                <w:rFonts w:ascii="Arial" w:hAnsi="Arial" w:cs="Arial"/>
              </w:rPr>
            </w:pPr>
            <w:r w:rsidRPr="00851192">
              <w:rPr>
                <w:rFonts w:ascii="Arial" w:hAnsi="Arial" w:cs="Arial"/>
              </w:rPr>
              <w:t>Categories</w:t>
            </w:r>
          </w:p>
        </w:tc>
        <w:tc>
          <w:tcPr>
            <w:tcW w:w="1803" w:type="dxa"/>
            <w:tcBorders>
              <w:top w:val="single" w:sz="4" w:space="0" w:color="auto"/>
              <w:left w:val="single" w:sz="4" w:space="0" w:color="auto"/>
              <w:bottom w:val="single" w:sz="4" w:space="0" w:color="auto"/>
              <w:right w:val="single" w:sz="4" w:space="0" w:color="auto"/>
            </w:tcBorders>
            <w:hideMark/>
          </w:tcPr>
          <w:p w14:paraId="56348AA5" w14:textId="77777777" w:rsidR="009F0D2A" w:rsidRPr="00851192" w:rsidRDefault="009F0D2A" w:rsidP="00F27343">
            <w:pPr>
              <w:jc w:val="center"/>
              <w:rPr>
                <w:rFonts w:ascii="Arial" w:hAnsi="Arial" w:cs="Arial"/>
                <w:b/>
              </w:rPr>
            </w:pPr>
            <w:r w:rsidRPr="00851192">
              <w:rPr>
                <w:rFonts w:ascii="Segoe UI Symbol" w:hAnsi="Segoe UI Symbol" w:cs="Segoe UI Symbol"/>
                <w:b/>
                <w:shd w:val="clear" w:color="auto" w:fill="FFFFFF"/>
              </w:rPr>
              <w:t>✓</w:t>
            </w:r>
            <w:r w:rsidRPr="00851192">
              <w:rPr>
                <w:rFonts w:ascii="Arial" w:hAnsi="Arial" w:cs="Arial"/>
                <w:b/>
                <w:shd w:val="clear" w:color="auto" w:fill="FFFFFF"/>
              </w:rPr>
              <w:t xml:space="preserve"> / </w:t>
            </w: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hideMark/>
          </w:tcPr>
          <w:p w14:paraId="38B7D04E" w14:textId="77777777" w:rsidR="009F0D2A" w:rsidRPr="00851192" w:rsidRDefault="009F0D2A" w:rsidP="00F27343">
            <w:pPr>
              <w:jc w:val="center"/>
              <w:rPr>
                <w:rFonts w:ascii="Arial" w:hAnsi="Arial" w:cs="Arial"/>
              </w:rPr>
            </w:pPr>
            <w:r w:rsidRPr="00851192">
              <w:rPr>
                <w:rFonts w:ascii="Arial" w:hAnsi="Arial" w:cs="Arial"/>
              </w:rPr>
              <w:t>Present or Not Present</w:t>
            </w:r>
          </w:p>
        </w:tc>
        <w:tc>
          <w:tcPr>
            <w:tcW w:w="2681" w:type="dxa"/>
            <w:tcBorders>
              <w:top w:val="single" w:sz="4" w:space="0" w:color="auto"/>
              <w:left w:val="single" w:sz="4" w:space="0" w:color="auto"/>
              <w:bottom w:val="single" w:sz="4" w:space="0" w:color="auto"/>
              <w:right w:val="single" w:sz="4" w:space="0" w:color="auto"/>
            </w:tcBorders>
            <w:hideMark/>
          </w:tcPr>
          <w:p w14:paraId="7EBF1D8B" w14:textId="77777777" w:rsidR="009F0D2A" w:rsidRPr="00851192" w:rsidRDefault="009F0D2A" w:rsidP="00F27343">
            <w:pPr>
              <w:jc w:val="center"/>
              <w:rPr>
                <w:rFonts w:ascii="Arial" w:hAnsi="Arial" w:cs="Arial"/>
              </w:rPr>
            </w:pPr>
            <w:r w:rsidRPr="00851192">
              <w:rPr>
                <w:rFonts w:ascii="Arial" w:hAnsi="Arial" w:cs="Arial"/>
              </w:rPr>
              <w:t>Researchers rating for clear information</w:t>
            </w:r>
          </w:p>
        </w:tc>
        <w:tc>
          <w:tcPr>
            <w:tcW w:w="2706" w:type="dxa"/>
            <w:tcBorders>
              <w:top w:val="single" w:sz="4" w:space="0" w:color="auto"/>
              <w:left w:val="single" w:sz="4" w:space="0" w:color="auto"/>
              <w:bottom w:val="single" w:sz="4" w:space="0" w:color="auto"/>
              <w:right w:val="single" w:sz="4" w:space="0" w:color="auto"/>
            </w:tcBorders>
            <w:hideMark/>
          </w:tcPr>
          <w:p w14:paraId="04DD5C34" w14:textId="77777777" w:rsidR="009F0D2A" w:rsidRPr="00851192" w:rsidRDefault="009F0D2A" w:rsidP="00F27343">
            <w:pPr>
              <w:jc w:val="center"/>
              <w:rPr>
                <w:rFonts w:ascii="Arial" w:hAnsi="Arial" w:cs="Arial"/>
              </w:rPr>
            </w:pPr>
            <w:r w:rsidRPr="00851192">
              <w:rPr>
                <w:rFonts w:ascii="Arial" w:hAnsi="Arial" w:cs="Arial"/>
              </w:rPr>
              <w:t>Additional Comments</w:t>
            </w:r>
          </w:p>
        </w:tc>
      </w:tr>
      <w:tr w:rsidR="009F0D2A" w:rsidRPr="00851192" w14:paraId="325E662B"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5FDFDF79" w14:textId="77777777" w:rsidR="009F0D2A" w:rsidRPr="00851192" w:rsidRDefault="009F0D2A" w:rsidP="00F27343">
            <w:pPr>
              <w:jc w:val="center"/>
              <w:rPr>
                <w:rFonts w:ascii="Arial" w:hAnsi="Arial" w:cs="Arial"/>
                <w:b/>
              </w:rPr>
            </w:pPr>
            <w:r w:rsidRPr="00851192">
              <w:rPr>
                <w:rFonts w:ascii="Arial" w:hAnsi="Arial" w:cs="Arial"/>
                <w:b/>
              </w:rPr>
              <w:t>Money Balance Service</w:t>
            </w:r>
          </w:p>
        </w:tc>
        <w:tc>
          <w:tcPr>
            <w:tcW w:w="1803" w:type="dxa"/>
            <w:tcBorders>
              <w:top w:val="single" w:sz="4" w:space="0" w:color="auto"/>
              <w:left w:val="single" w:sz="4" w:space="0" w:color="auto"/>
              <w:bottom w:val="single" w:sz="4" w:space="0" w:color="auto"/>
              <w:right w:val="single" w:sz="4" w:space="0" w:color="auto"/>
            </w:tcBorders>
            <w:hideMark/>
          </w:tcPr>
          <w:p w14:paraId="2A8D0DEF" w14:textId="77777777" w:rsidR="009F0D2A" w:rsidRPr="00851192" w:rsidRDefault="009F0D2A" w:rsidP="00F27343">
            <w:pPr>
              <w:jc w:val="center"/>
              <w:rPr>
                <w:rFonts w:ascii="Arial" w:hAnsi="Arial" w:cs="Arial"/>
              </w:rPr>
            </w:pP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tcPr>
          <w:p w14:paraId="005C4FA9" w14:textId="77777777" w:rsidR="009F0D2A" w:rsidRPr="00851192" w:rsidRDefault="009F0D2A" w:rsidP="00F27343">
            <w:pPr>
              <w:rPr>
                <w:rFonts w:ascii="Arial" w:hAnsi="Arial" w:cs="Arial"/>
              </w:rPr>
            </w:pPr>
          </w:p>
        </w:tc>
        <w:tc>
          <w:tcPr>
            <w:tcW w:w="2681" w:type="dxa"/>
            <w:tcBorders>
              <w:top w:val="single" w:sz="4" w:space="0" w:color="auto"/>
              <w:left w:val="single" w:sz="4" w:space="0" w:color="auto"/>
              <w:bottom w:val="single" w:sz="4" w:space="0" w:color="auto"/>
              <w:right w:val="single" w:sz="4" w:space="0" w:color="auto"/>
            </w:tcBorders>
          </w:tcPr>
          <w:p w14:paraId="7068C4F5" w14:textId="77777777" w:rsidR="009F0D2A" w:rsidRPr="00851192" w:rsidRDefault="009F0D2A" w:rsidP="00F27343">
            <w:pPr>
              <w:rPr>
                <w:rFonts w:ascii="Arial" w:hAnsi="Arial" w:cs="Arial"/>
              </w:rPr>
            </w:pPr>
          </w:p>
        </w:tc>
        <w:tc>
          <w:tcPr>
            <w:tcW w:w="2706" w:type="dxa"/>
            <w:tcBorders>
              <w:top w:val="single" w:sz="4" w:space="0" w:color="auto"/>
              <w:left w:val="single" w:sz="4" w:space="0" w:color="auto"/>
              <w:bottom w:val="single" w:sz="4" w:space="0" w:color="auto"/>
              <w:right w:val="single" w:sz="4" w:space="0" w:color="auto"/>
            </w:tcBorders>
          </w:tcPr>
          <w:p w14:paraId="7E58DE8B" w14:textId="77777777" w:rsidR="009F0D2A" w:rsidRPr="00851192" w:rsidRDefault="009F0D2A" w:rsidP="00F27343">
            <w:pPr>
              <w:rPr>
                <w:rFonts w:ascii="Arial" w:hAnsi="Arial" w:cs="Arial"/>
              </w:rPr>
            </w:pPr>
          </w:p>
        </w:tc>
      </w:tr>
      <w:tr w:rsidR="009F0D2A" w:rsidRPr="00851192" w14:paraId="49EE0C50"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6A825A35" w14:textId="77777777" w:rsidR="009F0D2A" w:rsidRPr="00851192" w:rsidRDefault="009F0D2A" w:rsidP="00F27343">
            <w:pPr>
              <w:jc w:val="center"/>
              <w:rPr>
                <w:rFonts w:ascii="Arial" w:hAnsi="Arial" w:cs="Arial"/>
              </w:rPr>
            </w:pPr>
            <w:r w:rsidRPr="00851192">
              <w:rPr>
                <w:rFonts w:ascii="Arial" w:hAnsi="Arial" w:cs="Arial"/>
              </w:rPr>
              <w:t xml:space="preserve">Adding funds is user friendly and easily accessible. </w:t>
            </w:r>
          </w:p>
        </w:tc>
        <w:tc>
          <w:tcPr>
            <w:tcW w:w="1803" w:type="dxa"/>
            <w:tcBorders>
              <w:top w:val="single" w:sz="4" w:space="0" w:color="auto"/>
              <w:left w:val="single" w:sz="4" w:space="0" w:color="auto"/>
              <w:bottom w:val="single" w:sz="4" w:space="0" w:color="auto"/>
              <w:right w:val="single" w:sz="4" w:space="0" w:color="auto"/>
            </w:tcBorders>
          </w:tcPr>
          <w:p w14:paraId="25CB943F" w14:textId="77777777" w:rsidR="009F0D2A" w:rsidRPr="00851192" w:rsidRDefault="009F0D2A"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0E030B6F" w14:textId="77777777" w:rsidR="009F0D2A" w:rsidRPr="00851192" w:rsidRDefault="009F0D2A" w:rsidP="00F27343">
            <w:pPr>
              <w:jc w:val="center"/>
              <w:rPr>
                <w:rFonts w:ascii="Arial" w:hAnsi="Arial" w:cs="Arial"/>
              </w:rPr>
            </w:pPr>
            <w:r w:rsidRPr="00851192">
              <w:rPr>
                <w:rFonts w:ascii="Arial" w:hAnsi="Arial" w:cs="Arial"/>
              </w:rPr>
              <w:t>1</w:t>
            </w:r>
          </w:p>
        </w:tc>
        <w:tc>
          <w:tcPr>
            <w:tcW w:w="2681" w:type="dxa"/>
            <w:tcBorders>
              <w:top w:val="single" w:sz="4" w:space="0" w:color="auto"/>
              <w:left w:val="single" w:sz="4" w:space="0" w:color="auto"/>
              <w:bottom w:val="single" w:sz="4" w:space="0" w:color="auto"/>
              <w:right w:val="single" w:sz="4" w:space="0" w:color="auto"/>
            </w:tcBorders>
            <w:hideMark/>
          </w:tcPr>
          <w:p w14:paraId="25DA4CEF" w14:textId="77777777" w:rsidR="009F0D2A" w:rsidRPr="00851192" w:rsidRDefault="009F0D2A" w:rsidP="00F27343">
            <w:pPr>
              <w:jc w:val="center"/>
              <w:rPr>
                <w:rFonts w:ascii="Arial" w:hAnsi="Arial" w:cs="Arial"/>
              </w:rPr>
            </w:pPr>
            <w:r w:rsidRPr="00851192">
              <w:rPr>
                <w:rFonts w:ascii="Arial" w:hAnsi="Arial" w:cs="Arial"/>
              </w:rPr>
              <w:t>High</w:t>
            </w:r>
          </w:p>
        </w:tc>
        <w:tc>
          <w:tcPr>
            <w:tcW w:w="2706" w:type="dxa"/>
            <w:tcBorders>
              <w:top w:val="single" w:sz="4" w:space="0" w:color="auto"/>
              <w:left w:val="single" w:sz="4" w:space="0" w:color="auto"/>
              <w:bottom w:val="single" w:sz="4" w:space="0" w:color="auto"/>
              <w:right w:val="single" w:sz="4" w:space="0" w:color="auto"/>
            </w:tcBorders>
            <w:hideMark/>
          </w:tcPr>
          <w:p w14:paraId="42C63BB9" w14:textId="77777777" w:rsidR="009F0D2A" w:rsidRPr="00851192" w:rsidRDefault="009F0D2A" w:rsidP="00F27343">
            <w:pPr>
              <w:rPr>
                <w:rFonts w:ascii="Arial" w:hAnsi="Arial" w:cs="Arial"/>
              </w:rPr>
            </w:pPr>
            <w:r w:rsidRPr="00851192">
              <w:rPr>
                <w:rFonts w:ascii="Arial" w:hAnsi="Arial" w:cs="Arial"/>
              </w:rPr>
              <w:t xml:space="preserve">Adding funds into user account is easily accessible for customers. </w:t>
            </w:r>
          </w:p>
        </w:tc>
      </w:tr>
      <w:tr w:rsidR="009F0D2A" w:rsidRPr="00851192" w14:paraId="4411D094"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4C5B2650" w14:textId="77777777" w:rsidR="009F0D2A" w:rsidRPr="00851192" w:rsidRDefault="009F0D2A" w:rsidP="00F27343">
            <w:pPr>
              <w:jc w:val="center"/>
              <w:rPr>
                <w:rFonts w:ascii="Arial" w:hAnsi="Arial" w:cs="Arial"/>
              </w:rPr>
            </w:pPr>
            <w:r w:rsidRPr="00851192">
              <w:rPr>
                <w:rFonts w:ascii="Arial" w:hAnsi="Arial" w:cs="Arial"/>
              </w:rPr>
              <w:t>Money balance is clear for user</w:t>
            </w:r>
          </w:p>
        </w:tc>
        <w:tc>
          <w:tcPr>
            <w:tcW w:w="1803" w:type="dxa"/>
            <w:tcBorders>
              <w:top w:val="single" w:sz="4" w:space="0" w:color="auto"/>
              <w:left w:val="single" w:sz="4" w:space="0" w:color="auto"/>
              <w:bottom w:val="single" w:sz="4" w:space="0" w:color="auto"/>
              <w:right w:val="single" w:sz="4" w:space="0" w:color="auto"/>
            </w:tcBorders>
          </w:tcPr>
          <w:p w14:paraId="5FD9AF51" w14:textId="77777777" w:rsidR="009F0D2A" w:rsidRPr="00851192" w:rsidRDefault="009F0D2A"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3D27919D" w14:textId="77777777" w:rsidR="009F0D2A" w:rsidRPr="00851192" w:rsidRDefault="009F0D2A" w:rsidP="00F27343">
            <w:pPr>
              <w:jc w:val="center"/>
              <w:rPr>
                <w:rFonts w:ascii="Arial" w:hAnsi="Arial" w:cs="Arial"/>
              </w:rPr>
            </w:pPr>
            <w:r w:rsidRPr="00851192">
              <w:rPr>
                <w:rFonts w:ascii="Arial" w:hAnsi="Arial" w:cs="Arial"/>
              </w:rPr>
              <w:t>1</w:t>
            </w:r>
          </w:p>
        </w:tc>
        <w:tc>
          <w:tcPr>
            <w:tcW w:w="2681" w:type="dxa"/>
            <w:tcBorders>
              <w:top w:val="single" w:sz="4" w:space="0" w:color="auto"/>
              <w:left w:val="single" w:sz="4" w:space="0" w:color="auto"/>
              <w:bottom w:val="single" w:sz="4" w:space="0" w:color="auto"/>
              <w:right w:val="single" w:sz="4" w:space="0" w:color="auto"/>
            </w:tcBorders>
            <w:hideMark/>
          </w:tcPr>
          <w:p w14:paraId="320A100C" w14:textId="77777777" w:rsidR="009F0D2A" w:rsidRPr="00851192" w:rsidRDefault="009F0D2A" w:rsidP="00F27343">
            <w:pPr>
              <w:jc w:val="center"/>
              <w:rPr>
                <w:rFonts w:ascii="Arial" w:hAnsi="Arial" w:cs="Arial"/>
              </w:rPr>
            </w:pPr>
            <w:r w:rsidRPr="00851192">
              <w:rPr>
                <w:rFonts w:ascii="Arial" w:hAnsi="Arial" w:cs="Arial"/>
              </w:rPr>
              <w:t>High</w:t>
            </w:r>
          </w:p>
        </w:tc>
        <w:tc>
          <w:tcPr>
            <w:tcW w:w="2706" w:type="dxa"/>
            <w:tcBorders>
              <w:top w:val="single" w:sz="4" w:space="0" w:color="auto"/>
              <w:left w:val="single" w:sz="4" w:space="0" w:color="auto"/>
              <w:bottom w:val="single" w:sz="4" w:space="0" w:color="auto"/>
              <w:right w:val="single" w:sz="4" w:space="0" w:color="auto"/>
            </w:tcBorders>
            <w:hideMark/>
          </w:tcPr>
          <w:p w14:paraId="4716784C" w14:textId="77777777" w:rsidR="009F0D2A" w:rsidRPr="00851192" w:rsidRDefault="009F0D2A" w:rsidP="00F27343">
            <w:pPr>
              <w:rPr>
                <w:rFonts w:ascii="Arial" w:hAnsi="Arial" w:cs="Arial"/>
              </w:rPr>
            </w:pPr>
            <w:r w:rsidRPr="00851192">
              <w:rPr>
                <w:rFonts w:ascii="Arial" w:hAnsi="Arial" w:cs="Arial"/>
              </w:rPr>
              <w:t>Balance of user account is clear and visible across all platforms including app and website.</w:t>
            </w:r>
          </w:p>
        </w:tc>
      </w:tr>
      <w:tr w:rsidR="009F0D2A" w:rsidRPr="00851192" w14:paraId="05BEF055"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7A7B96DA" w14:textId="77777777" w:rsidR="009F0D2A" w:rsidRPr="00851192" w:rsidRDefault="009F0D2A" w:rsidP="00F27343">
            <w:pPr>
              <w:jc w:val="center"/>
              <w:rPr>
                <w:rFonts w:ascii="Arial" w:hAnsi="Arial" w:cs="Arial"/>
              </w:rPr>
            </w:pPr>
            <w:r w:rsidRPr="00851192">
              <w:rPr>
                <w:rFonts w:ascii="Arial" w:hAnsi="Arial" w:cs="Arial"/>
              </w:rPr>
              <w:t>Money management facility is provided by global gambling operator</w:t>
            </w:r>
          </w:p>
        </w:tc>
        <w:tc>
          <w:tcPr>
            <w:tcW w:w="1803" w:type="dxa"/>
            <w:tcBorders>
              <w:top w:val="single" w:sz="4" w:space="0" w:color="auto"/>
              <w:left w:val="single" w:sz="4" w:space="0" w:color="auto"/>
              <w:bottom w:val="single" w:sz="4" w:space="0" w:color="auto"/>
              <w:right w:val="single" w:sz="4" w:space="0" w:color="auto"/>
            </w:tcBorders>
          </w:tcPr>
          <w:p w14:paraId="72572845" w14:textId="77777777" w:rsidR="009F0D2A" w:rsidRPr="00851192" w:rsidRDefault="009F0D2A"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14B0E1AB" w14:textId="77777777" w:rsidR="009F0D2A" w:rsidRPr="00851192" w:rsidRDefault="009F0D2A" w:rsidP="00F27343">
            <w:pPr>
              <w:jc w:val="center"/>
              <w:rPr>
                <w:rFonts w:ascii="Arial" w:hAnsi="Arial" w:cs="Arial"/>
              </w:rPr>
            </w:pPr>
            <w:r w:rsidRPr="00851192">
              <w:rPr>
                <w:rFonts w:ascii="Arial" w:hAnsi="Arial" w:cs="Arial"/>
              </w:rPr>
              <w:t>0</w:t>
            </w:r>
          </w:p>
        </w:tc>
        <w:tc>
          <w:tcPr>
            <w:tcW w:w="2681" w:type="dxa"/>
            <w:tcBorders>
              <w:top w:val="single" w:sz="4" w:space="0" w:color="auto"/>
              <w:left w:val="single" w:sz="4" w:space="0" w:color="auto"/>
              <w:bottom w:val="single" w:sz="4" w:space="0" w:color="auto"/>
              <w:right w:val="single" w:sz="4" w:space="0" w:color="auto"/>
            </w:tcBorders>
            <w:hideMark/>
          </w:tcPr>
          <w:p w14:paraId="60CE27AC" w14:textId="77777777" w:rsidR="009F0D2A" w:rsidRPr="00851192" w:rsidRDefault="009F0D2A" w:rsidP="00F27343">
            <w:pPr>
              <w:jc w:val="center"/>
              <w:rPr>
                <w:rFonts w:ascii="Arial" w:hAnsi="Arial" w:cs="Arial"/>
              </w:rPr>
            </w:pPr>
            <w:r w:rsidRPr="00851192">
              <w:rPr>
                <w:rFonts w:ascii="Arial" w:hAnsi="Arial" w:cs="Arial"/>
              </w:rPr>
              <w:t>None</w:t>
            </w:r>
          </w:p>
        </w:tc>
        <w:tc>
          <w:tcPr>
            <w:tcW w:w="2706" w:type="dxa"/>
            <w:tcBorders>
              <w:top w:val="single" w:sz="4" w:space="0" w:color="auto"/>
              <w:left w:val="single" w:sz="4" w:space="0" w:color="auto"/>
              <w:bottom w:val="single" w:sz="4" w:space="0" w:color="auto"/>
              <w:right w:val="single" w:sz="4" w:space="0" w:color="auto"/>
            </w:tcBorders>
            <w:hideMark/>
          </w:tcPr>
          <w:p w14:paraId="5FD4E76B" w14:textId="77777777" w:rsidR="009F0D2A" w:rsidRPr="00851192" w:rsidRDefault="009F0D2A" w:rsidP="00F27343">
            <w:pPr>
              <w:rPr>
                <w:rFonts w:ascii="Arial" w:hAnsi="Arial" w:cs="Arial"/>
              </w:rPr>
            </w:pPr>
            <w:r w:rsidRPr="00851192">
              <w:rPr>
                <w:rFonts w:ascii="Arial" w:hAnsi="Arial" w:cs="Arial"/>
              </w:rPr>
              <w:t xml:space="preserve">No management facility of money or spending tracker is provided by the global gambling operator. </w:t>
            </w:r>
          </w:p>
        </w:tc>
      </w:tr>
    </w:tbl>
    <w:p w14:paraId="0916950B" w14:textId="77777777" w:rsidR="009F0D2A" w:rsidRPr="00851192" w:rsidRDefault="009F0D2A" w:rsidP="009F0D2A">
      <w:pPr>
        <w:rPr>
          <w:rFonts w:ascii="Arial" w:hAnsi="Arial" w:cs="Arial"/>
        </w:rPr>
      </w:pPr>
    </w:p>
    <w:p w14:paraId="42608842" w14:textId="77777777" w:rsidR="009F0D2A" w:rsidRPr="00851192" w:rsidRDefault="009F0D2A" w:rsidP="009F0D2A">
      <w:pPr>
        <w:jc w:val="center"/>
        <w:rPr>
          <w:rFonts w:ascii="Arial" w:hAnsi="Arial" w:cs="Arial"/>
        </w:rPr>
      </w:pPr>
      <w:proofErr w:type="spellStart"/>
      <w:r w:rsidRPr="00851192">
        <w:rPr>
          <w:rFonts w:ascii="Arial" w:hAnsi="Arial" w:cs="Arial"/>
        </w:rPr>
        <w:t>Bwin</w:t>
      </w:r>
      <w:proofErr w:type="spellEnd"/>
    </w:p>
    <w:tbl>
      <w:tblPr>
        <w:tblStyle w:val="TableGrid"/>
        <w:tblW w:w="9918" w:type="dxa"/>
        <w:tblLook w:val="04A0" w:firstRow="1" w:lastRow="0" w:firstColumn="1" w:lastColumn="0" w:noHBand="0" w:noVBand="1"/>
      </w:tblPr>
      <w:tblGrid>
        <w:gridCol w:w="1800"/>
        <w:gridCol w:w="1786"/>
        <w:gridCol w:w="975"/>
        <w:gridCol w:w="2666"/>
        <w:gridCol w:w="2691"/>
      </w:tblGrid>
      <w:tr w:rsidR="009F0D2A" w:rsidRPr="00851192" w14:paraId="0E8B4A5B" w14:textId="77777777" w:rsidTr="00F27343">
        <w:trPr>
          <w:trHeight w:val="986"/>
        </w:trPr>
        <w:tc>
          <w:tcPr>
            <w:tcW w:w="1803" w:type="dxa"/>
            <w:tcBorders>
              <w:top w:val="single" w:sz="4" w:space="0" w:color="auto"/>
              <w:left w:val="single" w:sz="4" w:space="0" w:color="auto"/>
              <w:bottom w:val="single" w:sz="4" w:space="0" w:color="auto"/>
              <w:right w:val="single" w:sz="4" w:space="0" w:color="auto"/>
            </w:tcBorders>
            <w:hideMark/>
          </w:tcPr>
          <w:p w14:paraId="0C582DD6" w14:textId="77777777" w:rsidR="009F0D2A" w:rsidRPr="00851192" w:rsidRDefault="009F0D2A" w:rsidP="00F27343">
            <w:pPr>
              <w:jc w:val="center"/>
              <w:rPr>
                <w:rFonts w:ascii="Arial" w:hAnsi="Arial" w:cs="Arial"/>
              </w:rPr>
            </w:pPr>
            <w:r w:rsidRPr="00851192">
              <w:rPr>
                <w:rFonts w:ascii="Arial" w:hAnsi="Arial" w:cs="Arial"/>
              </w:rPr>
              <w:t>Categories</w:t>
            </w:r>
          </w:p>
        </w:tc>
        <w:tc>
          <w:tcPr>
            <w:tcW w:w="1803" w:type="dxa"/>
            <w:tcBorders>
              <w:top w:val="single" w:sz="4" w:space="0" w:color="auto"/>
              <w:left w:val="single" w:sz="4" w:space="0" w:color="auto"/>
              <w:bottom w:val="single" w:sz="4" w:space="0" w:color="auto"/>
              <w:right w:val="single" w:sz="4" w:space="0" w:color="auto"/>
            </w:tcBorders>
            <w:hideMark/>
          </w:tcPr>
          <w:p w14:paraId="2DE326C3" w14:textId="77777777" w:rsidR="009F0D2A" w:rsidRPr="00851192" w:rsidRDefault="009F0D2A" w:rsidP="00F27343">
            <w:pPr>
              <w:jc w:val="center"/>
              <w:rPr>
                <w:rFonts w:ascii="Arial" w:hAnsi="Arial" w:cs="Arial"/>
                <w:b/>
              </w:rPr>
            </w:pPr>
            <w:r w:rsidRPr="00851192">
              <w:rPr>
                <w:rFonts w:ascii="Segoe UI Symbol" w:hAnsi="Segoe UI Symbol" w:cs="Segoe UI Symbol"/>
                <w:b/>
                <w:shd w:val="clear" w:color="auto" w:fill="FFFFFF"/>
              </w:rPr>
              <w:t>✓</w:t>
            </w:r>
            <w:r w:rsidRPr="00851192">
              <w:rPr>
                <w:rFonts w:ascii="Arial" w:hAnsi="Arial" w:cs="Arial"/>
                <w:b/>
                <w:shd w:val="clear" w:color="auto" w:fill="FFFFFF"/>
              </w:rPr>
              <w:t xml:space="preserve"> / </w:t>
            </w: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hideMark/>
          </w:tcPr>
          <w:p w14:paraId="7E52CD45" w14:textId="77777777" w:rsidR="009F0D2A" w:rsidRPr="00851192" w:rsidRDefault="009F0D2A" w:rsidP="00F27343">
            <w:pPr>
              <w:jc w:val="center"/>
              <w:rPr>
                <w:rFonts w:ascii="Arial" w:hAnsi="Arial" w:cs="Arial"/>
              </w:rPr>
            </w:pPr>
            <w:r w:rsidRPr="00851192">
              <w:rPr>
                <w:rFonts w:ascii="Arial" w:hAnsi="Arial" w:cs="Arial"/>
              </w:rPr>
              <w:t>Present or Not Present</w:t>
            </w:r>
          </w:p>
        </w:tc>
        <w:tc>
          <w:tcPr>
            <w:tcW w:w="2681" w:type="dxa"/>
            <w:tcBorders>
              <w:top w:val="single" w:sz="4" w:space="0" w:color="auto"/>
              <w:left w:val="single" w:sz="4" w:space="0" w:color="auto"/>
              <w:bottom w:val="single" w:sz="4" w:space="0" w:color="auto"/>
              <w:right w:val="single" w:sz="4" w:space="0" w:color="auto"/>
            </w:tcBorders>
            <w:hideMark/>
          </w:tcPr>
          <w:p w14:paraId="4999C661" w14:textId="77777777" w:rsidR="009F0D2A" w:rsidRPr="00851192" w:rsidRDefault="009F0D2A" w:rsidP="00F27343">
            <w:pPr>
              <w:jc w:val="center"/>
              <w:rPr>
                <w:rFonts w:ascii="Arial" w:hAnsi="Arial" w:cs="Arial"/>
              </w:rPr>
            </w:pPr>
            <w:r w:rsidRPr="00851192">
              <w:rPr>
                <w:rFonts w:ascii="Arial" w:hAnsi="Arial" w:cs="Arial"/>
              </w:rPr>
              <w:t>Researchers rating for clear information</w:t>
            </w:r>
          </w:p>
        </w:tc>
        <w:tc>
          <w:tcPr>
            <w:tcW w:w="2706" w:type="dxa"/>
            <w:tcBorders>
              <w:top w:val="single" w:sz="4" w:space="0" w:color="auto"/>
              <w:left w:val="single" w:sz="4" w:space="0" w:color="auto"/>
              <w:bottom w:val="single" w:sz="4" w:space="0" w:color="auto"/>
              <w:right w:val="single" w:sz="4" w:space="0" w:color="auto"/>
            </w:tcBorders>
            <w:hideMark/>
          </w:tcPr>
          <w:p w14:paraId="2B5C49E3" w14:textId="77777777" w:rsidR="009F0D2A" w:rsidRPr="00851192" w:rsidRDefault="009F0D2A" w:rsidP="00F27343">
            <w:pPr>
              <w:jc w:val="center"/>
              <w:rPr>
                <w:rFonts w:ascii="Arial" w:hAnsi="Arial" w:cs="Arial"/>
              </w:rPr>
            </w:pPr>
            <w:r w:rsidRPr="00851192">
              <w:rPr>
                <w:rFonts w:ascii="Arial" w:hAnsi="Arial" w:cs="Arial"/>
              </w:rPr>
              <w:t>Additional Comments</w:t>
            </w:r>
          </w:p>
        </w:tc>
      </w:tr>
      <w:tr w:rsidR="009F0D2A" w:rsidRPr="00851192" w14:paraId="7DA7276D"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10B04414" w14:textId="77777777" w:rsidR="009F0D2A" w:rsidRPr="00851192" w:rsidRDefault="009F0D2A" w:rsidP="00F27343">
            <w:pPr>
              <w:jc w:val="center"/>
              <w:rPr>
                <w:rFonts w:ascii="Arial" w:hAnsi="Arial" w:cs="Arial"/>
                <w:b/>
              </w:rPr>
            </w:pPr>
            <w:r w:rsidRPr="00851192">
              <w:rPr>
                <w:rFonts w:ascii="Arial" w:hAnsi="Arial" w:cs="Arial"/>
                <w:b/>
              </w:rPr>
              <w:t>Money Balance Service</w:t>
            </w:r>
          </w:p>
        </w:tc>
        <w:tc>
          <w:tcPr>
            <w:tcW w:w="1803" w:type="dxa"/>
            <w:tcBorders>
              <w:top w:val="single" w:sz="4" w:space="0" w:color="auto"/>
              <w:left w:val="single" w:sz="4" w:space="0" w:color="auto"/>
              <w:bottom w:val="single" w:sz="4" w:space="0" w:color="auto"/>
              <w:right w:val="single" w:sz="4" w:space="0" w:color="auto"/>
            </w:tcBorders>
            <w:hideMark/>
          </w:tcPr>
          <w:p w14:paraId="55305D86" w14:textId="77777777" w:rsidR="009F0D2A" w:rsidRPr="00851192" w:rsidRDefault="009F0D2A" w:rsidP="00F27343">
            <w:pPr>
              <w:jc w:val="center"/>
              <w:rPr>
                <w:rFonts w:ascii="Arial" w:hAnsi="Arial" w:cs="Arial"/>
              </w:rPr>
            </w:pP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tcPr>
          <w:p w14:paraId="3B80C89A" w14:textId="77777777" w:rsidR="009F0D2A" w:rsidRPr="00851192" w:rsidRDefault="009F0D2A" w:rsidP="00F27343">
            <w:pPr>
              <w:rPr>
                <w:rFonts w:ascii="Arial" w:hAnsi="Arial" w:cs="Arial"/>
              </w:rPr>
            </w:pPr>
          </w:p>
        </w:tc>
        <w:tc>
          <w:tcPr>
            <w:tcW w:w="2681" w:type="dxa"/>
            <w:tcBorders>
              <w:top w:val="single" w:sz="4" w:space="0" w:color="auto"/>
              <w:left w:val="single" w:sz="4" w:space="0" w:color="auto"/>
              <w:bottom w:val="single" w:sz="4" w:space="0" w:color="auto"/>
              <w:right w:val="single" w:sz="4" w:space="0" w:color="auto"/>
            </w:tcBorders>
          </w:tcPr>
          <w:p w14:paraId="569C9D80" w14:textId="77777777" w:rsidR="009F0D2A" w:rsidRPr="00851192" w:rsidRDefault="009F0D2A" w:rsidP="00F27343">
            <w:pPr>
              <w:rPr>
                <w:rFonts w:ascii="Arial" w:hAnsi="Arial" w:cs="Arial"/>
              </w:rPr>
            </w:pPr>
          </w:p>
        </w:tc>
        <w:tc>
          <w:tcPr>
            <w:tcW w:w="2706" w:type="dxa"/>
            <w:tcBorders>
              <w:top w:val="single" w:sz="4" w:space="0" w:color="auto"/>
              <w:left w:val="single" w:sz="4" w:space="0" w:color="auto"/>
              <w:bottom w:val="single" w:sz="4" w:space="0" w:color="auto"/>
              <w:right w:val="single" w:sz="4" w:space="0" w:color="auto"/>
            </w:tcBorders>
          </w:tcPr>
          <w:p w14:paraId="5153245F" w14:textId="77777777" w:rsidR="009F0D2A" w:rsidRPr="00851192" w:rsidRDefault="009F0D2A" w:rsidP="00F27343">
            <w:pPr>
              <w:rPr>
                <w:rFonts w:ascii="Arial" w:hAnsi="Arial" w:cs="Arial"/>
              </w:rPr>
            </w:pPr>
          </w:p>
        </w:tc>
      </w:tr>
      <w:tr w:rsidR="009F0D2A" w:rsidRPr="00851192" w14:paraId="1F55C72B"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10A0756A" w14:textId="77777777" w:rsidR="009F0D2A" w:rsidRPr="00851192" w:rsidRDefault="009F0D2A" w:rsidP="00F27343">
            <w:pPr>
              <w:jc w:val="center"/>
              <w:rPr>
                <w:rFonts w:ascii="Arial" w:hAnsi="Arial" w:cs="Arial"/>
              </w:rPr>
            </w:pPr>
            <w:r w:rsidRPr="00851192">
              <w:rPr>
                <w:rFonts w:ascii="Arial" w:hAnsi="Arial" w:cs="Arial"/>
              </w:rPr>
              <w:t xml:space="preserve">Adding funds is user friendly and easily accessible. </w:t>
            </w:r>
          </w:p>
        </w:tc>
        <w:tc>
          <w:tcPr>
            <w:tcW w:w="1803" w:type="dxa"/>
            <w:tcBorders>
              <w:top w:val="single" w:sz="4" w:space="0" w:color="auto"/>
              <w:left w:val="single" w:sz="4" w:space="0" w:color="auto"/>
              <w:bottom w:val="single" w:sz="4" w:space="0" w:color="auto"/>
              <w:right w:val="single" w:sz="4" w:space="0" w:color="auto"/>
            </w:tcBorders>
          </w:tcPr>
          <w:p w14:paraId="76C51DE0" w14:textId="77777777" w:rsidR="009F0D2A" w:rsidRPr="00851192" w:rsidRDefault="009F0D2A"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03180753" w14:textId="77777777" w:rsidR="009F0D2A" w:rsidRPr="00851192" w:rsidRDefault="009F0D2A" w:rsidP="00F27343">
            <w:pPr>
              <w:jc w:val="center"/>
              <w:rPr>
                <w:rFonts w:ascii="Arial" w:hAnsi="Arial" w:cs="Arial"/>
              </w:rPr>
            </w:pPr>
            <w:r w:rsidRPr="00851192">
              <w:rPr>
                <w:rFonts w:ascii="Arial" w:hAnsi="Arial" w:cs="Arial"/>
              </w:rPr>
              <w:t>1</w:t>
            </w:r>
          </w:p>
        </w:tc>
        <w:tc>
          <w:tcPr>
            <w:tcW w:w="2681" w:type="dxa"/>
            <w:tcBorders>
              <w:top w:val="single" w:sz="4" w:space="0" w:color="auto"/>
              <w:left w:val="single" w:sz="4" w:space="0" w:color="auto"/>
              <w:bottom w:val="single" w:sz="4" w:space="0" w:color="auto"/>
              <w:right w:val="single" w:sz="4" w:space="0" w:color="auto"/>
            </w:tcBorders>
            <w:hideMark/>
          </w:tcPr>
          <w:p w14:paraId="4BDDB2D3" w14:textId="77777777" w:rsidR="009F0D2A" w:rsidRPr="00851192" w:rsidRDefault="009F0D2A" w:rsidP="00F27343">
            <w:pPr>
              <w:jc w:val="center"/>
              <w:rPr>
                <w:rFonts w:ascii="Arial" w:hAnsi="Arial" w:cs="Arial"/>
              </w:rPr>
            </w:pPr>
            <w:r w:rsidRPr="00851192">
              <w:rPr>
                <w:rFonts w:ascii="Arial" w:hAnsi="Arial" w:cs="Arial"/>
              </w:rPr>
              <w:t>High</w:t>
            </w:r>
          </w:p>
        </w:tc>
        <w:tc>
          <w:tcPr>
            <w:tcW w:w="2706" w:type="dxa"/>
            <w:tcBorders>
              <w:top w:val="single" w:sz="4" w:space="0" w:color="auto"/>
              <w:left w:val="single" w:sz="4" w:space="0" w:color="auto"/>
              <w:bottom w:val="single" w:sz="4" w:space="0" w:color="auto"/>
              <w:right w:val="single" w:sz="4" w:space="0" w:color="auto"/>
            </w:tcBorders>
            <w:hideMark/>
          </w:tcPr>
          <w:p w14:paraId="132220EC" w14:textId="77777777" w:rsidR="009F0D2A" w:rsidRPr="00851192" w:rsidRDefault="009F0D2A" w:rsidP="00F27343">
            <w:pPr>
              <w:rPr>
                <w:rFonts w:ascii="Arial" w:hAnsi="Arial" w:cs="Arial"/>
              </w:rPr>
            </w:pPr>
            <w:r w:rsidRPr="00851192">
              <w:rPr>
                <w:rFonts w:ascii="Arial" w:hAnsi="Arial" w:cs="Arial"/>
              </w:rPr>
              <w:t xml:space="preserve">Adding funds into user account is easily accessible for customers. </w:t>
            </w:r>
          </w:p>
        </w:tc>
      </w:tr>
      <w:tr w:rsidR="009F0D2A" w:rsidRPr="00851192" w14:paraId="52FB23C6"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38C67066" w14:textId="77777777" w:rsidR="009F0D2A" w:rsidRPr="00851192" w:rsidRDefault="009F0D2A" w:rsidP="00F27343">
            <w:pPr>
              <w:jc w:val="center"/>
              <w:rPr>
                <w:rFonts w:ascii="Arial" w:hAnsi="Arial" w:cs="Arial"/>
              </w:rPr>
            </w:pPr>
            <w:r w:rsidRPr="00851192">
              <w:rPr>
                <w:rFonts w:ascii="Arial" w:hAnsi="Arial" w:cs="Arial"/>
              </w:rPr>
              <w:t>Money balance is clear for user</w:t>
            </w:r>
          </w:p>
        </w:tc>
        <w:tc>
          <w:tcPr>
            <w:tcW w:w="1803" w:type="dxa"/>
            <w:tcBorders>
              <w:top w:val="single" w:sz="4" w:space="0" w:color="auto"/>
              <w:left w:val="single" w:sz="4" w:space="0" w:color="auto"/>
              <w:bottom w:val="single" w:sz="4" w:space="0" w:color="auto"/>
              <w:right w:val="single" w:sz="4" w:space="0" w:color="auto"/>
            </w:tcBorders>
          </w:tcPr>
          <w:p w14:paraId="2FD2C03D" w14:textId="77777777" w:rsidR="009F0D2A" w:rsidRPr="00851192" w:rsidRDefault="009F0D2A"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4325AD11" w14:textId="77777777" w:rsidR="009F0D2A" w:rsidRPr="00851192" w:rsidRDefault="009F0D2A" w:rsidP="00F27343">
            <w:pPr>
              <w:jc w:val="center"/>
              <w:rPr>
                <w:rFonts w:ascii="Arial" w:hAnsi="Arial" w:cs="Arial"/>
              </w:rPr>
            </w:pPr>
            <w:r w:rsidRPr="00851192">
              <w:rPr>
                <w:rFonts w:ascii="Arial" w:hAnsi="Arial" w:cs="Arial"/>
              </w:rPr>
              <w:t>1</w:t>
            </w:r>
          </w:p>
        </w:tc>
        <w:tc>
          <w:tcPr>
            <w:tcW w:w="2681" w:type="dxa"/>
            <w:tcBorders>
              <w:top w:val="single" w:sz="4" w:space="0" w:color="auto"/>
              <w:left w:val="single" w:sz="4" w:space="0" w:color="auto"/>
              <w:bottom w:val="single" w:sz="4" w:space="0" w:color="auto"/>
              <w:right w:val="single" w:sz="4" w:space="0" w:color="auto"/>
            </w:tcBorders>
            <w:hideMark/>
          </w:tcPr>
          <w:p w14:paraId="176D34E7" w14:textId="77777777" w:rsidR="009F0D2A" w:rsidRPr="00851192" w:rsidRDefault="009F0D2A" w:rsidP="00F27343">
            <w:pPr>
              <w:jc w:val="center"/>
              <w:rPr>
                <w:rFonts w:ascii="Arial" w:hAnsi="Arial" w:cs="Arial"/>
              </w:rPr>
            </w:pPr>
            <w:r w:rsidRPr="00851192">
              <w:rPr>
                <w:rFonts w:ascii="Arial" w:hAnsi="Arial" w:cs="Arial"/>
              </w:rPr>
              <w:t>High</w:t>
            </w:r>
          </w:p>
        </w:tc>
        <w:tc>
          <w:tcPr>
            <w:tcW w:w="2706" w:type="dxa"/>
            <w:tcBorders>
              <w:top w:val="single" w:sz="4" w:space="0" w:color="auto"/>
              <w:left w:val="single" w:sz="4" w:space="0" w:color="auto"/>
              <w:bottom w:val="single" w:sz="4" w:space="0" w:color="auto"/>
              <w:right w:val="single" w:sz="4" w:space="0" w:color="auto"/>
            </w:tcBorders>
            <w:hideMark/>
          </w:tcPr>
          <w:p w14:paraId="53933F95" w14:textId="77777777" w:rsidR="009F0D2A" w:rsidRPr="00851192" w:rsidRDefault="009F0D2A" w:rsidP="00F27343">
            <w:pPr>
              <w:rPr>
                <w:rFonts w:ascii="Arial" w:hAnsi="Arial" w:cs="Arial"/>
              </w:rPr>
            </w:pPr>
            <w:r w:rsidRPr="00851192">
              <w:rPr>
                <w:rFonts w:ascii="Arial" w:hAnsi="Arial" w:cs="Arial"/>
              </w:rPr>
              <w:t>Balance of user account is clear and visible across all platforms including app and website.</w:t>
            </w:r>
          </w:p>
        </w:tc>
      </w:tr>
      <w:tr w:rsidR="009F0D2A" w:rsidRPr="00851192" w14:paraId="509AE0FE"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07984B4F" w14:textId="77777777" w:rsidR="009F0D2A" w:rsidRPr="00851192" w:rsidRDefault="009F0D2A" w:rsidP="00F27343">
            <w:pPr>
              <w:jc w:val="center"/>
              <w:rPr>
                <w:rFonts w:ascii="Arial" w:hAnsi="Arial" w:cs="Arial"/>
              </w:rPr>
            </w:pPr>
            <w:r w:rsidRPr="00851192">
              <w:rPr>
                <w:rFonts w:ascii="Arial" w:hAnsi="Arial" w:cs="Arial"/>
              </w:rPr>
              <w:t>Money management facility is provided by global gambling operator</w:t>
            </w:r>
          </w:p>
        </w:tc>
        <w:tc>
          <w:tcPr>
            <w:tcW w:w="1803" w:type="dxa"/>
            <w:tcBorders>
              <w:top w:val="single" w:sz="4" w:space="0" w:color="auto"/>
              <w:left w:val="single" w:sz="4" w:space="0" w:color="auto"/>
              <w:bottom w:val="single" w:sz="4" w:space="0" w:color="auto"/>
              <w:right w:val="single" w:sz="4" w:space="0" w:color="auto"/>
            </w:tcBorders>
          </w:tcPr>
          <w:p w14:paraId="788DCA25" w14:textId="77777777" w:rsidR="009F0D2A" w:rsidRPr="00851192" w:rsidRDefault="009F0D2A"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7290F356" w14:textId="77777777" w:rsidR="009F0D2A" w:rsidRPr="00851192" w:rsidRDefault="009F0D2A" w:rsidP="00F27343">
            <w:pPr>
              <w:jc w:val="center"/>
              <w:rPr>
                <w:rFonts w:ascii="Arial" w:hAnsi="Arial" w:cs="Arial"/>
              </w:rPr>
            </w:pPr>
            <w:r w:rsidRPr="00851192">
              <w:rPr>
                <w:rFonts w:ascii="Arial" w:hAnsi="Arial" w:cs="Arial"/>
              </w:rPr>
              <w:t>0</w:t>
            </w:r>
          </w:p>
        </w:tc>
        <w:tc>
          <w:tcPr>
            <w:tcW w:w="2681" w:type="dxa"/>
            <w:tcBorders>
              <w:top w:val="single" w:sz="4" w:space="0" w:color="auto"/>
              <w:left w:val="single" w:sz="4" w:space="0" w:color="auto"/>
              <w:bottom w:val="single" w:sz="4" w:space="0" w:color="auto"/>
              <w:right w:val="single" w:sz="4" w:space="0" w:color="auto"/>
            </w:tcBorders>
            <w:hideMark/>
          </w:tcPr>
          <w:p w14:paraId="3DD41ADC" w14:textId="77777777" w:rsidR="009F0D2A" w:rsidRPr="00851192" w:rsidRDefault="009F0D2A" w:rsidP="00F27343">
            <w:pPr>
              <w:jc w:val="center"/>
              <w:rPr>
                <w:rFonts w:ascii="Arial" w:hAnsi="Arial" w:cs="Arial"/>
              </w:rPr>
            </w:pPr>
            <w:r w:rsidRPr="00851192">
              <w:rPr>
                <w:rFonts w:ascii="Arial" w:hAnsi="Arial" w:cs="Arial"/>
              </w:rPr>
              <w:t>None</w:t>
            </w:r>
          </w:p>
        </w:tc>
        <w:tc>
          <w:tcPr>
            <w:tcW w:w="2706" w:type="dxa"/>
            <w:tcBorders>
              <w:top w:val="single" w:sz="4" w:space="0" w:color="auto"/>
              <w:left w:val="single" w:sz="4" w:space="0" w:color="auto"/>
              <w:bottom w:val="single" w:sz="4" w:space="0" w:color="auto"/>
              <w:right w:val="single" w:sz="4" w:space="0" w:color="auto"/>
            </w:tcBorders>
            <w:hideMark/>
          </w:tcPr>
          <w:p w14:paraId="0D174410" w14:textId="77777777" w:rsidR="009F0D2A" w:rsidRPr="00851192" w:rsidRDefault="009F0D2A" w:rsidP="00F27343">
            <w:pPr>
              <w:rPr>
                <w:rFonts w:ascii="Arial" w:hAnsi="Arial" w:cs="Arial"/>
              </w:rPr>
            </w:pPr>
            <w:r w:rsidRPr="00851192">
              <w:rPr>
                <w:rFonts w:ascii="Arial" w:hAnsi="Arial" w:cs="Arial"/>
              </w:rPr>
              <w:t xml:space="preserve">No management facility of money or spending tracker is provided by the global gambling operator. </w:t>
            </w:r>
          </w:p>
        </w:tc>
      </w:tr>
    </w:tbl>
    <w:p w14:paraId="4F7C2738" w14:textId="77777777" w:rsidR="009F0D2A" w:rsidRPr="00851192" w:rsidRDefault="009F0D2A" w:rsidP="009F0D2A">
      <w:pPr>
        <w:jc w:val="center"/>
        <w:rPr>
          <w:rFonts w:ascii="Arial" w:hAnsi="Arial" w:cs="Arial"/>
        </w:rPr>
      </w:pPr>
    </w:p>
    <w:p w14:paraId="68F9735F" w14:textId="77777777" w:rsidR="009F0D2A" w:rsidRPr="00851192" w:rsidRDefault="009F0D2A" w:rsidP="009F0D2A">
      <w:pPr>
        <w:jc w:val="center"/>
        <w:rPr>
          <w:rFonts w:ascii="Arial" w:hAnsi="Arial" w:cs="Arial"/>
        </w:rPr>
      </w:pPr>
      <w:r w:rsidRPr="00851192">
        <w:rPr>
          <w:rFonts w:ascii="Arial" w:hAnsi="Arial" w:cs="Arial"/>
        </w:rPr>
        <w:t>Asia Gaming</w:t>
      </w:r>
    </w:p>
    <w:tbl>
      <w:tblPr>
        <w:tblStyle w:val="TableGrid"/>
        <w:tblW w:w="9918" w:type="dxa"/>
        <w:tblLook w:val="04A0" w:firstRow="1" w:lastRow="0" w:firstColumn="1" w:lastColumn="0" w:noHBand="0" w:noVBand="1"/>
      </w:tblPr>
      <w:tblGrid>
        <w:gridCol w:w="1800"/>
        <w:gridCol w:w="1786"/>
        <w:gridCol w:w="975"/>
        <w:gridCol w:w="2666"/>
        <w:gridCol w:w="2691"/>
      </w:tblGrid>
      <w:tr w:rsidR="009F0D2A" w:rsidRPr="00851192" w14:paraId="0E1592D8" w14:textId="77777777" w:rsidTr="00F27343">
        <w:trPr>
          <w:trHeight w:val="986"/>
        </w:trPr>
        <w:tc>
          <w:tcPr>
            <w:tcW w:w="1803" w:type="dxa"/>
            <w:tcBorders>
              <w:top w:val="single" w:sz="4" w:space="0" w:color="auto"/>
              <w:left w:val="single" w:sz="4" w:space="0" w:color="auto"/>
              <w:bottom w:val="single" w:sz="4" w:space="0" w:color="auto"/>
              <w:right w:val="single" w:sz="4" w:space="0" w:color="auto"/>
            </w:tcBorders>
            <w:hideMark/>
          </w:tcPr>
          <w:p w14:paraId="44CBF028" w14:textId="77777777" w:rsidR="009F0D2A" w:rsidRPr="00851192" w:rsidRDefault="009F0D2A" w:rsidP="00F27343">
            <w:pPr>
              <w:jc w:val="center"/>
              <w:rPr>
                <w:rFonts w:ascii="Arial" w:hAnsi="Arial" w:cs="Arial"/>
              </w:rPr>
            </w:pPr>
            <w:r w:rsidRPr="00851192">
              <w:rPr>
                <w:rFonts w:ascii="Arial" w:hAnsi="Arial" w:cs="Arial"/>
              </w:rPr>
              <w:t>Categories</w:t>
            </w:r>
          </w:p>
        </w:tc>
        <w:tc>
          <w:tcPr>
            <w:tcW w:w="1803" w:type="dxa"/>
            <w:tcBorders>
              <w:top w:val="single" w:sz="4" w:space="0" w:color="auto"/>
              <w:left w:val="single" w:sz="4" w:space="0" w:color="auto"/>
              <w:bottom w:val="single" w:sz="4" w:space="0" w:color="auto"/>
              <w:right w:val="single" w:sz="4" w:space="0" w:color="auto"/>
            </w:tcBorders>
            <w:hideMark/>
          </w:tcPr>
          <w:p w14:paraId="5EC916E8" w14:textId="77777777" w:rsidR="009F0D2A" w:rsidRPr="00851192" w:rsidRDefault="009F0D2A" w:rsidP="00F27343">
            <w:pPr>
              <w:jc w:val="center"/>
              <w:rPr>
                <w:rFonts w:ascii="Arial" w:hAnsi="Arial" w:cs="Arial"/>
                <w:b/>
              </w:rPr>
            </w:pPr>
            <w:r w:rsidRPr="00851192">
              <w:rPr>
                <w:rFonts w:ascii="Segoe UI Symbol" w:hAnsi="Segoe UI Symbol" w:cs="Segoe UI Symbol"/>
                <w:b/>
                <w:shd w:val="clear" w:color="auto" w:fill="FFFFFF"/>
              </w:rPr>
              <w:t>✓</w:t>
            </w:r>
            <w:r w:rsidRPr="00851192">
              <w:rPr>
                <w:rFonts w:ascii="Arial" w:hAnsi="Arial" w:cs="Arial"/>
                <w:b/>
                <w:shd w:val="clear" w:color="auto" w:fill="FFFFFF"/>
              </w:rPr>
              <w:t xml:space="preserve"> / </w:t>
            </w: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hideMark/>
          </w:tcPr>
          <w:p w14:paraId="63809D18" w14:textId="77777777" w:rsidR="009F0D2A" w:rsidRPr="00851192" w:rsidRDefault="009F0D2A" w:rsidP="00F27343">
            <w:pPr>
              <w:jc w:val="center"/>
              <w:rPr>
                <w:rFonts w:ascii="Arial" w:hAnsi="Arial" w:cs="Arial"/>
              </w:rPr>
            </w:pPr>
            <w:r w:rsidRPr="00851192">
              <w:rPr>
                <w:rFonts w:ascii="Arial" w:hAnsi="Arial" w:cs="Arial"/>
              </w:rPr>
              <w:t>Present or Not Present</w:t>
            </w:r>
          </w:p>
        </w:tc>
        <w:tc>
          <w:tcPr>
            <w:tcW w:w="2681" w:type="dxa"/>
            <w:tcBorders>
              <w:top w:val="single" w:sz="4" w:space="0" w:color="auto"/>
              <w:left w:val="single" w:sz="4" w:space="0" w:color="auto"/>
              <w:bottom w:val="single" w:sz="4" w:space="0" w:color="auto"/>
              <w:right w:val="single" w:sz="4" w:space="0" w:color="auto"/>
            </w:tcBorders>
            <w:hideMark/>
          </w:tcPr>
          <w:p w14:paraId="58178140" w14:textId="77777777" w:rsidR="009F0D2A" w:rsidRPr="00851192" w:rsidRDefault="009F0D2A" w:rsidP="00F27343">
            <w:pPr>
              <w:jc w:val="center"/>
              <w:rPr>
                <w:rFonts w:ascii="Arial" w:hAnsi="Arial" w:cs="Arial"/>
              </w:rPr>
            </w:pPr>
            <w:r w:rsidRPr="00851192">
              <w:rPr>
                <w:rFonts w:ascii="Arial" w:hAnsi="Arial" w:cs="Arial"/>
              </w:rPr>
              <w:t>Researchers rating for clear information</w:t>
            </w:r>
          </w:p>
        </w:tc>
        <w:tc>
          <w:tcPr>
            <w:tcW w:w="2706" w:type="dxa"/>
            <w:tcBorders>
              <w:top w:val="single" w:sz="4" w:space="0" w:color="auto"/>
              <w:left w:val="single" w:sz="4" w:space="0" w:color="auto"/>
              <w:bottom w:val="single" w:sz="4" w:space="0" w:color="auto"/>
              <w:right w:val="single" w:sz="4" w:space="0" w:color="auto"/>
            </w:tcBorders>
            <w:hideMark/>
          </w:tcPr>
          <w:p w14:paraId="18C664CC" w14:textId="77777777" w:rsidR="009F0D2A" w:rsidRPr="00851192" w:rsidRDefault="009F0D2A" w:rsidP="00F27343">
            <w:pPr>
              <w:jc w:val="center"/>
              <w:rPr>
                <w:rFonts w:ascii="Arial" w:hAnsi="Arial" w:cs="Arial"/>
              </w:rPr>
            </w:pPr>
            <w:r w:rsidRPr="00851192">
              <w:rPr>
                <w:rFonts w:ascii="Arial" w:hAnsi="Arial" w:cs="Arial"/>
              </w:rPr>
              <w:t>Additional Comments</w:t>
            </w:r>
          </w:p>
        </w:tc>
      </w:tr>
      <w:tr w:rsidR="009F0D2A" w:rsidRPr="00851192" w14:paraId="29AD69F0"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6CAF2CCD" w14:textId="77777777" w:rsidR="009F0D2A" w:rsidRPr="00851192" w:rsidRDefault="009F0D2A" w:rsidP="00F27343">
            <w:pPr>
              <w:jc w:val="center"/>
              <w:rPr>
                <w:rFonts w:ascii="Arial" w:hAnsi="Arial" w:cs="Arial"/>
                <w:b/>
              </w:rPr>
            </w:pPr>
            <w:r w:rsidRPr="00851192">
              <w:rPr>
                <w:rFonts w:ascii="Arial" w:hAnsi="Arial" w:cs="Arial"/>
                <w:b/>
              </w:rPr>
              <w:t>Money Balance Service</w:t>
            </w:r>
          </w:p>
        </w:tc>
        <w:tc>
          <w:tcPr>
            <w:tcW w:w="1803" w:type="dxa"/>
            <w:tcBorders>
              <w:top w:val="single" w:sz="4" w:space="0" w:color="auto"/>
              <w:left w:val="single" w:sz="4" w:space="0" w:color="auto"/>
              <w:bottom w:val="single" w:sz="4" w:space="0" w:color="auto"/>
              <w:right w:val="single" w:sz="4" w:space="0" w:color="auto"/>
            </w:tcBorders>
            <w:hideMark/>
          </w:tcPr>
          <w:p w14:paraId="1756A77E" w14:textId="77777777" w:rsidR="009F0D2A" w:rsidRPr="00851192" w:rsidRDefault="009F0D2A" w:rsidP="00F27343">
            <w:pPr>
              <w:jc w:val="center"/>
              <w:rPr>
                <w:rFonts w:ascii="Arial" w:hAnsi="Arial" w:cs="Arial"/>
              </w:rPr>
            </w:pP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tcPr>
          <w:p w14:paraId="7264395A" w14:textId="77777777" w:rsidR="009F0D2A" w:rsidRPr="00851192" w:rsidRDefault="009F0D2A" w:rsidP="00F27343">
            <w:pPr>
              <w:rPr>
                <w:rFonts w:ascii="Arial" w:hAnsi="Arial" w:cs="Arial"/>
              </w:rPr>
            </w:pPr>
          </w:p>
        </w:tc>
        <w:tc>
          <w:tcPr>
            <w:tcW w:w="2681" w:type="dxa"/>
            <w:tcBorders>
              <w:top w:val="single" w:sz="4" w:space="0" w:color="auto"/>
              <w:left w:val="single" w:sz="4" w:space="0" w:color="auto"/>
              <w:bottom w:val="single" w:sz="4" w:space="0" w:color="auto"/>
              <w:right w:val="single" w:sz="4" w:space="0" w:color="auto"/>
            </w:tcBorders>
          </w:tcPr>
          <w:p w14:paraId="09F934D3" w14:textId="77777777" w:rsidR="009F0D2A" w:rsidRPr="00851192" w:rsidRDefault="009F0D2A" w:rsidP="00F27343">
            <w:pPr>
              <w:rPr>
                <w:rFonts w:ascii="Arial" w:hAnsi="Arial" w:cs="Arial"/>
              </w:rPr>
            </w:pPr>
          </w:p>
        </w:tc>
        <w:tc>
          <w:tcPr>
            <w:tcW w:w="2706" w:type="dxa"/>
            <w:tcBorders>
              <w:top w:val="single" w:sz="4" w:space="0" w:color="auto"/>
              <w:left w:val="single" w:sz="4" w:space="0" w:color="auto"/>
              <w:bottom w:val="single" w:sz="4" w:space="0" w:color="auto"/>
              <w:right w:val="single" w:sz="4" w:space="0" w:color="auto"/>
            </w:tcBorders>
          </w:tcPr>
          <w:p w14:paraId="386C3155" w14:textId="77777777" w:rsidR="009F0D2A" w:rsidRPr="00851192" w:rsidRDefault="009F0D2A" w:rsidP="00F27343">
            <w:pPr>
              <w:rPr>
                <w:rFonts w:ascii="Arial" w:hAnsi="Arial" w:cs="Arial"/>
              </w:rPr>
            </w:pPr>
          </w:p>
        </w:tc>
      </w:tr>
      <w:tr w:rsidR="009F0D2A" w:rsidRPr="00851192" w14:paraId="751F51C6"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7CC5F0C7" w14:textId="77777777" w:rsidR="009F0D2A" w:rsidRPr="00851192" w:rsidRDefault="009F0D2A" w:rsidP="00F27343">
            <w:pPr>
              <w:jc w:val="center"/>
              <w:rPr>
                <w:rFonts w:ascii="Arial" w:hAnsi="Arial" w:cs="Arial"/>
              </w:rPr>
            </w:pPr>
            <w:r w:rsidRPr="00851192">
              <w:rPr>
                <w:rFonts w:ascii="Arial" w:hAnsi="Arial" w:cs="Arial"/>
              </w:rPr>
              <w:t xml:space="preserve">Adding funds is user friendly and easily accessible. </w:t>
            </w:r>
          </w:p>
        </w:tc>
        <w:tc>
          <w:tcPr>
            <w:tcW w:w="1803" w:type="dxa"/>
            <w:tcBorders>
              <w:top w:val="single" w:sz="4" w:space="0" w:color="auto"/>
              <w:left w:val="single" w:sz="4" w:space="0" w:color="auto"/>
              <w:bottom w:val="single" w:sz="4" w:space="0" w:color="auto"/>
              <w:right w:val="single" w:sz="4" w:space="0" w:color="auto"/>
            </w:tcBorders>
          </w:tcPr>
          <w:p w14:paraId="50B30544" w14:textId="77777777" w:rsidR="009F0D2A" w:rsidRPr="00851192" w:rsidRDefault="009F0D2A"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7EDDEF05" w14:textId="77777777" w:rsidR="009F0D2A" w:rsidRPr="00851192" w:rsidRDefault="009F0D2A" w:rsidP="00F27343">
            <w:pPr>
              <w:jc w:val="center"/>
              <w:rPr>
                <w:rFonts w:ascii="Arial" w:hAnsi="Arial" w:cs="Arial"/>
              </w:rPr>
            </w:pPr>
            <w:r w:rsidRPr="00851192">
              <w:rPr>
                <w:rFonts w:ascii="Arial" w:hAnsi="Arial" w:cs="Arial"/>
              </w:rPr>
              <w:t>1</w:t>
            </w:r>
          </w:p>
        </w:tc>
        <w:tc>
          <w:tcPr>
            <w:tcW w:w="2681" w:type="dxa"/>
            <w:tcBorders>
              <w:top w:val="single" w:sz="4" w:space="0" w:color="auto"/>
              <w:left w:val="single" w:sz="4" w:space="0" w:color="auto"/>
              <w:bottom w:val="single" w:sz="4" w:space="0" w:color="auto"/>
              <w:right w:val="single" w:sz="4" w:space="0" w:color="auto"/>
            </w:tcBorders>
            <w:hideMark/>
          </w:tcPr>
          <w:p w14:paraId="2327938C" w14:textId="77777777" w:rsidR="009F0D2A" w:rsidRPr="00851192" w:rsidRDefault="009F0D2A" w:rsidP="00F27343">
            <w:pPr>
              <w:jc w:val="center"/>
              <w:rPr>
                <w:rFonts w:ascii="Arial" w:hAnsi="Arial" w:cs="Arial"/>
              </w:rPr>
            </w:pPr>
            <w:r w:rsidRPr="00851192">
              <w:rPr>
                <w:rFonts w:ascii="Arial" w:hAnsi="Arial" w:cs="Arial"/>
              </w:rPr>
              <w:t>High</w:t>
            </w:r>
          </w:p>
        </w:tc>
        <w:tc>
          <w:tcPr>
            <w:tcW w:w="2706" w:type="dxa"/>
            <w:tcBorders>
              <w:top w:val="single" w:sz="4" w:space="0" w:color="auto"/>
              <w:left w:val="single" w:sz="4" w:space="0" w:color="auto"/>
              <w:bottom w:val="single" w:sz="4" w:space="0" w:color="auto"/>
              <w:right w:val="single" w:sz="4" w:space="0" w:color="auto"/>
            </w:tcBorders>
            <w:hideMark/>
          </w:tcPr>
          <w:p w14:paraId="405417BC" w14:textId="77777777" w:rsidR="009F0D2A" w:rsidRPr="00851192" w:rsidRDefault="009F0D2A" w:rsidP="00F27343">
            <w:pPr>
              <w:rPr>
                <w:rFonts w:ascii="Arial" w:hAnsi="Arial" w:cs="Arial"/>
              </w:rPr>
            </w:pPr>
            <w:r w:rsidRPr="00851192">
              <w:rPr>
                <w:rFonts w:ascii="Arial" w:hAnsi="Arial" w:cs="Arial"/>
              </w:rPr>
              <w:t xml:space="preserve">Adding funds into user account is easily accessible for customers. </w:t>
            </w:r>
          </w:p>
        </w:tc>
      </w:tr>
      <w:tr w:rsidR="009F0D2A" w:rsidRPr="00851192" w14:paraId="6D01EC84"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4D9107E6" w14:textId="77777777" w:rsidR="009F0D2A" w:rsidRPr="00851192" w:rsidRDefault="009F0D2A" w:rsidP="00F27343">
            <w:pPr>
              <w:jc w:val="center"/>
              <w:rPr>
                <w:rFonts w:ascii="Arial" w:hAnsi="Arial" w:cs="Arial"/>
              </w:rPr>
            </w:pPr>
            <w:r w:rsidRPr="00851192">
              <w:rPr>
                <w:rFonts w:ascii="Arial" w:hAnsi="Arial" w:cs="Arial"/>
              </w:rPr>
              <w:t>Money balance is clear for user</w:t>
            </w:r>
          </w:p>
        </w:tc>
        <w:tc>
          <w:tcPr>
            <w:tcW w:w="1803" w:type="dxa"/>
            <w:tcBorders>
              <w:top w:val="single" w:sz="4" w:space="0" w:color="auto"/>
              <w:left w:val="single" w:sz="4" w:space="0" w:color="auto"/>
              <w:bottom w:val="single" w:sz="4" w:space="0" w:color="auto"/>
              <w:right w:val="single" w:sz="4" w:space="0" w:color="auto"/>
            </w:tcBorders>
          </w:tcPr>
          <w:p w14:paraId="4FE8DCD8" w14:textId="77777777" w:rsidR="009F0D2A" w:rsidRPr="00851192" w:rsidRDefault="009F0D2A"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336D1F97" w14:textId="77777777" w:rsidR="009F0D2A" w:rsidRPr="00851192" w:rsidRDefault="009F0D2A" w:rsidP="00F27343">
            <w:pPr>
              <w:jc w:val="center"/>
              <w:rPr>
                <w:rFonts w:ascii="Arial" w:hAnsi="Arial" w:cs="Arial"/>
              </w:rPr>
            </w:pPr>
            <w:r w:rsidRPr="00851192">
              <w:rPr>
                <w:rFonts w:ascii="Arial" w:hAnsi="Arial" w:cs="Arial"/>
              </w:rPr>
              <w:t>1</w:t>
            </w:r>
          </w:p>
        </w:tc>
        <w:tc>
          <w:tcPr>
            <w:tcW w:w="2681" w:type="dxa"/>
            <w:tcBorders>
              <w:top w:val="single" w:sz="4" w:space="0" w:color="auto"/>
              <w:left w:val="single" w:sz="4" w:space="0" w:color="auto"/>
              <w:bottom w:val="single" w:sz="4" w:space="0" w:color="auto"/>
              <w:right w:val="single" w:sz="4" w:space="0" w:color="auto"/>
            </w:tcBorders>
            <w:hideMark/>
          </w:tcPr>
          <w:p w14:paraId="7C61A484" w14:textId="77777777" w:rsidR="009F0D2A" w:rsidRPr="00851192" w:rsidRDefault="009F0D2A" w:rsidP="00F27343">
            <w:pPr>
              <w:jc w:val="center"/>
              <w:rPr>
                <w:rFonts w:ascii="Arial" w:hAnsi="Arial" w:cs="Arial"/>
              </w:rPr>
            </w:pPr>
            <w:r w:rsidRPr="00851192">
              <w:rPr>
                <w:rFonts w:ascii="Arial" w:hAnsi="Arial" w:cs="Arial"/>
              </w:rPr>
              <w:t>High</w:t>
            </w:r>
          </w:p>
        </w:tc>
        <w:tc>
          <w:tcPr>
            <w:tcW w:w="2706" w:type="dxa"/>
            <w:tcBorders>
              <w:top w:val="single" w:sz="4" w:space="0" w:color="auto"/>
              <w:left w:val="single" w:sz="4" w:space="0" w:color="auto"/>
              <w:bottom w:val="single" w:sz="4" w:space="0" w:color="auto"/>
              <w:right w:val="single" w:sz="4" w:space="0" w:color="auto"/>
            </w:tcBorders>
            <w:hideMark/>
          </w:tcPr>
          <w:p w14:paraId="48F152CA" w14:textId="77777777" w:rsidR="009F0D2A" w:rsidRPr="00851192" w:rsidRDefault="009F0D2A" w:rsidP="00F27343">
            <w:pPr>
              <w:rPr>
                <w:rFonts w:ascii="Arial" w:hAnsi="Arial" w:cs="Arial"/>
              </w:rPr>
            </w:pPr>
            <w:r w:rsidRPr="00851192">
              <w:rPr>
                <w:rFonts w:ascii="Arial" w:hAnsi="Arial" w:cs="Arial"/>
              </w:rPr>
              <w:t xml:space="preserve">Balance of user account is clear and visible across all platforms including app (app games and slots) and website (ali88win) products of Asia Gaming. A limitation is recognised due to the unknown number of app products provided by Asia Gaming. The study considered 2 apps created by Asia Gaming (Mr. Xin and Black Jack Multi-Hand Deluxe). </w:t>
            </w:r>
          </w:p>
        </w:tc>
      </w:tr>
      <w:tr w:rsidR="009F0D2A" w:rsidRPr="00851192" w14:paraId="2D42E45E"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7DDB7BAF" w14:textId="77777777" w:rsidR="009F0D2A" w:rsidRPr="00851192" w:rsidRDefault="009F0D2A" w:rsidP="00F27343">
            <w:pPr>
              <w:jc w:val="center"/>
              <w:rPr>
                <w:rFonts w:ascii="Arial" w:hAnsi="Arial" w:cs="Arial"/>
              </w:rPr>
            </w:pPr>
            <w:r w:rsidRPr="00851192">
              <w:rPr>
                <w:rFonts w:ascii="Arial" w:hAnsi="Arial" w:cs="Arial"/>
              </w:rPr>
              <w:t>Money management facility is provided by global gambling operator</w:t>
            </w:r>
          </w:p>
        </w:tc>
        <w:tc>
          <w:tcPr>
            <w:tcW w:w="1803" w:type="dxa"/>
            <w:tcBorders>
              <w:top w:val="single" w:sz="4" w:space="0" w:color="auto"/>
              <w:left w:val="single" w:sz="4" w:space="0" w:color="auto"/>
              <w:bottom w:val="single" w:sz="4" w:space="0" w:color="auto"/>
              <w:right w:val="single" w:sz="4" w:space="0" w:color="auto"/>
            </w:tcBorders>
          </w:tcPr>
          <w:p w14:paraId="6824F2F7" w14:textId="77777777" w:rsidR="009F0D2A" w:rsidRPr="00851192" w:rsidRDefault="009F0D2A"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6C89DA73" w14:textId="77777777" w:rsidR="009F0D2A" w:rsidRPr="00851192" w:rsidRDefault="009F0D2A" w:rsidP="00F27343">
            <w:pPr>
              <w:jc w:val="center"/>
              <w:rPr>
                <w:rFonts w:ascii="Arial" w:hAnsi="Arial" w:cs="Arial"/>
              </w:rPr>
            </w:pPr>
            <w:r w:rsidRPr="00851192">
              <w:rPr>
                <w:rFonts w:ascii="Arial" w:hAnsi="Arial" w:cs="Arial"/>
              </w:rPr>
              <w:t>0</w:t>
            </w:r>
          </w:p>
        </w:tc>
        <w:tc>
          <w:tcPr>
            <w:tcW w:w="2681" w:type="dxa"/>
            <w:tcBorders>
              <w:top w:val="single" w:sz="4" w:space="0" w:color="auto"/>
              <w:left w:val="single" w:sz="4" w:space="0" w:color="auto"/>
              <w:bottom w:val="single" w:sz="4" w:space="0" w:color="auto"/>
              <w:right w:val="single" w:sz="4" w:space="0" w:color="auto"/>
            </w:tcBorders>
            <w:hideMark/>
          </w:tcPr>
          <w:p w14:paraId="7F8E5D1E" w14:textId="77777777" w:rsidR="009F0D2A" w:rsidRPr="00851192" w:rsidRDefault="009F0D2A" w:rsidP="00F27343">
            <w:pPr>
              <w:jc w:val="center"/>
              <w:rPr>
                <w:rFonts w:ascii="Arial" w:hAnsi="Arial" w:cs="Arial"/>
              </w:rPr>
            </w:pPr>
            <w:r w:rsidRPr="00851192">
              <w:rPr>
                <w:rFonts w:ascii="Arial" w:hAnsi="Arial" w:cs="Arial"/>
              </w:rPr>
              <w:t>None</w:t>
            </w:r>
          </w:p>
        </w:tc>
        <w:tc>
          <w:tcPr>
            <w:tcW w:w="2706" w:type="dxa"/>
            <w:tcBorders>
              <w:top w:val="single" w:sz="4" w:space="0" w:color="auto"/>
              <w:left w:val="single" w:sz="4" w:space="0" w:color="auto"/>
              <w:bottom w:val="single" w:sz="4" w:space="0" w:color="auto"/>
              <w:right w:val="single" w:sz="4" w:space="0" w:color="auto"/>
            </w:tcBorders>
            <w:hideMark/>
          </w:tcPr>
          <w:p w14:paraId="1397451B" w14:textId="77777777" w:rsidR="009F0D2A" w:rsidRPr="00851192" w:rsidRDefault="009F0D2A" w:rsidP="00F27343">
            <w:pPr>
              <w:rPr>
                <w:rFonts w:ascii="Arial" w:hAnsi="Arial" w:cs="Arial"/>
              </w:rPr>
            </w:pPr>
            <w:r w:rsidRPr="00851192">
              <w:rPr>
                <w:rFonts w:ascii="Arial" w:hAnsi="Arial" w:cs="Arial"/>
              </w:rPr>
              <w:t xml:space="preserve">No management facility of money or spending tracker is provided by the global gambling operator. </w:t>
            </w:r>
          </w:p>
        </w:tc>
      </w:tr>
    </w:tbl>
    <w:p w14:paraId="44A6D98F" w14:textId="31CAB831" w:rsidR="009B75A0" w:rsidRPr="00851192" w:rsidRDefault="009B75A0" w:rsidP="0017796E">
      <w:pPr>
        <w:rPr>
          <w:rFonts w:ascii="Arial" w:hAnsi="Arial" w:cs="Arial"/>
          <w:lang w:val="en-US"/>
        </w:rPr>
      </w:pPr>
    </w:p>
    <w:p w14:paraId="7734733E" w14:textId="29C77F39" w:rsidR="009F0D2A" w:rsidRPr="00851192" w:rsidRDefault="009F0D2A" w:rsidP="009F0D2A">
      <w:pPr>
        <w:jc w:val="center"/>
        <w:rPr>
          <w:rFonts w:ascii="Arial" w:hAnsi="Arial" w:cs="Arial"/>
        </w:rPr>
      </w:pPr>
      <w:r w:rsidRPr="00851192">
        <w:rPr>
          <w:rFonts w:ascii="Arial" w:hAnsi="Arial" w:cs="Arial"/>
          <w:b/>
        </w:rPr>
        <w:t xml:space="preserve">Table </w:t>
      </w:r>
      <w:r w:rsidR="005E3EE2" w:rsidRPr="00851192">
        <w:rPr>
          <w:rFonts w:ascii="Arial" w:hAnsi="Arial" w:cs="Arial"/>
          <w:b/>
        </w:rPr>
        <w:t>7</w:t>
      </w:r>
      <w:r w:rsidRPr="00851192">
        <w:rPr>
          <w:rFonts w:ascii="Arial" w:hAnsi="Arial" w:cs="Arial"/>
          <w:b/>
        </w:rPr>
        <w:t>.1</w:t>
      </w:r>
      <w:r w:rsidR="009E5260" w:rsidRPr="00851192">
        <w:rPr>
          <w:rFonts w:ascii="Arial" w:hAnsi="Arial" w:cs="Arial"/>
          <w:b/>
        </w:rPr>
        <w:t>0</w:t>
      </w:r>
      <w:r w:rsidRPr="00851192">
        <w:rPr>
          <w:rFonts w:ascii="Arial" w:hAnsi="Arial" w:cs="Arial"/>
        </w:rPr>
        <w:t xml:space="preserve"> Global Gambling Operators and Clarity on Rules</w:t>
      </w:r>
    </w:p>
    <w:p w14:paraId="3236134D" w14:textId="5EAFE739" w:rsidR="009F0D2A" w:rsidRPr="00851192" w:rsidRDefault="009F0D2A" w:rsidP="009F0D2A">
      <w:pPr>
        <w:jc w:val="center"/>
        <w:rPr>
          <w:rFonts w:ascii="Arial" w:hAnsi="Arial" w:cs="Arial"/>
        </w:rPr>
      </w:pPr>
      <w:r w:rsidRPr="00851192">
        <w:rPr>
          <w:rFonts w:ascii="Arial" w:hAnsi="Arial" w:cs="Arial"/>
        </w:rPr>
        <w:t>B</w:t>
      </w:r>
      <w:r w:rsidR="009E5260" w:rsidRPr="00851192">
        <w:rPr>
          <w:rFonts w:ascii="Arial" w:hAnsi="Arial" w:cs="Arial"/>
        </w:rPr>
        <w:t>et</w:t>
      </w:r>
      <w:r w:rsidRPr="00851192">
        <w:rPr>
          <w:rFonts w:ascii="Arial" w:hAnsi="Arial" w:cs="Arial"/>
        </w:rPr>
        <w:t>365</w:t>
      </w:r>
    </w:p>
    <w:tbl>
      <w:tblPr>
        <w:tblStyle w:val="TableGrid"/>
        <w:tblW w:w="9918" w:type="dxa"/>
        <w:tblLook w:val="04A0" w:firstRow="1" w:lastRow="0" w:firstColumn="1" w:lastColumn="0" w:noHBand="0" w:noVBand="1"/>
      </w:tblPr>
      <w:tblGrid>
        <w:gridCol w:w="1797"/>
        <w:gridCol w:w="1788"/>
        <w:gridCol w:w="975"/>
        <w:gridCol w:w="2668"/>
        <w:gridCol w:w="2690"/>
      </w:tblGrid>
      <w:tr w:rsidR="009F0D2A" w:rsidRPr="00851192" w14:paraId="07D7A6BB" w14:textId="77777777" w:rsidTr="00F27343">
        <w:trPr>
          <w:trHeight w:val="986"/>
        </w:trPr>
        <w:tc>
          <w:tcPr>
            <w:tcW w:w="1803" w:type="dxa"/>
            <w:tcBorders>
              <w:top w:val="single" w:sz="4" w:space="0" w:color="auto"/>
              <w:left w:val="single" w:sz="4" w:space="0" w:color="auto"/>
              <w:bottom w:val="single" w:sz="4" w:space="0" w:color="auto"/>
              <w:right w:val="single" w:sz="4" w:space="0" w:color="auto"/>
            </w:tcBorders>
            <w:hideMark/>
          </w:tcPr>
          <w:p w14:paraId="5F8F3B86" w14:textId="77777777" w:rsidR="009F0D2A" w:rsidRPr="00851192" w:rsidRDefault="009F0D2A" w:rsidP="00F27343">
            <w:pPr>
              <w:jc w:val="center"/>
              <w:rPr>
                <w:rFonts w:ascii="Arial" w:hAnsi="Arial" w:cs="Arial"/>
              </w:rPr>
            </w:pPr>
            <w:r w:rsidRPr="00851192">
              <w:rPr>
                <w:rFonts w:ascii="Arial" w:hAnsi="Arial" w:cs="Arial"/>
              </w:rPr>
              <w:t>Categories</w:t>
            </w:r>
          </w:p>
        </w:tc>
        <w:tc>
          <w:tcPr>
            <w:tcW w:w="1803" w:type="dxa"/>
            <w:tcBorders>
              <w:top w:val="single" w:sz="4" w:space="0" w:color="auto"/>
              <w:left w:val="single" w:sz="4" w:space="0" w:color="auto"/>
              <w:bottom w:val="single" w:sz="4" w:space="0" w:color="auto"/>
              <w:right w:val="single" w:sz="4" w:space="0" w:color="auto"/>
            </w:tcBorders>
            <w:hideMark/>
          </w:tcPr>
          <w:p w14:paraId="14EB799F" w14:textId="77777777" w:rsidR="009F0D2A" w:rsidRPr="00851192" w:rsidRDefault="009F0D2A" w:rsidP="00F27343">
            <w:pPr>
              <w:jc w:val="center"/>
              <w:rPr>
                <w:rFonts w:ascii="Arial" w:hAnsi="Arial" w:cs="Arial"/>
                <w:b/>
              </w:rPr>
            </w:pPr>
            <w:r w:rsidRPr="00851192">
              <w:rPr>
                <w:rFonts w:ascii="Segoe UI Symbol" w:hAnsi="Segoe UI Symbol" w:cs="Segoe UI Symbol"/>
                <w:b/>
                <w:shd w:val="clear" w:color="auto" w:fill="FFFFFF"/>
              </w:rPr>
              <w:t>✓</w:t>
            </w:r>
            <w:r w:rsidRPr="00851192">
              <w:rPr>
                <w:rFonts w:ascii="Arial" w:hAnsi="Arial" w:cs="Arial"/>
                <w:b/>
                <w:shd w:val="clear" w:color="auto" w:fill="FFFFFF"/>
              </w:rPr>
              <w:t xml:space="preserve"> / </w:t>
            </w: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hideMark/>
          </w:tcPr>
          <w:p w14:paraId="28A5787E" w14:textId="77777777" w:rsidR="009F0D2A" w:rsidRPr="00851192" w:rsidRDefault="009F0D2A" w:rsidP="00F27343">
            <w:pPr>
              <w:jc w:val="center"/>
              <w:rPr>
                <w:rFonts w:ascii="Arial" w:hAnsi="Arial" w:cs="Arial"/>
              </w:rPr>
            </w:pPr>
            <w:r w:rsidRPr="00851192">
              <w:rPr>
                <w:rFonts w:ascii="Arial" w:hAnsi="Arial" w:cs="Arial"/>
              </w:rPr>
              <w:t>Present or Not Present</w:t>
            </w:r>
          </w:p>
        </w:tc>
        <w:tc>
          <w:tcPr>
            <w:tcW w:w="2681" w:type="dxa"/>
            <w:tcBorders>
              <w:top w:val="single" w:sz="4" w:space="0" w:color="auto"/>
              <w:left w:val="single" w:sz="4" w:space="0" w:color="auto"/>
              <w:bottom w:val="single" w:sz="4" w:space="0" w:color="auto"/>
              <w:right w:val="single" w:sz="4" w:space="0" w:color="auto"/>
            </w:tcBorders>
            <w:hideMark/>
          </w:tcPr>
          <w:p w14:paraId="6F0C484C" w14:textId="77777777" w:rsidR="009F0D2A" w:rsidRPr="00851192" w:rsidRDefault="009F0D2A" w:rsidP="00F27343">
            <w:pPr>
              <w:jc w:val="center"/>
              <w:rPr>
                <w:rFonts w:ascii="Arial" w:hAnsi="Arial" w:cs="Arial"/>
              </w:rPr>
            </w:pPr>
            <w:r w:rsidRPr="00851192">
              <w:rPr>
                <w:rFonts w:ascii="Arial" w:hAnsi="Arial" w:cs="Arial"/>
              </w:rPr>
              <w:t>Researchers rating for clear information</w:t>
            </w:r>
          </w:p>
        </w:tc>
        <w:tc>
          <w:tcPr>
            <w:tcW w:w="2706" w:type="dxa"/>
            <w:tcBorders>
              <w:top w:val="single" w:sz="4" w:space="0" w:color="auto"/>
              <w:left w:val="single" w:sz="4" w:space="0" w:color="auto"/>
              <w:bottom w:val="single" w:sz="4" w:space="0" w:color="auto"/>
              <w:right w:val="single" w:sz="4" w:space="0" w:color="auto"/>
            </w:tcBorders>
            <w:hideMark/>
          </w:tcPr>
          <w:p w14:paraId="453E733C" w14:textId="77777777" w:rsidR="009F0D2A" w:rsidRPr="00851192" w:rsidRDefault="009F0D2A" w:rsidP="00F27343">
            <w:pPr>
              <w:jc w:val="center"/>
              <w:rPr>
                <w:rFonts w:ascii="Arial" w:hAnsi="Arial" w:cs="Arial"/>
              </w:rPr>
            </w:pPr>
            <w:r w:rsidRPr="00851192">
              <w:rPr>
                <w:rFonts w:ascii="Arial" w:hAnsi="Arial" w:cs="Arial"/>
              </w:rPr>
              <w:t>Additional Comments</w:t>
            </w:r>
          </w:p>
        </w:tc>
      </w:tr>
      <w:tr w:rsidR="009F0D2A" w:rsidRPr="00851192" w14:paraId="5F82570C"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772416EB" w14:textId="77777777" w:rsidR="009F0D2A" w:rsidRPr="00851192" w:rsidRDefault="009F0D2A" w:rsidP="00F27343">
            <w:pPr>
              <w:jc w:val="center"/>
              <w:rPr>
                <w:rFonts w:ascii="Arial" w:hAnsi="Arial" w:cs="Arial"/>
                <w:b/>
              </w:rPr>
            </w:pPr>
            <w:r w:rsidRPr="00851192">
              <w:rPr>
                <w:rFonts w:ascii="Arial" w:hAnsi="Arial" w:cs="Arial"/>
                <w:b/>
              </w:rPr>
              <w:t>Clarity on Rules</w:t>
            </w:r>
          </w:p>
        </w:tc>
        <w:tc>
          <w:tcPr>
            <w:tcW w:w="1803" w:type="dxa"/>
            <w:tcBorders>
              <w:top w:val="single" w:sz="4" w:space="0" w:color="auto"/>
              <w:left w:val="single" w:sz="4" w:space="0" w:color="auto"/>
              <w:bottom w:val="single" w:sz="4" w:space="0" w:color="auto"/>
              <w:right w:val="single" w:sz="4" w:space="0" w:color="auto"/>
            </w:tcBorders>
            <w:hideMark/>
          </w:tcPr>
          <w:p w14:paraId="3E901E0C" w14:textId="77777777" w:rsidR="009F0D2A" w:rsidRPr="00851192" w:rsidRDefault="009F0D2A" w:rsidP="00F27343">
            <w:pPr>
              <w:jc w:val="center"/>
              <w:rPr>
                <w:rFonts w:ascii="Arial" w:hAnsi="Arial" w:cs="Arial"/>
              </w:rPr>
            </w:pP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tcPr>
          <w:p w14:paraId="39DD82C2" w14:textId="77777777" w:rsidR="009F0D2A" w:rsidRPr="00851192" w:rsidRDefault="009F0D2A" w:rsidP="00F27343">
            <w:pPr>
              <w:rPr>
                <w:rFonts w:ascii="Arial" w:hAnsi="Arial" w:cs="Arial"/>
              </w:rPr>
            </w:pPr>
          </w:p>
        </w:tc>
        <w:tc>
          <w:tcPr>
            <w:tcW w:w="2681" w:type="dxa"/>
            <w:tcBorders>
              <w:top w:val="single" w:sz="4" w:space="0" w:color="auto"/>
              <w:left w:val="single" w:sz="4" w:space="0" w:color="auto"/>
              <w:bottom w:val="single" w:sz="4" w:space="0" w:color="auto"/>
              <w:right w:val="single" w:sz="4" w:space="0" w:color="auto"/>
            </w:tcBorders>
          </w:tcPr>
          <w:p w14:paraId="01EE2280" w14:textId="77777777" w:rsidR="009F0D2A" w:rsidRPr="00851192" w:rsidRDefault="009F0D2A" w:rsidP="00F27343">
            <w:pPr>
              <w:rPr>
                <w:rFonts w:ascii="Arial" w:hAnsi="Arial" w:cs="Arial"/>
              </w:rPr>
            </w:pPr>
          </w:p>
        </w:tc>
        <w:tc>
          <w:tcPr>
            <w:tcW w:w="2706" w:type="dxa"/>
            <w:tcBorders>
              <w:top w:val="single" w:sz="4" w:space="0" w:color="auto"/>
              <w:left w:val="single" w:sz="4" w:space="0" w:color="auto"/>
              <w:bottom w:val="single" w:sz="4" w:space="0" w:color="auto"/>
              <w:right w:val="single" w:sz="4" w:space="0" w:color="auto"/>
            </w:tcBorders>
          </w:tcPr>
          <w:p w14:paraId="27AE29B2" w14:textId="77777777" w:rsidR="009F0D2A" w:rsidRPr="00851192" w:rsidRDefault="009F0D2A" w:rsidP="00F27343">
            <w:pPr>
              <w:rPr>
                <w:rFonts w:ascii="Arial" w:hAnsi="Arial" w:cs="Arial"/>
              </w:rPr>
            </w:pPr>
          </w:p>
        </w:tc>
      </w:tr>
      <w:tr w:rsidR="009F0D2A" w:rsidRPr="00851192" w14:paraId="2E7189D3"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26525FD9" w14:textId="77777777" w:rsidR="009F0D2A" w:rsidRPr="00851192" w:rsidRDefault="009F0D2A" w:rsidP="00F27343">
            <w:pPr>
              <w:jc w:val="center"/>
              <w:rPr>
                <w:rFonts w:ascii="Arial" w:hAnsi="Arial" w:cs="Arial"/>
              </w:rPr>
            </w:pPr>
            <w:r w:rsidRPr="00851192">
              <w:rPr>
                <w:rFonts w:ascii="Arial" w:hAnsi="Arial" w:cs="Arial"/>
              </w:rPr>
              <w:t>Rules, terms and conditions are clear.</w:t>
            </w:r>
          </w:p>
        </w:tc>
        <w:tc>
          <w:tcPr>
            <w:tcW w:w="1803" w:type="dxa"/>
            <w:tcBorders>
              <w:top w:val="single" w:sz="4" w:space="0" w:color="auto"/>
              <w:left w:val="single" w:sz="4" w:space="0" w:color="auto"/>
              <w:bottom w:val="single" w:sz="4" w:space="0" w:color="auto"/>
              <w:right w:val="single" w:sz="4" w:space="0" w:color="auto"/>
            </w:tcBorders>
          </w:tcPr>
          <w:p w14:paraId="4133BE4E" w14:textId="77777777" w:rsidR="009F0D2A" w:rsidRPr="00851192" w:rsidRDefault="009F0D2A"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79189232" w14:textId="77777777" w:rsidR="009F0D2A" w:rsidRPr="00851192" w:rsidRDefault="009F0D2A" w:rsidP="00F27343">
            <w:pPr>
              <w:jc w:val="center"/>
              <w:rPr>
                <w:rFonts w:ascii="Arial" w:hAnsi="Arial" w:cs="Arial"/>
              </w:rPr>
            </w:pPr>
            <w:r w:rsidRPr="00851192">
              <w:rPr>
                <w:rFonts w:ascii="Arial" w:hAnsi="Arial" w:cs="Arial"/>
              </w:rPr>
              <w:t>1</w:t>
            </w:r>
          </w:p>
        </w:tc>
        <w:tc>
          <w:tcPr>
            <w:tcW w:w="2681" w:type="dxa"/>
            <w:tcBorders>
              <w:top w:val="single" w:sz="4" w:space="0" w:color="auto"/>
              <w:left w:val="single" w:sz="4" w:space="0" w:color="auto"/>
              <w:bottom w:val="single" w:sz="4" w:space="0" w:color="auto"/>
              <w:right w:val="single" w:sz="4" w:space="0" w:color="auto"/>
            </w:tcBorders>
            <w:hideMark/>
          </w:tcPr>
          <w:p w14:paraId="3EAD7C87" w14:textId="77777777" w:rsidR="009F0D2A" w:rsidRPr="00851192" w:rsidRDefault="009F0D2A" w:rsidP="00F27343">
            <w:pPr>
              <w:jc w:val="center"/>
              <w:rPr>
                <w:rFonts w:ascii="Arial" w:hAnsi="Arial" w:cs="Arial"/>
              </w:rPr>
            </w:pPr>
            <w:r w:rsidRPr="00851192">
              <w:rPr>
                <w:rFonts w:ascii="Arial" w:hAnsi="Arial" w:cs="Arial"/>
              </w:rPr>
              <w:t>High</w:t>
            </w:r>
          </w:p>
        </w:tc>
        <w:tc>
          <w:tcPr>
            <w:tcW w:w="2706" w:type="dxa"/>
            <w:tcBorders>
              <w:top w:val="single" w:sz="4" w:space="0" w:color="auto"/>
              <w:left w:val="single" w:sz="4" w:space="0" w:color="auto"/>
              <w:bottom w:val="single" w:sz="4" w:space="0" w:color="auto"/>
              <w:right w:val="single" w:sz="4" w:space="0" w:color="auto"/>
            </w:tcBorders>
            <w:hideMark/>
          </w:tcPr>
          <w:p w14:paraId="208F2455" w14:textId="77777777" w:rsidR="009F0D2A" w:rsidRPr="00851192" w:rsidRDefault="009F0D2A" w:rsidP="00F27343">
            <w:pPr>
              <w:rPr>
                <w:rFonts w:ascii="Arial" w:hAnsi="Arial" w:cs="Arial"/>
              </w:rPr>
            </w:pPr>
            <w:r w:rsidRPr="00851192">
              <w:rPr>
                <w:rFonts w:ascii="Arial" w:hAnsi="Arial" w:cs="Arial"/>
              </w:rPr>
              <w:t xml:space="preserve">Terms and conditions are displayed by the global gambling operator. </w:t>
            </w:r>
          </w:p>
        </w:tc>
      </w:tr>
    </w:tbl>
    <w:p w14:paraId="54C13F4A" w14:textId="77777777" w:rsidR="009F0D2A" w:rsidRPr="00851192" w:rsidRDefault="009F0D2A" w:rsidP="009F0D2A">
      <w:pPr>
        <w:rPr>
          <w:rFonts w:ascii="Arial" w:hAnsi="Arial" w:cs="Arial"/>
        </w:rPr>
      </w:pPr>
    </w:p>
    <w:p w14:paraId="14A5D958" w14:textId="77777777" w:rsidR="009F0D2A" w:rsidRPr="00851192" w:rsidRDefault="009F0D2A" w:rsidP="009F0D2A">
      <w:pPr>
        <w:jc w:val="center"/>
        <w:rPr>
          <w:rFonts w:ascii="Arial" w:hAnsi="Arial" w:cs="Arial"/>
        </w:rPr>
      </w:pPr>
      <w:proofErr w:type="spellStart"/>
      <w:r w:rsidRPr="00851192">
        <w:rPr>
          <w:rFonts w:ascii="Arial" w:hAnsi="Arial" w:cs="Arial"/>
        </w:rPr>
        <w:t>Bwin</w:t>
      </w:r>
      <w:proofErr w:type="spellEnd"/>
    </w:p>
    <w:tbl>
      <w:tblPr>
        <w:tblStyle w:val="TableGrid"/>
        <w:tblW w:w="9918" w:type="dxa"/>
        <w:tblLook w:val="04A0" w:firstRow="1" w:lastRow="0" w:firstColumn="1" w:lastColumn="0" w:noHBand="0" w:noVBand="1"/>
      </w:tblPr>
      <w:tblGrid>
        <w:gridCol w:w="1797"/>
        <w:gridCol w:w="1788"/>
        <w:gridCol w:w="975"/>
        <w:gridCol w:w="2668"/>
        <w:gridCol w:w="2690"/>
      </w:tblGrid>
      <w:tr w:rsidR="009F0D2A" w:rsidRPr="00851192" w14:paraId="664210A3" w14:textId="77777777" w:rsidTr="00F27343">
        <w:trPr>
          <w:trHeight w:val="986"/>
        </w:trPr>
        <w:tc>
          <w:tcPr>
            <w:tcW w:w="1803" w:type="dxa"/>
            <w:tcBorders>
              <w:top w:val="single" w:sz="4" w:space="0" w:color="auto"/>
              <w:left w:val="single" w:sz="4" w:space="0" w:color="auto"/>
              <w:bottom w:val="single" w:sz="4" w:space="0" w:color="auto"/>
              <w:right w:val="single" w:sz="4" w:space="0" w:color="auto"/>
            </w:tcBorders>
            <w:hideMark/>
          </w:tcPr>
          <w:p w14:paraId="398FC82E" w14:textId="77777777" w:rsidR="009F0D2A" w:rsidRPr="00851192" w:rsidRDefault="009F0D2A" w:rsidP="00F27343">
            <w:pPr>
              <w:jc w:val="center"/>
              <w:rPr>
                <w:rFonts w:ascii="Arial" w:hAnsi="Arial" w:cs="Arial"/>
              </w:rPr>
            </w:pPr>
            <w:r w:rsidRPr="00851192">
              <w:rPr>
                <w:rFonts w:ascii="Arial" w:hAnsi="Arial" w:cs="Arial"/>
              </w:rPr>
              <w:lastRenderedPageBreak/>
              <w:t>Categories</w:t>
            </w:r>
          </w:p>
        </w:tc>
        <w:tc>
          <w:tcPr>
            <w:tcW w:w="1803" w:type="dxa"/>
            <w:tcBorders>
              <w:top w:val="single" w:sz="4" w:space="0" w:color="auto"/>
              <w:left w:val="single" w:sz="4" w:space="0" w:color="auto"/>
              <w:bottom w:val="single" w:sz="4" w:space="0" w:color="auto"/>
              <w:right w:val="single" w:sz="4" w:space="0" w:color="auto"/>
            </w:tcBorders>
            <w:hideMark/>
          </w:tcPr>
          <w:p w14:paraId="5BFF63ED" w14:textId="77777777" w:rsidR="009F0D2A" w:rsidRPr="00851192" w:rsidRDefault="009F0D2A" w:rsidP="00F27343">
            <w:pPr>
              <w:jc w:val="center"/>
              <w:rPr>
                <w:rFonts w:ascii="Arial" w:hAnsi="Arial" w:cs="Arial"/>
                <w:b/>
              </w:rPr>
            </w:pPr>
            <w:r w:rsidRPr="00851192">
              <w:rPr>
                <w:rFonts w:ascii="Segoe UI Symbol" w:hAnsi="Segoe UI Symbol" w:cs="Segoe UI Symbol"/>
                <w:b/>
                <w:shd w:val="clear" w:color="auto" w:fill="FFFFFF"/>
              </w:rPr>
              <w:t>✓</w:t>
            </w:r>
            <w:r w:rsidRPr="00851192">
              <w:rPr>
                <w:rFonts w:ascii="Arial" w:hAnsi="Arial" w:cs="Arial"/>
                <w:b/>
                <w:shd w:val="clear" w:color="auto" w:fill="FFFFFF"/>
              </w:rPr>
              <w:t xml:space="preserve"> / </w:t>
            </w: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hideMark/>
          </w:tcPr>
          <w:p w14:paraId="6FA9656B" w14:textId="77777777" w:rsidR="009F0D2A" w:rsidRPr="00851192" w:rsidRDefault="009F0D2A" w:rsidP="00F27343">
            <w:pPr>
              <w:jc w:val="center"/>
              <w:rPr>
                <w:rFonts w:ascii="Arial" w:hAnsi="Arial" w:cs="Arial"/>
              </w:rPr>
            </w:pPr>
            <w:r w:rsidRPr="00851192">
              <w:rPr>
                <w:rFonts w:ascii="Arial" w:hAnsi="Arial" w:cs="Arial"/>
              </w:rPr>
              <w:t>Present or Not Present</w:t>
            </w:r>
          </w:p>
        </w:tc>
        <w:tc>
          <w:tcPr>
            <w:tcW w:w="2681" w:type="dxa"/>
            <w:tcBorders>
              <w:top w:val="single" w:sz="4" w:space="0" w:color="auto"/>
              <w:left w:val="single" w:sz="4" w:space="0" w:color="auto"/>
              <w:bottom w:val="single" w:sz="4" w:space="0" w:color="auto"/>
              <w:right w:val="single" w:sz="4" w:space="0" w:color="auto"/>
            </w:tcBorders>
            <w:hideMark/>
          </w:tcPr>
          <w:p w14:paraId="50A4B068" w14:textId="77777777" w:rsidR="009F0D2A" w:rsidRPr="00851192" w:rsidRDefault="009F0D2A" w:rsidP="00F27343">
            <w:pPr>
              <w:jc w:val="center"/>
              <w:rPr>
                <w:rFonts w:ascii="Arial" w:hAnsi="Arial" w:cs="Arial"/>
              </w:rPr>
            </w:pPr>
            <w:r w:rsidRPr="00851192">
              <w:rPr>
                <w:rFonts w:ascii="Arial" w:hAnsi="Arial" w:cs="Arial"/>
              </w:rPr>
              <w:t>Researchers rating for clear information</w:t>
            </w:r>
          </w:p>
        </w:tc>
        <w:tc>
          <w:tcPr>
            <w:tcW w:w="2706" w:type="dxa"/>
            <w:tcBorders>
              <w:top w:val="single" w:sz="4" w:space="0" w:color="auto"/>
              <w:left w:val="single" w:sz="4" w:space="0" w:color="auto"/>
              <w:bottom w:val="single" w:sz="4" w:space="0" w:color="auto"/>
              <w:right w:val="single" w:sz="4" w:space="0" w:color="auto"/>
            </w:tcBorders>
            <w:hideMark/>
          </w:tcPr>
          <w:p w14:paraId="59106D68" w14:textId="77777777" w:rsidR="009F0D2A" w:rsidRPr="00851192" w:rsidRDefault="009F0D2A" w:rsidP="00F27343">
            <w:pPr>
              <w:jc w:val="center"/>
              <w:rPr>
                <w:rFonts w:ascii="Arial" w:hAnsi="Arial" w:cs="Arial"/>
              </w:rPr>
            </w:pPr>
            <w:r w:rsidRPr="00851192">
              <w:rPr>
                <w:rFonts w:ascii="Arial" w:hAnsi="Arial" w:cs="Arial"/>
              </w:rPr>
              <w:t>Additional Comments</w:t>
            </w:r>
          </w:p>
        </w:tc>
      </w:tr>
      <w:tr w:rsidR="009F0D2A" w:rsidRPr="00851192" w14:paraId="71462C83"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0F851F99" w14:textId="77777777" w:rsidR="009F0D2A" w:rsidRPr="00851192" w:rsidRDefault="009F0D2A" w:rsidP="00F27343">
            <w:pPr>
              <w:jc w:val="center"/>
              <w:rPr>
                <w:rFonts w:ascii="Arial" w:hAnsi="Arial" w:cs="Arial"/>
                <w:b/>
              </w:rPr>
            </w:pPr>
            <w:r w:rsidRPr="00851192">
              <w:rPr>
                <w:rFonts w:ascii="Arial" w:hAnsi="Arial" w:cs="Arial"/>
                <w:b/>
              </w:rPr>
              <w:t>Clarity on Rules</w:t>
            </w:r>
          </w:p>
        </w:tc>
        <w:tc>
          <w:tcPr>
            <w:tcW w:w="1803" w:type="dxa"/>
            <w:tcBorders>
              <w:top w:val="single" w:sz="4" w:space="0" w:color="auto"/>
              <w:left w:val="single" w:sz="4" w:space="0" w:color="auto"/>
              <w:bottom w:val="single" w:sz="4" w:space="0" w:color="auto"/>
              <w:right w:val="single" w:sz="4" w:space="0" w:color="auto"/>
            </w:tcBorders>
            <w:hideMark/>
          </w:tcPr>
          <w:p w14:paraId="0119F705" w14:textId="77777777" w:rsidR="009F0D2A" w:rsidRPr="00851192" w:rsidRDefault="009F0D2A" w:rsidP="00F27343">
            <w:pPr>
              <w:jc w:val="center"/>
              <w:rPr>
                <w:rFonts w:ascii="Arial" w:hAnsi="Arial" w:cs="Arial"/>
              </w:rPr>
            </w:pP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tcPr>
          <w:p w14:paraId="5C262466" w14:textId="77777777" w:rsidR="009F0D2A" w:rsidRPr="00851192" w:rsidRDefault="009F0D2A" w:rsidP="00F27343">
            <w:pPr>
              <w:rPr>
                <w:rFonts w:ascii="Arial" w:hAnsi="Arial" w:cs="Arial"/>
              </w:rPr>
            </w:pPr>
          </w:p>
        </w:tc>
        <w:tc>
          <w:tcPr>
            <w:tcW w:w="2681" w:type="dxa"/>
            <w:tcBorders>
              <w:top w:val="single" w:sz="4" w:space="0" w:color="auto"/>
              <w:left w:val="single" w:sz="4" w:space="0" w:color="auto"/>
              <w:bottom w:val="single" w:sz="4" w:space="0" w:color="auto"/>
              <w:right w:val="single" w:sz="4" w:space="0" w:color="auto"/>
            </w:tcBorders>
          </w:tcPr>
          <w:p w14:paraId="3E4F55FE" w14:textId="77777777" w:rsidR="009F0D2A" w:rsidRPr="00851192" w:rsidRDefault="009F0D2A" w:rsidP="00F27343">
            <w:pPr>
              <w:rPr>
                <w:rFonts w:ascii="Arial" w:hAnsi="Arial" w:cs="Arial"/>
              </w:rPr>
            </w:pPr>
          </w:p>
        </w:tc>
        <w:tc>
          <w:tcPr>
            <w:tcW w:w="2706" w:type="dxa"/>
            <w:tcBorders>
              <w:top w:val="single" w:sz="4" w:space="0" w:color="auto"/>
              <w:left w:val="single" w:sz="4" w:space="0" w:color="auto"/>
              <w:bottom w:val="single" w:sz="4" w:space="0" w:color="auto"/>
              <w:right w:val="single" w:sz="4" w:space="0" w:color="auto"/>
            </w:tcBorders>
          </w:tcPr>
          <w:p w14:paraId="04A2B6A9" w14:textId="77777777" w:rsidR="009F0D2A" w:rsidRPr="00851192" w:rsidRDefault="009F0D2A" w:rsidP="00F27343">
            <w:pPr>
              <w:rPr>
                <w:rFonts w:ascii="Arial" w:hAnsi="Arial" w:cs="Arial"/>
              </w:rPr>
            </w:pPr>
          </w:p>
        </w:tc>
      </w:tr>
      <w:tr w:rsidR="009F0D2A" w:rsidRPr="00851192" w14:paraId="1FC16D52"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2C26837E" w14:textId="77777777" w:rsidR="009F0D2A" w:rsidRPr="00851192" w:rsidRDefault="009F0D2A" w:rsidP="00F27343">
            <w:pPr>
              <w:jc w:val="center"/>
              <w:rPr>
                <w:rFonts w:ascii="Arial" w:hAnsi="Arial" w:cs="Arial"/>
              </w:rPr>
            </w:pPr>
            <w:r w:rsidRPr="00851192">
              <w:rPr>
                <w:rFonts w:ascii="Arial" w:hAnsi="Arial" w:cs="Arial"/>
              </w:rPr>
              <w:t>Rules, terms and conditions are clear.</w:t>
            </w:r>
          </w:p>
        </w:tc>
        <w:tc>
          <w:tcPr>
            <w:tcW w:w="1803" w:type="dxa"/>
            <w:tcBorders>
              <w:top w:val="single" w:sz="4" w:space="0" w:color="auto"/>
              <w:left w:val="single" w:sz="4" w:space="0" w:color="auto"/>
              <w:bottom w:val="single" w:sz="4" w:space="0" w:color="auto"/>
              <w:right w:val="single" w:sz="4" w:space="0" w:color="auto"/>
            </w:tcBorders>
          </w:tcPr>
          <w:p w14:paraId="5C8F53CF" w14:textId="77777777" w:rsidR="009F0D2A" w:rsidRPr="00851192" w:rsidRDefault="009F0D2A"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018F20A4" w14:textId="77777777" w:rsidR="009F0D2A" w:rsidRPr="00851192" w:rsidRDefault="009F0D2A" w:rsidP="00F27343">
            <w:pPr>
              <w:jc w:val="center"/>
              <w:rPr>
                <w:rFonts w:ascii="Arial" w:hAnsi="Arial" w:cs="Arial"/>
              </w:rPr>
            </w:pPr>
            <w:r w:rsidRPr="00851192">
              <w:rPr>
                <w:rFonts w:ascii="Arial" w:hAnsi="Arial" w:cs="Arial"/>
              </w:rPr>
              <w:t>1</w:t>
            </w:r>
          </w:p>
        </w:tc>
        <w:tc>
          <w:tcPr>
            <w:tcW w:w="2681" w:type="dxa"/>
            <w:tcBorders>
              <w:top w:val="single" w:sz="4" w:space="0" w:color="auto"/>
              <w:left w:val="single" w:sz="4" w:space="0" w:color="auto"/>
              <w:bottom w:val="single" w:sz="4" w:space="0" w:color="auto"/>
              <w:right w:val="single" w:sz="4" w:space="0" w:color="auto"/>
            </w:tcBorders>
            <w:hideMark/>
          </w:tcPr>
          <w:p w14:paraId="6AE3F164" w14:textId="77777777" w:rsidR="009F0D2A" w:rsidRPr="00851192" w:rsidRDefault="009F0D2A" w:rsidP="00F27343">
            <w:pPr>
              <w:jc w:val="center"/>
              <w:rPr>
                <w:rFonts w:ascii="Arial" w:hAnsi="Arial" w:cs="Arial"/>
              </w:rPr>
            </w:pPr>
            <w:r w:rsidRPr="00851192">
              <w:rPr>
                <w:rFonts w:ascii="Arial" w:hAnsi="Arial" w:cs="Arial"/>
              </w:rPr>
              <w:t>High</w:t>
            </w:r>
          </w:p>
        </w:tc>
        <w:tc>
          <w:tcPr>
            <w:tcW w:w="2706" w:type="dxa"/>
            <w:tcBorders>
              <w:top w:val="single" w:sz="4" w:space="0" w:color="auto"/>
              <w:left w:val="single" w:sz="4" w:space="0" w:color="auto"/>
              <w:bottom w:val="single" w:sz="4" w:space="0" w:color="auto"/>
              <w:right w:val="single" w:sz="4" w:space="0" w:color="auto"/>
            </w:tcBorders>
            <w:hideMark/>
          </w:tcPr>
          <w:p w14:paraId="45B083E9" w14:textId="77777777" w:rsidR="009F0D2A" w:rsidRPr="00851192" w:rsidRDefault="009F0D2A" w:rsidP="00F27343">
            <w:pPr>
              <w:rPr>
                <w:rFonts w:ascii="Arial" w:hAnsi="Arial" w:cs="Arial"/>
              </w:rPr>
            </w:pPr>
            <w:r w:rsidRPr="00851192">
              <w:rPr>
                <w:rFonts w:ascii="Arial" w:hAnsi="Arial" w:cs="Arial"/>
              </w:rPr>
              <w:t xml:space="preserve">Terms and conditions are displayed by the global gambling operator. </w:t>
            </w:r>
          </w:p>
        </w:tc>
      </w:tr>
    </w:tbl>
    <w:p w14:paraId="5A8B96F0" w14:textId="77777777" w:rsidR="009F0D2A" w:rsidRPr="00851192" w:rsidRDefault="009F0D2A" w:rsidP="009F0D2A">
      <w:pPr>
        <w:rPr>
          <w:rFonts w:ascii="Arial" w:hAnsi="Arial" w:cs="Arial"/>
        </w:rPr>
      </w:pPr>
    </w:p>
    <w:p w14:paraId="382A5F36" w14:textId="77777777" w:rsidR="009F0D2A" w:rsidRPr="00851192" w:rsidRDefault="009F0D2A" w:rsidP="009F0D2A">
      <w:pPr>
        <w:jc w:val="center"/>
        <w:rPr>
          <w:rFonts w:ascii="Arial" w:hAnsi="Arial" w:cs="Arial"/>
        </w:rPr>
      </w:pPr>
      <w:r w:rsidRPr="00851192">
        <w:rPr>
          <w:rFonts w:ascii="Arial" w:hAnsi="Arial" w:cs="Arial"/>
        </w:rPr>
        <w:t>Asia Gaming</w:t>
      </w:r>
    </w:p>
    <w:tbl>
      <w:tblPr>
        <w:tblStyle w:val="TableGrid"/>
        <w:tblW w:w="9918" w:type="dxa"/>
        <w:tblLook w:val="04A0" w:firstRow="1" w:lastRow="0" w:firstColumn="1" w:lastColumn="0" w:noHBand="0" w:noVBand="1"/>
      </w:tblPr>
      <w:tblGrid>
        <w:gridCol w:w="1797"/>
        <w:gridCol w:w="1787"/>
        <w:gridCol w:w="975"/>
        <w:gridCol w:w="2667"/>
        <w:gridCol w:w="2692"/>
      </w:tblGrid>
      <w:tr w:rsidR="009F0D2A" w:rsidRPr="00851192" w14:paraId="044F914C" w14:textId="77777777" w:rsidTr="00F27343">
        <w:trPr>
          <w:trHeight w:val="986"/>
        </w:trPr>
        <w:tc>
          <w:tcPr>
            <w:tcW w:w="1803" w:type="dxa"/>
            <w:tcBorders>
              <w:top w:val="single" w:sz="4" w:space="0" w:color="auto"/>
              <w:left w:val="single" w:sz="4" w:space="0" w:color="auto"/>
              <w:bottom w:val="single" w:sz="4" w:space="0" w:color="auto"/>
              <w:right w:val="single" w:sz="4" w:space="0" w:color="auto"/>
            </w:tcBorders>
            <w:hideMark/>
          </w:tcPr>
          <w:p w14:paraId="4C937548" w14:textId="77777777" w:rsidR="009F0D2A" w:rsidRPr="00851192" w:rsidRDefault="009F0D2A" w:rsidP="00F27343">
            <w:pPr>
              <w:jc w:val="center"/>
              <w:rPr>
                <w:rFonts w:ascii="Arial" w:hAnsi="Arial" w:cs="Arial"/>
              </w:rPr>
            </w:pPr>
            <w:r w:rsidRPr="00851192">
              <w:rPr>
                <w:rFonts w:ascii="Arial" w:hAnsi="Arial" w:cs="Arial"/>
              </w:rPr>
              <w:t>Categories</w:t>
            </w:r>
          </w:p>
        </w:tc>
        <w:tc>
          <w:tcPr>
            <w:tcW w:w="1803" w:type="dxa"/>
            <w:tcBorders>
              <w:top w:val="single" w:sz="4" w:space="0" w:color="auto"/>
              <w:left w:val="single" w:sz="4" w:space="0" w:color="auto"/>
              <w:bottom w:val="single" w:sz="4" w:space="0" w:color="auto"/>
              <w:right w:val="single" w:sz="4" w:space="0" w:color="auto"/>
            </w:tcBorders>
            <w:hideMark/>
          </w:tcPr>
          <w:p w14:paraId="50071CC1" w14:textId="77777777" w:rsidR="009F0D2A" w:rsidRPr="00851192" w:rsidRDefault="009F0D2A" w:rsidP="00F27343">
            <w:pPr>
              <w:jc w:val="center"/>
              <w:rPr>
                <w:rFonts w:ascii="Arial" w:hAnsi="Arial" w:cs="Arial"/>
                <w:b/>
              </w:rPr>
            </w:pPr>
            <w:r w:rsidRPr="00851192">
              <w:rPr>
                <w:rFonts w:ascii="Segoe UI Symbol" w:hAnsi="Segoe UI Symbol" w:cs="Segoe UI Symbol"/>
                <w:b/>
                <w:shd w:val="clear" w:color="auto" w:fill="FFFFFF"/>
              </w:rPr>
              <w:t>✓</w:t>
            </w:r>
            <w:r w:rsidRPr="00851192">
              <w:rPr>
                <w:rFonts w:ascii="Arial" w:hAnsi="Arial" w:cs="Arial"/>
                <w:b/>
                <w:shd w:val="clear" w:color="auto" w:fill="FFFFFF"/>
              </w:rPr>
              <w:t xml:space="preserve"> / </w:t>
            </w: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hideMark/>
          </w:tcPr>
          <w:p w14:paraId="3BE6EA89" w14:textId="77777777" w:rsidR="009F0D2A" w:rsidRPr="00851192" w:rsidRDefault="009F0D2A" w:rsidP="00F27343">
            <w:pPr>
              <w:jc w:val="center"/>
              <w:rPr>
                <w:rFonts w:ascii="Arial" w:hAnsi="Arial" w:cs="Arial"/>
              </w:rPr>
            </w:pPr>
            <w:r w:rsidRPr="00851192">
              <w:rPr>
                <w:rFonts w:ascii="Arial" w:hAnsi="Arial" w:cs="Arial"/>
              </w:rPr>
              <w:t>Present or Not Present</w:t>
            </w:r>
          </w:p>
        </w:tc>
        <w:tc>
          <w:tcPr>
            <w:tcW w:w="2681" w:type="dxa"/>
            <w:tcBorders>
              <w:top w:val="single" w:sz="4" w:space="0" w:color="auto"/>
              <w:left w:val="single" w:sz="4" w:space="0" w:color="auto"/>
              <w:bottom w:val="single" w:sz="4" w:space="0" w:color="auto"/>
              <w:right w:val="single" w:sz="4" w:space="0" w:color="auto"/>
            </w:tcBorders>
            <w:hideMark/>
          </w:tcPr>
          <w:p w14:paraId="24C05C1E" w14:textId="77777777" w:rsidR="009F0D2A" w:rsidRPr="00851192" w:rsidRDefault="009F0D2A" w:rsidP="00F27343">
            <w:pPr>
              <w:jc w:val="center"/>
              <w:rPr>
                <w:rFonts w:ascii="Arial" w:hAnsi="Arial" w:cs="Arial"/>
              </w:rPr>
            </w:pPr>
            <w:r w:rsidRPr="00851192">
              <w:rPr>
                <w:rFonts w:ascii="Arial" w:hAnsi="Arial" w:cs="Arial"/>
              </w:rPr>
              <w:t>Researchers rating for clear information</w:t>
            </w:r>
          </w:p>
        </w:tc>
        <w:tc>
          <w:tcPr>
            <w:tcW w:w="2706" w:type="dxa"/>
            <w:tcBorders>
              <w:top w:val="single" w:sz="4" w:space="0" w:color="auto"/>
              <w:left w:val="single" w:sz="4" w:space="0" w:color="auto"/>
              <w:bottom w:val="single" w:sz="4" w:space="0" w:color="auto"/>
              <w:right w:val="single" w:sz="4" w:space="0" w:color="auto"/>
            </w:tcBorders>
            <w:hideMark/>
          </w:tcPr>
          <w:p w14:paraId="029AB648" w14:textId="77777777" w:rsidR="009F0D2A" w:rsidRPr="00851192" w:rsidRDefault="009F0D2A" w:rsidP="00F27343">
            <w:pPr>
              <w:jc w:val="center"/>
              <w:rPr>
                <w:rFonts w:ascii="Arial" w:hAnsi="Arial" w:cs="Arial"/>
              </w:rPr>
            </w:pPr>
            <w:r w:rsidRPr="00851192">
              <w:rPr>
                <w:rFonts w:ascii="Arial" w:hAnsi="Arial" w:cs="Arial"/>
              </w:rPr>
              <w:t>Additional Comments</w:t>
            </w:r>
          </w:p>
        </w:tc>
      </w:tr>
      <w:tr w:rsidR="009F0D2A" w:rsidRPr="00851192" w14:paraId="07717372"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7B85B95F" w14:textId="77777777" w:rsidR="009F0D2A" w:rsidRPr="00851192" w:rsidRDefault="009F0D2A" w:rsidP="00F27343">
            <w:pPr>
              <w:jc w:val="center"/>
              <w:rPr>
                <w:rFonts w:ascii="Arial" w:hAnsi="Arial" w:cs="Arial"/>
                <w:b/>
              </w:rPr>
            </w:pPr>
            <w:r w:rsidRPr="00851192">
              <w:rPr>
                <w:rFonts w:ascii="Arial" w:hAnsi="Arial" w:cs="Arial"/>
                <w:b/>
              </w:rPr>
              <w:t>Clarity on Rules</w:t>
            </w:r>
          </w:p>
        </w:tc>
        <w:tc>
          <w:tcPr>
            <w:tcW w:w="1803" w:type="dxa"/>
            <w:tcBorders>
              <w:top w:val="single" w:sz="4" w:space="0" w:color="auto"/>
              <w:left w:val="single" w:sz="4" w:space="0" w:color="auto"/>
              <w:bottom w:val="single" w:sz="4" w:space="0" w:color="auto"/>
              <w:right w:val="single" w:sz="4" w:space="0" w:color="auto"/>
            </w:tcBorders>
            <w:hideMark/>
          </w:tcPr>
          <w:p w14:paraId="54255B26" w14:textId="77777777" w:rsidR="009F0D2A" w:rsidRPr="00851192" w:rsidRDefault="009F0D2A" w:rsidP="00F27343">
            <w:pPr>
              <w:jc w:val="center"/>
              <w:rPr>
                <w:rFonts w:ascii="Arial" w:hAnsi="Arial" w:cs="Arial"/>
              </w:rPr>
            </w:pPr>
            <w:r w:rsidRPr="00851192">
              <w:rPr>
                <w:rFonts w:ascii="Segoe UI Symbol" w:hAnsi="Segoe UI Symbol" w:cs="Segoe UI Symbol"/>
                <w:b/>
                <w:shd w:val="clear" w:color="auto" w:fill="FFFFFF"/>
              </w:rPr>
              <w:t>☓</w:t>
            </w:r>
          </w:p>
        </w:tc>
        <w:tc>
          <w:tcPr>
            <w:tcW w:w="925" w:type="dxa"/>
            <w:tcBorders>
              <w:top w:val="single" w:sz="4" w:space="0" w:color="auto"/>
              <w:left w:val="single" w:sz="4" w:space="0" w:color="auto"/>
              <w:bottom w:val="single" w:sz="4" w:space="0" w:color="auto"/>
              <w:right w:val="single" w:sz="4" w:space="0" w:color="auto"/>
            </w:tcBorders>
          </w:tcPr>
          <w:p w14:paraId="3826B638" w14:textId="77777777" w:rsidR="009F0D2A" w:rsidRPr="00851192" w:rsidRDefault="009F0D2A" w:rsidP="00F27343">
            <w:pPr>
              <w:rPr>
                <w:rFonts w:ascii="Arial" w:hAnsi="Arial" w:cs="Arial"/>
              </w:rPr>
            </w:pPr>
          </w:p>
        </w:tc>
        <w:tc>
          <w:tcPr>
            <w:tcW w:w="2681" w:type="dxa"/>
            <w:tcBorders>
              <w:top w:val="single" w:sz="4" w:space="0" w:color="auto"/>
              <w:left w:val="single" w:sz="4" w:space="0" w:color="auto"/>
              <w:bottom w:val="single" w:sz="4" w:space="0" w:color="auto"/>
              <w:right w:val="single" w:sz="4" w:space="0" w:color="auto"/>
            </w:tcBorders>
          </w:tcPr>
          <w:p w14:paraId="40294E06" w14:textId="77777777" w:rsidR="009F0D2A" w:rsidRPr="00851192" w:rsidRDefault="009F0D2A" w:rsidP="00F27343">
            <w:pPr>
              <w:rPr>
                <w:rFonts w:ascii="Arial" w:hAnsi="Arial" w:cs="Arial"/>
              </w:rPr>
            </w:pPr>
          </w:p>
        </w:tc>
        <w:tc>
          <w:tcPr>
            <w:tcW w:w="2706" w:type="dxa"/>
            <w:tcBorders>
              <w:top w:val="single" w:sz="4" w:space="0" w:color="auto"/>
              <w:left w:val="single" w:sz="4" w:space="0" w:color="auto"/>
              <w:bottom w:val="single" w:sz="4" w:space="0" w:color="auto"/>
              <w:right w:val="single" w:sz="4" w:space="0" w:color="auto"/>
            </w:tcBorders>
          </w:tcPr>
          <w:p w14:paraId="0BA30131" w14:textId="77777777" w:rsidR="009F0D2A" w:rsidRPr="00851192" w:rsidRDefault="009F0D2A" w:rsidP="00F27343">
            <w:pPr>
              <w:rPr>
                <w:rFonts w:ascii="Arial" w:hAnsi="Arial" w:cs="Arial"/>
              </w:rPr>
            </w:pPr>
          </w:p>
        </w:tc>
      </w:tr>
      <w:tr w:rsidR="009F0D2A" w:rsidRPr="00851192" w14:paraId="6E96BE31" w14:textId="77777777" w:rsidTr="00F27343">
        <w:tc>
          <w:tcPr>
            <w:tcW w:w="1803" w:type="dxa"/>
            <w:tcBorders>
              <w:top w:val="single" w:sz="4" w:space="0" w:color="auto"/>
              <w:left w:val="single" w:sz="4" w:space="0" w:color="auto"/>
              <w:bottom w:val="single" w:sz="4" w:space="0" w:color="auto"/>
              <w:right w:val="single" w:sz="4" w:space="0" w:color="auto"/>
            </w:tcBorders>
            <w:hideMark/>
          </w:tcPr>
          <w:p w14:paraId="26668A32" w14:textId="77777777" w:rsidR="009F0D2A" w:rsidRPr="00851192" w:rsidRDefault="009F0D2A" w:rsidP="00F27343">
            <w:pPr>
              <w:jc w:val="center"/>
              <w:rPr>
                <w:rFonts w:ascii="Arial" w:hAnsi="Arial" w:cs="Arial"/>
              </w:rPr>
            </w:pPr>
            <w:r w:rsidRPr="00851192">
              <w:rPr>
                <w:rFonts w:ascii="Arial" w:hAnsi="Arial" w:cs="Arial"/>
              </w:rPr>
              <w:t xml:space="preserve">Rules, terms and conditions are clear. </w:t>
            </w:r>
          </w:p>
        </w:tc>
        <w:tc>
          <w:tcPr>
            <w:tcW w:w="1803" w:type="dxa"/>
            <w:tcBorders>
              <w:top w:val="single" w:sz="4" w:space="0" w:color="auto"/>
              <w:left w:val="single" w:sz="4" w:space="0" w:color="auto"/>
              <w:bottom w:val="single" w:sz="4" w:space="0" w:color="auto"/>
              <w:right w:val="single" w:sz="4" w:space="0" w:color="auto"/>
            </w:tcBorders>
          </w:tcPr>
          <w:p w14:paraId="46D07954" w14:textId="77777777" w:rsidR="009F0D2A" w:rsidRPr="00851192" w:rsidRDefault="009F0D2A" w:rsidP="00F27343">
            <w:pPr>
              <w:rPr>
                <w:rFonts w:ascii="Arial" w:hAnsi="Arial" w:cs="Arial"/>
              </w:rPr>
            </w:pPr>
          </w:p>
        </w:tc>
        <w:tc>
          <w:tcPr>
            <w:tcW w:w="925" w:type="dxa"/>
            <w:tcBorders>
              <w:top w:val="single" w:sz="4" w:space="0" w:color="auto"/>
              <w:left w:val="single" w:sz="4" w:space="0" w:color="auto"/>
              <w:bottom w:val="single" w:sz="4" w:space="0" w:color="auto"/>
              <w:right w:val="single" w:sz="4" w:space="0" w:color="auto"/>
            </w:tcBorders>
            <w:hideMark/>
          </w:tcPr>
          <w:p w14:paraId="46CB6B33" w14:textId="77777777" w:rsidR="009F0D2A" w:rsidRPr="00851192" w:rsidRDefault="009F0D2A" w:rsidP="00F27343">
            <w:pPr>
              <w:jc w:val="center"/>
              <w:rPr>
                <w:rFonts w:ascii="Arial" w:hAnsi="Arial" w:cs="Arial"/>
              </w:rPr>
            </w:pPr>
            <w:r w:rsidRPr="00851192">
              <w:rPr>
                <w:rFonts w:ascii="Arial" w:hAnsi="Arial" w:cs="Arial"/>
              </w:rPr>
              <w:t>0</w:t>
            </w:r>
          </w:p>
        </w:tc>
        <w:tc>
          <w:tcPr>
            <w:tcW w:w="2681" w:type="dxa"/>
            <w:tcBorders>
              <w:top w:val="single" w:sz="4" w:space="0" w:color="auto"/>
              <w:left w:val="single" w:sz="4" w:space="0" w:color="auto"/>
              <w:bottom w:val="single" w:sz="4" w:space="0" w:color="auto"/>
              <w:right w:val="single" w:sz="4" w:space="0" w:color="auto"/>
            </w:tcBorders>
            <w:hideMark/>
          </w:tcPr>
          <w:p w14:paraId="04DC5BA6" w14:textId="77777777" w:rsidR="009F0D2A" w:rsidRPr="00851192" w:rsidRDefault="009F0D2A" w:rsidP="00F27343">
            <w:pPr>
              <w:jc w:val="center"/>
              <w:rPr>
                <w:rFonts w:ascii="Arial" w:hAnsi="Arial" w:cs="Arial"/>
              </w:rPr>
            </w:pPr>
            <w:r w:rsidRPr="00851192">
              <w:rPr>
                <w:rFonts w:ascii="Arial" w:hAnsi="Arial" w:cs="Arial"/>
              </w:rPr>
              <w:t>None</w:t>
            </w:r>
          </w:p>
        </w:tc>
        <w:tc>
          <w:tcPr>
            <w:tcW w:w="2706" w:type="dxa"/>
            <w:tcBorders>
              <w:top w:val="single" w:sz="4" w:space="0" w:color="auto"/>
              <w:left w:val="single" w:sz="4" w:space="0" w:color="auto"/>
              <w:bottom w:val="single" w:sz="4" w:space="0" w:color="auto"/>
              <w:right w:val="single" w:sz="4" w:space="0" w:color="auto"/>
            </w:tcBorders>
            <w:hideMark/>
          </w:tcPr>
          <w:p w14:paraId="14B493CC" w14:textId="77777777" w:rsidR="009F0D2A" w:rsidRPr="00851192" w:rsidRDefault="009F0D2A" w:rsidP="00F27343">
            <w:pPr>
              <w:rPr>
                <w:rFonts w:ascii="Arial" w:hAnsi="Arial" w:cs="Arial"/>
              </w:rPr>
            </w:pPr>
            <w:r w:rsidRPr="00851192">
              <w:rPr>
                <w:rFonts w:ascii="Arial" w:hAnsi="Arial" w:cs="Arial"/>
              </w:rPr>
              <w:t xml:space="preserve">No clarity of rules displayed by global gambling operator. An extension of rules and terms and conditions are displayed within the investigation of developed products and apps of Asia Gaming. </w:t>
            </w:r>
          </w:p>
        </w:tc>
      </w:tr>
    </w:tbl>
    <w:p w14:paraId="4908F1E3" w14:textId="77777777" w:rsidR="009F0D2A" w:rsidRPr="00851192" w:rsidRDefault="009F0D2A" w:rsidP="0017796E">
      <w:pPr>
        <w:rPr>
          <w:rFonts w:ascii="Arial" w:hAnsi="Arial" w:cs="Arial"/>
          <w:lang w:val="en-US"/>
        </w:rPr>
      </w:pPr>
    </w:p>
    <w:p w14:paraId="19458365" w14:textId="65AF389B" w:rsidR="0017796E" w:rsidRPr="00851192" w:rsidRDefault="0017796E" w:rsidP="00D71345">
      <w:pPr>
        <w:rPr>
          <w:rFonts w:ascii="Arial" w:hAnsi="Arial" w:cs="Arial"/>
          <w:lang w:val="en-US"/>
        </w:rPr>
      </w:pPr>
    </w:p>
    <w:p w14:paraId="5DE0E2ED" w14:textId="52FD97A3" w:rsidR="00D71345" w:rsidRPr="00851192" w:rsidRDefault="00D71345" w:rsidP="00D71345">
      <w:pPr>
        <w:rPr>
          <w:rFonts w:ascii="Arial" w:hAnsi="Arial" w:cs="Arial"/>
          <w:lang w:val="en-US"/>
        </w:rPr>
      </w:pPr>
    </w:p>
    <w:sectPr w:rsidR="00D71345" w:rsidRPr="00851192" w:rsidSect="00916457">
      <w:headerReference w:type="default" r:id="rId74"/>
      <w:footerReference w:type="default" r:id="rId7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FB208D7" w14:textId="77777777" w:rsidR="009239C0" w:rsidRDefault="009239C0" w:rsidP="00916457">
      <w:pPr>
        <w:spacing w:after="0" w:line="240" w:lineRule="auto"/>
      </w:pPr>
      <w:r>
        <w:separator/>
      </w:r>
    </w:p>
  </w:endnote>
  <w:endnote w:type="continuationSeparator" w:id="0">
    <w:p w14:paraId="479835B6" w14:textId="77777777" w:rsidR="009239C0" w:rsidRDefault="009239C0" w:rsidP="009164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26325010"/>
      <w:docPartObj>
        <w:docPartGallery w:val="Page Numbers (Bottom of Page)"/>
        <w:docPartUnique/>
      </w:docPartObj>
    </w:sdtPr>
    <w:sdtEndPr>
      <w:rPr>
        <w:b/>
        <w:noProof/>
        <w:u w:val="single"/>
      </w:rPr>
    </w:sdtEndPr>
    <w:sdtContent>
      <w:p w14:paraId="0B0A23EB" w14:textId="04D7357C" w:rsidR="005B7C1E" w:rsidRPr="00BA76F4" w:rsidRDefault="005B7C1E">
        <w:pPr>
          <w:pStyle w:val="Footer"/>
          <w:jc w:val="right"/>
          <w:rPr>
            <w:b/>
            <w:u w:val="single"/>
          </w:rPr>
        </w:pPr>
        <w:r w:rsidRPr="00BA76F4">
          <w:rPr>
            <w:b/>
            <w:u w:val="single"/>
          </w:rPr>
          <w:fldChar w:fldCharType="begin"/>
        </w:r>
        <w:r w:rsidRPr="00BA76F4">
          <w:rPr>
            <w:b/>
            <w:u w:val="single"/>
          </w:rPr>
          <w:instrText xml:space="preserve"> PAGE   \* MERGEFORMAT </w:instrText>
        </w:r>
        <w:r w:rsidRPr="00BA76F4">
          <w:rPr>
            <w:b/>
            <w:u w:val="single"/>
          </w:rPr>
          <w:fldChar w:fldCharType="separate"/>
        </w:r>
        <w:r w:rsidR="001D081F">
          <w:rPr>
            <w:b/>
            <w:noProof/>
            <w:u w:val="single"/>
          </w:rPr>
          <w:t>79</w:t>
        </w:r>
        <w:r w:rsidRPr="00BA76F4">
          <w:rPr>
            <w:b/>
            <w:noProof/>
            <w:u w:val="single"/>
          </w:rPr>
          <w:fldChar w:fldCharType="end"/>
        </w:r>
      </w:p>
    </w:sdtContent>
  </w:sdt>
  <w:p w14:paraId="67E46910" w14:textId="77777777" w:rsidR="005B7C1E" w:rsidRDefault="005B7C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D71C46B" w14:textId="77777777" w:rsidR="009239C0" w:rsidRDefault="009239C0" w:rsidP="00916457">
      <w:pPr>
        <w:spacing w:after="0" w:line="240" w:lineRule="auto"/>
      </w:pPr>
      <w:r>
        <w:separator/>
      </w:r>
    </w:p>
  </w:footnote>
  <w:footnote w:type="continuationSeparator" w:id="0">
    <w:p w14:paraId="33537728" w14:textId="77777777" w:rsidR="009239C0" w:rsidRDefault="009239C0" w:rsidP="009164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71965E" w14:textId="44352047" w:rsidR="005B7C1E" w:rsidRDefault="005B7C1E" w:rsidP="00916457">
    <w:pPr>
      <w:pStyle w:val="Header"/>
      <w:jc w:val="right"/>
    </w:pPr>
    <w:r>
      <w:ptab w:relativeTo="margin" w:alignment="center" w:leader="none"/>
    </w:r>
    <w:r>
      <w:ptab w:relativeTo="margin" w:alignment="right" w:leader="none"/>
    </w:r>
    <w:r>
      <w:t>Matthew Millar</w:t>
    </w:r>
    <w:r>
      <w:br/>
      <w:t xml:space="preserve">Student ID: 1703768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957B4D"/>
    <w:multiLevelType w:val="hybridMultilevel"/>
    <w:tmpl w:val="2C4AA0CC"/>
    <w:lvl w:ilvl="0" w:tplc="6F9040DE">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CA07E6"/>
    <w:multiLevelType w:val="hybridMultilevel"/>
    <w:tmpl w:val="7D941CB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5870D4"/>
    <w:multiLevelType w:val="hybridMultilevel"/>
    <w:tmpl w:val="AF5E3AA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886F42"/>
    <w:multiLevelType w:val="hybridMultilevel"/>
    <w:tmpl w:val="7056252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0E5724"/>
    <w:multiLevelType w:val="hybridMultilevel"/>
    <w:tmpl w:val="7056252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CD7004"/>
    <w:multiLevelType w:val="hybridMultilevel"/>
    <w:tmpl w:val="969E9B5E"/>
    <w:lvl w:ilvl="0" w:tplc="FD1491D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191E5986"/>
    <w:multiLevelType w:val="hybridMultilevel"/>
    <w:tmpl w:val="821AAD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AD2217"/>
    <w:multiLevelType w:val="hybridMultilevel"/>
    <w:tmpl w:val="7056252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E8B71C1"/>
    <w:multiLevelType w:val="hybridMultilevel"/>
    <w:tmpl w:val="2E5272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31E7B10"/>
    <w:multiLevelType w:val="hybridMultilevel"/>
    <w:tmpl w:val="7B76CE9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4434796"/>
    <w:multiLevelType w:val="hybridMultilevel"/>
    <w:tmpl w:val="5B4268A2"/>
    <w:lvl w:ilvl="0" w:tplc="AFBE98EE">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2BE11635"/>
    <w:multiLevelType w:val="hybridMultilevel"/>
    <w:tmpl w:val="0F209A3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54D18C5"/>
    <w:multiLevelType w:val="hybridMultilevel"/>
    <w:tmpl w:val="2AB6DC96"/>
    <w:lvl w:ilvl="0" w:tplc="8618B64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3E992D8D"/>
    <w:multiLevelType w:val="hybridMultilevel"/>
    <w:tmpl w:val="77AA2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124450C"/>
    <w:multiLevelType w:val="hybridMultilevel"/>
    <w:tmpl w:val="23745A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4275EDD"/>
    <w:multiLevelType w:val="hybridMultilevel"/>
    <w:tmpl w:val="E4ECC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98F3800"/>
    <w:multiLevelType w:val="hybridMultilevel"/>
    <w:tmpl w:val="A9467A52"/>
    <w:lvl w:ilvl="0" w:tplc="42B8F82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C2912D5"/>
    <w:multiLevelType w:val="hybridMultilevel"/>
    <w:tmpl w:val="B7AA797C"/>
    <w:lvl w:ilvl="0" w:tplc="0840CE34">
      <w:start w:val="1"/>
      <w:numFmt w:val="decimal"/>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4260760"/>
    <w:multiLevelType w:val="hybridMultilevel"/>
    <w:tmpl w:val="DC94B71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6874145"/>
    <w:multiLevelType w:val="hybridMultilevel"/>
    <w:tmpl w:val="0788703A"/>
    <w:lvl w:ilvl="0" w:tplc="6BE6C62C">
      <w:start w:val="1"/>
      <w:numFmt w:val="lowerLetter"/>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88A7C6A"/>
    <w:multiLevelType w:val="hybridMultilevel"/>
    <w:tmpl w:val="2E5272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7CF3A01"/>
    <w:multiLevelType w:val="multilevel"/>
    <w:tmpl w:val="1174D794"/>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22" w15:restartNumberingAfterBreak="0">
    <w:nsid w:val="680C62BF"/>
    <w:multiLevelType w:val="hybridMultilevel"/>
    <w:tmpl w:val="29921D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A021155"/>
    <w:multiLevelType w:val="hybridMultilevel"/>
    <w:tmpl w:val="7056252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B305A64"/>
    <w:multiLevelType w:val="hybridMultilevel"/>
    <w:tmpl w:val="6980C9BA"/>
    <w:lvl w:ilvl="0" w:tplc="667C09F6">
      <w:start w:val="2"/>
      <w:numFmt w:val="decimal"/>
      <w:lvlText w:val="%1)"/>
      <w:lvlJc w:val="left"/>
      <w:pPr>
        <w:ind w:left="1440" w:hanging="360"/>
      </w:pPr>
      <w:rPr>
        <w:rFonts w:hint="default"/>
        <w:color w:val="2F5496" w:themeColor="accent1" w:themeShade="BF"/>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5" w15:restartNumberingAfterBreak="0">
    <w:nsid w:val="6C944B43"/>
    <w:multiLevelType w:val="hybridMultilevel"/>
    <w:tmpl w:val="2E5272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0AA7F84"/>
    <w:multiLevelType w:val="hybridMultilevel"/>
    <w:tmpl w:val="DC94B71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41F099B"/>
    <w:multiLevelType w:val="hybridMultilevel"/>
    <w:tmpl w:val="58AC192E"/>
    <w:lvl w:ilvl="0" w:tplc="964EA290">
      <w:start w:val="3"/>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C9C3E6D"/>
    <w:multiLevelType w:val="hybridMultilevel"/>
    <w:tmpl w:val="0788703A"/>
    <w:lvl w:ilvl="0" w:tplc="6BE6C62C">
      <w:start w:val="1"/>
      <w:numFmt w:val="lowerLetter"/>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3"/>
  </w:num>
  <w:num w:numId="2">
    <w:abstractNumId w:val="21"/>
  </w:num>
  <w:num w:numId="3">
    <w:abstractNumId w:val="7"/>
  </w:num>
  <w:num w:numId="4">
    <w:abstractNumId w:val="28"/>
  </w:num>
  <w:num w:numId="5">
    <w:abstractNumId w:val="16"/>
  </w:num>
  <w:num w:numId="6">
    <w:abstractNumId w:val="3"/>
  </w:num>
  <w:num w:numId="7">
    <w:abstractNumId w:val="4"/>
  </w:num>
  <w:num w:numId="8">
    <w:abstractNumId w:val="9"/>
  </w:num>
  <w:num w:numId="9">
    <w:abstractNumId w:val="18"/>
  </w:num>
  <w:num w:numId="10">
    <w:abstractNumId w:val="25"/>
  </w:num>
  <w:num w:numId="11">
    <w:abstractNumId w:val="2"/>
  </w:num>
  <w:num w:numId="12">
    <w:abstractNumId w:val="6"/>
  </w:num>
  <w:num w:numId="13">
    <w:abstractNumId w:val="19"/>
  </w:num>
  <w:num w:numId="14">
    <w:abstractNumId w:val="26"/>
  </w:num>
  <w:num w:numId="15">
    <w:abstractNumId w:val="5"/>
  </w:num>
  <w:num w:numId="16">
    <w:abstractNumId w:val="23"/>
  </w:num>
  <w:num w:numId="17">
    <w:abstractNumId w:val="8"/>
  </w:num>
  <w:num w:numId="18">
    <w:abstractNumId w:val="20"/>
  </w:num>
  <w:num w:numId="19">
    <w:abstractNumId w:val="12"/>
  </w:num>
  <w:num w:numId="20">
    <w:abstractNumId w:val="17"/>
  </w:num>
  <w:num w:numId="21">
    <w:abstractNumId w:val="15"/>
  </w:num>
  <w:num w:numId="22">
    <w:abstractNumId w:val="11"/>
  </w:num>
  <w:num w:numId="23">
    <w:abstractNumId w:val="1"/>
  </w:num>
  <w:num w:numId="24">
    <w:abstractNumId w:val="14"/>
  </w:num>
  <w:num w:numId="25">
    <w:abstractNumId w:val="22"/>
  </w:num>
  <w:num w:numId="26">
    <w:abstractNumId w:val="10"/>
  </w:num>
  <w:num w:numId="27">
    <w:abstractNumId w:val="24"/>
  </w:num>
  <w:num w:numId="28">
    <w:abstractNumId w:val="27"/>
  </w:num>
  <w:num w:numId="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9341A"/>
    <w:rsid w:val="0000517D"/>
    <w:rsid w:val="00006654"/>
    <w:rsid w:val="00007DC2"/>
    <w:rsid w:val="000138F2"/>
    <w:rsid w:val="00014085"/>
    <w:rsid w:val="000150F2"/>
    <w:rsid w:val="00016E3A"/>
    <w:rsid w:val="00020958"/>
    <w:rsid w:val="00021CFF"/>
    <w:rsid w:val="00022F3C"/>
    <w:rsid w:val="00023253"/>
    <w:rsid w:val="0002501B"/>
    <w:rsid w:val="000254C2"/>
    <w:rsid w:val="00025EEF"/>
    <w:rsid w:val="0003183E"/>
    <w:rsid w:val="0003290F"/>
    <w:rsid w:val="00033972"/>
    <w:rsid w:val="00035D3E"/>
    <w:rsid w:val="0003759B"/>
    <w:rsid w:val="000379E4"/>
    <w:rsid w:val="00045E4E"/>
    <w:rsid w:val="00046A1D"/>
    <w:rsid w:val="00046AFB"/>
    <w:rsid w:val="00047FE2"/>
    <w:rsid w:val="000513EC"/>
    <w:rsid w:val="00060E69"/>
    <w:rsid w:val="00061CB3"/>
    <w:rsid w:val="00064701"/>
    <w:rsid w:val="00065A90"/>
    <w:rsid w:val="00067610"/>
    <w:rsid w:val="00070F26"/>
    <w:rsid w:val="000735D5"/>
    <w:rsid w:val="0007464F"/>
    <w:rsid w:val="00080360"/>
    <w:rsid w:val="000906A0"/>
    <w:rsid w:val="00092611"/>
    <w:rsid w:val="000977D6"/>
    <w:rsid w:val="000B1608"/>
    <w:rsid w:val="000B26C7"/>
    <w:rsid w:val="000B54C9"/>
    <w:rsid w:val="000B6964"/>
    <w:rsid w:val="000B6B1B"/>
    <w:rsid w:val="000B76EB"/>
    <w:rsid w:val="000C2511"/>
    <w:rsid w:val="000C2E03"/>
    <w:rsid w:val="000C5114"/>
    <w:rsid w:val="000C54EF"/>
    <w:rsid w:val="000C5678"/>
    <w:rsid w:val="000D00F0"/>
    <w:rsid w:val="000D2DCA"/>
    <w:rsid w:val="000D4A5E"/>
    <w:rsid w:val="000D5BAE"/>
    <w:rsid w:val="000E0B98"/>
    <w:rsid w:val="000E18BC"/>
    <w:rsid w:val="000E21D7"/>
    <w:rsid w:val="000F1DEB"/>
    <w:rsid w:val="000F2221"/>
    <w:rsid w:val="000F46B9"/>
    <w:rsid w:val="000F6DA4"/>
    <w:rsid w:val="001001AB"/>
    <w:rsid w:val="00102B59"/>
    <w:rsid w:val="0010341B"/>
    <w:rsid w:val="001044F7"/>
    <w:rsid w:val="00105FCF"/>
    <w:rsid w:val="00112242"/>
    <w:rsid w:val="00113C63"/>
    <w:rsid w:val="00114459"/>
    <w:rsid w:val="00115195"/>
    <w:rsid w:val="00116186"/>
    <w:rsid w:val="0011644D"/>
    <w:rsid w:val="001170F3"/>
    <w:rsid w:val="00120655"/>
    <w:rsid w:val="00123147"/>
    <w:rsid w:val="00123A6F"/>
    <w:rsid w:val="00123C36"/>
    <w:rsid w:val="0012455F"/>
    <w:rsid w:val="00124694"/>
    <w:rsid w:val="00124F1E"/>
    <w:rsid w:val="00126411"/>
    <w:rsid w:val="0012687F"/>
    <w:rsid w:val="00126959"/>
    <w:rsid w:val="001324C4"/>
    <w:rsid w:val="00132BAF"/>
    <w:rsid w:val="00134B04"/>
    <w:rsid w:val="001353C2"/>
    <w:rsid w:val="001362AC"/>
    <w:rsid w:val="001439FA"/>
    <w:rsid w:val="00143EC3"/>
    <w:rsid w:val="00146146"/>
    <w:rsid w:val="0014692A"/>
    <w:rsid w:val="001515D4"/>
    <w:rsid w:val="001516D4"/>
    <w:rsid w:val="0015467D"/>
    <w:rsid w:val="00156478"/>
    <w:rsid w:val="00157A6B"/>
    <w:rsid w:val="0016230A"/>
    <w:rsid w:val="0016282A"/>
    <w:rsid w:val="0016611F"/>
    <w:rsid w:val="00175044"/>
    <w:rsid w:val="001760BB"/>
    <w:rsid w:val="0017796E"/>
    <w:rsid w:val="00183AEA"/>
    <w:rsid w:val="001847D1"/>
    <w:rsid w:val="00185567"/>
    <w:rsid w:val="001927D0"/>
    <w:rsid w:val="0019665A"/>
    <w:rsid w:val="001A3C7E"/>
    <w:rsid w:val="001A7D5E"/>
    <w:rsid w:val="001B10A9"/>
    <w:rsid w:val="001B1A1F"/>
    <w:rsid w:val="001B5046"/>
    <w:rsid w:val="001B5AAB"/>
    <w:rsid w:val="001B5D73"/>
    <w:rsid w:val="001C1801"/>
    <w:rsid w:val="001C4272"/>
    <w:rsid w:val="001C497B"/>
    <w:rsid w:val="001C558F"/>
    <w:rsid w:val="001C67E4"/>
    <w:rsid w:val="001C7F36"/>
    <w:rsid w:val="001D081F"/>
    <w:rsid w:val="001D3EBE"/>
    <w:rsid w:val="001D46E2"/>
    <w:rsid w:val="001D5A33"/>
    <w:rsid w:val="001D5F95"/>
    <w:rsid w:val="001D7BD6"/>
    <w:rsid w:val="001E01FC"/>
    <w:rsid w:val="001E5341"/>
    <w:rsid w:val="001E5793"/>
    <w:rsid w:val="001E62AB"/>
    <w:rsid w:val="001E70CF"/>
    <w:rsid w:val="001E74A2"/>
    <w:rsid w:val="001F06D0"/>
    <w:rsid w:val="001F1E1E"/>
    <w:rsid w:val="001F4A40"/>
    <w:rsid w:val="002067EB"/>
    <w:rsid w:val="00210284"/>
    <w:rsid w:val="00210A63"/>
    <w:rsid w:val="002116FF"/>
    <w:rsid w:val="00213145"/>
    <w:rsid w:val="00220AB7"/>
    <w:rsid w:val="002211A7"/>
    <w:rsid w:val="0022294A"/>
    <w:rsid w:val="00226A43"/>
    <w:rsid w:val="00227D25"/>
    <w:rsid w:val="002328DD"/>
    <w:rsid w:val="00234531"/>
    <w:rsid w:val="00236887"/>
    <w:rsid w:val="002407C6"/>
    <w:rsid w:val="00241CAD"/>
    <w:rsid w:val="00242D9B"/>
    <w:rsid w:val="00244F25"/>
    <w:rsid w:val="002467DC"/>
    <w:rsid w:val="00246B5A"/>
    <w:rsid w:val="002502E3"/>
    <w:rsid w:val="00255A5D"/>
    <w:rsid w:val="002603E0"/>
    <w:rsid w:val="0026119B"/>
    <w:rsid w:val="00261EA0"/>
    <w:rsid w:val="002658DD"/>
    <w:rsid w:val="00266F56"/>
    <w:rsid w:val="00272CF3"/>
    <w:rsid w:val="00273C8F"/>
    <w:rsid w:val="00275E6F"/>
    <w:rsid w:val="002812C4"/>
    <w:rsid w:val="00281584"/>
    <w:rsid w:val="0029136B"/>
    <w:rsid w:val="0029196B"/>
    <w:rsid w:val="00292DA5"/>
    <w:rsid w:val="0029341A"/>
    <w:rsid w:val="00294803"/>
    <w:rsid w:val="00294D8D"/>
    <w:rsid w:val="00296E9C"/>
    <w:rsid w:val="00297204"/>
    <w:rsid w:val="00297AEC"/>
    <w:rsid w:val="00297E0A"/>
    <w:rsid w:val="002A36B6"/>
    <w:rsid w:val="002A732D"/>
    <w:rsid w:val="002A7EF2"/>
    <w:rsid w:val="002B13F1"/>
    <w:rsid w:val="002B201E"/>
    <w:rsid w:val="002B5E96"/>
    <w:rsid w:val="002B7408"/>
    <w:rsid w:val="002C001E"/>
    <w:rsid w:val="002C1A60"/>
    <w:rsid w:val="002C4C7A"/>
    <w:rsid w:val="002C5BB2"/>
    <w:rsid w:val="002D17EA"/>
    <w:rsid w:val="002D53DE"/>
    <w:rsid w:val="002E0A32"/>
    <w:rsid w:val="002E32B0"/>
    <w:rsid w:val="002E6D97"/>
    <w:rsid w:val="002E764F"/>
    <w:rsid w:val="00300074"/>
    <w:rsid w:val="00301581"/>
    <w:rsid w:val="00302F15"/>
    <w:rsid w:val="00304A9B"/>
    <w:rsid w:val="00304F5A"/>
    <w:rsid w:val="003051B3"/>
    <w:rsid w:val="0030657A"/>
    <w:rsid w:val="00306BB8"/>
    <w:rsid w:val="00307ED9"/>
    <w:rsid w:val="003109BA"/>
    <w:rsid w:val="00315CC9"/>
    <w:rsid w:val="0031679E"/>
    <w:rsid w:val="0032036C"/>
    <w:rsid w:val="003206F8"/>
    <w:rsid w:val="00320EF9"/>
    <w:rsid w:val="0032101F"/>
    <w:rsid w:val="003315A1"/>
    <w:rsid w:val="003330BF"/>
    <w:rsid w:val="00335C7B"/>
    <w:rsid w:val="00335D14"/>
    <w:rsid w:val="00335D25"/>
    <w:rsid w:val="00342CC3"/>
    <w:rsid w:val="00345691"/>
    <w:rsid w:val="00347388"/>
    <w:rsid w:val="00350E40"/>
    <w:rsid w:val="00351AD0"/>
    <w:rsid w:val="00351DF7"/>
    <w:rsid w:val="003576C0"/>
    <w:rsid w:val="0036226B"/>
    <w:rsid w:val="003627C9"/>
    <w:rsid w:val="0036425A"/>
    <w:rsid w:val="003703C5"/>
    <w:rsid w:val="003708F8"/>
    <w:rsid w:val="00371166"/>
    <w:rsid w:val="0037171F"/>
    <w:rsid w:val="00375335"/>
    <w:rsid w:val="00375D23"/>
    <w:rsid w:val="00376509"/>
    <w:rsid w:val="003766CB"/>
    <w:rsid w:val="00376C3D"/>
    <w:rsid w:val="0038277B"/>
    <w:rsid w:val="00384924"/>
    <w:rsid w:val="00387963"/>
    <w:rsid w:val="00390046"/>
    <w:rsid w:val="00390133"/>
    <w:rsid w:val="0039143A"/>
    <w:rsid w:val="003937E3"/>
    <w:rsid w:val="00394559"/>
    <w:rsid w:val="00395639"/>
    <w:rsid w:val="00397DE0"/>
    <w:rsid w:val="003A0CE4"/>
    <w:rsid w:val="003A10B2"/>
    <w:rsid w:val="003A20BF"/>
    <w:rsid w:val="003A34A5"/>
    <w:rsid w:val="003B0929"/>
    <w:rsid w:val="003B1C9B"/>
    <w:rsid w:val="003B4893"/>
    <w:rsid w:val="003B74DC"/>
    <w:rsid w:val="003B7BEB"/>
    <w:rsid w:val="003C3D46"/>
    <w:rsid w:val="003C3D90"/>
    <w:rsid w:val="003C74FD"/>
    <w:rsid w:val="003C7C2F"/>
    <w:rsid w:val="003D3B9E"/>
    <w:rsid w:val="003D4172"/>
    <w:rsid w:val="003D4A8A"/>
    <w:rsid w:val="003D5C7D"/>
    <w:rsid w:val="003E0A8F"/>
    <w:rsid w:val="003E2A48"/>
    <w:rsid w:val="003E3423"/>
    <w:rsid w:val="003E6A80"/>
    <w:rsid w:val="003E7691"/>
    <w:rsid w:val="003F4F07"/>
    <w:rsid w:val="003F6017"/>
    <w:rsid w:val="004006B9"/>
    <w:rsid w:val="00401E6E"/>
    <w:rsid w:val="00401FE3"/>
    <w:rsid w:val="004025AC"/>
    <w:rsid w:val="00402A71"/>
    <w:rsid w:val="0040491D"/>
    <w:rsid w:val="0040714A"/>
    <w:rsid w:val="00413615"/>
    <w:rsid w:val="00413E02"/>
    <w:rsid w:val="0041487F"/>
    <w:rsid w:val="00417E75"/>
    <w:rsid w:val="00417F89"/>
    <w:rsid w:val="00427183"/>
    <w:rsid w:val="00430F8A"/>
    <w:rsid w:val="00432ECE"/>
    <w:rsid w:val="004348C6"/>
    <w:rsid w:val="00440295"/>
    <w:rsid w:val="00441F7A"/>
    <w:rsid w:val="00443A0B"/>
    <w:rsid w:val="00443AD0"/>
    <w:rsid w:val="0044537C"/>
    <w:rsid w:val="00445D17"/>
    <w:rsid w:val="00451E66"/>
    <w:rsid w:val="004523C7"/>
    <w:rsid w:val="00453ADF"/>
    <w:rsid w:val="004637C7"/>
    <w:rsid w:val="00466242"/>
    <w:rsid w:val="00467733"/>
    <w:rsid w:val="00467C1D"/>
    <w:rsid w:val="0047205E"/>
    <w:rsid w:val="00475971"/>
    <w:rsid w:val="004811AF"/>
    <w:rsid w:val="00481E56"/>
    <w:rsid w:val="004825CD"/>
    <w:rsid w:val="00482667"/>
    <w:rsid w:val="00483464"/>
    <w:rsid w:val="004859E1"/>
    <w:rsid w:val="004875A5"/>
    <w:rsid w:val="004914BA"/>
    <w:rsid w:val="00491C87"/>
    <w:rsid w:val="0049282B"/>
    <w:rsid w:val="00493236"/>
    <w:rsid w:val="004940A1"/>
    <w:rsid w:val="0049581B"/>
    <w:rsid w:val="00497DF5"/>
    <w:rsid w:val="004A3DC4"/>
    <w:rsid w:val="004A5434"/>
    <w:rsid w:val="004B032D"/>
    <w:rsid w:val="004B2CA3"/>
    <w:rsid w:val="004B4150"/>
    <w:rsid w:val="004B5172"/>
    <w:rsid w:val="004C01FC"/>
    <w:rsid w:val="004C0DC4"/>
    <w:rsid w:val="004C1009"/>
    <w:rsid w:val="004C2CDF"/>
    <w:rsid w:val="004C3D3C"/>
    <w:rsid w:val="004C650F"/>
    <w:rsid w:val="004D1B97"/>
    <w:rsid w:val="004D2039"/>
    <w:rsid w:val="004D350C"/>
    <w:rsid w:val="004D5662"/>
    <w:rsid w:val="004D7815"/>
    <w:rsid w:val="004E1978"/>
    <w:rsid w:val="004E44FE"/>
    <w:rsid w:val="004E4892"/>
    <w:rsid w:val="004F0DB4"/>
    <w:rsid w:val="004F3602"/>
    <w:rsid w:val="004F5A0B"/>
    <w:rsid w:val="004F6817"/>
    <w:rsid w:val="004F7E05"/>
    <w:rsid w:val="00500147"/>
    <w:rsid w:val="00502EFF"/>
    <w:rsid w:val="00504163"/>
    <w:rsid w:val="005050B1"/>
    <w:rsid w:val="0051037E"/>
    <w:rsid w:val="00516569"/>
    <w:rsid w:val="00517392"/>
    <w:rsid w:val="00517AD5"/>
    <w:rsid w:val="00520939"/>
    <w:rsid w:val="0052188D"/>
    <w:rsid w:val="00522EFA"/>
    <w:rsid w:val="00523422"/>
    <w:rsid w:val="00524AEA"/>
    <w:rsid w:val="005250CD"/>
    <w:rsid w:val="00525AF6"/>
    <w:rsid w:val="00525FC7"/>
    <w:rsid w:val="00526D25"/>
    <w:rsid w:val="0052737B"/>
    <w:rsid w:val="005311C5"/>
    <w:rsid w:val="005312DD"/>
    <w:rsid w:val="0053266D"/>
    <w:rsid w:val="00532D0E"/>
    <w:rsid w:val="00534350"/>
    <w:rsid w:val="00534E1B"/>
    <w:rsid w:val="005354F2"/>
    <w:rsid w:val="005361AF"/>
    <w:rsid w:val="00537497"/>
    <w:rsid w:val="005424F7"/>
    <w:rsid w:val="005428A8"/>
    <w:rsid w:val="005438AB"/>
    <w:rsid w:val="00551745"/>
    <w:rsid w:val="005534A3"/>
    <w:rsid w:val="00553E57"/>
    <w:rsid w:val="00562881"/>
    <w:rsid w:val="00563AAA"/>
    <w:rsid w:val="00565B61"/>
    <w:rsid w:val="00565D98"/>
    <w:rsid w:val="00567158"/>
    <w:rsid w:val="00567EDE"/>
    <w:rsid w:val="00570970"/>
    <w:rsid w:val="00571796"/>
    <w:rsid w:val="00573532"/>
    <w:rsid w:val="00573B1C"/>
    <w:rsid w:val="0057470C"/>
    <w:rsid w:val="0057669E"/>
    <w:rsid w:val="00577E5F"/>
    <w:rsid w:val="0058044A"/>
    <w:rsid w:val="00582DDC"/>
    <w:rsid w:val="0058311F"/>
    <w:rsid w:val="0058378E"/>
    <w:rsid w:val="00584E56"/>
    <w:rsid w:val="005924D5"/>
    <w:rsid w:val="00593C1F"/>
    <w:rsid w:val="00594021"/>
    <w:rsid w:val="00595A18"/>
    <w:rsid w:val="0059748A"/>
    <w:rsid w:val="005A0CE2"/>
    <w:rsid w:val="005A1FE6"/>
    <w:rsid w:val="005A53F8"/>
    <w:rsid w:val="005A6626"/>
    <w:rsid w:val="005A74CE"/>
    <w:rsid w:val="005B18AC"/>
    <w:rsid w:val="005B2CE6"/>
    <w:rsid w:val="005B4206"/>
    <w:rsid w:val="005B4E84"/>
    <w:rsid w:val="005B72E4"/>
    <w:rsid w:val="005B7C1E"/>
    <w:rsid w:val="005C011B"/>
    <w:rsid w:val="005D0225"/>
    <w:rsid w:val="005D51B6"/>
    <w:rsid w:val="005D5666"/>
    <w:rsid w:val="005D5C3B"/>
    <w:rsid w:val="005D5EAB"/>
    <w:rsid w:val="005D7F16"/>
    <w:rsid w:val="005E0D28"/>
    <w:rsid w:val="005E3B20"/>
    <w:rsid w:val="005E3EE2"/>
    <w:rsid w:val="005E5A3C"/>
    <w:rsid w:val="005E68C5"/>
    <w:rsid w:val="005E6E2A"/>
    <w:rsid w:val="005E771C"/>
    <w:rsid w:val="005E7B7A"/>
    <w:rsid w:val="005F1084"/>
    <w:rsid w:val="005F17DB"/>
    <w:rsid w:val="005F2C1B"/>
    <w:rsid w:val="005F3DE0"/>
    <w:rsid w:val="005F43DA"/>
    <w:rsid w:val="005F4D2A"/>
    <w:rsid w:val="005F7186"/>
    <w:rsid w:val="005F7407"/>
    <w:rsid w:val="0061151B"/>
    <w:rsid w:val="00615F1E"/>
    <w:rsid w:val="006163ED"/>
    <w:rsid w:val="00620333"/>
    <w:rsid w:val="006225AA"/>
    <w:rsid w:val="006231BA"/>
    <w:rsid w:val="0062549D"/>
    <w:rsid w:val="00626F1C"/>
    <w:rsid w:val="0062753F"/>
    <w:rsid w:val="0063002A"/>
    <w:rsid w:val="006301CC"/>
    <w:rsid w:val="00631DB9"/>
    <w:rsid w:val="006321E6"/>
    <w:rsid w:val="00634961"/>
    <w:rsid w:val="006356B4"/>
    <w:rsid w:val="00635780"/>
    <w:rsid w:val="00635A98"/>
    <w:rsid w:val="0063609D"/>
    <w:rsid w:val="00642137"/>
    <w:rsid w:val="0064227E"/>
    <w:rsid w:val="006444CC"/>
    <w:rsid w:val="00646F33"/>
    <w:rsid w:val="00653A52"/>
    <w:rsid w:val="00654788"/>
    <w:rsid w:val="00660248"/>
    <w:rsid w:val="006606C6"/>
    <w:rsid w:val="00661466"/>
    <w:rsid w:val="00662704"/>
    <w:rsid w:val="00663E4C"/>
    <w:rsid w:val="00670422"/>
    <w:rsid w:val="0067066D"/>
    <w:rsid w:val="00676F8D"/>
    <w:rsid w:val="00680EBC"/>
    <w:rsid w:val="00682E18"/>
    <w:rsid w:val="00691476"/>
    <w:rsid w:val="00691CDE"/>
    <w:rsid w:val="006A1885"/>
    <w:rsid w:val="006A2CC6"/>
    <w:rsid w:val="006A6220"/>
    <w:rsid w:val="006B0DC4"/>
    <w:rsid w:val="006B16D4"/>
    <w:rsid w:val="006B42E0"/>
    <w:rsid w:val="006B5629"/>
    <w:rsid w:val="006B7DB0"/>
    <w:rsid w:val="006C2B6F"/>
    <w:rsid w:val="006D3D67"/>
    <w:rsid w:val="006D3E35"/>
    <w:rsid w:val="006D5B64"/>
    <w:rsid w:val="006D6A8F"/>
    <w:rsid w:val="006E1A2C"/>
    <w:rsid w:val="006E48A6"/>
    <w:rsid w:val="006F054A"/>
    <w:rsid w:val="006F12FE"/>
    <w:rsid w:val="006F7042"/>
    <w:rsid w:val="0070030E"/>
    <w:rsid w:val="00703A48"/>
    <w:rsid w:val="007101A2"/>
    <w:rsid w:val="00712054"/>
    <w:rsid w:val="00712297"/>
    <w:rsid w:val="00712341"/>
    <w:rsid w:val="00712CB4"/>
    <w:rsid w:val="00713A8A"/>
    <w:rsid w:val="0071587C"/>
    <w:rsid w:val="00715A05"/>
    <w:rsid w:val="00715A06"/>
    <w:rsid w:val="00716059"/>
    <w:rsid w:val="007169D7"/>
    <w:rsid w:val="00716DC9"/>
    <w:rsid w:val="007217C3"/>
    <w:rsid w:val="007231B3"/>
    <w:rsid w:val="00724F06"/>
    <w:rsid w:val="007316F8"/>
    <w:rsid w:val="0074100A"/>
    <w:rsid w:val="00741A9E"/>
    <w:rsid w:val="007421C5"/>
    <w:rsid w:val="00744934"/>
    <w:rsid w:val="007460E6"/>
    <w:rsid w:val="007465FD"/>
    <w:rsid w:val="007503EA"/>
    <w:rsid w:val="00752C76"/>
    <w:rsid w:val="00753550"/>
    <w:rsid w:val="00764C53"/>
    <w:rsid w:val="00765773"/>
    <w:rsid w:val="0077257B"/>
    <w:rsid w:val="007725A2"/>
    <w:rsid w:val="00773869"/>
    <w:rsid w:val="00783EA0"/>
    <w:rsid w:val="0078420E"/>
    <w:rsid w:val="00791CB9"/>
    <w:rsid w:val="00792A6B"/>
    <w:rsid w:val="00793753"/>
    <w:rsid w:val="00796A4F"/>
    <w:rsid w:val="00797F4F"/>
    <w:rsid w:val="007A2862"/>
    <w:rsid w:val="007A6822"/>
    <w:rsid w:val="007B18A9"/>
    <w:rsid w:val="007B1AC9"/>
    <w:rsid w:val="007B4668"/>
    <w:rsid w:val="007B61A9"/>
    <w:rsid w:val="007B641D"/>
    <w:rsid w:val="007B68D2"/>
    <w:rsid w:val="007B6B76"/>
    <w:rsid w:val="007B730F"/>
    <w:rsid w:val="007B7E50"/>
    <w:rsid w:val="007C0429"/>
    <w:rsid w:val="007C2267"/>
    <w:rsid w:val="007C2915"/>
    <w:rsid w:val="007C59BA"/>
    <w:rsid w:val="007D3B2E"/>
    <w:rsid w:val="007D409B"/>
    <w:rsid w:val="007D5213"/>
    <w:rsid w:val="007D6934"/>
    <w:rsid w:val="007E02D5"/>
    <w:rsid w:val="007E1085"/>
    <w:rsid w:val="007E1429"/>
    <w:rsid w:val="007E30B9"/>
    <w:rsid w:val="007E3160"/>
    <w:rsid w:val="007E5834"/>
    <w:rsid w:val="007E6551"/>
    <w:rsid w:val="007F482D"/>
    <w:rsid w:val="007F6A30"/>
    <w:rsid w:val="0080301C"/>
    <w:rsid w:val="00807A7F"/>
    <w:rsid w:val="00807DB7"/>
    <w:rsid w:val="0081047B"/>
    <w:rsid w:val="00811578"/>
    <w:rsid w:val="008127D4"/>
    <w:rsid w:val="00817CE9"/>
    <w:rsid w:val="00817F08"/>
    <w:rsid w:val="00821B45"/>
    <w:rsid w:val="008229D7"/>
    <w:rsid w:val="00824FB2"/>
    <w:rsid w:val="008250F5"/>
    <w:rsid w:val="00830E29"/>
    <w:rsid w:val="00832083"/>
    <w:rsid w:val="00833AB4"/>
    <w:rsid w:val="008368D8"/>
    <w:rsid w:val="00842212"/>
    <w:rsid w:val="00843137"/>
    <w:rsid w:val="00843284"/>
    <w:rsid w:val="00843A29"/>
    <w:rsid w:val="00844DEB"/>
    <w:rsid w:val="00850633"/>
    <w:rsid w:val="00851192"/>
    <w:rsid w:val="00851226"/>
    <w:rsid w:val="008517B8"/>
    <w:rsid w:val="00852411"/>
    <w:rsid w:val="00852B15"/>
    <w:rsid w:val="00853A1E"/>
    <w:rsid w:val="00860639"/>
    <w:rsid w:val="008629C7"/>
    <w:rsid w:val="0086348C"/>
    <w:rsid w:val="00864599"/>
    <w:rsid w:val="008655D5"/>
    <w:rsid w:val="00871DF7"/>
    <w:rsid w:val="00874005"/>
    <w:rsid w:val="00877193"/>
    <w:rsid w:val="00877C4D"/>
    <w:rsid w:val="00880033"/>
    <w:rsid w:val="0088481D"/>
    <w:rsid w:val="00891DD9"/>
    <w:rsid w:val="008920E3"/>
    <w:rsid w:val="00894038"/>
    <w:rsid w:val="008950E7"/>
    <w:rsid w:val="008965C7"/>
    <w:rsid w:val="00896918"/>
    <w:rsid w:val="008A11E4"/>
    <w:rsid w:val="008A66A6"/>
    <w:rsid w:val="008A7D5A"/>
    <w:rsid w:val="008B004F"/>
    <w:rsid w:val="008B0C15"/>
    <w:rsid w:val="008B27BF"/>
    <w:rsid w:val="008B4714"/>
    <w:rsid w:val="008B6431"/>
    <w:rsid w:val="008C1ED3"/>
    <w:rsid w:val="008C577C"/>
    <w:rsid w:val="008C5D14"/>
    <w:rsid w:val="008C61D2"/>
    <w:rsid w:val="008D0A80"/>
    <w:rsid w:val="008D2768"/>
    <w:rsid w:val="008D2C30"/>
    <w:rsid w:val="008D46CE"/>
    <w:rsid w:val="008D5CF7"/>
    <w:rsid w:val="008E1179"/>
    <w:rsid w:val="008E3AD1"/>
    <w:rsid w:val="008E48B0"/>
    <w:rsid w:val="008E7425"/>
    <w:rsid w:val="008F057A"/>
    <w:rsid w:val="008F0F06"/>
    <w:rsid w:val="008F180B"/>
    <w:rsid w:val="008F4604"/>
    <w:rsid w:val="008F4F72"/>
    <w:rsid w:val="008F647B"/>
    <w:rsid w:val="00902F48"/>
    <w:rsid w:val="009030A0"/>
    <w:rsid w:val="00903330"/>
    <w:rsid w:val="00903811"/>
    <w:rsid w:val="00903EBA"/>
    <w:rsid w:val="0090453E"/>
    <w:rsid w:val="00904904"/>
    <w:rsid w:val="009107D4"/>
    <w:rsid w:val="00914854"/>
    <w:rsid w:val="00914E08"/>
    <w:rsid w:val="00915B1D"/>
    <w:rsid w:val="00916457"/>
    <w:rsid w:val="00921807"/>
    <w:rsid w:val="009239C0"/>
    <w:rsid w:val="00924D9E"/>
    <w:rsid w:val="00934381"/>
    <w:rsid w:val="0093576E"/>
    <w:rsid w:val="009366A0"/>
    <w:rsid w:val="00940781"/>
    <w:rsid w:val="0094166C"/>
    <w:rsid w:val="00942726"/>
    <w:rsid w:val="00950B2A"/>
    <w:rsid w:val="0095111E"/>
    <w:rsid w:val="00951A69"/>
    <w:rsid w:val="0095367F"/>
    <w:rsid w:val="00954F24"/>
    <w:rsid w:val="00955052"/>
    <w:rsid w:val="00955E07"/>
    <w:rsid w:val="00956F69"/>
    <w:rsid w:val="00957125"/>
    <w:rsid w:val="00963CDB"/>
    <w:rsid w:val="00965AB5"/>
    <w:rsid w:val="00966AA4"/>
    <w:rsid w:val="009737EE"/>
    <w:rsid w:val="00973DF8"/>
    <w:rsid w:val="0097405C"/>
    <w:rsid w:val="009765E2"/>
    <w:rsid w:val="00976772"/>
    <w:rsid w:val="009775F2"/>
    <w:rsid w:val="00985C7B"/>
    <w:rsid w:val="00986B72"/>
    <w:rsid w:val="00987533"/>
    <w:rsid w:val="009910DE"/>
    <w:rsid w:val="00996942"/>
    <w:rsid w:val="0099787C"/>
    <w:rsid w:val="00997A9A"/>
    <w:rsid w:val="009A0013"/>
    <w:rsid w:val="009A0F05"/>
    <w:rsid w:val="009A1B00"/>
    <w:rsid w:val="009A1EC8"/>
    <w:rsid w:val="009A78C9"/>
    <w:rsid w:val="009B06EB"/>
    <w:rsid w:val="009B2A33"/>
    <w:rsid w:val="009B2ED7"/>
    <w:rsid w:val="009B5120"/>
    <w:rsid w:val="009B68BC"/>
    <w:rsid w:val="009B755B"/>
    <w:rsid w:val="009B75A0"/>
    <w:rsid w:val="009B76C2"/>
    <w:rsid w:val="009C25A6"/>
    <w:rsid w:val="009C3864"/>
    <w:rsid w:val="009C5EC4"/>
    <w:rsid w:val="009C6F96"/>
    <w:rsid w:val="009D3642"/>
    <w:rsid w:val="009D4B2B"/>
    <w:rsid w:val="009E07EB"/>
    <w:rsid w:val="009E2B64"/>
    <w:rsid w:val="009E32D3"/>
    <w:rsid w:val="009E4B56"/>
    <w:rsid w:val="009E5260"/>
    <w:rsid w:val="009E6B9C"/>
    <w:rsid w:val="009F0D2A"/>
    <w:rsid w:val="009F3CB1"/>
    <w:rsid w:val="009F3FFA"/>
    <w:rsid w:val="009F41B4"/>
    <w:rsid w:val="009F4C22"/>
    <w:rsid w:val="009F582C"/>
    <w:rsid w:val="009F743E"/>
    <w:rsid w:val="00A008C4"/>
    <w:rsid w:val="00A01554"/>
    <w:rsid w:val="00A01704"/>
    <w:rsid w:val="00A0365F"/>
    <w:rsid w:val="00A05166"/>
    <w:rsid w:val="00A052C9"/>
    <w:rsid w:val="00A05417"/>
    <w:rsid w:val="00A10A44"/>
    <w:rsid w:val="00A14A07"/>
    <w:rsid w:val="00A1522F"/>
    <w:rsid w:val="00A171D6"/>
    <w:rsid w:val="00A23926"/>
    <w:rsid w:val="00A32916"/>
    <w:rsid w:val="00A32EDA"/>
    <w:rsid w:val="00A33B22"/>
    <w:rsid w:val="00A3450A"/>
    <w:rsid w:val="00A36A7E"/>
    <w:rsid w:val="00A36BC8"/>
    <w:rsid w:val="00A36CCB"/>
    <w:rsid w:val="00A37D9F"/>
    <w:rsid w:val="00A446F5"/>
    <w:rsid w:val="00A45E42"/>
    <w:rsid w:val="00A535E1"/>
    <w:rsid w:val="00A546CB"/>
    <w:rsid w:val="00A54866"/>
    <w:rsid w:val="00A55D4B"/>
    <w:rsid w:val="00A57619"/>
    <w:rsid w:val="00A602F7"/>
    <w:rsid w:val="00A619B6"/>
    <w:rsid w:val="00A621BF"/>
    <w:rsid w:val="00A63297"/>
    <w:rsid w:val="00A63547"/>
    <w:rsid w:val="00A6610A"/>
    <w:rsid w:val="00A66BAC"/>
    <w:rsid w:val="00A67E7E"/>
    <w:rsid w:val="00A736F3"/>
    <w:rsid w:val="00A76B6B"/>
    <w:rsid w:val="00A76EDA"/>
    <w:rsid w:val="00A772C5"/>
    <w:rsid w:val="00A77CA3"/>
    <w:rsid w:val="00A83E18"/>
    <w:rsid w:val="00A8486E"/>
    <w:rsid w:val="00A84F75"/>
    <w:rsid w:val="00A85B52"/>
    <w:rsid w:val="00A86536"/>
    <w:rsid w:val="00A875B4"/>
    <w:rsid w:val="00A908CE"/>
    <w:rsid w:val="00A90C51"/>
    <w:rsid w:val="00A926B7"/>
    <w:rsid w:val="00A93C0F"/>
    <w:rsid w:val="00A94AB0"/>
    <w:rsid w:val="00A94EDF"/>
    <w:rsid w:val="00A95A70"/>
    <w:rsid w:val="00A961B5"/>
    <w:rsid w:val="00A9626E"/>
    <w:rsid w:val="00AA20DC"/>
    <w:rsid w:val="00AA3708"/>
    <w:rsid w:val="00AA606C"/>
    <w:rsid w:val="00AB02E9"/>
    <w:rsid w:val="00AB1817"/>
    <w:rsid w:val="00AB1BE3"/>
    <w:rsid w:val="00AB34CF"/>
    <w:rsid w:val="00AB3C85"/>
    <w:rsid w:val="00AB69C2"/>
    <w:rsid w:val="00AB7F68"/>
    <w:rsid w:val="00AC0837"/>
    <w:rsid w:val="00AC0E34"/>
    <w:rsid w:val="00AC5021"/>
    <w:rsid w:val="00AC5C73"/>
    <w:rsid w:val="00AC7E4C"/>
    <w:rsid w:val="00AD22E2"/>
    <w:rsid w:val="00AD241A"/>
    <w:rsid w:val="00AD281F"/>
    <w:rsid w:val="00AD3923"/>
    <w:rsid w:val="00AD4319"/>
    <w:rsid w:val="00AD5143"/>
    <w:rsid w:val="00AD6B33"/>
    <w:rsid w:val="00AE10B9"/>
    <w:rsid w:val="00AE2930"/>
    <w:rsid w:val="00AE2BDB"/>
    <w:rsid w:val="00AE453B"/>
    <w:rsid w:val="00AE7315"/>
    <w:rsid w:val="00AE783A"/>
    <w:rsid w:val="00AE799D"/>
    <w:rsid w:val="00AF1832"/>
    <w:rsid w:val="00AF2F4E"/>
    <w:rsid w:val="00AF3ED7"/>
    <w:rsid w:val="00AF567A"/>
    <w:rsid w:val="00AF599E"/>
    <w:rsid w:val="00AF5FA5"/>
    <w:rsid w:val="00AF6D92"/>
    <w:rsid w:val="00B003FF"/>
    <w:rsid w:val="00B01F7C"/>
    <w:rsid w:val="00B032FF"/>
    <w:rsid w:val="00B06BA6"/>
    <w:rsid w:val="00B10EDE"/>
    <w:rsid w:val="00B149ED"/>
    <w:rsid w:val="00B14A0B"/>
    <w:rsid w:val="00B1780C"/>
    <w:rsid w:val="00B215DD"/>
    <w:rsid w:val="00B21981"/>
    <w:rsid w:val="00B2340C"/>
    <w:rsid w:val="00B23642"/>
    <w:rsid w:val="00B23C90"/>
    <w:rsid w:val="00B257F9"/>
    <w:rsid w:val="00B25FE0"/>
    <w:rsid w:val="00B26C3F"/>
    <w:rsid w:val="00B32296"/>
    <w:rsid w:val="00B352DB"/>
    <w:rsid w:val="00B4411A"/>
    <w:rsid w:val="00B46254"/>
    <w:rsid w:val="00B4641F"/>
    <w:rsid w:val="00B47865"/>
    <w:rsid w:val="00B52494"/>
    <w:rsid w:val="00B52553"/>
    <w:rsid w:val="00B556F6"/>
    <w:rsid w:val="00B60437"/>
    <w:rsid w:val="00B60FC8"/>
    <w:rsid w:val="00B67036"/>
    <w:rsid w:val="00B67417"/>
    <w:rsid w:val="00B70EF5"/>
    <w:rsid w:val="00B72E61"/>
    <w:rsid w:val="00B735E1"/>
    <w:rsid w:val="00B7559B"/>
    <w:rsid w:val="00B83E0F"/>
    <w:rsid w:val="00B86E5A"/>
    <w:rsid w:val="00B87881"/>
    <w:rsid w:val="00B87E59"/>
    <w:rsid w:val="00B916F6"/>
    <w:rsid w:val="00B92FA4"/>
    <w:rsid w:val="00B94D69"/>
    <w:rsid w:val="00B96592"/>
    <w:rsid w:val="00BA0CB9"/>
    <w:rsid w:val="00BA1EF0"/>
    <w:rsid w:val="00BA2C54"/>
    <w:rsid w:val="00BA4E6E"/>
    <w:rsid w:val="00BA76F4"/>
    <w:rsid w:val="00BB0E2F"/>
    <w:rsid w:val="00BB2B33"/>
    <w:rsid w:val="00BB4976"/>
    <w:rsid w:val="00BB73F2"/>
    <w:rsid w:val="00BC0411"/>
    <w:rsid w:val="00BC256B"/>
    <w:rsid w:val="00BC31C9"/>
    <w:rsid w:val="00BC5DDD"/>
    <w:rsid w:val="00BD056B"/>
    <w:rsid w:val="00BD0E1D"/>
    <w:rsid w:val="00BD1CF5"/>
    <w:rsid w:val="00BD2990"/>
    <w:rsid w:val="00BD4AB0"/>
    <w:rsid w:val="00BD4BE9"/>
    <w:rsid w:val="00BD4C9D"/>
    <w:rsid w:val="00BD5151"/>
    <w:rsid w:val="00BD67E7"/>
    <w:rsid w:val="00BD6CF5"/>
    <w:rsid w:val="00BD6E6C"/>
    <w:rsid w:val="00BF7771"/>
    <w:rsid w:val="00C00B8A"/>
    <w:rsid w:val="00C016A4"/>
    <w:rsid w:val="00C019D2"/>
    <w:rsid w:val="00C031CD"/>
    <w:rsid w:val="00C03E1D"/>
    <w:rsid w:val="00C11114"/>
    <w:rsid w:val="00C1313E"/>
    <w:rsid w:val="00C16A06"/>
    <w:rsid w:val="00C1746F"/>
    <w:rsid w:val="00C26A2B"/>
    <w:rsid w:val="00C26C19"/>
    <w:rsid w:val="00C32727"/>
    <w:rsid w:val="00C3762B"/>
    <w:rsid w:val="00C4142B"/>
    <w:rsid w:val="00C42518"/>
    <w:rsid w:val="00C42F25"/>
    <w:rsid w:val="00C4336B"/>
    <w:rsid w:val="00C43F18"/>
    <w:rsid w:val="00C5029C"/>
    <w:rsid w:val="00C50731"/>
    <w:rsid w:val="00C51B40"/>
    <w:rsid w:val="00C52FBA"/>
    <w:rsid w:val="00C53F7B"/>
    <w:rsid w:val="00C551E8"/>
    <w:rsid w:val="00C55C51"/>
    <w:rsid w:val="00C55FB7"/>
    <w:rsid w:val="00C56219"/>
    <w:rsid w:val="00C5740C"/>
    <w:rsid w:val="00C654A5"/>
    <w:rsid w:val="00C663B0"/>
    <w:rsid w:val="00C70E70"/>
    <w:rsid w:val="00C712BC"/>
    <w:rsid w:val="00C7143B"/>
    <w:rsid w:val="00C72B89"/>
    <w:rsid w:val="00C753FB"/>
    <w:rsid w:val="00C82926"/>
    <w:rsid w:val="00C83457"/>
    <w:rsid w:val="00C84CDC"/>
    <w:rsid w:val="00C911B2"/>
    <w:rsid w:val="00C961F0"/>
    <w:rsid w:val="00CA7681"/>
    <w:rsid w:val="00CB076D"/>
    <w:rsid w:val="00CB0F2B"/>
    <w:rsid w:val="00CB320D"/>
    <w:rsid w:val="00CB5301"/>
    <w:rsid w:val="00CB5FAB"/>
    <w:rsid w:val="00CB6F08"/>
    <w:rsid w:val="00CC0344"/>
    <w:rsid w:val="00CC104C"/>
    <w:rsid w:val="00CC4A6D"/>
    <w:rsid w:val="00CC4DB9"/>
    <w:rsid w:val="00CD053A"/>
    <w:rsid w:val="00CD260D"/>
    <w:rsid w:val="00CD4CC4"/>
    <w:rsid w:val="00CD6A3E"/>
    <w:rsid w:val="00CE0A29"/>
    <w:rsid w:val="00CE2A6F"/>
    <w:rsid w:val="00CE2BF0"/>
    <w:rsid w:val="00CE3AAF"/>
    <w:rsid w:val="00CE6FF9"/>
    <w:rsid w:val="00CE7C28"/>
    <w:rsid w:val="00CF3939"/>
    <w:rsid w:val="00CF4EFA"/>
    <w:rsid w:val="00D01B6B"/>
    <w:rsid w:val="00D06A0F"/>
    <w:rsid w:val="00D111F9"/>
    <w:rsid w:val="00D11FD4"/>
    <w:rsid w:val="00D12E2C"/>
    <w:rsid w:val="00D12EB7"/>
    <w:rsid w:val="00D134BA"/>
    <w:rsid w:val="00D1422E"/>
    <w:rsid w:val="00D15C71"/>
    <w:rsid w:val="00D167BF"/>
    <w:rsid w:val="00D17086"/>
    <w:rsid w:val="00D179BE"/>
    <w:rsid w:val="00D25900"/>
    <w:rsid w:val="00D26CB6"/>
    <w:rsid w:val="00D27135"/>
    <w:rsid w:val="00D32216"/>
    <w:rsid w:val="00D338AC"/>
    <w:rsid w:val="00D34DEB"/>
    <w:rsid w:val="00D40287"/>
    <w:rsid w:val="00D41535"/>
    <w:rsid w:val="00D42B43"/>
    <w:rsid w:val="00D47FF2"/>
    <w:rsid w:val="00D54154"/>
    <w:rsid w:val="00D5473C"/>
    <w:rsid w:val="00D614E3"/>
    <w:rsid w:val="00D6226C"/>
    <w:rsid w:val="00D62D06"/>
    <w:rsid w:val="00D71345"/>
    <w:rsid w:val="00D714AC"/>
    <w:rsid w:val="00D714FD"/>
    <w:rsid w:val="00D7211A"/>
    <w:rsid w:val="00D75D86"/>
    <w:rsid w:val="00D83C1E"/>
    <w:rsid w:val="00D8587F"/>
    <w:rsid w:val="00D858C9"/>
    <w:rsid w:val="00D858F3"/>
    <w:rsid w:val="00D86579"/>
    <w:rsid w:val="00D8692E"/>
    <w:rsid w:val="00D95033"/>
    <w:rsid w:val="00D972B3"/>
    <w:rsid w:val="00DA0737"/>
    <w:rsid w:val="00DA09BB"/>
    <w:rsid w:val="00DA5D45"/>
    <w:rsid w:val="00DA7951"/>
    <w:rsid w:val="00DB2943"/>
    <w:rsid w:val="00DB33DF"/>
    <w:rsid w:val="00DB34F4"/>
    <w:rsid w:val="00DB3946"/>
    <w:rsid w:val="00DB3D30"/>
    <w:rsid w:val="00DB4371"/>
    <w:rsid w:val="00DB50FE"/>
    <w:rsid w:val="00DB5609"/>
    <w:rsid w:val="00DC14FA"/>
    <w:rsid w:val="00DC319A"/>
    <w:rsid w:val="00DC3C61"/>
    <w:rsid w:val="00DC525B"/>
    <w:rsid w:val="00DC567B"/>
    <w:rsid w:val="00DC58F0"/>
    <w:rsid w:val="00DC73B1"/>
    <w:rsid w:val="00DD13C3"/>
    <w:rsid w:val="00DD2D3A"/>
    <w:rsid w:val="00DD6645"/>
    <w:rsid w:val="00DD696C"/>
    <w:rsid w:val="00DD6A17"/>
    <w:rsid w:val="00DD76E1"/>
    <w:rsid w:val="00DE0942"/>
    <w:rsid w:val="00DE142E"/>
    <w:rsid w:val="00DE16E2"/>
    <w:rsid w:val="00DE3E33"/>
    <w:rsid w:val="00DE3E87"/>
    <w:rsid w:val="00DE6E66"/>
    <w:rsid w:val="00DE7AA7"/>
    <w:rsid w:val="00DF0C33"/>
    <w:rsid w:val="00DF13F0"/>
    <w:rsid w:val="00DF2DDA"/>
    <w:rsid w:val="00DF7255"/>
    <w:rsid w:val="00E01C8D"/>
    <w:rsid w:val="00E02F4C"/>
    <w:rsid w:val="00E0381E"/>
    <w:rsid w:val="00E05F02"/>
    <w:rsid w:val="00E10182"/>
    <w:rsid w:val="00E14532"/>
    <w:rsid w:val="00E153B3"/>
    <w:rsid w:val="00E20EA0"/>
    <w:rsid w:val="00E20ECA"/>
    <w:rsid w:val="00E26CCC"/>
    <w:rsid w:val="00E27252"/>
    <w:rsid w:val="00E30623"/>
    <w:rsid w:val="00E35517"/>
    <w:rsid w:val="00E371ED"/>
    <w:rsid w:val="00E44980"/>
    <w:rsid w:val="00E46008"/>
    <w:rsid w:val="00E47363"/>
    <w:rsid w:val="00E54EF5"/>
    <w:rsid w:val="00E561BB"/>
    <w:rsid w:val="00E61350"/>
    <w:rsid w:val="00E6162C"/>
    <w:rsid w:val="00E666E6"/>
    <w:rsid w:val="00E66A01"/>
    <w:rsid w:val="00E73D19"/>
    <w:rsid w:val="00E75F2B"/>
    <w:rsid w:val="00E76830"/>
    <w:rsid w:val="00E8379A"/>
    <w:rsid w:val="00E850BA"/>
    <w:rsid w:val="00E91042"/>
    <w:rsid w:val="00E91207"/>
    <w:rsid w:val="00E91C68"/>
    <w:rsid w:val="00E974DB"/>
    <w:rsid w:val="00EA0852"/>
    <w:rsid w:val="00EA232B"/>
    <w:rsid w:val="00EA4C39"/>
    <w:rsid w:val="00EA5F84"/>
    <w:rsid w:val="00EA62D9"/>
    <w:rsid w:val="00EB15A6"/>
    <w:rsid w:val="00EB3376"/>
    <w:rsid w:val="00EB3A80"/>
    <w:rsid w:val="00EB4283"/>
    <w:rsid w:val="00EB53BD"/>
    <w:rsid w:val="00EB618B"/>
    <w:rsid w:val="00EB6966"/>
    <w:rsid w:val="00EB77D3"/>
    <w:rsid w:val="00EC129F"/>
    <w:rsid w:val="00ED0C03"/>
    <w:rsid w:val="00ED555F"/>
    <w:rsid w:val="00EE46B0"/>
    <w:rsid w:val="00EE788F"/>
    <w:rsid w:val="00EE7AA0"/>
    <w:rsid w:val="00EF3C08"/>
    <w:rsid w:val="00EF5C58"/>
    <w:rsid w:val="00EF60C4"/>
    <w:rsid w:val="00EF69F1"/>
    <w:rsid w:val="00EF6C0F"/>
    <w:rsid w:val="00EF764D"/>
    <w:rsid w:val="00F012BA"/>
    <w:rsid w:val="00F028FD"/>
    <w:rsid w:val="00F03883"/>
    <w:rsid w:val="00F05B5A"/>
    <w:rsid w:val="00F06B58"/>
    <w:rsid w:val="00F1131B"/>
    <w:rsid w:val="00F12C08"/>
    <w:rsid w:val="00F1514C"/>
    <w:rsid w:val="00F160A6"/>
    <w:rsid w:val="00F2019B"/>
    <w:rsid w:val="00F22F28"/>
    <w:rsid w:val="00F23E01"/>
    <w:rsid w:val="00F25FB7"/>
    <w:rsid w:val="00F26331"/>
    <w:rsid w:val="00F27343"/>
    <w:rsid w:val="00F35D37"/>
    <w:rsid w:val="00F377C2"/>
    <w:rsid w:val="00F41EB0"/>
    <w:rsid w:val="00F4212A"/>
    <w:rsid w:val="00F42C98"/>
    <w:rsid w:val="00F444AC"/>
    <w:rsid w:val="00F44632"/>
    <w:rsid w:val="00F448F7"/>
    <w:rsid w:val="00F5071C"/>
    <w:rsid w:val="00F533A2"/>
    <w:rsid w:val="00F550B0"/>
    <w:rsid w:val="00F631BD"/>
    <w:rsid w:val="00F6460C"/>
    <w:rsid w:val="00F66285"/>
    <w:rsid w:val="00F71601"/>
    <w:rsid w:val="00F71815"/>
    <w:rsid w:val="00F730D1"/>
    <w:rsid w:val="00F741B4"/>
    <w:rsid w:val="00F815EC"/>
    <w:rsid w:val="00F820A0"/>
    <w:rsid w:val="00F84778"/>
    <w:rsid w:val="00F9179D"/>
    <w:rsid w:val="00F93749"/>
    <w:rsid w:val="00FA06BD"/>
    <w:rsid w:val="00FA0CF4"/>
    <w:rsid w:val="00FA4349"/>
    <w:rsid w:val="00FA56A8"/>
    <w:rsid w:val="00FB01C4"/>
    <w:rsid w:val="00FB0230"/>
    <w:rsid w:val="00FB171A"/>
    <w:rsid w:val="00FB1D9E"/>
    <w:rsid w:val="00FB1DD9"/>
    <w:rsid w:val="00FB2C43"/>
    <w:rsid w:val="00FB2D8D"/>
    <w:rsid w:val="00FB2F6F"/>
    <w:rsid w:val="00FB5511"/>
    <w:rsid w:val="00FB7D3D"/>
    <w:rsid w:val="00FC0FA9"/>
    <w:rsid w:val="00FC2D8A"/>
    <w:rsid w:val="00FC3993"/>
    <w:rsid w:val="00FC7081"/>
    <w:rsid w:val="00FD4F4C"/>
    <w:rsid w:val="00FE3DB9"/>
    <w:rsid w:val="00FE4048"/>
    <w:rsid w:val="00FE42D5"/>
    <w:rsid w:val="00FE45E4"/>
    <w:rsid w:val="00FE4BD4"/>
    <w:rsid w:val="00FE7264"/>
    <w:rsid w:val="00FF04FE"/>
    <w:rsid w:val="00FF19B8"/>
    <w:rsid w:val="00FF367E"/>
    <w:rsid w:val="00FF74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7C222C"/>
  <w15:chartTrackingRefBased/>
  <w15:docId w15:val="{D667CFFE-C7A0-4D63-9896-BFCF098AFD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E7C2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BA76F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7C2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E7C28"/>
  </w:style>
  <w:style w:type="paragraph" w:styleId="ListParagraph">
    <w:name w:val="List Paragraph"/>
    <w:basedOn w:val="Normal"/>
    <w:uiPriority w:val="34"/>
    <w:qFormat/>
    <w:rsid w:val="00A446F5"/>
    <w:pPr>
      <w:ind w:left="720"/>
      <w:contextualSpacing/>
    </w:pPr>
  </w:style>
  <w:style w:type="paragraph" w:styleId="CommentText">
    <w:name w:val="annotation text"/>
    <w:basedOn w:val="Normal"/>
    <w:link w:val="CommentTextChar"/>
    <w:uiPriority w:val="99"/>
    <w:unhideWhenUsed/>
    <w:rsid w:val="00752C76"/>
    <w:pPr>
      <w:spacing w:line="240" w:lineRule="auto"/>
    </w:pPr>
    <w:rPr>
      <w:sz w:val="20"/>
      <w:szCs w:val="20"/>
    </w:rPr>
  </w:style>
  <w:style w:type="character" w:customStyle="1" w:styleId="CommentTextChar">
    <w:name w:val="Comment Text Char"/>
    <w:basedOn w:val="DefaultParagraphFont"/>
    <w:link w:val="CommentText"/>
    <w:uiPriority w:val="99"/>
    <w:rsid w:val="00752C76"/>
    <w:rPr>
      <w:sz w:val="20"/>
      <w:szCs w:val="20"/>
    </w:rPr>
  </w:style>
  <w:style w:type="table" w:styleId="TableGrid">
    <w:name w:val="Table Grid"/>
    <w:basedOn w:val="TableNormal"/>
    <w:uiPriority w:val="39"/>
    <w:rsid w:val="00B4786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1D46E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D46E2"/>
    <w:rPr>
      <w:rFonts w:ascii="Segoe UI" w:hAnsi="Segoe UI" w:cs="Segoe UI"/>
      <w:sz w:val="18"/>
      <w:szCs w:val="18"/>
    </w:rPr>
  </w:style>
  <w:style w:type="paragraph" w:styleId="NoSpacing">
    <w:name w:val="No Spacing"/>
    <w:link w:val="NoSpacingChar"/>
    <w:uiPriority w:val="1"/>
    <w:qFormat/>
    <w:rsid w:val="0091645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16457"/>
    <w:rPr>
      <w:rFonts w:eastAsiaTheme="minorEastAsia"/>
      <w:lang w:val="en-US"/>
    </w:rPr>
  </w:style>
  <w:style w:type="paragraph" w:styleId="Header">
    <w:name w:val="header"/>
    <w:basedOn w:val="Normal"/>
    <w:link w:val="HeaderChar"/>
    <w:uiPriority w:val="99"/>
    <w:unhideWhenUsed/>
    <w:rsid w:val="009164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6457"/>
  </w:style>
  <w:style w:type="paragraph" w:styleId="Footer">
    <w:name w:val="footer"/>
    <w:basedOn w:val="Normal"/>
    <w:link w:val="FooterChar"/>
    <w:uiPriority w:val="99"/>
    <w:unhideWhenUsed/>
    <w:rsid w:val="009164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6457"/>
  </w:style>
  <w:style w:type="paragraph" w:styleId="TOCHeading">
    <w:name w:val="TOC Heading"/>
    <w:basedOn w:val="Heading1"/>
    <w:next w:val="Normal"/>
    <w:uiPriority w:val="39"/>
    <w:unhideWhenUsed/>
    <w:qFormat/>
    <w:rsid w:val="00BA76F4"/>
    <w:pPr>
      <w:outlineLvl w:val="9"/>
    </w:pPr>
  </w:style>
  <w:style w:type="paragraph" w:styleId="TOC2">
    <w:name w:val="toc 2"/>
    <w:basedOn w:val="Normal"/>
    <w:next w:val="Normal"/>
    <w:autoRedefine/>
    <w:uiPriority w:val="39"/>
    <w:unhideWhenUsed/>
    <w:rsid w:val="00BA76F4"/>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BA76F4"/>
    <w:pPr>
      <w:spacing w:after="100"/>
    </w:pPr>
    <w:rPr>
      <w:rFonts w:eastAsiaTheme="minorEastAsia" w:cs="Times New Roman"/>
      <w:lang w:val="en-US"/>
    </w:rPr>
  </w:style>
  <w:style w:type="paragraph" w:styleId="TOC3">
    <w:name w:val="toc 3"/>
    <w:basedOn w:val="Normal"/>
    <w:next w:val="Normal"/>
    <w:autoRedefine/>
    <w:uiPriority w:val="39"/>
    <w:unhideWhenUsed/>
    <w:rsid w:val="00BA76F4"/>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BA76F4"/>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DF725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5753">
      <w:bodyDiv w:val="1"/>
      <w:marLeft w:val="0"/>
      <w:marRight w:val="0"/>
      <w:marTop w:val="0"/>
      <w:marBottom w:val="0"/>
      <w:divBdr>
        <w:top w:val="none" w:sz="0" w:space="0" w:color="auto"/>
        <w:left w:val="none" w:sz="0" w:space="0" w:color="auto"/>
        <w:bottom w:val="none" w:sz="0" w:space="0" w:color="auto"/>
        <w:right w:val="none" w:sz="0" w:space="0" w:color="auto"/>
      </w:divBdr>
    </w:div>
    <w:div w:id="277727">
      <w:bodyDiv w:val="1"/>
      <w:marLeft w:val="0"/>
      <w:marRight w:val="0"/>
      <w:marTop w:val="0"/>
      <w:marBottom w:val="0"/>
      <w:divBdr>
        <w:top w:val="none" w:sz="0" w:space="0" w:color="auto"/>
        <w:left w:val="none" w:sz="0" w:space="0" w:color="auto"/>
        <w:bottom w:val="none" w:sz="0" w:space="0" w:color="auto"/>
        <w:right w:val="none" w:sz="0" w:space="0" w:color="auto"/>
      </w:divBdr>
    </w:div>
    <w:div w:id="278268">
      <w:bodyDiv w:val="1"/>
      <w:marLeft w:val="0"/>
      <w:marRight w:val="0"/>
      <w:marTop w:val="0"/>
      <w:marBottom w:val="0"/>
      <w:divBdr>
        <w:top w:val="none" w:sz="0" w:space="0" w:color="auto"/>
        <w:left w:val="none" w:sz="0" w:space="0" w:color="auto"/>
        <w:bottom w:val="none" w:sz="0" w:space="0" w:color="auto"/>
        <w:right w:val="none" w:sz="0" w:space="0" w:color="auto"/>
      </w:divBdr>
    </w:div>
    <w:div w:id="4291753">
      <w:bodyDiv w:val="1"/>
      <w:marLeft w:val="0"/>
      <w:marRight w:val="0"/>
      <w:marTop w:val="0"/>
      <w:marBottom w:val="0"/>
      <w:divBdr>
        <w:top w:val="none" w:sz="0" w:space="0" w:color="auto"/>
        <w:left w:val="none" w:sz="0" w:space="0" w:color="auto"/>
        <w:bottom w:val="none" w:sz="0" w:space="0" w:color="auto"/>
        <w:right w:val="none" w:sz="0" w:space="0" w:color="auto"/>
      </w:divBdr>
    </w:div>
    <w:div w:id="4863546">
      <w:bodyDiv w:val="1"/>
      <w:marLeft w:val="0"/>
      <w:marRight w:val="0"/>
      <w:marTop w:val="0"/>
      <w:marBottom w:val="0"/>
      <w:divBdr>
        <w:top w:val="none" w:sz="0" w:space="0" w:color="auto"/>
        <w:left w:val="none" w:sz="0" w:space="0" w:color="auto"/>
        <w:bottom w:val="none" w:sz="0" w:space="0" w:color="auto"/>
        <w:right w:val="none" w:sz="0" w:space="0" w:color="auto"/>
      </w:divBdr>
    </w:div>
    <w:div w:id="7483999">
      <w:bodyDiv w:val="1"/>
      <w:marLeft w:val="0"/>
      <w:marRight w:val="0"/>
      <w:marTop w:val="0"/>
      <w:marBottom w:val="0"/>
      <w:divBdr>
        <w:top w:val="none" w:sz="0" w:space="0" w:color="auto"/>
        <w:left w:val="none" w:sz="0" w:space="0" w:color="auto"/>
        <w:bottom w:val="none" w:sz="0" w:space="0" w:color="auto"/>
        <w:right w:val="none" w:sz="0" w:space="0" w:color="auto"/>
      </w:divBdr>
    </w:div>
    <w:div w:id="10450062">
      <w:bodyDiv w:val="1"/>
      <w:marLeft w:val="0"/>
      <w:marRight w:val="0"/>
      <w:marTop w:val="0"/>
      <w:marBottom w:val="0"/>
      <w:divBdr>
        <w:top w:val="none" w:sz="0" w:space="0" w:color="auto"/>
        <w:left w:val="none" w:sz="0" w:space="0" w:color="auto"/>
        <w:bottom w:val="none" w:sz="0" w:space="0" w:color="auto"/>
        <w:right w:val="none" w:sz="0" w:space="0" w:color="auto"/>
      </w:divBdr>
    </w:div>
    <w:div w:id="10496706">
      <w:bodyDiv w:val="1"/>
      <w:marLeft w:val="0"/>
      <w:marRight w:val="0"/>
      <w:marTop w:val="0"/>
      <w:marBottom w:val="0"/>
      <w:divBdr>
        <w:top w:val="none" w:sz="0" w:space="0" w:color="auto"/>
        <w:left w:val="none" w:sz="0" w:space="0" w:color="auto"/>
        <w:bottom w:val="none" w:sz="0" w:space="0" w:color="auto"/>
        <w:right w:val="none" w:sz="0" w:space="0" w:color="auto"/>
      </w:divBdr>
    </w:div>
    <w:div w:id="12925656">
      <w:bodyDiv w:val="1"/>
      <w:marLeft w:val="0"/>
      <w:marRight w:val="0"/>
      <w:marTop w:val="0"/>
      <w:marBottom w:val="0"/>
      <w:divBdr>
        <w:top w:val="none" w:sz="0" w:space="0" w:color="auto"/>
        <w:left w:val="none" w:sz="0" w:space="0" w:color="auto"/>
        <w:bottom w:val="none" w:sz="0" w:space="0" w:color="auto"/>
        <w:right w:val="none" w:sz="0" w:space="0" w:color="auto"/>
      </w:divBdr>
    </w:div>
    <w:div w:id="16125535">
      <w:bodyDiv w:val="1"/>
      <w:marLeft w:val="0"/>
      <w:marRight w:val="0"/>
      <w:marTop w:val="0"/>
      <w:marBottom w:val="0"/>
      <w:divBdr>
        <w:top w:val="none" w:sz="0" w:space="0" w:color="auto"/>
        <w:left w:val="none" w:sz="0" w:space="0" w:color="auto"/>
        <w:bottom w:val="none" w:sz="0" w:space="0" w:color="auto"/>
        <w:right w:val="none" w:sz="0" w:space="0" w:color="auto"/>
      </w:divBdr>
    </w:div>
    <w:div w:id="17044379">
      <w:bodyDiv w:val="1"/>
      <w:marLeft w:val="0"/>
      <w:marRight w:val="0"/>
      <w:marTop w:val="0"/>
      <w:marBottom w:val="0"/>
      <w:divBdr>
        <w:top w:val="none" w:sz="0" w:space="0" w:color="auto"/>
        <w:left w:val="none" w:sz="0" w:space="0" w:color="auto"/>
        <w:bottom w:val="none" w:sz="0" w:space="0" w:color="auto"/>
        <w:right w:val="none" w:sz="0" w:space="0" w:color="auto"/>
      </w:divBdr>
    </w:div>
    <w:div w:id="20785093">
      <w:bodyDiv w:val="1"/>
      <w:marLeft w:val="0"/>
      <w:marRight w:val="0"/>
      <w:marTop w:val="0"/>
      <w:marBottom w:val="0"/>
      <w:divBdr>
        <w:top w:val="none" w:sz="0" w:space="0" w:color="auto"/>
        <w:left w:val="none" w:sz="0" w:space="0" w:color="auto"/>
        <w:bottom w:val="none" w:sz="0" w:space="0" w:color="auto"/>
        <w:right w:val="none" w:sz="0" w:space="0" w:color="auto"/>
      </w:divBdr>
    </w:div>
    <w:div w:id="20862937">
      <w:bodyDiv w:val="1"/>
      <w:marLeft w:val="0"/>
      <w:marRight w:val="0"/>
      <w:marTop w:val="0"/>
      <w:marBottom w:val="0"/>
      <w:divBdr>
        <w:top w:val="none" w:sz="0" w:space="0" w:color="auto"/>
        <w:left w:val="none" w:sz="0" w:space="0" w:color="auto"/>
        <w:bottom w:val="none" w:sz="0" w:space="0" w:color="auto"/>
        <w:right w:val="none" w:sz="0" w:space="0" w:color="auto"/>
      </w:divBdr>
    </w:div>
    <w:div w:id="22950422">
      <w:bodyDiv w:val="1"/>
      <w:marLeft w:val="0"/>
      <w:marRight w:val="0"/>
      <w:marTop w:val="0"/>
      <w:marBottom w:val="0"/>
      <w:divBdr>
        <w:top w:val="none" w:sz="0" w:space="0" w:color="auto"/>
        <w:left w:val="none" w:sz="0" w:space="0" w:color="auto"/>
        <w:bottom w:val="none" w:sz="0" w:space="0" w:color="auto"/>
        <w:right w:val="none" w:sz="0" w:space="0" w:color="auto"/>
      </w:divBdr>
    </w:div>
    <w:div w:id="23678671">
      <w:bodyDiv w:val="1"/>
      <w:marLeft w:val="0"/>
      <w:marRight w:val="0"/>
      <w:marTop w:val="0"/>
      <w:marBottom w:val="0"/>
      <w:divBdr>
        <w:top w:val="none" w:sz="0" w:space="0" w:color="auto"/>
        <w:left w:val="none" w:sz="0" w:space="0" w:color="auto"/>
        <w:bottom w:val="none" w:sz="0" w:space="0" w:color="auto"/>
        <w:right w:val="none" w:sz="0" w:space="0" w:color="auto"/>
      </w:divBdr>
    </w:div>
    <w:div w:id="25369701">
      <w:bodyDiv w:val="1"/>
      <w:marLeft w:val="0"/>
      <w:marRight w:val="0"/>
      <w:marTop w:val="0"/>
      <w:marBottom w:val="0"/>
      <w:divBdr>
        <w:top w:val="none" w:sz="0" w:space="0" w:color="auto"/>
        <w:left w:val="none" w:sz="0" w:space="0" w:color="auto"/>
        <w:bottom w:val="none" w:sz="0" w:space="0" w:color="auto"/>
        <w:right w:val="none" w:sz="0" w:space="0" w:color="auto"/>
      </w:divBdr>
    </w:div>
    <w:div w:id="25567012">
      <w:bodyDiv w:val="1"/>
      <w:marLeft w:val="0"/>
      <w:marRight w:val="0"/>
      <w:marTop w:val="0"/>
      <w:marBottom w:val="0"/>
      <w:divBdr>
        <w:top w:val="none" w:sz="0" w:space="0" w:color="auto"/>
        <w:left w:val="none" w:sz="0" w:space="0" w:color="auto"/>
        <w:bottom w:val="none" w:sz="0" w:space="0" w:color="auto"/>
        <w:right w:val="none" w:sz="0" w:space="0" w:color="auto"/>
      </w:divBdr>
    </w:div>
    <w:div w:id="25571997">
      <w:bodyDiv w:val="1"/>
      <w:marLeft w:val="0"/>
      <w:marRight w:val="0"/>
      <w:marTop w:val="0"/>
      <w:marBottom w:val="0"/>
      <w:divBdr>
        <w:top w:val="none" w:sz="0" w:space="0" w:color="auto"/>
        <w:left w:val="none" w:sz="0" w:space="0" w:color="auto"/>
        <w:bottom w:val="none" w:sz="0" w:space="0" w:color="auto"/>
        <w:right w:val="none" w:sz="0" w:space="0" w:color="auto"/>
      </w:divBdr>
    </w:div>
    <w:div w:id="28380869">
      <w:bodyDiv w:val="1"/>
      <w:marLeft w:val="0"/>
      <w:marRight w:val="0"/>
      <w:marTop w:val="0"/>
      <w:marBottom w:val="0"/>
      <w:divBdr>
        <w:top w:val="none" w:sz="0" w:space="0" w:color="auto"/>
        <w:left w:val="none" w:sz="0" w:space="0" w:color="auto"/>
        <w:bottom w:val="none" w:sz="0" w:space="0" w:color="auto"/>
        <w:right w:val="none" w:sz="0" w:space="0" w:color="auto"/>
      </w:divBdr>
    </w:div>
    <w:div w:id="30426286">
      <w:bodyDiv w:val="1"/>
      <w:marLeft w:val="0"/>
      <w:marRight w:val="0"/>
      <w:marTop w:val="0"/>
      <w:marBottom w:val="0"/>
      <w:divBdr>
        <w:top w:val="none" w:sz="0" w:space="0" w:color="auto"/>
        <w:left w:val="none" w:sz="0" w:space="0" w:color="auto"/>
        <w:bottom w:val="none" w:sz="0" w:space="0" w:color="auto"/>
        <w:right w:val="none" w:sz="0" w:space="0" w:color="auto"/>
      </w:divBdr>
    </w:div>
    <w:div w:id="30695715">
      <w:bodyDiv w:val="1"/>
      <w:marLeft w:val="0"/>
      <w:marRight w:val="0"/>
      <w:marTop w:val="0"/>
      <w:marBottom w:val="0"/>
      <w:divBdr>
        <w:top w:val="none" w:sz="0" w:space="0" w:color="auto"/>
        <w:left w:val="none" w:sz="0" w:space="0" w:color="auto"/>
        <w:bottom w:val="none" w:sz="0" w:space="0" w:color="auto"/>
        <w:right w:val="none" w:sz="0" w:space="0" w:color="auto"/>
      </w:divBdr>
    </w:div>
    <w:div w:id="32196783">
      <w:bodyDiv w:val="1"/>
      <w:marLeft w:val="0"/>
      <w:marRight w:val="0"/>
      <w:marTop w:val="0"/>
      <w:marBottom w:val="0"/>
      <w:divBdr>
        <w:top w:val="none" w:sz="0" w:space="0" w:color="auto"/>
        <w:left w:val="none" w:sz="0" w:space="0" w:color="auto"/>
        <w:bottom w:val="none" w:sz="0" w:space="0" w:color="auto"/>
        <w:right w:val="none" w:sz="0" w:space="0" w:color="auto"/>
      </w:divBdr>
    </w:div>
    <w:div w:id="32511087">
      <w:bodyDiv w:val="1"/>
      <w:marLeft w:val="0"/>
      <w:marRight w:val="0"/>
      <w:marTop w:val="0"/>
      <w:marBottom w:val="0"/>
      <w:divBdr>
        <w:top w:val="none" w:sz="0" w:space="0" w:color="auto"/>
        <w:left w:val="none" w:sz="0" w:space="0" w:color="auto"/>
        <w:bottom w:val="none" w:sz="0" w:space="0" w:color="auto"/>
        <w:right w:val="none" w:sz="0" w:space="0" w:color="auto"/>
      </w:divBdr>
    </w:div>
    <w:div w:id="33045726">
      <w:bodyDiv w:val="1"/>
      <w:marLeft w:val="0"/>
      <w:marRight w:val="0"/>
      <w:marTop w:val="0"/>
      <w:marBottom w:val="0"/>
      <w:divBdr>
        <w:top w:val="none" w:sz="0" w:space="0" w:color="auto"/>
        <w:left w:val="none" w:sz="0" w:space="0" w:color="auto"/>
        <w:bottom w:val="none" w:sz="0" w:space="0" w:color="auto"/>
        <w:right w:val="none" w:sz="0" w:space="0" w:color="auto"/>
      </w:divBdr>
    </w:div>
    <w:div w:id="33430391">
      <w:bodyDiv w:val="1"/>
      <w:marLeft w:val="0"/>
      <w:marRight w:val="0"/>
      <w:marTop w:val="0"/>
      <w:marBottom w:val="0"/>
      <w:divBdr>
        <w:top w:val="none" w:sz="0" w:space="0" w:color="auto"/>
        <w:left w:val="none" w:sz="0" w:space="0" w:color="auto"/>
        <w:bottom w:val="none" w:sz="0" w:space="0" w:color="auto"/>
        <w:right w:val="none" w:sz="0" w:space="0" w:color="auto"/>
      </w:divBdr>
    </w:div>
    <w:div w:id="34549762">
      <w:bodyDiv w:val="1"/>
      <w:marLeft w:val="0"/>
      <w:marRight w:val="0"/>
      <w:marTop w:val="0"/>
      <w:marBottom w:val="0"/>
      <w:divBdr>
        <w:top w:val="none" w:sz="0" w:space="0" w:color="auto"/>
        <w:left w:val="none" w:sz="0" w:space="0" w:color="auto"/>
        <w:bottom w:val="none" w:sz="0" w:space="0" w:color="auto"/>
        <w:right w:val="none" w:sz="0" w:space="0" w:color="auto"/>
      </w:divBdr>
    </w:div>
    <w:div w:id="36512852">
      <w:bodyDiv w:val="1"/>
      <w:marLeft w:val="0"/>
      <w:marRight w:val="0"/>
      <w:marTop w:val="0"/>
      <w:marBottom w:val="0"/>
      <w:divBdr>
        <w:top w:val="none" w:sz="0" w:space="0" w:color="auto"/>
        <w:left w:val="none" w:sz="0" w:space="0" w:color="auto"/>
        <w:bottom w:val="none" w:sz="0" w:space="0" w:color="auto"/>
        <w:right w:val="none" w:sz="0" w:space="0" w:color="auto"/>
      </w:divBdr>
    </w:div>
    <w:div w:id="38287384">
      <w:bodyDiv w:val="1"/>
      <w:marLeft w:val="0"/>
      <w:marRight w:val="0"/>
      <w:marTop w:val="0"/>
      <w:marBottom w:val="0"/>
      <w:divBdr>
        <w:top w:val="none" w:sz="0" w:space="0" w:color="auto"/>
        <w:left w:val="none" w:sz="0" w:space="0" w:color="auto"/>
        <w:bottom w:val="none" w:sz="0" w:space="0" w:color="auto"/>
        <w:right w:val="none" w:sz="0" w:space="0" w:color="auto"/>
      </w:divBdr>
    </w:div>
    <w:div w:id="39979626">
      <w:bodyDiv w:val="1"/>
      <w:marLeft w:val="0"/>
      <w:marRight w:val="0"/>
      <w:marTop w:val="0"/>
      <w:marBottom w:val="0"/>
      <w:divBdr>
        <w:top w:val="none" w:sz="0" w:space="0" w:color="auto"/>
        <w:left w:val="none" w:sz="0" w:space="0" w:color="auto"/>
        <w:bottom w:val="none" w:sz="0" w:space="0" w:color="auto"/>
        <w:right w:val="none" w:sz="0" w:space="0" w:color="auto"/>
      </w:divBdr>
    </w:div>
    <w:div w:id="40444291">
      <w:bodyDiv w:val="1"/>
      <w:marLeft w:val="0"/>
      <w:marRight w:val="0"/>
      <w:marTop w:val="0"/>
      <w:marBottom w:val="0"/>
      <w:divBdr>
        <w:top w:val="none" w:sz="0" w:space="0" w:color="auto"/>
        <w:left w:val="none" w:sz="0" w:space="0" w:color="auto"/>
        <w:bottom w:val="none" w:sz="0" w:space="0" w:color="auto"/>
        <w:right w:val="none" w:sz="0" w:space="0" w:color="auto"/>
      </w:divBdr>
    </w:div>
    <w:div w:id="40636294">
      <w:bodyDiv w:val="1"/>
      <w:marLeft w:val="0"/>
      <w:marRight w:val="0"/>
      <w:marTop w:val="0"/>
      <w:marBottom w:val="0"/>
      <w:divBdr>
        <w:top w:val="none" w:sz="0" w:space="0" w:color="auto"/>
        <w:left w:val="none" w:sz="0" w:space="0" w:color="auto"/>
        <w:bottom w:val="none" w:sz="0" w:space="0" w:color="auto"/>
        <w:right w:val="none" w:sz="0" w:space="0" w:color="auto"/>
      </w:divBdr>
    </w:div>
    <w:div w:id="43598894">
      <w:bodyDiv w:val="1"/>
      <w:marLeft w:val="0"/>
      <w:marRight w:val="0"/>
      <w:marTop w:val="0"/>
      <w:marBottom w:val="0"/>
      <w:divBdr>
        <w:top w:val="none" w:sz="0" w:space="0" w:color="auto"/>
        <w:left w:val="none" w:sz="0" w:space="0" w:color="auto"/>
        <w:bottom w:val="none" w:sz="0" w:space="0" w:color="auto"/>
        <w:right w:val="none" w:sz="0" w:space="0" w:color="auto"/>
      </w:divBdr>
    </w:div>
    <w:div w:id="44839836">
      <w:bodyDiv w:val="1"/>
      <w:marLeft w:val="0"/>
      <w:marRight w:val="0"/>
      <w:marTop w:val="0"/>
      <w:marBottom w:val="0"/>
      <w:divBdr>
        <w:top w:val="none" w:sz="0" w:space="0" w:color="auto"/>
        <w:left w:val="none" w:sz="0" w:space="0" w:color="auto"/>
        <w:bottom w:val="none" w:sz="0" w:space="0" w:color="auto"/>
        <w:right w:val="none" w:sz="0" w:space="0" w:color="auto"/>
      </w:divBdr>
    </w:div>
    <w:div w:id="45644945">
      <w:bodyDiv w:val="1"/>
      <w:marLeft w:val="0"/>
      <w:marRight w:val="0"/>
      <w:marTop w:val="0"/>
      <w:marBottom w:val="0"/>
      <w:divBdr>
        <w:top w:val="none" w:sz="0" w:space="0" w:color="auto"/>
        <w:left w:val="none" w:sz="0" w:space="0" w:color="auto"/>
        <w:bottom w:val="none" w:sz="0" w:space="0" w:color="auto"/>
        <w:right w:val="none" w:sz="0" w:space="0" w:color="auto"/>
      </w:divBdr>
    </w:div>
    <w:div w:id="48193035">
      <w:bodyDiv w:val="1"/>
      <w:marLeft w:val="0"/>
      <w:marRight w:val="0"/>
      <w:marTop w:val="0"/>
      <w:marBottom w:val="0"/>
      <w:divBdr>
        <w:top w:val="none" w:sz="0" w:space="0" w:color="auto"/>
        <w:left w:val="none" w:sz="0" w:space="0" w:color="auto"/>
        <w:bottom w:val="none" w:sz="0" w:space="0" w:color="auto"/>
        <w:right w:val="none" w:sz="0" w:space="0" w:color="auto"/>
      </w:divBdr>
    </w:div>
    <w:div w:id="49962918">
      <w:bodyDiv w:val="1"/>
      <w:marLeft w:val="0"/>
      <w:marRight w:val="0"/>
      <w:marTop w:val="0"/>
      <w:marBottom w:val="0"/>
      <w:divBdr>
        <w:top w:val="none" w:sz="0" w:space="0" w:color="auto"/>
        <w:left w:val="none" w:sz="0" w:space="0" w:color="auto"/>
        <w:bottom w:val="none" w:sz="0" w:space="0" w:color="auto"/>
        <w:right w:val="none" w:sz="0" w:space="0" w:color="auto"/>
      </w:divBdr>
    </w:div>
    <w:div w:id="50928885">
      <w:bodyDiv w:val="1"/>
      <w:marLeft w:val="0"/>
      <w:marRight w:val="0"/>
      <w:marTop w:val="0"/>
      <w:marBottom w:val="0"/>
      <w:divBdr>
        <w:top w:val="none" w:sz="0" w:space="0" w:color="auto"/>
        <w:left w:val="none" w:sz="0" w:space="0" w:color="auto"/>
        <w:bottom w:val="none" w:sz="0" w:space="0" w:color="auto"/>
        <w:right w:val="none" w:sz="0" w:space="0" w:color="auto"/>
      </w:divBdr>
    </w:div>
    <w:div w:id="51124635">
      <w:bodyDiv w:val="1"/>
      <w:marLeft w:val="0"/>
      <w:marRight w:val="0"/>
      <w:marTop w:val="0"/>
      <w:marBottom w:val="0"/>
      <w:divBdr>
        <w:top w:val="none" w:sz="0" w:space="0" w:color="auto"/>
        <w:left w:val="none" w:sz="0" w:space="0" w:color="auto"/>
        <w:bottom w:val="none" w:sz="0" w:space="0" w:color="auto"/>
        <w:right w:val="none" w:sz="0" w:space="0" w:color="auto"/>
      </w:divBdr>
    </w:div>
    <w:div w:id="51740156">
      <w:bodyDiv w:val="1"/>
      <w:marLeft w:val="0"/>
      <w:marRight w:val="0"/>
      <w:marTop w:val="0"/>
      <w:marBottom w:val="0"/>
      <w:divBdr>
        <w:top w:val="none" w:sz="0" w:space="0" w:color="auto"/>
        <w:left w:val="none" w:sz="0" w:space="0" w:color="auto"/>
        <w:bottom w:val="none" w:sz="0" w:space="0" w:color="auto"/>
        <w:right w:val="none" w:sz="0" w:space="0" w:color="auto"/>
      </w:divBdr>
    </w:div>
    <w:div w:id="57630038">
      <w:bodyDiv w:val="1"/>
      <w:marLeft w:val="0"/>
      <w:marRight w:val="0"/>
      <w:marTop w:val="0"/>
      <w:marBottom w:val="0"/>
      <w:divBdr>
        <w:top w:val="none" w:sz="0" w:space="0" w:color="auto"/>
        <w:left w:val="none" w:sz="0" w:space="0" w:color="auto"/>
        <w:bottom w:val="none" w:sz="0" w:space="0" w:color="auto"/>
        <w:right w:val="none" w:sz="0" w:space="0" w:color="auto"/>
      </w:divBdr>
    </w:div>
    <w:div w:id="59524689">
      <w:bodyDiv w:val="1"/>
      <w:marLeft w:val="0"/>
      <w:marRight w:val="0"/>
      <w:marTop w:val="0"/>
      <w:marBottom w:val="0"/>
      <w:divBdr>
        <w:top w:val="none" w:sz="0" w:space="0" w:color="auto"/>
        <w:left w:val="none" w:sz="0" w:space="0" w:color="auto"/>
        <w:bottom w:val="none" w:sz="0" w:space="0" w:color="auto"/>
        <w:right w:val="none" w:sz="0" w:space="0" w:color="auto"/>
      </w:divBdr>
    </w:div>
    <w:div w:id="60103393">
      <w:bodyDiv w:val="1"/>
      <w:marLeft w:val="0"/>
      <w:marRight w:val="0"/>
      <w:marTop w:val="0"/>
      <w:marBottom w:val="0"/>
      <w:divBdr>
        <w:top w:val="none" w:sz="0" w:space="0" w:color="auto"/>
        <w:left w:val="none" w:sz="0" w:space="0" w:color="auto"/>
        <w:bottom w:val="none" w:sz="0" w:space="0" w:color="auto"/>
        <w:right w:val="none" w:sz="0" w:space="0" w:color="auto"/>
      </w:divBdr>
    </w:div>
    <w:div w:id="60568044">
      <w:bodyDiv w:val="1"/>
      <w:marLeft w:val="0"/>
      <w:marRight w:val="0"/>
      <w:marTop w:val="0"/>
      <w:marBottom w:val="0"/>
      <w:divBdr>
        <w:top w:val="none" w:sz="0" w:space="0" w:color="auto"/>
        <w:left w:val="none" w:sz="0" w:space="0" w:color="auto"/>
        <w:bottom w:val="none" w:sz="0" w:space="0" w:color="auto"/>
        <w:right w:val="none" w:sz="0" w:space="0" w:color="auto"/>
      </w:divBdr>
    </w:div>
    <w:div w:id="63338433">
      <w:bodyDiv w:val="1"/>
      <w:marLeft w:val="0"/>
      <w:marRight w:val="0"/>
      <w:marTop w:val="0"/>
      <w:marBottom w:val="0"/>
      <w:divBdr>
        <w:top w:val="none" w:sz="0" w:space="0" w:color="auto"/>
        <w:left w:val="none" w:sz="0" w:space="0" w:color="auto"/>
        <w:bottom w:val="none" w:sz="0" w:space="0" w:color="auto"/>
        <w:right w:val="none" w:sz="0" w:space="0" w:color="auto"/>
      </w:divBdr>
    </w:div>
    <w:div w:id="65497816">
      <w:bodyDiv w:val="1"/>
      <w:marLeft w:val="0"/>
      <w:marRight w:val="0"/>
      <w:marTop w:val="0"/>
      <w:marBottom w:val="0"/>
      <w:divBdr>
        <w:top w:val="none" w:sz="0" w:space="0" w:color="auto"/>
        <w:left w:val="none" w:sz="0" w:space="0" w:color="auto"/>
        <w:bottom w:val="none" w:sz="0" w:space="0" w:color="auto"/>
        <w:right w:val="none" w:sz="0" w:space="0" w:color="auto"/>
      </w:divBdr>
    </w:div>
    <w:div w:id="66735573">
      <w:bodyDiv w:val="1"/>
      <w:marLeft w:val="0"/>
      <w:marRight w:val="0"/>
      <w:marTop w:val="0"/>
      <w:marBottom w:val="0"/>
      <w:divBdr>
        <w:top w:val="none" w:sz="0" w:space="0" w:color="auto"/>
        <w:left w:val="none" w:sz="0" w:space="0" w:color="auto"/>
        <w:bottom w:val="none" w:sz="0" w:space="0" w:color="auto"/>
        <w:right w:val="none" w:sz="0" w:space="0" w:color="auto"/>
      </w:divBdr>
    </w:div>
    <w:div w:id="68503549">
      <w:bodyDiv w:val="1"/>
      <w:marLeft w:val="0"/>
      <w:marRight w:val="0"/>
      <w:marTop w:val="0"/>
      <w:marBottom w:val="0"/>
      <w:divBdr>
        <w:top w:val="none" w:sz="0" w:space="0" w:color="auto"/>
        <w:left w:val="none" w:sz="0" w:space="0" w:color="auto"/>
        <w:bottom w:val="none" w:sz="0" w:space="0" w:color="auto"/>
        <w:right w:val="none" w:sz="0" w:space="0" w:color="auto"/>
      </w:divBdr>
    </w:div>
    <w:div w:id="70658577">
      <w:bodyDiv w:val="1"/>
      <w:marLeft w:val="0"/>
      <w:marRight w:val="0"/>
      <w:marTop w:val="0"/>
      <w:marBottom w:val="0"/>
      <w:divBdr>
        <w:top w:val="none" w:sz="0" w:space="0" w:color="auto"/>
        <w:left w:val="none" w:sz="0" w:space="0" w:color="auto"/>
        <w:bottom w:val="none" w:sz="0" w:space="0" w:color="auto"/>
        <w:right w:val="none" w:sz="0" w:space="0" w:color="auto"/>
      </w:divBdr>
    </w:div>
    <w:div w:id="70734127">
      <w:bodyDiv w:val="1"/>
      <w:marLeft w:val="0"/>
      <w:marRight w:val="0"/>
      <w:marTop w:val="0"/>
      <w:marBottom w:val="0"/>
      <w:divBdr>
        <w:top w:val="none" w:sz="0" w:space="0" w:color="auto"/>
        <w:left w:val="none" w:sz="0" w:space="0" w:color="auto"/>
        <w:bottom w:val="none" w:sz="0" w:space="0" w:color="auto"/>
        <w:right w:val="none" w:sz="0" w:space="0" w:color="auto"/>
      </w:divBdr>
    </w:div>
    <w:div w:id="71239261">
      <w:bodyDiv w:val="1"/>
      <w:marLeft w:val="0"/>
      <w:marRight w:val="0"/>
      <w:marTop w:val="0"/>
      <w:marBottom w:val="0"/>
      <w:divBdr>
        <w:top w:val="none" w:sz="0" w:space="0" w:color="auto"/>
        <w:left w:val="none" w:sz="0" w:space="0" w:color="auto"/>
        <w:bottom w:val="none" w:sz="0" w:space="0" w:color="auto"/>
        <w:right w:val="none" w:sz="0" w:space="0" w:color="auto"/>
      </w:divBdr>
    </w:div>
    <w:div w:id="72162243">
      <w:bodyDiv w:val="1"/>
      <w:marLeft w:val="0"/>
      <w:marRight w:val="0"/>
      <w:marTop w:val="0"/>
      <w:marBottom w:val="0"/>
      <w:divBdr>
        <w:top w:val="none" w:sz="0" w:space="0" w:color="auto"/>
        <w:left w:val="none" w:sz="0" w:space="0" w:color="auto"/>
        <w:bottom w:val="none" w:sz="0" w:space="0" w:color="auto"/>
        <w:right w:val="none" w:sz="0" w:space="0" w:color="auto"/>
      </w:divBdr>
    </w:div>
    <w:div w:id="76488641">
      <w:bodyDiv w:val="1"/>
      <w:marLeft w:val="0"/>
      <w:marRight w:val="0"/>
      <w:marTop w:val="0"/>
      <w:marBottom w:val="0"/>
      <w:divBdr>
        <w:top w:val="none" w:sz="0" w:space="0" w:color="auto"/>
        <w:left w:val="none" w:sz="0" w:space="0" w:color="auto"/>
        <w:bottom w:val="none" w:sz="0" w:space="0" w:color="auto"/>
        <w:right w:val="none" w:sz="0" w:space="0" w:color="auto"/>
      </w:divBdr>
    </w:div>
    <w:div w:id="77600797">
      <w:bodyDiv w:val="1"/>
      <w:marLeft w:val="0"/>
      <w:marRight w:val="0"/>
      <w:marTop w:val="0"/>
      <w:marBottom w:val="0"/>
      <w:divBdr>
        <w:top w:val="none" w:sz="0" w:space="0" w:color="auto"/>
        <w:left w:val="none" w:sz="0" w:space="0" w:color="auto"/>
        <w:bottom w:val="none" w:sz="0" w:space="0" w:color="auto"/>
        <w:right w:val="none" w:sz="0" w:space="0" w:color="auto"/>
      </w:divBdr>
    </w:div>
    <w:div w:id="78141793">
      <w:bodyDiv w:val="1"/>
      <w:marLeft w:val="0"/>
      <w:marRight w:val="0"/>
      <w:marTop w:val="0"/>
      <w:marBottom w:val="0"/>
      <w:divBdr>
        <w:top w:val="none" w:sz="0" w:space="0" w:color="auto"/>
        <w:left w:val="none" w:sz="0" w:space="0" w:color="auto"/>
        <w:bottom w:val="none" w:sz="0" w:space="0" w:color="auto"/>
        <w:right w:val="none" w:sz="0" w:space="0" w:color="auto"/>
      </w:divBdr>
    </w:div>
    <w:div w:id="78410306">
      <w:bodyDiv w:val="1"/>
      <w:marLeft w:val="0"/>
      <w:marRight w:val="0"/>
      <w:marTop w:val="0"/>
      <w:marBottom w:val="0"/>
      <w:divBdr>
        <w:top w:val="none" w:sz="0" w:space="0" w:color="auto"/>
        <w:left w:val="none" w:sz="0" w:space="0" w:color="auto"/>
        <w:bottom w:val="none" w:sz="0" w:space="0" w:color="auto"/>
        <w:right w:val="none" w:sz="0" w:space="0" w:color="auto"/>
      </w:divBdr>
    </w:div>
    <w:div w:id="81805979">
      <w:bodyDiv w:val="1"/>
      <w:marLeft w:val="0"/>
      <w:marRight w:val="0"/>
      <w:marTop w:val="0"/>
      <w:marBottom w:val="0"/>
      <w:divBdr>
        <w:top w:val="none" w:sz="0" w:space="0" w:color="auto"/>
        <w:left w:val="none" w:sz="0" w:space="0" w:color="auto"/>
        <w:bottom w:val="none" w:sz="0" w:space="0" w:color="auto"/>
        <w:right w:val="none" w:sz="0" w:space="0" w:color="auto"/>
      </w:divBdr>
    </w:div>
    <w:div w:id="82922212">
      <w:bodyDiv w:val="1"/>
      <w:marLeft w:val="0"/>
      <w:marRight w:val="0"/>
      <w:marTop w:val="0"/>
      <w:marBottom w:val="0"/>
      <w:divBdr>
        <w:top w:val="none" w:sz="0" w:space="0" w:color="auto"/>
        <w:left w:val="none" w:sz="0" w:space="0" w:color="auto"/>
        <w:bottom w:val="none" w:sz="0" w:space="0" w:color="auto"/>
        <w:right w:val="none" w:sz="0" w:space="0" w:color="auto"/>
      </w:divBdr>
    </w:div>
    <w:div w:id="84234705">
      <w:bodyDiv w:val="1"/>
      <w:marLeft w:val="0"/>
      <w:marRight w:val="0"/>
      <w:marTop w:val="0"/>
      <w:marBottom w:val="0"/>
      <w:divBdr>
        <w:top w:val="none" w:sz="0" w:space="0" w:color="auto"/>
        <w:left w:val="none" w:sz="0" w:space="0" w:color="auto"/>
        <w:bottom w:val="none" w:sz="0" w:space="0" w:color="auto"/>
        <w:right w:val="none" w:sz="0" w:space="0" w:color="auto"/>
      </w:divBdr>
    </w:div>
    <w:div w:id="90636454">
      <w:bodyDiv w:val="1"/>
      <w:marLeft w:val="0"/>
      <w:marRight w:val="0"/>
      <w:marTop w:val="0"/>
      <w:marBottom w:val="0"/>
      <w:divBdr>
        <w:top w:val="none" w:sz="0" w:space="0" w:color="auto"/>
        <w:left w:val="none" w:sz="0" w:space="0" w:color="auto"/>
        <w:bottom w:val="none" w:sz="0" w:space="0" w:color="auto"/>
        <w:right w:val="none" w:sz="0" w:space="0" w:color="auto"/>
      </w:divBdr>
    </w:div>
    <w:div w:id="95104163">
      <w:bodyDiv w:val="1"/>
      <w:marLeft w:val="0"/>
      <w:marRight w:val="0"/>
      <w:marTop w:val="0"/>
      <w:marBottom w:val="0"/>
      <w:divBdr>
        <w:top w:val="none" w:sz="0" w:space="0" w:color="auto"/>
        <w:left w:val="none" w:sz="0" w:space="0" w:color="auto"/>
        <w:bottom w:val="none" w:sz="0" w:space="0" w:color="auto"/>
        <w:right w:val="none" w:sz="0" w:space="0" w:color="auto"/>
      </w:divBdr>
    </w:div>
    <w:div w:id="96221366">
      <w:bodyDiv w:val="1"/>
      <w:marLeft w:val="0"/>
      <w:marRight w:val="0"/>
      <w:marTop w:val="0"/>
      <w:marBottom w:val="0"/>
      <w:divBdr>
        <w:top w:val="none" w:sz="0" w:space="0" w:color="auto"/>
        <w:left w:val="none" w:sz="0" w:space="0" w:color="auto"/>
        <w:bottom w:val="none" w:sz="0" w:space="0" w:color="auto"/>
        <w:right w:val="none" w:sz="0" w:space="0" w:color="auto"/>
      </w:divBdr>
    </w:div>
    <w:div w:id="98841548">
      <w:bodyDiv w:val="1"/>
      <w:marLeft w:val="0"/>
      <w:marRight w:val="0"/>
      <w:marTop w:val="0"/>
      <w:marBottom w:val="0"/>
      <w:divBdr>
        <w:top w:val="none" w:sz="0" w:space="0" w:color="auto"/>
        <w:left w:val="none" w:sz="0" w:space="0" w:color="auto"/>
        <w:bottom w:val="none" w:sz="0" w:space="0" w:color="auto"/>
        <w:right w:val="none" w:sz="0" w:space="0" w:color="auto"/>
      </w:divBdr>
    </w:div>
    <w:div w:id="99028739">
      <w:bodyDiv w:val="1"/>
      <w:marLeft w:val="0"/>
      <w:marRight w:val="0"/>
      <w:marTop w:val="0"/>
      <w:marBottom w:val="0"/>
      <w:divBdr>
        <w:top w:val="none" w:sz="0" w:space="0" w:color="auto"/>
        <w:left w:val="none" w:sz="0" w:space="0" w:color="auto"/>
        <w:bottom w:val="none" w:sz="0" w:space="0" w:color="auto"/>
        <w:right w:val="none" w:sz="0" w:space="0" w:color="auto"/>
      </w:divBdr>
    </w:div>
    <w:div w:id="103501935">
      <w:bodyDiv w:val="1"/>
      <w:marLeft w:val="0"/>
      <w:marRight w:val="0"/>
      <w:marTop w:val="0"/>
      <w:marBottom w:val="0"/>
      <w:divBdr>
        <w:top w:val="none" w:sz="0" w:space="0" w:color="auto"/>
        <w:left w:val="none" w:sz="0" w:space="0" w:color="auto"/>
        <w:bottom w:val="none" w:sz="0" w:space="0" w:color="auto"/>
        <w:right w:val="none" w:sz="0" w:space="0" w:color="auto"/>
      </w:divBdr>
    </w:div>
    <w:div w:id="104350330">
      <w:bodyDiv w:val="1"/>
      <w:marLeft w:val="0"/>
      <w:marRight w:val="0"/>
      <w:marTop w:val="0"/>
      <w:marBottom w:val="0"/>
      <w:divBdr>
        <w:top w:val="none" w:sz="0" w:space="0" w:color="auto"/>
        <w:left w:val="none" w:sz="0" w:space="0" w:color="auto"/>
        <w:bottom w:val="none" w:sz="0" w:space="0" w:color="auto"/>
        <w:right w:val="none" w:sz="0" w:space="0" w:color="auto"/>
      </w:divBdr>
    </w:div>
    <w:div w:id="105852816">
      <w:bodyDiv w:val="1"/>
      <w:marLeft w:val="0"/>
      <w:marRight w:val="0"/>
      <w:marTop w:val="0"/>
      <w:marBottom w:val="0"/>
      <w:divBdr>
        <w:top w:val="none" w:sz="0" w:space="0" w:color="auto"/>
        <w:left w:val="none" w:sz="0" w:space="0" w:color="auto"/>
        <w:bottom w:val="none" w:sz="0" w:space="0" w:color="auto"/>
        <w:right w:val="none" w:sz="0" w:space="0" w:color="auto"/>
      </w:divBdr>
    </w:div>
    <w:div w:id="107361485">
      <w:bodyDiv w:val="1"/>
      <w:marLeft w:val="0"/>
      <w:marRight w:val="0"/>
      <w:marTop w:val="0"/>
      <w:marBottom w:val="0"/>
      <w:divBdr>
        <w:top w:val="none" w:sz="0" w:space="0" w:color="auto"/>
        <w:left w:val="none" w:sz="0" w:space="0" w:color="auto"/>
        <w:bottom w:val="none" w:sz="0" w:space="0" w:color="auto"/>
        <w:right w:val="none" w:sz="0" w:space="0" w:color="auto"/>
      </w:divBdr>
    </w:div>
    <w:div w:id="107625683">
      <w:bodyDiv w:val="1"/>
      <w:marLeft w:val="0"/>
      <w:marRight w:val="0"/>
      <w:marTop w:val="0"/>
      <w:marBottom w:val="0"/>
      <w:divBdr>
        <w:top w:val="none" w:sz="0" w:space="0" w:color="auto"/>
        <w:left w:val="none" w:sz="0" w:space="0" w:color="auto"/>
        <w:bottom w:val="none" w:sz="0" w:space="0" w:color="auto"/>
        <w:right w:val="none" w:sz="0" w:space="0" w:color="auto"/>
      </w:divBdr>
    </w:div>
    <w:div w:id="109014665">
      <w:bodyDiv w:val="1"/>
      <w:marLeft w:val="0"/>
      <w:marRight w:val="0"/>
      <w:marTop w:val="0"/>
      <w:marBottom w:val="0"/>
      <w:divBdr>
        <w:top w:val="none" w:sz="0" w:space="0" w:color="auto"/>
        <w:left w:val="none" w:sz="0" w:space="0" w:color="auto"/>
        <w:bottom w:val="none" w:sz="0" w:space="0" w:color="auto"/>
        <w:right w:val="none" w:sz="0" w:space="0" w:color="auto"/>
      </w:divBdr>
    </w:div>
    <w:div w:id="109783347">
      <w:bodyDiv w:val="1"/>
      <w:marLeft w:val="0"/>
      <w:marRight w:val="0"/>
      <w:marTop w:val="0"/>
      <w:marBottom w:val="0"/>
      <w:divBdr>
        <w:top w:val="none" w:sz="0" w:space="0" w:color="auto"/>
        <w:left w:val="none" w:sz="0" w:space="0" w:color="auto"/>
        <w:bottom w:val="none" w:sz="0" w:space="0" w:color="auto"/>
        <w:right w:val="none" w:sz="0" w:space="0" w:color="auto"/>
      </w:divBdr>
    </w:div>
    <w:div w:id="110323844">
      <w:bodyDiv w:val="1"/>
      <w:marLeft w:val="0"/>
      <w:marRight w:val="0"/>
      <w:marTop w:val="0"/>
      <w:marBottom w:val="0"/>
      <w:divBdr>
        <w:top w:val="none" w:sz="0" w:space="0" w:color="auto"/>
        <w:left w:val="none" w:sz="0" w:space="0" w:color="auto"/>
        <w:bottom w:val="none" w:sz="0" w:space="0" w:color="auto"/>
        <w:right w:val="none" w:sz="0" w:space="0" w:color="auto"/>
      </w:divBdr>
    </w:div>
    <w:div w:id="111560577">
      <w:bodyDiv w:val="1"/>
      <w:marLeft w:val="0"/>
      <w:marRight w:val="0"/>
      <w:marTop w:val="0"/>
      <w:marBottom w:val="0"/>
      <w:divBdr>
        <w:top w:val="none" w:sz="0" w:space="0" w:color="auto"/>
        <w:left w:val="none" w:sz="0" w:space="0" w:color="auto"/>
        <w:bottom w:val="none" w:sz="0" w:space="0" w:color="auto"/>
        <w:right w:val="none" w:sz="0" w:space="0" w:color="auto"/>
      </w:divBdr>
    </w:div>
    <w:div w:id="112943183">
      <w:bodyDiv w:val="1"/>
      <w:marLeft w:val="0"/>
      <w:marRight w:val="0"/>
      <w:marTop w:val="0"/>
      <w:marBottom w:val="0"/>
      <w:divBdr>
        <w:top w:val="none" w:sz="0" w:space="0" w:color="auto"/>
        <w:left w:val="none" w:sz="0" w:space="0" w:color="auto"/>
        <w:bottom w:val="none" w:sz="0" w:space="0" w:color="auto"/>
        <w:right w:val="none" w:sz="0" w:space="0" w:color="auto"/>
      </w:divBdr>
    </w:div>
    <w:div w:id="115176061">
      <w:bodyDiv w:val="1"/>
      <w:marLeft w:val="0"/>
      <w:marRight w:val="0"/>
      <w:marTop w:val="0"/>
      <w:marBottom w:val="0"/>
      <w:divBdr>
        <w:top w:val="none" w:sz="0" w:space="0" w:color="auto"/>
        <w:left w:val="none" w:sz="0" w:space="0" w:color="auto"/>
        <w:bottom w:val="none" w:sz="0" w:space="0" w:color="auto"/>
        <w:right w:val="none" w:sz="0" w:space="0" w:color="auto"/>
      </w:divBdr>
    </w:div>
    <w:div w:id="115947793">
      <w:bodyDiv w:val="1"/>
      <w:marLeft w:val="0"/>
      <w:marRight w:val="0"/>
      <w:marTop w:val="0"/>
      <w:marBottom w:val="0"/>
      <w:divBdr>
        <w:top w:val="none" w:sz="0" w:space="0" w:color="auto"/>
        <w:left w:val="none" w:sz="0" w:space="0" w:color="auto"/>
        <w:bottom w:val="none" w:sz="0" w:space="0" w:color="auto"/>
        <w:right w:val="none" w:sz="0" w:space="0" w:color="auto"/>
      </w:divBdr>
    </w:div>
    <w:div w:id="116684740">
      <w:bodyDiv w:val="1"/>
      <w:marLeft w:val="0"/>
      <w:marRight w:val="0"/>
      <w:marTop w:val="0"/>
      <w:marBottom w:val="0"/>
      <w:divBdr>
        <w:top w:val="none" w:sz="0" w:space="0" w:color="auto"/>
        <w:left w:val="none" w:sz="0" w:space="0" w:color="auto"/>
        <w:bottom w:val="none" w:sz="0" w:space="0" w:color="auto"/>
        <w:right w:val="none" w:sz="0" w:space="0" w:color="auto"/>
      </w:divBdr>
    </w:div>
    <w:div w:id="118231161">
      <w:bodyDiv w:val="1"/>
      <w:marLeft w:val="0"/>
      <w:marRight w:val="0"/>
      <w:marTop w:val="0"/>
      <w:marBottom w:val="0"/>
      <w:divBdr>
        <w:top w:val="none" w:sz="0" w:space="0" w:color="auto"/>
        <w:left w:val="none" w:sz="0" w:space="0" w:color="auto"/>
        <w:bottom w:val="none" w:sz="0" w:space="0" w:color="auto"/>
        <w:right w:val="none" w:sz="0" w:space="0" w:color="auto"/>
      </w:divBdr>
    </w:div>
    <w:div w:id="119812178">
      <w:bodyDiv w:val="1"/>
      <w:marLeft w:val="0"/>
      <w:marRight w:val="0"/>
      <w:marTop w:val="0"/>
      <w:marBottom w:val="0"/>
      <w:divBdr>
        <w:top w:val="none" w:sz="0" w:space="0" w:color="auto"/>
        <w:left w:val="none" w:sz="0" w:space="0" w:color="auto"/>
        <w:bottom w:val="none" w:sz="0" w:space="0" w:color="auto"/>
        <w:right w:val="none" w:sz="0" w:space="0" w:color="auto"/>
      </w:divBdr>
    </w:div>
    <w:div w:id="120270464">
      <w:bodyDiv w:val="1"/>
      <w:marLeft w:val="0"/>
      <w:marRight w:val="0"/>
      <w:marTop w:val="0"/>
      <w:marBottom w:val="0"/>
      <w:divBdr>
        <w:top w:val="none" w:sz="0" w:space="0" w:color="auto"/>
        <w:left w:val="none" w:sz="0" w:space="0" w:color="auto"/>
        <w:bottom w:val="none" w:sz="0" w:space="0" w:color="auto"/>
        <w:right w:val="none" w:sz="0" w:space="0" w:color="auto"/>
      </w:divBdr>
    </w:div>
    <w:div w:id="120272806">
      <w:bodyDiv w:val="1"/>
      <w:marLeft w:val="0"/>
      <w:marRight w:val="0"/>
      <w:marTop w:val="0"/>
      <w:marBottom w:val="0"/>
      <w:divBdr>
        <w:top w:val="none" w:sz="0" w:space="0" w:color="auto"/>
        <w:left w:val="none" w:sz="0" w:space="0" w:color="auto"/>
        <w:bottom w:val="none" w:sz="0" w:space="0" w:color="auto"/>
        <w:right w:val="none" w:sz="0" w:space="0" w:color="auto"/>
      </w:divBdr>
    </w:div>
    <w:div w:id="123740116">
      <w:bodyDiv w:val="1"/>
      <w:marLeft w:val="0"/>
      <w:marRight w:val="0"/>
      <w:marTop w:val="0"/>
      <w:marBottom w:val="0"/>
      <w:divBdr>
        <w:top w:val="none" w:sz="0" w:space="0" w:color="auto"/>
        <w:left w:val="none" w:sz="0" w:space="0" w:color="auto"/>
        <w:bottom w:val="none" w:sz="0" w:space="0" w:color="auto"/>
        <w:right w:val="none" w:sz="0" w:space="0" w:color="auto"/>
      </w:divBdr>
    </w:div>
    <w:div w:id="123889242">
      <w:bodyDiv w:val="1"/>
      <w:marLeft w:val="0"/>
      <w:marRight w:val="0"/>
      <w:marTop w:val="0"/>
      <w:marBottom w:val="0"/>
      <w:divBdr>
        <w:top w:val="none" w:sz="0" w:space="0" w:color="auto"/>
        <w:left w:val="none" w:sz="0" w:space="0" w:color="auto"/>
        <w:bottom w:val="none" w:sz="0" w:space="0" w:color="auto"/>
        <w:right w:val="none" w:sz="0" w:space="0" w:color="auto"/>
      </w:divBdr>
    </w:div>
    <w:div w:id="124549788">
      <w:bodyDiv w:val="1"/>
      <w:marLeft w:val="0"/>
      <w:marRight w:val="0"/>
      <w:marTop w:val="0"/>
      <w:marBottom w:val="0"/>
      <w:divBdr>
        <w:top w:val="none" w:sz="0" w:space="0" w:color="auto"/>
        <w:left w:val="none" w:sz="0" w:space="0" w:color="auto"/>
        <w:bottom w:val="none" w:sz="0" w:space="0" w:color="auto"/>
        <w:right w:val="none" w:sz="0" w:space="0" w:color="auto"/>
      </w:divBdr>
    </w:div>
    <w:div w:id="128597520">
      <w:bodyDiv w:val="1"/>
      <w:marLeft w:val="0"/>
      <w:marRight w:val="0"/>
      <w:marTop w:val="0"/>
      <w:marBottom w:val="0"/>
      <w:divBdr>
        <w:top w:val="none" w:sz="0" w:space="0" w:color="auto"/>
        <w:left w:val="none" w:sz="0" w:space="0" w:color="auto"/>
        <w:bottom w:val="none" w:sz="0" w:space="0" w:color="auto"/>
        <w:right w:val="none" w:sz="0" w:space="0" w:color="auto"/>
      </w:divBdr>
    </w:div>
    <w:div w:id="129135515">
      <w:bodyDiv w:val="1"/>
      <w:marLeft w:val="0"/>
      <w:marRight w:val="0"/>
      <w:marTop w:val="0"/>
      <w:marBottom w:val="0"/>
      <w:divBdr>
        <w:top w:val="none" w:sz="0" w:space="0" w:color="auto"/>
        <w:left w:val="none" w:sz="0" w:space="0" w:color="auto"/>
        <w:bottom w:val="none" w:sz="0" w:space="0" w:color="auto"/>
        <w:right w:val="none" w:sz="0" w:space="0" w:color="auto"/>
      </w:divBdr>
    </w:div>
    <w:div w:id="132406493">
      <w:bodyDiv w:val="1"/>
      <w:marLeft w:val="0"/>
      <w:marRight w:val="0"/>
      <w:marTop w:val="0"/>
      <w:marBottom w:val="0"/>
      <w:divBdr>
        <w:top w:val="none" w:sz="0" w:space="0" w:color="auto"/>
        <w:left w:val="none" w:sz="0" w:space="0" w:color="auto"/>
        <w:bottom w:val="none" w:sz="0" w:space="0" w:color="auto"/>
        <w:right w:val="none" w:sz="0" w:space="0" w:color="auto"/>
      </w:divBdr>
    </w:div>
    <w:div w:id="133261673">
      <w:bodyDiv w:val="1"/>
      <w:marLeft w:val="0"/>
      <w:marRight w:val="0"/>
      <w:marTop w:val="0"/>
      <w:marBottom w:val="0"/>
      <w:divBdr>
        <w:top w:val="none" w:sz="0" w:space="0" w:color="auto"/>
        <w:left w:val="none" w:sz="0" w:space="0" w:color="auto"/>
        <w:bottom w:val="none" w:sz="0" w:space="0" w:color="auto"/>
        <w:right w:val="none" w:sz="0" w:space="0" w:color="auto"/>
      </w:divBdr>
    </w:div>
    <w:div w:id="135028676">
      <w:bodyDiv w:val="1"/>
      <w:marLeft w:val="0"/>
      <w:marRight w:val="0"/>
      <w:marTop w:val="0"/>
      <w:marBottom w:val="0"/>
      <w:divBdr>
        <w:top w:val="none" w:sz="0" w:space="0" w:color="auto"/>
        <w:left w:val="none" w:sz="0" w:space="0" w:color="auto"/>
        <w:bottom w:val="none" w:sz="0" w:space="0" w:color="auto"/>
        <w:right w:val="none" w:sz="0" w:space="0" w:color="auto"/>
      </w:divBdr>
    </w:div>
    <w:div w:id="135687086">
      <w:bodyDiv w:val="1"/>
      <w:marLeft w:val="0"/>
      <w:marRight w:val="0"/>
      <w:marTop w:val="0"/>
      <w:marBottom w:val="0"/>
      <w:divBdr>
        <w:top w:val="none" w:sz="0" w:space="0" w:color="auto"/>
        <w:left w:val="none" w:sz="0" w:space="0" w:color="auto"/>
        <w:bottom w:val="none" w:sz="0" w:space="0" w:color="auto"/>
        <w:right w:val="none" w:sz="0" w:space="0" w:color="auto"/>
      </w:divBdr>
    </w:div>
    <w:div w:id="136848584">
      <w:bodyDiv w:val="1"/>
      <w:marLeft w:val="0"/>
      <w:marRight w:val="0"/>
      <w:marTop w:val="0"/>
      <w:marBottom w:val="0"/>
      <w:divBdr>
        <w:top w:val="none" w:sz="0" w:space="0" w:color="auto"/>
        <w:left w:val="none" w:sz="0" w:space="0" w:color="auto"/>
        <w:bottom w:val="none" w:sz="0" w:space="0" w:color="auto"/>
        <w:right w:val="none" w:sz="0" w:space="0" w:color="auto"/>
      </w:divBdr>
    </w:div>
    <w:div w:id="138768734">
      <w:bodyDiv w:val="1"/>
      <w:marLeft w:val="0"/>
      <w:marRight w:val="0"/>
      <w:marTop w:val="0"/>
      <w:marBottom w:val="0"/>
      <w:divBdr>
        <w:top w:val="none" w:sz="0" w:space="0" w:color="auto"/>
        <w:left w:val="none" w:sz="0" w:space="0" w:color="auto"/>
        <w:bottom w:val="none" w:sz="0" w:space="0" w:color="auto"/>
        <w:right w:val="none" w:sz="0" w:space="0" w:color="auto"/>
      </w:divBdr>
    </w:div>
    <w:div w:id="141195803">
      <w:bodyDiv w:val="1"/>
      <w:marLeft w:val="0"/>
      <w:marRight w:val="0"/>
      <w:marTop w:val="0"/>
      <w:marBottom w:val="0"/>
      <w:divBdr>
        <w:top w:val="none" w:sz="0" w:space="0" w:color="auto"/>
        <w:left w:val="none" w:sz="0" w:space="0" w:color="auto"/>
        <w:bottom w:val="none" w:sz="0" w:space="0" w:color="auto"/>
        <w:right w:val="none" w:sz="0" w:space="0" w:color="auto"/>
      </w:divBdr>
    </w:div>
    <w:div w:id="144201425">
      <w:bodyDiv w:val="1"/>
      <w:marLeft w:val="0"/>
      <w:marRight w:val="0"/>
      <w:marTop w:val="0"/>
      <w:marBottom w:val="0"/>
      <w:divBdr>
        <w:top w:val="none" w:sz="0" w:space="0" w:color="auto"/>
        <w:left w:val="none" w:sz="0" w:space="0" w:color="auto"/>
        <w:bottom w:val="none" w:sz="0" w:space="0" w:color="auto"/>
        <w:right w:val="none" w:sz="0" w:space="0" w:color="auto"/>
      </w:divBdr>
    </w:div>
    <w:div w:id="144471274">
      <w:bodyDiv w:val="1"/>
      <w:marLeft w:val="0"/>
      <w:marRight w:val="0"/>
      <w:marTop w:val="0"/>
      <w:marBottom w:val="0"/>
      <w:divBdr>
        <w:top w:val="none" w:sz="0" w:space="0" w:color="auto"/>
        <w:left w:val="none" w:sz="0" w:space="0" w:color="auto"/>
        <w:bottom w:val="none" w:sz="0" w:space="0" w:color="auto"/>
        <w:right w:val="none" w:sz="0" w:space="0" w:color="auto"/>
      </w:divBdr>
    </w:div>
    <w:div w:id="144787945">
      <w:bodyDiv w:val="1"/>
      <w:marLeft w:val="0"/>
      <w:marRight w:val="0"/>
      <w:marTop w:val="0"/>
      <w:marBottom w:val="0"/>
      <w:divBdr>
        <w:top w:val="none" w:sz="0" w:space="0" w:color="auto"/>
        <w:left w:val="none" w:sz="0" w:space="0" w:color="auto"/>
        <w:bottom w:val="none" w:sz="0" w:space="0" w:color="auto"/>
        <w:right w:val="none" w:sz="0" w:space="0" w:color="auto"/>
      </w:divBdr>
    </w:div>
    <w:div w:id="147988352">
      <w:bodyDiv w:val="1"/>
      <w:marLeft w:val="0"/>
      <w:marRight w:val="0"/>
      <w:marTop w:val="0"/>
      <w:marBottom w:val="0"/>
      <w:divBdr>
        <w:top w:val="none" w:sz="0" w:space="0" w:color="auto"/>
        <w:left w:val="none" w:sz="0" w:space="0" w:color="auto"/>
        <w:bottom w:val="none" w:sz="0" w:space="0" w:color="auto"/>
        <w:right w:val="none" w:sz="0" w:space="0" w:color="auto"/>
      </w:divBdr>
    </w:div>
    <w:div w:id="152916173">
      <w:bodyDiv w:val="1"/>
      <w:marLeft w:val="0"/>
      <w:marRight w:val="0"/>
      <w:marTop w:val="0"/>
      <w:marBottom w:val="0"/>
      <w:divBdr>
        <w:top w:val="none" w:sz="0" w:space="0" w:color="auto"/>
        <w:left w:val="none" w:sz="0" w:space="0" w:color="auto"/>
        <w:bottom w:val="none" w:sz="0" w:space="0" w:color="auto"/>
        <w:right w:val="none" w:sz="0" w:space="0" w:color="auto"/>
      </w:divBdr>
    </w:div>
    <w:div w:id="153030107">
      <w:bodyDiv w:val="1"/>
      <w:marLeft w:val="0"/>
      <w:marRight w:val="0"/>
      <w:marTop w:val="0"/>
      <w:marBottom w:val="0"/>
      <w:divBdr>
        <w:top w:val="none" w:sz="0" w:space="0" w:color="auto"/>
        <w:left w:val="none" w:sz="0" w:space="0" w:color="auto"/>
        <w:bottom w:val="none" w:sz="0" w:space="0" w:color="auto"/>
        <w:right w:val="none" w:sz="0" w:space="0" w:color="auto"/>
      </w:divBdr>
    </w:div>
    <w:div w:id="153377554">
      <w:bodyDiv w:val="1"/>
      <w:marLeft w:val="0"/>
      <w:marRight w:val="0"/>
      <w:marTop w:val="0"/>
      <w:marBottom w:val="0"/>
      <w:divBdr>
        <w:top w:val="none" w:sz="0" w:space="0" w:color="auto"/>
        <w:left w:val="none" w:sz="0" w:space="0" w:color="auto"/>
        <w:bottom w:val="none" w:sz="0" w:space="0" w:color="auto"/>
        <w:right w:val="none" w:sz="0" w:space="0" w:color="auto"/>
      </w:divBdr>
    </w:div>
    <w:div w:id="153955056">
      <w:bodyDiv w:val="1"/>
      <w:marLeft w:val="0"/>
      <w:marRight w:val="0"/>
      <w:marTop w:val="0"/>
      <w:marBottom w:val="0"/>
      <w:divBdr>
        <w:top w:val="none" w:sz="0" w:space="0" w:color="auto"/>
        <w:left w:val="none" w:sz="0" w:space="0" w:color="auto"/>
        <w:bottom w:val="none" w:sz="0" w:space="0" w:color="auto"/>
        <w:right w:val="none" w:sz="0" w:space="0" w:color="auto"/>
      </w:divBdr>
    </w:div>
    <w:div w:id="155387356">
      <w:bodyDiv w:val="1"/>
      <w:marLeft w:val="0"/>
      <w:marRight w:val="0"/>
      <w:marTop w:val="0"/>
      <w:marBottom w:val="0"/>
      <w:divBdr>
        <w:top w:val="none" w:sz="0" w:space="0" w:color="auto"/>
        <w:left w:val="none" w:sz="0" w:space="0" w:color="auto"/>
        <w:bottom w:val="none" w:sz="0" w:space="0" w:color="auto"/>
        <w:right w:val="none" w:sz="0" w:space="0" w:color="auto"/>
      </w:divBdr>
    </w:div>
    <w:div w:id="167644388">
      <w:bodyDiv w:val="1"/>
      <w:marLeft w:val="0"/>
      <w:marRight w:val="0"/>
      <w:marTop w:val="0"/>
      <w:marBottom w:val="0"/>
      <w:divBdr>
        <w:top w:val="none" w:sz="0" w:space="0" w:color="auto"/>
        <w:left w:val="none" w:sz="0" w:space="0" w:color="auto"/>
        <w:bottom w:val="none" w:sz="0" w:space="0" w:color="auto"/>
        <w:right w:val="none" w:sz="0" w:space="0" w:color="auto"/>
      </w:divBdr>
    </w:div>
    <w:div w:id="167714315">
      <w:bodyDiv w:val="1"/>
      <w:marLeft w:val="0"/>
      <w:marRight w:val="0"/>
      <w:marTop w:val="0"/>
      <w:marBottom w:val="0"/>
      <w:divBdr>
        <w:top w:val="none" w:sz="0" w:space="0" w:color="auto"/>
        <w:left w:val="none" w:sz="0" w:space="0" w:color="auto"/>
        <w:bottom w:val="none" w:sz="0" w:space="0" w:color="auto"/>
        <w:right w:val="none" w:sz="0" w:space="0" w:color="auto"/>
      </w:divBdr>
    </w:div>
    <w:div w:id="168252420">
      <w:bodyDiv w:val="1"/>
      <w:marLeft w:val="0"/>
      <w:marRight w:val="0"/>
      <w:marTop w:val="0"/>
      <w:marBottom w:val="0"/>
      <w:divBdr>
        <w:top w:val="none" w:sz="0" w:space="0" w:color="auto"/>
        <w:left w:val="none" w:sz="0" w:space="0" w:color="auto"/>
        <w:bottom w:val="none" w:sz="0" w:space="0" w:color="auto"/>
        <w:right w:val="none" w:sz="0" w:space="0" w:color="auto"/>
      </w:divBdr>
    </w:div>
    <w:div w:id="168831164">
      <w:bodyDiv w:val="1"/>
      <w:marLeft w:val="0"/>
      <w:marRight w:val="0"/>
      <w:marTop w:val="0"/>
      <w:marBottom w:val="0"/>
      <w:divBdr>
        <w:top w:val="none" w:sz="0" w:space="0" w:color="auto"/>
        <w:left w:val="none" w:sz="0" w:space="0" w:color="auto"/>
        <w:bottom w:val="none" w:sz="0" w:space="0" w:color="auto"/>
        <w:right w:val="none" w:sz="0" w:space="0" w:color="auto"/>
      </w:divBdr>
    </w:div>
    <w:div w:id="169032483">
      <w:bodyDiv w:val="1"/>
      <w:marLeft w:val="0"/>
      <w:marRight w:val="0"/>
      <w:marTop w:val="0"/>
      <w:marBottom w:val="0"/>
      <w:divBdr>
        <w:top w:val="none" w:sz="0" w:space="0" w:color="auto"/>
        <w:left w:val="none" w:sz="0" w:space="0" w:color="auto"/>
        <w:bottom w:val="none" w:sz="0" w:space="0" w:color="auto"/>
        <w:right w:val="none" w:sz="0" w:space="0" w:color="auto"/>
      </w:divBdr>
    </w:div>
    <w:div w:id="171187276">
      <w:bodyDiv w:val="1"/>
      <w:marLeft w:val="0"/>
      <w:marRight w:val="0"/>
      <w:marTop w:val="0"/>
      <w:marBottom w:val="0"/>
      <w:divBdr>
        <w:top w:val="none" w:sz="0" w:space="0" w:color="auto"/>
        <w:left w:val="none" w:sz="0" w:space="0" w:color="auto"/>
        <w:bottom w:val="none" w:sz="0" w:space="0" w:color="auto"/>
        <w:right w:val="none" w:sz="0" w:space="0" w:color="auto"/>
      </w:divBdr>
    </w:div>
    <w:div w:id="171341246">
      <w:bodyDiv w:val="1"/>
      <w:marLeft w:val="0"/>
      <w:marRight w:val="0"/>
      <w:marTop w:val="0"/>
      <w:marBottom w:val="0"/>
      <w:divBdr>
        <w:top w:val="none" w:sz="0" w:space="0" w:color="auto"/>
        <w:left w:val="none" w:sz="0" w:space="0" w:color="auto"/>
        <w:bottom w:val="none" w:sz="0" w:space="0" w:color="auto"/>
        <w:right w:val="none" w:sz="0" w:space="0" w:color="auto"/>
      </w:divBdr>
    </w:div>
    <w:div w:id="172650077">
      <w:bodyDiv w:val="1"/>
      <w:marLeft w:val="0"/>
      <w:marRight w:val="0"/>
      <w:marTop w:val="0"/>
      <w:marBottom w:val="0"/>
      <w:divBdr>
        <w:top w:val="none" w:sz="0" w:space="0" w:color="auto"/>
        <w:left w:val="none" w:sz="0" w:space="0" w:color="auto"/>
        <w:bottom w:val="none" w:sz="0" w:space="0" w:color="auto"/>
        <w:right w:val="none" w:sz="0" w:space="0" w:color="auto"/>
      </w:divBdr>
    </w:div>
    <w:div w:id="176114203">
      <w:bodyDiv w:val="1"/>
      <w:marLeft w:val="0"/>
      <w:marRight w:val="0"/>
      <w:marTop w:val="0"/>
      <w:marBottom w:val="0"/>
      <w:divBdr>
        <w:top w:val="none" w:sz="0" w:space="0" w:color="auto"/>
        <w:left w:val="none" w:sz="0" w:space="0" w:color="auto"/>
        <w:bottom w:val="none" w:sz="0" w:space="0" w:color="auto"/>
        <w:right w:val="none" w:sz="0" w:space="0" w:color="auto"/>
      </w:divBdr>
    </w:div>
    <w:div w:id="176232563">
      <w:bodyDiv w:val="1"/>
      <w:marLeft w:val="0"/>
      <w:marRight w:val="0"/>
      <w:marTop w:val="0"/>
      <w:marBottom w:val="0"/>
      <w:divBdr>
        <w:top w:val="none" w:sz="0" w:space="0" w:color="auto"/>
        <w:left w:val="none" w:sz="0" w:space="0" w:color="auto"/>
        <w:bottom w:val="none" w:sz="0" w:space="0" w:color="auto"/>
        <w:right w:val="none" w:sz="0" w:space="0" w:color="auto"/>
      </w:divBdr>
    </w:div>
    <w:div w:id="177014362">
      <w:bodyDiv w:val="1"/>
      <w:marLeft w:val="0"/>
      <w:marRight w:val="0"/>
      <w:marTop w:val="0"/>
      <w:marBottom w:val="0"/>
      <w:divBdr>
        <w:top w:val="none" w:sz="0" w:space="0" w:color="auto"/>
        <w:left w:val="none" w:sz="0" w:space="0" w:color="auto"/>
        <w:bottom w:val="none" w:sz="0" w:space="0" w:color="auto"/>
        <w:right w:val="none" w:sz="0" w:space="0" w:color="auto"/>
      </w:divBdr>
    </w:div>
    <w:div w:id="183179206">
      <w:bodyDiv w:val="1"/>
      <w:marLeft w:val="0"/>
      <w:marRight w:val="0"/>
      <w:marTop w:val="0"/>
      <w:marBottom w:val="0"/>
      <w:divBdr>
        <w:top w:val="none" w:sz="0" w:space="0" w:color="auto"/>
        <w:left w:val="none" w:sz="0" w:space="0" w:color="auto"/>
        <w:bottom w:val="none" w:sz="0" w:space="0" w:color="auto"/>
        <w:right w:val="none" w:sz="0" w:space="0" w:color="auto"/>
      </w:divBdr>
    </w:div>
    <w:div w:id="183521155">
      <w:bodyDiv w:val="1"/>
      <w:marLeft w:val="0"/>
      <w:marRight w:val="0"/>
      <w:marTop w:val="0"/>
      <w:marBottom w:val="0"/>
      <w:divBdr>
        <w:top w:val="none" w:sz="0" w:space="0" w:color="auto"/>
        <w:left w:val="none" w:sz="0" w:space="0" w:color="auto"/>
        <w:bottom w:val="none" w:sz="0" w:space="0" w:color="auto"/>
        <w:right w:val="none" w:sz="0" w:space="0" w:color="auto"/>
      </w:divBdr>
    </w:div>
    <w:div w:id="185826727">
      <w:bodyDiv w:val="1"/>
      <w:marLeft w:val="0"/>
      <w:marRight w:val="0"/>
      <w:marTop w:val="0"/>
      <w:marBottom w:val="0"/>
      <w:divBdr>
        <w:top w:val="none" w:sz="0" w:space="0" w:color="auto"/>
        <w:left w:val="none" w:sz="0" w:space="0" w:color="auto"/>
        <w:bottom w:val="none" w:sz="0" w:space="0" w:color="auto"/>
        <w:right w:val="none" w:sz="0" w:space="0" w:color="auto"/>
      </w:divBdr>
    </w:div>
    <w:div w:id="190536782">
      <w:bodyDiv w:val="1"/>
      <w:marLeft w:val="0"/>
      <w:marRight w:val="0"/>
      <w:marTop w:val="0"/>
      <w:marBottom w:val="0"/>
      <w:divBdr>
        <w:top w:val="none" w:sz="0" w:space="0" w:color="auto"/>
        <w:left w:val="none" w:sz="0" w:space="0" w:color="auto"/>
        <w:bottom w:val="none" w:sz="0" w:space="0" w:color="auto"/>
        <w:right w:val="none" w:sz="0" w:space="0" w:color="auto"/>
      </w:divBdr>
    </w:div>
    <w:div w:id="192965929">
      <w:bodyDiv w:val="1"/>
      <w:marLeft w:val="0"/>
      <w:marRight w:val="0"/>
      <w:marTop w:val="0"/>
      <w:marBottom w:val="0"/>
      <w:divBdr>
        <w:top w:val="none" w:sz="0" w:space="0" w:color="auto"/>
        <w:left w:val="none" w:sz="0" w:space="0" w:color="auto"/>
        <w:bottom w:val="none" w:sz="0" w:space="0" w:color="auto"/>
        <w:right w:val="none" w:sz="0" w:space="0" w:color="auto"/>
      </w:divBdr>
    </w:div>
    <w:div w:id="194586683">
      <w:bodyDiv w:val="1"/>
      <w:marLeft w:val="0"/>
      <w:marRight w:val="0"/>
      <w:marTop w:val="0"/>
      <w:marBottom w:val="0"/>
      <w:divBdr>
        <w:top w:val="none" w:sz="0" w:space="0" w:color="auto"/>
        <w:left w:val="none" w:sz="0" w:space="0" w:color="auto"/>
        <w:bottom w:val="none" w:sz="0" w:space="0" w:color="auto"/>
        <w:right w:val="none" w:sz="0" w:space="0" w:color="auto"/>
      </w:divBdr>
    </w:div>
    <w:div w:id="195237849">
      <w:bodyDiv w:val="1"/>
      <w:marLeft w:val="0"/>
      <w:marRight w:val="0"/>
      <w:marTop w:val="0"/>
      <w:marBottom w:val="0"/>
      <w:divBdr>
        <w:top w:val="none" w:sz="0" w:space="0" w:color="auto"/>
        <w:left w:val="none" w:sz="0" w:space="0" w:color="auto"/>
        <w:bottom w:val="none" w:sz="0" w:space="0" w:color="auto"/>
        <w:right w:val="none" w:sz="0" w:space="0" w:color="auto"/>
      </w:divBdr>
    </w:div>
    <w:div w:id="195310813">
      <w:bodyDiv w:val="1"/>
      <w:marLeft w:val="0"/>
      <w:marRight w:val="0"/>
      <w:marTop w:val="0"/>
      <w:marBottom w:val="0"/>
      <w:divBdr>
        <w:top w:val="none" w:sz="0" w:space="0" w:color="auto"/>
        <w:left w:val="none" w:sz="0" w:space="0" w:color="auto"/>
        <w:bottom w:val="none" w:sz="0" w:space="0" w:color="auto"/>
        <w:right w:val="none" w:sz="0" w:space="0" w:color="auto"/>
      </w:divBdr>
    </w:div>
    <w:div w:id="197668942">
      <w:bodyDiv w:val="1"/>
      <w:marLeft w:val="0"/>
      <w:marRight w:val="0"/>
      <w:marTop w:val="0"/>
      <w:marBottom w:val="0"/>
      <w:divBdr>
        <w:top w:val="none" w:sz="0" w:space="0" w:color="auto"/>
        <w:left w:val="none" w:sz="0" w:space="0" w:color="auto"/>
        <w:bottom w:val="none" w:sz="0" w:space="0" w:color="auto"/>
        <w:right w:val="none" w:sz="0" w:space="0" w:color="auto"/>
      </w:divBdr>
    </w:div>
    <w:div w:id="198664120">
      <w:bodyDiv w:val="1"/>
      <w:marLeft w:val="0"/>
      <w:marRight w:val="0"/>
      <w:marTop w:val="0"/>
      <w:marBottom w:val="0"/>
      <w:divBdr>
        <w:top w:val="none" w:sz="0" w:space="0" w:color="auto"/>
        <w:left w:val="none" w:sz="0" w:space="0" w:color="auto"/>
        <w:bottom w:val="none" w:sz="0" w:space="0" w:color="auto"/>
        <w:right w:val="none" w:sz="0" w:space="0" w:color="auto"/>
      </w:divBdr>
    </w:div>
    <w:div w:id="202062222">
      <w:bodyDiv w:val="1"/>
      <w:marLeft w:val="0"/>
      <w:marRight w:val="0"/>
      <w:marTop w:val="0"/>
      <w:marBottom w:val="0"/>
      <w:divBdr>
        <w:top w:val="none" w:sz="0" w:space="0" w:color="auto"/>
        <w:left w:val="none" w:sz="0" w:space="0" w:color="auto"/>
        <w:bottom w:val="none" w:sz="0" w:space="0" w:color="auto"/>
        <w:right w:val="none" w:sz="0" w:space="0" w:color="auto"/>
      </w:divBdr>
    </w:div>
    <w:div w:id="204222093">
      <w:bodyDiv w:val="1"/>
      <w:marLeft w:val="0"/>
      <w:marRight w:val="0"/>
      <w:marTop w:val="0"/>
      <w:marBottom w:val="0"/>
      <w:divBdr>
        <w:top w:val="none" w:sz="0" w:space="0" w:color="auto"/>
        <w:left w:val="none" w:sz="0" w:space="0" w:color="auto"/>
        <w:bottom w:val="none" w:sz="0" w:space="0" w:color="auto"/>
        <w:right w:val="none" w:sz="0" w:space="0" w:color="auto"/>
      </w:divBdr>
    </w:div>
    <w:div w:id="207038934">
      <w:bodyDiv w:val="1"/>
      <w:marLeft w:val="0"/>
      <w:marRight w:val="0"/>
      <w:marTop w:val="0"/>
      <w:marBottom w:val="0"/>
      <w:divBdr>
        <w:top w:val="none" w:sz="0" w:space="0" w:color="auto"/>
        <w:left w:val="none" w:sz="0" w:space="0" w:color="auto"/>
        <w:bottom w:val="none" w:sz="0" w:space="0" w:color="auto"/>
        <w:right w:val="none" w:sz="0" w:space="0" w:color="auto"/>
      </w:divBdr>
    </w:div>
    <w:div w:id="208229396">
      <w:bodyDiv w:val="1"/>
      <w:marLeft w:val="0"/>
      <w:marRight w:val="0"/>
      <w:marTop w:val="0"/>
      <w:marBottom w:val="0"/>
      <w:divBdr>
        <w:top w:val="none" w:sz="0" w:space="0" w:color="auto"/>
        <w:left w:val="none" w:sz="0" w:space="0" w:color="auto"/>
        <w:bottom w:val="none" w:sz="0" w:space="0" w:color="auto"/>
        <w:right w:val="none" w:sz="0" w:space="0" w:color="auto"/>
      </w:divBdr>
    </w:div>
    <w:div w:id="211961467">
      <w:bodyDiv w:val="1"/>
      <w:marLeft w:val="0"/>
      <w:marRight w:val="0"/>
      <w:marTop w:val="0"/>
      <w:marBottom w:val="0"/>
      <w:divBdr>
        <w:top w:val="none" w:sz="0" w:space="0" w:color="auto"/>
        <w:left w:val="none" w:sz="0" w:space="0" w:color="auto"/>
        <w:bottom w:val="none" w:sz="0" w:space="0" w:color="auto"/>
        <w:right w:val="none" w:sz="0" w:space="0" w:color="auto"/>
      </w:divBdr>
    </w:div>
    <w:div w:id="212624244">
      <w:bodyDiv w:val="1"/>
      <w:marLeft w:val="0"/>
      <w:marRight w:val="0"/>
      <w:marTop w:val="0"/>
      <w:marBottom w:val="0"/>
      <w:divBdr>
        <w:top w:val="none" w:sz="0" w:space="0" w:color="auto"/>
        <w:left w:val="none" w:sz="0" w:space="0" w:color="auto"/>
        <w:bottom w:val="none" w:sz="0" w:space="0" w:color="auto"/>
        <w:right w:val="none" w:sz="0" w:space="0" w:color="auto"/>
      </w:divBdr>
    </w:div>
    <w:div w:id="213733270">
      <w:bodyDiv w:val="1"/>
      <w:marLeft w:val="0"/>
      <w:marRight w:val="0"/>
      <w:marTop w:val="0"/>
      <w:marBottom w:val="0"/>
      <w:divBdr>
        <w:top w:val="none" w:sz="0" w:space="0" w:color="auto"/>
        <w:left w:val="none" w:sz="0" w:space="0" w:color="auto"/>
        <w:bottom w:val="none" w:sz="0" w:space="0" w:color="auto"/>
        <w:right w:val="none" w:sz="0" w:space="0" w:color="auto"/>
      </w:divBdr>
    </w:div>
    <w:div w:id="218328762">
      <w:bodyDiv w:val="1"/>
      <w:marLeft w:val="0"/>
      <w:marRight w:val="0"/>
      <w:marTop w:val="0"/>
      <w:marBottom w:val="0"/>
      <w:divBdr>
        <w:top w:val="none" w:sz="0" w:space="0" w:color="auto"/>
        <w:left w:val="none" w:sz="0" w:space="0" w:color="auto"/>
        <w:bottom w:val="none" w:sz="0" w:space="0" w:color="auto"/>
        <w:right w:val="none" w:sz="0" w:space="0" w:color="auto"/>
      </w:divBdr>
    </w:div>
    <w:div w:id="223029246">
      <w:bodyDiv w:val="1"/>
      <w:marLeft w:val="0"/>
      <w:marRight w:val="0"/>
      <w:marTop w:val="0"/>
      <w:marBottom w:val="0"/>
      <w:divBdr>
        <w:top w:val="none" w:sz="0" w:space="0" w:color="auto"/>
        <w:left w:val="none" w:sz="0" w:space="0" w:color="auto"/>
        <w:bottom w:val="none" w:sz="0" w:space="0" w:color="auto"/>
        <w:right w:val="none" w:sz="0" w:space="0" w:color="auto"/>
      </w:divBdr>
    </w:div>
    <w:div w:id="224412554">
      <w:bodyDiv w:val="1"/>
      <w:marLeft w:val="0"/>
      <w:marRight w:val="0"/>
      <w:marTop w:val="0"/>
      <w:marBottom w:val="0"/>
      <w:divBdr>
        <w:top w:val="none" w:sz="0" w:space="0" w:color="auto"/>
        <w:left w:val="none" w:sz="0" w:space="0" w:color="auto"/>
        <w:bottom w:val="none" w:sz="0" w:space="0" w:color="auto"/>
        <w:right w:val="none" w:sz="0" w:space="0" w:color="auto"/>
      </w:divBdr>
    </w:div>
    <w:div w:id="227039209">
      <w:bodyDiv w:val="1"/>
      <w:marLeft w:val="0"/>
      <w:marRight w:val="0"/>
      <w:marTop w:val="0"/>
      <w:marBottom w:val="0"/>
      <w:divBdr>
        <w:top w:val="none" w:sz="0" w:space="0" w:color="auto"/>
        <w:left w:val="none" w:sz="0" w:space="0" w:color="auto"/>
        <w:bottom w:val="none" w:sz="0" w:space="0" w:color="auto"/>
        <w:right w:val="none" w:sz="0" w:space="0" w:color="auto"/>
      </w:divBdr>
    </w:div>
    <w:div w:id="227350960">
      <w:bodyDiv w:val="1"/>
      <w:marLeft w:val="0"/>
      <w:marRight w:val="0"/>
      <w:marTop w:val="0"/>
      <w:marBottom w:val="0"/>
      <w:divBdr>
        <w:top w:val="none" w:sz="0" w:space="0" w:color="auto"/>
        <w:left w:val="none" w:sz="0" w:space="0" w:color="auto"/>
        <w:bottom w:val="none" w:sz="0" w:space="0" w:color="auto"/>
        <w:right w:val="none" w:sz="0" w:space="0" w:color="auto"/>
      </w:divBdr>
    </w:div>
    <w:div w:id="228463570">
      <w:bodyDiv w:val="1"/>
      <w:marLeft w:val="0"/>
      <w:marRight w:val="0"/>
      <w:marTop w:val="0"/>
      <w:marBottom w:val="0"/>
      <w:divBdr>
        <w:top w:val="none" w:sz="0" w:space="0" w:color="auto"/>
        <w:left w:val="none" w:sz="0" w:space="0" w:color="auto"/>
        <w:bottom w:val="none" w:sz="0" w:space="0" w:color="auto"/>
        <w:right w:val="none" w:sz="0" w:space="0" w:color="auto"/>
      </w:divBdr>
    </w:div>
    <w:div w:id="228928446">
      <w:bodyDiv w:val="1"/>
      <w:marLeft w:val="0"/>
      <w:marRight w:val="0"/>
      <w:marTop w:val="0"/>
      <w:marBottom w:val="0"/>
      <w:divBdr>
        <w:top w:val="none" w:sz="0" w:space="0" w:color="auto"/>
        <w:left w:val="none" w:sz="0" w:space="0" w:color="auto"/>
        <w:bottom w:val="none" w:sz="0" w:space="0" w:color="auto"/>
        <w:right w:val="none" w:sz="0" w:space="0" w:color="auto"/>
      </w:divBdr>
    </w:div>
    <w:div w:id="230774406">
      <w:bodyDiv w:val="1"/>
      <w:marLeft w:val="0"/>
      <w:marRight w:val="0"/>
      <w:marTop w:val="0"/>
      <w:marBottom w:val="0"/>
      <w:divBdr>
        <w:top w:val="none" w:sz="0" w:space="0" w:color="auto"/>
        <w:left w:val="none" w:sz="0" w:space="0" w:color="auto"/>
        <w:bottom w:val="none" w:sz="0" w:space="0" w:color="auto"/>
        <w:right w:val="none" w:sz="0" w:space="0" w:color="auto"/>
      </w:divBdr>
    </w:div>
    <w:div w:id="231544816">
      <w:bodyDiv w:val="1"/>
      <w:marLeft w:val="0"/>
      <w:marRight w:val="0"/>
      <w:marTop w:val="0"/>
      <w:marBottom w:val="0"/>
      <w:divBdr>
        <w:top w:val="none" w:sz="0" w:space="0" w:color="auto"/>
        <w:left w:val="none" w:sz="0" w:space="0" w:color="auto"/>
        <w:bottom w:val="none" w:sz="0" w:space="0" w:color="auto"/>
        <w:right w:val="none" w:sz="0" w:space="0" w:color="auto"/>
      </w:divBdr>
    </w:div>
    <w:div w:id="232857560">
      <w:bodyDiv w:val="1"/>
      <w:marLeft w:val="0"/>
      <w:marRight w:val="0"/>
      <w:marTop w:val="0"/>
      <w:marBottom w:val="0"/>
      <w:divBdr>
        <w:top w:val="none" w:sz="0" w:space="0" w:color="auto"/>
        <w:left w:val="none" w:sz="0" w:space="0" w:color="auto"/>
        <w:bottom w:val="none" w:sz="0" w:space="0" w:color="auto"/>
        <w:right w:val="none" w:sz="0" w:space="0" w:color="auto"/>
      </w:divBdr>
    </w:div>
    <w:div w:id="233052413">
      <w:bodyDiv w:val="1"/>
      <w:marLeft w:val="0"/>
      <w:marRight w:val="0"/>
      <w:marTop w:val="0"/>
      <w:marBottom w:val="0"/>
      <w:divBdr>
        <w:top w:val="none" w:sz="0" w:space="0" w:color="auto"/>
        <w:left w:val="none" w:sz="0" w:space="0" w:color="auto"/>
        <w:bottom w:val="none" w:sz="0" w:space="0" w:color="auto"/>
        <w:right w:val="none" w:sz="0" w:space="0" w:color="auto"/>
      </w:divBdr>
    </w:div>
    <w:div w:id="235627464">
      <w:bodyDiv w:val="1"/>
      <w:marLeft w:val="0"/>
      <w:marRight w:val="0"/>
      <w:marTop w:val="0"/>
      <w:marBottom w:val="0"/>
      <w:divBdr>
        <w:top w:val="none" w:sz="0" w:space="0" w:color="auto"/>
        <w:left w:val="none" w:sz="0" w:space="0" w:color="auto"/>
        <w:bottom w:val="none" w:sz="0" w:space="0" w:color="auto"/>
        <w:right w:val="none" w:sz="0" w:space="0" w:color="auto"/>
      </w:divBdr>
    </w:div>
    <w:div w:id="238253890">
      <w:bodyDiv w:val="1"/>
      <w:marLeft w:val="0"/>
      <w:marRight w:val="0"/>
      <w:marTop w:val="0"/>
      <w:marBottom w:val="0"/>
      <w:divBdr>
        <w:top w:val="none" w:sz="0" w:space="0" w:color="auto"/>
        <w:left w:val="none" w:sz="0" w:space="0" w:color="auto"/>
        <w:bottom w:val="none" w:sz="0" w:space="0" w:color="auto"/>
        <w:right w:val="none" w:sz="0" w:space="0" w:color="auto"/>
      </w:divBdr>
    </w:div>
    <w:div w:id="239027824">
      <w:bodyDiv w:val="1"/>
      <w:marLeft w:val="0"/>
      <w:marRight w:val="0"/>
      <w:marTop w:val="0"/>
      <w:marBottom w:val="0"/>
      <w:divBdr>
        <w:top w:val="none" w:sz="0" w:space="0" w:color="auto"/>
        <w:left w:val="none" w:sz="0" w:space="0" w:color="auto"/>
        <w:bottom w:val="none" w:sz="0" w:space="0" w:color="auto"/>
        <w:right w:val="none" w:sz="0" w:space="0" w:color="auto"/>
      </w:divBdr>
    </w:div>
    <w:div w:id="239602226">
      <w:bodyDiv w:val="1"/>
      <w:marLeft w:val="0"/>
      <w:marRight w:val="0"/>
      <w:marTop w:val="0"/>
      <w:marBottom w:val="0"/>
      <w:divBdr>
        <w:top w:val="none" w:sz="0" w:space="0" w:color="auto"/>
        <w:left w:val="none" w:sz="0" w:space="0" w:color="auto"/>
        <w:bottom w:val="none" w:sz="0" w:space="0" w:color="auto"/>
        <w:right w:val="none" w:sz="0" w:space="0" w:color="auto"/>
      </w:divBdr>
    </w:div>
    <w:div w:id="240987646">
      <w:bodyDiv w:val="1"/>
      <w:marLeft w:val="0"/>
      <w:marRight w:val="0"/>
      <w:marTop w:val="0"/>
      <w:marBottom w:val="0"/>
      <w:divBdr>
        <w:top w:val="none" w:sz="0" w:space="0" w:color="auto"/>
        <w:left w:val="none" w:sz="0" w:space="0" w:color="auto"/>
        <w:bottom w:val="none" w:sz="0" w:space="0" w:color="auto"/>
        <w:right w:val="none" w:sz="0" w:space="0" w:color="auto"/>
      </w:divBdr>
    </w:div>
    <w:div w:id="242958474">
      <w:bodyDiv w:val="1"/>
      <w:marLeft w:val="0"/>
      <w:marRight w:val="0"/>
      <w:marTop w:val="0"/>
      <w:marBottom w:val="0"/>
      <w:divBdr>
        <w:top w:val="none" w:sz="0" w:space="0" w:color="auto"/>
        <w:left w:val="none" w:sz="0" w:space="0" w:color="auto"/>
        <w:bottom w:val="none" w:sz="0" w:space="0" w:color="auto"/>
        <w:right w:val="none" w:sz="0" w:space="0" w:color="auto"/>
      </w:divBdr>
    </w:div>
    <w:div w:id="243610024">
      <w:bodyDiv w:val="1"/>
      <w:marLeft w:val="0"/>
      <w:marRight w:val="0"/>
      <w:marTop w:val="0"/>
      <w:marBottom w:val="0"/>
      <w:divBdr>
        <w:top w:val="none" w:sz="0" w:space="0" w:color="auto"/>
        <w:left w:val="none" w:sz="0" w:space="0" w:color="auto"/>
        <w:bottom w:val="none" w:sz="0" w:space="0" w:color="auto"/>
        <w:right w:val="none" w:sz="0" w:space="0" w:color="auto"/>
      </w:divBdr>
    </w:div>
    <w:div w:id="244998756">
      <w:bodyDiv w:val="1"/>
      <w:marLeft w:val="0"/>
      <w:marRight w:val="0"/>
      <w:marTop w:val="0"/>
      <w:marBottom w:val="0"/>
      <w:divBdr>
        <w:top w:val="none" w:sz="0" w:space="0" w:color="auto"/>
        <w:left w:val="none" w:sz="0" w:space="0" w:color="auto"/>
        <w:bottom w:val="none" w:sz="0" w:space="0" w:color="auto"/>
        <w:right w:val="none" w:sz="0" w:space="0" w:color="auto"/>
      </w:divBdr>
    </w:div>
    <w:div w:id="249045322">
      <w:bodyDiv w:val="1"/>
      <w:marLeft w:val="0"/>
      <w:marRight w:val="0"/>
      <w:marTop w:val="0"/>
      <w:marBottom w:val="0"/>
      <w:divBdr>
        <w:top w:val="none" w:sz="0" w:space="0" w:color="auto"/>
        <w:left w:val="none" w:sz="0" w:space="0" w:color="auto"/>
        <w:bottom w:val="none" w:sz="0" w:space="0" w:color="auto"/>
        <w:right w:val="none" w:sz="0" w:space="0" w:color="auto"/>
      </w:divBdr>
    </w:div>
    <w:div w:id="251278398">
      <w:bodyDiv w:val="1"/>
      <w:marLeft w:val="0"/>
      <w:marRight w:val="0"/>
      <w:marTop w:val="0"/>
      <w:marBottom w:val="0"/>
      <w:divBdr>
        <w:top w:val="none" w:sz="0" w:space="0" w:color="auto"/>
        <w:left w:val="none" w:sz="0" w:space="0" w:color="auto"/>
        <w:bottom w:val="none" w:sz="0" w:space="0" w:color="auto"/>
        <w:right w:val="none" w:sz="0" w:space="0" w:color="auto"/>
      </w:divBdr>
    </w:div>
    <w:div w:id="253246599">
      <w:bodyDiv w:val="1"/>
      <w:marLeft w:val="0"/>
      <w:marRight w:val="0"/>
      <w:marTop w:val="0"/>
      <w:marBottom w:val="0"/>
      <w:divBdr>
        <w:top w:val="none" w:sz="0" w:space="0" w:color="auto"/>
        <w:left w:val="none" w:sz="0" w:space="0" w:color="auto"/>
        <w:bottom w:val="none" w:sz="0" w:space="0" w:color="auto"/>
        <w:right w:val="none" w:sz="0" w:space="0" w:color="auto"/>
      </w:divBdr>
    </w:div>
    <w:div w:id="255939082">
      <w:bodyDiv w:val="1"/>
      <w:marLeft w:val="0"/>
      <w:marRight w:val="0"/>
      <w:marTop w:val="0"/>
      <w:marBottom w:val="0"/>
      <w:divBdr>
        <w:top w:val="none" w:sz="0" w:space="0" w:color="auto"/>
        <w:left w:val="none" w:sz="0" w:space="0" w:color="auto"/>
        <w:bottom w:val="none" w:sz="0" w:space="0" w:color="auto"/>
        <w:right w:val="none" w:sz="0" w:space="0" w:color="auto"/>
      </w:divBdr>
    </w:div>
    <w:div w:id="256986030">
      <w:bodyDiv w:val="1"/>
      <w:marLeft w:val="0"/>
      <w:marRight w:val="0"/>
      <w:marTop w:val="0"/>
      <w:marBottom w:val="0"/>
      <w:divBdr>
        <w:top w:val="none" w:sz="0" w:space="0" w:color="auto"/>
        <w:left w:val="none" w:sz="0" w:space="0" w:color="auto"/>
        <w:bottom w:val="none" w:sz="0" w:space="0" w:color="auto"/>
        <w:right w:val="none" w:sz="0" w:space="0" w:color="auto"/>
      </w:divBdr>
    </w:div>
    <w:div w:id="260799033">
      <w:bodyDiv w:val="1"/>
      <w:marLeft w:val="0"/>
      <w:marRight w:val="0"/>
      <w:marTop w:val="0"/>
      <w:marBottom w:val="0"/>
      <w:divBdr>
        <w:top w:val="none" w:sz="0" w:space="0" w:color="auto"/>
        <w:left w:val="none" w:sz="0" w:space="0" w:color="auto"/>
        <w:bottom w:val="none" w:sz="0" w:space="0" w:color="auto"/>
        <w:right w:val="none" w:sz="0" w:space="0" w:color="auto"/>
      </w:divBdr>
    </w:div>
    <w:div w:id="261424767">
      <w:bodyDiv w:val="1"/>
      <w:marLeft w:val="0"/>
      <w:marRight w:val="0"/>
      <w:marTop w:val="0"/>
      <w:marBottom w:val="0"/>
      <w:divBdr>
        <w:top w:val="none" w:sz="0" w:space="0" w:color="auto"/>
        <w:left w:val="none" w:sz="0" w:space="0" w:color="auto"/>
        <w:bottom w:val="none" w:sz="0" w:space="0" w:color="auto"/>
        <w:right w:val="none" w:sz="0" w:space="0" w:color="auto"/>
      </w:divBdr>
    </w:div>
    <w:div w:id="262688599">
      <w:bodyDiv w:val="1"/>
      <w:marLeft w:val="0"/>
      <w:marRight w:val="0"/>
      <w:marTop w:val="0"/>
      <w:marBottom w:val="0"/>
      <w:divBdr>
        <w:top w:val="none" w:sz="0" w:space="0" w:color="auto"/>
        <w:left w:val="none" w:sz="0" w:space="0" w:color="auto"/>
        <w:bottom w:val="none" w:sz="0" w:space="0" w:color="auto"/>
        <w:right w:val="none" w:sz="0" w:space="0" w:color="auto"/>
      </w:divBdr>
    </w:div>
    <w:div w:id="263928245">
      <w:bodyDiv w:val="1"/>
      <w:marLeft w:val="0"/>
      <w:marRight w:val="0"/>
      <w:marTop w:val="0"/>
      <w:marBottom w:val="0"/>
      <w:divBdr>
        <w:top w:val="none" w:sz="0" w:space="0" w:color="auto"/>
        <w:left w:val="none" w:sz="0" w:space="0" w:color="auto"/>
        <w:bottom w:val="none" w:sz="0" w:space="0" w:color="auto"/>
        <w:right w:val="none" w:sz="0" w:space="0" w:color="auto"/>
      </w:divBdr>
    </w:div>
    <w:div w:id="266698001">
      <w:bodyDiv w:val="1"/>
      <w:marLeft w:val="0"/>
      <w:marRight w:val="0"/>
      <w:marTop w:val="0"/>
      <w:marBottom w:val="0"/>
      <w:divBdr>
        <w:top w:val="none" w:sz="0" w:space="0" w:color="auto"/>
        <w:left w:val="none" w:sz="0" w:space="0" w:color="auto"/>
        <w:bottom w:val="none" w:sz="0" w:space="0" w:color="auto"/>
        <w:right w:val="none" w:sz="0" w:space="0" w:color="auto"/>
      </w:divBdr>
    </w:div>
    <w:div w:id="267005521">
      <w:bodyDiv w:val="1"/>
      <w:marLeft w:val="0"/>
      <w:marRight w:val="0"/>
      <w:marTop w:val="0"/>
      <w:marBottom w:val="0"/>
      <w:divBdr>
        <w:top w:val="none" w:sz="0" w:space="0" w:color="auto"/>
        <w:left w:val="none" w:sz="0" w:space="0" w:color="auto"/>
        <w:bottom w:val="none" w:sz="0" w:space="0" w:color="auto"/>
        <w:right w:val="none" w:sz="0" w:space="0" w:color="auto"/>
      </w:divBdr>
    </w:div>
    <w:div w:id="268662850">
      <w:bodyDiv w:val="1"/>
      <w:marLeft w:val="0"/>
      <w:marRight w:val="0"/>
      <w:marTop w:val="0"/>
      <w:marBottom w:val="0"/>
      <w:divBdr>
        <w:top w:val="none" w:sz="0" w:space="0" w:color="auto"/>
        <w:left w:val="none" w:sz="0" w:space="0" w:color="auto"/>
        <w:bottom w:val="none" w:sz="0" w:space="0" w:color="auto"/>
        <w:right w:val="none" w:sz="0" w:space="0" w:color="auto"/>
      </w:divBdr>
    </w:div>
    <w:div w:id="270667794">
      <w:bodyDiv w:val="1"/>
      <w:marLeft w:val="0"/>
      <w:marRight w:val="0"/>
      <w:marTop w:val="0"/>
      <w:marBottom w:val="0"/>
      <w:divBdr>
        <w:top w:val="none" w:sz="0" w:space="0" w:color="auto"/>
        <w:left w:val="none" w:sz="0" w:space="0" w:color="auto"/>
        <w:bottom w:val="none" w:sz="0" w:space="0" w:color="auto"/>
        <w:right w:val="none" w:sz="0" w:space="0" w:color="auto"/>
      </w:divBdr>
    </w:div>
    <w:div w:id="271472732">
      <w:bodyDiv w:val="1"/>
      <w:marLeft w:val="0"/>
      <w:marRight w:val="0"/>
      <w:marTop w:val="0"/>
      <w:marBottom w:val="0"/>
      <w:divBdr>
        <w:top w:val="none" w:sz="0" w:space="0" w:color="auto"/>
        <w:left w:val="none" w:sz="0" w:space="0" w:color="auto"/>
        <w:bottom w:val="none" w:sz="0" w:space="0" w:color="auto"/>
        <w:right w:val="none" w:sz="0" w:space="0" w:color="auto"/>
      </w:divBdr>
    </w:div>
    <w:div w:id="271862895">
      <w:bodyDiv w:val="1"/>
      <w:marLeft w:val="0"/>
      <w:marRight w:val="0"/>
      <w:marTop w:val="0"/>
      <w:marBottom w:val="0"/>
      <w:divBdr>
        <w:top w:val="none" w:sz="0" w:space="0" w:color="auto"/>
        <w:left w:val="none" w:sz="0" w:space="0" w:color="auto"/>
        <w:bottom w:val="none" w:sz="0" w:space="0" w:color="auto"/>
        <w:right w:val="none" w:sz="0" w:space="0" w:color="auto"/>
      </w:divBdr>
    </w:div>
    <w:div w:id="272712224">
      <w:bodyDiv w:val="1"/>
      <w:marLeft w:val="0"/>
      <w:marRight w:val="0"/>
      <w:marTop w:val="0"/>
      <w:marBottom w:val="0"/>
      <w:divBdr>
        <w:top w:val="none" w:sz="0" w:space="0" w:color="auto"/>
        <w:left w:val="none" w:sz="0" w:space="0" w:color="auto"/>
        <w:bottom w:val="none" w:sz="0" w:space="0" w:color="auto"/>
        <w:right w:val="none" w:sz="0" w:space="0" w:color="auto"/>
      </w:divBdr>
    </w:div>
    <w:div w:id="273555950">
      <w:bodyDiv w:val="1"/>
      <w:marLeft w:val="0"/>
      <w:marRight w:val="0"/>
      <w:marTop w:val="0"/>
      <w:marBottom w:val="0"/>
      <w:divBdr>
        <w:top w:val="none" w:sz="0" w:space="0" w:color="auto"/>
        <w:left w:val="none" w:sz="0" w:space="0" w:color="auto"/>
        <w:bottom w:val="none" w:sz="0" w:space="0" w:color="auto"/>
        <w:right w:val="none" w:sz="0" w:space="0" w:color="auto"/>
      </w:divBdr>
    </w:div>
    <w:div w:id="273682270">
      <w:bodyDiv w:val="1"/>
      <w:marLeft w:val="0"/>
      <w:marRight w:val="0"/>
      <w:marTop w:val="0"/>
      <w:marBottom w:val="0"/>
      <w:divBdr>
        <w:top w:val="none" w:sz="0" w:space="0" w:color="auto"/>
        <w:left w:val="none" w:sz="0" w:space="0" w:color="auto"/>
        <w:bottom w:val="none" w:sz="0" w:space="0" w:color="auto"/>
        <w:right w:val="none" w:sz="0" w:space="0" w:color="auto"/>
      </w:divBdr>
    </w:div>
    <w:div w:id="276374729">
      <w:bodyDiv w:val="1"/>
      <w:marLeft w:val="0"/>
      <w:marRight w:val="0"/>
      <w:marTop w:val="0"/>
      <w:marBottom w:val="0"/>
      <w:divBdr>
        <w:top w:val="none" w:sz="0" w:space="0" w:color="auto"/>
        <w:left w:val="none" w:sz="0" w:space="0" w:color="auto"/>
        <w:bottom w:val="none" w:sz="0" w:space="0" w:color="auto"/>
        <w:right w:val="none" w:sz="0" w:space="0" w:color="auto"/>
      </w:divBdr>
    </w:div>
    <w:div w:id="278948800">
      <w:bodyDiv w:val="1"/>
      <w:marLeft w:val="0"/>
      <w:marRight w:val="0"/>
      <w:marTop w:val="0"/>
      <w:marBottom w:val="0"/>
      <w:divBdr>
        <w:top w:val="none" w:sz="0" w:space="0" w:color="auto"/>
        <w:left w:val="none" w:sz="0" w:space="0" w:color="auto"/>
        <w:bottom w:val="none" w:sz="0" w:space="0" w:color="auto"/>
        <w:right w:val="none" w:sz="0" w:space="0" w:color="auto"/>
      </w:divBdr>
    </w:div>
    <w:div w:id="280304573">
      <w:bodyDiv w:val="1"/>
      <w:marLeft w:val="0"/>
      <w:marRight w:val="0"/>
      <w:marTop w:val="0"/>
      <w:marBottom w:val="0"/>
      <w:divBdr>
        <w:top w:val="none" w:sz="0" w:space="0" w:color="auto"/>
        <w:left w:val="none" w:sz="0" w:space="0" w:color="auto"/>
        <w:bottom w:val="none" w:sz="0" w:space="0" w:color="auto"/>
        <w:right w:val="none" w:sz="0" w:space="0" w:color="auto"/>
      </w:divBdr>
    </w:div>
    <w:div w:id="281151039">
      <w:bodyDiv w:val="1"/>
      <w:marLeft w:val="0"/>
      <w:marRight w:val="0"/>
      <w:marTop w:val="0"/>
      <w:marBottom w:val="0"/>
      <w:divBdr>
        <w:top w:val="none" w:sz="0" w:space="0" w:color="auto"/>
        <w:left w:val="none" w:sz="0" w:space="0" w:color="auto"/>
        <w:bottom w:val="none" w:sz="0" w:space="0" w:color="auto"/>
        <w:right w:val="none" w:sz="0" w:space="0" w:color="auto"/>
      </w:divBdr>
    </w:div>
    <w:div w:id="281809870">
      <w:bodyDiv w:val="1"/>
      <w:marLeft w:val="0"/>
      <w:marRight w:val="0"/>
      <w:marTop w:val="0"/>
      <w:marBottom w:val="0"/>
      <w:divBdr>
        <w:top w:val="none" w:sz="0" w:space="0" w:color="auto"/>
        <w:left w:val="none" w:sz="0" w:space="0" w:color="auto"/>
        <w:bottom w:val="none" w:sz="0" w:space="0" w:color="auto"/>
        <w:right w:val="none" w:sz="0" w:space="0" w:color="auto"/>
      </w:divBdr>
    </w:div>
    <w:div w:id="282927100">
      <w:bodyDiv w:val="1"/>
      <w:marLeft w:val="0"/>
      <w:marRight w:val="0"/>
      <w:marTop w:val="0"/>
      <w:marBottom w:val="0"/>
      <w:divBdr>
        <w:top w:val="none" w:sz="0" w:space="0" w:color="auto"/>
        <w:left w:val="none" w:sz="0" w:space="0" w:color="auto"/>
        <w:bottom w:val="none" w:sz="0" w:space="0" w:color="auto"/>
        <w:right w:val="none" w:sz="0" w:space="0" w:color="auto"/>
      </w:divBdr>
    </w:div>
    <w:div w:id="289829108">
      <w:bodyDiv w:val="1"/>
      <w:marLeft w:val="0"/>
      <w:marRight w:val="0"/>
      <w:marTop w:val="0"/>
      <w:marBottom w:val="0"/>
      <w:divBdr>
        <w:top w:val="none" w:sz="0" w:space="0" w:color="auto"/>
        <w:left w:val="none" w:sz="0" w:space="0" w:color="auto"/>
        <w:bottom w:val="none" w:sz="0" w:space="0" w:color="auto"/>
        <w:right w:val="none" w:sz="0" w:space="0" w:color="auto"/>
      </w:divBdr>
    </w:div>
    <w:div w:id="290483692">
      <w:bodyDiv w:val="1"/>
      <w:marLeft w:val="0"/>
      <w:marRight w:val="0"/>
      <w:marTop w:val="0"/>
      <w:marBottom w:val="0"/>
      <w:divBdr>
        <w:top w:val="none" w:sz="0" w:space="0" w:color="auto"/>
        <w:left w:val="none" w:sz="0" w:space="0" w:color="auto"/>
        <w:bottom w:val="none" w:sz="0" w:space="0" w:color="auto"/>
        <w:right w:val="none" w:sz="0" w:space="0" w:color="auto"/>
      </w:divBdr>
    </w:div>
    <w:div w:id="292247418">
      <w:bodyDiv w:val="1"/>
      <w:marLeft w:val="0"/>
      <w:marRight w:val="0"/>
      <w:marTop w:val="0"/>
      <w:marBottom w:val="0"/>
      <w:divBdr>
        <w:top w:val="none" w:sz="0" w:space="0" w:color="auto"/>
        <w:left w:val="none" w:sz="0" w:space="0" w:color="auto"/>
        <w:bottom w:val="none" w:sz="0" w:space="0" w:color="auto"/>
        <w:right w:val="none" w:sz="0" w:space="0" w:color="auto"/>
      </w:divBdr>
    </w:div>
    <w:div w:id="295062453">
      <w:bodyDiv w:val="1"/>
      <w:marLeft w:val="0"/>
      <w:marRight w:val="0"/>
      <w:marTop w:val="0"/>
      <w:marBottom w:val="0"/>
      <w:divBdr>
        <w:top w:val="none" w:sz="0" w:space="0" w:color="auto"/>
        <w:left w:val="none" w:sz="0" w:space="0" w:color="auto"/>
        <w:bottom w:val="none" w:sz="0" w:space="0" w:color="auto"/>
        <w:right w:val="none" w:sz="0" w:space="0" w:color="auto"/>
      </w:divBdr>
    </w:div>
    <w:div w:id="295912275">
      <w:bodyDiv w:val="1"/>
      <w:marLeft w:val="0"/>
      <w:marRight w:val="0"/>
      <w:marTop w:val="0"/>
      <w:marBottom w:val="0"/>
      <w:divBdr>
        <w:top w:val="none" w:sz="0" w:space="0" w:color="auto"/>
        <w:left w:val="none" w:sz="0" w:space="0" w:color="auto"/>
        <w:bottom w:val="none" w:sz="0" w:space="0" w:color="auto"/>
        <w:right w:val="none" w:sz="0" w:space="0" w:color="auto"/>
      </w:divBdr>
    </w:div>
    <w:div w:id="303657928">
      <w:bodyDiv w:val="1"/>
      <w:marLeft w:val="0"/>
      <w:marRight w:val="0"/>
      <w:marTop w:val="0"/>
      <w:marBottom w:val="0"/>
      <w:divBdr>
        <w:top w:val="none" w:sz="0" w:space="0" w:color="auto"/>
        <w:left w:val="none" w:sz="0" w:space="0" w:color="auto"/>
        <w:bottom w:val="none" w:sz="0" w:space="0" w:color="auto"/>
        <w:right w:val="none" w:sz="0" w:space="0" w:color="auto"/>
      </w:divBdr>
    </w:div>
    <w:div w:id="306859233">
      <w:bodyDiv w:val="1"/>
      <w:marLeft w:val="0"/>
      <w:marRight w:val="0"/>
      <w:marTop w:val="0"/>
      <w:marBottom w:val="0"/>
      <w:divBdr>
        <w:top w:val="none" w:sz="0" w:space="0" w:color="auto"/>
        <w:left w:val="none" w:sz="0" w:space="0" w:color="auto"/>
        <w:bottom w:val="none" w:sz="0" w:space="0" w:color="auto"/>
        <w:right w:val="none" w:sz="0" w:space="0" w:color="auto"/>
      </w:divBdr>
    </w:div>
    <w:div w:id="307396232">
      <w:bodyDiv w:val="1"/>
      <w:marLeft w:val="0"/>
      <w:marRight w:val="0"/>
      <w:marTop w:val="0"/>
      <w:marBottom w:val="0"/>
      <w:divBdr>
        <w:top w:val="none" w:sz="0" w:space="0" w:color="auto"/>
        <w:left w:val="none" w:sz="0" w:space="0" w:color="auto"/>
        <w:bottom w:val="none" w:sz="0" w:space="0" w:color="auto"/>
        <w:right w:val="none" w:sz="0" w:space="0" w:color="auto"/>
      </w:divBdr>
    </w:div>
    <w:div w:id="308092825">
      <w:bodyDiv w:val="1"/>
      <w:marLeft w:val="0"/>
      <w:marRight w:val="0"/>
      <w:marTop w:val="0"/>
      <w:marBottom w:val="0"/>
      <w:divBdr>
        <w:top w:val="none" w:sz="0" w:space="0" w:color="auto"/>
        <w:left w:val="none" w:sz="0" w:space="0" w:color="auto"/>
        <w:bottom w:val="none" w:sz="0" w:space="0" w:color="auto"/>
        <w:right w:val="none" w:sz="0" w:space="0" w:color="auto"/>
      </w:divBdr>
    </w:div>
    <w:div w:id="314917020">
      <w:bodyDiv w:val="1"/>
      <w:marLeft w:val="0"/>
      <w:marRight w:val="0"/>
      <w:marTop w:val="0"/>
      <w:marBottom w:val="0"/>
      <w:divBdr>
        <w:top w:val="none" w:sz="0" w:space="0" w:color="auto"/>
        <w:left w:val="none" w:sz="0" w:space="0" w:color="auto"/>
        <w:bottom w:val="none" w:sz="0" w:space="0" w:color="auto"/>
        <w:right w:val="none" w:sz="0" w:space="0" w:color="auto"/>
      </w:divBdr>
    </w:div>
    <w:div w:id="314920807">
      <w:bodyDiv w:val="1"/>
      <w:marLeft w:val="0"/>
      <w:marRight w:val="0"/>
      <w:marTop w:val="0"/>
      <w:marBottom w:val="0"/>
      <w:divBdr>
        <w:top w:val="none" w:sz="0" w:space="0" w:color="auto"/>
        <w:left w:val="none" w:sz="0" w:space="0" w:color="auto"/>
        <w:bottom w:val="none" w:sz="0" w:space="0" w:color="auto"/>
        <w:right w:val="none" w:sz="0" w:space="0" w:color="auto"/>
      </w:divBdr>
    </w:div>
    <w:div w:id="315182366">
      <w:bodyDiv w:val="1"/>
      <w:marLeft w:val="0"/>
      <w:marRight w:val="0"/>
      <w:marTop w:val="0"/>
      <w:marBottom w:val="0"/>
      <w:divBdr>
        <w:top w:val="none" w:sz="0" w:space="0" w:color="auto"/>
        <w:left w:val="none" w:sz="0" w:space="0" w:color="auto"/>
        <w:bottom w:val="none" w:sz="0" w:space="0" w:color="auto"/>
        <w:right w:val="none" w:sz="0" w:space="0" w:color="auto"/>
      </w:divBdr>
    </w:div>
    <w:div w:id="315962615">
      <w:bodyDiv w:val="1"/>
      <w:marLeft w:val="0"/>
      <w:marRight w:val="0"/>
      <w:marTop w:val="0"/>
      <w:marBottom w:val="0"/>
      <w:divBdr>
        <w:top w:val="none" w:sz="0" w:space="0" w:color="auto"/>
        <w:left w:val="none" w:sz="0" w:space="0" w:color="auto"/>
        <w:bottom w:val="none" w:sz="0" w:space="0" w:color="auto"/>
        <w:right w:val="none" w:sz="0" w:space="0" w:color="auto"/>
      </w:divBdr>
    </w:div>
    <w:div w:id="317154598">
      <w:bodyDiv w:val="1"/>
      <w:marLeft w:val="0"/>
      <w:marRight w:val="0"/>
      <w:marTop w:val="0"/>
      <w:marBottom w:val="0"/>
      <w:divBdr>
        <w:top w:val="none" w:sz="0" w:space="0" w:color="auto"/>
        <w:left w:val="none" w:sz="0" w:space="0" w:color="auto"/>
        <w:bottom w:val="none" w:sz="0" w:space="0" w:color="auto"/>
        <w:right w:val="none" w:sz="0" w:space="0" w:color="auto"/>
      </w:divBdr>
    </w:div>
    <w:div w:id="317618681">
      <w:bodyDiv w:val="1"/>
      <w:marLeft w:val="0"/>
      <w:marRight w:val="0"/>
      <w:marTop w:val="0"/>
      <w:marBottom w:val="0"/>
      <w:divBdr>
        <w:top w:val="none" w:sz="0" w:space="0" w:color="auto"/>
        <w:left w:val="none" w:sz="0" w:space="0" w:color="auto"/>
        <w:bottom w:val="none" w:sz="0" w:space="0" w:color="auto"/>
        <w:right w:val="none" w:sz="0" w:space="0" w:color="auto"/>
      </w:divBdr>
    </w:div>
    <w:div w:id="319425852">
      <w:bodyDiv w:val="1"/>
      <w:marLeft w:val="0"/>
      <w:marRight w:val="0"/>
      <w:marTop w:val="0"/>
      <w:marBottom w:val="0"/>
      <w:divBdr>
        <w:top w:val="none" w:sz="0" w:space="0" w:color="auto"/>
        <w:left w:val="none" w:sz="0" w:space="0" w:color="auto"/>
        <w:bottom w:val="none" w:sz="0" w:space="0" w:color="auto"/>
        <w:right w:val="none" w:sz="0" w:space="0" w:color="auto"/>
      </w:divBdr>
    </w:div>
    <w:div w:id="320158077">
      <w:bodyDiv w:val="1"/>
      <w:marLeft w:val="0"/>
      <w:marRight w:val="0"/>
      <w:marTop w:val="0"/>
      <w:marBottom w:val="0"/>
      <w:divBdr>
        <w:top w:val="none" w:sz="0" w:space="0" w:color="auto"/>
        <w:left w:val="none" w:sz="0" w:space="0" w:color="auto"/>
        <w:bottom w:val="none" w:sz="0" w:space="0" w:color="auto"/>
        <w:right w:val="none" w:sz="0" w:space="0" w:color="auto"/>
      </w:divBdr>
    </w:div>
    <w:div w:id="321200378">
      <w:bodyDiv w:val="1"/>
      <w:marLeft w:val="0"/>
      <w:marRight w:val="0"/>
      <w:marTop w:val="0"/>
      <w:marBottom w:val="0"/>
      <w:divBdr>
        <w:top w:val="none" w:sz="0" w:space="0" w:color="auto"/>
        <w:left w:val="none" w:sz="0" w:space="0" w:color="auto"/>
        <w:bottom w:val="none" w:sz="0" w:space="0" w:color="auto"/>
        <w:right w:val="none" w:sz="0" w:space="0" w:color="auto"/>
      </w:divBdr>
    </w:div>
    <w:div w:id="324865512">
      <w:bodyDiv w:val="1"/>
      <w:marLeft w:val="0"/>
      <w:marRight w:val="0"/>
      <w:marTop w:val="0"/>
      <w:marBottom w:val="0"/>
      <w:divBdr>
        <w:top w:val="none" w:sz="0" w:space="0" w:color="auto"/>
        <w:left w:val="none" w:sz="0" w:space="0" w:color="auto"/>
        <w:bottom w:val="none" w:sz="0" w:space="0" w:color="auto"/>
        <w:right w:val="none" w:sz="0" w:space="0" w:color="auto"/>
      </w:divBdr>
    </w:div>
    <w:div w:id="326253490">
      <w:bodyDiv w:val="1"/>
      <w:marLeft w:val="0"/>
      <w:marRight w:val="0"/>
      <w:marTop w:val="0"/>
      <w:marBottom w:val="0"/>
      <w:divBdr>
        <w:top w:val="none" w:sz="0" w:space="0" w:color="auto"/>
        <w:left w:val="none" w:sz="0" w:space="0" w:color="auto"/>
        <w:bottom w:val="none" w:sz="0" w:space="0" w:color="auto"/>
        <w:right w:val="none" w:sz="0" w:space="0" w:color="auto"/>
      </w:divBdr>
    </w:div>
    <w:div w:id="326902110">
      <w:bodyDiv w:val="1"/>
      <w:marLeft w:val="0"/>
      <w:marRight w:val="0"/>
      <w:marTop w:val="0"/>
      <w:marBottom w:val="0"/>
      <w:divBdr>
        <w:top w:val="none" w:sz="0" w:space="0" w:color="auto"/>
        <w:left w:val="none" w:sz="0" w:space="0" w:color="auto"/>
        <w:bottom w:val="none" w:sz="0" w:space="0" w:color="auto"/>
        <w:right w:val="none" w:sz="0" w:space="0" w:color="auto"/>
      </w:divBdr>
    </w:div>
    <w:div w:id="327025852">
      <w:bodyDiv w:val="1"/>
      <w:marLeft w:val="0"/>
      <w:marRight w:val="0"/>
      <w:marTop w:val="0"/>
      <w:marBottom w:val="0"/>
      <w:divBdr>
        <w:top w:val="none" w:sz="0" w:space="0" w:color="auto"/>
        <w:left w:val="none" w:sz="0" w:space="0" w:color="auto"/>
        <w:bottom w:val="none" w:sz="0" w:space="0" w:color="auto"/>
        <w:right w:val="none" w:sz="0" w:space="0" w:color="auto"/>
      </w:divBdr>
    </w:div>
    <w:div w:id="327098305">
      <w:bodyDiv w:val="1"/>
      <w:marLeft w:val="0"/>
      <w:marRight w:val="0"/>
      <w:marTop w:val="0"/>
      <w:marBottom w:val="0"/>
      <w:divBdr>
        <w:top w:val="none" w:sz="0" w:space="0" w:color="auto"/>
        <w:left w:val="none" w:sz="0" w:space="0" w:color="auto"/>
        <w:bottom w:val="none" w:sz="0" w:space="0" w:color="auto"/>
        <w:right w:val="none" w:sz="0" w:space="0" w:color="auto"/>
      </w:divBdr>
    </w:div>
    <w:div w:id="327485681">
      <w:bodyDiv w:val="1"/>
      <w:marLeft w:val="0"/>
      <w:marRight w:val="0"/>
      <w:marTop w:val="0"/>
      <w:marBottom w:val="0"/>
      <w:divBdr>
        <w:top w:val="none" w:sz="0" w:space="0" w:color="auto"/>
        <w:left w:val="none" w:sz="0" w:space="0" w:color="auto"/>
        <w:bottom w:val="none" w:sz="0" w:space="0" w:color="auto"/>
        <w:right w:val="none" w:sz="0" w:space="0" w:color="auto"/>
      </w:divBdr>
    </w:div>
    <w:div w:id="328605615">
      <w:bodyDiv w:val="1"/>
      <w:marLeft w:val="0"/>
      <w:marRight w:val="0"/>
      <w:marTop w:val="0"/>
      <w:marBottom w:val="0"/>
      <w:divBdr>
        <w:top w:val="none" w:sz="0" w:space="0" w:color="auto"/>
        <w:left w:val="none" w:sz="0" w:space="0" w:color="auto"/>
        <w:bottom w:val="none" w:sz="0" w:space="0" w:color="auto"/>
        <w:right w:val="none" w:sz="0" w:space="0" w:color="auto"/>
      </w:divBdr>
    </w:div>
    <w:div w:id="332224702">
      <w:bodyDiv w:val="1"/>
      <w:marLeft w:val="0"/>
      <w:marRight w:val="0"/>
      <w:marTop w:val="0"/>
      <w:marBottom w:val="0"/>
      <w:divBdr>
        <w:top w:val="none" w:sz="0" w:space="0" w:color="auto"/>
        <w:left w:val="none" w:sz="0" w:space="0" w:color="auto"/>
        <w:bottom w:val="none" w:sz="0" w:space="0" w:color="auto"/>
        <w:right w:val="none" w:sz="0" w:space="0" w:color="auto"/>
      </w:divBdr>
    </w:div>
    <w:div w:id="332531626">
      <w:bodyDiv w:val="1"/>
      <w:marLeft w:val="0"/>
      <w:marRight w:val="0"/>
      <w:marTop w:val="0"/>
      <w:marBottom w:val="0"/>
      <w:divBdr>
        <w:top w:val="none" w:sz="0" w:space="0" w:color="auto"/>
        <w:left w:val="none" w:sz="0" w:space="0" w:color="auto"/>
        <w:bottom w:val="none" w:sz="0" w:space="0" w:color="auto"/>
        <w:right w:val="none" w:sz="0" w:space="0" w:color="auto"/>
      </w:divBdr>
    </w:div>
    <w:div w:id="335040103">
      <w:bodyDiv w:val="1"/>
      <w:marLeft w:val="0"/>
      <w:marRight w:val="0"/>
      <w:marTop w:val="0"/>
      <w:marBottom w:val="0"/>
      <w:divBdr>
        <w:top w:val="none" w:sz="0" w:space="0" w:color="auto"/>
        <w:left w:val="none" w:sz="0" w:space="0" w:color="auto"/>
        <w:bottom w:val="none" w:sz="0" w:space="0" w:color="auto"/>
        <w:right w:val="none" w:sz="0" w:space="0" w:color="auto"/>
      </w:divBdr>
    </w:div>
    <w:div w:id="338242851">
      <w:bodyDiv w:val="1"/>
      <w:marLeft w:val="0"/>
      <w:marRight w:val="0"/>
      <w:marTop w:val="0"/>
      <w:marBottom w:val="0"/>
      <w:divBdr>
        <w:top w:val="none" w:sz="0" w:space="0" w:color="auto"/>
        <w:left w:val="none" w:sz="0" w:space="0" w:color="auto"/>
        <w:bottom w:val="none" w:sz="0" w:space="0" w:color="auto"/>
        <w:right w:val="none" w:sz="0" w:space="0" w:color="auto"/>
      </w:divBdr>
    </w:div>
    <w:div w:id="339159824">
      <w:bodyDiv w:val="1"/>
      <w:marLeft w:val="0"/>
      <w:marRight w:val="0"/>
      <w:marTop w:val="0"/>
      <w:marBottom w:val="0"/>
      <w:divBdr>
        <w:top w:val="none" w:sz="0" w:space="0" w:color="auto"/>
        <w:left w:val="none" w:sz="0" w:space="0" w:color="auto"/>
        <w:bottom w:val="none" w:sz="0" w:space="0" w:color="auto"/>
        <w:right w:val="none" w:sz="0" w:space="0" w:color="auto"/>
      </w:divBdr>
    </w:div>
    <w:div w:id="340085913">
      <w:bodyDiv w:val="1"/>
      <w:marLeft w:val="0"/>
      <w:marRight w:val="0"/>
      <w:marTop w:val="0"/>
      <w:marBottom w:val="0"/>
      <w:divBdr>
        <w:top w:val="none" w:sz="0" w:space="0" w:color="auto"/>
        <w:left w:val="none" w:sz="0" w:space="0" w:color="auto"/>
        <w:bottom w:val="none" w:sz="0" w:space="0" w:color="auto"/>
        <w:right w:val="none" w:sz="0" w:space="0" w:color="auto"/>
      </w:divBdr>
    </w:div>
    <w:div w:id="341901993">
      <w:bodyDiv w:val="1"/>
      <w:marLeft w:val="0"/>
      <w:marRight w:val="0"/>
      <w:marTop w:val="0"/>
      <w:marBottom w:val="0"/>
      <w:divBdr>
        <w:top w:val="none" w:sz="0" w:space="0" w:color="auto"/>
        <w:left w:val="none" w:sz="0" w:space="0" w:color="auto"/>
        <w:bottom w:val="none" w:sz="0" w:space="0" w:color="auto"/>
        <w:right w:val="none" w:sz="0" w:space="0" w:color="auto"/>
      </w:divBdr>
    </w:div>
    <w:div w:id="351881830">
      <w:bodyDiv w:val="1"/>
      <w:marLeft w:val="0"/>
      <w:marRight w:val="0"/>
      <w:marTop w:val="0"/>
      <w:marBottom w:val="0"/>
      <w:divBdr>
        <w:top w:val="none" w:sz="0" w:space="0" w:color="auto"/>
        <w:left w:val="none" w:sz="0" w:space="0" w:color="auto"/>
        <w:bottom w:val="none" w:sz="0" w:space="0" w:color="auto"/>
        <w:right w:val="none" w:sz="0" w:space="0" w:color="auto"/>
      </w:divBdr>
    </w:div>
    <w:div w:id="358169432">
      <w:bodyDiv w:val="1"/>
      <w:marLeft w:val="0"/>
      <w:marRight w:val="0"/>
      <w:marTop w:val="0"/>
      <w:marBottom w:val="0"/>
      <w:divBdr>
        <w:top w:val="none" w:sz="0" w:space="0" w:color="auto"/>
        <w:left w:val="none" w:sz="0" w:space="0" w:color="auto"/>
        <w:bottom w:val="none" w:sz="0" w:space="0" w:color="auto"/>
        <w:right w:val="none" w:sz="0" w:space="0" w:color="auto"/>
      </w:divBdr>
    </w:div>
    <w:div w:id="359555534">
      <w:bodyDiv w:val="1"/>
      <w:marLeft w:val="0"/>
      <w:marRight w:val="0"/>
      <w:marTop w:val="0"/>
      <w:marBottom w:val="0"/>
      <w:divBdr>
        <w:top w:val="none" w:sz="0" w:space="0" w:color="auto"/>
        <w:left w:val="none" w:sz="0" w:space="0" w:color="auto"/>
        <w:bottom w:val="none" w:sz="0" w:space="0" w:color="auto"/>
        <w:right w:val="none" w:sz="0" w:space="0" w:color="auto"/>
      </w:divBdr>
    </w:div>
    <w:div w:id="360209372">
      <w:bodyDiv w:val="1"/>
      <w:marLeft w:val="0"/>
      <w:marRight w:val="0"/>
      <w:marTop w:val="0"/>
      <w:marBottom w:val="0"/>
      <w:divBdr>
        <w:top w:val="none" w:sz="0" w:space="0" w:color="auto"/>
        <w:left w:val="none" w:sz="0" w:space="0" w:color="auto"/>
        <w:bottom w:val="none" w:sz="0" w:space="0" w:color="auto"/>
        <w:right w:val="none" w:sz="0" w:space="0" w:color="auto"/>
      </w:divBdr>
    </w:div>
    <w:div w:id="363402959">
      <w:bodyDiv w:val="1"/>
      <w:marLeft w:val="0"/>
      <w:marRight w:val="0"/>
      <w:marTop w:val="0"/>
      <w:marBottom w:val="0"/>
      <w:divBdr>
        <w:top w:val="none" w:sz="0" w:space="0" w:color="auto"/>
        <w:left w:val="none" w:sz="0" w:space="0" w:color="auto"/>
        <w:bottom w:val="none" w:sz="0" w:space="0" w:color="auto"/>
        <w:right w:val="none" w:sz="0" w:space="0" w:color="auto"/>
      </w:divBdr>
    </w:div>
    <w:div w:id="363941969">
      <w:bodyDiv w:val="1"/>
      <w:marLeft w:val="0"/>
      <w:marRight w:val="0"/>
      <w:marTop w:val="0"/>
      <w:marBottom w:val="0"/>
      <w:divBdr>
        <w:top w:val="none" w:sz="0" w:space="0" w:color="auto"/>
        <w:left w:val="none" w:sz="0" w:space="0" w:color="auto"/>
        <w:bottom w:val="none" w:sz="0" w:space="0" w:color="auto"/>
        <w:right w:val="none" w:sz="0" w:space="0" w:color="auto"/>
      </w:divBdr>
    </w:div>
    <w:div w:id="364067719">
      <w:bodyDiv w:val="1"/>
      <w:marLeft w:val="0"/>
      <w:marRight w:val="0"/>
      <w:marTop w:val="0"/>
      <w:marBottom w:val="0"/>
      <w:divBdr>
        <w:top w:val="none" w:sz="0" w:space="0" w:color="auto"/>
        <w:left w:val="none" w:sz="0" w:space="0" w:color="auto"/>
        <w:bottom w:val="none" w:sz="0" w:space="0" w:color="auto"/>
        <w:right w:val="none" w:sz="0" w:space="0" w:color="auto"/>
      </w:divBdr>
    </w:div>
    <w:div w:id="365329183">
      <w:bodyDiv w:val="1"/>
      <w:marLeft w:val="0"/>
      <w:marRight w:val="0"/>
      <w:marTop w:val="0"/>
      <w:marBottom w:val="0"/>
      <w:divBdr>
        <w:top w:val="none" w:sz="0" w:space="0" w:color="auto"/>
        <w:left w:val="none" w:sz="0" w:space="0" w:color="auto"/>
        <w:bottom w:val="none" w:sz="0" w:space="0" w:color="auto"/>
        <w:right w:val="none" w:sz="0" w:space="0" w:color="auto"/>
      </w:divBdr>
    </w:div>
    <w:div w:id="366369947">
      <w:bodyDiv w:val="1"/>
      <w:marLeft w:val="0"/>
      <w:marRight w:val="0"/>
      <w:marTop w:val="0"/>
      <w:marBottom w:val="0"/>
      <w:divBdr>
        <w:top w:val="none" w:sz="0" w:space="0" w:color="auto"/>
        <w:left w:val="none" w:sz="0" w:space="0" w:color="auto"/>
        <w:bottom w:val="none" w:sz="0" w:space="0" w:color="auto"/>
        <w:right w:val="none" w:sz="0" w:space="0" w:color="auto"/>
      </w:divBdr>
    </w:div>
    <w:div w:id="367678638">
      <w:bodyDiv w:val="1"/>
      <w:marLeft w:val="0"/>
      <w:marRight w:val="0"/>
      <w:marTop w:val="0"/>
      <w:marBottom w:val="0"/>
      <w:divBdr>
        <w:top w:val="none" w:sz="0" w:space="0" w:color="auto"/>
        <w:left w:val="none" w:sz="0" w:space="0" w:color="auto"/>
        <w:bottom w:val="none" w:sz="0" w:space="0" w:color="auto"/>
        <w:right w:val="none" w:sz="0" w:space="0" w:color="auto"/>
      </w:divBdr>
    </w:div>
    <w:div w:id="370962360">
      <w:bodyDiv w:val="1"/>
      <w:marLeft w:val="0"/>
      <w:marRight w:val="0"/>
      <w:marTop w:val="0"/>
      <w:marBottom w:val="0"/>
      <w:divBdr>
        <w:top w:val="none" w:sz="0" w:space="0" w:color="auto"/>
        <w:left w:val="none" w:sz="0" w:space="0" w:color="auto"/>
        <w:bottom w:val="none" w:sz="0" w:space="0" w:color="auto"/>
        <w:right w:val="none" w:sz="0" w:space="0" w:color="auto"/>
      </w:divBdr>
    </w:div>
    <w:div w:id="383212836">
      <w:bodyDiv w:val="1"/>
      <w:marLeft w:val="0"/>
      <w:marRight w:val="0"/>
      <w:marTop w:val="0"/>
      <w:marBottom w:val="0"/>
      <w:divBdr>
        <w:top w:val="none" w:sz="0" w:space="0" w:color="auto"/>
        <w:left w:val="none" w:sz="0" w:space="0" w:color="auto"/>
        <w:bottom w:val="none" w:sz="0" w:space="0" w:color="auto"/>
        <w:right w:val="none" w:sz="0" w:space="0" w:color="auto"/>
      </w:divBdr>
    </w:div>
    <w:div w:id="385300504">
      <w:bodyDiv w:val="1"/>
      <w:marLeft w:val="0"/>
      <w:marRight w:val="0"/>
      <w:marTop w:val="0"/>
      <w:marBottom w:val="0"/>
      <w:divBdr>
        <w:top w:val="none" w:sz="0" w:space="0" w:color="auto"/>
        <w:left w:val="none" w:sz="0" w:space="0" w:color="auto"/>
        <w:bottom w:val="none" w:sz="0" w:space="0" w:color="auto"/>
        <w:right w:val="none" w:sz="0" w:space="0" w:color="auto"/>
      </w:divBdr>
    </w:div>
    <w:div w:id="385835883">
      <w:bodyDiv w:val="1"/>
      <w:marLeft w:val="0"/>
      <w:marRight w:val="0"/>
      <w:marTop w:val="0"/>
      <w:marBottom w:val="0"/>
      <w:divBdr>
        <w:top w:val="none" w:sz="0" w:space="0" w:color="auto"/>
        <w:left w:val="none" w:sz="0" w:space="0" w:color="auto"/>
        <w:bottom w:val="none" w:sz="0" w:space="0" w:color="auto"/>
        <w:right w:val="none" w:sz="0" w:space="0" w:color="auto"/>
      </w:divBdr>
    </w:div>
    <w:div w:id="385881805">
      <w:bodyDiv w:val="1"/>
      <w:marLeft w:val="0"/>
      <w:marRight w:val="0"/>
      <w:marTop w:val="0"/>
      <w:marBottom w:val="0"/>
      <w:divBdr>
        <w:top w:val="none" w:sz="0" w:space="0" w:color="auto"/>
        <w:left w:val="none" w:sz="0" w:space="0" w:color="auto"/>
        <w:bottom w:val="none" w:sz="0" w:space="0" w:color="auto"/>
        <w:right w:val="none" w:sz="0" w:space="0" w:color="auto"/>
      </w:divBdr>
    </w:div>
    <w:div w:id="386027968">
      <w:bodyDiv w:val="1"/>
      <w:marLeft w:val="0"/>
      <w:marRight w:val="0"/>
      <w:marTop w:val="0"/>
      <w:marBottom w:val="0"/>
      <w:divBdr>
        <w:top w:val="none" w:sz="0" w:space="0" w:color="auto"/>
        <w:left w:val="none" w:sz="0" w:space="0" w:color="auto"/>
        <w:bottom w:val="none" w:sz="0" w:space="0" w:color="auto"/>
        <w:right w:val="none" w:sz="0" w:space="0" w:color="auto"/>
      </w:divBdr>
    </w:div>
    <w:div w:id="387001302">
      <w:bodyDiv w:val="1"/>
      <w:marLeft w:val="0"/>
      <w:marRight w:val="0"/>
      <w:marTop w:val="0"/>
      <w:marBottom w:val="0"/>
      <w:divBdr>
        <w:top w:val="none" w:sz="0" w:space="0" w:color="auto"/>
        <w:left w:val="none" w:sz="0" w:space="0" w:color="auto"/>
        <w:bottom w:val="none" w:sz="0" w:space="0" w:color="auto"/>
        <w:right w:val="none" w:sz="0" w:space="0" w:color="auto"/>
      </w:divBdr>
    </w:div>
    <w:div w:id="388460455">
      <w:bodyDiv w:val="1"/>
      <w:marLeft w:val="0"/>
      <w:marRight w:val="0"/>
      <w:marTop w:val="0"/>
      <w:marBottom w:val="0"/>
      <w:divBdr>
        <w:top w:val="none" w:sz="0" w:space="0" w:color="auto"/>
        <w:left w:val="none" w:sz="0" w:space="0" w:color="auto"/>
        <w:bottom w:val="none" w:sz="0" w:space="0" w:color="auto"/>
        <w:right w:val="none" w:sz="0" w:space="0" w:color="auto"/>
      </w:divBdr>
    </w:div>
    <w:div w:id="390888713">
      <w:bodyDiv w:val="1"/>
      <w:marLeft w:val="0"/>
      <w:marRight w:val="0"/>
      <w:marTop w:val="0"/>
      <w:marBottom w:val="0"/>
      <w:divBdr>
        <w:top w:val="none" w:sz="0" w:space="0" w:color="auto"/>
        <w:left w:val="none" w:sz="0" w:space="0" w:color="auto"/>
        <w:bottom w:val="none" w:sz="0" w:space="0" w:color="auto"/>
        <w:right w:val="none" w:sz="0" w:space="0" w:color="auto"/>
      </w:divBdr>
    </w:div>
    <w:div w:id="391579459">
      <w:bodyDiv w:val="1"/>
      <w:marLeft w:val="0"/>
      <w:marRight w:val="0"/>
      <w:marTop w:val="0"/>
      <w:marBottom w:val="0"/>
      <w:divBdr>
        <w:top w:val="none" w:sz="0" w:space="0" w:color="auto"/>
        <w:left w:val="none" w:sz="0" w:space="0" w:color="auto"/>
        <w:bottom w:val="none" w:sz="0" w:space="0" w:color="auto"/>
        <w:right w:val="none" w:sz="0" w:space="0" w:color="auto"/>
      </w:divBdr>
    </w:div>
    <w:div w:id="392773198">
      <w:bodyDiv w:val="1"/>
      <w:marLeft w:val="0"/>
      <w:marRight w:val="0"/>
      <w:marTop w:val="0"/>
      <w:marBottom w:val="0"/>
      <w:divBdr>
        <w:top w:val="none" w:sz="0" w:space="0" w:color="auto"/>
        <w:left w:val="none" w:sz="0" w:space="0" w:color="auto"/>
        <w:bottom w:val="none" w:sz="0" w:space="0" w:color="auto"/>
        <w:right w:val="none" w:sz="0" w:space="0" w:color="auto"/>
      </w:divBdr>
    </w:div>
    <w:div w:id="392777691">
      <w:bodyDiv w:val="1"/>
      <w:marLeft w:val="0"/>
      <w:marRight w:val="0"/>
      <w:marTop w:val="0"/>
      <w:marBottom w:val="0"/>
      <w:divBdr>
        <w:top w:val="none" w:sz="0" w:space="0" w:color="auto"/>
        <w:left w:val="none" w:sz="0" w:space="0" w:color="auto"/>
        <w:bottom w:val="none" w:sz="0" w:space="0" w:color="auto"/>
        <w:right w:val="none" w:sz="0" w:space="0" w:color="auto"/>
      </w:divBdr>
    </w:div>
    <w:div w:id="394280976">
      <w:bodyDiv w:val="1"/>
      <w:marLeft w:val="0"/>
      <w:marRight w:val="0"/>
      <w:marTop w:val="0"/>
      <w:marBottom w:val="0"/>
      <w:divBdr>
        <w:top w:val="none" w:sz="0" w:space="0" w:color="auto"/>
        <w:left w:val="none" w:sz="0" w:space="0" w:color="auto"/>
        <w:bottom w:val="none" w:sz="0" w:space="0" w:color="auto"/>
        <w:right w:val="none" w:sz="0" w:space="0" w:color="auto"/>
      </w:divBdr>
    </w:div>
    <w:div w:id="394352436">
      <w:bodyDiv w:val="1"/>
      <w:marLeft w:val="0"/>
      <w:marRight w:val="0"/>
      <w:marTop w:val="0"/>
      <w:marBottom w:val="0"/>
      <w:divBdr>
        <w:top w:val="none" w:sz="0" w:space="0" w:color="auto"/>
        <w:left w:val="none" w:sz="0" w:space="0" w:color="auto"/>
        <w:bottom w:val="none" w:sz="0" w:space="0" w:color="auto"/>
        <w:right w:val="none" w:sz="0" w:space="0" w:color="auto"/>
      </w:divBdr>
    </w:div>
    <w:div w:id="395784392">
      <w:bodyDiv w:val="1"/>
      <w:marLeft w:val="0"/>
      <w:marRight w:val="0"/>
      <w:marTop w:val="0"/>
      <w:marBottom w:val="0"/>
      <w:divBdr>
        <w:top w:val="none" w:sz="0" w:space="0" w:color="auto"/>
        <w:left w:val="none" w:sz="0" w:space="0" w:color="auto"/>
        <w:bottom w:val="none" w:sz="0" w:space="0" w:color="auto"/>
        <w:right w:val="none" w:sz="0" w:space="0" w:color="auto"/>
      </w:divBdr>
    </w:div>
    <w:div w:id="396516692">
      <w:bodyDiv w:val="1"/>
      <w:marLeft w:val="0"/>
      <w:marRight w:val="0"/>
      <w:marTop w:val="0"/>
      <w:marBottom w:val="0"/>
      <w:divBdr>
        <w:top w:val="none" w:sz="0" w:space="0" w:color="auto"/>
        <w:left w:val="none" w:sz="0" w:space="0" w:color="auto"/>
        <w:bottom w:val="none" w:sz="0" w:space="0" w:color="auto"/>
        <w:right w:val="none" w:sz="0" w:space="0" w:color="auto"/>
      </w:divBdr>
    </w:div>
    <w:div w:id="398865284">
      <w:bodyDiv w:val="1"/>
      <w:marLeft w:val="0"/>
      <w:marRight w:val="0"/>
      <w:marTop w:val="0"/>
      <w:marBottom w:val="0"/>
      <w:divBdr>
        <w:top w:val="none" w:sz="0" w:space="0" w:color="auto"/>
        <w:left w:val="none" w:sz="0" w:space="0" w:color="auto"/>
        <w:bottom w:val="none" w:sz="0" w:space="0" w:color="auto"/>
        <w:right w:val="none" w:sz="0" w:space="0" w:color="auto"/>
      </w:divBdr>
    </w:div>
    <w:div w:id="398944682">
      <w:bodyDiv w:val="1"/>
      <w:marLeft w:val="0"/>
      <w:marRight w:val="0"/>
      <w:marTop w:val="0"/>
      <w:marBottom w:val="0"/>
      <w:divBdr>
        <w:top w:val="none" w:sz="0" w:space="0" w:color="auto"/>
        <w:left w:val="none" w:sz="0" w:space="0" w:color="auto"/>
        <w:bottom w:val="none" w:sz="0" w:space="0" w:color="auto"/>
        <w:right w:val="none" w:sz="0" w:space="0" w:color="auto"/>
      </w:divBdr>
    </w:div>
    <w:div w:id="399793397">
      <w:bodyDiv w:val="1"/>
      <w:marLeft w:val="0"/>
      <w:marRight w:val="0"/>
      <w:marTop w:val="0"/>
      <w:marBottom w:val="0"/>
      <w:divBdr>
        <w:top w:val="none" w:sz="0" w:space="0" w:color="auto"/>
        <w:left w:val="none" w:sz="0" w:space="0" w:color="auto"/>
        <w:bottom w:val="none" w:sz="0" w:space="0" w:color="auto"/>
        <w:right w:val="none" w:sz="0" w:space="0" w:color="auto"/>
      </w:divBdr>
    </w:div>
    <w:div w:id="400295789">
      <w:bodyDiv w:val="1"/>
      <w:marLeft w:val="0"/>
      <w:marRight w:val="0"/>
      <w:marTop w:val="0"/>
      <w:marBottom w:val="0"/>
      <w:divBdr>
        <w:top w:val="none" w:sz="0" w:space="0" w:color="auto"/>
        <w:left w:val="none" w:sz="0" w:space="0" w:color="auto"/>
        <w:bottom w:val="none" w:sz="0" w:space="0" w:color="auto"/>
        <w:right w:val="none" w:sz="0" w:space="0" w:color="auto"/>
      </w:divBdr>
    </w:div>
    <w:div w:id="401802879">
      <w:bodyDiv w:val="1"/>
      <w:marLeft w:val="0"/>
      <w:marRight w:val="0"/>
      <w:marTop w:val="0"/>
      <w:marBottom w:val="0"/>
      <w:divBdr>
        <w:top w:val="none" w:sz="0" w:space="0" w:color="auto"/>
        <w:left w:val="none" w:sz="0" w:space="0" w:color="auto"/>
        <w:bottom w:val="none" w:sz="0" w:space="0" w:color="auto"/>
        <w:right w:val="none" w:sz="0" w:space="0" w:color="auto"/>
      </w:divBdr>
    </w:div>
    <w:div w:id="403381138">
      <w:bodyDiv w:val="1"/>
      <w:marLeft w:val="0"/>
      <w:marRight w:val="0"/>
      <w:marTop w:val="0"/>
      <w:marBottom w:val="0"/>
      <w:divBdr>
        <w:top w:val="none" w:sz="0" w:space="0" w:color="auto"/>
        <w:left w:val="none" w:sz="0" w:space="0" w:color="auto"/>
        <w:bottom w:val="none" w:sz="0" w:space="0" w:color="auto"/>
        <w:right w:val="none" w:sz="0" w:space="0" w:color="auto"/>
      </w:divBdr>
    </w:div>
    <w:div w:id="403530242">
      <w:bodyDiv w:val="1"/>
      <w:marLeft w:val="0"/>
      <w:marRight w:val="0"/>
      <w:marTop w:val="0"/>
      <w:marBottom w:val="0"/>
      <w:divBdr>
        <w:top w:val="none" w:sz="0" w:space="0" w:color="auto"/>
        <w:left w:val="none" w:sz="0" w:space="0" w:color="auto"/>
        <w:bottom w:val="none" w:sz="0" w:space="0" w:color="auto"/>
        <w:right w:val="none" w:sz="0" w:space="0" w:color="auto"/>
      </w:divBdr>
    </w:div>
    <w:div w:id="404883838">
      <w:bodyDiv w:val="1"/>
      <w:marLeft w:val="0"/>
      <w:marRight w:val="0"/>
      <w:marTop w:val="0"/>
      <w:marBottom w:val="0"/>
      <w:divBdr>
        <w:top w:val="none" w:sz="0" w:space="0" w:color="auto"/>
        <w:left w:val="none" w:sz="0" w:space="0" w:color="auto"/>
        <w:bottom w:val="none" w:sz="0" w:space="0" w:color="auto"/>
        <w:right w:val="none" w:sz="0" w:space="0" w:color="auto"/>
      </w:divBdr>
    </w:div>
    <w:div w:id="406457968">
      <w:bodyDiv w:val="1"/>
      <w:marLeft w:val="0"/>
      <w:marRight w:val="0"/>
      <w:marTop w:val="0"/>
      <w:marBottom w:val="0"/>
      <w:divBdr>
        <w:top w:val="none" w:sz="0" w:space="0" w:color="auto"/>
        <w:left w:val="none" w:sz="0" w:space="0" w:color="auto"/>
        <w:bottom w:val="none" w:sz="0" w:space="0" w:color="auto"/>
        <w:right w:val="none" w:sz="0" w:space="0" w:color="auto"/>
      </w:divBdr>
    </w:div>
    <w:div w:id="409887471">
      <w:bodyDiv w:val="1"/>
      <w:marLeft w:val="0"/>
      <w:marRight w:val="0"/>
      <w:marTop w:val="0"/>
      <w:marBottom w:val="0"/>
      <w:divBdr>
        <w:top w:val="none" w:sz="0" w:space="0" w:color="auto"/>
        <w:left w:val="none" w:sz="0" w:space="0" w:color="auto"/>
        <w:bottom w:val="none" w:sz="0" w:space="0" w:color="auto"/>
        <w:right w:val="none" w:sz="0" w:space="0" w:color="auto"/>
      </w:divBdr>
    </w:div>
    <w:div w:id="412708444">
      <w:bodyDiv w:val="1"/>
      <w:marLeft w:val="0"/>
      <w:marRight w:val="0"/>
      <w:marTop w:val="0"/>
      <w:marBottom w:val="0"/>
      <w:divBdr>
        <w:top w:val="none" w:sz="0" w:space="0" w:color="auto"/>
        <w:left w:val="none" w:sz="0" w:space="0" w:color="auto"/>
        <w:bottom w:val="none" w:sz="0" w:space="0" w:color="auto"/>
        <w:right w:val="none" w:sz="0" w:space="0" w:color="auto"/>
      </w:divBdr>
    </w:div>
    <w:div w:id="415790446">
      <w:bodyDiv w:val="1"/>
      <w:marLeft w:val="0"/>
      <w:marRight w:val="0"/>
      <w:marTop w:val="0"/>
      <w:marBottom w:val="0"/>
      <w:divBdr>
        <w:top w:val="none" w:sz="0" w:space="0" w:color="auto"/>
        <w:left w:val="none" w:sz="0" w:space="0" w:color="auto"/>
        <w:bottom w:val="none" w:sz="0" w:space="0" w:color="auto"/>
        <w:right w:val="none" w:sz="0" w:space="0" w:color="auto"/>
      </w:divBdr>
    </w:div>
    <w:div w:id="419571302">
      <w:bodyDiv w:val="1"/>
      <w:marLeft w:val="0"/>
      <w:marRight w:val="0"/>
      <w:marTop w:val="0"/>
      <w:marBottom w:val="0"/>
      <w:divBdr>
        <w:top w:val="none" w:sz="0" w:space="0" w:color="auto"/>
        <w:left w:val="none" w:sz="0" w:space="0" w:color="auto"/>
        <w:bottom w:val="none" w:sz="0" w:space="0" w:color="auto"/>
        <w:right w:val="none" w:sz="0" w:space="0" w:color="auto"/>
      </w:divBdr>
    </w:div>
    <w:div w:id="421071443">
      <w:bodyDiv w:val="1"/>
      <w:marLeft w:val="0"/>
      <w:marRight w:val="0"/>
      <w:marTop w:val="0"/>
      <w:marBottom w:val="0"/>
      <w:divBdr>
        <w:top w:val="none" w:sz="0" w:space="0" w:color="auto"/>
        <w:left w:val="none" w:sz="0" w:space="0" w:color="auto"/>
        <w:bottom w:val="none" w:sz="0" w:space="0" w:color="auto"/>
        <w:right w:val="none" w:sz="0" w:space="0" w:color="auto"/>
      </w:divBdr>
    </w:div>
    <w:div w:id="423186861">
      <w:bodyDiv w:val="1"/>
      <w:marLeft w:val="0"/>
      <w:marRight w:val="0"/>
      <w:marTop w:val="0"/>
      <w:marBottom w:val="0"/>
      <w:divBdr>
        <w:top w:val="none" w:sz="0" w:space="0" w:color="auto"/>
        <w:left w:val="none" w:sz="0" w:space="0" w:color="auto"/>
        <w:bottom w:val="none" w:sz="0" w:space="0" w:color="auto"/>
        <w:right w:val="none" w:sz="0" w:space="0" w:color="auto"/>
      </w:divBdr>
    </w:div>
    <w:div w:id="424497727">
      <w:bodyDiv w:val="1"/>
      <w:marLeft w:val="0"/>
      <w:marRight w:val="0"/>
      <w:marTop w:val="0"/>
      <w:marBottom w:val="0"/>
      <w:divBdr>
        <w:top w:val="none" w:sz="0" w:space="0" w:color="auto"/>
        <w:left w:val="none" w:sz="0" w:space="0" w:color="auto"/>
        <w:bottom w:val="none" w:sz="0" w:space="0" w:color="auto"/>
        <w:right w:val="none" w:sz="0" w:space="0" w:color="auto"/>
      </w:divBdr>
    </w:div>
    <w:div w:id="426269941">
      <w:bodyDiv w:val="1"/>
      <w:marLeft w:val="0"/>
      <w:marRight w:val="0"/>
      <w:marTop w:val="0"/>
      <w:marBottom w:val="0"/>
      <w:divBdr>
        <w:top w:val="none" w:sz="0" w:space="0" w:color="auto"/>
        <w:left w:val="none" w:sz="0" w:space="0" w:color="auto"/>
        <w:bottom w:val="none" w:sz="0" w:space="0" w:color="auto"/>
        <w:right w:val="none" w:sz="0" w:space="0" w:color="auto"/>
      </w:divBdr>
    </w:div>
    <w:div w:id="429085508">
      <w:bodyDiv w:val="1"/>
      <w:marLeft w:val="0"/>
      <w:marRight w:val="0"/>
      <w:marTop w:val="0"/>
      <w:marBottom w:val="0"/>
      <w:divBdr>
        <w:top w:val="none" w:sz="0" w:space="0" w:color="auto"/>
        <w:left w:val="none" w:sz="0" w:space="0" w:color="auto"/>
        <w:bottom w:val="none" w:sz="0" w:space="0" w:color="auto"/>
        <w:right w:val="none" w:sz="0" w:space="0" w:color="auto"/>
      </w:divBdr>
    </w:div>
    <w:div w:id="430055900">
      <w:bodyDiv w:val="1"/>
      <w:marLeft w:val="0"/>
      <w:marRight w:val="0"/>
      <w:marTop w:val="0"/>
      <w:marBottom w:val="0"/>
      <w:divBdr>
        <w:top w:val="none" w:sz="0" w:space="0" w:color="auto"/>
        <w:left w:val="none" w:sz="0" w:space="0" w:color="auto"/>
        <w:bottom w:val="none" w:sz="0" w:space="0" w:color="auto"/>
        <w:right w:val="none" w:sz="0" w:space="0" w:color="auto"/>
      </w:divBdr>
    </w:div>
    <w:div w:id="434641070">
      <w:bodyDiv w:val="1"/>
      <w:marLeft w:val="0"/>
      <w:marRight w:val="0"/>
      <w:marTop w:val="0"/>
      <w:marBottom w:val="0"/>
      <w:divBdr>
        <w:top w:val="none" w:sz="0" w:space="0" w:color="auto"/>
        <w:left w:val="none" w:sz="0" w:space="0" w:color="auto"/>
        <w:bottom w:val="none" w:sz="0" w:space="0" w:color="auto"/>
        <w:right w:val="none" w:sz="0" w:space="0" w:color="auto"/>
      </w:divBdr>
    </w:div>
    <w:div w:id="435293111">
      <w:bodyDiv w:val="1"/>
      <w:marLeft w:val="0"/>
      <w:marRight w:val="0"/>
      <w:marTop w:val="0"/>
      <w:marBottom w:val="0"/>
      <w:divBdr>
        <w:top w:val="none" w:sz="0" w:space="0" w:color="auto"/>
        <w:left w:val="none" w:sz="0" w:space="0" w:color="auto"/>
        <w:bottom w:val="none" w:sz="0" w:space="0" w:color="auto"/>
        <w:right w:val="none" w:sz="0" w:space="0" w:color="auto"/>
      </w:divBdr>
    </w:div>
    <w:div w:id="437943524">
      <w:bodyDiv w:val="1"/>
      <w:marLeft w:val="0"/>
      <w:marRight w:val="0"/>
      <w:marTop w:val="0"/>
      <w:marBottom w:val="0"/>
      <w:divBdr>
        <w:top w:val="none" w:sz="0" w:space="0" w:color="auto"/>
        <w:left w:val="none" w:sz="0" w:space="0" w:color="auto"/>
        <w:bottom w:val="none" w:sz="0" w:space="0" w:color="auto"/>
        <w:right w:val="none" w:sz="0" w:space="0" w:color="auto"/>
      </w:divBdr>
    </w:div>
    <w:div w:id="438111737">
      <w:bodyDiv w:val="1"/>
      <w:marLeft w:val="0"/>
      <w:marRight w:val="0"/>
      <w:marTop w:val="0"/>
      <w:marBottom w:val="0"/>
      <w:divBdr>
        <w:top w:val="none" w:sz="0" w:space="0" w:color="auto"/>
        <w:left w:val="none" w:sz="0" w:space="0" w:color="auto"/>
        <w:bottom w:val="none" w:sz="0" w:space="0" w:color="auto"/>
        <w:right w:val="none" w:sz="0" w:space="0" w:color="auto"/>
      </w:divBdr>
    </w:div>
    <w:div w:id="439952692">
      <w:bodyDiv w:val="1"/>
      <w:marLeft w:val="0"/>
      <w:marRight w:val="0"/>
      <w:marTop w:val="0"/>
      <w:marBottom w:val="0"/>
      <w:divBdr>
        <w:top w:val="none" w:sz="0" w:space="0" w:color="auto"/>
        <w:left w:val="none" w:sz="0" w:space="0" w:color="auto"/>
        <w:bottom w:val="none" w:sz="0" w:space="0" w:color="auto"/>
        <w:right w:val="none" w:sz="0" w:space="0" w:color="auto"/>
      </w:divBdr>
    </w:div>
    <w:div w:id="442454590">
      <w:bodyDiv w:val="1"/>
      <w:marLeft w:val="0"/>
      <w:marRight w:val="0"/>
      <w:marTop w:val="0"/>
      <w:marBottom w:val="0"/>
      <w:divBdr>
        <w:top w:val="none" w:sz="0" w:space="0" w:color="auto"/>
        <w:left w:val="none" w:sz="0" w:space="0" w:color="auto"/>
        <w:bottom w:val="none" w:sz="0" w:space="0" w:color="auto"/>
        <w:right w:val="none" w:sz="0" w:space="0" w:color="auto"/>
      </w:divBdr>
    </w:div>
    <w:div w:id="443229061">
      <w:bodyDiv w:val="1"/>
      <w:marLeft w:val="0"/>
      <w:marRight w:val="0"/>
      <w:marTop w:val="0"/>
      <w:marBottom w:val="0"/>
      <w:divBdr>
        <w:top w:val="none" w:sz="0" w:space="0" w:color="auto"/>
        <w:left w:val="none" w:sz="0" w:space="0" w:color="auto"/>
        <w:bottom w:val="none" w:sz="0" w:space="0" w:color="auto"/>
        <w:right w:val="none" w:sz="0" w:space="0" w:color="auto"/>
      </w:divBdr>
    </w:div>
    <w:div w:id="444035277">
      <w:bodyDiv w:val="1"/>
      <w:marLeft w:val="0"/>
      <w:marRight w:val="0"/>
      <w:marTop w:val="0"/>
      <w:marBottom w:val="0"/>
      <w:divBdr>
        <w:top w:val="none" w:sz="0" w:space="0" w:color="auto"/>
        <w:left w:val="none" w:sz="0" w:space="0" w:color="auto"/>
        <w:bottom w:val="none" w:sz="0" w:space="0" w:color="auto"/>
        <w:right w:val="none" w:sz="0" w:space="0" w:color="auto"/>
      </w:divBdr>
    </w:div>
    <w:div w:id="445734751">
      <w:bodyDiv w:val="1"/>
      <w:marLeft w:val="0"/>
      <w:marRight w:val="0"/>
      <w:marTop w:val="0"/>
      <w:marBottom w:val="0"/>
      <w:divBdr>
        <w:top w:val="none" w:sz="0" w:space="0" w:color="auto"/>
        <w:left w:val="none" w:sz="0" w:space="0" w:color="auto"/>
        <w:bottom w:val="none" w:sz="0" w:space="0" w:color="auto"/>
        <w:right w:val="none" w:sz="0" w:space="0" w:color="auto"/>
      </w:divBdr>
    </w:div>
    <w:div w:id="445999769">
      <w:bodyDiv w:val="1"/>
      <w:marLeft w:val="0"/>
      <w:marRight w:val="0"/>
      <w:marTop w:val="0"/>
      <w:marBottom w:val="0"/>
      <w:divBdr>
        <w:top w:val="none" w:sz="0" w:space="0" w:color="auto"/>
        <w:left w:val="none" w:sz="0" w:space="0" w:color="auto"/>
        <w:bottom w:val="none" w:sz="0" w:space="0" w:color="auto"/>
        <w:right w:val="none" w:sz="0" w:space="0" w:color="auto"/>
      </w:divBdr>
    </w:div>
    <w:div w:id="446391683">
      <w:bodyDiv w:val="1"/>
      <w:marLeft w:val="0"/>
      <w:marRight w:val="0"/>
      <w:marTop w:val="0"/>
      <w:marBottom w:val="0"/>
      <w:divBdr>
        <w:top w:val="none" w:sz="0" w:space="0" w:color="auto"/>
        <w:left w:val="none" w:sz="0" w:space="0" w:color="auto"/>
        <w:bottom w:val="none" w:sz="0" w:space="0" w:color="auto"/>
        <w:right w:val="none" w:sz="0" w:space="0" w:color="auto"/>
      </w:divBdr>
    </w:div>
    <w:div w:id="446432433">
      <w:bodyDiv w:val="1"/>
      <w:marLeft w:val="0"/>
      <w:marRight w:val="0"/>
      <w:marTop w:val="0"/>
      <w:marBottom w:val="0"/>
      <w:divBdr>
        <w:top w:val="none" w:sz="0" w:space="0" w:color="auto"/>
        <w:left w:val="none" w:sz="0" w:space="0" w:color="auto"/>
        <w:bottom w:val="none" w:sz="0" w:space="0" w:color="auto"/>
        <w:right w:val="none" w:sz="0" w:space="0" w:color="auto"/>
      </w:divBdr>
    </w:div>
    <w:div w:id="446433974">
      <w:bodyDiv w:val="1"/>
      <w:marLeft w:val="0"/>
      <w:marRight w:val="0"/>
      <w:marTop w:val="0"/>
      <w:marBottom w:val="0"/>
      <w:divBdr>
        <w:top w:val="none" w:sz="0" w:space="0" w:color="auto"/>
        <w:left w:val="none" w:sz="0" w:space="0" w:color="auto"/>
        <w:bottom w:val="none" w:sz="0" w:space="0" w:color="auto"/>
        <w:right w:val="none" w:sz="0" w:space="0" w:color="auto"/>
      </w:divBdr>
    </w:div>
    <w:div w:id="446703462">
      <w:bodyDiv w:val="1"/>
      <w:marLeft w:val="0"/>
      <w:marRight w:val="0"/>
      <w:marTop w:val="0"/>
      <w:marBottom w:val="0"/>
      <w:divBdr>
        <w:top w:val="none" w:sz="0" w:space="0" w:color="auto"/>
        <w:left w:val="none" w:sz="0" w:space="0" w:color="auto"/>
        <w:bottom w:val="none" w:sz="0" w:space="0" w:color="auto"/>
        <w:right w:val="none" w:sz="0" w:space="0" w:color="auto"/>
      </w:divBdr>
    </w:div>
    <w:div w:id="446965929">
      <w:bodyDiv w:val="1"/>
      <w:marLeft w:val="0"/>
      <w:marRight w:val="0"/>
      <w:marTop w:val="0"/>
      <w:marBottom w:val="0"/>
      <w:divBdr>
        <w:top w:val="none" w:sz="0" w:space="0" w:color="auto"/>
        <w:left w:val="none" w:sz="0" w:space="0" w:color="auto"/>
        <w:bottom w:val="none" w:sz="0" w:space="0" w:color="auto"/>
        <w:right w:val="none" w:sz="0" w:space="0" w:color="auto"/>
      </w:divBdr>
    </w:div>
    <w:div w:id="447238184">
      <w:bodyDiv w:val="1"/>
      <w:marLeft w:val="0"/>
      <w:marRight w:val="0"/>
      <w:marTop w:val="0"/>
      <w:marBottom w:val="0"/>
      <w:divBdr>
        <w:top w:val="none" w:sz="0" w:space="0" w:color="auto"/>
        <w:left w:val="none" w:sz="0" w:space="0" w:color="auto"/>
        <w:bottom w:val="none" w:sz="0" w:space="0" w:color="auto"/>
        <w:right w:val="none" w:sz="0" w:space="0" w:color="auto"/>
      </w:divBdr>
    </w:div>
    <w:div w:id="448545308">
      <w:bodyDiv w:val="1"/>
      <w:marLeft w:val="0"/>
      <w:marRight w:val="0"/>
      <w:marTop w:val="0"/>
      <w:marBottom w:val="0"/>
      <w:divBdr>
        <w:top w:val="none" w:sz="0" w:space="0" w:color="auto"/>
        <w:left w:val="none" w:sz="0" w:space="0" w:color="auto"/>
        <w:bottom w:val="none" w:sz="0" w:space="0" w:color="auto"/>
        <w:right w:val="none" w:sz="0" w:space="0" w:color="auto"/>
      </w:divBdr>
    </w:div>
    <w:div w:id="448819590">
      <w:bodyDiv w:val="1"/>
      <w:marLeft w:val="0"/>
      <w:marRight w:val="0"/>
      <w:marTop w:val="0"/>
      <w:marBottom w:val="0"/>
      <w:divBdr>
        <w:top w:val="none" w:sz="0" w:space="0" w:color="auto"/>
        <w:left w:val="none" w:sz="0" w:space="0" w:color="auto"/>
        <w:bottom w:val="none" w:sz="0" w:space="0" w:color="auto"/>
        <w:right w:val="none" w:sz="0" w:space="0" w:color="auto"/>
      </w:divBdr>
    </w:div>
    <w:div w:id="453445105">
      <w:bodyDiv w:val="1"/>
      <w:marLeft w:val="0"/>
      <w:marRight w:val="0"/>
      <w:marTop w:val="0"/>
      <w:marBottom w:val="0"/>
      <w:divBdr>
        <w:top w:val="none" w:sz="0" w:space="0" w:color="auto"/>
        <w:left w:val="none" w:sz="0" w:space="0" w:color="auto"/>
        <w:bottom w:val="none" w:sz="0" w:space="0" w:color="auto"/>
        <w:right w:val="none" w:sz="0" w:space="0" w:color="auto"/>
      </w:divBdr>
    </w:div>
    <w:div w:id="455099779">
      <w:bodyDiv w:val="1"/>
      <w:marLeft w:val="0"/>
      <w:marRight w:val="0"/>
      <w:marTop w:val="0"/>
      <w:marBottom w:val="0"/>
      <w:divBdr>
        <w:top w:val="none" w:sz="0" w:space="0" w:color="auto"/>
        <w:left w:val="none" w:sz="0" w:space="0" w:color="auto"/>
        <w:bottom w:val="none" w:sz="0" w:space="0" w:color="auto"/>
        <w:right w:val="none" w:sz="0" w:space="0" w:color="auto"/>
      </w:divBdr>
    </w:div>
    <w:div w:id="455220971">
      <w:bodyDiv w:val="1"/>
      <w:marLeft w:val="0"/>
      <w:marRight w:val="0"/>
      <w:marTop w:val="0"/>
      <w:marBottom w:val="0"/>
      <w:divBdr>
        <w:top w:val="none" w:sz="0" w:space="0" w:color="auto"/>
        <w:left w:val="none" w:sz="0" w:space="0" w:color="auto"/>
        <w:bottom w:val="none" w:sz="0" w:space="0" w:color="auto"/>
        <w:right w:val="none" w:sz="0" w:space="0" w:color="auto"/>
      </w:divBdr>
    </w:div>
    <w:div w:id="456224705">
      <w:bodyDiv w:val="1"/>
      <w:marLeft w:val="0"/>
      <w:marRight w:val="0"/>
      <w:marTop w:val="0"/>
      <w:marBottom w:val="0"/>
      <w:divBdr>
        <w:top w:val="none" w:sz="0" w:space="0" w:color="auto"/>
        <w:left w:val="none" w:sz="0" w:space="0" w:color="auto"/>
        <w:bottom w:val="none" w:sz="0" w:space="0" w:color="auto"/>
        <w:right w:val="none" w:sz="0" w:space="0" w:color="auto"/>
      </w:divBdr>
    </w:div>
    <w:div w:id="456535403">
      <w:bodyDiv w:val="1"/>
      <w:marLeft w:val="0"/>
      <w:marRight w:val="0"/>
      <w:marTop w:val="0"/>
      <w:marBottom w:val="0"/>
      <w:divBdr>
        <w:top w:val="none" w:sz="0" w:space="0" w:color="auto"/>
        <w:left w:val="none" w:sz="0" w:space="0" w:color="auto"/>
        <w:bottom w:val="none" w:sz="0" w:space="0" w:color="auto"/>
        <w:right w:val="none" w:sz="0" w:space="0" w:color="auto"/>
      </w:divBdr>
    </w:div>
    <w:div w:id="456724040">
      <w:bodyDiv w:val="1"/>
      <w:marLeft w:val="0"/>
      <w:marRight w:val="0"/>
      <w:marTop w:val="0"/>
      <w:marBottom w:val="0"/>
      <w:divBdr>
        <w:top w:val="none" w:sz="0" w:space="0" w:color="auto"/>
        <w:left w:val="none" w:sz="0" w:space="0" w:color="auto"/>
        <w:bottom w:val="none" w:sz="0" w:space="0" w:color="auto"/>
        <w:right w:val="none" w:sz="0" w:space="0" w:color="auto"/>
      </w:divBdr>
    </w:div>
    <w:div w:id="458762096">
      <w:bodyDiv w:val="1"/>
      <w:marLeft w:val="0"/>
      <w:marRight w:val="0"/>
      <w:marTop w:val="0"/>
      <w:marBottom w:val="0"/>
      <w:divBdr>
        <w:top w:val="none" w:sz="0" w:space="0" w:color="auto"/>
        <w:left w:val="none" w:sz="0" w:space="0" w:color="auto"/>
        <w:bottom w:val="none" w:sz="0" w:space="0" w:color="auto"/>
        <w:right w:val="none" w:sz="0" w:space="0" w:color="auto"/>
      </w:divBdr>
    </w:div>
    <w:div w:id="459081067">
      <w:bodyDiv w:val="1"/>
      <w:marLeft w:val="0"/>
      <w:marRight w:val="0"/>
      <w:marTop w:val="0"/>
      <w:marBottom w:val="0"/>
      <w:divBdr>
        <w:top w:val="none" w:sz="0" w:space="0" w:color="auto"/>
        <w:left w:val="none" w:sz="0" w:space="0" w:color="auto"/>
        <w:bottom w:val="none" w:sz="0" w:space="0" w:color="auto"/>
        <w:right w:val="none" w:sz="0" w:space="0" w:color="auto"/>
      </w:divBdr>
    </w:div>
    <w:div w:id="461849795">
      <w:bodyDiv w:val="1"/>
      <w:marLeft w:val="0"/>
      <w:marRight w:val="0"/>
      <w:marTop w:val="0"/>
      <w:marBottom w:val="0"/>
      <w:divBdr>
        <w:top w:val="none" w:sz="0" w:space="0" w:color="auto"/>
        <w:left w:val="none" w:sz="0" w:space="0" w:color="auto"/>
        <w:bottom w:val="none" w:sz="0" w:space="0" w:color="auto"/>
        <w:right w:val="none" w:sz="0" w:space="0" w:color="auto"/>
      </w:divBdr>
    </w:div>
    <w:div w:id="462431586">
      <w:bodyDiv w:val="1"/>
      <w:marLeft w:val="0"/>
      <w:marRight w:val="0"/>
      <w:marTop w:val="0"/>
      <w:marBottom w:val="0"/>
      <w:divBdr>
        <w:top w:val="none" w:sz="0" w:space="0" w:color="auto"/>
        <w:left w:val="none" w:sz="0" w:space="0" w:color="auto"/>
        <w:bottom w:val="none" w:sz="0" w:space="0" w:color="auto"/>
        <w:right w:val="none" w:sz="0" w:space="0" w:color="auto"/>
      </w:divBdr>
    </w:div>
    <w:div w:id="462970382">
      <w:bodyDiv w:val="1"/>
      <w:marLeft w:val="0"/>
      <w:marRight w:val="0"/>
      <w:marTop w:val="0"/>
      <w:marBottom w:val="0"/>
      <w:divBdr>
        <w:top w:val="none" w:sz="0" w:space="0" w:color="auto"/>
        <w:left w:val="none" w:sz="0" w:space="0" w:color="auto"/>
        <w:bottom w:val="none" w:sz="0" w:space="0" w:color="auto"/>
        <w:right w:val="none" w:sz="0" w:space="0" w:color="auto"/>
      </w:divBdr>
    </w:div>
    <w:div w:id="463889903">
      <w:bodyDiv w:val="1"/>
      <w:marLeft w:val="0"/>
      <w:marRight w:val="0"/>
      <w:marTop w:val="0"/>
      <w:marBottom w:val="0"/>
      <w:divBdr>
        <w:top w:val="none" w:sz="0" w:space="0" w:color="auto"/>
        <w:left w:val="none" w:sz="0" w:space="0" w:color="auto"/>
        <w:bottom w:val="none" w:sz="0" w:space="0" w:color="auto"/>
        <w:right w:val="none" w:sz="0" w:space="0" w:color="auto"/>
      </w:divBdr>
    </w:div>
    <w:div w:id="466047336">
      <w:bodyDiv w:val="1"/>
      <w:marLeft w:val="0"/>
      <w:marRight w:val="0"/>
      <w:marTop w:val="0"/>
      <w:marBottom w:val="0"/>
      <w:divBdr>
        <w:top w:val="none" w:sz="0" w:space="0" w:color="auto"/>
        <w:left w:val="none" w:sz="0" w:space="0" w:color="auto"/>
        <w:bottom w:val="none" w:sz="0" w:space="0" w:color="auto"/>
        <w:right w:val="none" w:sz="0" w:space="0" w:color="auto"/>
      </w:divBdr>
    </w:div>
    <w:div w:id="467010721">
      <w:bodyDiv w:val="1"/>
      <w:marLeft w:val="0"/>
      <w:marRight w:val="0"/>
      <w:marTop w:val="0"/>
      <w:marBottom w:val="0"/>
      <w:divBdr>
        <w:top w:val="none" w:sz="0" w:space="0" w:color="auto"/>
        <w:left w:val="none" w:sz="0" w:space="0" w:color="auto"/>
        <w:bottom w:val="none" w:sz="0" w:space="0" w:color="auto"/>
        <w:right w:val="none" w:sz="0" w:space="0" w:color="auto"/>
      </w:divBdr>
    </w:div>
    <w:div w:id="469253902">
      <w:bodyDiv w:val="1"/>
      <w:marLeft w:val="0"/>
      <w:marRight w:val="0"/>
      <w:marTop w:val="0"/>
      <w:marBottom w:val="0"/>
      <w:divBdr>
        <w:top w:val="none" w:sz="0" w:space="0" w:color="auto"/>
        <w:left w:val="none" w:sz="0" w:space="0" w:color="auto"/>
        <w:bottom w:val="none" w:sz="0" w:space="0" w:color="auto"/>
        <w:right w:val="none" w:sz="0" w:space="0" w:color="auto"/>
      </w:divBdr>
    </w:div>
    <w:div w:id="469514065">
      <w:bodyDiv w:val="1"/>
      <w:marLeft w:val="0"/>
      <w:marRight w:val="0"/>
      <w:marTop w:val="0"/>
      <w:marBottom w:val="0"/>
      <w:divBdr>
        <w:top w:val="none" w:sz="0" w:space="0" w:color="auto"/>
        <w:left w:val="none" w:sz="0" w:space="0" w:color="auto"/>
        <w:bottom w:val="none" w:sz="0" w:space="0" w:color="auto"/>
        <w:right w:val="none" w:sz="0" w:space="0" w:color="auto"/>
      </w:divBdr>
    </w:div>
    <w:div w:id="469983453">
      <w:bodyDiv w:val="1"/>
      <w:marLeft w:val="0"/>
      <w:marRight w:val="0"/>
      <w:marTop w:val="0"/>
      <w:marBottom w:val="0"/>
      <w:divBdr>
        <w:top w:val="none" w:sz="0" w:space="0" w:color="auto"/>
        <w:left w:val="none" w:sz="0" w:space="0" w:color="auto"/>
        <w:bottom w:val="none" w:sz="0" w:space="0" w:color="auto"/>
        <w:right w:val="none" w:sz="0" w:space="0" w:color="auto"/>
      </w:divBdr>
    </w:div>
    <w:div w:id="471141867">
      <w:bodyDiv w:val="1"/>
      <w:marLeft w:val="0"/>
      <w:marRight w:val="0"/>
      <w:marTop w:val="0"/>
      <w:marBottom w:val="0"/>
      <w:divBdr>
        <w:top w:val="none" w:sz="0" w:space="0" w:color="auto"/>
        <w:left w:val="none" w:sz="0" w:space="0" w:color="auto"/>
        <w:bottom w:val="none" w:sz="0" w:space="0" w:color="auto"/>
        <w:right w:val="none" w:sz="0" w:space="0" w:color="auto"/>
      </w:divBdr>
    </w:div>
    <w:div w:id="471169168">
      <w:bodyDiv w:val="1"/>
      <w:marLeft w:val="0"/>
      <w:marRight w:val="0"/>
      <w:marTop w:val="0"/>
      <w:marBottom w:val="0"/>
      <w:divBdr>
        <w:top w:val="none" w:sz="0" w:space="0" w:color="auto"/>
        <w:left w:val="none" w:sz="0" w:space="0" w:color="auto"/>
        <w:bottom w:val="none" w:sz="0" w:space="0" w:color="auto"/>
        <w:right w:val="none" w:sz="0" w:space="0" w:color="auto"/>
      </w:divBdr>
    </w:div>
    <w:div w:id="479541827">
      <w:bodyDiv w:val="1"/>
      <w:marLeft w:val="0"/>
      <w:marRight w:val="0"/>
      <w:marTop w:val="0"/>
      <w:marBottom w:val="0"/>
      <w:divBdr>
        <w:top w:val="none" w:sz="0" w:space="0" w:color="auto"/>
        <w:left w:val="none" w:sz="0" w:space="0" w:color="auto"/>
        <w:bottom w:val="none" w:sz="0" w:space="0" w:color="auto"/>
        <w:right w:val="none" w:sz="0" w:space="0" w:color="auto"/>
      </w:divBdr>
    </w:div>
    <w:div w:id="480464633">
      <w:bodyDiv w:val="1"/>
      <w:marLeft w:val="0"/>
      <w:marRight w:val="0"/>
      <w:marTop w:val="0"/>
      <w:marBottom w:val="0"/>
      <w:divBdr>
        <w:top w:val="none" w:sz="0" w:space="0" w:color="auto"/>
        <w:left w:val="none" w:sz="0" w:space="0" w:color="auto"/>
        <w:bottom w:val="none" w:sz="0" w:space="0" w:color="auto"/>
        <w:right w:val="none" w:sz="0" w:space="0" w:color="auto"/>
      </w:divBdr>
    </w:div>
    <w:div w:id="482892024">
      <w:bodyDiv w:val="1"/>
      <w:marLeft w:val="0"/>
      <w:marRight w:val="0"/>
      <w:marTop w:val="0"/>
      <w:marBottom w:val="0"/>
      <w:divBdr>
        <w:top w:val="none" w:sz="0" w:space="0" w:color="auto"/>
        <w:left w:val="none" w:sz="0" w:space="0" w:color="auto"/>
        <w:bottom w:val="none" w:sz="0" w:space="0" w:color="auto"/>
        <w:right w:val="none" w:sz="0" w:space="0" w:color="auto"/>
      </w:divBdr>
    </w:div>
    <w:div w:id="483469773">
      <w:bodyDiv w:val="1"/>
      <w:marLeft w:val="0"/>
      <w:marRight w:val="0"/>
      <w:marTop w:val="0"/>
      <w:marBottom w:val="0"/>
      <w:divBdr>
        <w:top w:val="none" w:sz="0" w:space="0" w:color="auto"/>
        <w:left w:val="none" w:sz="0" w:space="0" w:color="auto"/>
        <w:bottom w:val="none" w:sz="0" w:space="0" w:color="auto"/>
        <w:right w:val="none" w:sz="0" w:space="0" w:color="auto"/>
      </w:divBdr>
    </w:div>
    <w:div w:id="484781807">
      <w:bodyDiv w:val="1"/>
      <w:marLeft w:val="0"/>
      <w:marRight w:val="0"/>
      <w:marTop w:val="0"/>
      <w:marBottom w:val="0"/>
      <w:divBdr>
        <w:top w:val="none" w:sz="0" w:space="0" w:color="auto"/>
        <w:left w:val="none" w:sz="0" w:space="0" w:color="auto"/>
        <w:bottom w:val="none" w:sz="0" w:space="0" w:color="auto"/>
        <w:right w:val="none" w:sz="0" w:space="0" w:color="auto"/>
      </w:divBdr>
    </w:div>
    <w:div w:id="486871501">
      <w:bodyDiv w:val="1"/>
      <w:marLeft w:val="0"/>
      <w:marRight w:val="0"/>
      <w:marTop w:val="0"/>
      <w:marBottom w:val="0"/>
      <w:divBdr>
        <w:top w:val="none" w:sz="0" w:space="0" w:color="auto"/>
        <w:left w:val="none" w:sz="0" w:space="0" w:color="auto"/>
        <w:bottom w:val="none" w:sz="0" w:space="0" w:color="auto"/>
        <w:right w:val="none" w:sz="0" w:space="0" w:color="auto"/>
      </w:divBdr>
    </w:div>
    <w:div w:id="487981378">
      <w:bodyDiv w:val="1"/>
      <w:marLeft w:val="0"/>
      <w:marRight w:val="0"/>
      <w:marTop w:val="0"/>
      <w:marBottom w:val="0"/>
      <w:divBdr>
        <w:top w:val="none" w:sz="0" w:space="0" w:color="auto"/>
        <w:left w:val="none" w:sz="0" w:space="0" w:color="auto"/>
        <w:bottom w:val="none" w:sz="0" w:space="0" w:color="auto"/>
        <w:right w:val="none" w:sz="0" w:space="0" w:color="auto"/>
      </w:divBdr>
    </w:div>
    <w:div w:id="492986039">
      <w:bodyDiv w:val="1"/>
      <w:marLeft w:val="0"/>
      <w:marRight w:val="0"/>
      <w:marTop w:val="0"/>
      <w:marBottom w:val="0"/>
      <w:divBdr>
        <w:top w:val="none" w:sz="0" w:space="0" w:color="auto"/>
        <w:left w:val="none" w:sz="0" w:space="0" w:color="auto"/>
        <w:bottom w:val="none" w:sz="0" w:space="0" w:color="auto"/>
        <w:right w:val="none" w:sz="0" w:space="0" w:color="auto"/>
      </w:divBdr>
    </w:div>
    <w:div w:id="493182761">
      <w:bodyDiv w:val="1"/>
      <w:marLeft w:val="0"/>
      <w:marRight w:val="0"/>
      <w:marTop w:val="0"/>
      <w:marBottom w:val="0"/>
      <w:divBdr>
        <w:top w:val="none" w:sz="0" w:space="0" w:color="auto"/>
        <w:left w:val="none" w:sz="0" w:space="0" w:color="auto"/>
        <w:bottom w:val="none" w:sz="0" w:space="0" w:color="auto"/>
        <w:right w:val="none" w:sz="0" w:space="0" w:color="auto"/>
      </w:divBdr>
    </w:div>
    <w:div w:id="494801678">
      <w:bodyDiv w:val="1"/>
      <w:marLeft w:val="0"/>
      <w:marRight w:val="0"/>
      <w:marTop w:val="0"/>
      <w:marBottom w:val="0"/>
      <w:divBdr>
        <w:top w:val="none" w:sz="0" w:space="0" w:color="auto"/>
        <w:left w:val="none" w:sz="0" w:space="0" w:color="auto"/>
        <w:bottom w:val="none" w:sz="0" w:space="0" w:color="auto"/>
        <w:right w:val="none" w:sz="0" w:space="0" w:color="auto"/>
      </w:divBdr>
    </w:div>
    <w:div w:id="497503073">
      <w:bodyDiv w:val="1"/>
      <w:marLeft w:val="0"/>
      <w:marRight w:val="0"/>
      <w:marTop w:val="0"/>
      <w:marBottom w:val="0"/>
      <w:divBdr>
        <w:top w:val="none" w:sz="0" w:space="0" w:color="auto"/>
        <w:left w:val="none" w:sz="0" w:space="0" w:color="auto"/>
        <w:bottom w:val="none" w:sz="0" w:space="0" w:color="auto"/>
        <w:right w:val="none" w:sz="0" w:space="0" w:color="auto"/>
      </w:divBdr>
    </w:div>
    <w:div w:id="501355388">
      <w:bodyDiv w:val="1"/>
      <w:marLeft w:val="0"/>
      <w:marRight w:val="0"/>
      <w:marTop w:val="0"/>
      <w:marBottom w:val="0"/>
      <w:divBdr>
        <w:top w:val="none" w:sz="0" w:space="0" w:color="auto"/>
        <w:left w:val="none" w:sz="0" w:space="0" w:color="auto"/>
        <w:bottom w:val="none" w:sz="0" w:space="0" w:color="auto"/>
        <w:right w:val="none" w:sz="0" w:space="0" w:color="auto"/>
      </w:divBdr>
    </w:div>
    <w:div w:id="502740346">
      <w:bodyDiv w:val="1"/>
      <w:marLeft w:val="0"/>
      <w:marRight w:val="0"/>
      <w:marTop w:val="0"/>
      <w:marBottom w:val="0"/>
      <w:divBdr>
        <w:top w:val="none" w:sz="0" w:space="0" w:color="auto"/>
        <w:left w:val="none" w:sz="0" w:space="0" w:color="auto"/>
        <w:bottom w:val="none" w:sz="0" w:space="0" w:color="auto"/>
        <w:right w:val="none" w:sz="0" w:space="0" w:color="auto"/>
      </w:divBdr>
    </w:div>
    <w:div w:id="503203088">
      <w:bodyDiv w:val="1"/>
      <w:marLeft w:val="0"/>
      <w:marRight w:val="0"/>
      <w:marTop w:val="0"/>
      <w:marBottom w:val="0"/>
      <w:divBdr>
        <w:top w:val="none" w:sz="0" w:space="0" w:color="auto"/>
        <w:left w:val="none" w:sz="0" w:space="0" w:color="auto"/>
        <w:bottom w:val="none" w:sz="0" w:space="0" w:color="auto"/>
        <w:right w:val="none" w:sz="0" w:space="0" w:color="auto"/>
      </w:divBdr>
    </w:div>
    <w:div w:id="503714580">
      <w:bodyDiv w:val="1"/>
      <w:marLeft w:val="0"/>
      <w:marRight w:val="0"/>
      <w:marTop w:val="0"/>
      <w:marBottom w:val="0"/>
      <w:divBdr>
        <w:top w:val="none" w:sz="0" w:space="0" w:color="auto"/>
        <w:left w:val="none" w:sz="0" w:space="0" w:color="auto"/>
        <w:bottom w:val="none" w:sz="0" w:space="0" w:color="auto"/>
        <w:right w:val="none" w:sz="0" w:space="0" w:color="auto"/>
      </w:divBdr>
    </w:div>
    <w:div w:id="507017956">
      <w:bodyDiv w:val="1"/>
      <w:marLeft w:val="0"/>
      <w:marRight w:val="0"/>
      <w:marTop w:val="0"/>
      <w:marBottom w:val="0"/>
      <w:divBdr>
        <w:top w:val="none" w:sz="0" w:space="0" w:color="auto"/>
        <w:left w:val="none" w:sz="0" w:space="0" w:color="auto"/>
        <w:bottom w:val="none" w:sz="0" w:space="0" w:color="auto"/>
        <w:right w:val="none" w:sz="0" w:space="0" w:color="auto"/>
      </w:divBdr>
    </w:div>
    <w:div w:id="511065424">
      <w:bodyDiv w:val="1"/>
      <w:marLeft w:val="0"/>
      <w:marRight w:val="0"/>
      <w:marTop w:val="0"/>
      <w:marBottom w:val="0"/>
      <w:divBdr>
        <w:top w:val="none" w:sz="0" w:space="0" w:color="auto"/>
        <w:left w:val="none" w:sz="0" w:space="0" w:color="auto"/>
        <w:bottom w:val="none" w:sz="0" w:space="0" w:color="auto"/>
        <w:right w:val="none" w:sz="0" w:space="0" w:color="auto"/>
      </w:divBdr>
    </w:div>
    <w:div w:id="511191935">
      <w:bodyDiv w:val="1"/>
      <w:marLeft w:val="0"/>
      <w:marRight w:val="0"/>
      <w:marTop w:val="0"/>
      <w:marBottom w:val="0"/>
      <w:divBdr>
        <w:top w:val="none" w:sz="0" w:space="0" w:color="auto"/>
        <w:left w:val="none" w:sz="0" w:space="0" w:color="auto"/>
        <w:bottom w:val="none" w:sz="0" w:space="0" w:color="auto"/>
        <w:right w:val="none" w:sz="0" w:space="0" w:color="auto"/>
      </w:divBdr>
    </w:div>
    <w:div w:id="511531388">
      <w:bodyDiv w:val="1"/>
      <w:marLeft w:val="0"/>
      <w:marRight w:val="0"/>
      <w:marTop w:val="0"/>
      <w:marBottom w:val="0"/>
      <w:divBdr>
        <w:top w:val="none" w:sz="0" w:space="0" w:color="auto"/>
        <w:left w:val="none" w:sz="0" w:space="0" w:color="auto"/>
        <w:bottom w:val="none" w:sz="0" w:space="0" w:color="auto"/>
        <w:right w:val="none" w:sz="0" w:space="0" w:color="auto"/>
      </w:divBdr>
    </w:div>
    <w:div w:id="515733413">
      <w:bodyDiv w:val="1"/>
      <w:marLeft w:val="0"/>
      <w:marRight w:val="0"/>
      <w:marTop w:val="0"/>
      <w:marBottom w:val="0"/>
      <w:divBdr>
        <w:top w:val="none" w:sz="0" w:space="0" w:color="auto"/>
        <w:left w:val="none" w:sz="0" w:space="0" w:color="auto"/>
        <w:bottom w:val="none" w:sz="0" w:space="0" w:color="auto"/>
        <w:right w:val="none" w:sz="0" w:space="0" w:color="auto"/>
      </w:divBdr>
    </w:div>
    <w:div w:id="516576378">
      <w:bodyDiv w:val="1"/>
      <w:marLeft w:val="0"/>
      <w:marRight w:val="0"/>
      <w:marTop w:val="0"/>
      <w:marBottom w:val="0"/>
      <w:divBdr>
        <w:top w:val="none" w:sz="0" w:space="0" w:color="auto"/>
        <w:left w:val="none" w:sz="0" w:space="0" w:color="auto"/>
        <w:bottom w:val="none" w:sz="0" w:space="0" w:color="auto"/>
        <w:right w:val="none" w:sz="0" w:space="0" w:color="auto"/>
      </w:divBdr>
    </w:div>
    <w:div w:id="517696258">
      <w:bodyDiv w:val="1"/>
      <w:marLeft w:val="0"/>
      <w:marRight w:val="0"/>
      <w:marTop w:val="0"/>
      <w:marBottom w:val="0"/>
      <w:divBdr>
        <w:top w:val="none" w:sz="0" w:space="0" w:color="auto"/>
        <w:left w:val="none" w:sz="0" w:space="0" w:color="auto"/>
        <w:bottom w:val="none" w:sz="0" w:space="0" w:color="auto"/>
        <w:right w:val="none" w:sz="0" w:space="0" w:color="auto"/>
      </w:divBdr>
    </w:div>
    <w:div w:id="517817745">
      <w:bodyDiv w:val="1"/>
      <w:marLeft w:val="0"/>
      <w:marRight w:val="0"/>
      <w:marTop w:val="0"/>
      <w:marBottom w:val="0"/>
      <w:divBdr>
        <w:top w:val="none" w:sz="0" w:space="0" w:color="auto"/>
        <w:left w:val="none" w:sz="0" w:space="0" w:color="auto"/>
        <w:bottom w:val="none" w:sz="0" w:space="0" w:color="auto"/>
        <w:right w:val="none" w:sz="0" w:space="0" w:color="auto"/>
      </w:divBdr>
    </w:div>
    <w:div w:id="518004705">
      <w:bodyDiv w:val="1"/>
      <w:marLeft w:val="0"/>
      <w:marRight w:val="0"/>
      <w:marTop w:val="0"/>
      <w:marBottom w:val="0"/>
      <w:divBdr>
        <w:top w:val="none" w:sz="0" w:space="0" w:color="auto"/>
        <w:left w:val="none" w:sz="0" w:space="0" w:color="auto"/>
        <w:bottom w:val="none" w:sz="0" w:space="0" w:color="auto"/>
        <w:right w:val="none" w:sz="0" w:space="0" w:color="auto"/>
      </w:divBdr>
    </w:div>
    <w:div w:id="521015264">
      <w:bodyDiv w:val="1"/>
      <w:marLeft w:val="0"/>
      <w:marRight w:val="0"/>
      <w:marTop w:val="0"/>
      <w:marBottom w:val="0"/>
      <w:divBdr>
        <w:top w:val="none" w:sz="0" w:space="0" w:color="auto"/>
        <w:left w:val="none" w:sz="0" w:space="0" w:color="auto"/>
        <w:bottom w:val="none" w:sz="0" w:space="0" w:color="auto"/>
        <w:right w:val="none" w:sz="0" w:space="0" w:color="auto"/>
      </w:divBdr>
    </w:div>
    <w:div w:id="523593620">
      <w:bodyDiv w:val="1"/>
      <w:marLeft w:val="0"/>
      <w:marRight w:val="0"/>
      <w:marTop w:val="0"/>
      <w:marBottom w:val="0"/>
      <w:divBdr>
        <w:top w:val="none" w:sz="0" w:space="0" w:color="auto"/>
        <w:left w:val="none" w:sz="0" w:space="0" w:color="auto"/>
        <w:bottom w:val="none" w:sz="0" w:space="0" w:color="auto"/>
        <w:right w:val="none" w:sz="0" w:space="0" w:color="auto"/>
      </w:divBdr>
    </w:div>
    <w:div w:id="524834580">
      <w:bodyDiv w:val="1"/>
      <w:marLeft w:val="0"/>
      <w:marRight w:val="0"/>
      <w:marTop w:val="0"/>
      <w:marBottom w:val="0"/>
      <w:divBdr>
        <w:top w:val="none" w:sz="0" w:space="0" w:color="auto"/>
        <w:left w:val="none" w:sz="0" w:space="0" w:color="auto"/>
        <w:bottom w:val="none" w:sz="0" w:space="0" w:color="auto"/>
        <w:right w:val="none" w:sz="0" w:space="0" w:color="auto"/>
      </w:divBdr>
    </w:div>
    <w:div w:id="526716724">
      <w:bodyDiv w:val="1"/>
      <w:marLeft w:val="0"/>
      <w:marRight w:val="0"/>
      <w:marTop w:val="0"/>
      <w:marBottom w:val="0"/>
      <w:divBdr>
        <w:top w:val="none" w:sz="0" w:space="0" w:color="auto"/>
        <w:left w:val="none" w:sz="0" w:space="0" w:color="auto"/>
        <w:bottom w:val="none" w:sz="0" w:space="0" w:color="auto"/>
        <w:right w:val="none" w:sz="0" w:space="0" w:color="auto"/>
      </w:divBdr>
    </w:div>
    <w:div w:id="529731393">
      <w:bodyDiv w:val="1"/>
      <w:marLeft w:val="0"/>
      <w:marRight w:val="0"/>
      <w:marTop w:val="0"/>
      <w:marBottom w:val="0"/>
      <w:divBdr>
        <w:top w:val="none" w:sz="0" w:space="0" w:color="auto"/>
        <w:left w:val="none" w:sz="0" w:space="0" w:color="auto"/>
        <w:bottom w:val="none" w:sz="0" w:space="0" w:color="auto"/>
        <w:right w:val="none" w:sz="0" w:space="0" w:color="auto"/>
      </w:divBdr>
    </w:div>
    <w:div w:id="534193838">
      <w:bodyDiv w:val="1"/>
      <w:marLeft w:val="0"/>
      <w:marRight w:val="0"/>
      <w:marTop w:val="0"/>
      <w:marBottom w:val="0"/>
      <w:divBdr>
        <w:top w:val="none" w:sz="0" w:space="0" w:color="auto"/>
        <w:left w:val="none" w:sz="0" w:space="0" w:color="auto"/>
        <w:bottom w:val="none" w:sz="0" w:space="0" w:color="auto"/>
        <w:right w:val="none" w:sz="0" w:space="0" w:color="auto"/>
      </w:divBdr>
    </w:div>
    <w:div w:id="539904587">
      <w:bodyDiv w:val="1"/>
      <w:marLeft w:val="0"/>
      <w:marRight w:val="0"/>
      <w:marTop w:val="0"/>
      <w:marBottom w:val="0"/>
      <w:divBdr>
        <w:top w:val="none" w:sz="0" w:space="0" w:color="auto"/>
        <w:left w:val="none" w:sz="0" w:space="0" w:color="auto"/>
        <w:bottom w:val="none" w:sz="0" w:space="0" w:color="auto"/>
        <w:right w:val="none" w:sz="0" w:space="0" w:color="auto"/>
      </w:divBdr>
    </w:div>
    <w:div w:id="542139845">
      <w:bodyDiv w:val="1"/>
      <w:marLeft w:val="0"/>
      <w:marRight w:val="0"/>
      <w:marTop w:val="0"/>
      <w:marBottom w:val="0"/>
      <w:divBdr>
        <w:top w:val="none" w:sz="0" w:space="0" w:color="auto"/>
        <w:left w:val="none" w:sz="0" w:space="0" w:color="auto"/>
        <w:bottom w:val="none" w:sz="0" w:space="0" w:color="auto"/>
        <w:right w:val="none" w:sz="0" w:space="0" w:color="auto"/>
      </w:divBdr>
    </w:div>
    <w:div w:id="542401335">
      <w:bodyDiv w:val="1"/>
      <w:marLeft w:val="0"/>
      <w:marRight w:val="0"/>
      <w:marTop w:val="0"/>
      <w:marBottom w:val="0"/>
      <w:divBdr>
        <w:top w:val="none" w:sz="0" w:space="0" w:color="auto"/>
        <w:left w:val="none" w:sz="0" w:space="0" w:color="auto"/>
        <w:bottom w:val="none" w:sz="0" w:space="0" w:color="auto"/>
        <w:right w:val="none" w:sz="0" w:space="0" w:color="auto"/>
      </w:divBdr>
    </w:div>
    <w:div w:id="542444352">
      <w:bodyDiv w:val="1"/>
      <w:marLeft w:val="0"/>
      <w:marRight w:val="0"/>
      <w:marTop w:val="0"/>
      <w:marBottom w:val="0"/>
      <w:divBdr>
        <w:top w:val="none" w:sz="0" w:space="0" w:color="auto"/>
        <w:left w:val="none" w:sz="0" w:space="0" w:color="auto"/>
        <w:bottom w:val="none" w:sz="0" w:space="0" w:color="auto"/>
        <w:right w:val="none" w:sz="0" w:space="0" w:color="auto"/>
      </w:divBdr>
    </w:div>
    <w:div w:id="544146923">
      <w:bodyDiv w:val="1"/>
      <w:marLeft w:val="0"/>
      <w:marRight w:val="0"/>
      <w:marTop w:val="0"/>
      <w:marBottom w:val="0"/>
      <w:divBdr>
        <w:top w:val="none" w:sz="0" w:space="0" w:color="auto"/>
        <w:left w:val="none" w:sz="0" w:space="0" w:color="auto"/>
        <w:bottom w:val="none" w:sz="0" w:space="0" w:color="auto"/>
        <w:right w:val="none" w:sz="0" w:space="0" w:color="auto"/>
      </w:divBdr>
    </w:div>
    <w:div w:id="544147836">
      <w:bodyDiv w:val="1"/>
      <w:marLeft w:val="0"/>
      <w:marRight w:val="0"/>
      <w:marTop w:val="0"/>
      <w:marBottom w:val="0"/>
      <w:divBdr>
        <w:top w:val="none" w:sz="0" w:space="0" w:color="auto"/>
        <w:left w:val="none" w:sz="0" w:space="0" w:color="auto"/>
        <w:bottom w:val="none" w:sz="0" w:space="0" w:color="auto"/>
        <w:right w:val="none" w:sz="0" w:space="0" w:color="auto"/>
      </w:divBdr>
    </w:div>
    <w:div w:id="545992086">
      <w:bodyDiv w:val="1"/>
      <w:marLeft w:val="0"/>
      <w:marRight w:val="0"/>
      <w:marTop w:val="0"/>
      <w:marBottom w:val="0"/>
      <w:divBdr>
        <w:top w:val="none" w:sz="0" w:space="0" w:color="auto"/>
        <w:left w:val="none" w:sz="0" w:space="0" w:color="auto"/>
        <w:bottom w:val="none" w:sz="0" w:space="0" w:color="auto"/>
        <w:right w:val="none" w:sz="0" w:space="0" w:color="auto"/>
      </w:divBdr>
    </w:div>
    <w:div w:id="549801171">
      <w:bodyDiv w:val="1"/>
      <w:marLeft w:val="0"/>
      <w:marRight w:val="0"/>
      <w:marTop w:val="0"/>
      <w:marBottom w:val="0"/>
      <w:divBdr>
        <w:top w:val="none" w:sz="0" w:space="0" w:color="auto"/>
        <w:left w:val="none" w:sz="0" w:space="0" w:color="auto"/>
        <w:bottom w:val="none" w:sz="0" w:space="0" w:color="auto"/>
        <w:right w:val="none" w:sz="0" w:space="0" w:color="auto"/>
      </w:divBdr>
    </w:div>
    <w:div w:id="549998672">
      <w:bodyDiv w:val="1"/>
      <w:marLeft w:val="0"/>
      <w:marRight w:val="0"/>
      <w:marTop w:val="0"/>
      <w:marBottom w:val="0"/>
      <w:divBdr>
        <w:top w:val="none" w:sz="0" w:space="0" w:color="auto"/>
        <w:left w:val="none" w:sz="0" w:space="0" w:color="auto"/>
        <w:bottom w:val="none" w:sz="0" w:space="0" w:color="auto"/>
        <w:right w:val="none" w:sz="0" w:space="0" w:color="auto"/>
      </w:divBdr>
    </w:div>
    <w:div w:id="550456895">
      <w:bodyDiv w:val="1"/>
      <w:marLeft w:val="0"/>
      <w:marRight w:val="0"/>
      <w:marTop w:val="0"/>
      <w:marBottom w:val="0"/>
      <w:divBdr>
        <w:top w:val="none" w:sz="0" w:space="0" w:color="auto"/>
        <w:left w:val="none" w:sz="0" w:space="0" w:color="auto"/>
        <w:bottom w:val="none" w:sz="0" w:space="0" w:color="auto"/>
        <w:right w:val="none" w:sz="0" w:space="0" w:color="auto"/>
      </w:divBdr>
    </w:div>
    <w:div w:id="550505120">
      <w:bodyDiv w:val="1"/>
      <w:marLeft w:val="0"/>
      <w:marRight w:val="0"/>
      <w:marTop w:val="0"/>
      <w:marBottom w:val="0"/>
      <w:divBdr>
        <w:top w:val="none" w:sz="0" w:space="0" w:color="auto"/>
        <w:left w:val="none" w:sz="0" w:space="0" w:color="auto"/>
        <w:bottom w:val="none" w:sz="0" w:space="0" w:color="auto"/>
        <w:right w:val="none" w:sz="0" w:space="0" w:color="auto"/>
      </w:divBdr>
    </w:div>
    <w:div w:id="552691211">
      <w:bodyDiv w:val="1"/>
      <w:marLeft w:val="0"/>
      <w:marRight w:val="0"/>
      <w:marTop w:val="0"/>
      <w:marBottom w:val="0"/>
      <w:divBdr>
        <w:top w:val="none" w:sz="0" w:space="0" w:color="auto"/>
        <w:left w:val="none" w:sz="0" w:space="0" w:color="auto"/>
        <w:bottom w:val="none" w:sz="0" w:space="0" w:color="auto"/>
        <w:right w:val="none" w:sz="0" w:space="0" w:color="auto"/>
      </w:divBdr>
    </w:div>
    <w:div w:id="553079310">
      <w:bodyDiv w:val="1"/>
      <w:marLeft w:val="0"/>
      <w:marRight w:val="0"/>
      <w:marTop w:val="0"/>
      <w:marBottom w:val="0"/>
      <w:divBdr>
        <w:top w:val="none" w:sz="0" w:space="0" w:color="auto"/>
        <w:left w:val="none" w:sz="0" w:space="0" w:color="auto"/>
        <w:bottom w:val="none" w:sz="0" w:space="0" w:color="auto"/>
        <w:right w:val="none" w:sz="0" w:space="0" w:color="auto"/>
      </w:divBdr>
    </w:div>
    <w:div w:id="553657427">
      <w:bodyDiv w:val="1"/>
      <w:marLeft w:val="0"/>
      <w:marRight w:val="0"/>
      <w:marTop w:val="0"/>
      <w:marBottom w:val="0"/>
      <w:divBdr>
        <w:top w:val="none" w:sz="0" w:space="0" w:color="auto"/>
        <w:left w:val="none" w:sz="0" w:space="0" w:color="auto"/>
        <w:bottom w:val="none" w:sz="0" w:space="0" w:color="auto"/>
        <w:right w:val="none" w:sz="0" w:space="0" w:color="auto"/>
      </w:divBdr>
    </w:div>
    <w:div w:id="556093076">
      <w:bodyDiv w:val="1"/>
      <w:marLeft w:val="0"/>
      <w:marRight w:val="0"/>
      <w:marTop w:val="0"/>
      <w:marBottom w:val="0"/>
      <w:divBdr>
        <w:top w:val="none" w:sz="0" w:space="0" w:color="auto"/>
        <w:left w:val="none" w:sz="0" w:space="0" w:color="auto"/>
        <w:bottom w:val="none" w:sz="0" w:space="0" w:color="auto"/>
        <w:right w:val="none" w:sz="0" w:space="0" w:color="auto"/>
      </w:divBdr>
    </w:div>
    <w:div w:id="557202284">
      <w:bodyDiv w:val="1"/>
      <w:marLeft w:val="0"/>
      <w:marRight w:val="0"/>
      <w:marTop w:val="0"/>
      <w:marBottom w:val="0"/>
      <w:divBdr>
        <w:top w:val="none" w:sz="0" w:space="0" w:color="auto"/>
        <w:left w:val="none" w:sz="0" w:space="0" w:color="auto"/>
        <w:bottom w:val="none" w:sz="0" w:space="0" w:color="auto"/>
        <w:right w:val="none" w:sz="0" w:space="0" w:color="auto"/>
      </w:divBdr>
    </w:div>
    <w:div w:id="557938450">
      <w:bodyDiv w:val="1"/>
      <w:marLeft w:val="0"/>
      <w:marRight w:val="0"/>
      <w:marTop w:val="0"/>
      <w:marBottom w:val="0"/>
      <w:divBdr>
        <w:top w:val="none" w:sz="0" w:space="0" w:color="auto"/>
        <w:left w:val="none" w:sz="0" w:space="0" w:color="auto"/>
        <w:bottom w:val="none" w:sz="0" w:space="0" w:color="auto"/>
        <w:right w:val="none" w:sz="0" w:space="0" w:color="auto"/>
      </w:divBdr>
    </w:div>
    <w:div w:id="560095479">
      <w:bodyDiv w:val="1"/>
      <w:marLeft w:val="0"/>
      <w:marRight w:val="0"/>
      <w:marTop w:val="0"/>
      <w:marBottom w:val="0"/>
      <w:divBdr>
        <w:top w:val="none" w:sz="0" w:space="0" w:color="auto"/>
        <w:left w:val="none" w:sz="0" w:space="0" w:color="auto"/>
        <w:bottom w:val="none" w:sz="0" w:space="0" w:color="auto"/>
        <w:right w:val="none" w:sz="0" w:space="0" w:color="auto"/>
      </w:divBdr>
    </w:div>
    <w:div w:id="565187267">
      <w:bodyDiv w:val="1"/>
      <w:marLeft w:val="0"/>
      <w:marRight w:val="0"/>
      <w:marTop w:val="0"/>
      <w:marBottom w:val="0"/>
      <w:divBdr>
        <w:top w:val="none" w:sz="0" w:space="0" w:color="auto"/>
        <w:left w:val="none" w:sz="0" w:space="0" w:color="auto"/>
        <w:bottom w:val="none" w:sz="0" w:space="0" w:color="auto"/>
        <w:right w:val="none" w:sz="0" w:space="0" w:color="auto"/>
      </w:divBdr>
    </w:div>
    <w:div w:id="565842704">
      <w:bodyDiv w:val="1"/>
      <w:marLeft w:val="0"/>
      <w:marRight w:val="0"/>
      <w:marTop w:val="0"/>
      <w:marBottom w:val="0"/>
      <w:divBdr>
        <w:top w:val="none" w:sz="0" w:space="0" w:color="auto"/>
        <w:left w:val="none" w:sz="0" w:space="0" w:color="auto"/>
        <w:bottom w:val="none" w:sz="0" w:space="0" w:color="auto"/>
        <w:right w:val="none" w:sz="0" w:space="0" w:color="auto"/>
      </w:divBdr>
    </w:div>
    <w:div w:id="566689930">
      <w:bodyDiv w:val="1"/>
      <w:marLeft w:val="0"/>
      <w:marRight w:val="0"/>
      <w:marTop w:val="0"/>
      <w:marBottom w:val="0"/>
      <w:divBdr>
        <w:top w:val="none" w:sz="0" w:space="0" w:color="auto"/>
        <w:left w:val="none" w:sz="0" w:space="0" w:color="auto"/>
        <w:bottom w:val="none" w:sz="0" w:space="0" w:color="auto"/>
        <w:right w:val="none" w:sz="0" w:space="0" w:color="auto"/>
      </w:divBdr>
    </w:div>
    <w:div w:id="571231588">
      <w:bodyDiv w:val="1"/>
      <w:marLeft w:val="0"/>
      <w:marRight w:val="0"/>
      <w:marTop w:val="0"/>
      <w:marBottom w:val="0"/>
      <w:divBdr>
        <w:top w:val="none" w:sz="0" w:space="0" w:color="auto"/>
        <w:left w:val="none" w:sz="0" w:space="0" w:color="auto"/>
        <w:bottom w:val="none" w:sz="0" w:space="0" w:color="auto"/>
        <w:right w:val="none" w:sz="0" w:space="0" w:color="auto"/>
      </w:divBdr>
    </w:div>
    <w:div w:id="573051760">
      <w:bodyDiv w:val="1"/>
      <w:marLeft w:val="0"/>
      <w:marRight w:val="0"/>
      <w:marTop w:val="0"/>
      <w:marBottom w:val="0"/>
      <w:divBdr>
        <w:top w:val="none" w:sz="0" w:space="0" w:color="auto"/>
        <w:left w:val="none" w:sz="0" w:space="0" w:color="auto"/>
        <w:bottom w:val="none" w:sz="0" w:space="0" w:color="auto"/>
        <w:right w:val="none" w:sz="0" w:space="0" w:color="auto"/>
      </w:divBdr>
    </w:div>
    <w:div w:id="574896850">
      <w:bodyDiv w:val="1"/>
      <w:marLeft w:val="0"/>
      <w:marRight w:val="0"/>
      <w:marTop w:val="0"/>
      <w:marBottom w:val="0"/>
      <w:divBdr>
        <w:top w:val="none" w:sz="0" w:space="0" w:color="auto"/>
        <w:left w:val="none" w:sz="0" w:space="0" w:color="auto"/>
        <w:bottom w:val="none" w:sz="0" w:space="0" w:color="auto"/>
        <w:right w:val="none" w:sz="0" w:space="0" w:color="auto"/>
      </w:divBdr>
    </w:div>
    <w:div w:id="575364275">
      <w:bodyDiv w:val="1"/>
      <w:marLeft w:val="0"/>
      <w:marRight w:val="0"/>
      <w:marTop w:val="0"/>
      <w:marBottom w:val="0"/>
      <w:divBdr>
        <w:top w:val="none" w:sz="0" w:space="0" w:color="auto"/>
        <w:left w:val="none" w:sz="0" w:space="0" w:color="auto"/>
        <w:bottom w:val="none" w:sz="0" w:space="0" w:color="auto"/>
        <w:right w:val="none" w:sz="0" w:space="0" w:color="auto"/>
      </w:divBdr>
    </w:div>
    <w:div w:id="575895915">
      <w:bodyDiv w:val="1"/>
      <w:marLeft w:val="0"/>
      <w:marRight w:val="0"/>
      <w:marTop w:val="0"/>
      <w:marBottom w:val="0"/>
      <w:divBdr>
        <w:top w:val="none" w:sz="0" w:space="0" w:color="auto"/>
        <w:left w:val="none" w:sz="0" w:space="0" w:color="auto"/>
        <w:bottom w:val="none" w:sz="0" w:space="0" w:color="auto"/>
        <w:right w:val="none" w:sz="0" w:space="0" w:color="auto"/>
      </w:divBdr>
    </w:div>
    <w:div w:id="577440615">
      <w:bodyDiv w:val="1"/>
      <w:marLeft w:val="0"/>
      <w:marRight w:val="0"/>
      <w:marTop w:val="0"/>
      <w:marBottom w:val="0"/>
      <w:divBdr>
        <w:top w:val="none" w:sz="0" w:space="0" w:color="auto"/>
        <w:left w:val="none" w:sz="0" w:space="0" w:color="auto"/>
        <w:bottom w:val="none" w:sz="0" w:space="0" w:color="auto"/>
        <w:right w:val="none" w:sz="0" w:space="0" w:color="auto"/>
      </w:divBdr>
    </w:div>
    <w:div w:id="580220821">
      <w:bodyDiv w:val="1"/>
      <w:marLeft w:val="0"/>
      <w:marRight w:val="0"/>
      <w:marTop w:val="0"/>
      <w:marBottom w:val="0"/>
      <w:divBdr>
        <w:top w:val="none" w:sz="0" w:space="0" w:color="auto"/>
        <w:left w:val="none" w:sz="0" w:space="0" w:color="auto"/>
        <w:bottom w:val="none" w:sz="0" w:space="0" w:color="auto"/>
        <w:right w:val="none" w:sz="0" w:space="0" w:color="auto"/>
      </w:divBdr>
    </w:div>
    <w:div w:id="583538647">
      <w:bodyDiv w:val="1"/>
      <w:marLeft w:val="0"/>
      <w:marRight w:val="0"/>
      <w:marTop w:val="0"/>
      <w:marBottom w:val="0"/>
      <w:divBdr>
        <w:top w:val="none" w:sz="0" w:space="0" w:color="auto"/>
        <w:left w:val="none" w:sz="0" w:space="0" w:color="auto"/>
        <w:bottom w:val="none" w:sz="0" w:space="0" w:color="auto"/>
        <w:right w:val="none" w:sz="0" w:space="0" w:color="auto"/>
      </w:divBdr>
    </w:div>
    <w:div w:id="585267519">
      <w:bodyDiv w:val="1"/>
      <w:marLeft w:val="0"/>
      <w:marRight w:val="0"/>
      <w:marTop w:val="0"/>
      <w:marBottom w:val="0"/>
      <w:divBdr>
        <w:top w:val="none" w:sz="0" w:space="0" w:color="auto"/>
        <w:left w:val="none" w:sz="0" w:space="0" w:color="auto"/>
        <w:bottom w:val="none" w:sz="0" w:space="0" w:color="auto"/>
        <w:right w:val="none" w:sz="0" w:space="0" w:color="auto"/>
      </w:divBdr>
    </w:div>
    <w:div w:id="586501057">
      <w:bodyDiv w:val="1"/>
      <w:marLeft w:val="0"/>
      <w:marRight w:val="0"/>
      <w:marTop w:val="0"/>
      <w:marBottom w:val="0"/>
      <w:divBdr>
        <w:top w:val="none" w:sz="0" w:space="0" w:color="auto"/>
        <w:left w:val="none" w:sz="0" w:space="0" w:color="auto"/>
        <w:bottom w:val="none" w:sz="0" w:space="0" w:color="auto"/>
        <w:right w:val="none" w:sz="0" w:space="0" w:color="auto"/>
      </w:divBdr>
    </w:div>
    <w:div w:id="593167997">
      <w:bodyDiv w:val="1"/>
      <w:marLeft w:val="0"/>
      <w:marRight w:val="0"/>
      <w:marTop w:val="0"/>
      <w:marBottom w:val="0"/>
      <w:divBdr>
        <w:top w:val="none" w:sz="0" w:space="0" w:color="auto"/>
        <w:left w:val="none" w:sz="0" w:space="0" w:color="auto"/>
        <w:bottom w:val="none" w:sz="0" w:space="0" w:color="auto"/>
        <w:right w:val="none" w:sz="0" w:space="0" w:color="auto"/>
      </w:divBdr>
    </w:div>
    <w:div w:id="596444657">
      <w:bodyDiv w:val="1"/>
      <w:marLeft w:val="0"/>
      <w:marRight w:val="0"/>
      <w:marTop w:val="0"/>
      <w:marBottom w:val="0"/>
      <w:divBdr>
        <w:top w:val="none" w:sz="0" w:space="0" w:color="auto"/>
        <w:left w:val="none" w:sz="0" w:space="0" w:color="auto"/>
        <w:bottom w:val="none" w:sz="0" w:space="0" w:color="auto"/>
        <w:right w:val="none" w:sz="0" w:space="0" w:color="auto"/>
      </w:divBdr>
    </w:div>
    <w:div w:id="598100135">
      <w:bodyDiv w:val="1"/>
      <w:marLeft w:val="0"/>
      <w:marRight w:val="0"/>
      <w:marTop w:val="0"/>
      <w:marBottom w:val="0"/>
      <w:divBdr>
        <w:top w:val="none" w:sz="0" w:space="0" w:color="auto"/>
        <w:left w:val="none" w:sz="0" w:space="0" w:color="auto"/>
        <w:bottom w:val="none" w:sz="0" w:space="0" w:color="auto"/>
        <w:right w:val="none" w:sz="0" w:space="0" w:color="auto"/>
      </w:divBdr>
    </w:div>
    <w:div w:id="600840222">
      <w:bodyDiv w:val="1"/>
      <w:marLeft w:val="0"/>
      <w:marRight w:val="0"/>
      <w:marTop w:val="0"/>
      <w:marBottom w:val="0"/>
      <w:divBdr>
        <w:top w:val="none" w:sz="0" w:space="0" w:color="auto"/>
        <w:left w:val="none" w:sz="0" w:space="0" w:color="auto"/>
        <w:bottom w:val="none" w:sz="0" w:space="0" w:color="auto"/>
        <w:right w:val="none" w:sz="0" w:space="0" w:color="auto"/>
      </w:divBdr>
    </w:div>
    <w:div w:id="600912121">
      <w:bodyDiv w:val="1"/>
      <w:marLeft w:val="0"/>
      <w:marRight w:val="0"/>
      <w:marTop w:val="0"/>
      <w:marBottom w:val="0"/>
      <w:divBdr>
        <w:top w:val="none" w:sz="0" w:space="0" w:color="auto"/>
        <w:left w:val="none" w:sz="0" w:space="0" w:color="auto"/>
        <w:bottom w:val="none" w:sz="0" w:space="0" w:color="auto"/>
        <w:right w:val="none" w:sz="0" w:space="0" w:color="auto"/>
      </w:divBdr>
    </w:div>
    <w:div w:id="601035225">
      <w:bodyDiv w:val="1"/>
      <w:marLeft w:val="0"/>
      <w:marRight w:val="0"/>
      <w:marTop w:val="0"/>
      <w:marBottom w:val="0"/>
      <w:divBdr>
        <w:top w:val="none" w:sz="0" w:space="0" w:color="auto"/>
        <w:left w:val="none" w:sz="0" w:space="0" w:color="auto"/>
        <w:bottom w:val="none" w:sz="0" w:space="0" w:color="auto"/>
        <w:right w:val="none" w:sz="0" w:space="0" w:color="auto"/>
      </w:divBdr>
    </w:div>
    <w:div w:id="601886987">
      <w:bodyDiv w:val="1"/>
      <w:marLeft w:val="0"/>
      <w:marRight w:val="0"/>
      <w:marTop w:val="0"/>
      <w:marBottom w:val="0"/>
      <w:divBdr>
        <w:top w:val="none" w:sz="0" w:space="0" w:color="auto"/>
        <w:left w:val="none" w:sz="0" w:space="0" w:color="auto"/>
        <w:bottom w:val="none" w:sz="0" w:space="0" w:color="auto"/>
        <w:right w:val="none" w:sz="0" w:space="0" w:color="auto"/>
      </w:divBdr>
    </w:div>
    <w:div w:id="605770359">
      <w:bodyDiv w:val="1"/>
      <w:marLeft w:val="0"/>
      <w:marRight w:val="0"/>
      <w:marTop w:val="0"/>
      <w:marBottom w:val="0"/>
      <w:divBdr>
        <w:top w:val="none" w:sz="0" w:space="0" w:color="auto"/>
        <w:left w:val="none" w:sz="0" w:space="0" w:color="auto"/>
        <w:bottom w:val="none" w:sz="0" w:space="0" w:color="auto"/>
        <w:right w:val="none" w:sz="0" w:space="0" w:color="auto"/>
      </w:divBdr>
    </w:div>
    <w:div w:id="607009115">
      <w:bodyDiv w:val="1"/>
      <w:marLeft w:val="0"/>
      <w:marRight w:val="0"/>
      <w:marTop w:val="0"/>
      <w:marBottom w:val="0"/>
      <w:divBdr>
        <w:top w:val="none" w:sz="0" w:space="0" w:color="auto"/>
        <w:left w:val="none" w:sz="0" w:space="0" w:color="auto"/>
        <w:bottom w:val="none" w:sz="0" w:space="0" w:color="auto"/>
        <w:right w:val="none" w:sz="0" w:space="0" w:color="auto"/>
      </w:divBdr>
    </w:div>
    <w:div w:id="607125901">
      <w:bodyDiv w:val="1"/>
      <w:marLeft w:val="0"/>
      <w:marRight w:val="0"/>
      <w:marTop w:val="0"/>
      <w:marBottom w:val="0"/>
      <w:divBdr>
        <w:top w:val="none" w:sz="0" w:space="0" w:color="auto"/>
        <w:left w:val="none" w:sz="0" w:space="0" w:color="auto"/>
        <w:bottom w:val="none" w:sz="0" w:space="0" w:color="auto"/>
        <w:right w:val="none" w:sz="0" w:space="0" w:color="auto"/>
      </w:divBdr>
    </w:div>
    <w:div w:id="607205052">
      <w:bodyDiv w:val="1"/>
      <w:marLeft w:val="0"/>
      <w:marRight w:val="0"/>
      <w:marTop w:val="0"/>
      <w:marBottom w:val="0"/>
      <w:divBdr>
        <w:top w:val="none" w:sz="0" w:space="0" w:color="auto"/>
        <w:left w:val="none" w:sz="0" w:space="0" w:color="auto"/>
        <w:bottom w:val="none" w:sz="0" w:space="0" w:color="auto"/>
        <w:right w:val="none" w:sz="0" w:space="0" w:color="auto"/>
      </w:divBdr>
    </w:div>
    <w:div w:id="613827633">
      <w:bodyDiv w:val="1"/>
      <w:marLeft w:val="0"/>
      <w:marRight w:val="0"/>
      <w:marTop w:val="0"/>
      <w:marBottom w:val="0"/>
      <w:divBdr>
        <w:top w:val="none" w:sz="0" w:space="0" w:color="auto"/>
        <w:left w:val="none" w:sz="0" w:space="0" w:color="auto"/>
        <w:bottom w:val="none" w:sz="0" w:space="0" w:color="auto"/>
        <w:right w:val="none" w:sz="0" w:space="0" w:color="auto"/>
      </w:divBdr>
    </w:div>
    <w:div w:id="615261754">
      <w:bodyDiv w:val="1"/>
      <w:marLeft w:val="0"/>
      <w:marRight w:val="0"/>
      <w:marTop w:val="0"/>
      <w:marBottom w:val="0"/>
      <w:divBdr>
        <w:top w:val="none" w:sz="0" w:space="0" w:color="auto"/>
        <w:left w:val="none" w:sz="0" w:space="0" w:color="auto"/>
        <w:bottom w:val="none" w:sz="0" w:space="0" w:color="auto"/>
        <w:right w:val="none" w:sz="0" w:space="0" w:color="auto"/>
      </w:divBdr>
    </w:div>
    <w:div w:id="616789575">
      <w:bodyDiv w:val="1"/>
      <w:marLeft w:val="0"/>
      <w:marRight w:val="0"/>
      <w:marTop w:val="0"/>
      <w:marBottom w:val="0"/>
      <w:divBdr>
        <w:top w:val="none" w:sz="0" w:space="0" w:color="auto"/>
        <w:left w:val="none" w:sz="0" w:space="0" w:color="auto"/>
        <w:bottom w:val="none" w:sz="0" w:space="0" w:color="auto"/>
        <w:right w:val="none" w:sz="0" w:space="0" w:color="auto"/>
      </w:divBdr>
    </w:div>
    <w:div w:id="618494922">
      <w:bodyDiv w:val="1"/>
      <w:marLeft w:val="0"/>
      <w:marRight w:val="0"/>
      <w:marTop w:val="0"/>
      <w:marBottom w:val="0"/>
      <w:divBdr>
        <w:top w:val="none" w:sz="0" w:space="0" w:color="auto"/>
        <w:left w:val="none" w:sz="0" w:space="0" w:color="auto"/>
        <w:bottom w:val="none" w:sz="0" w:space="0" w:color="auto"/>
        <w:right w:val="none" w:sz="0" w:space="0" w:color="auto"/>
      </w:divBdr>
    </w:div>
    <w:div w:id="619457434">
      <w:bodyDiv w:val="1"/>
      <w:marLeft w:val="0"/>
      <w:marRight w:val="0"/>
      <w:marTop w:val="0"/>
      <w:marBottom w:val="0"/>
      <w:divBdr>
        <w:top w:val="none" w:sz="0" w:space="0" w:color="auto"/>
        <w:left w:val="none" w:sz="0" w:space="0" w:color="auto"/>
        <w:bottom w:val="none" w:sz="0" w:space="0" w:color="auto"/>
        <w:right w:val="none" w:sz="0" w:space="0" w:color="auto"/>
      </w:divBdr>
    </w:div>
    <w:div w:id="621110455">
      <w:bodyDiv w:val="1"/>
      <w:marLeft w:val="0"/>
      <w:marRight w:val="0"/>
      <w:marTop w:val="0"/>
      <w:marBottom w:val="0"/>
      <w:divBdr>
        <w:top w:val="none" w:sz="0" w:space="0" w:color="auto"/>
        <w:left w:val="none" w:sz="0" w:space="0" w:color="auto"/>
        <w:bottom w:val="none" w:sz="0" w:space="0" w:color="auto"/>
        <w:right w:val="none" w:sz="0" w:space="0" w:color="auto"/>
      </w:divBdr>
    </w:div>
    <w:div w:id="621426190">
      <w:bodyDiv w:val="1"/>
      <w:marLeft w:val="0"/>
      <w:marRight w:val="0"/>
      <w:marTop w:val="0"/>
      <w:marBottom w:val="0"/>
      <w:divBdr>
        <w:top w:val="none" w:sz="0" w:space="0" w:color="auto"/>
        <w:left w:val="none" w:sz="0" w:space="0" w:color="auto"/>
        <w:bottom w:val="none" w:sz="0" w:space="0" w:color="auto"/>
        <w:right w:val="none" w:sz="0" w:space="0" w:color="auto"/>
      </w:divBdr>
    </w:div>
    <w:div w:id="621574295">
      <w:bodyDiv w:val="1"/>
      <w:marLeft w:val="0"/>
      <w:marRight w:val="0"/>
      <w:marTop w:val="0"/>
      <w:marBottom w:val="0"/>
      <w:divBdr>
        <w:top w:val="none" w:sz="0" w:space="0" w:color="auto"/>
        <w:left w:val="none" w:sz="0" w:space="0" w:color="auto"/>
        <w:bottom w:val="none" w:sz="0" w:space="0" w:color="auto"/>
        <w:right w:val="none" w:sz="0" w:space="0" w:color="auto"/>
      </w:divBdr>
    </w:div>
    <w:div w:id="624652313">
      <w:bodyDiv w:val="1"/>
      <w:marLeft w:val="0"/>
      <w:marRight w:val="0"/>
      <w:marTop w:val="0"/>
      <w:marBottom w:val="0"/>
      <w:divBdr>
        <w:top w:val="none" w:sz="0" w:space="0" w:color="auto"/>
        <w:left w:val="none" w:sz="0" w:space="0" w:color="auto"/>
        <w:bottom w:val="none" w:sz="0" w:space="0" w:color="auto"/>
        <w:right w:val="none" w:sz="0" w:space="0" w:color="auto"/>
      </w:divBdr>
    </w:div>
    <w:div w:id="625816073">
      <w:bodyDiv w:val="1"/>
      <w:marLeft w:val="0"/>
      <w:marRight w:val="0"/>
      <w:marTop w:val="0"/>
      <w:marBottom w:val="0"/>
      <w:divBdr>
        <w:top w:val="none" w:sz="0" w:space="0" w:color="auto"/>
        <w:left w:val="none" w:sz="0" w:space="0" w:color="auto"/>
        <w:bottom w:val="none" w:sz="0" w:space="0" w:color="auto"/>
        <w:right w:val="none" w:sz="0" w:space="0" w:color="auto"/>
      </w:divBdr>
    </w:div>
    <w:div w:id="625936706">
      <w:bodyDiv w:val="1"/>
      <w:marLeft w:val="0"/>
      <w:marRight w:val="0"/>
      <w:marTop w:val="0"/>
      <w:marBottom w:val="0"/>
      <w:divBdr>
        <w:top w:val="none" w:sz="0" w:space="0" w:color="auto"/>
        <w:left w:val="none" w:sz="0" w:space="0" w:color="auto"/>
        <w:bottom w:val="none" w:sz="0" w:space="0" w:color="auto"/>
        <w:right w:val="none" w:sz="0" w:space="0" w:color="auto"/>
      </w:divBdr>
    </w:div>
    <w:div w:id="629243378">
      <w:bodyDiv w:val="1"/>
      <w:marLeft w:val="0"/>
      <w:marRight w:val="0"/>
      <w:marTop w:val="0"/>
      <w:marBottom w:val="0"/>
      <w:divBdr>
        <w:top w:val="none" w:sz="0" w:space="0" w:color="auto"/>
        <w:left w:val="none" w:sz="0" w:space="0" w:color="auto"/>
        <w:bottom w:val="none" w:sz="0" w:space="0" w:color="auto"/>
        <w:right w:val="none" w:sz="0" w:space="0" w:color="auto"/>
      </w:divBdr>
    </w:div>
    <w:div w:id="629675073">
      <w:bodyDiv w:val="1"/>
      <w:marLeft w:val="0"/>
      <w:marRight w:val="0"/>
      <w:marTop w:val="0"/>
      <w:marBottom w:val="0"/>
      <w:divBdr>
        <w:top w:val="none" w:sz="0" w:space="0" w:color="auto"/>
        <w:left w:val="none" w:sz="0" w:space="0" w:color="auto"/>
        <w:bottom w:val="none" w:sz="0" w:space="0" w:color="auto"/>
        <w:right w:val="none" w:sz="0" w:space="0" w:color="auto"/>
      </w:divBdr>
    </w:div>
    <w:div w:id="633750556">
      <w:bodyDiv w:val="1"/>
      <w:marLeft w:val="0"/>
      <w:marRight w:val="0"/>
      <w:marTop w:val="0"/>
      <w:marBottom w:val="0"/>
      <w:divBdr>
        <w:top w:val="none" w:sz="0" w:space="0" w:color="auto"/>
        <w:left w:val="none" w:sz="0" w:space="0" w:color="auto"/>
        <w:bottom w:val="none" w:sz="0" w:space="0" w:color="auto"/>
        <w:right w:val="none" w:sz="0" w:space="0" w:color="auto"/>
      </w:divBdr>
    </w:div>
    <w:div w:id="633826039">
      <w:bodyDiv w:val="1"/>
      <w:marLeft w:val="0"/>
      <w:marRight w:val="0"/>
      <w:marTop w:val="0"/>
      <w:marBottom w:val="0"/>
      <w:divBdr>
        <w:top w:val="none" w:sz="0" w:space="0" w:color="auto"/>
        <w:left w:val="none" w:sz="0" w:space="0" w:color="auto"/>
        <w:bottom w:val="none" w:sz="0" w:space="0" w:color="auto"/>
        <w:right w:val="none" w:sz="0" w:space="0" w:color="auto"/>
      </w:divBdr>
    </w:div>
    <w:div w:id="635721878">
      <w:bodyDiv w:val="1"/>
      <w:marLeft w:val="0"/>
      <w:marRight w:val="0"/>
      <w:marTop w:val="0"/>
      <w:marBottom w:val="0"/>
      <w:divBdr>
        <w:top w:val="none" w:sz="0" w:space="0" w:color="auto"/>
        <w:left w:val="none" w:sz="0" w:space="0" w:color="auto"/>
        <w:bottom w:val="none" w:sz="0" w:space="0" w:color="auto"/>
        <w:right w:val="none" w:sz="0" w:space="0" w:color="auto"/>
      </w:divBdr>
    </w:div>
    <w:div w:id="638190012">
      <w:bodyDiv w:val="1"/>
      <w:marLeft w:val="0"/>
      <w:marRight w:val="0"/>
      <w:marTop w:val="0"/>
      <w:marBottom w:val="0"/>
      <w:divBdr>
        <w:top w:val="none" w:sz="0" w:space="0" w:color="auto"/>
        <w:left w:val="none" w:sz="0" w:space="0" w:color="auto"/>
        <w:bottom w:val="none" w:sz="0" w:space="0" w:color="auto"/>
        <w:right w:val="none" w:sz="0" w:space="0" w:color="auto"/>
      </w:divBdr>
    </w:div>
    <w:div w:id="640574895">
      <w:bodyDiv w:val="1"/>
      <w:marLeft w:val="0"/>
      <w:marRight w:val="0"/>
      <w:marTop w:val="0"/>
      <w:marBottom w:val="0"/>
      <w:divBdr>
        <w:top w:val="none" w:sz="0" w:space="0" w:color="auto"/>
        <w:left w:val="none" w:sz="0" w:space="0" w:color="auto"/>
        <w:bottom w:val="none" w:sz="0" w:space="0" w:color="auto"/>
        <w:right w:val="none" w:sz="0" w:space="0" w:color="auto"/>
      </w:divBdr>
    </w:div>
    <w:div w:id="641547292">
      <w:bodyDiv w:val="1"/>
      <w:marLeft w:val="0"/>
      <w:marRight w:val="0"/>
      <w:marTop w:val="0"/>
      <w:marBottom w:val="0"/>
      <w:divBdr>
        <w:top w:val="none" w:sz="0" w:space="0" w:color="auto"/>
        <w:left w:val="none" w:sz="0" w:space="0" w:color="auto"/>
        <w:bottom w:val="none" w:sz="0" w:space="0" w:color="auto"/>
        <w:right w:val="none" w:sz="0" w:space="0" w:color="auto"/>
      </w:divBdr>
    </w:div>
    <w:div w:id="643506322">
      <w:bodyDiv w:val="1"/>
      <w:marLeft w:val="0"/>
      <w:marRight w:val="0"/>
      <w:marTop w:val="0"/>
      <w:marBottom w:val="0"/>
      <w:divBdr>
        <w:top w:val="none" w:sz="0" w:space="0" w:color="auto"/>
        <w:left w:val="none" w:sz="0" w:space="0" w:color="auto"/>
        <w:bottom w:val="none" w:sz="0" w:space="0" w:color="auto"/>
        <w:right w:val="none" w:sz="0" w:space="0" w:color="auto"/>
      </w:divBdr>
    </w:div>
    <w:div w:id="645088509">
      <w:bodyDiv w:val="1"/>
      <w:marLeft w:val="0"/>
      <w:marRight w:val="0"/>
      <w:marTop w:val="0"/>
      <w:marBottom w:val="0"/>
      <w:divBdr>
        <w:top w:val="none" w:sz="0" w:space="0" w:color="auto"/>
        <w:left w:val="none" w:sz="0" w:space="0" w:color="auto"/>
        <w:bottom w:val="none" w:sz="0" w:space="0" w:color="auto"/>
        <w:right w:val="none" w:sz="0" w:space="0" w:color="auto"/>
      </w:divBdr>
    </w:div>
    <w:div w:id="647056986">
      <w:bodyDiv w:val="1"/>
      <w:marLeft w:val="0"/>
      <w:marRight w:val="0"/>
      <w:marTop w:val="0"/>
      <w:marBottom w:val="0"/>
      <w:divBdr>
        <w:top w:val="none" w:sz="0" w:space="0" w:color="auto"/>
        <w:left w:val="none" w:sz="0" w:space="0" w:color="auto"/>
        <w:bottom w:val="none" w:sz="0" w:space="0" w:color="auto"/>
        <w:right w:val="none" w:sz="0" w:space="0" w:color="auto"/>
      </w:divBdr>
    </w:div>
    <w:div w:id="648946232">
      <w:bodyDiv w:val="1"/>
      <w:marLeft w:val="0"/>
      <w:marRight w:val="0"/>
      <w:marTop w:val="0"/>
      <w:marBottom w:val="0"/>
      <w:divBdr>
        <w:top w:val="none" w:sz="0" w:space="0" w:color="auto"/>
        <w:left w:val="none" w:sz="0" w:space="0" w:color="auto"/>
        <w:bottom w:val="none" w:sz="0" w:space="0" w:color="auto"/>
        <w:right w:val="none" w:sz="0" w:space="0" w:color="auto"/>
      </w:divBdr>
    </w:div>
    <w:div w:id="650137406">
      <w:bodyDiv w:val="1"/>
      <w:marLeft w:val="0"/>
      <w:marRight w:val="0"/>
      <w:marTop w:val="0"/>
      <w:marBottom w:val="0"/>
      <w:divBdr>
        <w:top w:val="none" w:sz="0" w:space="0" w:color="auto"/>
        <w:left w:val="none" w:sz="0" w:space="0" w:color="auto"/>
        <w:bottom w:val="none" w:sz="0" w:space="0" w:color="auto"/>
        <w:right w:val="none" w:sz="0" w:space="0" w:color="auto"/>
      </w:divBdr>
    </w:div>
    <w:div w:id="653490919">
      <w:bodyDiv w:val="1"/>
      <w:marLeft w:val="0"/>
      <w:marRight w:val="0"/>
      <w:marTop w:val="0"/>
      <w:marBottom w:val="0"/>
      <w:divBdr>
        <w:top w:val="none" w:sz="0" w:space="0" w:color="auto"/>
        <w:left w:val="none" w:sz="0" w:space="0" w:color="auto"/>
        <w:bottom w:val="none" w:sz="0" w:space="0" w:color="auto"/>
        <w:right w:val="none" w:sz="0" w:space="0" w:color="auto"/>
      </w:divBdr>
    </w:div>
    <w:div w:id="653920125">
      <w:bodyDiv w:val="1"/>
      <w:marLeft w:val="0"/>
      <w:marRight w:val="0"/>
      <w:marTop w:val="0"/>
      <w:marBottom w:val="0"/>
      <w:divBdr>
        <w:top w:val="none" w:sz="0" w:space="0" w:color="auto"/>
        <w:left w:val="none" w:sz="0" w:space="0" w:color="auto"/>
        <w:bottom w:val="none" w:sz="0" w:space="0" w:color="auto"/>
        <w:right w:val="none" w:sz="0" w:space="0" w:color="auto"/>
      </w:divBdr>
    </w:div>
    <w:div w:id="655568859">
      <w:bodyDiv w:val="1"/>
      <w:marLeft w:val="0"/>
      <w:marRight w:val="0"/>
      <w:marTop w:val="0"/>
      <w:marBottom w:val="0"/>
      <w:divBdr>
        <w:top w:val="none" w:sz="0" w:space="0" w:color="auto"/>
        <w:left w:val="none" w:sz="0" w:space="0" w:color="auto"/>
        <w:bottom w:val="none" w:sz="0" w:space="0" w:color="auto"/>
        <w:right w:val="none" w:sz="0" w:space="0" w:color="auto"/>
      </w:divBdr>
    </w:div>
    <w:div w:id="655768721">
      <w:bodyDiv w:val="1"/>
      <w:marLeft w:val="0"/>
      <w:marRight w:val="0"/>
      <w:marTop w:val="0"/>
      <w:marBottom w:val="0"/>
      <w:divBdr>
        <w:top w:val="none" w:sz="0" w:space="0" w:color="auto"/>
        <w:left w:val="none" w:sz="0" w:space="0" w:color="auto"/>
        <w:bottom w:val="none" w:sz="0" w:space="0" w:color="auto"/>
        <w:right w:val="none" w:sz="0" w:space="0" w:color="auto"/>
      </w:divBdr>
    </w:div>
    <w:div w:id="655961139">
      <w:bodyDiv w:val="1"/>
      <w:marLeft w:val="0"/>
      <w:marRight w:val="0"/>
      <w:marTop w:val="0"/>
      <w:marBottom w:val="0"/>
      <w:divBdr>
        <w:top w:val="none" w:sz="0" w:space="0" w:color="auto"/>
        <w:left w:val="none" w:sz="0" w:space="0" w:color="auto"/>
        <w:bottom w:val="none" w:sz="0" w:space="0" w:color="auto"/>
        <w:right w:val="none" w:sz="0" w:space="0" w:color="auto"/>
      </w:divBdr>
    </w:div>
    <w:div w:id="656957247">
      <w:bodyDiv w:val="1"/>
      <w:marLeft w:val="0"/>
      <w:marRight w:val="0"/>
      <w:marTop w:val="0"/>
      <w:marBottom w:val="0"/>
      <w:divBdr>
        <w:top w:val="none" w:sz="0" w:space="0" w:color="auto"/>
        <w:left w:val="none" w:sz="0" w:space="0" w:color="auto"/>
        <w:bottom w:val="none" w:sz="0" w:space="0" w:color="auto"/>
        <w:right w:val="none" w:sz="0" w:space="0" w:color="auto"/>
      </w:divBdr>
    </w:div>
    <w:div w:id="657344735">
      <w:bodyDiv w:val="1"/>
      <w:marLeft w:val="0"/>
      <w:marRight w:val="0"/>
      <w:marTop w:val="0"/>
      <w:marBottom w:val="0"/>
      <w:divBdr>
        <w:top w:val="none" w:sz="0" w:space="0" w:color="auto"/>
        <w:left w:val="none" w:sz="0" w:space="0" w:color="auto"/>
        <w:bottom w:val="none" w:sz="0" w:space="0" w:color="auto"/>
        <w:right w:val="none" w:sz="0" w:space="0" w:color="auto"/>
      </w:divBdr>
    </w:div>
    <w:div w:id="657735760">
      <w:bodyDiv w:val="1"/>
      <w:marLeft w:val="0"/>
      <w:marRight w:val="0"/>
      <w:marTop w:val="0"/>
      <w:marBottom w:val="0"/>
      <w:divBdr>
        <w:top w:val="none" w:sz="0" w:space="0" w:color="auto"/>
        <w:left w:val="none" w:sz="0" w:space="0" w:color="auto"/>
        <w:bottom w:val="none" w:sz="0" w:space="0" w:color="auto"/>
        <w:right w:val="none" w:sz="0" w:space="0" w:color="auto"/>
      </w:divBdr>
    </w:div>
    <w:div w:id="663629694">
      <w:bodyDiv w:val="1"/>
      <w:marLeft w:val="0"/>
      <w:marRight w:val="0"/>
      <w:marTop w:val="0"/>
      <w:marBottom w:val="0"/>
      <w:divBdr>
        <w:top w:val="none" w:sz="0" w:space="0" w:color="auto"/>
        <w:left w:val="none" w:sz="0" w:space="0" w:color="auto"/>
        <w:bottom w:val="none" w:sz="0" w:space="0" w:color="auto"/>
        <w:right w:val="none" w:sz="0" w:space="0" w:color="auto"/>
      </w:divBdr>
    </w:div>
    <w:div w:id="663705121">
      <w:bodyDiv w:val="1"/>
      <w:marLeft w:val="0"/>
      <w:marRight w:val="0"/>
      <w:marTop w:val="0"/>
      <w:marBottom w:val="0"/>
      <w:divBdr>
        <w:top w:val="none" w:sz="0" w:space="0" w:color="auto"/>
        <w:left w:val="none" w:sz="0" w:space="0" w:color="auto"/>
        <w:bottom w:val="none" w:sz="0" w:space="0" w:color="auto"/>
        <w:right w:val="none" w:sz="0" w:space="0" w:color="auto"/>
      </w:divBdr>
    </w:div>
    <w:div w:id="664406721">
      <w:bodyDiv w:val="1"/>
      <w:marLeft w:val="0"/>
      <w:marRight w:val="0"/>
      <w:marTop w:val="0"/>
      <w:marBottom w:val="0"/>
      <w:divBdr>
        <w:top w:val="none" w:sz="0" w:space="0" w:color="auto"/>
        <w:left w:val="none" w:sz="0" w:space="0" w:color="auto"/>
        <w:bottom w:val="none" w:sz="0" w:space="0" w:color="auto"/>
        <w:right w:val="none" w:sz="0" w:space="0" w:color="auto"/>
      </w:divBdr>
    </w:div>
    <w:div w:id="665059691">
      <w:bodyDiv w:val="1"/>
      <w:marLeft w:val="0"/>
      <w:marRight w:val="0"/>
      <w:marTop w:val="0"/>
      <w:marBottom w:val="0"/>
      <w:divBdr>
        <w:top w:val="none" w:sz="0" w:space="0" w:color="auto"/>
        <w:left w:val="none" w:sz="0" w:space="0" w:color="auto"/>
        <w:bottom w:val="none" w:sz="0" w:space="0" w:color="auto"/>
        <w:right w:val="none" w:sz="0" w:space="0" w:color="auto"/>
      </w:divBdr>
    </w:div>
    <w:div w:id="668673579">
      <w:bodyDiv w:val="1"/>
      <w:marLeft w:val="0"/>
      <w:marRight w:val="0"/>
      <w:marTop w:val="0"/>
      <w:marBottom w:val="0"/>
      <w:divBdr>
        <w:top w:val="none" w:sz="0" w:space="0" w:color="auto"/>
        <w:left w:val="none" w:sz="0" w:space="0" w:color="auto"/>
        <w:bottom w:val="none" w:sz="0" w:space="0" w:color="auto"/>
        <w:right w:val="none" w:sz="0" w:space="0" w:color="auto"/>
      </w:divBdr>
    </w:div>
    <w:div w:id="670565087">
      <w:bodyDiv w:val="1"/>
      <w:marLeft w:val="0"/>
      <w:marRight w:val="0"/>
      <w:marTop w:val="0"/>
      <w:marBottom w:val="0"/>
      <w:divBdr>
        <w:top w:val="none" w:sz="0" w:space="0" w:color="auto"/>
        <w:left w:val="none" w:sz="0" w:space="0" w:color="auto"/>
        <w:bottom w:val="none" w:sz="0" w:space="0" w:color="auto"/>
        <w:right w:val="none" w:sz="0" w:space="0" w:color="auto"/>
      </w:divBdr>
    </w:div>
    <w:div w:id="671832495">
      <w:bodyDiv w:val="1"/>
      <w:marLeft w:val="0"/>
      <w:marRight w:val="0"/>
      <w:marTop w:val="0"/>
      <w:marBottom w:val="0"/>
      <w:divBdr>
        <w:top w:val="none" w:sz="0" w:space="0" w:color="auto"/>
        <w:left w:val="none" w:sz="0" w:space="0" w:color="auto"/>
        <w:bottom w:val="none" w:sz="0" w:space="0" w:color="auto"/>
        <w:right w:val="none" w:sz="0" w:space="0" w:color="auto"/>
      </w:divBdr>
    </w:div>
    <w:div w:id="671838031">
      <w:bodyDiv w:val="1"/>
      <w:marLeft w:val="0"/>
      <w:marRight w:val="0"/>
      <w:marTop w:val="0"/>
      <w:marBottom w:val="0"/>
      <w:divBdr>
        <w:top w:val="none" w:sz="0" w:space="0" w:color="auto"/>
        <w:left w:val="none" w:sz="0" w:space="0" w:color="auto"/>
        <w:bottom w:val="none" w:sz="0" w:space="0" w:color="auto"/>
        <w:right w:val="none" w:sz="0" w:space="0" w:color="auto"/>
      </w:divBdr>
    </w:div>
    <w:div w:id="673844676">
      <w:bodyDiv w:val="1"/>
      <w:marLeft w:val="0"/>
      <w:marRight w:val="0"/>
      <w:marTop w:val="0"/>
      <w:marBottom w:val="0"/>
      <w:divBdr>
        <w:top w:val="none" w:sz="0" w:space="0" w:color="auto"/>
        <w:left w:val="none" w:sz="0" w:space="0" w:color="auto"/>
        <w:bottom w:val="none" w:sz="0" w:space="0" w:color="auto"/>
        <w:right w:val="none" w:sz="0" w:space="0" w:color="auto"/>
      </w:divBdr>
    </w:div>
    <w:div w:id="674385400">
      <w:bodyDiv w:val="1"/>
      <w:marLeft w:val="0"/>
      <w:marRight w:val="0"/>
      <w:marTop w:val="0"/>
      <w:marBottom w:val="0"/>
      <w:divBdr>
        <w:top w:val="none" w:sz="0" w:space="0" w:color="auto"/>
        <w:left w:val="none" w:sz="0" w:space="0" w:color="auto"/>
        <w:bottom w:val="none" w:sz="0" w:space="0" w:color="auto"/>
        <w:right w:val="none" w:sz="0" w:space="0" w:color="auto"/>
      </w:divBdr>
    </w:div>
    <w:div w:id="674577367">
      <w:bodyDiv w:val="1"/>
      <w:marLeft w:val="0"/>
      <w:marRight w:val="0"/>
      <w:marTop w:val="0"/>
      <w:marBottom w:val="0"/>
      <w:divBdr>
        <w:top w:val="none" w:sz="0" w:space="0" w:color="auto"/>
        <w:left w:val="none" w:sz="0" w:space="0" w:color="auto"/>
        <w:bottom w:val="none" w:sz="0" w:space="0" w:color="auto"/>
        <w:right w:val="none" w:sz="0" w:space="0" w:color="auto"/>
      </w:divBdr>
    </w:div>
    <w:div w:id="676806262">
      <w:bodyDiv w:val="1"/>
      <w:marLeft w:val="0"/>
      <w:marRight w:val="0"/>
      <w:marTop w:val="0"/>
      <w:marBottom w:val="0"/>
      <w:divBdr>
        <w:top w:val="none" w:sz="0" w:space="0" w:color="auto"/>
        <w:left w:val="none" w:sz="0" w:space="0" w:color="auto"/>
        <w:bottom w:val="none" w:sz="0" w:space="0" w:color="auto"/>
        <w:right w:val="none" w:sz="0" w:space="0" w:color="auto"/>
      </w:divBdr>
    </w:div>
    <w:div w:id="678044338">
      <w:bodyDiv w:val="1"/>
      <w:marLeft w:val="0"/>
      <w:marRight w:val="0"/>
      <w:marTop w:val="0"/>
      <w:marBottom w:val="0"/>
      <w:divBdr>
        <w:top w:val="none" w:sz="0" w:space="0" w:color="auto"/>
        <w:left w:val="none" w:sz="0" w:space="0" w:color="auto"/>
        <w:bottom w:val="none" w:sz="0" w:space="0" w:color="auto"/>
        <w:right w:val="none" w:sz="0" w:space="0" w:color="auto"/>
      </w:divBdr>
    </w:div>
    <w:div w:id="678431306">
      <w:bodyDiv w:val="1"/>
      <w:marLeft w:val="0"/>
      <w:marRight w:val="0"/>
      <w:marTop w:val="0"/>
      <w:marBottom w:val="0"/>
      <w:divBdr>
        <w:top w:val="none" w:sz="0" w:space="0" w:color="auto"/>
        <w:left w:val="none" w:sz="0" w:space="0" w:color="auto"/>
        <w:bottom w:val="none" w:sz="0" w:space="0" w:color="auto"/>
        <w:right w:val="none" w:sz="0" w:space="0" w:color="auto"/>
      </w:divBdr>
    </w:div>
    <w:div w:id="679817494">
      <w:bodyDiv w:val="1"/>
      <w:marLeft w:val="0"/>
      <w:marRight w:val="0"/>
      <w:marTop w:val="0"/>
      <w:marBottom w:val="0"/>
      <w:divBdr>
        <w:top w:val="none" w:sz="0" w:space="0" w:color="auto"/>
        <w:left w:val="none" w:sz="0" w:space="0" w:color="auto"/>
        <w:bottom w:val="none" w:sz="0" w:space="0" w:color="auto"/>
        <w:right w:val="none" w:sz="0" w:space="0" w:color="auto"/>
      </w:divBdr>
    </w:div>
    <w:div w:id="682972729">
      <w:bodyDiv w:val="1"/>
      <w:marLeft w:val="0"/>
      <w:marRight w:val="0"/>
      <w:marTop w:val="0"/>
      <w:marBottom w:val="0"/>
      <w:divBdr>
        <w:top w:val="none" w:sz="0" w:space="0" w:color="auto"/>
        <w:left w:val="none" w:sz="0" w:space="0" w:color="auto"/>
        <w:bottom w:val="none" w:sz="0" w:space="0" w:color="auto"/>
        <w:right w:val="none" w:sz="0" w:space="0" w:color="auto"/>
      </w:divBdr>
    </w:div>
    <w:div w:id="689794994">
      <w:bodyDiv w:val="1"/>
      <w:marLeft w:val="0"/>
      <w:marRight w:val="0"/>
      <w:marTop w:val="0"/>
      <w:marBottom w:val="0"/>
      <w:divBdr>
        <w:top w:val="none" w:sz="0" w:space="0" w:color="auto"/>
        <w:left w:val="none" w:sz="0" w:space="0" w:color="auto"/>
        <w:bottom w:val="none" w:sz="0" w:space="0" w:color="auto"/>
        <w:right w:val="none" w:sz="0" w:space="0" w:color="auto"/>
      </w:divBdr>
    </w:div>
    <w:div w:id="692925898">
      <w:bodyDiv w:val="1"/>
      <w:marLeft w:val="0"/>
      <w:marRight w:val="0"/>
      <w:marTop w:val="0"/>
      <w:marBottom w:val="0"/>
      <w:divBdr>
        <w:top w:val="none" w:sz="0" w:space="0" w:color="auto"/>
        <w:left w:val="none" w:sz="0" w:space="0" w:color="auto"/>
        <w:bottom w:val="none" w:sz="0" w:space="0" w:color="auto"/>
        <w:right w:val="none" w:sz="0" w:space="0" w:color="auto"/>
      </w:divBdr>
    </w:div>
    <w:div w:id="694812676">
      <w:bodyDiv w:val="1"/>
      <w:marLeft w:val="0"/>
      <w:marRight w:val="0"/>
      <w:marTop w:val="0"/>
      <w:marBottom w:val="0"/>
      <w:divBdr>
        <w:top w:val="none" w:sz="0" w:space="0" w:color="auto"/>
        <w:left w:val="none" w:sz="0" w:space="0" w:color="auto"/>
        <w:bottom w:val="none" w:sz="0" w:space="0" w:color="auto"/>
        <w:right w:val="none" w:sz="0" w:space="0" w:color="auto"/>
      </w:divBdr>
    </w:div>
    <w:div w:id="694959192">
      <w:bodyDiv w:val="1"/>
      <w:marLeft w:val="0"/>
      <w:marRight w:val="0"/>
      <w:marTop w:val="0"/>
      <w:marBottom w:val="0"/>
      <w:divBdr>
        <w:top w:val="none" w:sz="0" w:space="0" w:color="auto"/>
        <w:left w:val="none" w:sz="0" w:space="0" w:color="auto"/>
        <w:bottom w:val="none" w:sz="0" w:space="0" w:color="auto"/>
        <w:right w:val="none" w:sz="0" w:space="0" w:color="auto"/>
      </w:divBdr>
    </w:div>
    <w:div w:id="696541363">
      <w:bodyDiv w:val="1"/>
      <w:marLeft w:val="0"/>
      <w:marRight w:val="0"/>
      <w:marTop w:val="0"/>
      <w:marBottom w:val="0"/>
      <w:divBdr>
        <w:top w:val="none" w:sz="0" w:space="0" w:color="auto"/>
        <w:left w:val="none" w:sz="0" w:space="0" w:color="auto"/>
        <w:bottom w:val="none" w:sz="0" w:space="0" w:color="auto"/>
        <w:right w:val="none" w:sz="0" w:space="0" w:color="auto"/>
      </w:divBdr>
    </w:div>
    <w:div w:id="697396587">
      <w:bodyDiv w:val="1"/>
      <w:marLeft w:val="0"/>
      <w:marRight w:val="0"/>
      <w:marTop w:val="0"/>
      <w:marBottom w:val="0"/>
      <w:divBdr>
        <w:top w:val="none" w:sz="0" w:space="0" w:color="auto"/>
        <w:left w:val="none" w:sz="0" w:space="0" w:color="auto"/>
        <w:bottom w:val="none" w:sz="0" w:space="0" w:color="auto"/>
        <w:right w:val="none" w:sz="0" w:space="0" w:color="auto"/>
      </w:divBdr>
    </w:div>
    <w:div w:id="697898432">
      <w:bodyDiv w:val="1"/>
      <w:marLeft w:val="0"/>
      <w:marRight w:val="0"/>
      <w:marTop w:val="0"/>
      <w:marBottom w:val="0"/>
      <w:divBdr>
        <w:top w:val="none" w:sz="0" w:space="0" w:color="auto"/>
        <w:left w:val="none" w:sz="0" w:space="0" w:color="auto"/>
        <w:bottom w:val="none" w:sz="0" w:space="0" w:color="auto"/>
        <w:right w:val="none" w:sz="0" w:space="0" w:color="auto"/>
      </w:divBdr>
    </w:div>
    <w:div w:id="699746549">
      <w:bodyDiv w:val="1"/>
      <w:marLeft w:val="0"/>
      <w:marRight w:val="0"/>
      <w:marTop w:val="0"/>
      <w:marBottom w:val="0"/>
      <w:divBdr>
        <w:top w:val="none" w:sz="0" w:space="0" w:color="auto"/>
        <w:left w:val="none" w:sz="0" w:space="0" w:color="auto"/>
        <w:bottom w:val="none" w:sz="0" w:space="0" w:color="auto"/>
        <w:right w:val="none" w:sz="0" w:space="0" w:color="auto"/>
      </w:divBdr>
    </w:div>
    <w:div w:id="701056823">
      <w:bodyDiv w:val="1"/>
      <w:marLeft w:val="0"/>
      <w:marRight w:val="0"/>
      <w:marTop w:val="0"/>
      <w:marBottom w:val="0"/>
      <w:divBdr>
        <w:top w:val="none" w:sz="0" w:space="0" w:color="auto"/>
        <w:left w:val="none" w:sz="0" w:space="0" w:color="auto"/>
        <w:bottom w:val="none" w:sz="0" w:space="0" w:color="auto"/>
        <w:right w:val="none" w:sz="0" w:space="0" w:color="auto"/>
      </w:divBdr>
    </w:div>
    <w:div w:id="701174556">
      <w:bodyDiv w:val="1"/>
      <w:marLeft w:val="0"/>
      <w:marRight w:val="0"/>
      <w:marTop w:val="0"/>
      <w:marBottom w:val="0"/>
      <w:divBdr>
        <w:top w:val="none" w:sz="0" w:space="0" w:color="auto"/>
        <w:left w:val="none" w:sz="0" w:space="0" w:color="auto"/>
        <w:bottom w:val="none" w:sz="0" w:space="0" w:color="auto"/>
        <w:right w:val="none" w:sz="0" w:space="0" w:color="auto"/>
      </w:divBdr>
    </w:div>
    <w:div w:id="701592693">
      <w:bodyDiv w:val="1"/>
      <w:marLeft w:val="0"/>
      <w:marRight w:val="0"/>
      <w:marTop w:val="0"/>
      <w:marBottom w:val="0"/>
      <w:divBdr>
        <w:top w:val="none" w:sz="0" w:space="0" w:color="auto"/>
        <w:left w:val="none" w:sz="0" w:space="0" w:color="auto"/>
        <w:bottom w:val="none" w:sz="0" w:space="0" w:color="auto"/>
        <w:right w:val="none" w:sz="0" w:space="0" w:color="auto"/>
      </w:divBdr>
    </w:div>
    <w:div w:id="702174899">
      <w:bodyDiv w:val="1"/>
      <w:marLeft w:val="0"/>
      <w:marRight w:val="0"/>
      <w:marTop w:val="0"/>
      <w:marBottom w:val="0"/>
      <w:divBdr>
        <w:top w:val="none" w:sz="0" w:space="0" w:color="auto"/>
        <w:left w:val="none" w:sz="0" w:space="0" w:color="auto"/>
        <w:bottom w:val="none" w:sz="0" w:space="0" w:color="auto"/>
        <w:right w:val="none" w:sz="0" w:space="0" w:color="auto"/>
      </w:divBdr>
    </w:div>
    <w:div w:id="702904967">
      <w:bodyDiv w:val="1"/>
      <w:marLeft w:val="0"/>
      <w:marRight w:val="0"/>
      <w:marTop w:val="0"/>
      <w:marBottom w:val="0"/>
      <w:divBdr>
        <w:top w:val="none" w:sz="0" w:space="0" w:color="auto"/>
        <w:left w:val="none" w:sz="0" w:space="0" w:color="auto"/>
        <w:bottom w:val="none" w:sz="0" w:space="0" w:color="auto"/>
        <w:right w:val="none" w:sz="0" w:space="0" w:color="auto"/>
      </w:divBdr>
    </w:div>
    <w:div w:id="704217030">
      <w:bodyDiv w:val="1"/>
      <w:marLeft w:val="0"/>
      <w:marRight w:val="0"/>
      <w:marTop w:val="0"/>
      <w:marBottom w:val="0"/>
      <w:divBdr>
        <w:top w:val="none" w:sz="0" w:space="0" w:color="auto"/>
        <w:left w:val="none" w:sz="0" w:space="0" w:color="auto"/>
        <w:bottom w:val="none" w:sz="0" w:space="0" w:color="auto"/>
        <w:right w:val="none" w:sz="0" w:space="0" w:color="auto"/>
      </w:divBdr>
    </w:div>
    <w:div w:id="704793474">
      <w:bodyDiv w:val="1"/>
      <w:marLeft w:val="0"/>
      <w:marRight w:val="0"/>
      <w:marTop w:val="0"/>
      <w:marBottom w:val="0"/>
      <w:divBdr>
        <w:top w:val="none" w:sz="0" w:space="0" w:color="auto"/>
        <w:left w:val="none" w:sz="0" w:space="0" w:color="auto"/>
        <w:bottom w:val="none" w:sz="0" w:space="0" w:color="auto"/>
        <w:right w:val="none" w:sz="0" w:space="0" w:color="auto"/>
      </w:divBdr>
    </w:div>
    <w:div w:id="707022790">
      <w:bodyDiv w:val="1"/>
      <w:marLeft w:val="0"/>
      <w:marRight w:val="0"/>
      <w:marTop w:val="0"/>
      <w:marBottom w:val="0"/>
      <w:divBdr>
        <w:top w:val="none" w:sz="0" w:space="0" w:color="auto"/>
        <w:left w:val="none" w:sz="0" w:space="0" w:color="auto"/>
        <w:bottom w:val="none" w:sz="0" w:space="0" w:color="auto"/>
        <w:right w:val="none" w:sz="0" w:space="0" w:color="auto"/>
      </w:divBdr>
    </w:div>
    <w:div w:id="707222098">
      <w:bodyDiv w:val="1"/>
      <w:marLeft w:val="0"/>
      <w:marRight w:val="0"/>
      <w:marTop w:val="0"/>
      <w:marBottom w:val="0"/>
      <w:divBdr>
        <w:top w:val="none" w:sz="0" w:space="0" w:color="auto"/>
        <w:left w:val="none" w:sz="0" w:space="0" w:color="auto"/>
        <w:bottom w:val="none" w:sz="0" w:space="0" w:color="auto"/>
        <w:right w:val="none" w:sz="0" w:space="0" w:color="auto"/>
      </w:divBdr>
    </w:div>
    <w:div w:id="707339749">
      <w:bodyDiv w:val="1"/>
      <w:marLeft w:val="0"/>
      <w:marRight w:val="0"/>
      <w:marTop w:val="0"/>
      <w:marBottom w:val="0"/>
      <w:divBdr>
        <w:top w:val="none" w:sz="0" w:space="0" w:color="auto"/>
        <w:left w:val="none" w:sz="0" w:space="0" w:color="auto"/>
        <w:bottom w:val="none" w:sz="0" w:space="0" w:color="auto"/>
        <w:right w:val="none" w:sz="0" w:space="0" w:color="auto"/>
      </w:divBdr>
    </w:div>
    <w:div w:id="708262591">
      <w:bodyDiv w:val="1"/>
      <w:marLeft w:val="0"/>
      <w:marRight w:val="0"/>
      <w:marTop w:val="0"/>
      <w:marBottom w:val="0"/>
      <w:divBdr>
        <w:top w:val="none" w:sz="0" w:space="0" w:color="auto"/>
        <w:left w:val="none" w:sz="0" w:space="0" w:color="auto"/>
        <w:bottom w:val="none" w:sz="0" w:space="0" w:color="auto"/>
        <w:right w:val="none" w:sz="0" w:space="0" w:color="auto"/>
      </w:divBdr>
    </w:div>
    <w:div w:id="708728665">
      <w:bodyDiv w:val="1"/>
      <w:marLeft w:val="0"/>
      <w:marRight w:val="0"/>
      <w:marTop w:val="0"/>
      <w:marBottom w:val="0"/>
      <w:divBdr>
        <w:top w:val="none" w:sz="0" w:space="0" w:color="auto"/>
        <w:left w:val="none" w:sz="0" w:space="0" w:color="auto"/>
        <w:bottom w:val="none" w:sz="0" w:space="0" w:color="auto"/>
        <w:right w:val="none" w:sz="0" w:space="0" w:color="auto"/>
      </w:divBdr>
    </w:div>
    <w:div w:id="710804605">
      <w:bodyDiv w:val="1"/>
      <w:marLeft w:val="0"/>
      <w:marRight w:val="0"/>
      <w:marTop w:val="0"/>
      <w:marBottom w:val="0"/>
      <w:divBdr>
        <w:top w:val="none" w:sz="0" w:space="0" w:color="auto"/>
        <w:left w:val="none" w:sz="0" w:space="0" w:color="auto"/>
        <w:bottom w:val="none" w:sz="0" w:space="0" w:color="auto"/>
        <w:right w:val="none" w:sz="0" w:space="0" w:color="auto"/>
      </w:divBdr>
    </w:div>
    <w:div w:id="711466629">
      <w:bodyDiv w:val="1"/>
      <w:marLeft w:val="0"/>
      <w:marRight w:val="0"/>
      <w:marTop w:val="0"/>
      <w:marBottom w:val="0"/>
      <w:divBdr>
        <w:top w:val="none" w:sz="0" w:space="0" w:color="auto"/>
        <w:left w:val="none" w:sz="0" w:space="0" w:color="auto"/>
        <w:bottom w:val="none" w:sz="0" w:space="0" w:color="auto"/>
        <w:right w:val="none" w:sz="0" w:space="0" w:color="auto"/>
      </w:divBdr>
    </w:div>
    <w:div w:id="712384261">
      <w:bodyDiv w:val="1"/>
      <w:marLeft w:val="0"/>
      <w:marRight w:val="0"/>
      <w:marTop w:val="0"/>
      <w:marBottom w:val="0"/>
      <w:divBdr>
        <w:top w:val="none" w:sz="0" w:space="0" w:color="auto"/>
        <w:left w:val="none" w:sz="0" w:space="0" w:color="auto"/>
        <w:bottom w:val="none" w:sz="0" w:space="0" w:color="auto"/>
        <w:right w:val="none" w:sz="0" w:space="0" w:color="auto"/>
      </w:divBdr>
    </w:div>
    <w:div w:id="716198060">
      <w:bodyDiv w:val="1"/>
      <w:marLeft w:val="0"/>
      <w:marRight w:val="0"/>
      <w:marTop w:val="0"/>
      <w:marBottom w:val="0"/>
      <w:divBdr>
        <w:top w:val="none" w:sz="0" w:space="0" w:color="auto"/>
        <w:left w:val="none" w:sz="0" w:space="0" w:color="auto"/>
        <w:bottom w:val="none" w:sz="0" w:space="0" w:color="auto"/>
        <w:right w:val="none" w:sz="0" w:space="0" w:color="auto"/>
      </w:divBdr>
    </w:div>
    <w:div w:id="720983350">
      <w:bodyDiv w:val="1"/>
      <w:marLeft w:val="0"/>
      <w:marRight w:val="0"/>
      <w:marTop w:val="0"/>
      <w:marBottom w:val="0"/>
      <w:divBdr>
        <w:top w:val="none" w:sz="0" w:space="0" w:color="auto"/>
        <w:left w:val="none" w:sz="0" w:space="0" w:color="auto"/>
        <w:bottom w:val="none" w:sz="0" w:space="0" w:color="auto"/>
        <w:right w:val="none" w:sz="0" w:space="0" w:color="auto"/>
      </w:divBdr>
    </w:div>
    <w:div w:id="726609811">
      <w:bodyDiv w:val="1"/>
      <w:marLeft w:val="0"/>
      <w:marRight w:val="0"/>
      <w:marTop w:val="0"/>
      <w:marBottom w:val="0"/>
      <w:divBdr>
        <w:top w:val="none" w:sz="0" w:space="0" w:color="auto"/>
        <w:left w:val="none" w:sz="0" w:space="0" w:color="auto"/>
        <w:bottom w:val="none" w:sz="0" w:space="0" w:color="auto"/>
        <w:right w:val="none" w:sz="0" w:space="0" w:color="auto"/>
      </w:divBdr>
    </w:div>
    <w:div w:id="726999511">
      <w:bodyDiv w:val="1"/>
      <w:marLeft w:val="0"/>
      <w:marRight w:val="0"/>
      <w:marTop w:val="0"/>
      <w:marBottom w:val="0"/>
      <w:divBdr>
        <w:top w:val="none" w:sz="0" w:space="0" w:color="auto"/>
        <w:left w:val="none" w:sz="0" w:space="0" w:color="auto"/>
        <w:bottom w:val="none" w:sz="0" w:space="0" w:color="auto"/>
        <w:right w:val="none" w:sz="0" w:space="0" w:color="auto"/>
      </w:divBdr>
    </w:div>
    <w:div w:id="727653303">
      <w:bodyDiv w:val="1"/>
      <w:marLeft w:val="0"/>
      <w:marRight w:val="0"/>
      <w:marTop w:val="0"/>
      <w:marBottom w:val="0"/>
      <w:divBdr>
        <w:top w:val="none" w:sz="0" w:space="0" w:color="auto"/>
        <w:left w:val="none" w:sz="0" w:space="0" w:color="auto"/>
        <w:bottom w:val="none" w:sz="0" w:space="0" w:color="auto"/>
        <w:right w:val="none" w:sz="0" w:space="0" w:color="auto"/>
      </w:divBdr>
    </w:div>
    <w:div w:id="730420029">
      <w:bodyDiv w:val="1"/>
      <w:marLeft w:val="0"/>
      <w:marRight w:val="0"/>
      <w:marTop w:val="0"/>
      <w:marBottom w:val="0"/>
      <w:divBdr>
        <w:top w:val="none" w:sz="0" w:space="0" w:color="auto"/>
        <w:left w:val="none" w:sz="0" w:space="0" w:color="auto"/>
        <w:bottom w:val="none" w:sz="0" w:space="0" w:color="auto"/>
        <w:right w:val="none" w:sz="0" w:space="0" w:color="auto"/>
      </w:divBdr>
    </w:div>
    <w:div w:id="731004564">
      <w:bodyDiv w:val="1"/>
      <w:marLeft w:val="0"/>
      <w:marRight w:val="0"/>
      <w:marTop w:val="0"/>
      <w:marBottom w:val="0"/>
      <w:divBdr>
        <w:top w:val="none" w:sz="0" w:space="0" w:color="auto"/>
        <w:left w:val="none" w:sz="0" w:space="0" w:color="auto"/>
        <w:bottom w:val="none" w:sz="0" w:space="0" w:color="auto"/>
        <w:right w:val="none" w:sz="0" w:space="0" w:color="auto"/>
      </w:divBdr>
    </w:div>
    <w:div w:id="732658878">
      <w:bodyDiv w:val="1"/>
      <w:marLeft w:val="0"/>
      <w:marRight w:val="0"/>
      <w:marTop w:val="0"/>
      <w:marBottom w:val="0"/>
      <w:divBdr>
        <w:top w:val="none" w:sz="0" w:space="0" w:color="auto"/>
        <w:left w:val="none" w:sz="0" w:space="0" w:color="auto"/>
        <w:bottom w:val="none" w:sz="0" w:space="0" w:color="auto"/>
        <w:right w:val="none" w:sz="0" w:space="0" w:color="auto"/>
      </w:divBdr>
    </w:div>
    <w:div w:id="734204399">
      <w:bodyDiv w:val="1"/>
      <w:marLeft w:val="0"/>
      <w:marRight w:val="0"/>
      <w:marTop w:val="0"/>
      <w:marBottom w:val="0"/>
      <w:divBdr>
        <w:top w:val="none" w:sz="0" w:space="0" w:color="auto"/>
        <w:left w:val="none" w:sz="0" w:space="0" w:color="auto"/>
        <w:bottom w:val="none" w:sz="0" w:space="0" w:color="auto"/>
        <w:right w:val="none" w:sz="0" w:space="0" w:color="auto"/>
      </w:divBdr>
    </w:div>
    <w:div w:id="736166828">
      <w:bodyDiv w:val="1"/>
      <w:marLeft w:val="0"/>
      <w:marRight w:val="0"/>
      <w:marTop w:val="0"/>
      <w:marBottom w:val="0"/>
      <w:divBdr>
        <w:top w:val="none" w:sz="0" w:space="0" w:color="auto"/>
        <w:left w:val="none" w:sz="0" w:space="0" w:color="auto"/>
        <w:bottom w:val="none" w:sz="0" w:space="0" w:color="auto"/>
        <w:right w:val="none" w:sz="0" w:space="0" w:color="auto"/>
      </w:divBdr>
    </w:div>
    <w:div w:id="738938902">
      <w:bodyDiv w:val="1"/>
      <w:marLeft w:val="0"/>
      <w:marRight w:val="0"/>
      <w:marTop w:val="0"/>
      <w:marBottom w:val="0"/>
      <w:divBdr>
        <w:top w:val="none" w:sz="0" w:space="0" w:color="auto"/>
        <w:left w:val="none" w:sz="0" w:space="0" w:color="auto"/>
        <w:bottom w:val="none" w:sz="0" w:space="0" w:color="auto"/>
        <w:right w:val="none" w:sz="0" w:space="0" w:color="auto"/>
      </w:divBdr>
    </w:div>
    <w:div w:id="739793223">
      <w:bodyDiv w:val="1"/>
      <w:marLeft w:val="0"/>
      <w:marRight w:val="0"/>
      <w:marTop w:val="0"/>
      <w:marBottom w:val="0"/>
      <w:divBdr>
        <w:top w:val="none" w:sz="0" w:space="0" w:color="auto"/>
        <w:left w:val="none" w:sz="0" w:space="0" w:color="auto"/>
        <w:bottom w:val="none" w:sz="0" w:space="0" w:color="auto"/>
        <w:right w:val="none" w:sz="0" w:space="0" w:color="auto"/>
      </w:divBdr>
    </w:div>
    <w:div w:id="740106461">
      <w:bodyDiv w:val="1"/>
      <w:marLeft w:val="0"/>
      <w:marRight w:val="0"/>
      <w:marTop w:val="0"/>
      <w:marBottom w:val="0"/>
      <w:divBdr>
        <w:top w:val="none" w:sz="0" w:space="0" w:color="auto"/>
        <w:left w:val="none" w:sz="0" w:space="0" w:color="auto"/>
        <w:bottom w:val="none" w:sz="0" w:space="0" w:color="auto"/>
        <w:right w:val="none" w:sz="0" w:space="0" w:color="auto"/>
      </w:divBdr>
    </w:div>
    <w:div w:id="740906213">
      <w:bodyDiv w:val="1"/>
      <w:marLeft w:val="0"/>
      <w:marRight w:val="0"/>
      <w:marTop w:val="0"/>
      <w:marBottom w:val="0"/>
      <w:divBdr>
        <w:top w:val="none" w:sz="0" w:space="0" w:color="auto"/>
        <w:left w:val="none" w:sz="0" w:space="0" w:color="auto"/>
        <w:bottom w:val="none" w:sz="0" w:space="0" w:color="auto"/>
        <w:right w:val="none" w:sz="0" w:space="0" w:color="auto"/>
      </w:divBdr>
    </w:div>
    <w:div w:id="742262231">
      <w:bodyDiv w:val="1"/>
      <w:marLeft w:val="0"/>
      <w:marRight w:val="0"/>
      <w:marTop w:val="0"/>
      <w:marBottom w:val="0"/>
      <w:divBdr>
        <w:top w:val="none" w:sz="0" w:space="0" w:color="auto"/>
        <w:left w:val="none" w:sz="0" w:space="0" w:color="auto"/>
        <w:bottom w:val="none" w:sz="0" w:space="0" w:color="auto"/>
        <w:right w:val="none" w:sz="0" w:space="0" w:color="auto"/>
      </w:divBdr>
    </w:div>
    <w:div w:id="742409431">
      <w:bodyDiv w:val="1"/>
      <w:marLeft w:val="0"/>
      <w:marRight w:val="0"/>
      <w:marTop w:val="0"/>
      <w:marBottom w:val="0"/>
      <w:divBdr>
        <w:top w:val="none" w:sz="0" w:space="0" w:color="auto"/>
        <w:left w:val="none" w:sz="0" w:space="0" w:color="auto"/>
        <w:bottom w:val="none" w:sz="0" w:space="0" w:color="auto"/>
        <w:right w:val="none" w:sz="0" w:space="0" w:color="auto"/>
      </w:divBdr>
    </w:div>
    <w:div w:id="744303196">
      <w:bodyDiv w:val="1"/>
      <w:marLeft w:val="0"/>
      <w:marRight w:val="0"/>
      <w:marTop w:val="0"/>
      <w:marBottom w:val="0"/>
      <w:divBdr>
        <w:top w:val="none" w:sz="0" w:space="0" w:color="auto"/>
        <w:left w:val="none" w:sz="0" w:space="0" w:color="auto"/>
        <w:bottom w:val="none" w:sz="0" w:space="0" w:color="auto"/>
        <w:right w:val="none" w:sz="0" w:space="0" w:color="auto"/>
      </w:divBdr>
    </w:div>
    <w:div w:id="746265154">
      <w:bodyDiv w:val="1"/>
      <w:marLeft w:val="0"/>
      <w:marRight w:val="0"/>
      <w:marTop w:val="0"/>
      <w:marBottom w:val="0"/>
      <w:divBdr>
        <w:top w:val="none" w:sz="0" w:space="0" w:color="auto"/>
        <w:left w:val="none" w:sz="0" w:space="0" w:color="auto"/>
        <w:bottom w:val="none" w:sz="0" w:space="0" w:color="auto"/>
        <w:right w:val="none" w:sz="0" w:space="0" w:color="auto"/>
      </w:divBdr>
    </w:div>
    <w:div w:id="751975796">
      <w:bodyDiv w:val="1"/>
      <w:marLeft w:val="0"/>
      <w:marRight w:val="0"/>
      <w:marTop w:val="0"/>
      <w:marBottom w:val="0"/>
      <w:divBdr>
        <w:top w:val="none" w:sz="0" w:space="0" w:color="auto"/>
        <w:left w:val="none" w:sz="0" w:space="0" w:color="auto"/>
        <w:bottom w:val="none" w:sz="0" w:space="0" w:color="auto"/>
        <w:right w:val="none" w:sz="0" w:space="0" w:color="auto"/>
      </w:divBdr>
    </w:div>
    <w:div w:id="752120413">
      <w:bodyDiv w:val="1"/>
      <w:marLeft w:val="0"/>
      <w:marRight w:val="0"/>
      <w:marTop w:val="0"/>
      <w:marBottom w:val="0"/>
      <w:divBdr>
        <w:top w:val="none" w:sz="0" w:space="0" w:color="auto"/>
        <w:left w:val="none" w:sz="0" w:space="0" w:color="auto"/>
        <w:bottom w:val="none" w:sz="0" w:space="0" w:color="auto"/>
        <w:right w:val="none" w:sz="0" w:space="0" w:color="auto"/>
      </w:divBdr>
    </w:div>
    <w:div w:id="753093381">
      <w:bodyDiv w:val="1"/>
      <w:marLeft w:val="0"/>
      <w:marRight w:val="0"/>
      <w:marTop w:val="0"/>
      <w:marBottom w:val="0"/>
      <w:divBdr>
        <w:top w:val="none" w:sz="0" w:space="0" w:color="auto"/>
        <w:left w:val="none" w:sz="0" w:space="0" w:color="auto"/>
        <w:bottom w:val="none" w:sz="0" w:space="0" w:color="auto"/>
        <w:right w:val="none" w:sz="0" w:space="0" w:color="auto"/>
      </w:divBdr>
    </w:div>
    <w:div w:id="753628899">
      <w:bodyDiv w:val="1"/>
      <w:marLeft w:val="0"/>
      <w:marRight w:val="0"/>
      <w:marTop w:val="0"/>
      <w:marBottom w:val="0"/>
      <w:divBdr>
        <w:top w:val="none" w:sz="0" w:space="0" w:color="auto"/>
        <w:left w:val="none" w:sz="0" w:space="0" w:color="auto"/>
        <w:bottom w:val="none" w:sz="0" w:space="0" w:color="auto"/>
        <w:right w:val="none" w:sz="0" w:space="0" w:color="auto"/>
      </w:divBdr>
    </w:div>
    <w:div w:id="756942669">
      <w:bodyDiv w:val="1"/>
      <w:marLeft w:val="0"/>
      <w:marRight w:val="0"/>
      <w:marTop w:val="0"/>
      <w:marBottom w:val="0"/>
      <w:divBdr>
        <w:top w:val="none" w:sz="0" w:space="0" w:color="auto"/>
        <w:left w:val="none" w:sz="0" w:space="0" w:color="auto"/>
        <w:bottom w:val="none" w:sz="0" w:space="0" w:color="auto"/>
        <w:right w:val="none" w:sz="0" w:space="0" w:color="auto"/>
      </w:divBdr>
    </w:div>
    <w:div w:id="757097443">
      <w:bodyDiv w:val="1"/>
      <w:marLeft w:val="0"/>
      <w:marRight w:val="0"/>
      <w:marTop w:val="0"/>
      <w:marBottom w:val="0"/>
      <w:divBdr>
        <w:top w:val="none" w:sz="0" w:space="0" w:color="auto"/>
        <w:left w:val="none" w:sz="0" w:space="0" w:color="auto"/>
        <w:bottom w:val="none" w:sz="0" w:space="0" w:color="auto"/>
        <w:right w:val="none" w:sz="0" w:space="0" w:color="auto"/>
      </w:divBdr>
    </w:div>
    <w:div w:id="758218287">
      <w:bodyDiv w:val="1"/>
      <w:marLeft w:val="0"/>
      <w:marRight w:val="0"/>
      <w:marTop w:val="0"/>
      <w:marBottom w:val="0"/>
      <w:divBdr>
        <w:top w:val="none" w:sz="0" w:space="0" w:color="auto"/>
        <w:left w:val="none" w:sz="0" w:space="0" w:color="auto"/>
        <w:bottom w:val="none" w:sz="0" w:space="0" w:color="auto"/>
        <w:right w:val="none" w:sz="0" w:space="0" w:color="auto"/>
      </w:divBdr>
    </w:div>
    <w:div w:id="759327893">
      <w:bodyDiv w:val="1"/>
      <w:marLeft w:val="0"/>
      <w:marRight w:val="0"/>
      <w:marTop w:val="0"/>
      <w:marBottom w:val="0"/>
      <w:divBdr>
        <w:top w:val="none" w:sz="0" w:space="0" w:color="auto"/>
        <w:left w:val="none" w:sz="0" w:space="0" w:color="auto"/>
        <w:bottom w:val="none" w:sz="0" w:space="0" w:color="auto"/>
        <w:right w:val="none" w:sz="0" w:space="0" w:color="auto"/>
      </w:divBdr>
    </w:div>
    <w:div w:id="760562269">
      <w:bodyDiv w:val="1"/>
      <w:marLeft w:val="0"/>
      <w:marRight w:val="0"/>
      <w:marTop w:val="0"/>
      <w:marBottom w:val="0"/>
      <w:divBdr>
        <w:top w:val="none" w:sz="0" w:space="0" w:color="auto"/>
        <w:left w:val="none" w:sz="0" w:space="0" w:color="auto"/>
        <w:bottom w:val="none" w:sz="0" w:space="0" w:color="auto"/>
        <w:right w:val="none" w:sz="0" w:space="0" w:color="auto"/>
      </w:divBdr>
    </w:div>
    <w:div w:id="760687359">
      <w:bodyDiv w:val="1"/>
      <w:marLeft w:val="0"/>
      <w:marRight w:val="0"/>
      <w:marTop w:val="0"/>
      <w:marBottom w:val="0"/>
      <w:divBdr>
        <w:top w:val="none" w:sz="0" w:space="0" w:color="auto"/>
        <w:left w:val="none" w:sz="0" w:space="0" w:color="auto"/>
        <w:bottom w:val="none" w:sz="0" w:space="0" w:color="auto"/>
        <w:right w:val="none" w:sz="0" w:space="0" w:color="auto"/>
      </w:divBdr>
    </w:div>
    <w:div w:id="760759538">
      <w:bodyDiv w:val="1"/>
      <w:marLeft w:val="0"/>
      <w:marRight w:val="0"/>
      <w:marTop w:val="0"/>
      <w:marBottom w:val="0"/>
      <w:divBdr>
        <w:top w:val="none" w:sz="0" w:space="0" w:color="auto"/>
        <w:left w:val="none" w:sz="0" w:space="0" w:color="auto"/>
        <w:bottom w:val="none" w:sz="0" w:space="0" w:color="auto"/>
        <w:right w:val="none" w:sz="0" w:space="0" w:color="auto"/>
      </w:divBdr>
    </w:div>
    <w:div w:id="762186991">
      <w:bodyDiv w:val="1"/>
      <w:marLeft w:val="0"/>
      <w:marRight w:val="0"/>
      <w:marTop w:val="0"/>
      <w:marBottom w:val="0"/>
      <w:divBdr>
        <w:top w:val="none" w:sz="0" w:space="0" w:color="auto"/>
        <w:left w:val="none" w:sz="0" w:space="0" w:color="auto"/>
        <w:bottom w:val="none" w:sz="0" w:space="0" w:color="auto"/>
        <w:right w:val="none" w:sz="0" w:space="0" w:color="auto"/>
      </w:divBdr>
    </w:div>
    <w:div w:id="764228400">
      <w:bodyDiv w:val="1"/>
      <w:marLeft w:val="0"/>
      <w:marRight w:val="0"/>
      <w:marTop w:val="0"/>
      <w:marBottom w:val="0"/>
      <w:divBdr>
        <w:top w:val="none" w:sz="0" w:space="0" w:color="auto"/>
        <w:left w:val="none" w:sz="0" w:space="0" w:color="auto"/>
        <w:bottom w:val="none" w:sz="0" w:space="0" w:color="auto"/>
        <w:right w:val="none" w:sz="0" w:space="0" w:color="auto"/>
      </w:divBdr>
    </w:div>
    <w:div w:id="767579261">
      <w:bodyDiv w:val="1"/>
      <w:marLeft w:val="0"/>
      <w:marRight w:val="0"/>
      <w:marTop w:val="0"/>
      <w:marBottom w:val="0"/>
      <w:divBdr>
        <w:top w:val="none" w:sz="0" w:space="0" w:color="auto"/>
        <w:left w:val="none" w:sz="0" w:space="0" w:color="auto"/>
        <w:bottom w:val="none" w:sz="0" w:space="0" w:color="auto"/>
        <w:right w:val="none" w:sz="0" w:space="0" w:color="auto"/>
      </w:divBdr>
    </w:div>
    <w:div w:id="768504941">
      <w:bodyDiv w:val="1"/>
      <w:marLeft w:val="0"/>
      <w:marRight w:val="0"/>
      <w:marTop w:val="0"/>
      <w:marBottom w:val="0"/>
      <w:divBdr>
        <w:top w:val="none" w:sz="0" w:space="0" w:color="auto"/>
        <w:left w:val="none" w:sz="0" w:space="0" w:color="auto"/>
        <w:bottom w:val="none" w:sz="0" w:space="0" w:color="auto"/>
        <w:right w:val="none" w:sz="0" w:space="0" w:color="auto"/>
      </w:divBdr>
    </w:div>
    <w:div w:id="769400288">
      <w:bodyDiv w:val="1"/>
      <w:marLeft w:val="0"/>
      <w:marRight w:val="0"/>
      <w:marTop w:val="0"/>
      <w:marBottom w:val="0"/>
      <w:divBdr>
        <w:top w:val="none" w:sz="0" w:space="0" w:color="auto"/>
        <w:left w:val="none" w:sz="0" w:space="0" w:color="auto"/>
        <w:bottom w:val="none" w:sz="0" w:space="0" w:color="auto"/>
        <w:right w:val="none" w:sz="0" w:space="0" w:color="auto"/>
      </w:divBdr>
    </w:div>
    <w:div w:id="769542179">
      <w:bodyDiv w:val="1"/>
      <w:marLeft w:val="0"/>
      <w:marRight w:val="0"/>
      <w:marTop w:val="0"/>
      <w:marBottom w:val="0"/>
      <w:divBdr>
        <w:top w:val="none" w:sz="0" w:space="0" w:color="auto"/>
        <w:left w:val="none" w:sz="0" w:space="0" w:color="auto"/>
        <w:bottom w:val="none" w:sz="0" w:space="0" w:color="auto"/>
        <w:right w:val="none" w:sz="0" w:space="0" w:color="auto"/>
      </w:divBdr>
    </w:div>
    <w:div w:id="770778417">
      <w:bodyDiv w:val="1"/>
      <w:marLeft w:val="0"/>
      <w:marRight w:val="0"/>
      <w:marTop w:val="0"/>
      <w:marBottom w:val="0"/>
      <w:divBdr>
        <w:top w:val="none" w:sz="0" w:space="0" w:color="auto"/>
        <w:left w:val="none" w:sz="0" w:space="0" w:color="auto"/>
        <w:bottom w:val="none" w:sz="0" w:space="0" w:color="auto"/>
        <w:right w:val="none" w:sz="0" w:space="0" w:color="auto"/>
      </w:divBdr>
    </w:div>
    <w:div w:id="771513243">
      <w:bodyDiv w:val="1"/>
      <w:marLeft w:val="0"/>
      <w:marRight w:val="0"/>
      <w:marTop w:val="0"/>
      <w:marBottom w:val="0"/>
      <w:divBdr>
        <w:top w:val="none" w:sz="0" w:space="0" w:color="auto"/>
        <w:left w:val="none" w:sz="0" w:space="0" w:color="auto"/>
        <w:bottom w:val="none" w:sz="0" w:space="0" w:color="auto"/>
        <w:right w:val="none" w:sz="0" w:space="0" w:color="auto"/>
      </w:divBdr>
    </w:div>
    <w:div w:id="772357861">
      <w:bodyDiv w:val="1"/>
      <w:marLeft w:val="0"/>
      <w:marRight w:val="0"/>
      <w:marTop w:val="0"/>
      <w:marBottom w:val="0"/>
      <w:divBdr>
        <w:top w:val="none" w:sz="0" w:space="0" w:color="auto"/>
        <w:left w:val="none" w:sz="0" w:space="0" w:color="auto"/>
        <w:bottom w:val="none" w:sz="0" w:space="0" w:color="auto"/>
        <w:right w:val="none" w:sz="0" w:space="0" w:color="auto"/>
      </w:divBdr>
    </w:div>
    <w:div w:id="773285189">
      <w:bodyDiv w:val="1"/>
      <w:marLeft w:val="0"/>
      <w:marRight w:val="0"/>
      <w:marTop w:val="0"/>
      <w:marBottom w:val="0"/>
      <w:divBdr>
        <w:top w:val="none" w:sz="0" w:space="0" w:color="auto"/>
        <w:left w:val="none" w:sz="0" w:space="0" w:color="auto"/>
        <w:bottom w:val="none" w:sz="0" w:space="0" w:color="auto"/>
        <w:right w:val="none" w:sz="0" w:space="0" w:color="auto"/>
      </w:divBdr>
    </w:div>
    <w:div w:id="775249282">
      <w:bodyDiv w:val="1"/>
      <w:marLeft w:val="0"/>
      <w:marRight w:val="0"/>
      <w:marTop w:val="0"/>
      <w:marBottom w:val="0"/>
      <w:divBdr>
        <w:top w:val="none" w:sz="0" w:space="0" w:color="auto"/>
        <w:left w:val="none" w:sz="0" w:space="0" w:color="auto"/>
        <w:bottom w:val="none" w:sz="0" w:space="0" w:color="auto"/>
        <w:right w:val="none" w:sz="0" w:space="0" w:color="auto"/>
      </w:divBdr>
    </w:div>
    <w:div w:id="776406906">
      <w:bodyDiv w:val="1"/>
      <w:marLeft w:val="0"/>
      <w:marRight w:val="0"/>
      <w:marTop w:val="0"/>
      <w:marBottom w:val="0"/>
      <w:divBdr>
        <w:top w:val="none" w:sz="0" w:space="0" w:color="auto"/>
        <w:left w:val="none" w:sz="0" w:space="0" w:color="auto"/>
        <w:bottom w:val="none" w:sz="0" w:space="0" w:color="auto"/>
        <w:right w:val="none" w:sz="0" w:space="0" w:color="auto"/>
      </w:divBdr>
    </w:div>
    <w:div w:id="776830428">
      <w:bodyDiv w:val="1"/>
      <w:marLeft w:val="0"/>
      <w:marRight w:val="0"/>
      <w:marTop w:val="0"/>
      <w:marBottom w:val="0"/>
      <w:divBdr>
        <w:top w:val="none" w:sz="0" w:space="0" w:color="auto"/>
        <w:left w:val="none" w:sz="0" w:space="0" w:color="auto"/>
        <w:bottom w:val="none" w:sz="0" w:space="0" w:color="auto"/>
        <w:right w:val="none" w:sz="0" w:space="0" w:color="auto"/>
      </w:divBdr>
    </w:div>
    <w:div w:id="779644024">
      <w:bodyDiv w:val="1"/>
      <w:marLeft w:val="0"/>
      <w:marRight w:val="0"/>
      <w:marTop w:val="0"/>
      <w:marBottom w:val="0"/>
      <w:divBdr>
        <w:top w:val="none" w:sz="0" w:space="0" w:color="auto"/>
        <w:left w:val="none" w:sz="0" w:space="0" w:color="auto"/>
        <w:bottom w:val="none" w:sz="0" w:space="0" w:color="auto"/>
        <w:right w:val="none" w:sz="0" w:space="0" w:color="auto"/>
      </w:divBdr>
    </w:div>
    <w:div w:id="781189403">
      <w:bodyDiv w:val="1"/>
      <w:marLeft w:val="0"/>
      <w:marRight w:val="0"/>
      <w:marTop w:val="0"/>
      <w:marBottom w:val="0"/>
      <w:divBdr>
        <w:top w:val="none" w:sz="0" w:space="0" w:color="auto"/>
        <w:left w:val="none" w:sz="0" w:space="0" w:color="auto"/>
        <w:bottom w:val="none" w:sz="0" w:space="0" w:color="auto"/>
        <w:right w:val="none" w:sz="0" w:space="0" w:color="auto"/>
      </w:divBdr>
    </w:div>
    <w:div w:id="782577464">
      <w:bodyDiv w:val="1"/>
      <w:marLeft w:val="0"/>
      <w:marRight w:val="0"/>
      <w:marTop w:val="0"/>
      <w:marBottom w:val="0"/>
      <w:divBdr>
        <w:top w:val="none" w:sz="0" w:space="0" w:color="auto"/>
        <w:left w:val="none" w:sz="0" w:space="0" w:color="auto"/>
        <w:bottom w:val="none" w:sz="0" w:space="0" w:color="auto"/>
        <w:right w:val="none" w:sz="0" w:space="0" w:color="auto"/>
      </w:divBdr>
    </w:div>
    <w:div w:id="784468339">
      <w:bodyDiv w:val="1"/>
      <w:marLeft w:val="0"/>
      <w:marRight w:val="0"/>
      <w:marTop w:val="0"/>
      <w:marBottom w:val="0"/>
      <w:divBdr>
        <w:top w:val="none" w:sz="0" w:space="0" w:color="auto"/>
        <w:left w:val="none" w:sz="0" w:space="0" w:color="auto"/>
        <w:bottom w:val="none" w:sz="0" w:space="0" w:color="auto"/>
        <w:right w:val="none" w:sz="0" w:space="0" w:color="auto"/>
      </w:divBdr>
    </w:div>
    <w:div w:id="785348976">
      <w:bodyDiv w:val="1"/>
      <w:marLeft w:val="0"/>
      <w:marRight w:val="0"/>
      <w:marTop w:val="0"/>
      <w:marBottom w:val="0"/>
      <w:divBdr>
        <w:top w:val="none" w:sz="0" w:space="0" w:color="auto"/>
        <w:left w:val="none" w:sz="0" w:space="0" w:color="auto"/>
        <w:bottom w:val="none" w:sz="0" w:space="0" w:color="auto"/>
        <w:right w:val="none" w:sz="0" w:space="0" w:color="auto"/>
      </w:divBdr>
    </w:div>
    <w:div w:id="786697479">
      <w:bodyDiv w:val="1"/>
      <w:marLeft w:val="0"/>
      <w:marRight w:val="0"/>
      <w:marTop w:val="0"/>
      <w:marBottom w:val="0"/>
      <w:divBdr>
        <w:top w:val="none" w:sz="0" w:space="0" w:color="auto"/>
        <w:left w:val="none" w:sz="0" w:space="0" w:color="auto"/>
        <w:bottom w:val="none" w:sz="0" w:space="0" w:color="auto"/>
        <w:right w:val="none" w:sz="0" w:space="0" w:color="auto"/>
      </w:divBdr>
    </w:div>
    <w:div w:id="787815947">
      <w:bodyDiv w:val="1"/>
      <w:marLeft w:val="0"/>
      <w:marRight w:val="0"/>
      <w:marTop w:val="0"/>
      <w:marBottom w:val="0"/>
      <w:divBdr>
        <w:top w:val="none" w:sz="0" w:space="0" w:color="auto"/>
        <w:left w:val="none" w:sz="0" w:space="0" w:color="auto"/>
        <w:bottom w:val="none" w:sz="0" w:space="0" w:color="auto"/>
        <w:right w:val="none" w:sz="0" w:space="0" w:color="auto"/>
      </w:divBdr>
    </w:div>
    <w:div w:id="790704767">
      <w:bodyDiv w:val="1"/>
      <w:marLeft w:val="0"/>
      <w:marRight w:val="0"/>
      <w:marTop w:val="0"/>
      <w:marBottom w:val="0"/>
      <w:divBdr>
        <w:top w:val="none" w:sz="0" w:space="0" w:color="auto"/>
        <w:left w:val="none" w:sz="0" w:space="0" w:color="auto"/>
        <w:bottom w:val="none" w:sz="0" w:space="0" w:color="auto"/>
        <w:right w:val="none" w:sz="0" w:space="0" w:color="auto"/>
      </w:divBdr>
    </w:div>
    <w:div w:id="791940098">
      <w:bodyDiv w:val="1"/>
      <w:marLeft w:val="0"/>
      <w:marRight w:val="0"/>
      <w:marTop w:val="0"/>
      <w:marBottom w:val="0"/>
      <w:divBdr>
        <w:top w:val="none" w:sz="0" w:space="0" w:color="auto"/>
        <w:left w:val="none" w:sz="0" w:space="0" w:color="auto"/>
        <w:bottom w:val="none" w:sz="0" w:space="0" w:color="auto"/>
        <w:right w:val="none" w:sz="0" w:space="0" w:color="auto"/>
      </w:divBdr>
    </w:div>
    <w:div w:id="792869250">
      <w:bodyDiv w:val="1"/>
      <w:marLeft w:val="0"/>
      <w:marRight w:val="0"/>
      <w:marTop w:val="0"/>
      <w:marBottom w:val="0"/>
      <w:divBdr>
        <w:top w:val="none" w:sz="0" w:space="0" w:color="auto"/>
        <w:left w:val="none" w:sz="0" w:space="0" w:color="auto"/>
        <w:bottom w:val="none" w:sz="0" w:space="0" w:color="auto"/>
        <w:right w:val="none" w:sz="0" w:space="0" w:color="auto"/>
      </w:divBdr>
    </w:div>
    <w:div w:id="793017388">
      <w:bodyDiv w:val="1"/>
      <w:marLeft w:val="0"/>
      <w:marRight w:val="0"/>
      <w:marTop w:val="0"/>
      <w:marBottom w:val="0"/>
      <w:divBdr>
        <w:top w:val="none" w:sz="0" w:space="0" w:color="auto"/>
        <w:left w:val="none" w:sz="0" w:space="0" w:color="auto"/>
        <w:bottom w:val="none" w:sz="0" w:space="0" w:color="auto"/>
        <w:right w:val="none" w:sz="0" w:space="0" w:color="auto"/>
      </w:divBdr>
    </w:div>
    <w:div w:id="793214129">
      <w:bodyDiv w:val="1"/>
      <w:marLeft w:val="0"/>
      <w:marRight w:val="0"/>
      <w:marTop w:val="0"/>
      <w:marBottom w:val="0"/>
      <w:divBdr>
        <w:top w:val="none" w:sz="0" w:space="0" w:color="auto"/>
        <w:left w:val="none" w:sz="0" w:space="0" w:color="auto"/>
        <w:bottom w:val="none" w:sz="0" w:space="0" w:color="auto"/>
        <w:right w:val="none" w:sz="0" w:space="0" w:color="auto"/>
      </w:divBdr>
    </w:div>
    <w:div w:id="793408808">
      <w:bodyDiv w:val="1"/>
      <w:marLeft w:val="0"/>
      <w:marRight w:val="0"/>
      <w:marTop w:val="0"/>
      <w:marBottom w:val="0"/>
      <w:divBdr>
        <w:top w:val="none" w:sz="0" w:space="0" w:color="auto"/>
        <w:left w:val="none" w:sz="0" w:space="0" w:color="auto"/>
        <w:bottom w:val="none" w:sz="0" w:space="0" w:color="auto"/>
        <w:right w:val="none" w:sz="0" w:space="0" w:color="auto"/>
      </w:divBdr>
    </w:div>
    <w:div w:id="799154490">
      <w:bodyDiv w:val="1"/>
      <w:marLeft w:val="0"/>
      <w:marRight w:val="0"/>
      <w:marTop w:val="0"/>
      <w:marBottom w:val="0"/>
      <w:divBdr>
        <w:top w:val="none" w:sz="0" w:space="0" w:color="auto"/>
        <w:left w:val="none" w:sz="0" w:space="0" w:color="auto"/>
        <w:bottom w:val="none" w:sz="0" w:space="0" w:color="auto"/>
        <w:right w:val="none" w:sz="0" w:space="0" w:color="auto"/>
      </w:divBdr>
    </w:div>
    <w:div w:id="800224351">
      <w:bodyDiv w:val="1"/>
      <w:marLeft w:val="0"/>
      <w:marRight w:val="0"/>
      <w:marTop w:val="0"/>
      <w:marBottom w:val="0"/>
      <w:divBdr>
        <w:top w:val="none" w:sz="0" w:space="0" w:color="auto"/>
        <w:left w:val="none" w:sz="0" w:space="0" w:color="auto"/>
        <w:bottom w:val="none" w:sz="0" w:space="0" w:color="auto"/>
        <w:right w:val="none" w:sz="0" w:space="0" w:color="auto"/>
      </w:divBdr>
    </w:div>
    <w:div w:id="800273638">
      <w:bodyDiv w:val="1"/>
      <w:marLeft w:val="0"/>
      <w:marRight w:val="0"/>
      <w:marTop w:val="0"/>
      <w:marBottom w:val="0"/>
      <w:divBdr>
        <w:top w:val="none" w:sz="0" w:space="0" w:color="auto"/>
        <w:left w:val="none" w:sz="0" w:space="0" w:color="auto"/>
        <w:bottom w:val="none" w:sz="0" w:space="0" w:color="auto"/>
        <w:right w:val="none" w:sz="0" w:space="0" w:color="auto"/>
      </w:divBdr>
    </w:div>
    <w:div w:id="800420026">
      <w:bodyDiv w:val="1"/>
      <w:marLeft w:val="0"/>
      <w:marRight w:val="0"/>
      <w:marTop w:val="0"/>
      <w:marBottom w:val="0"/>
      <w:divBdr>
        <w:top w:val="none" w:sz="0" w:space="0" w:color="auto"/>
        <w:left w:val="none" w:sz="0" w:space="0" w:color="auto"/>
        <w:bottom w:val="none" w:sz="0" w:space="0" w:color="auto"/>
        <w:right w:val="none" w:sz="0" w:space="0" w:color="auto"/>
      </w:divBdr>
    </w:div>
    <w:div w:id="801071424">
      <w:bodyDiv w:val="1"/>
      <w:marLeft w:val="0"/>
      <w:marRight w:val="0"/>
      <w:marTop w:val="0"/>
      <w:marBottom w:val="0"/>
      <w:divBdr>
        <w:top w:val="none" w:sz="0" w:space="0" w:color="auto"/>
        <w:left w:val="none" w:sz="0" w:space="0" w:color="auto"/>
        <w:bottom w:val="none" w:sz="0" w:space="0" w:color="auto"/>
        <w:right w:val="none" w:sz="0" w:space="0" w:color="auto"/>
      </w:divBdr>
    </w:div>
    <w:div w:id="803279723">
      <w:bodyDiv w:val="1"/>
      <w:marLeft w:val="0"/>
      <w:marRight w:val="0"/>
      <w:marTop w:val="0"/>
      <w:marBottom w:val="0"/>
      <w:divBdr>
        <w:top w:val="none" w:sz="0" w:space="0" w:color="auto"/>
        <w:left w:val="none" w:sz="0" w:space="0" w:color="auto"/>
        <w:bottom w:val="none" w:sz="0" w:space="0" w:color="auto"/>
        <w:right w:val="none" w:sz="0" w:space="0" w:color="auto"/>
      </w:divBdr>
    </w:div>
    <w:div w:id="805242971">
      <w:bodyDiv w:val="1"/>
      <w:marLeft w:val="0"/>
      <w:marRight w:val="0"/>
      <w:marTop w:val="0"/>
      <w:marBottom w:val="0"/>
      <w:divBdr>
        <w:top w:val="none" w:sz="0" w:space="0" w:color="auto"/>
        <w:left w:val="none" w:sz="0" w:space="0" w:color="auto"/>
        <w:bottom w:val="none" w:sz="0" w:space="0" w:color="auto"/>
        <w:right w:val="none" w:sz="0" w:space="0" w:color="auto"/>
      </w:divBdr>
    </w:div>
    <w:div w:id="806509967">
      <w:bodyDiv w:val="1"/>
      <w:marLeft w:val="0"/>
      <w:marRight w:val="0"/>
      <w:marTop w:val="0"/>
      <w:marBottom w:val="0"/>
      <w:divBdr>
        <w:top w:val="none" w:sz="0" w:space="0" w:color="auto"/>
        <w:left w:val="none" w:sz="0" w:space="0" w:color="auto"/>
        <w:bottom w:val="none" w:sz="0" w:space="0" w:color="auto"/>
        <w:right w:val="none" w:sz="0" w:space="0" w:color="auto"/>
      </w:divBdr>
    </w:div>
    <w:div w:id="807282592">
      <w:bodyDiv w:val="1"/>
      <w:marLeft w:val="0"/>
      <w:marRight w:val="0"/>
      <w:marTop w:val="0"/>
      <w:marBottom w:val="0"/>
      <w:divBdr>
        <w:top w:val="none" w:sz="0" w:space="0" w:color="auto"/>
        <w:left w:val="none" w:sz="0" w:space="0" w:color="auto"/>
        <w:bottom w:val="none" w:sz="0" w:space="0" w:color="auto"/>
        <w:right w:val="none" w:sz="0" w:space="0" w:color="auto"/>
      </w:divBdr>
    </w:div>
    <w:div w:id="808475642">
      <w:bodyDiv w:val="1"/>
      <w:marLeft w:val="0"/>
      <w:marRight w:val="0"/>
      <w:marTop w:val="0"/>
      <w:marBottom w:val="0"/>
      <w:divBdr>
        <w:top w:val="none" w:sz="0" w:space="0" w:color="auto"/>
        <w:left w:val="none" w:sz="0" w:space="0" w:color="auto"/>
        <w:bottom w:val="none" w:sz="0" w:space="0" w:color="auto"/>
        <w:right w:val="none" w:sz="0" w:space="0" w:color="auto"/>
      </w:divBdr>
    </w:div>
    <w:div w:id="811095699">
      <w:bodyDiv w:val="1"/>
      <w:marLeft w:val="0"/>
      <w:marRight w:val="0"/>
      <w:marTop w:val="0"/>
      <w:marBottom w:val="0"/>
      <w:divBdr>
        <w:top w:val="none" w:sz="0" w:space="0" w:color="auto"/>
        <w:left w:val="none" w:sz="0" w:space="0" w:color="auto"/>
        <w:bottom w:val="none" w:sz="0" w:space="0" w:color="auto"/>
        <w:right w:val="none" w:sz="0" w:space="0" w:color="auto"/>
      </w:divBdr>
    </w:div>
    <w:div w:id="815804999">
      <w:bodyDiv w:val="1"/>
      <w:marLeft w:val="0"/>
      <w:marRight w:val="0"/>
      <w:marTop w:val="0"/>
      <w:marBottom w:val="0"/>
      <w:divBdr>
        <w:top w:val="none" w:sz="0" w:space="0" w:color="auto"/>
        <w:left w:val="none" w:sz="0" w:space="0" w:color="auto"/>
        <w:bottom w:val="none" w:sz="0" w:space="0" w:color="auto"/>
        <w:right w:val="none" w:sz="0" w:space="0" w:color="auto"/>
      </w:divBdr>
    </w:div>
    <w:div w:id="817839266">
      <w:bodyDiv w:val="1"/>
      <w:marLeft w:val="0"/>
      <w:marRight w:val="0"/>
      <w:marTop w:val="0"/>
      <w:marBottom w:val="0"/>
      <w:divBdr>
        <w:top w:val="none" w:sz="0" w:space="0" w:color="auto"/>
        <w:left w:val="none" w:sz="0" w:space="0" w:color="auto"/>
        <w:bottom w:val="none" w:sz="0" w:space="0" w:color="auto"/>
        <w:right w:val="none" w:sz="0" w:space="0" w:color="auto"/>
      </w:divBdr>
    </w:div>
    <w:div w:id="818231428">
      <w:bodyDiv w:val="1"/>
      <w:marLeft w:val="0"/>
      <w:marRight w:val="0"/>
      <w:marTop w:val="0"/>
      <w:marBottom w:val="0"/>
      <w:divBdr>
        <w:top w:val="none" w:sz="0" w:space="0" w:color="auto"/>
        <w:left w:val="none" w:sz="0" w:space="0" w:color="auto"/>
        <w:bottom w:val="none" w:sz="0" w:space="0" w:color="auto"/>
        <w:right w:val="none" w:sz="0" w:space="0" w:color="auto"/>
      </w:divBdr>
    </w:div>
    <w:div w:id="818766070">
      <w:bodyDiv w:val="1"/>
      <w:marLeft w:val="0"/>
      <w:marRight w:val="0"/>
      <w:marTop w:val="0"/>
      <w:marBottom w:val="0"/>
      <w:divBdr>
        <w:top w:val="none" w:sz="0" w:space="0" w:color="auto"/>
        <w:left w:val="none" w:sz="0" w:space="0" w:color="auto"/>
        <w:bottom w:val="none" w:sz="0" w:space="0" w:color="auto"/>
        <w:right w:val="none" w:sz="0" w:space="0" w:color="auto"/>
      </w:divBdr>
    </w:div>
    <w:div w:id="823662202">
      <w:bodyDiv w:val="1"/>
      <w:marLeft w:val="0"/>
      <w:marRight w:val="0"/>
      <w:marTop w:val="0"/>
      <w:marBottom w:val="0"/>
      <w:divBdr>
        <w:top w:val="none" w:sz="0" w:space="0" w:color="auto"/>
        <w:left w:val="none" w:sz="0" w:space="0" w:color="auto"/>
        <w:bottom w:val="none" w:sz="0" w:space="0" w:color="auto"/>
        <w:right w:val="none" w:sz="0" w:space="0" w:color="auto"/>
      </w:divBdr>
    </w:div>
    <w:div w:id="830757748">
      <w:bodyDiv w:val="1"/>
      <w:marLeft w:val="0"/>
      <w:marRight w:val="0"/>
      <w:marTop w:val="0"/>
      <w:marBottom w:val="0"/>
      <w:divBdr>
        <w:top w:val="none" w:sz="0" w:space="0" w:color="auto"/>
        <w:left w:val="none" w:sz="0" w:space="0" w:color="auto"/>
        <w:bottom w:val="none" w:sz="0" w:space="0" w:color="auto"/>
        <w:right w:val="none" w:sz="0" w:space="0" w:color="auto"/>
      </w:divBdr>
    </w:div>
    <w:div w:id="831600172">
      <w:bodyDiv w:val="1"/>
      <w:marLeft w:val="0"/>
      <w:marRight w:val="0"/>
      <w:marTop w:val="0"/>
      <w:marBottom w:val="0"/>
      <w:divBdr>
        <w:top w:val="none" w:sz="0" w:space="0" w:color="auto"/>
        <w:left w:val="none" w:sz="0" w:space="0" w:color="auto"/>
        <w:bottom w:val="none" w:sz="0" w:space="0" w:color="auto"/>
        <w:right w:val="none" w:sz="0" w:space="0" w:color="auto"/>
      </w:divBdr>
    </w:div>
    <w:div w:id="832180029">
      <w:bodyDiv w:val="1"/>
      <w:marLeft w:val="0"/>
      <w:marRight w:val="0"/>
      <w:marTop w:val="0"/>
      <w:marBottom w:val="0"/>
      <w:divBdr>
        <w:top w:val="none" w:sz="0" w:space="0" w:color="auto"/>
        <w:left w:val="none" w:sz="0" w:space="0" w:color="auto"/>
        <w:bottom w:val="none" w:sz="0" w:space="0" w:color="auto"/>
        <w:right w:val="none" w:sz="0" w:space="0" w:color="auto"/>
      </w:divBdr>
    </w:div>
    <w:div w:id="832375515">
      <w:bodyDiv w:val="1"/>
      <w:marLeft w:val="0"/>
      <w:marRight w:val="0"/>
      <w:marTop w:val="0"/>
      <w:marBottom w:val="0"/>
      <w:divBdr>
        <w:top w:val="none" w:sz="0" w:space="0" w:color="auto"/>
        <w:left w:val="none" w:sz="0" w:space="0" w:color="auto"/>
        <w:bottom w:val="none" w:sz="0" w:space="0" w:color="auto"/>
        <w:right w:val="none" w:sz="0" w:space="0" w:color="auto"/>
      </w:divBdr>
    </w:div>
    <w:div w:id="832795825">
      <w:bodyDiv w:val="1"/>
      <w:marLeft w:val="0"/>
      <w:marRight w:val="0"/>
      <w:marTop w:val="0"/>
      <w:marBottom w:val="0"/>
      <w:divBdr>
        <w:top w:val="none" w:sz="0" w:space="0" w:color="auto"/>
        <w:left w:val="none" w:sz="0" w:space="0" w:color="auto"/>
        <w:bottom w:val="none" w:sz="0" w:space="0" w:color="auto"/>
        <w:right w:val="none" w:sz="0" w:space="0" w:color="auto"/>
      </w:divBdr>
    </w:div>
    <w:div w:id="833496463">
      <w:bodyDiv w:val="1"/>
      <w:marLeft w:val="0"/>
      <w:marRight w:val="0"/>
      <w:marTop w:val="0"/>
      <w:marBottom w:val="0"/>
      <w:divBdr>
        <w:top w:val="none" w:sz="0" w:space="0" w:color="auto"/>
        <w:left w:val="none" w:sz="0" w:space="0" w:color="auto"/>
        <w:bottom w:val="none" w:sz="0" w:space="0" w:color="auto"/>
        <w:right w:val="none" w:sz="0" w:space="0" w:color="auto"/>
      </w:divBdr>
    </w:div>
    <w:div w:id="833760645">
      <w:bodyDiv w:val="1"/>
      <w:marLeft w:val="0"/>
      <w:marRight w:val="0"/>
      <w:marTop w:val="0"/>
      <w:marBottom w:val="0"/>
      <w:divBdr>
        <w:top w:val="none" w:sz="0" w:space="0" w:color="auto"/>
        <w:left w:val="none" w:sz="0" w:space="0" w:color="auto"/>
        <w:bottom w:val="none" w:sz="0" w:space="0" w:color="auto"/>
        <w:right w:val="none" w:sz="0" w:space="0" w:color="auto"/>
      </w:divBdr>
    </w:div>
    <w:div w:id="835269363">
      <w:bodyDiv w:val="1"/>
      <w:marLeft w:val="0"/>
      <w:marRight w:val="0"/>
      <w:marTop w:val="0"/>
      <w:marBottom w:val="0"/>
      <w:divBdr>
        <w:top w:val="none" w:sz="0" w:space="0" w:color="auto"/>
        <w:left w:val="none" w:sz="0" w:space="0" w:color="auto"/>
        <w:bottom w:val="none" w:sz="0" w:space="0" w:color="auto"/>
        <w:right w:val="none" w:sz="0" w:space="0" w:color="auto"/>
      </w:divBdr>
    </w:div>
    <w:div w:id="835997080">
      <w:bodyDiv w:val="1"/>
      <w:marLeft w:val="0"/>
      <w:marRight w:val="0"/>
      <w:marTop w:val="0"/>
      <w:marBottom w:val="0"/>
      <w:divBdr>
        <w:top w:val="none" w:sz="0" w:space="0" w:color="auto"/>
        <w:left w:val="none" w:sz="0" w:space="0" w:color="auto"/>
        <w:bottom w:val="none" w:sz="0" w:space="0" w:color="auto"/>
        <w:right w:val="none" w:sz="0" w:space="0" w:color="auto"/>
      </w:divBdr>
    </w:div>
    <w:div w:id="840314097">
      <w:bodyDiv w:val="1"/>
      <w:marLeft w:val="0"/>
      <w:marRight w:val="0"/>
      <w:marTop w:val="0"/>
      <w:marBottom w:val="0"/>
      <w:divBdr>
        <w:top w:val="none" w:sz="0" w:space="0" w:color="auto"/>
        <w:left w:val="none" w:sz="0" w:space="0" w:color="auto"/>
        <w:bottom w:val="none" w:sz="0" w:space="0" w:color="auto"/>
        <w:right w:val="none" w:sz="0" w:space="0" w:color="auto"/>
      </w:divBdr>
    </w:div>
    <w:div w:id="841437601">
      <w:bodyDiv w:val="1"/>
      <w:marLeft w:val="0"/>
      <w:marRight w:val="0"/>
      <w:marTop w:val="0"/>
      <w:marBottom w:val="0"/>
      <w:divBdr>
        <w:top w:val="none" w:sz="0" w:space="0" w:color="auto"/>
        <w:left w:val="none" w:sz="0" w:space="0" w:color="auto"/>
        <w:bottom w:val="none" w:sz="0" w:space="0" w:color="auto"/>
        <w:right w:val="none" w:sz="0" w:space="0" w:color="auto"/>
      </w:divBdr>
    </w:div>
    <w:div w:id="851529381">
      <w:bodyDiv w:val="1"/>
      <w:marLeft w:val="0"/>
      <w:marRight w:val="0"/>
      <w:marTop w:val="0"/>
      <w:marBottom w:val="0"/>
      <w:divBdr>
        <w:top w:val="none" w:sz="0" w:space="0" w:color="auto"/>
        <w:left w:val="none" w:sz="0" w:space="0" w:color="auto"/>
        <w:bottom w:val="none" w:sz="0" w:space="0" w:color="auto"/>
        <w:right w:val="none" w:sz="0" w:space="0" w:color="auto"/>
      </w:divBdr>
    </w:div>
    <w:div w:id="851650109">
      <w:bodyDiv w:val="1"/>
      <w:marLeft w:val="0"/>
      <w:marRight w:val="0"/>
      <w:marTop w:val="0"/>
      <w:marBottom w:val="0"/>
      <w:divBdr>
        <w:top w:val="none" w:sz="0" w:space="0" w:color="auto"/>
        <w:left w:val="none" w:sz="0" w:space="0" w:color="auto"/>
        <w:bottom w:val="none" w:sz="0" w:space="0" w:color="auto"/>
        <w:right w:val="none" w:sz="0" w:space="0" w:color="auto"/>
      </w:divBdr>
    </w:div>
    <w:div w:id="851844736">
      <w:bodyDiv w:val="1"/>
      <w:marLeft w:val="0"/>
      <w:marRight w:val="0"/>
      <w:marTop w:val="0"/>
      <w:marBottom w:val="0"/>
      <w:divBdr>
        <w:top w:val="none" w:sz="0" w:space="0" w:color="auto"/>
        <w:left w:val="none" w:sz="0" w:space="0" w:color="auto"/>
        <w:bottom w:val="none" w:sz="0" w:space="0" w:color="auto"/>
        <w:right w:val="none" w:sz="0" w:space="0" w:color="auto"/>
      </w:divBdr>
    </w:div>
    <w:div w:id="852497221">
      <w:bodyDiv w:val="1"/>
      <w:marLeft w:val="0"/>
      <w:marRight w:val="0"/>
      <w:marTop w:val="0"/>
      <w:marBottom w:val="0"/>
      <w:divBdr>
        <w:top w:val="none" w:sz="0" w:space="0" w:color="auto"/>
        <w:left w:val="none" w:sz="0" w:space="0" w:color="auto"/>
        <w:bottom w:val="none" w:sz="0" w:space="0" w:color="auto"/>
        <w:right w:val="none" w:sz="0" w:space="0" w:color="auto"/>
      </w:divBdr>
    </w:div>
    <w:div w:id="853230770">
      <w:bodyDiv w:val="1"/>
      <w:marLeft w:val="0"/>
      <w:marRight w:val="0"/>
      <w:marTop w:val="0"/>
      <w:marBottom w:val="0"/>
      <w:divBdr>
        <w:top w:val="none" w:sz="0" w:space="0" w:color="auto"/>
        <w:left w:val="none" w:sz="0" w:space="0" w:color="auto"/>
        <w:bottom w:val="none" w:sz="0" w:space="0" w:color="auto"/>
        <w:right w:val="none" w:sz="0" w:space="0" w:color="auto"/>
      </w:divBdr>
    </w:div>
    <w:div w:id="855315497">
      <w:bodyDiv w:val="1"/>
      <w:marLeft w:val="0"/>
      <w:marRight w:val="0"/>
      <w:marTop w:val="0"/>
      <w:marBottom w:val="0"/>
      <w:divBdr>
        <w:top w:val="none" w:sz="0" w:space="0" w:color="auto"/>
        <w:left w:val="none" w:sz="0" w:space="0" w:color="auto"/>
        <w:bottom w:val="none" w:sz="0" w:space="0" w:color="auto"/>
        <w:right w:val="none" w:sz="0" w:space="0" w:color="auto"/>
      </w:divBdr>
    </w:div>
    <w:div w:id="860702333">
      <w:bodyDiv w:val="1"/>
      <w:marLeft w:val="0"/>
      <w:marRight w:val="0"/>
      <w:marTop w:val="0"/>
      <w:marBottom w:val="0"/>
      <w:divBdr>
        <w:top w:val="none" w:sz="0" w:space="0" w:color="auto"/>
        <w:left w:val="none" w:sz="0" w:space="0" w:color="auto"/>
        <w:bottom w:val="none" w:sz="0" w:space="0" w:color="auto"/>
        <w:right w:val="none" w:sz="0" w:space="0" w:color="auto"/>
      </w:divBdr>
    </w:div>
    <w:div w:id="861090359">
      <w:bodyDiv w:val="1"/>
      <w:marLeft w:val="0"/>
      <w:marRight w:val="0"/>
      <w:marTop w:val="0"/>
      <w:marBottom w:val="0"/>
      <w:divBdr>
        <w:top w:val="none" w:sz="0" w:space="0" w:color="auto"/>
        <w:left w:val="none" w:sz="0" w:space="0" w:color="auto"/>
        <w:bottom w:val="none" w:sz="0" w:space="0" w:color="auto"/>
        <w:right w:val="none" w:sz="0" w:space="0" w:color="auto"/>
      </w:divBdr>
    </w:div>
    <w:div w:id="861406296">
      <w:bodyDiv w:val="1"/>
      <w:marLeft w:val="0"/>
      <w:marRight w:val="0"/>
      <w:marTop w:val="0"/>
      <w:marBottom w:val="0"/>
      <w:divBdr>
        <w:top w:val="none" w:sz="0" w:space="0" w:color="auto"/>
        <w:left w:val="none" w:sz="0" w:space="0" w:color="auto"/>
        <w:bottom w:val="none" w:sz="0" w:space="0" w:color="auto"/>
        <w:right w:val="none" w:sz="0" w:space="0" w:color="auto"/>
      </w:divBdr>
    </w:div>
    <w:div w:id="861628589">
      <w:bodyDiv w:val="1"/>
      <w:marLeft w:val="0"/>
      <w:marRight w:val="0"/>
      <w:marTop w:val="0"/>
      <w:marBottom w:val="0"/>
      <w:divBdr>
        <w:top w:val="none" w:sz="0" w:space="0" w:color="auto"/>
        <w:left w:val="none" w:sz="0" w:space="0" w:color="auto"/>
        <w:bottom w:val="none" w:sz="0" w:space="0" w:color="auto"/>
        <w:right w:val="none" w:sz="0" w:space="0" w:color="auto"/>
      </w:divBdr>
    </w:div>
    <w:div w:id="862404778">
      <w:bodyDiv w:val="1"/>
      <w:marLeft w:val="0"/>
      <w:marRight w:val="0"/>
      <w:marTop w:val="0"/>
      <w:marBottom w:val="0"/>
      <w:divBdr>
        <w:top w:val="none" w:sz="0" w:space="0" w:color="auto"/>
        <w:left w:val="none" w:sz="0" w:space="0" w:color="auto"/>
        <w:bottom w:val="none" w:sz="0" w:space="0" w:color="auto"/>
        <w:right w:val="none" w:sz="0" w:space="0" w:color="auto"/>
      </w:divBdr>
    </w:div>
    <w:div w:id="864824838">
      <w:bodyDiv w:val="1"/>
      <w:marLeft w:val="0"/>
      <w:marRight w:val="0"/>
      <w:marTop w:val="0"/>
      <w:marBottom w:val="0"/>
      <w:divBdr>
        <w:top w:val="none" w:sz="0" w:space="0" w:color="auto"/>
        <w:left w:val="none" w:sz="0" w:space="0" w:color="auto"/>
        <w:bottom w:val="none" w:sz="0" w:space="0" w:color="auto"/>
        <w:right w:val="none" w:sz="0" w:space="0" w:color="auto"/>
      </w:divBdr>
    </w:div>
    <w:div w:id="864829001">
      <w:bodyDiv w:val="1"/>
      <w:marLeft w:val="0"/>
      <w:marRight w:val="0"/>
      <w:marTop w:val="0"/>
      <w:marBottom w:val="0"/>
      <w:divBdr>
        <w:top w:val="none" w:sz="0" w:space="0" w:color="auto"/>
        <w:left w:val="none" w:sz="0" w:space="0" w:color="auto"/>
        <w:bottom w:val="none" w:sz="0" w:space="0" w:color="auto"/>
        <w:right w:val="none" w:sz="0" w:space="0" w:color="auto"/>
      </w:divBdr>
    </w:div>
    <w:div w:id="865757367">
      <w:bodyDiv w:val="1"/>
      <w:marLeft w:val="0"/>
      <w:marRight w:val="0"/>
      <w:marTop w:val="0"/>
      <w:marBottom w:val="0"/>
      <w:divBdr>
        <w:top w:val="none" w:sz="0" w:space="0" w:color="auto"/>
        <w:left w:val="none" w:sz="0" w:space="0" w:color="auto"/>
        <w:bottom w:val="none" w:sz="0" w:space="0" w:color="auto"/>
        <w:right w:val="none" w:sz="0" w:space="0" w:color="auto"/>
      </w:divBdr>
    </w:div>
    <w:div w:id="870343800">
      <w:bodyDiv w:val="1"/>
      <w:marLeft w:val="0"/>
      <w:marRight w:val="0"/>
      <w:marTop w:val="0"/>
      <w:marBottom w:val="0"/>
      <w:divBdr>
        <w:top w:val="none" w:sz="0" w:space="0" w:color="auto"/>
        <w:left w:val="none" w:sz="0" w:space="0" w:color="auto"/>
        <w:bottom w:val="none" w:sz="0" w:space="0" w:color="auto"/>
        <w:right w:val="none" w:sz="0" w:space="0" w:color="auto"/>
      </w:divBdr>
    </w:div>
    <w:div w:id="870920991">
      <w:bodyDiv w:val="1"/>
      <w:marLeft w:val="0"/>
      <w:marRight w:val="0"/>
      <w:marTop w:val="0"/>
      <w:marBottom w:val="0"/>
      <w:divBdr>
        <w:top w:val="none" w:sz="0" w:space="0" w:color="auto"/>
        <w:left w:val="none" w:sz="0" w:space="0" w:color="auto"/>
        <w:bottom w:val="none" w:sz="0" w:space="0" w:color="auto"/>
        <w:right w:val="none" w:sz="0" w:space="0" w:color="auto"/>
      </w:divBdr>
    </w:div>
    <w:div w:id="877857670">
      <w:bodyDiv w:val="1"/>
      <w:marLeft w:val="0"/>
      <w:marRight w:val="0"/>
      <w:marTop w:val="0"/>
      <w:marBottom w:val="0"/>
      <w:divBdr>
        <w:top w:val="none" w:sz="0" w:space="0" w:color="auto"/>
        <w:left w:val="none" w:sz="0" w:space="0" w:color="auto"/>
        <w:bottom w:val="none" w:sz="0" w:space="0" w:color="auto"/>
        <w:right w:val="none" w:sz="0" w:space="0" w:color="auto"/>
      </w:divBdr>
    </w:div>
    <w:div w:id="878786811">
      <w:bodyDiv w:val="1"/>
      <w:marLeft w:val="0"/>
      <w:marRight w:val="0"/>
      <w:marTop w:val="0"/>
      <w:marBottom w:val="0"/>
      <w:divBdr>
        <w:top w:val="none" w:sz="0" w:space="0" w:color="auto"/>
        <w:left w:val="none" w:sz="0" w:space="0" w:color="auto"/>
        <w:bottom w:val="none" w:sz="0" w:space="0" w:color="auto"/>
        <w:right w:val="none" w:sz="0" w:space="0" w:color="auto"/>
      </w:divBdr>
    </w:div>
    <w:div w:id="879122711">
      <w:bodyDiv w:val="1"/>
      <w:marLeft w:val="0"/>
      <w:marRight w:val="0"/>
      <w:marTop w:val="0"/>
      <w:marBottom w:val="0"/>
      <w:divBdr>
        <w:top w:val="none" w:sz="0" w:space="0" w:color="auto"/>
        <w:left w:val="none" w:sz="0" w:space="0" w:color="auto"/>
        <w:bottom w:val="none" w:sz="0" w:space="0" w:color="auto"/>
        <w:right w:val="none" w:sz="0" w:space="0" w:color="auto"/>
      </w:divBdr>
    </w:div>
    <w:div w:id="879513195">
      <w:bodyDiv w:val="1"/>
      <w:marLeft w:val="0"/>
      <w:marRight w:val="0"/>
      <w:marTop w:val="0"/>
      <w:marBottom w:val="0"/>
      <w:divBdr>
        <w:top w:val="none" w:sz="0" w:space="0" w:color="auto"/>
        <w:left w:val="none" w:sz="0" w:space="0" w:color="auto"/>
        <w:bottom w:val="none" w:sz="0" w:space="0" w:color="auto"/>
        <w:right w:val="none" w:sz="0" w:space="0" w:color="auto"/>
      </w:divBdr>
    </w:div>
    <w:div w:id="881744231">
      <w:bodyDiv w:val="1"/>
      <w:marLeft w:val="0"/>
      <w:marRight w:val="0"/>
      <w:marTop w:val="0"/>
      <w:marBottom w:val="0"/>
      <w:divBdr>
        <w:top w:val="none" w:sz="0" w:space="0" w:color="auto"/>
        <w:left w:val="none" w:sz="0" w:space="0" w:color="auto"/>
        <w:bottom w:val="none" w:sz="0" w:space="0" w:color="auto"/>
        <w:right w:val="none" w:sz="0" w:space="0" w:color="auto"/>
      </w:divBdr>
    </w:div>
    <w:div w:id="883978743">
      <w:bodyDiv w:val="1"/>
      <w:marLeft w:val="0"/>
      <w:marRight w:val="0"/>
      <w:marTop w:val="0"/>
      <w:marBottom w:val="0"/>
      <w:divBdr>
        <w:top w:val="none" w:sz="0" w:space="0" w:color="auto"/>
        <w:left w:val="none" w:sz="0" w:space="0" w:color="auto"/>
        <w:bottom w:val="none" w:sz="0" w:space="0" w:color="auto"/>
        <w:right w:val="none" w:sz="0" w:space="0" w:color="auto"/>
      </w:divBdr>
    </w:div>
    <w:div w:id="886338368">
      <w:bodyDiv w:val="1"/>
      <w:marLeft w:val="0"/>
      <w:marRight w:val="0"/>
      <w:marTop w:val="0"/>
      <w:marBottom w:val="0"/>
      <w:divBdr>
        <w:top w:val="none" w:sz="0" w:space="0" w:color="auto"/>
        <w:left w:val="none" w:sz="0" w:space="0" w:color="auto"/>
        <w:bottom w:val="none" w:sz="0" w:space="0" w:color="auto"/>
        <w:right w:val="none" w:sz="0" w:space="0" w:color="auto"/>
      </w:divBdr>
    </w:div>
    <w:div w:id="895511227">
      <w:bodyDiv w:val="1"/>
      <w:marLeft w:val="0"/>
      <w:marRight w:val="0"/>
      <w:marTop w:val="0"/>
      <w:marBottom w:val="0"/>
      <w:divBdr>
        <w:top w:val="none" w:sz="0" w:space="0" w:color="auto"/>
        <w:left w:val="none" w:sz="0" w:space="0" w:color="auto"/>
        <w:bottom w:val="none" w:sz="0" w:space="0" w:color="auto"/>
        <w:right w:val="none" w:sz="0" w:space="0" w:color="auto"/>
      </w:divBdr>
    </w:div>
    <w:div w:id="897713639">
      <w:bodyDiv w:val="1"/>
      <w:marLeft w:val="0"/>
      <w:marRight w:val="0"/>
      <w:marTop w:val="0"/>
      <w:marBottom w:val="0"/>
      <w:divBdr>
        <w:top w:val="none" w:sz="0" w:space="0" w:color="auto"/>
        <w:left w:val="none" w:sz="0" w:space="0" w:color="auto"/>
        <w:bottom w:val="none" w:sz="0" w:space="0" w:color="auto"/>
        <w:right w:val="none" w:sz="0" w:space="0" w:color="auto"/>
      </w:divBdr>
    </w:div>
    <w:div w:id="901141026">
      <w:bodyDiv w:val="1"/>
      <w:marLeft w:val="0"/>
      <w:marRight w:val="0"/>
      <w:marTop w:val="0"/>
      <w:marBottom w:val="0"/>
      <w:divBdr>
        <w:top w:val="none" w:sz="0" w:space="0" w:color="auto"/>
        <w:left w:val="none" w:sz="0" w:space="0" w:color="auto"/>
        <w:bottom w:val="none" w:sz="0" w:space="0" w:color="auto"/>
        <w:right w:val="none" w:sz="0" w:space="0" w:color="auto"/>
      </w:divBdr>
    </w:div>
    <w:div w:id="902326300">
      <w:bodyDiv w:val="1"/>
      <w:marLeft w:val="0"/>
      <w:marRight w:val="0"/>
      <w:marTop w:val="0"/>
      <w:marBottom w:val="0"/>
      <w:divBdr>
        <w:top w:val="none" w:sz="0" w:space="0" w:color="auto"/>
        <w:left w:val="none" w:sz="0" w:space="0" w:color="auto"/>
        <w:bottom w:val="none" w:sz="0" w:space="0" w:color="auto"/>
        <w:right w:val="none" w:sz="0" w:space="0" w:color="auto"/>
      </w:divBdr>
    </w:div>
    <w:div w:id="904486032">
      <w:bodyDiv w:val="1"/>
      <w:marLeft w:val="0"/>
      <w:marRight w:val="0"/>
      <w:marTop w:val="0"/>
      <w:marBottom w:val="0"/>
      <w:divBdr>
        <w:top w:val="none" w:sz="0" w:space="0" w:color="auto"/>
        <w:left w:val="none" w:sz="0" w:space="0" w:color="auto"/>
        <w:bottom w:val="none" w:sz="0" w:space="0" w:color="auto"/>
        <w:right w:val="none" w:sz="0" w:space="0" w:color="auto"/>
      </w:divBdr>
    </w:div>
    <w:div w:id="904534071">
      <w:bodyDiv w:val="1"/>
      <w:marLeft w:val="0"/>
      <w:marRight w:val="0"/>
      <w:marTop w:val="0"/>
      <w:marBottom w:val="0"/>
      <w:divBdr>
        <w:top w:val="none" w:sz="0" w:space="0" w:color="auto"/>
        <w:left w:val="none" w:sz="0" w:space="0" w:color="auto"/>
        <w:bottom w:val="none" w:sz="0" w:space="0" w:color="auto"/>
        <w:right w:val="none" w:sz="0" w:space="0" w:color="auto"/>
      </w:divBdr>
    </w:div>
    <w:div w:id="904603135">
      <w:bodyDiv w:val="1"/>
      <w:marLeft w:val="0"/>
      <w:marRight w:val="0"/>
      <w:marTop w:val="0"/>
      <w:marBottom w:val="0"/>
      <w:divBdr>
        <w:top w:val="none" w:sz="0" w:space="0" w:color="auto"/>
        <w:left w:val="none" w:sz="0" w:space="0" w:color="auto"/>
        <w:bottom w:val="none" w:sz="0" w:space="0" w:color="auto"/>
        <w:right w:val="none" w:sz="0" w:space="0" w:color="auto"/>
      </w:divBdr>
    </w:div>
    <w:div w:id="904798544">
      <w:bodyDiv w:val="1"/>
      <w:marLeft w:val="0"/>
      <w:marRight w:val="0"/>
      <w:marTop w:val="0"/>
      <w:marBottom w:val="0"/>
      <w:divBdr>
        <w:top w:val="none" w:sz="0" w:space="0" w:color="auto"/>
        <w:left w:val="none" w:sz="0" w:space="0" w:color="auto"/>
        <w:bottom w:val="none" w:sz="0" w:space="0" w:color="auto"/>
        <w:right w:val="none" w:sz="0" w:space="0" w:color="auto"/>
      </w:divBdr>
    </w:div>
    <w:div w:id="904922017">
      <w:bodyDiv w:val="1"/>
      <w:marLeft w:val="0"/>
      <w:marRight w:val="0"/>
      <w:marTop w:val="0"/>
      <w:marBottom w:val="0"/>
      <w:divBdr>
        <w:top w:val="none" w:sz="0" w:space="0" w:color="auto"/>
        <w:left w:val="none" w:sz="0" w:space="0" w:color="auto"/>
        <w:bottom w:val="none" w:sz="0" w:space="0" w:color="auto"/>
        <w:right w:val="none" w:sz="0" w:space="0" w:color="auto"/>
      </w:divBdr>
    </w:div>
    <w:div w:id="907302680">
      <w:bodyDiv w:val="1"/>
      <w:marLeft w:val="0"/>
      <w:marRight w:val="0"/>
      <w:marTop w:val="0"/>
      <w:marBottom w:val="0"/>
      <w:divBdr>
        <w:top w:val="none" w:sz="0" w:space="0" w:color="auto"/>
        <w:left w:val="none" w:sz="0" w:space="0" w:color="auto"/>
        <w:bottom w:val="none" w:sz="0" w:space="0" w:color="auto"/>
        <w:right w:val="none" w:sz="0" w:space="0" w:color="auto"/>
      </w:divBdr>
    </w:div>
    <w:div w:id="909076238">
      <w:bodyDiv w:val="1"/>
      <w:marLeft w:val="0"/>
      <w:marRight w:val="0"/>
      <w:marTop w:val="0"/>
      <w:marBottom w:val="0"/>
      <w:divBdr>
        <w:top w:val="none" w:sz="0" w:space="0" w:color="auto"/>
        <w:left w:val="none" w:sz="0" w:space="0" w:color="auto"/>
        <w:bottom w:val="none" w:sz="0" w:space="0" w:color="auto"/>
        <w:right w:val="none" w:sz="0" w:space="0" w:color="auto"/>
      </w:divBdr>
    </w:div>
    <w:div w:id="909315577">
      <w:bodyDiv w:val="1"/>
      <w:marLeft w:val="0"/>
      <w:marRight w:val="0"/>
      <w:marTop w:val="0"/>
      <w:marBottom w:val="0"/>
      <w:divBdr>
        <w:top w:val="none" w:sz="0" w:space="0" w:color="auto"/>
        <w:left w:val="none" w:sz="0" w:space="0" w:color="auto"/>
        <w:bottom w:val="none" w:sz="0" w:space="0" w:color="auto"/>
        <w:right w:val="none" w:sz="0" w:space="0" w:color="auto"/>
      </w:divBdr>
    </w:div>
    <w:div w:id="909536439">
      <w:bodyDiv w:val="1"/>
      <w:marLeft w:val="0"/>
      <w:marRight w:val="0"/>
      <w:marTop w:val="0"/>
      <w:marBottom w:val="0"/>
      <w:divBdr>
        <w:top w:val="none" w:sz="0" w:space="0" w:color="auto"/>
        <w:left w:val="none" w:sz="0" w:space="0" w:color="auto"/>
        <w:bottom w:val="none" w:sz="0" w:space="0" w:color="auto"/>
        <w:right w:val="none" w:sz="0" w:space="0" w:color="auto"/>
      </w:divBdr>
    </w:div>
    <w:div w:id="912397336">
      <w:bodyDiv w:val="1"/>
      <w:marLeft w:val="0"/>
      <w:marRight w:val="0"/>
      <w:marTop w:val="0"/>
      <w:marBottom w:val="0"/>
      <w:divBdr>
        <w:top w:val="none" w:sz="0" w:space="0" w:color="auto"/>
        <w:left w:val="none" w:sz="0" w:space="0" w:color="auto"/>
        <w:bottom w:val="none" w:sz="0" w:space="0" w:color="auto"/>
        <w:right w:val="none" w:sz="0" w:space="0" w:color="auto"/>
      </w:divBdr>
    </w:div>
    <w:div w:id="916094199">
      <w:bodyDiv w:val="1"/>
      <w:marLeft w:val="0"/>
      <w:marRight w:val="0"/>
      <w:marTop w:val="0"/>
      <w:marBottom w:val="0"/>
      <w:divBdr>
        <w:top w:val="none" w:sz="0" w:space="0" w:color="auto"/>
        <w:left w:val="none" w:sz="0" w:space="0" w:color="auto"/>
        <w:bottom w:val="none" w:sz="0" w:space="0" w:color="auto"/>
        <w:right w:val="none" w:sz="0" w:space="0" w:color="auto"/>
      </w:divBdr>
    </w:div>
    <w:div w:id="916788712">
      <w:bodyDiv w:val="1"/>
      <w:marLeft w:val="0"/>
      <w:marRight w:val="0"/>
      <w:marTop w:val="0"/>
      <w:marBottom w:val="0"/>
      <w:divBdr>
        <w:top w:val="none" w:sz="0" w:space="0" w:color="auto"/>
        <w:left w:val="none" w:sz="0" w:space="0" w:color="auto"/>
        <w:bottom w:val="none" w:sz="0" w:space="0" w:color="auto"/>
        <w:right w:val="none" w:sz="0" w:space="0" w:color="auto"/>
      </w:divBdr>
    </w:div>
    <w:div w:id="917592294">
      <w:bodyDiv w:val="1"/>
      <w:marLeft w:val="0"/>
      <w:marRight w:val="0"/>
      <w:marTop w:val="0"/>
      <w:marBottom w:val="0"/>
      <w:divBdr>
        <w:top w:val="none" w:sz="0" w:space="0" w:color="auto"/>
        <w:left w:val="none" w:sz="0" w:space="0" w:color="auto"/>
        <w:bottom w:val="none" w:sz="0" w:space="0" w:color="auto"/>
        <w:right w:val="none" w:sz="0" w:space="0" w:color="auto"/>
      </w:divBdr>
    </w:div>
    <w:div w:id="918564737">
      <w:bodyDiv w:val="1"/>
      <w:marLeft w:val="0"/>
      <w:marRight w:val="0"/>
      <w:marTop w:val="0"/>
      <w:marBottom w:val="0"/>
      <w:divBdr>
        <w:top w:val="none" w:sz="0" w:space="0" w:color="auto"/>
        <w:left w:val="none" w:sz="0" w:space="0" w:color="auto"/>
        <w:bottom w:val="none" w:sz="0" w:space="0" w:color="auto"/>
        <w:right w:val="none" w:sz="0" w:space="0" w:color="auto"/>
      </w:divBdr>
    </w:div>
    <w:div w:id="919559450">
      <w:bodyDiv w:val="1"/>
      <w:marLeft w:val="0"/>
      <w:marRight w:val="0"/>
      <w:marTop w:val="0"/>
      <w:marBottom w:val="0"/>
      <w:divBdr>
        <w:top w:val="none" w:sz="0" w:space="0" w:color="auto"/>
        <w:left w:val="none" w:sz="0" w:space="0" w:color="auto"/>
        <w:bottom w:val="none" w:sz="0" w:space="0" w:color="auto"/>
        <w:right w:val="none" w:sz="0" w:space="0" w:color="auto"/>
      </w:divBdr>
    </w:div>
    <w:div w:id="920868046">
      <w:bodyDiv w:val="1"/>
      <w:marLeft w:val="0"/>
      <w:marRight w:val="0"/>
      <w:marTop w:val="0"/>
      <w:marBottom w:val="0"/>
      <w:divBdr>
        <w:top w:val="none" w:sz="0" w:space="0" w:color="auto"/>
        <w:left w:val="none" w:sz="0" w:space="0" w:color="auto"/>
        <w:bottom w:val="none" w:sz="0" w:space="0" w:color="auto"/>
        <w:right w:val="none" w:sz="0" w:space="0" w:color="auto"/>
      </w:divBdr>
    </w:div>
    <w:div w:id="923534757">
      <w:bodyDiv w:val="1"/>
      <w:marLeft w:val="0"/>
      <w:marRight w:val="0"/>
      <w:marTop w:val="0"/>
      <w:marBottom w:val="0"/>
      <w:divBdr>
        <w:top w:val="none" w:sz="0" w:space="0" w:color="auto"/>
        <w:left w:val="none" w:sz="0" w:space="0" w:color="auto"/>
        <w:bottom w:val="none" w:sz="0" w:space="0" w:color="auto"/>
        <w:right w:val="none" w:sz="0" w:space="0" w:color="auto"/>
      </w:divBdr>
    </w:div>
    <w:div w:id="923956378">
      <w:bodyDiv w:val="1"/>
      <w:marLeft w:val="0"/>
      <w:marRight w:val="0"/>
      <w:marTop w:val="0"/>
      <w:marBottom w:val="0"/>
      <w:divBdr>
        <w:top w:val="none" w:sz="0" w:space="0" w:color="auto"/>
        <w:left w:val="none" w:sz="0" w:space="0" w:color="auto"/>
        <w:bottom w:val="none" w:sz="0" w:space="0" w:color="auto"/>
        <w:right w:val="none" w:sz="0" w:space="0" w:color="auto"/>
      </w:divBdr>
    </w:div>
    <w:div w:id="925501809">
      <w:bodyDiv w:val="1"/>
      <w:marLeft w:val="0"/>
      <w:marRight w:val="0"/>
      <w:marTop w:val="0"/>
      <w:marBottom w:val="0"/>
      <w:divBdr>
        <w:top w:val="none" w:sz="0" w:space="0" w:color="auto"/>
        <w:left w:val="none" w:sz="0" w:space="0" w:color="auto"/>
        <w:bottom w:val="none" w:sz="0" w:space="0" w:color="auto"/>
        <w:right w:val="none" w:sz="0" w:space="0" w:color="auto"/>
      </w:divBdr>
    </w:div>
    <w:div w:id="926812152">
      <w:bodyDiv w:val="1"/>
      <w:marLeft w:val="0"/>
      <w:marRight w:val="0"/>
      <w:marTop w:val="0"/>
      <w:marBottom w:val="0"/>
      <w:divBdr>
        <w:top w:val="none" w:sz="0" w:space="0" w:color="auto"/>
        <w:left w:val="none" w:sz="0" w:space="0" w:color="auto"/>
        <w:bottom w:val="none" w:sz="0" w:space="0" w:color="auto"/>
        <w:right w:val="none" w:sz="0" w:space="0" w:color="auto"/>
      </w:divBdr>
    </w:div>
    <w:div w:id="927421108">
      <w:bodyDiv w:val="1"/>
      <w:marLeft w:val="0"/>
      <w:marRight w:val="0"/>
      <w:marTop w:val="0"/>
      <w:marBottom w:val="0"/>
      <w:divBdr>
        <w:top w:val="none" w:sz="0" w:space="0" w:color="auto"/>
        <w:left w:val="none" w:sz="0" w:space="0" w:color="auto"/>
        <w:bottom w:val="none" w:sz="0" w:space="0" w:color="auto"/>
        <w:right w:val="none" w:sz="0" w:space="0" w:color="auto"/>
      </w:divBdr>
    </w:div>
    <w:div w:id="928927841">
      <w:bodyDiv w:val="1"/>
      <w:marLeft w:val="0"/>
      <w:marRight w:val="0"/>
      <w:marTop w:val="0"/>
      <w:marBottom w:val="0"/>
      <w:divBdr>
        <w:top w:val="none" w:sz="0" w:space="0" w:color="auto"/>
        <w:left w:val="none" w:sz="0" w:space="0" w:color="auto"/>
        <w:bottom w:val="none" w:sz="0" w:space="0" w:color="auto"/>
        <w:right w:val="none" w:sz="0" w:space="0" w:color="auto"/>
      </w:divBdr>
    </w:div>
    <w:div w:id="935558590">
      <w:bodyDiv w:val="1"/>
      <w:marLeft w:val="0"/>
      <w:marRight w:val="0"/>
      <w:marTop w:val="0"/>
      <w:marBottom w:val="0"/>
      <w:divBdr>
        <w:top w:val="none" w:sz="0" w:space="0" w:color="auto"/>
        <w:left w:val="none" w:sz="0" w:space="0" w:color="auto"/>
        <w:bottom w:val="none" w:sz="0" w:space="0" w:color="auto"/>
        <w:right w:val="none" w:sz="0" w:space="0" w:color="auto"/>
      </w:divBdr>
    </w:div>
    <w:div w:id="936670744">
      <w:bodyDiv w:val="1"/>
      <w:marLeft w:val="0"/>
      <w:marRight w:val="0"/>
      <w:marTop w:val="0"/>
      <w:marBottom w:val="0"/>
      <w:divBdr>
        <w:top w:val="none" w:sz="0" w:space="0" w:color="auto"/>
        <w:left w:val="none" w:sz="0" w:space="0" w:color="auto"/>
        <w:bottom w:val="none" w:sz="0" w:space="0" w:color="auto"/>
        <w:right w:val="none" w:sz="0" w:space="0" w:color="auto"/>
      </w:divBdr>
    </w:div>
    <w:div w:id="943417690">
      <w:bodyDiv w:val="1"/>
      <w:marLeft w:val="0"/>
      <w:marRight w:val="0"/>
      <w:marTop w:val="0"/>
      <w:marBottom w:val="0"/>
      <w:divBdr>
        <w:top w:val="none" w:sz="0" w:space="0" w:color="auto"/>
        <w:left w:val="none" w:sz="0" w:space="0" w:color="auto"/>
        <w:bottom w:val="none" w:sz="0" w:space="0" w:color="auto"/>
        <w:right w:val="none" w:sz="0" w:space="0" w:color="auto"/>
      </w:divBdr>
    </w:div>
    <w:div w:id="943924484">
      <w:bodyDiv w:val="1"/>
      <w:marLeft w:val="0"/>
      <w:marRight w:val="0"/>
      <w:marTop w:val="0"/>
      <w:marBottom w:val="0"/>
      <w:divBdr>
        <w:top w:val="none" w:sz="0" w:space="0" w:color="auto"/>
        <w:left w:val="none" w:sz="0" w:space="0" w:color="auto"/>
        <w:bottom w:val="none" w:sz="0" w:space="0" w:color="auto"/>
        <w:right w:val="none" w:sz="0" w:space="0" w:color="auto"/>
      </w:divBdr>
    </w:div>
    <w:div w:id="944969148">
      <w:bodyDiv w:val="1"/>
      <w:marLeft w:val="0"/>
      <w:marRight w:val="0"/>
      <w:marTop w:val="0"/>
      <w:marBottom w:val="0"/>
      <w:divBdr>
        <w:top w:val="none" w:sz="0" w:space="0" w:color="auto"/>
        <w:left w:val="none" w:sz="0" w:space="0" w:color="auto"/>
        <w:bottom w:val="none" w:sz="0" w:space="0" w:color="auto"/>
        <w:right w:val="none" w:sz="0" w:space="0" w:color="auto"/>
      </w:divBdr>
    </w:div>
    <w:div w:id="946545099">
      <w:bodyDiv w:val="1"/>
      <w:marLeft w:val="0"/>
      <w:marRight w:val="0"/>
      <w:marTop w:val="0"/>
      <w:marBottom w:val="0"/>
      <w:divBdr>
        <w:top w:val="none" w:sz="0" w:space="0" w:color="auto"/>
        <w:left w:val="none" w:sz="0" w:space="0" w:color="auto"/>
        <w:bottom w:val="none" w:sz="0" w:space="0" w:color="auto"/>
        <w:right w:val="none" w:sz="0" w:space="0" w:color="auto"/>
      </w:divBdr>
    </w:div>
    <w:div w:id="946934173">
      <w:bodyDiv w:val="1"/>
      <w:marLeft w:val="0"/>
      <w:marRight w:val="0"/>
      <w:marTop w:val="0"/>
      <w:marBottom w:val="0"/>
      <w:divBdr>
        <w:top w:val="none" w:sz="0" w:space="0" w:color="auto"/>
        <w:left w:val="none" w:sz="0" w:space="0" w:color="auto"/>
        <w:bottom w:val="none" w:sz="0" w:space="0" w:color="auto"/>
        <w:right w:val="none" w:sz="0" w:space="0" w:color="auto"/>
      </w:divBdr>
    </w:div>
    <w:div w:id="947813506">
      <w:bodyDiv w:val="1"/>
      <w:marLeft w:val="0"/>
      <w:marRight w:val="0"/>
      <w:marTop w:val="0"/>
      <w:marBottom w:val="0"/>
      <w:divBdr>
        <w:top w:val="none" w:sz="0" w:space="0" w:color="auto"/>
        <w:left w:val="none" w:sz="0" w:space="0" w:color="auto"/>
        <w:bottom w:val="none" w:sz="0" w:space="0" w:color="auto"/>
        <w:right w:val="none" w:sz="0" w:space="0" w:color="auto"/>
      </w:divBdr>
    </w:div>
    <w:div w:id="954214597">
      <w:bodyDiv w:val="1"/>
      <w:marLeft w:val="0"/>
      <w:marRight w:val="0"/>
      <w:marTop w:val="0"/>
      <w:marBottom w:val="0"/>
      <w:divBdr>
        <w:top w:val="none" w:sz="0" w:space="0" w:color="auto"/>
        <w:left w:val="none" w:sz="0" w:space="0" w:color="auto"/>
        <w:bottom w:val="none" w:sz="0" w:space="0" w:color="auto"/>
        <w:right w:val="none" w:sz="0" w:space="0" w:color="auto"/>
      </w:divBdr>
    </w:div>
    <w:div w:id="957032933">
      <w:bodyDiv w:val="1"/>
      <w:marLeft w:val="0"/>
      <w:marRight w:val="0"/>
      <w:marTop w:val="0"/>
      <w:marBottom w:val="0"/>
      <w:divBdr>
        <w:top w:val="none" w:sz="0" w:space="0" w:color="auto"/>
        <w:left w:val="none" w:sz="0" w:space="0" w:color="auto"/>
        <w:bottom w:val="none" w:sz="0" w:space="0" w:color="auto"/>
        <w:right w:val="none" w:sz="0" w:space="0" w:color="auto"/>
      </w:divBdr>
    </w:div>
    <w:div w:id="957371149">
      <w:bodyDiv w:val="1"/>
      <w:marLeft w:val="0"/>
      <w:marRight w:val="0"/>
      <w:marTop w:val="0"/>
      <w:marBottom w:val="0"/>
      <w:divBdr>
        <w:top w:val="none" w:sz="0" w:space="0" w:color="auto"/>
        <w:left w:val="none" w:sz="0" w:space="0" w:color="auto"/>
        <w:bottom w:val="none" w:sz="0" w:space="0" w:color="auto"/>
        <w:right w:val="none" w:sz="0" w:space="0" w:color="auto"/>
      </w:divBdr>
    </w:div>
    <w:div w:id="957833364">
      <w:bodyDiv w:val="1"/>
      <w:marLeft w:val="0"/>
      <w:marRight w:val="0"/>
      <w:marTop w:val="0"/>
      <w:marBottom w:val="0"/>
      <w:divBdr>
        <w:top w:val="none" w:sz="0" w:space="0" w:color="auto"/>
        <w:left w:val="none" w:sz="0" w:space="0" w:color="auto"/>
        <w:bottom w:val="none" w:sz="0" w:space="0" w:color="auto"/>
        <w:right w:val="none" w:sz="0" w:space="0" w:color="auto"/>
      </w:divBdr>
    </w:div>
    <w:div w:id="964500718">
      <w:bodyDiv w:val="1"/>
      <w:marLeft w:val="0"/>
      <w:marRight w:val="0"/>
      <w:marTop w:val="0"/>
      <w:marBottom w:val="0"/>
      <w:divBdr>
        <w:top w:val="none" w:sz="0" w:space="0" w:color="auto"/>
        <w:left w:val="none" w:sz="0" w:space="0" w:color="auto"/>
        <w:bottom w:val="none" w:sz="0" w:space="0" w:color="auto"/>
        <w:right w:val="none" w:sz="0" w:space="0" w:color="auto"/>
      </w:divBdr>
    </w:div>
    <w:div w:id="964770172">
      <w:bodyDiv w:val="1"/>
      <w:marLeft w:val="0"/>
      <w:marRight w:val="0"/>
      <w:marTop w:val="0"/>
      <w:marBottom w:val="0"/>
      <w:divBdr>
        <w:top w:val="none" w:sz="0" w:space="0" w:color="auto"/>
        <w:left w:val="none" w:sz="0" w:space="0" w:color="auto"/>
        <w:bottom w:val="none" w:sz="0" w:space="0" w:color="auto"/>
        <w:right w:val="none" w:sz="0" w:space="0" w:color="auto"/>
      </w:divBdr>
    </w:div>
    <w:div w:id="966008430">
      <w:bodyDiv w:val="1"/>
      <w:marLeft w:val="0"/>
      <w:marRight w:val="0"/>
      <w:marTop w:val="0"/>
      <w:marBottom w:val="0"/>
      <w:divBdr>
        <w:top w:val="none" w:sz="0" w:space="0" w:color="auto"/>
        <w:left w:val="none" w:sz="0" w:space="0" w:color="auto"/>
        <w:bottom w:val="none" w:sz="0" w:space="0" w:color="auto"/>
        <w:right w:val="none" w:sz="0" w:space="0" w:color="auto"/>
      </w:divBdr>
    </w:div>
    <w:div w:id="967393142">
      <w:bodyDiv w:val="1"/>
      <w:marLeft w:val="0"/>
      <w:marRight w:val="0"/>
      <w:marTop w:val="0"/>
      <w:marBottom w:val="0"/>
      <w:divBdr>
        <w:top w:val="none" w:sz="0" w:space="0" w:color="auto"/>
        <w:left w:val="none" w:sz="0" w:space="0" w:color="auto"/>
        <w:bottom w:val="none" w:sz="0" w:space="0" w:color="auto"/>
        <w:right w:val="none" w:sz="0" w:space="0" w:color="auto"/>
      </w:divBdr>
    </w:div>
    <w:div w:id="967512488">
      <w:bodyDiv w:val="1"/>
      <w:marLeft w:val="0"/>
      <w:marRight w:val="0"/>
      <w:marTop w:val="0"/>
      <w:marBottom w:val="0"/>
      <w:divBdr>
        <w:top w:val="none" w:sz="0" w:space="0" w:color="auto"/>
        <w:left w:val="none" w:sz="0" w:space="0" w:color="auto"/>
        <w:bottom w:val="none" w:sz="0" w:space="0" w:color="auto"/>
        <w:right w:val="none" w:sz="0" w:space="0" w:color="auto"/>
      </w:divBdr>
    </w:div>
    <w:div w:id="971442575">
      <w:bodyDiv w:val="1"/>
      <w:marLeft w:val="0"/>
      <w:marRight w:val="0"/>
      <w:marTop w:val="0"/>
      <w:marBottom w:val="0"/>
      <w:divBdr>
        <w:top w:val="none" w:sz="0" w:space="0" w:color="auto"/>
        <w:left w:val="none" w:sz="0" w:space="0" w:color="auto"/>
        <w:bottom w:val="none" w:sz="0" w:space="0" w:color="auto"/>
        <w:right w:val="none" w:sz="0" w:space="0" w:color="auto"/>
      </w:divBdr>
    </w:div>
    <w:div w:id="972057430">
      <w:bodyDiv w:val="1"/>
      <w:marLeft w:val="0"/>
      <w:marRight w:val="0"/>
      <w:marTop w:val="0"/>
      <w:marBottom w:val="0"/>
      <w:divBdr>
        <w:top w:val="none" w:sz="0" w:space="0" w:color="auto"/>
        <w:left w:val="none" w:sz="0" w:space="0" w:color="auto"/>
        <w:bottom w:val="none" w:sz="0" w:space="0" w:color="auto"/>
        <w:right w:val="none" w:sz="0" w:space="0" w:color="auto"/>
      </w:divBdr>
    </w:div>
    <w:div w:id="972447058">
      <w:bodyDiv w:val="1"/>
      <w:marLeft w:val="0"/>
      <w:marRight w:val="0"/>
      <w:marTop w:val="0"/>
      <w:marBottom w:val="0"/>
      <w:divBdr>
        <w:top w:val="none" w:sz="0" w:space="0" w:color="auto"/>
        <w:left w:val="none" w:sz="0" w:space="0" w:color="auto"/>
        <w:bottom w:val="none" w:sz="0" w:space="0" w:color="auto"/>
        <w:right w:val="none" w:sz="0" w:space="0" w:color="auto"/>
      </w:divBdr>
    </w:div>
    <w:div w:id="972448026">
      <w:bodyDiv w:val="1"/>
      <w:marLeft w:val="0"/>
      <w:marRight w:val="0"/>
      <w:marTop w:val="0"/>
      <w:marBottom w:val="0"/>
      <w:divBdr>
        <w:top w:val="none" w:sz="0" w:space="0" w:color="auto"/>
        <w:left w:val="none" w:sz="0" w:space="0" w:color="auto"/>
        <w:bottom w:val="none" w:sz="0" w:space="0" w:color="auto"/>
        <w:right w:val="none" w:sz="0" w:space="0" w:color="auto"/>
      </w:divBdr>
    </w:div>
    <w:div w:id="972833898">
      <w:bodyDiv w:val="1"/>
      <w:marLeft w:val="0"/>
      <w:marRight w:val="0"/>
      <w:marTop w:val="0"/>
      <w:marBottom w:val="0"/>
      <w:divBdr>
        <w:top w:val="none" w:sz="0" w:space="0" w:color="auto"/>
        <w:left w:val="none" w:sz="0" w:space="0" w:color="auto"/>
        <w:bottom w:val="none" w:sz="0" w:space="0" w:color="auto"/>
        <w:right w:val="none" w:sz="0" w:space="0" w:color="auto"/>
      </w:divBdr>
    </w:div>
    <w:div w:id="976301033">
      <w:bodyDiv w:val="1"/>
      <w:marLeft w:val="0"/>
      <w:marRight w:val="0"/>
      <w:marTop w:val="0"/>
      <w:marBottom w:val="0"/>
      <w:divBdr>
        <w:top w:val="none" w:sz="0" w:space="0" w:color="auto"/>
        <w:left w:val="none" w:sz="0" w:space="0" w:color="auto"/>
        <w:bottom w:val="none" w:sz="0" w:space="0" w:color="auto"/>
        <w:right w:val="none" w:sz="0" w:space="0" w:color="auto"/>
      </w:divBdr>
    </w:div>
    <w:div w:id="977219570">
      <w:bodyDiv w:val="1"/>
      <w:marLeft w:val="0"/>
      <w:marRight w:val="0"/>
      <w:marTop w:val="0"/>
      <w:marBottom w:val="0"/>
      <w:divBdr>
        <w:top w:val="none" w:sz="0" w:space="0" w:color="auto"/>
        <w:left w:val="none" w:sz="0" w:space="0" w:color="auto"/>
        <w:bottom w:val="none" w:sz="0" w:space="0" w:color="auto"/>
        <w:right w:val="none" w:sz="0" w:space="0" w:color="auto"/>
      </w:divBdr>
    </w:div>
    <w:div w:id="977564736">
      <w:bodyDiv w:val="1"/>
      <w:marLeft w:val="0"/>
      <w:marRight w:val="0"/>
      <w:marTop w:val="0"/>
      <w:marBottom w:val="0"/>
      <w:divBdr>
        <w:top w:val="none" w:sz="0" w:space="0" w:color="auto"/>
        <w:left w:val="none" w:sz="0" w:space="0" w:color="auto"/>
        <w:bottom w:val="none" w:sz="0" w:space="0" w:color="auto"/>
        <w:right w:val="none" w:sz="0" w:space="0" w:color="auto"/>
      </w:divBdr>
    </w:div>
    <w:div w:id="977613968">
      <w:bodyDiv w:val="1"/>
      <w:marLeft w:val="0"/>
      <w:marRight w:val="0"/>
      <w:marTop w:val="0"/>
      <w:marBottom w:val="0"/>
      <w:divBdr>
        <w:top w:val="none" w:sz="0" w:space="0" w:color="auto"/>
        <w:left w:val="none" w:sz="0" w:space="0" w:color="auto"/>
        <w:bottom w:val="none" w:sz="0" w:space="0" w:color="auto"/>
        <w:right w:val="none" w:sz="0" w:space="0" w:color="auto"/>
      </w:divBdr>
    </w:div>
    <w:div w:id="978730836">
      <w:bodyDiv w:val="1"/>
      <w:marLeft w:val="0"/>
      <w:marRight w:val="0"/>
      <w:marTop w:val="0"/>
      <w:marBottom w:val="0"/>
      <w:divBdr>
        <w:top w:val="none" w:sz="0" w:space="0" w:color="auto"/>
        <w:left w:val="none" w:sz="0" w:space="0" w:color="auto"/>
        <w:bottom w:val="none" w:sz="0" w:space="0" w:color="auto"/>
        <w:right w:val="none" w:sz="0" w:space="0" w:color="auto"/>
      </w:divBdr>
    </w:div>
    <w:div w:id="980961232">
      <w:bodyDiv w:val="1"/>
      <w:marLeft w:val="0"/>
      <w:marRight w:val="0"/>
      <w:marTop w:val="0"/>
      <w:marBottom w:val="0"/>
      <w:divBdr>
        <w:top w:val="none" w:sz="0" w:space="0" w:color="auto"/>
        <w:left w:val="none" w:sz="0" w:space="0" w:color="auto"/>
        <w:bottom w:val="none" w:sz="0" w:space="0" w:color="auto"/>
        <w:right w:val="none" w:sz="0" w:space="0" w:color="auto"/>
      </w:divBdr>
    </w:div>
    <w:div w:id="980961854">
      <w:bodyDiv w:val="1"/>
      <w:marLeft w:val="0"/>
      <w:marRight w:val="0"/>
      <w:marTop w:val="0"/>
      <w:marBottom w:val="0"/>
      <w:divBdr>
        <w:top w:val="none" w:sz="0" w:space="0" w:color="auto"/>
        <w:left w:val="none" w:sz="0" w:space="0" w:color="auto"/>
        <w:bottom w:val="none" w:sz="0" w:space="0" w:color="auto"/>
        <w:right w:val="none" w:sz="0" w:space="0" w:color="auto"/>
      </w:divBdr>
    </w:div>
    <w:div w:id="981232884">
      <w:bodyDiv w:val="1"/>
      <w:marLeft w:val="0"/>
      <w:marRight w:val="0"/>
      <w:marTop w:val="0"/>
      <w:marBottom w:val="0"/>
      <w:divBdr>
        <w:top w:val="none" w:sz="0" w:space="0" w:color="auto"/>
        <w:left w:val="none" w:sz="0" w:space="0" w:color="auto"/>
        <w:bottom w:val="none" w:sz="0" w:space="0" w:color="auto"/>
        <w:right w:val="none" w:sz="0" w:space="0" w:color="auto"/>
      </w:divBdr>
    </w:div>
    <w:div w:id="983699075">
      <w:bodyDiv w:val="1"/>
      <w:marLeft w:val="0"/>
      <w:marRight w:val="0"/>
      <w:marTop w:val="0"/>
      <w:marBottom w:val="0"/>
      <w:divBdr>
        <w:top w:val="none" w:sz="0" w:space="0" w:color="auto"/>
        <w:left w:val="none" w:sz="0" w:space="0" w:color="auto"/>
        <w:bottom w:val="none" w:sz="0" w:space="0" w:color="auto"/>
        <w:right w:val="none" w:sz="0" w:space="0" w:color="auto"/>
      </w:divBdr>
    </w:div>
    <w:div w:id="984506101">
      <w:bodyDiv w:val="1"/>
      <w:marLeft w:val="0"/>
      <w:marRight w:val="0"/>
      <w:marTop w:val="0"/>
      <w:marBottom w:val="0"/>
      <w:divBdr>
        <w:top w:val="none" w:sz="0" w:space="0" w:color="auto"/>
        <w:left w:val="none" w:sz="0" w:space="0" w:color="auto"/>
        <w:bottom w:val="none" w:sz="0" w:space="0" w:color="auto"/>
        <w:right w:val="none" w:sz="0" w:space="0" w:color="auto"/>
      </w:divBdr>
    </w:div>
    <w:div w:id="985165398">
      <w:bodyDiv w:val="1"/>
      <w:marLeft w:val="0"/>
      <w:marRight w:val="0"/>
      <w:marTop w:val="0"/>
      <w:marBottom w:val="0"/>
      <w:divBdr>
        <w:top w:val="none" w:sz="0" w:space="0" w:color="auto"/>
        <w:left w:val="none" w:sz="0" w:space="0" w:color="auto"/>
        <w:bottom w:val="none" w:sz="0" w:space="0" w:color="auto"/>
        <w:right w:val="none" w:sz="0" w:space="0" w:color="auto"/>
      </w:divBdr>
    </w:div>
    <w:div w:id="986710739">
      <w:bodyDiv w:val="1"/>
      <w:marLeft w:val="0"/>
      <w:marRight w:val="0"/>
      <w:marTop w:val="0"/>
      <w:marBottom w:val="0"/>
      <w:divBdr>
        <w:top w:val="none" w:sz="0" w:space="0" w:color="auto"/>
        <w:left w:val="none" w:sz="0" w:space="0" w:color="auto"/>
        <w:bottom w:val="none" w:sz="0" w:space="0" w:color="auto"/>
        <w:right w:val="none" w:sz="0" w:space="0" w:color="auto"/>
      </w:divBdr>
    </w:div>
    <w:div w:id="991955107">
      <w:bodyDiv w:val="1"/>
      <w:marLeft w:val="0"/>
      <w:marRight w:val="0"/>
      <w:marTop w:val="0"/>
      <w:marBottom w:val="0"/>
      <w:divBdr>
        <w:top w:val="none" w:sz="0" w:space="0" w:color="auto"/>
        <w:left w:val="none" w:sz="0" w:space="0" w:color="auto"/>
        <w:bottom w:val="none" w:sz="0" w:space="0" w:color="auto"/>
        <w:right w:val="none" w:sz="0" w:space="0" w:color="auto"/>
      </w:divBdr>
    </w:div>
    <w:div w:id="993724623">
      <w:bodyDiv w:val="1"/>
      <w:marLeft w:val="0"/>
      <w:marRight w:val="0"/>
      <w:marTop w:val="0"/>
      <w:marBottom w:val="0"/>
      <w:divBdr>
        <w:top w:val="none" w:sz="0" w:space="0" w:color="auto"/>
        <w:left w:val="none" w:sz="0" w:space="0" w:color="auto"/>
        <w:bottom w:val="none" w:sz="0" w:space="0" w:color="auto"/>
        <w:right w:val="none" w:sz="0" w:space="0" w:color="auto"/>
      </w:divBdr>
    </w:div>
    <w:div w:id="996148270">
      <w:bodyDiv w:val="1"/>
      <w:marLeft w:val="0"/>
      <w:marRight w:val="0"/>
      <w:marTop w:val="0"/>
      <w:marBottom w:val="0"/>
      <w:divBdr>
        <w:top w:val="none" w:sz="0" w:space="0" w:color="auto"/>
        <w:left w:val="none" w:sz="0" w:space="0" w:color="auto"/>
        <w:bottom w:val="none" w:sz="0" w:space="0" w:color="auto"/>
        <w:right w:val="none" w:sz="0" w:space="0" w:color="auto"/>
      </w:divBdr>
    </w:div>
    <w:div w:id="996880251">
      <w:bodyDiv w:val="1"/>
      <w:marLeft w:val="0"/>
      <w:marRight w:val="0"/>
      <w:marTop w:val="0"/>
      <w:marBottom w:val="0"/>
      <w:divBdr>
        <w:top w:val="none" w:sz="0" w:space="0" w:color="auto"/>
        <w:left w:val="none" w:sz="0" w:space="0" w:color="auto"/>
        <w:bottom w:val="none" w:sz="0" w:space="0" w:color="auto"/>
        <w:right w:val="none" w:sz="0" w:space="0" w:color="auto"/>
      </w:divBdr>
    </w:div>
    <w:div w:id="1002467107">
      <w:bodyDiv w:val="1"/>
      <w:marLeft w:val="0"/>
      <w:marRight w:val="0"/>
      <w:marTop w:val="0"/>
      <w:marBottom w:val="0"/>
      <w:divBdr>
        <w:top w:val="none" w:sz="0" w:space="0" w:color="auto"/>
        <w:left w:val="none" w:sz="0" w:space="0" w:color="auto"/>
        <w:bottom w:val="none" w:sz="0" w:space="0" w:color="auto"/>
        <w:right w:val="none" w:sz="0" w:space="0" w:color="auto"/>
      </w:divBdr>
    </w:div>
    <w:div w:id="1003319483">
      <w:bodyDiv w:val="1"/>
      <w:marLeft w:val="0"/>
      <w:marRight w:val="0"/>
      <w:marTop w:val="0"/>
      <w:marBottom w:val="0"/>
      <w:divBdr>
        <w:top w:val="none" w:sz="0" w:space="0" w:color="auto"/>
        <w:left w:val="none" w:sz="0" w:space="0" w:color="auto"/>
        <w:bottom w:val="none" w:sz="0" w:space="0" w:color="auto"/>
        <w:right w:val="none" w:sz="0" w:space="0" w:color="auto"/>
      </w:divBdr>
    </w:div>
    <w:div w:id="1005547038">
      <w:bodyDiv w:val="1"/>
      <w:marLeft w:val="0"/>
      <w:marRight w:val="0"/>
      <w:marTop w:val="0"/>
      <w:marBottom w:val="0"/>
      <w:divBdr>
        <w:top w:val="none" w:sz="0" w:space="0" w:color="auto"/>
        <w:left w:val="none" w:sz="0" w:space="0" w:color="auto"/>
        <w:bottom w:val="none" w:sz="0" w:space="0" w:color="auto"/>
        <w:right w:val="none" w:sz="0" w:space="0" w:color="auto"/>
      </w:divBdr>
    </w:div>
    <w:div w:id="1005667302">
      <w:bodyDiv w:val="1"/>
      <w:marLeft w:val="0"/>
      <w:marRight w:val="0"/>
      <w:marTop w:val="0"/>
      <w:marBottom w:val="0"/>
      <w:divBdr>
        <w:top w:val="none" w:sz="0" w:space="0" w:color="auto"/>
        <w:left w:val="none" w:sz="0" w:space="0" w:color="auto"/>
        <w:bottom w:val="none" w:sz="0" w:space="0" w:color="auto"/>
        <w:right w:val="none" w:sz="0" w:space="0" w:color="auto"/>
      </w:divBdr>
    </w:div>
    <w:div w:id="1006322861">
      <w:bodyDiv w:val="1"/>
      <w:marLeft w:val="0"/>
      <w:marRight w:val="0"/>
      <w:marTop w:val="0"/>
      <w:marBottom w:val="0"/>
      <w:divBdr>
        <w:top w:val="none" w:sz="0" w:space="0" w:color="auto"/>
        <w:left w:val="none" w:sz="0" w:space="0" w:color="auto"/>
        <w:bottom w:val="none" w:sz="0" w:space="0" w:color="auto"/>
        <w:right w:val="none" w:sz="0" w:space="0" w:color="auto"/>
      </w:divBdr>
    </w:div>
    <w:div w:id="1009255697">
      <w:bodyDiv w:val="1"/>
      <w:marLeft w:val="0"/>
      <w:marRight w:val="0"/>
      <w:marTop w:val="0"/>
      <w:marBottom w:val="0"/>
      <w:divBdr>
        <w:top w:val="none" w:sz="0" w:space="0" w:color="auto"/>
        <w:left w:val="none" w:sz="0" w:space="0" w:color="auto"/>
        <w:bottom w:val="none" w:sz="0" w:space="0" w:color="auto"/>
        <w:right w:val="none" w:sz="0" w:space="0" w:color="auto"/>
      </w:divBdr>
    </w:div>
    <w:div w:id="1009722273">
      <w:bodyDiv w:val="1"/>
      <w:marLeft w:val="0"/>
      <w:marRight w:val="0"/>
      <w:marTop w:val="0"/>
      <w:marBottom w:val="0"/>
      <w:divBdr>
        <w:top w:val="none" w:sz="0" w:space="0" w:color="auto"/>
        <w:left w:val="none" w:sz="0" w:space="0" w:color="auto"/>
        <w:bottom w:val="none" w:sz="0" w:space="0" w:color="auto"/>
        <w:right w:val="none" w:sz="0" w:space="0" w:color="auto"/>
      </w:divBdr>
    </w:div>
    <w:div w:id="1010135389">
      <w:bodyDiv w:val="1"/>
      <w:marLeft w:val="0"/>
      <w:marRight w:val="0"/>
      <w:marTop w:val="0"/>
      <w:marBottom w:val="0"/>
      <w:divBdr>
        <w:top w:val="none" w:sz="0" w:space="0" w:color="auto"/>
        <w:left w:val="none" w:sz="0" w:space="0" w:color="auto"/>
        <w:bottom w:val="none" w:sz="0" w:space="0" w:color="auto"/>
        <w:right w:val="none" w:sz="0" w:space="0" w:color="auto"/>
      </w:divBdr>
    </w:div>
    <w:div w:id="1010838559">
      <w:bodyDiv w:val="1"/>
      <w:marLeft w:val="0"/>
      <w:marRight w:val="0"/>
      <w:marTop w:val="0"/>
      <w:marBottom w:val="0"/>
      <w:divBdr>
        <w:top w:val="none" w:sz="0" w:space="0" w:color="auto"/>
        <w:left w:val="none" w:sz="0" w:space="0" w:color="auto"/>
        <w:bottom w:val="none" w:sz="0" w:space="0" w:color="auto"/>
        <w:right w:val="none" w:sz="0" w:space="0" w:color="auto"/>
      </w:divBdr>
    </w:div>
    <w:div w:id="1010912239">
      <w:bodyDiv w:val="1"/>
      <w:marLeft w:val="0"/>
      <w:marRight w:val="0"/>
      <w:marTop w:val="0"/>
      <w:marBottom w:val="0"/>
      <w:divBdr>
        <w:top w:val="none" w:sz="0" w:space="0" w:color="auto"/>
        <w:left w:val="none" w:sz="0" w:space="0" w:color="auto"/>
        <w:bottom w:val="none" w:sz="0" w:space="0" w:color="auto"/>
        <w:right w:val="none" w:sz="0" w:space="0" w:color="auto"/>
      </w:divBdr>
    </w:div>
    <w:div w:id="1011840001">
      <w:bodyDiv w:val="1"/>
      <w:marLeft w:val="0"/>
      <w:marRight w:val="0"/>
      <w:marTop w:val="0"/>
      <w:marBottom w:val="0"/>
      <w:divBdr>
        <w:top w:val="none" w:sz="0" w:space="0" w:color="auto"/>
        <w:left w:val="none" w:sz="0" w:space="0" w:color="auto"/>
        <w:bottom w:val="none" w:sz="0" w:space="0" w:color="auto"/>
        <w:right w:val="none" w:sz="0" w:space="0" w:color="auto"/>
      </w:divBdr>
    </w:div>
    <w:div w:id="1012417587">
      <w:bodyDiv w:val="1"/>
      <w:marLeft w:val="0"/>
      <w:marRight w:val="0"/>
      <w:marTop w:val="0"/>
      <w:marBottom w:val="0"/>
      <w:divBdr>
        <w:top w:val="none" w:sz="0" w:space="0" w:color="auto"/>
        <w:left w:val="none" w:sz="0" w:space="0" w:color="auto"/>
        <w:bottom w:val="none" w:sz="0" w:space="0" w:color="auto"/>
        <w:right w:val="none" w:sz="0" w:space="0" w:color="auto"/>
      </w:divBdr>
    </w:div>
    <w:div w:id="1012563254">
      <w:bodyDiv w:val="1"/>
      <w:marLeft w:val="0"/>
      <w:marRight w:val="0"/>
      <w:marTop w:val="0"/>
      <w:marBottom w:val="0"/>
      <w:divBdr>
        <w:top w:val="none" w:sz="0" w:space="0" w:color="auto"/>
        <w:left w:val="none" w:sz="0" w:space="0" w:color="auto"/>
        <w:bottom w:val="none" w:sz="0" w:space="0" w:color="auto"/>
        <w:right w:val="none" w:sz="0" w:space="0" w:color="auto"/>
      </w:divBdr>
    </w:div>
    <w:div w:id="1014843776">
      <w:bodyDiv w:val="1"/>
      <w:marLeft w:val="0"/>
      <w:marRight w:val="0"/>
      <w:marTop w:val="0"/>
      <w:marBottom w:val="0"/>
      <w:divBdr>
        <w:top w:val="none" w:sz="0" w:space="0" w:color="auto"/>
        <w:left w:val="none" w:sz="0" w:space="0" w:color="auto"/>
        <w:bottom w:val="none" w:sz="0" w:space="0" w:color="auto"/>
        <w:right w:val="none" w:sz="0" w:space="0" w:color="auto"/>
      </w:divBdr>
    </w:div>
    <w:div w:id="1015694225">
      <w:bodyDiv w:val="1"/>
      <w:marLeft w:val="0"/>
      <w:marRight w:val="0"/>
      <w:marTop w:val="0"/>
      <w:marBottom w:val="0"/>
      <w:divBdr>
        <w:top w:val="none" w:sz="0" w:space="0" w:color="auto"/>
        <w:left w:val="none" w:sz="0" w:space="0" w:color="auto"/>
        <w:bottom w:val="none" w:sz="0" w:space="0" w:color="auto"/>
        <w:right w:val="none" w:sz="0" w:space="0" w:color="auto"/>
      </w:divBdr>
    </w:div>
    <w:div w:id="1017078819">
      <w:bodyDiv w:val="1"/>
      <w:marLeft w:val="0"/>
      <w:marRight w:val="0"/>
      <w:marTop w:val="0"/>
      <w:marBottom w:val="0"/>
      <w:divBdr>
        <w:top w:val="none" w:sz="0" w:space="0" w:color="auto"/>
        <w:left w:val="none" w:sz="0" w:space="0" w:color="auto"/>
        <w:bottom w:val="none" w:sz="0" w:space="0" w:color="auto"/>
        <w:right w:val="none" w:sz="0" w:space="0" w:color="auto"/>
      </w:divBdr>
    </w:div>
    <w:div w:id="1017386324">
      <w:bodyDiv w:val="1"/>
      <w:marLeft w:val="0"/>
      <w:marRight w:val="0"/>
      <w:marTop w:val="0"/>
      <w:marBottom w:val="0"/>
      <w:divBdr>
        <w:top w:val="none" w:sz="0" w:space="0" w:color="auto"/>
        <w:left w:val="none" w:sz="0" w:space="0" w:color="auto"/>
        <w:bottom w:val="none" w:sz="0" w:space="0" w:color="auto"/>
        <w:right w:val="none" w:sz="0" w:space="0" w:color="auto"/>
      </w:divBdr>
    </w:div>
    <w:div w:id="1018892990">
      <w:bodyDiv w:val="1"/>
      <w:marLeft w:val="0"/>
      <w:marRight w:val="0"/>
      <w:marTop w:val="0"/>
      <w:marBottom w:val="0"/>
      <w:divBdr>
        <w:top w:val="none" w:sz="0" w:space="0" w:color="auto"/>
        <w:left w:val="none" w:sz="0" w:space="0" w:color="auto"/>
        <w:bottom w:val="none" w:sz="0" w:space="0" w:color="auto"/>
        <w:right w:val="none" w:sz="0" w:space="0" w:color="auto"/>
      </w:divBdr>
    </w:div>
    <w:div w:id="1019743363">
      <w:bodyDiv w:val="1"/>
      <w:marLeft w:val="0"/>
      <w:marRight w:val="0"/>
      <w:marTop w:val="0"/>
      <w:marBottom w:val="0"/>
      <w:divBdr>
        <w:top w:val="none" w:sz="0" w:space="0" w:color="auto"/>
        <w:left w:val="none" w:sz="0" w:space="0" w:color="auto"/>
        <w:bottom w:val="none" w:sz="0" w:space="0" w:color="auto"/>
        <w:right w:val="none" w:sz="0" w:space="0" w:color="auto"/>
      </w:divBdr>
    </w:div>
    <w:div w:id="1022629686">
      <w:bodyDiv w:val="1"/>
      <w:marLeft w:val="0"/>
      <w:marRight w:val="0"/>
      <w:marTop w:val="0"/>
      <w:marBottom w:val="0"/>
      <w:divBdr>
        <w:top w:val="none" w:sz="0" w:space="0" w:color="auto"/>
        <w:left w:val="none" w:sz="0" w:space="0" w:color="auto"/>
        <w:bottom w:val="none" w:sz="0" w:space="0" w:color="auto"/>
        <w:right w:val="none" w:sz="0" w:space="0" w:color="auto"/>
      </w:divBdr>
    </w:div>
    <w:div w:id="1023095412">
      <w:bodyDiv w:val="1"/>
      <w:marLeft w:val="0"/>
      <w:marRight w:val="0"/>
      <w:marTop w:val="0"/>
      <w:marBottom w:val="0"/>
      <w:divBdr>
        <w:top w:val="none" w:sz="0" w:space="0" w:color="auto"/>
        <w:left w:val="none" w:sz="0" w:space="0" w:color="auto"/>
        <w:bottom w:val="none" w:sz="0" w:space="0" w:color="auto"/>
        <w:right w:val="none" w:sz="0" w:space="0" w:color="auto"/>
      </w:divBdr>
    </w:div>
    <w:div w:id="1024860810">
      <w:bodyDiv w:val="1"/>
      <w:marLeft w:val="0"/>
      <w:marRight w:val="0"/>
      <w:marTop w:val="0"/>
      <w:marBottom w:val="0"/>
      <w:divBdr>
        <w:top w:val="none" w:sz="0" w:space="0" w:color="auto"/>
        <w:left w:val="none" w:sz="0" w:space="0" w:color="auto"/>
        <w:bottom w:val="none" w:sz="0" w:space="0" w:color="auto"/>
        <w:right w:val="none" w:sz="0" w:space="0" w:color="auto"/>
      </w:divBdr>
    </w:div>
    <w:div w:id="1025595017">
      <w:bodyDiv w:val="1"/>
      <w:marLeft w:val="0"/>
      <w:marRight w:val="0"/>
      <w:marTop w:val="0"/>
      <w:marBottom w:val="0"/>
      <w:divBdr>
        <w:top w:val="none" w:sz="0" w:space="0" w:color="auto"/>
        <w:left w:val="none" w:sz="0" w:space="0" w:color="auto"/>
        <w:bottom w:val="none" w:sz="0" w:space="0" w:color="auto"/>
        <w:right w:val="none" w:sz="0" w:space="0" w:color="auto"/>
      </w:divBdr>
    </w:div>
    <w:div w:id="1026977490">
      <w:bodyDiv w:val="1"/>
      <w:marLeft w:val="0"/>
      <w:marRight w:val="0"/>
      <w:marTop w:val="0"/>
      <w:marBottom w:val="0"/>
      <w:divBdr>
        <w:top w:val="none" w:sz="0" w:space="0" w:color="auto"/>
        <w:left w:val="none" w:sz="0" w:space="0" w:color="auto"/>
        <w:bottom w:val="none" w:sz="0" w:space="0" w:color="auto"/>
        <w:right w:val="none" w:sz="0" w:space="0" w:color="auto"/>
      </w:divBdr>
    </w:div>
    <w:div w:id="1027946796">
      <w:bodyDiv w:val="1"/>
      <w:marLeft w:val="0"/>
      <w:marRight w:val="0"/>
      <w:marTop w:val="0"/>
      <w:marBottom w:val="0"/>
      <w:divBdr>
        <w:top w:val="none" w:sz="0" w:space="0" w:color="auto"/>
        <w:left w:val="none" w:sz="0" w:space="0" w:color="auto"/>
        <w:bottom w:val="none" w:sz="0" w:space="0" w:color="auto"/>
        <w:right w:val="none" w:sz="0" w:space="0" w:color="auto"/>
      </w:divBdr>
    </w:div>
    <w:div w:id="1032878996">
      <w:bodyDiv w:val="1"/>
      <w:marLeft w:val="0"/>
      <w:marRight w:val="0"/>
      <w:marTop w:val="0"/>
      <w:marBottom w:val="0"/>
      <w:divBdr>
        <w:top w:val="none" w:sz="0" w:space="0" w:color="auto"/>
        <w:left w:val="none" w:sz="0" w:space="0" w:color="auto"/>
        <w:bottom w:val="none" w:sz="0" w:space="0" w:color="auto"/>
        <w:right w:val="none" w:sz="0" w:space="0" w:color="auto"/>
      </w:divBdr>
    </w:div>
    <w:div w:id="1034889363">
      <w:bodyDiv w:val="1"/>
      <w:marLeft w:val="0"/>
      <w:marRight w:val="0"/>
      <w:marTop w:val="0"/>
      <w:marBottom w:val="0"/>
      <w:divBdr>
        <w:top w:val="none" w:sz="0" w:space="0" w:color="auto"/>
        <w:left w:val="none" w:sz="0" w:space="0" w:color="auto"/>
        <w:bottom w:val="none" w:sz="0" w:space="0" w:color="auto"/>
        <w:right w:val="none" w:sz="0" w:space="0" w:color="auto"/>
      </w:divBdr>
    </w:div>
    <w:div w:id="1035274740">
      <w:bodyDiv w:val="1"/>
      <w:marLeft w:val="0"/>
      <w:marRight w:val="0"/>
      <w:marTop w:val="0"/>
      <w:marBottom w:val="0"/>
      <w:divBdr>
        <w:top w:val="none" w:sz="0" w:space="0" w:color="auto"/>
        <w:left w:val="none" w:sz="0" w:space="0" w:color="auto"/>
        <w:bottom w:val="none" w:sz="0" w:space="0" w:color="auto"/>
        <w:right w:val="none" w:sz="0" w:space="0" w:color="auto"/>
      </w:divBdr>
    </w:div>
    <w:div w:id="1039280745">
      <w:bodyDiv w:val="1"/>
      <w:marLeft w:val="0"/>
      <w:marRight w:val="0"/>
      <w:marTop w:val="0"/>
      <w:marBottom w:val="0"/>
      <w:divBdr>
        <w:top w:val="none" w:sz="0" w:space="0" w:color="auto"/>
        <w:left w:val="none" w:sz="0" w:space="0" w:color="auto"/>
        <w:bottom w:val="none" w:sz="0" w:space="0" w:color="auto"/>
        <w:right w:val="none" w:sz="0" w:space="0" w:color="auto"/>
      </w:divBdr>
    </w:div>
    <w:div w:id="1040010716">
      <w:bodyDiv w:val="1"/>
      <w:marLeft w:val="0"/>
      <w:marRight w:val="0"/>
      <w:marTop w:val="0"/>
      <w:marBottom w:val="0"/>
      <w:divBdr>
        <w:top w:val="none" w:sz="0" w:space="0" w:color="auto"/>
        <w:left w:val="none" w:sz="0" w:space="0" w:color="auto"/>
        <w:bottom w:val="none" w:sz="0" w:space="0" w:color="auto"/>
        <w:right w:val="none" w:sz="0" w:space="0" w:color="auto"/>
      </w:divBdr>
    </w:div>
    <w:div w:id="1044788898">
      <w:bodyDiv w:val="1"/>
      <w:marLeft w:val="0"/>
      <w:marRight w:val="0"/>
      <w:marTop w:val="0"/>
      <w:marBottom w:val="0"/>
      <w:divBdr>
        <w:top w:val="none" w:sz="0" w:space="0" w:color="auto"/>
        <w:left w:val="none" w:sz="0" w:space="0" w:color="auto"/>
        <w:bottom w:val="none" w:sz="0" w:space="0" w:color="auto"/>
        <w:right w:val="none" w:sz="0" w:space="0" w:color="auto"/>
      </w:divBdr>
    </w:div>
    <w:div w:id="1045179159">
      <w:bodyDiv w:val="1"/>
      <w:marLeft w:val="0"/>
      <w:marRight w:val="0"/>
      <w:marTop w:val="0"/>
      <w:marBottom w:val="0"/>
      <w:divBdr>
        <w:top w:val="none" w:sz="0" w:space="0" w:color="auto"/>
        <w:left w:val="none" w:sz="0" w:space="0" w:color="auto"/>
        <w:bottom w:val="none" w:sz="0" w:space="0" w:color="auto"/>
        <w:right w:val="none" w:sz="0" w:space="0" w:color="auto"/>
      </w:divBdr>
    </w:div>
    <w:div w:id="1045446907">
      <w:bodyDiv w:val="1"/>
      <w:marLeft w:val="0"/>
      <w:marRight w:val="0"/>
      <w:marTop w:val="0"/>
      <w:marBottom w:val="0"/>
      <w:divBdr>
        <w:top w:val="none" w:sz="0" w:space="0" w:color="auto"/>
        <w:left w:val="none" w:sz="0" w:space="0" w:color="auto"/>
        <w:bottom w:val="none" w:sz="0" w:space="0" w:color="auto"/>
        <w:right w:val="none" w:sz="0" w:space="0" w:color="auto"/>
      </w:divBdr>
    </w:div>
    <w:div w:id="1046174378">
      <w:bodyDiv w:val="1"/>
      <w:marLeft w:val="0"/>
      <w:marRight w:val="0"/>
      <w:marTop w:val="0"/>
      <w:marBottom w:val="0"/>
      <w:divBdr>
        <w:top w:val="none" w:sz="0" w:space="0" w:color="auto"/>
        <w:left w:val="none" w:sz="0" w:space="0" w:color="auto"/>
        <w:bottom w:val="none" w:sz="0" w:space="0" w:color="auto"/>
        <w:right w:val="none" w:sz="0" w:space="0" w:color="auto"/>
      </w:divBdr>
    </w:div>
    <w:div w:id="1047488115">
      <w:bodyDiv w:val="1"/>
      <w:marLeft w:val="0"/>
      <w:marRight w:val="0"/>
      <w:marTop w:val="0"/>
      <w:marBottom w:val="0"/>
      <w:divBdr>
        <w:top w:val="none" w:sz="0" w:space="0" w:color="auto"/>
        <w:left w:val="none" w:sz="0" w:space="0" w:color="auto"/>
        <w:bottom w:val="none" w:sz="0" w:space="0" w:color="auto"/>
        <w:right w:val="none" w:sz="0" w:space="0" w:color="auto"/>
      </w:divBdr>
    </w:div>
    <w:div w:id="1050493630">
      <w:bodyDiv w:val="1"/>
      <w:marLeft w:val="0"/>
      <w:marRight w:val="0"/>
      <w:marTop w:val="0"/>
      <w:marBottom w:val="0"/>
      <w:divBdr>
        <w:top w:val="none" w:sz="0" w:space="0" w:color="auto"/>
        <w:left w:val="none" w:sz="0" w:space="0" w:color="auto"/>
        <w:bottom w:val="none" w:sz="0" w:space="0" w:color="auto"/>
        <w:right w:val="none" w:sz="0" w:space="0" w:color="auto"/>
      </w:divBdr>
    </w:div>
    <w:div w:id="1053384642">
      <w:bodyDiv w:val="1"/>
      <w:marLeft w:val="0"/>
      <w:marRight w:val="0"/>
      <w:marTop w:val="0"/>
      <w:marBottom w:val="0"/>
      <w:divBdr>
        <w:top w:val="none" w:sz="0" w:space="0" w:color="auto"/>
        <w:left w:val="none" w:sz="0" w:space="0" w:color="auto"/>
        <w:bottom w:val="none" w:sz="0" w:space="0" w:color="auto"/>
        <w:right w:val="none" w:sz="0" w:space="0" w:color="auto"/>
      </w:divBdr>
    </w:div>
    <w:div w:id="1056663835">
      <w:bodyDiv w:val="1"/>
      <w:marLeft w:val="0"/>
      <w:marRight w:val="0"/>
      <w:marTop w:val="0"/>
      <w:marBottom w:val="0"/>
      <w:divBdr>
        <w:top w:val="none" w:sz="0" w:space="0" w:color="auto"/>
        <w:left w:val="none" w:sz="0" w:space="0" w:color="auto"/>
        <w:bottom w:val="none" w:sz="0" w:space="0" w:color="auto"/>
        <w:right w:val="none" w:sz="0" w:space="0" w:color="auto"/>
      </w:divBdr>
    </w:div>
    <w:div w:id="1058238942">
      <w:bodyDiv w:val="1"/>
      <w:marLeft w:val="0"/>
      <w:marRight w:val="0"/>
      <w:marTop w:val="0"/>
      <w:marBottom w:val="0"/>
      <w:divBdr>
        <w:top w:val="none" w:sz="0" w:space="0" w:color="auto"/>
        <w:left w:val="none" w:sz="0" w:space="0" w:color="auto"/>
        <w:bottom w:val="none" w:sz="0" w:space="0" w:color="auto"/>
        <w:right w:val="none" w:sz="0" w:space="0" w:color="auto"/>
      </w:divBdr>
    </w:div>
    <w:div w:id="1062562367">
      <w:bodyDiv w:val="1"/>
      <w:marLeft w:val="0"/>
      <w:marRight w:val="0"/>
      <w:marTop w:val="0"/>
      <w:marBottom w:val="0"/>
      <w:divBdr>
        <w:top w:val="none" w:sz="0" w:space="0" w:color="auto"/>
        <w:left w:val="none" w:sz="0" w:space="0" w:color="auto"/>
        <w:bottom w:val="none" w:sz="0" w:space="0" w:color="auto"/>
        <w:right w:val="none" w:sz="0" w:space="0" w:color="auto"/>
      </w:divBdr>
    </w:div>
    <w:div w:id="1064139961">
      <w:bodyDiv w:val="1"/>
      <w:marLeft w:val="0"/>
      <w:marRight w:val="0"/>
      <w:marTop w:val="0"/>
      <w:marBottom w:val="0"/>
      <w:divBdr>
        <w:top w:val="none" w:sz="0" w:space="0" w:color="auto"/>
        <w:left w:val="none" w:sz="0" w:space="0" w:color="auto"/>
        <w:bottom w:val="none" w:sz="0" w:space="0" w:color="auto"/>
        <w:right w:val="none" w:sz="0" w:space="0" w:color="auto"/>
      </w:divBdr>
    </w:div>
    <w:div w:id="1065949839">
      <w:bodyDiv w:val="1"/>
      <w:marLeft w:val="0"/>
      <w:marRight w:val="0"/>
      <w:marTop w:val="0"/>
      <w:marBottom w:val="0"/>
      <w:divBdr>
        <w:top w:val="none" w:sz="0" w:space="0" w:color="auto"/>
        <w:left w:val="none" w:sz="0" w:space="0" w:color="auto"/>
        <w:bottom w:val="none" w:sz="0" w:space="0" w:color="auto"/>
        <w:right w:val="none" w:sz="0" w:space="0" w:color="auto"/>
      </w:divBdr>
    </w:div>
    <w:div w:id="1074400393">
      <w:bodyDiv w:val="1"/>
      <w:marLeft w:val="0"/>
      <w:marRight w:val="0"/>
      <w:marTop w:val="0"/>
      <w:marBottom w:val="0"/>
      <w:divBdr>
        <w:top w:val="none" w:sz="0" w:space="0" w:color="auto"/>
        <w:left w:val="none" w:sz="0" w:space="0" w:color="auto"/>
        <w:bottom w:val="none" w:sz="0" w:space="0" w:color="auto"/>
        <w:right w:val="none" w:sz="0" w:space="0" w:color="auto"/>
      </w:divBdr>
    </w:div>
    <w:div w:id="1075057174">
      <w:bodyDiv w:val="1"/>
      <w:marLeft w:val="0"/>
      <w:marRight w:val="0"/>
      <w:marTop w:val="0"/>
      <w:marBottom w:val="0"/>
      <w:divBdr>
        <w:top w:val="none" w:sz="0" w:space="0" w:color="auto"/>
        <w:left w:val="none" w:sz="0" w:space="0" w:color="auto"/>
        <w:bottom w:val="none" w:sz="0" w:space="0" w:color="auto"/>
        <w:right w:val="none" w:sz="0" w:space="0" w:color="auto"/>
      </w:divBdr>
    </w:div>
    <w:div w:id="1076784536">
      <w:bodyDiv w:val="1"/>
      <w:marLeft w:val="0"/>
      <w:marRight w:val="0"/>
      <w:marTop w:val="0"/>
      <w:marBottom w:val="0"/>
      <w:divBdr>
        <w:top w:val="none" w:sz="0" w:space="0" w:color="auto"/>
        <w:left w:val="none" w:sz="0" w:space="0" w:color="auto"/>
        <w:bottom w:val="none" w:sz="0" w:space="0" w:color="auto"/>
        <w:right w:val="none" w:sz="0" w:space="0" w:color="auto"/>
      </w:divBdr>
    </w:div>
    <w:div w:id="1080638695">
      <w:bodyDiv w:val="1"/>
      <w:marLeft w:val="0"/>
      <w:marRight w:val="0"/>
      <w:marTop w:val="0"/>
      <w:marBottom w:val="0"/>
      <w:divBdr>
        <w:top w:val="none" w:sz="0" w:space="0" w:color="auto"/>
        <w:left w:val="none" w:sz="0" w:space="0" w:color="auto"/>
        <w:bottom w:val="none" w:sz="0" w:space="0" w:color="auto"/>
        <w:right w:val="none" w:sz="0" w:space="0" w:color="auto"/>
      </w:divBdr>
    </w:div>
    <w:div w:id="1081177691">
      <w:bodyDiv w:val="1"/>
      <w:marLeft w:val="0"/>
      <w:marRight w:val="0"/>
      <w:marTop w:val="0"/>
      <w:marBottom w:val="0"/>
      <w:divBdr>
        <w:top w:val="none" w:sz="0" w:space="0" w:color="auto"/>
        <w:left w:val="none" w:sz="0" w:space="0" w:color="auto"/>
        <w:bottom w:val="none" w:sz="0" w:space="0" w:color="auto"/>
        <w:right w:val="none" w:sz="0" w:space="0" w:color="auto"/>
      </w:divBdr>
    </w:div>
    <w:div w:id="1081637027">
      <w:bodyDiv w:val="1"/>
      <w:marLeft w:val="0"/>
      <w:marRight w:val="0"/>
      <w:marTop w:val="0"/>
      <w:marBottom w:val="0"/>
      <w:divBdr>
        <w:top w:val="none" w:sz="0" w:space="0" w:color="auto"/>
        <w:left w:val="none" w:sz="0" w:space="0" w:color="auto"/>
        <w:bottom w:val="none" w:sz="0" w:space="0" w:color="auto"/>
        <w:right w:val="none" w:sz="0" w:space="0" w:color="auto"/>
      </w:divBdr>
    </w:div>
    <w:div w:id="1082947131">
      <w:bodyDiv w:val="1"/>
      <w:marLeft w:val="0"/>
      <w:marRight w:val="0"/>
      <w:marTop w:val="0"/>
      <w:marBottom w:val="0"/>
      <w:divBdr>
        <w:top w:val="none" w:sz="0" w:space="0" w:color="auto"/>
        <w:left w:val="none" w:sz="0" w:space="0" w:color="auto"/>
        <w:bottom w:val="none" w:sz="0" w:space="0" w:color="auto"/>
        <w:right w:val="none" w:sz="0" w:space="0" w:color="auto"/>
      </w:divBdr>
    </w:div>
    <w:div w:id="1086653118">
      <w:bodyDiv w:val="1"/>
      <w:marLeft w:val="0"/>
      <w:marRight w:val="0"/>
      <w:marTop w:val="0"/>
      <w:marBottom w:val="0"/>
      <w:divBdr>
        <w:top w:val="none" w:sz="0" w:space="0" w:color="auto"/>
        <w:left w:val="none" w:sz="0" w:space="0" w:color="auto"/>
        <w:bottom w:val="none" w:sz="0" w:space="0" w:color="auto"/>
        <w:right w:val="none" w:sz="0" w:space="0" w:color="auto"/>
      </w:divBdr>
    </w:div>
    <w:div w:id="1086880446">
      <w:bodyDiv w:val="1"/>
      <w:marLeft w:val="0"/>
      <w:marRight w:val="0"/>
      <w:marTop w:val="0"/>
      <w:marBottom w:val="0"/>
      <w:divBdr>
        <w:top w:val="none" w:sz="0" w:space="0" w:color="auto"/>
        <w:left w:val="none" w:sz="0" w:space="0" w:color="auto"/>
        <w:bottom w:val="none" w:sz="0" w:space="0" w:color="auto"/>
        <w:right w:val="none" w:sz="0" w:space="0" w:color="auto"/>
      </w:divBdr>
    </w:div>
    <w:div w:id="1087002855">
      <w:bodyDiv w:val="1"/>
      <w:marLeft w:val="0"/>
      <w:marRight w:val="0"/>
      <w:marTop w:val="0"/>
      <w:marBottom w:val="0"/>
      <w:divBdr>
        <w:top w:val="none" w:sz="0" w:space="0" w:color="auto"/>
        <w:left w:val="none" w:sz="0" w:space="0" w:color="auto"/>
        <w:bottom w:val="none" w:sz="0" w:space="0" w:color="auto"/>
        <w:right w:val="none" w:sz="0" w:space="0" w:color="auto"/>
      </w:divBdr>
    </w:div>
    <w:div w:id="1090741368">
      <w:bodyDiv w:val="1"/>
      <w:marLeft w:val="0"/>
      <w:marRight w:val="0"/>
      <w:marTop w:val="0"/>
      <w:marBottom w:val="0"/>
      <w:divBdr>
        <w:top w:val="none" w:sz="0" w:space="0" w:color="auto"/>
        <w:left w:val="none" w:sz="0" w:space="0" w:color="auto"/>
        <w:bottom w:val="none" w:sz="0" w:space="0" w:color="auto"/>
        <w:right w:val="none" w:sz="0" w:space="0" w:color="auto"/>
      </w:divBdr>
    </w:div>
    <w:div w:id="1097408674">
      <w:bodyDiv w:val="1"/>
      <w:marLeft w:val="0"/>
      <w:marRight w:val="0"/>
      <w:marTop w:val="0"/>
      <w:marBottom w:val="0"/>
      <w:divBdr>
        <w:top w:val="none" w:sz="0" w:space="0" w:color="auto"/>
        <w:left w:val="none" w:sz="0" w:space="0" w:color="auto"/>
        <w:bottom w:val="none" w:sz="0" w:space="0" w:color="auto"/>
        <w:right w:val="none" w:sz="0" w:space="0" w:color="auto"/>
      </w:divBdr>
    </w:div>
    <w:div w:id="1099370786">
      <w:bodyDiv w:val="1"/>
      <w:marLeft w:val="0"/>
      <w:marRight w:val="0"/>
      <w:marTop w:val="0"/>
      <w:marBottom w:val="0"/>
      <w:divBdr>
        <w:top w:val="none" w:sz="0" w:space="0" w:color="auto"/>
        <w:left w:val="none" w:sz="0" w:space="0" w:color="auto"/>
        <w:bottom w:val="none" w:sz="0" w:space="0" w:color="auto"/>
        <w:right w:val="none" w:sz="0" w:space="0" w:color="auto"/>
      </w:divBdr>
    </w:div>
    <w:div w:id="1102263069">
      <w:bodyDiv w:val="1"/>
      <w:marLeft w:val="0"/>
      <w:marRight w:val="0"/>
      <w:marTop w:val="0"/>
      <w:marBottom w:val="0"/>
      <w:divBdr>
        <w:top w:val="none" w:sz="0" w:space="0" w:color="auto"/>
        <w:left w:val="none" w:sz="0" w:space="0" w:color="auto"/>
        <w:bottom w:val="none" w:sz="0" w:space="0" w:color="auto"/>
        <w:right w:val="none" w:sz="0" w:space="0" w:color="auto"/>
      </w:divBdr>
    </w:div>
    <w:div w:id="1102265901">
      <w:bodyDiv w:val="1"/>
      <w:marLeft w:val="0"/>
      <w:marRight w:val="0"/>
      <w:marTop w:val="0"/>
      <w:marBottom w:val="0"/>
      <w:divBdr>
        <w:top w:val="none" w:sz="0" w:space="0" w:color="auto"/>
        <w:left w:val="none" w:sz="0" w:space="0" w:color="auto"/>
        <w:bottom w:val="none" w:sz="0" w:space="0" w:color="auto"/>
        <w:right w:val="none" w:sz="0" w:space="0" w:color="auto"/>
      </w:divBdr>
    </w:div>
    <w:div w:id="1105493227">
      <w:bodyDiv w:val="1"/>
      <w:marLeft w:val="0"/>
      <w:marRight w:val="0"/>
      <w:marTop w:val="0"/>
      <w:marBottom w:val="0"/>
      <w:divBdr>
        <w:top w:val="none" w:sz="0" w:space="0" w:color="auto"/>
        <w:left w:val="none" w:sz="0" w:space="0" w:color="auto"/>
        <w:bottom w:val="none" w:sz="0" w:space="0" w:color="auto"/>
        <w:right w:val="none" w:sz="0" w:space="0" w:color="auto"/>
      </w:divBdr>
    </w:div>
    <w:div w:id="1110200208">
      <w:bodyDiv w:val="1"/>
      <w:marLeft w:val="0"/>
      <w:marRight w:val="0"/>
      <w:marTop w:val="0"/>
      <w:marBottom w:val="0"/>
      <w:divBdr>
        <w:top w:val="none" w:sz="0" w:space="0" w:color="auto"/>
        <w:left w:val="none" w:sz="0" w:space="0" w:color="auto"/>
        <w:bottom w:val="none" w:sz="0" w:space="0" w:color="auto"/>
        <w:right w:val="none" w:sz="0" w:space="0" w:color="auto"/>
      </w:divBdr>
    </w:div>
    <w:div w:id="1113014166">
      <w:bodyDiv w:val="1"/>
      <w:marLeft w:val="0"/>
      <w:marRight w:val="0"/>
      <w:marTop w:val="0"/>
      <w:marBottom w:val="0"/>
      <w:divBdr>
        <w:top w:val="none" w:sz="0" w:space="0" w:color="auto"/>
        <w:left w:val="none" w:sz="0" w:space="0" w:color="auto"/>
        <w:bottom w:val="none" w:sz="0" w:space="0" w:color="auto"/>
        <w:right w:val="none" w:sz="0" w:space="0" w:color="auto"/>
      </w:divBdr>
    </w:div>
    <w:div w:id="1114132924">
      <w:bodyDiv w:val="1"/>
      <w:marLeft w:val="0"/>
      <w:marRight w:val="0"/>
      <w:marTop w:val="0"/>
      <w:marBottom w:val="0"/>
      <w:divBdr>
        <w:top w:val="none" w:sz="0" w:space="0" w:color="auto"/>
        <w:left w:val="none" w:sz="0" w:space="0" w:color="auto"/>
        <w:bottom w:val="none" w:sz="0" w:space="0" w:color="auto"/>
        <w:right w:val="none" w:sz="0" w:space="0" w:color="auto"/>
      </w:divBdr>
    </w:div>
    <w:div w:id="1114906441">
      <w:bodyDiv w:val="1"/>
      <w:marLeft w:val="0"/>
      <w:marRight w:val="0"/>
      <w:marTop w:val="0"/>
      <w:marBottom w:val="0"/>
      <w:divBdr>
        <w:top w:val="none" w:sz="0" w:space="0" w:color="auto"/>
        <w:left w:val="none" w:sz="0" w:space="0" w:color="auto"/>
        <w:bottom w:val="none" w:sz="0" w:space="0" w:color="auto"/>
        <w:right w:val="none" w:sz="0" w:space="0" w:color="auto"/>
      </w:divBdr>
    </w:div>
    <w:div w:id="1116749927">
      <w:bodyDiv w:val="1"/>
      <w:marLeft w:val="0"/>
      <w:marRight w:val="0"/>
      <w:marTop w:val="0"/>
      <w:marBottom w:val="0"/>
      <w:divBdr>
        <w:top w:val="none" w:sz="0" w:space="0" w:color="auto"/>
        <w:left w:val="none" w:sz="0" w:space="0" w:color="auto"/>
        <w:bottom w:val="none" w:sz="0" w:space="0" w:color="auto"/>
        <w:right w:val="none" w:sz="0" w:space="0" w:color="auto"/>
      </w:divBdr>
    </w:div>
    <w:div w:id="1118337239">
      <w:bodyDiv w:val="1"/>
      <w:marLeft w:val="0"/>
      <w:marRight w:val="0"/>
      <w:marTop w:val="0"/>
      <w:marBottom w:val="0"/>
      <w:divBdr>
        <w:top w:val="none" w:sz="0" w:space="0" w:color="auto"/>
        <w:left w:val="none" w:sz="0" w:space="0" w:color="auto"/>
        <w:bottom w:val="none" w:sz="0" w:space="0" w:color="auto"/>
        <w:right w:val="none" w:sz="0" w:space="0" w:color="auto"/>
      </w:divBdr>
    </w:div>
    <w:div w:id="1121654713">
      <w:bodyDiv w:val="1"/>
      <w:marLeft w:val="0"/>
      <w:marRight w:val="0"/>
      <w:marTop w:val="0"/>
      <w:marBottom w:val="0"/>
      <w:divBdr>
        <w:top w:val="none" w:sz="0" w:space="0" w:color="auto"/>
        <w:left w:val="none" w:sz="0" w:space="0" w:color="auto"/>
        <w:bottom w:val="none" w:sz="0" w:space="0" w:color="auto"/>
        <w:right w:val="none" w:sz="0" w:space="0" w:color="auto"/>
      </w:divBdr>
    </w:div>
    <w:div w:id="1122922074">
      <w:bodyDiv w:val="1"/>
      <w:marLeft w:val="0"/>
      <w:marRight w:val="0"/>
      <w:marTop w:val="0"/>
      <w:marBottom w:val="0"/>
      <w:divBdr>
        <w:top w:val="none" w:sz="0" w:space="0" w:color="auto"/>
        <w:left w:val="none" w:sz="0" w:space="0" w:color="auto"/>
        <w:bottom w:val="none" w:sz="0" w:space="0" w:color="auto"/>
        <w:right w:val="none" w:sz="0" w:space="0" w:color="auto"/>
      </w:divBdr>
    </w:div>
    <w:div w:id="1122962373">
      <w:bodyDiv w:val="1"/>
      <w:marLeft w:val="0"/>
      <w:marRight w:val="0"/>
      <w:marTop w:val="0"/>
      <w:marBottom w:val="0"/>
      <w:divBdr>
        <w:top w:val="none" w:sz="0" w:space="0" w:color="auto"/>
        <w:left w:val="none" w:sz="0" w:space="0" w:color="auto"/>
        <w:bottom w:val="none" w:sz="0" w:space="0" w:color="auto"/>
        <w:right w:val="none" w:sz="0" w:space="0" w:color="auto"/>
      </w:divBdr>
    </w:div>
    <w:div w:id="1124497709">
      <w:bodyDiv w:val="1"/>
      <w:marLeft w:val="0"/>
      <w:marRight w:val="0"/>
      <w:marTop w:val="0"/>
      <w:marBottom w:val="0"/>
      <w:divBdr>
        <w:top w:val="none" w:sz="0" w:space="0" w:color="auto"/>
        <w:left w:val="none" w:sz="0" w:space="0" w:color="auto"/>
        <w:bottom w:val="none" w:sz="0" w:space="0" w:color="auto"/>
        <w:right w:val="none" w:sz="0" w:space="0" w:color="auto"/>
      </w:divBdr>
    </w:div>
    <w:div w:id="1125925081">
      <w:bodyDiv w:val="1"/>
      <w:marLeft w:val="0"/>
      <w:marRight w:val="0"/>
      <w:marTop w:val="0"/>
      <w:marBottom w:val="0"/>
      <w:divBdr>
        <w:top w:val="none" w:sz="0" w:space="0" w:color="auto"/>
        <w:left w:val="none" w:sz="0" w:space="0" w:color="auto"/>
        <w:bottom w:val="none" w:sz="0" w:space="0" w:color="auto"/>
        <w:right w:val="none" w:sz="0" w:space="0" w:color="auto"/>
      </w:divBdr>
    </w:div>
    <w:div w:id="1129085327">
      <w:bodyDiv w:val="1"/>
      <w:marLeft w:val="0"/>
      <w:marRight w:val="0"/>
      <w:marTop w:val="0"/>
      <w:marBottom w:val="0"/>
      <w:divBdr>
        <w:top w:val="none" w:sz="0" w:space="0" w:color="auto"/>
        <w:left w:val="none" w:sz="0" w:space="0" w:color="auto"/>
        <w:bottom w:val="none" w:sz="0" w:space="0" w:color="auto"/>
        <w:right w:val="none" w:sz="0" w:space="0" w:color="auto"/>
      </w:divBdr>
    </w:div>
    <w:div w:id="1130897371">
      <w:bodyDiv w:val="1"/>
      <w:marLeft w:val="0"/>
      <w:marRight w:val="0"/>
      <w:marTop w:val="0"/>
      <w:marBottom w:val="0"/>
      <w:divBdr>
        <w:top w:val="none" w:sz="0" w:space="0" w:color="auto"/>
        <w:left w:val="none" w:sz="0" w:space="0" w:color="auto"/>
        <w:bottom w:val="none" w:sz="0" w:space="0" w:color="auto"/>
        <w:right w:val="none" w:sz="0" w:space="0" w:color="auto"/>
      </w:divBdr>
    </w:div>
    <w:div w:id="1131095180">
      <w:bodyDiv w:val="1"/>
      <w:marLeft w:val="0"/>
      <w:marRight w:val="0"/>
      <w:marTop w:val="0"/>
      <w:marBottom w:val="0"/>
      <w:divBdr>
        <w:top w:val="none" w:sz="0" w:space="0" w:color="auto"/>
        <w:left w:val="none" w:sz="0" w:space="0" w:color="auto"/>
        <w:bottom w:val="none" w:sz="0" w:space="0" w:color="auto"/>
        <w:right w:val="none" w:sz="0" w:space="0" w:color="auto"/>
      </w:divBdr>
    </w:div>
    <w:div w:id="1134568666">
      <w:bodyDiv w:val="1"/>
      <w:marLeft w:val="0"/>
      <w:marRight w:val="0"/>
      <w:marTop w:val="0"/>
      <w:marBottom w:val="0"/>
      <w:divBdr>
        <w:top w:val="none" w:sz="0" w:space="0" w:color="auto"/>
        <w:left w:val="none" w:sz="0" w:space="0" w:color="auto"/>
        <w:bottom w:val="none" w:sz="0" w:space="0" w:color="auto"/>
        <w:right w:val="none" w:sz="0" w:space="0" w:color="auto"/>
      </w:divBdr>
    </w:div>
    <w:div w:id="1140928509">
      <w:bodyDiv w:val="1"/>
      <w:marLeft w:val="0"/>
      <w:marRight w:val="0"/>
      <w:marTop w:val="0"/>
      <w:marBottom w:val="0"/>
      <w:divBdr>
        <w:top w:val="none" w:sz="0" w:space="0" w:color="auto"/>
        <w:left w:val="none" w:sz="0" w:space="0" w:color="auto"/>
        <w:bottom w:val="none" w:sz="0" w:space="0" w:color="auto"/>
        <w:right w:val="none" w:sz="0" w:space="0" w:color="auto"/>
      </w:divBdr>
    </w:div>
    <w:div w:id="1141272051">
      <w:bodyDiv w:val="1"/>
      <w:marLeft w:val="0"/>
      <w:marRight w:val="0"/>
      <w:marTop w:val="0"/>
      <w:marBottom w:val="0"/>
      <w:divBdr>
        <w:top w:val="none" w:sz="0" w:space="0" w:color="auto"/>
        <w:left w:val="none" w:sz="0" w:space="0" w:color="auto"/>
        <w:bottom w:val="none" w:sz="0" w:space="0" w:color="auto"/>
        <w:right w:val="none" w:sz="0" w:space="0" w:color="auto"/>
      </w:divBdr>
    </w:div>
    <w:div w:id="1141578863">
      <w:bodyDiv w:val="1"/>
      <w:marLeft w:val="0"/>
      <w:marRight w:val="0"/>
      <w:marTop w:val="0"/>
      <w:marBottom w:val="0"/>
      <w:divBdr>
        <w:top w:val="none" w:sz="0" w:space="0" w:color="auto"/>
        <w:left w:val="none" w:sz="0" w:space="0" w:color="auto"/>
        <w:bottom w:val="none" w:sz="0" w:space="0" w:color="auto"/>
        <w:right w:val="none" w:sz="0" w:space="0" w:color="auto"/>
      </w:divBdr>
    </w:div>
    <w:div w:id="1142772066">
      <w:bodyDiv w:val="1"/>
      <w:marLeft w:val="0"/>
      <w:marRight w:val="0"/>
      <w:marTop w:val="0"/>
      <w:marBottom w:val="0"/>
      <w:divBdr>
        <w:top w:val="none" w:sz="0" w:space="0" w:color="auto"/>
        <w:left w:val="none" w:sz="0" w:space="0" w:color="auto"/>
        <w:bottom w:val="none" w:sz="0" w:space="0" w:color="auto"/>
        <w:right w:val="none" w:sz="0" w:space="0" w:color="auto"/>
      </w:divBdr>
    </w:div>
    <w:div w:id="1145194549">
      <w:bodyDiv w:val="1"/>
      <w:marLeft w:val="0"/>
      <w:marRight w:val="0"/>
      <w:marTop w:val="0"/>
      <w:marBottom w:val="0"/>
      <w:divBdr>
        <w:top w:val="none" w:sz="0" w:space="0" w:color="auto"/>
        <w:left w:val="none" w:sz="0" w:space="0" w:color="auto"/>
        <w:bottom w:val="none" w:sz="0" w:space="0" w:color="auto"/>
        <w:right w:val="none" w:sz="0" w:space="0" w:color="auto"/>
      </w:divBdr>
    </w:div>
    <w:div w:id="1147939209">
      <w:bodyDiv w:val="1"/>
      <w:marLeft w:val="0"/>
      <w:marRight w:val="0"/>
      <w:marTop w:val="0"/>
      <w:marBottom w:val="0"/>
      <w:divBdr>
        <w:top w:val="none" w:sz="0" w:space="0" w:color="auto"/>
        <w:left w:val="none" w:sz="0" w:space="0" w:color="auto"/>
        <w:bottom w:val="none" w:sz="0" w:space="0" w:color="auto"/>
        <w:right w:val="none" w:sz="0" w:space="0" w:color="auto"/>
      </w:divBdr>
    </w:div>
    <w:div w:id="1148322094">
      <w:bodyDiv w:val="1"/>
      <w:marLeft w:val="0"/>
      <w:marRight w:val="0"/>
      <w:marTop w:val="0"/>
      <w:marBottom w:val="0"/>
      <w:divBdr>
        <w:top w:val="none" w:sz="0" w:space="0" w:color="auto"/>
        <w:left w:val="none" w:sz="0" w:space="0" w:color="auto"/>
        <w:bottom w:val="none" w:sz="0" w:space="0" w:color="auto"/>
        <w:right w:val="none" w:sz="0" w:space="0" w:color="auto"/>
      </w:divBdr>
    </w:div>
    <w:div w:id="1148550678">
      <w:bodyDiv w:val="1"/>
      <w:marLeft w:val="0"/>
      <w:marRight w:val="0"/>
      <w:marTop w:val="0"/>
      <w:marBottom w:val="0"/>
      <w:divBdr>
        <w:top w:val="none" w:sz="0" w:space="0" w:color="auto"/>
        <w:left w:val="none" w:sz="0" w:space="0" w:color="auto"/>
        <w:bottom w:val="none" w:sz="0" w:space="0" w:color="auto"/>
        <w:right w:val="none" w:sz="0" w:space="0" w:color="auto"/>
      </w:divBdr>
    </w:div>
    <w:div w:id="1151485893">
      <w:bodyDiv w:val="1"/>
      <w:marLeft w:val="0"/>
      <w:marRight w:val="0"/>
      <w:marTop w:val="0"/>
      <w:marBottom w:val="0"/>
      <w:divBdr>
        <w:top w:val="none" w:sz="0" w:space="0" w:color="auto"/>
        <w:left w:val="none" w:sz="0" w:space="0" w:color="auto"/>
        <w:bottom w:val="none" w:sz="0" w:space="0" w:color="auto"/>
        <w:right w:val="none" w:sz="0" w:space="0" w:color="auto"/>
      </w:divBdr>
    </w:div>
    <w:div w:id="1151677531">
      <w:bodyDiv w:val="1"/>
      <w:marLeft w:val="0"/>
      <w:marRight w:val="0"/>
      <w:marTop w:val="0"/>
      <w:marBottom w:val="0"/>
      <w:divBdr>
        <w:top w:val="none" w:sz="0" w:space="0" w:color="auto"/>
        <w:left w:val="none" w:sz="0" w:space="0" w:color="auto"/>
        <w:bottom w:val="none" w:sz="0" w:space="0" w:color="auto"/>
        <w:right w:val="none" w:sz="0" w:space="0" w:color="auto"/>
      </w:divBdr>
    </w:div>
    <w:div w:id="1152723057">
      <w:bodyDiv w:val="1"/>
      <w:marLeft w:val="0"/>
      <w:marRight w:val="0"/>
      <w:marTop w:val="0"/>
      <w:marBottom w:val="0"/>
      <w:divBdr>
        <w:top w:val="none" w:sz="0" w:space="0" w:color="auto"/>
        <w:left w:val="none" w:sz="0" w:space="0" w:color="auto"/>
        <w:bottom w:val="none" w:sz="0" w:space="0" w:color="auto"/>
        <w:right w:val="none" w:sz="0" w:space="0" w:color="auto"/>
      </w:divBdr>
    </w:div>
    <w:div w:id="1162618147">
      <w:bodyDiv w:val="1"/>
      <w:marLeft w:val="0"/>
      <w:marRight w:val="0"/>
      <w:marTop w:val="0"/>
      <w:marBottom w:val="0"/>
      <w:divBdr>
        <w:top w:val="none" w:sz="0" w:space="0" w:color="auto"/>
        <w:left w:val="none" w:sz="0" w:space="0" w:color="auto"/>
        <w:bottom w:val="none" w:sz="0" w:space="0" w:color="auto"/>
        <w:right w:val="none" w:sz="0" w:space="0" w:color="auto"/>
      </w:divBdr>
    </w:div>
    <w:div w:id="1164475089">
      <w:bodyDiv w:val="1"/>
      <w:marLeft w:val="0"/>
      <w:marRight w:val="0"/>
      <w:marTop w:val="0"/>
      <w:marBottom w:val="0"/>
      <w:divBdr>
        <w:top w:val="none" w:sz="0" w:space="0" w:color="auto"/>
        <w:left w:val="none" w:sz="0" w:space="0" w:color="auto"/>
        <w:bottom w:val="none" w:sz="0" w:space="0" w:color="auto"/>
        <w:right w:val="none" w:sz="0" w:space="0" w:color="auto"/>
      </w:divBdr>
    </w:div>
    <w:div w:id="1165970551">
      <w:bodyDiv w:val="1"/>
      <w:marLeft w:val="0"/>
      <w:marRight w:val="0"/>
      <w:marTop w:val="0"/>
      <w:marBottom w:val="0"/>
      <w:divBdr>
        <w:top w:val="none" w:sz="0" w:space="0" w:color="auto"/>
        <w:left w:val="none" w:sz="0" w:space="0" w:color="auto"/>
        <w:bottom w:val="none" w:sz="0" w:space="0" w:color="auto"/>
        <w:right w:val="none" w:sz="0" w:space="0" w:color="auto"/>
      </w:divBdr>
    </w:div>
    <w:div w:id="1166363428">
      <w:bodyDiv w:val="1"/>
      <w:marLeft w:val="0"/>
      <w:marRight w:val="0"/>
      <w:marTop w:val="0"/>
      <w:marBottom w:val="0"/>
      <w:divBdr>
        <w:top w:val="none" w:sz="0" w:space="0" w:color="auto"/>
        <w:left w:val="none" w:sz="0" w:space="0" w:color="auto"/>
        <w:bottom w:val="none" w:sz="0" w:space="0" w:color="auto"/>
        <w:right w:val="none" w:sz="0" w:space="0" w:color="auto"/>
      </w:divBdr>
    </w:div>
    <w:div w:id="1166435220">
      <w:bodyDiv w:val="1"/>
      <w:marLeft w:val="0"/>
      <w:marRight w:val="0"/>
      <w:marTop w:val="0"/>
      <w:marBottom w:val="0"/>
      <w:divBdr>
        <w:top w:val="none" w:sz="0" w:space="0" w:color="auto"/>
        <w:left w:val="none" w:sz="0" w:space="0" w:color="auto"/>
        <w:bottom w:val="none" w:sz="0" w:space="0" w:color="auto"/>
        <w:right w:val="none" w:sz="0" w:space="0" w:color="auto"/>
      </w:divBdr>
    </w:div>
    <w:div w:id="1167475338">
      <w:bodyDiv w:val="1"/>
      <w:marLeft w:val="0"/>
      <w:marRight w:val="0"/>
      <w:marTop w:val="0"/>
      <w:marBottom w:val="0"/>
      <w:divBdr>
        <w:top w:val="none" w:sz="0" w:space="0" w:color="auto"/>
        <w:left w:val="none" w:sz="0" w:space="0" w:color="auto"/>
        <w:bottom w:val="none" w:sz="0" w:space="0" w:color="auto"/>
        <w:right w:val="none" w:sz="0" w:space="0" w:color="auto"/>
      </w:divBdr>
    </w:div>
    <w:div w:id="1172986366">
      <w:bodyDiv w:val="1"/>
      <w:marLeft w:val="0"/>
      <w:marRight w:val="0"/>
      <w:marTop w:val="0"/>
      <w:marBottom w:val="0"/>
      <w:divBdr>
        <w:top w:val="none" w:sz="0" w:space="0" w:color="auto"/>
        <w:left w:val="none" w:sz="0" w:space="0" w:color="auto"/>
        <w:bottom w:val="none" w:sz="0" w:space="0" w:color="auto"/>
        <w:right w:val="none" w:sz="0" w:space="0" w:color="auto"/>
      </w:divBdr>
    </w:div>
    <w:div w:id="1174614656">
      <w:bodyDiv w:val="1"/>
      <w:marLeft w:val="0"/>
      <w:marRight w:val="0"/>
      <w:marTop w:val="0"/>
      <w:marBottom w:val="0"/>
      <w:divBdr>
        <w:top w:val="none" w:sz="0" w:space="0" w:color="auto"/>
        <w:left w:val="none" w:sz="0" w:space="0" w:color="auto"/>
        <w:bottom w:val="none" w:sz="0" w:space="0" w:color="auto"/>
        <w:right w:val="none" w:sz="0" w:space="0" w:color="auto"/>
      </w:divBdr>
    </w:div>
    <w:div w:id="1175726997">
      <w:bodyDiv w:val="1"/>
      <w:marLeft w:val="0"/>
      <w:marRight w:val="0"/>
      <w:marTop w:val="0"/>
      <w:marBottom w:val="0"/>
      <w:divBdr>
        <w:top w:val="none" w:sz="0" w:space="0" w:color="auto"/>
        <w:left w:val="none" w:sz="0" w:space="0" w:color="auto"/>
        <w:bottom w:val="none" w:sz="0" w:space="0" w:color="auto"/>
        <w:right w:val="none" w:sz="0" w:space="0" w:color="auto"/>
      </w:divBdr>
    </w:div>
    <w:div w:id="1176575586">
      <w:bodyDiv w:val="1"/>
      <w:marLeft w:val="0"/>
      <w:marRight w:val="0"/>
      <w:marTop w:val="0"/>
      <w:marBottom w:val="0"/>
      <w:divBdr>
        <w:top w:val="none" w:sz="0" w:space="0" w:color="auto"/>
        <w:left w:val="none" w:sz="0" w:space="0" w:color="auto"/>
        <w:bottom w:val="none" w:sz="0" w:space="0" w:color="auto"/>
        <w:right w:val="none" w:sz="0" w:space="0" w:color="auto"/>
      </w:divBdr>
    </w:div>
    <w:div w:id="1181625663">
      <w:bodyDiv w:val="1"/>
      <w:marLeft w:val="0"/>
      <w:marRight w:val="0"/>
      <w:marTop w:val="0"/>
      <w:marBottom w:val="0"/>
      <w:divBdr>
        <w:top w:val="none" w:sz="0" w:space="0" w:color="auto"/>
        <w:left w:val="none" w:sz="0" w:space="0" w:color="auto"/>
        <w:bottom w:val="none" w:sz="0" w:space="0" w:color="auto"/>
        <w:right w:val="none" w:sz="0" w:space="0" w:color="auto"/>
      </w:divBdr>
    </w:div>
    <w:div w:id="1182278779">
      <w:bodyDiv w:val="1"/>
      <w:marLeft w:val="0"/>
      <w:marRight w:val="0"/>
      <w:marTop w:val="0"/>
      <w:marBottom w:val="0"/>
      <w:divBdr>
        <w:top w:val="none" w:sz="0" w:space="0" w:color="auto"/>
        <w:left w:val="none" w:sz="0" w:space="0" w:color="auto"/>
        <w:bottom w:val="none" w:sz="0" w:space="0" w:color="auto"/>
        <w:right w:val="none" w:sz="0" w:space="0" w:color="auto"/>
      </w:divBdr>
    </w:div>
    <w:div w:id="1183544008">
      <w:bodyDiv w:val="1"/>
      <w:marLeft w:val="0"/>
      <w:marRight w:val="0"/>
      <w:marTop w:val="0"/>
      <w:marBottom w:val="0"/>
      <w:divBdr>
        <w:top w:val="none" w:sz="0" w:space="0" w:color="auto"/>
        <w:left w:val="none" w:sz="0" w:space="0" w:color="auto"/>
        <w:bottom w:val="none" w:sz="0" w:space="0" w:color="auto"/>
        <w:right w:val="none" w:sz="0" w:space="0" w:color="auto"/>
      </w:divBdr>
    </w:div>
    <w:div w:id="1185361844">
      <w:bodyDiv w:val="1"/>
      <w:marLeft w:val="0"/>
      <w:marRight w:val="0"/>
      <w:marTop w:val="0"/>
      <w:marBottom w:val="0"/>
      <w:divBdr>
        <w:top w:val="none" w:sz="0" w:space="0" w:color="auto"/>
        <w:left w:val="none" w:sz="0" w:space="0" w:color="auto"/>
        <w:bottom w:val="none" w:sz="0" w:space="0" w:color="auto"/>
        <w:right w:val="none" w:sz="0" w:space="0" w:color="auto"/>
      </w:divBdr>
    </w:div>
    <w:div w:id="1188832527">
      <w:bodyDiv w:val="1"/>
      <w:marLeft w:val="0"/>
      <w:marRight w:val="0"/>
      <w:marTop w:val="0"/>
      <w:marBottom w:val="0"/>
      <w:divBdr>
        <w:top w:val="none" w:sz="0" w:space="0" w:color="auto"/>
        <w:left w:val="none" w:sz="0" w:space="0" w:color="auto"/>
        <w:bottom w:val="none" w:sz="0" w:space="0" w:color="auto"/>
        <w:right w:val="none" w:sz="0" w:space="0" w:color="auto"/>
      </w:divBdr>
    </w:div>
    <w:div w:id="1188955769">
      <w:bodyDiv w:val="1"/>
      <w:marLeft w:val="0"/>
      <w:marRight w:val="0"/>
      <w:marTop w:val="0"/>
      <w:marBottom w:val="0"/>
      <w:divBdr>
        <w:top w:val="none" w:sz="0" w:space="0" w:color="auto"/>
        <w:left w:val="none" w:sz="0" w:space="0" w:color="auto"/>
        <w:bottom w:val="none" w:sz="0" w:space="0" w:color="auto"/>
        <w:right w:val="none" w:sz="0" w:space="0" w:color="auto"/>
      </w:divBdr>
    </w:div>
    <w:div w:id="1193684995">
      <w:bodyDiv w:val="1"/>
      <w:marLeft w:val="0"/>
      <w:marRight w:val="0"/>
      <w:marTop w:val="0"/>
      <w:marBottom w:val="0"/>
      <w:divBdr>
        <w:top w:val="none" w:sz="0" w:space="0" w:color="auto"/>
        <w:left w:val="none" w:sz="0" w:space="0" w:color="auto"/>
        <w:bottom w:val="none" w:sz="0" w:space="0" w:color="auto"/>
        <w:right w:val="none" w:sz="0" w:space="0" w:color="auto"/>
      </w:divBdr>
    </w:div>
    <w:div w:id="1194416519">
      <w:bodyDiv w:val="1"/>
      <w:marLeft w:val="0"/>
      <w:marRight w:val="0"/>
      <w:marTop w:val="0"/>
      <w:marBottom w:val="0"/>
      <w:divBdr>
        <w:top w:val="none" w:sz="0" w:space="0" w:color="auto"/>
        <w:left w:val="none" w:sz="0" w:space="0" w:color="auto"/>
        <w:bottom w:val="none" w:sz="0" w:space="0" w:color="auto"/>
        <w:right w:val="none" w:sz="0" w:space="0" w:color="auto"/>
      </w:divBdr>
    </w:div>
    <w:div w:id="1194923321">
      <w:bodyDiv w:val="1"/>
      <w:marLeft w:val="0"/>
      <w:marRight w:val="0"/>
      <w:marTop w:val="0"/>
      <w:marBottom w:val="0"/>
      <w:divBdr>
        <w:top w:val="none" w:sz="0" w:space="0" w:color="auto"/>
        <w:left w:val="none" w:sz="0" w:space="0" w:color="auto"/>
        <w:bottom w:val="none" w:sz="0" w:space="0" w:color="auto"/>
        <w:right w:val="none" w:sz="0" w:space="0" w:color="auto"/>
      </w:divBdr>
    </w:div>
    <w:div w:id="1197160975">
      <w:bodyDiv w:val="1"/>
      <w:marLeft w:val="0"/>
      <w:marRight w:val="0"/>
      <w:marTop w:val="0"/>
      <w:marBottom w:val="0"/>
      <w:divBdr>
        <w:top w:val="none" w:sz="0" w:space="0" w:color="auto"/>
        <w:left w:val="none" w:sz="0" w:space="0" w:color="auto"/>
        <w:bottom w:val="none" w:sz="0" w:space="0" w:color="auto"/>
        <w:right w:val="none" w:sz="0" w:space="0" w:color="auto"/>
      </w:divBdr>
    </w:div>
    <w:div w:id="1197885717">
      <w:bodyDiv w:val="1"/>
      <w:marLeft w:val="0"/>
      <w:marRight w:val="0"/>
      <w:marTop w:val="0"/>
      <w:marBottom w:val="0"/>
      <w:divBdr>
        <w:top w:val="none" w:sz="0" w:space="0" w:color="auto"/>
        <w:left w:val="none" w:sz="0" w:space="0" w:color="auto"/>
        <w:bottom w:val="none" w:sz="0" w:space="0" w:color="auto"/>
        <w:right w:val="none" w:sz="0" w:space="0" w:color="auto"/>
      </w:divBdr>
    </w:div>
    <w:div w:id="1199006817">
      <w:bodyDiv w:val="1"/>
      <w:marLeft w:val="0"/>
      <w:marRight w:val="0"/>
      <w:marTop w:val="0"/>
      <w:marBottom w:val="0"/>
      <w:divBdr>
        <w:top w:val="none" w:sz="0" w:space="0" w:color="auto"/>
        <w:left w:val="none" w:sz="0" w:space="0" w:color="auto"/>
        <w:bottom w:val="none" w:sz="0" w:space="0" w:color="auto"/>
        <w:right w:val="none" w:sz="0" w:space="0" w:color="auto"/>
      </w:divBdr>
    </w:div>
    <w:div w:id="1199855683">
      <w:bodyDiv w:val="1"/>
      <w:marLeft w:val="0"/>
      <w:marRight w:val="0"/>
      <w:marTop w:val="0"/>
      <w:marBottom w:val="0"/>
      <w:divBdr>
        <w:top w:val="none" w:sz="0" w:space="0" w:color="auto"/>
        <w:left w:val="none" w:sz="0" w:space="0" w:color="auto"/>
        <w:bottom w:val="none" w:sz="0" w:space="0" w:color="auto"/>
        <w:right w:val="none" w:sz="0" w:space="0" w:color="auto"/>
      </w:divBdr>
    </w:div>
    <w:div w:id="1201211558">
      <w:bodyDiv w:val="1"/>
      <w:marLeft w:val="0"/>
      <w:marRight w:val="0"/>
      <w:marTop w:val="0"/>
      <w:marBottom w:val="0"/>
      <w:divBdr>
        <w:top w:val="none" w:sz="0" w:space="0" w:color="auto"/>
        <w:left w:val="none" w:sz="0" w:space="0" w:color="auto"/>
        <w:bottom w:val="none" w:sz="0" w:space="0" w:color="auto"/>
        <w:right w:val="none" w:sz="0" w:space="0" w:color="auto"/>
      </w:divBdr>
    </w:div>
    <w:div w:id="1202128101">
      <w:bodyDiv w:val="1"/>
      <w:marLeft w:val="0"/>
      <w:marRight w:val="0"/>
      <w:marTop w:val="0"/>
      <w:marBottom w:val="0"/>
      <w:divBdr>
        <w:top w:val="none" w:sz="0" w:space="0" w:color="auto"/>
        <w:left w:val="none" w:sz="0" w:space="0" w:color="auto"/>
        <w:bottom w:val="none" w:sz="0" w:space="0" w:color="auto"/>
        <w:right w:val="none" w:sz="0" w:space="0" w:color="auto"/>
      </w:divBdr>
    </w:div>
    <w:div w:id="1202864725">
      <w:bodyDiv w:val="1"/>
      <w:marLeft w:val="0"/>
      <w:marRight w:val="0"/>
      <w:marTop w:val="0"/>
      <w:marBottom w:val="0"/>
      <w:divBdr>
        <w:top w:val="none" w:sz="0" w:space="0" w:color="auto"/>
        <w:left w:val="none" w:sz="0" w:space="0" w:color="auto"/>
        <w:bottom w:val="none" w:sz="0" w:space="0" w:color="auto"/>
        <w:right w:val="none" w:sz="0" w:space="0" w:color="auto"/>
      </w:divBdr>
    </w:div>
    <w:div w:id="1204295877">
      <w:bodyDiv w:val="1"/>
      <w:marLeft w:val="0"/>
      <w:marRight w:val="0"/>
      <w:marTop w:val="0"/>
      <w:marBottom w:val="0"/>
      <w:divBdr>
        <w:top w:val="none" w:sz="0" w:space="0" w:color="auto"/>
        <w:left w:val="none" w:sz="0" w:space="0" w:color="auto"/>
        <w:bottom w:val="none" w:sz="0" w:space="0" w:color="auto"/>
        <w:right w:val="none" w:sz="0" w:space="0" w:color="auto"/>
      </w:divBdr>
    </w:div>
    <w:div w:id="1206287992">
      <w:bodyDiv w:val="1"/>
      <w:marLeft w:val="0"/>
      <w:marRight w:val="0"/>
      <w:marTop w:val="0"/>
      <w:marBottom w:val="0"/>
      <w:divBdr>
        <w:top w:val="none" w:sz="0" w:space="0" w:color="auto"/>
        <w:left w:val="none" w:sz="0" w:space="0" w:color="auto"/>
        <w:bottom w:val="none" w:sz="0" w:space="0" w:color="auto"/>
        <w:right w:val="none" w:sz="0" w:space="0" w:color="auto"/>
      </w:divBdr>
    </w:div>
    <w:div w:id="1207521357">
      <w:bodyDiv w:val="1"/>
      <w:marLeft w:val="0"/>
      <w:marRight w:val="0"/>
      <w:marTop w:val="0"/>
      <w:marBottom w:val="0"/>
      <w:divBdr>
        <w:top w:val="none" w:sz="0" w:space="0" w:color="auto"/>
        <w:left w:val="none" w:sz="0" w:space="0" w:color="auto"/>
        <w:bottom w:val="none" w:sz="0" w:space="0" w:color="auto"/>
        <w:right w:val="none" w:sz="0" w:space="0" w:color="auto"/>
      </w:divBdr>
    </w:div>
    <w:div w:id="1207833278">
      <w:bodyDiv w:val="1"/>
      <w:marLeft w:val="0"/>
      <w:marRight w:val="0"/>
      <w:marTop w:val="0"/>
      <w:marBottom w:val="0"/>
      <w:divBdr>
        <w:top w:val="none" w:sz="0" w:space="0" w:color="auto"/>
        <w:left w:val="none" w:sz="0" w:space="0" w:color="auto"/>
        <w:bottom w:val="none" w:sz="0" w:space="0" w:color="auto"/>
        <w:right w:val="none" w:sz="0" w:space="0" w:color="auto"/>
      </w:divBdr>
    </w:div>
    <w:div w:id="1211113553">
      <w:bodyDiv w:val="1"/>
      <w:marLeft w:val="0"/>
      <w:marRight w:val="0"/>
      <w:marTop w:val="0"/>
      <w:marBottom w:val="0"/>
      <w:divBdr>
        <w:top w:val="none" w:sz="0" w:space="0" w:color="auto"/>
        <w:left w:val="none" w:sz="0" w:space="0" w:color="auto"/>
        <w:bottom w:val="none" w:sz="0" w:space="0" w:color="auto"/>
        <w:right w:val="none" w:sz="0" w:space="0" w:color="auto"/>
      </w:divBdr>
    </w:div>
    <w:div w:id="1215192930">
      <w:bodyDiv w:val="1"/>
      <w:marLeft w:val="0"/>
      <w:marRight w:val="0"/>
      <w:marTop w:val="0"/>
      <w:marBottom w:val="0"/>
      <w:divBdr>
        <w:top w:val="none" w:sz="0" w:space="0" w:color="auto"/>
        <w:left w:val="none" w:sz="0" w:space="0" w:color="auto"/>
        <w:bottom w:val="none" w:sz="0" w:space="0" w:color="auto"/>
        <w:right w:val="none" w:sz="0" w:space="0" w:color="auto"/>
      </w:divBdr>
    </w:div>
    <w:div w:id="1215198947">
      <w:bodyDiv w:val="1"/>
      <w:marLeft w:val="0"/>
      <w:marRight w:val="0"/>
      <w:marTop w:val="0"/>
      <w:marBottom w:val="0"/>
      <w:divBdr>
        <w:top w:val="none" w:sz="0" w:space="0" w:color="auto"/>
        <w:left w:val="none" w:sz="0" w:space="0" w:color="auto"/>
        <w:bottom w:val="none" w:sz="0" w:space="0" w:color="auto"/>
        <w:right w:val="none" w:sz="0" w:space="0" w:color="auto"/>
      </w:divBdr>
    </w:div>
    <w:div w:id="1218275338">
      <w:bodyDiv w:val="1"/>
      <w:marLeft w:val="0"/>
      <w:marRight w:val="0"/>
      <w:marTop w:val="0"/>
      <w:marBottom w:val="0"/>
      <w:divBdr>
        <w:top w:val="none" w:sz="0" w:space="0" w:color="auto"/>
        <w:left w:val="none" w:sz="0" w:space="0" w:color="auto"/>
        <w:bottom w:val="none" w:sz="0" w:space="0" w:color="auto"/>
        <w:right w:val="none" w:sz="0" w:space="0" w:color="auto"/>
      </w:divBdr>
    </w:div>
    <w:div w:id="1220285971">
      <w:bodyDiv w:val="1"/>
      <w:marLeft w:val="0"/>
      <w:marRight w:val="0"/>
      <w:marTop w:val="0"/>
      <w:marBottom w:val="0"/>
      <w:divBdr>
        <w:top w:val="none" w:sz="0" w:space="0" w:color="auto"/>
        <w:left w:val="none" w:sz="0" w:space="0" w:color="auto"/>
        <w:bottom w:val="none" w:sz="0" w:space="0" w:color="auto"/>
        <w:right w:val="none" w:sz="0" w:space="0" w:color="auto"/>
      </w:divBdr>
    </w:div>
    <w:div w:id="1221866032">
      <w:bodyDiv w:val="1"/>
      <w:marLeft w:val="0"/>
      <w:marRight w:val="0"/>
      <w:marTop w:val="0"/>
      <w:marBottom w:val="0"/>
      <w:divBdr>
        <w:top w:val="none" w:sz="0" w:space="0" w:color="auto"/>
        <w:left w:val="none" w:sz="0" w:space="0" w:color="auto"/>
        <w:bottom w:val="none" w:sz="0" w:space="0" w:color="auto"/>
        <w:right w:val="none" w:sz="0" w:space="0" w:color="auto"/>
      </w:divBdr>
    </w:div>
    <w:div w:id="1223251147">
      <w:bodyDiv w:val="1"/>
      <w:marLeft w:val="0"/>
      <w:marRight w:val="0"/>
      <w:marTop w:val="0"/>
      <w:marBottom w:val="0"/>
      <w:divBdr>
        <w:top w:val="none" w:sz="0" w:space="0" w:color="auto"/>
        <w:left w:val="none" w:sz="0" w:space="0" w:color="auto"/>
        <w:bottom w:val="none" w:sz="0" w:space="0" w:color="auto"/>
        <w:right w:val="none" w:sz="0" w:space="0" w:color="auto"/>
      </w:divBdr>
    </w:div>
    <w:div w:id="1227838075">
      <w:bodyDiv w:val="1"/>
      <w:marLeft w:val="0"/>
      <w:marRight w:val="0"/>
      <w:marTop w:val="0"/>
      <w:marBottom w:val="0"/>
      <w:divBdr>
        <w:top w:val="none" w:sz="0" w:space="0" w:color="auto"/>
        <w:left w:val="none" w:sz="0" w:space="0" w:color="auto"/>
        <w:bottom w:val="none" w:sz="0" w:space="0" w:color="auto"/>
        <w:right w:val="none" w:sz="0" w:space="0" w:color="auto"/>
      </w:divBdr>
    </w:div>
    <w:div w:id="1227958914">
      <w:bodyDiv w:val="1"/>
      <w:marLeft w:val="0"/>
      <w:marRight w:val="0"/>
      <w:marTop w:val="0"/>
      <w:marBottom w:val="0"/>
      <w:divBdr>
        <w:top w:val="none" w:sz="0" w:space="0" w:color="auto"/>
        <w:left w:val="none" w:sz="0" w:space="0" w:color="auto"/>
        <w:bottom w:val="none" w:sz="0" w:space="0" w:color="auto"/>
        <w:right w:val="none" w:sz="0" w:space="0" w:color="auto"/>
      </w:divBdr>
    </w:div>
    <w:div w:id="1229998442">
      <w:bodyDiv w:val="1"/>
      <w:marLeft w:val="0"/>
      <w:marRight w:val="0"/>
      <w:marTop w:val="0"/>
      <w:marBottom w:val="0"/>
      <w:divBdr>
        <w:top w:val="none" w:sz="0" w:space="0" w:color="auto"/>
        <w:left w:val="none" w:sz="0" w:space="0" w:color="auto"/>
        <w:bottom w:val="none" w:sz="0" w:space="0" w:color="auto"/>
        <w:right w:val="none" w:sz="0" w:space="0" w:color="auto"/>
      </w:divBdr>
    </w:div>
    <w:div w:id="1231967566">
      <w:bodyDiv w:val="1"/>
      <w:marLeft w:val="0"/>
      <w:marRight w:val="0"/>
      <w:marTop w:val="0"/>
      <w:marBottom w:val="0"/>
      <w:divBdr>
        <w:top w:val="none" w:sz="0" w:space="0" w:color="auto"/>
        <w:left w:val="none" w:sz="0" w:space="0" w:color="auto"/>
        <w:bottom w:val="none" w:sz="0" w:space="0" w:color="auto"/>
        <w:right w:val="none" w:sz="0" w:space="0" w:color="auto"/>
      </w:divBdr>
    </w:div>
    <w:div w:id="1232892054">
      <w:bodyDiv w:val="1"/>
      <w:marLeft w:val="0"/>
      <w:marRight w:val="0"/>
      <w:marTop w:val="0"/>
      <w:marBottom w:val="0"/>
      <w:divBdr>
        <w:top w:val="none" w:sz="0" w:space="0" w:color="auto"/>
        <w:left w:val="none" w:sz="0" w:space="0" w:color="auto"/>
        <w:bottom w:val="none" w:sz="0" w:space="0" w:color="auto"/>
        <w:right w:val="none" w:sz="0" w:space="0" w:color="auto"/>
      </w:divBdr>
    </w:div>
    <w:div w:id="1235359709">
      <w:bodyDiv w:val="1"/>
      <w:marLeft w:val="0"/>
      <w:marRight w:val="0"/>
      <w:marTop w:val="0"/>
      <w:marBottom w:val="0"/>
      <w:divBdr>
        <w:top w:val="none" w:sz="0" w:space="0" w:color="auto"/>
        <w:left w:val="none" w:sz="0" w:space="0" w:color="auto"/>
        <w:bottom w:val="none" w:sz="0" w:space="0" w:color="auto"/>
        <w:right w:val="none" w:sz="0" w:space="0" w:color="auto"/>
      </w:divBdr>
    </w:div>
    <w:div w:id="1238638633">
      <w:bodyDiv w:val="1"/>
      <w:marLeft w:val="0"/>
      <w:marRight w:val="0"/>
      <w:marTop w:val="0"/>
      <w:marBottom w:val="0"/>
      <w:divBdr>
        <w:top w:val="none" w:sz="0" w:space="0" w:color="auto"/>
        <w:left w:val="none" w:sz="0" w:space="0" w:color="auto"/>
        <w:bottom w:val="none" w:sz="0" w:space="0" w:color="auto"/>
        <w:right w:val="none" w:sz="0" w:space="0" w:color="auto"/>
      </w:divBdr>
    </w:div>
    <w:div w:id="1238904770">
      <w:bodyDiv w:val="1"/>
      <w:marLeft w:val="0"/>
      <w:marRight w:val="0"/>
      <w:marTop w:val="0"/>
      <w:marBottom w:val="0"/>
      <w:divBdr>
        <w:top w:val="none" w:sz="0" w:space="0" w:color="auto"/>
        <w:left w:val="none" w:sz="0" w:space="0" w:color="auto"/>
        <w:bottom w:val="none" w:sz="0" w:space="0" w:color="auto"/>
        <w:right w:val="none" w:sz="0" w:space="0" w:color="auto"/>
      </w:divBdr>
    </w:div>
    <w:div w:id="1239484719">
      <w:bodyDiv w:val="1"/>
      <w:marLeft w:val="0"/>
      <w:marRight w:val="0"/>
      <w:marTop w:val="0"/>
      <w:marBottom w:val="0"/>
      <w:divBdr>
        <w:top w:val="none" w:sz="0" w:space="0" w:color="auto"/>
        <w:left w:val="none" w:sz="0" w:space="0" w:color="auto"/>
        <w:bottom w:val="none" w:sz="0" w:space="0" w:color="auto"/>
        <w:right w:val="none" w:sz="0" w:space="0" w:color="auto"/>
      </w:divBdr>
    </w:div>
    <w:div w:id="1241477490">
      <w:bodyDiv w:val="1"/>
      <w:marLeft w:val="0"/>
      <w:marRight w:val="0"/>
      <w:marTop w:val="0"/>
      <w:marBottom w:val="0"/>
      <w:divBdr>
        <w:top w:val="none" w:sz="0" w:space="0" w:color="auto"/>
        <w:left w:val="none" w:sz="0" w:space="0" w:color="auto"/>
        <w:bottom w:val="none" w:sz="0" w:space="0" w:color="auto"/>
        <w:right w:val="none" w:sz="0" w:space="0" w:color="auto"/>
      </w:divBdr>
    </w:div>
    <w:div w:id="1242060734">
      <w:bodyDiv w:val="1"/>
      <w:marLeft w:val="0"/>
      <w:marRight w:val="0"/>
      <w:marTop w:val="0"/>
      <w:marBottom w:val="0"/>
      <w:divBdr>
        <w:top w:val="none" w:sz="0" w:space="0" w:color="auto"/>
        <w:left w:val="none" w:sz="0" w:space="0" w:color="auto"/>
        <w:bottom w:val="none" w:sz="0" w:space="0" w:color="auto"/>
        <w:right w:val="none" w:sz="0" w:space="0" w:color="auto"/>
      </w:divBdr>
    </w:div>
    <w:div w:id="1244335085">
      <w:bodyDiv w:val="1"/>
      <w:marLeft w:val="0"/>
      <w:marRight w:val="0"/>
      <w:marTop w:val="0"/>
      <w:marBottom w:val="0"/>
      <w:divBdr>
        <w:top w:val="none" w:sz="0" w:space="0" w:color="auto"/>
        <w:left w:val="none" w:sz="0" w:space="0" w:color="auto"/>
        <w:bottom w:val="none" w:sz="0" w:space="0" w:color="auto"/>
        <w:right w:val="none" w:sz="0" w:space="0" w:color="auto"/>
      </w:divBdr>
    </w:div>
    <w:div w:id="1244757221">
      <w:bodyDiv w:val="1"/>
      <w:marLeft w:val="0"/>
      <w:marRight w:val="0"/>
      <w:marTop w:val="0"/>
      <w:marBottom w:val="0"/>
      <w:divBdr>
        <w:top w:val="none" w:sz="0" w:space="0" w:color="auto"/>
        <w:left w:val="none" w:sz="0" w:space="0" w:color="auto"/>
        <w:bottom w:val="none" w:sz="0" w:space="0" w:color="auto"/>
        <w:right w:val="none" w:sz="0" w:space="0" w:color="auto"/>
      </w:divBdr>
    </w:div>
    <w:div w:id="1245997095">
      <w:bodyDiv w:val="1"/>
      <w:marLeft w:val="0"/>
      <w:marRight w:val="0"/>
      <w:marTop w:val="0"/>
      <w:marBottom w:val="0"/>
      <w:divBdr>
        <w:top w:val="none" w:sz="0" w:space="0" w:color="auto"/>
        <w:left w:val="none" w:sz="0" w:space="0" w:color="auto"/>
        <w:bottom w:val="none" w:sz="0" w:space="0" w:color="auto"/>
        <w:right w:val="none" w:sz="0" w:space="0" w:color="auto"/>
      </w:divBdr>
    </w:div>
    <w:div w:id="1246382401">
      <w:bodyDiv w:val="1"/>
      <w:marLeft w:val="0"/>
      <w:marRight w:val="0"/>
      <w:marTop w:val="0"/>
      <w:marBottom w:val="0"/>
      <w:divBdr>
        <w:top w:val="none" w:sz="0" w:space="0" w:color="auto"/>
        <w:left w:val="none" w:sz="0" w:space="0" w:color="auto"/>
        <w:bottom w:val="none" w:sz="0" w:space="0" w:color="auto"/>
        <w:right w:val="none" w:sz="0" w:space="0" w:color="auto"/>
      </w:divBdr>
    </w:div>
    <w:div w:id="1250237738">
      <w:bodyDiv w:val="1"/>
      <w:marLeft w:val="0"/>
      <w:marRight w:val="0"/>
      <w:marTop w:val="0"/>
      <w:marBottom w:val="0"/>
      <w:divBdr>
        <w:top w:val="none" w:sz="0" w:space="0" w:color="auto"/>
        <w:left w:val="none" w:sz="0" w:space="0" w:color="auto"/>
        <w:bottom w:val="none" w:sz="0" w:space="0" w:color="auto"/>
        <w:right w:val="none" w:sz="0" w:space="0" w:color="auto"/>
      </w:divBdr>
    </w:div>
    <w:div w:id="1250625544">
      <w:bodyDiv w:val="1"/>
      <w:marLeft w:val="0"/>
      <w:marRight w:val="0"/>
      <w:marTop w:val="0"/>
      <w:marBottom w:val="0"/>
      <w:divBdr>
        <w:top w:val="none" w:sz="0" w:space="0" w:color="auto"/>
        <w:left w:val="none" w:sz="0" w:space="0" w:color="auto"/>
        <w:bottom w:val="none" w:sz="0" w:space="0" w:color="auto"/>
        <w:right w:val="none" w:sz="0" w:space="0" w:color="auto"/>
      </w:divBdr>
    </w:div>
    <w:div w:id="1252008559">
      <w:bodyDiv w:val="1"/>
      <w:marLeft w:val="0"/>
      <w:marRight w:val="0"/>
      <w:marTop w:val="0"/>
      <w:marBottom w:val="0"/>
      <w:divBdr>
        <w:top w:val="none" w:sz="0" w:space="0" w:color="auto"/>
        <w:left w:val="none" w:sz="0" w:space="0" w:color="auto"/>
        <w:bottom w:val="none" w:sz="0" w:space="0" w:color="auto"/>
        <w:right w:val="none" w:sz="0" w:space="0" w:color="auto"/>
      </w:divBdr>
    </w:div>
    <w:div w:id="1253705372">
      <w:bodyDiv w:val="1"/>
      <w:marLeft w:val="0"/>
      <w:marRight w:val="0"/>
      <w:marTop w:val="0"/>
      <w:marBottom w:val="0"/>
      <w:divBdr>
        <w:top w:val="none" w:sz="0" w:space="0" w:color="auto"/>
        <w:left w:val="none" w:sz="0" w:space="0" w:color="auto"/>
        <w:bottom w:val="none" w:sz="0" w:space="0" w:color="auto"/>
        <w:right w:val="none" w:sz="0" w:space="0" w:color="auto"/>
      </w:divBdr>
    </w:div>
    <w:div w:id="1253971813">
      <w:bodyDiv w:val="1"/>
      <w:marLeft w:val="0"/>
      <w:marRight w:val="0"/>
      <w:marTop w:val="0"/>
      <w:marBottom w:val="0"/>
      <w:divBdr>
        <w:top w:val="none" w:sz="0" w:space="0" w:color="auto"/>
        <w:left w:val="none" w:sz="0" w:space="0" w:color="auto"/>
        <w:bottom w:val="none" w:sz="0" w:space="0" w:color="auto"/>
        <w:right w:val="none" w:sz="0" w:space="0" w:color="auto"/>
      </w:divBdr>
    </w:div>
    <w:div w:id="1254165425">
      <w:bodyDiv w:val="1"/>
      <w:marLeft w:val="0"/>
      <w:marRight w:val="0"/>
      <w:marTop w:val="0"/>
      <w:marBottom w:val="0"/>
      <w:divBdr>
        <w:top w:val="none" w:sz="0" w:space="0" w:color="auto"/>
        <w:left w:val="none" w:sz="0" w:space="0" w:color="auto"/>
        <w:bottom w:val="none" w:sz="0" w:space="0" w:color="auto"/>
        <w:right w:val="none" w:sz="0" w:space="0" w:color="auto"/>
      </w:divBdr>
    </w:div>
    <w:div w:id="1255241795">
      <w:bodyDiv w:val="1"/>
      <w:marLeft w:val="0"/>
      <w:marRight w:val="0"/>
      <w:marTop w:val="0"/>
      <w:marBottom w:val="0"/>
      <w:divBdr>
        <w:top w:val="none" w:sz="0" w:space="0" w:color="auto"/>
        <w:left w:val="none" w:sz="0" w:space="0" w:color="auto"/>
        <w:bottom w:val="none" w:sz="0" w:space="0" w:color="auto"/>
        <w:right w:val="none" w:sz="0" w:space="0" w:color="auto"/>
      </w:divBdr>
    </w:div>
    <w:div w:id="1258060487">
      <w:bodyDiv w:val="1"/>
      <w:marLeft w:val="0"/>
      <w:marRight w:val="0"/>
      <w:marTop w:val="0"/>
      <w:marBottom w:val="0"/>
      <w:divBdr>
        <w:top w:val="none" w:sz="0" w:space="0" w:color="auto"/>
        <w:left w:val="none" w:sz="0" w:space="0" w:color="auto"/>
        <w:bottom w:val="none" w:sz="0" w:space="0" w:color="auto"/>
        <w:right w:val="none" w:sz="0" w:space="0" w:color="auto"/>
      </w:divBdr>
    </w:div>
    <w:div w:id="1260138944">
      <w:bodyDiv w:val="1"/>
      <w:marLeft w:val="0"/>
      <w:marRight w:val="0"/>
      <w:marTop w:val="0"/>
      <w:marBottom w:val="0"/>
      <w:divBdr>
        <w:top w:val="none" w:sz="0" w:space="0" w:color="auto"/>
        <w:left w:val="none" w:sz="0" w:space="0" w:color="auto"/>
        <w:bottom w:val="none" w:sz="0" w:space="0" w:color="auto"/>
        <w:right w:val="none" w:sz="0" w:space="0" w:color="auto"/>
      </w:divBdr>
    </w:div>
    <w:div w:id="1261986412">
      <w:bodyDiv w:val="1"/>
      <w:marLeft w:val="0"/>
      <w:marRight w:val="0"/>
      <w:marTop w:val="0"/>
      <w:marBottom w:val="0"/>
      <w:divBdr>
        <w:top w:val="none" w:sz="0" w:space="0" w:color="auto"/>
        <w:left w:val="none" w:sz="0" w:space="0" w:color="auto"/>
        <w:bottom w:val="none" w:sz="0" w:space="0" w:color="auto"/>
        <w:right w:val="none" w:sz="0" w:space="0" w:color="auto"/>
      </w:divBdr>
    </w:div>
    <w:div w:id="1263027197">
      <w:bodyDiv w:val="1"/>
      <w:marLeft w:val="0"/>
      <w:marRight w:val="0"/>
      <w:marTop w:val="0"/>
      <w:marBottom w:val="0"/>
      <w:divBdr>
        <w:top w:val="none" w:sz="0" w:space="0" w:color="auto"/>
        <w:left w:val="none" w:sz="0" w:space="0" w:color="auto"/>
        <w:bottom w:val="none" w:sz="0" w:space="0" w:color="auto"/>
        <w:right w:val="none" w:sz="0" w:space="0" w:color="auto"/>
      </w:divBdr>
    </w:div>
    <w:div w:id="1264608418">
      <w:bodyDiv w:val="1"/>
      <w:marLeft w:val="0"/>
      <w:marRight w:val="0"/>
      <w:marTop w:val="0"/>
      <w:marBottom w:val="0"/>
      <w:divBdr>
        <w:top w:val="none" w:sz="0" w:space="0" w:color="auto"/>
        <w:left w:val="none" w:sz="0" w:space="0" w:color="auto"/>
        <w:bottom w:val="none" w:sz="0" w:space="0" w:color="auto"/>
        <w:right w:val="none" w:sz="0" w:space="0" w:color="auto"/>
      </w:divBdr>
    </w:div>
    <w:div w:id="1274558874">
      <w:bodyDiv w:val="1"/>
      <w:marLeft w:val="0"/>
      <w:marRight w:val="0"/>
      <w:marTop w:val="0"/>
      <w:marBottom w:val="0"/>
      <w:divBdr>
        <w:top w:val="none" w:sz="0" w:space="0" w:color="auto"/>
        <w:left w:val="none" w:sz="0" w:space="0" w:color="auto"/>
        <w:bottom w:val="none" w:sz="0" w:space="0" w:color="auto"/>
        <w:right w:val="none" w:sz="0" w:space="0" w:color="auto"/>
      </w:divBdr>
    </w:div>
    <w:div w:id="1275676037">
      <w:bodyDiv w:val="1"/>
      <w:marLeft w:val="0"/>
      <w:marRight w:val="0"/>
      <w:marTop w:val="0"/>
      <w:marBottom w:val="0"/>
      <w:divBdr>
        <w:top w:val="none" w:sz="0" w:space="0" w:color="auto"/>
        <w:left w:val="none" w:sz="0" w:space="0" w:color="auto"/>
        <w:bottom w:val="none" w:sz="0" w:space="0" w:color="auto"/>
        <w:right w:val="none" w:sz="0" w:space="0" w:color="auto"/>
      </w:divBdr>
    </w:div>
    <w:div w:id="1276253902">
      <w:bodyDiv w:val="1"/>
      <w:marLeft w:val="0"/>
      <w:marRight w:val="0"/>
      <w:marTop w:val="0"/>
      <w:marBottom w:val="0"/>
      <w:divBdr>
        <w:top w:val="none" w:sz="0" w:space="0" w:color="auto"/>
        <w:left w:val="none" w:sz="0" w:space="0" w:color="auto"/>
        <w:bottom w:val="none" w:sz="0" w:space="0" w:color="auto"/>
        <w:right w:val="none" w:sz="0" w:space="0" w:color="auto"/>
      </w:divBdr>
    </w:div>
    <w:div w:id="1276330460">
      <w:bodyDiv w:val="1"/>
      <w:marLeft w:val="0"/>
      <w:marRight w:val="0"/>
      <w:marTop w:val="0"/>
      <w:marBottom w:val="0"/>
      <w:divBdr>
        <w:top w:val="none" w:sz="0" w:space="0" w:color="auto"/>
        <w:left w:val="none" w:sz="0" w:space="0" w:color="auto"/>
        <w:bottom w:val="none" w:sz="0" w:space="0" w:color="auto"/>
        <w:right w:val="none" w:sz="0" w:space="0" w:color="auto"/>
      </w:divBdr>
    </w:div>
    <w:div w:id="1276671215">
      <w:bodyDiv w:val="1"/>
      <w:marLeft w:val="0"/>
      <w:marRight w:val="0"/>
      <w:marTop w:val="0"/>
      <w:marBottom w:val="0"/>
      <w:divBdr>
        <w:top w:val="none" w:sz="0" w:space="0" w:color="auto"/>
        <w:left w:val="none" w:sz="0" w:space="0" w:color="auto"/>
        <w:bottom w:val="none" w:sz="0" w:space="0" w:color="auto"/>
        <w:right w:val="none" w:sz="0" w:space="0" w:color="auto"/>
      </w:divBdr>
    </w:div>
    <w:div w:id="1276787494">
      <w:bodyDiv w:val="1"/>
      <w:marLeft w:val="0"/>
      <w:marRight w:val="0"/>
      <w:marTop w:val="0"/>
      <w:marBottom w:val="0"/>
      <w:divBdr>
        <w:top w:val="none" w:sz="0" w:space="0" w:color="auto"/>
        <w:left w:val="none" w:sz="0" w:space="0" w:color="auto"/>
        <w:bottom w:val="none" w:sz="0" w:space="0" w:color="auto"/>
        <w:right w:val="none" w:sz="0" w:space="0" w:color="auto"/>
      </w:divBdr>
    </w:div>
    <w:div w:id="1282762096">
      <w:bodyDiv w:val="1"/>
      <w:marLeft w:val="0"/>
      <w:marRight w:val="0"/>
      <w:marTop w:val="0"/>
      <w:marBottom w:val="0"/>
      <w:divBdr>
        <w:top w:val="none" w:sz="0" w:space="0" w:color="auto"/>
        <w:left w:val="none" w:sz="0" w:space="0" w:color="auto"/>
        <w:bottom w:val="none" w:sz="0" w:space="0" w:color="auto"/>
        <w:right w:val="none" w:sz="0" w:space="0" w:color="auto"/>
      </w:divBdr>
    </w:div>
    <w:div w:id="1283610220">
      <w:bodyDiv w:val="1"/>
      <w:marLeft w:val="0"/>
      <w:marRight w:val="0"/>
      <w:marTop w:val="0"/>
      <w:marBottom w:val="0"/>
      <w:divBdr>
        <w:top w:val="none" w:sz="0" w:space="0" w:color="auto"/>
        <w:left w:val="none" w:sz="0" w:space="0" w:color="auto"/>
        <w:bottom w:val="none" w:sz="0" w:space="0" w:color="auto"/>
        <w:right w:val="none" w:sz="0" w:space="0" w:color="auto"/>
      </w:divBdr>
    </w:div>
    <w:div w:id="1284268806">
      <w:bodyDiv w:val="1"/>
      <w:marLeft w:val="0"/>
      <w:marRight w:val="0"/>
      <w:marTop w:val="0"/>
      <w:marBottom w:val="0"/>
      <w:divBdr>
        <w:top w:val="none" w:sz="0" w:space="0" w:color="auto"/>
        <w:left w:val="none" w:sz="0" w:space="0" w:color="auto"/>
        <w:bottom w:val="none" w:sz="0" w:space="0" w:color="auto"/>
        <w:right w:val="none" w:sz="0" w:space="0" w:color="auto"/>
      </w:divBdr>
    </w:div>
    <w:div w:id="1290016970">
      <w:bodyDiv w:val="1"/>
      <w:marLeft w:val="0"/>
      <w:marRight w:val="0"/>
      <w:marTop w:val="0"/>
      <w:marBottom w:val="0"/>
      <w:divBdr>
        <w:top w:val="none" w:sz="0" w:space="0" w:color="auto"/>
        <w:left w:val="none" w:sz="0" w:space="0" w:color="auto"/>
        <w:bottom w:val="none" w:sz="0" w:space="0" w:color="auto"/>
        <w:right w:val="none" w:sz="0" w:space="0" w:color="auto"/>
      </w:divBdr>
    </w:div>
    <w:div w:id="1293243400">
      <w:bodyDiv w:val="1"/>
      <w:marLeft w:val="0"/>
      <w:marRight w:val="0"/>
      <w:marTop w:val="0"/>
      <w:marBottom w:val="0"/>
      <w:divBdr>
        <w:top w:val="none" w:sz="0" w:space="0" w:color="auto"/>
        <w:left w:val="none" w:sz="0" w:space="0" w:color="auto"/>
        <w:bottom w:val="none" w:sz="0" w:space="0" w:color="auto"/>
        <w:right w:val="none" w:sz="0" w:space="0" w:color="auto"/>
      </w:divBdr>
    </w:div>
    <w:div w:id="1295066166">
      <w:bodyDiv w:val="1"/>
      <w:marLeft w:val="0"/>
      <w:marRight w:val="0"/>
      <w:marTop w:val="0"/>
      <w:marBottom w:val="0"/>
      <w:divBdr>
        <w:top w:val="none" w:sz="0" w:space="0" w:color="auto"/>
        <w:left w:val="none" w:sz="0" w:space="0" w:color="auto"/>
        <w:bottom w:val="none" w:sz="0" w:space="0" w:color="auto"/>
        <w:right w:val="none" w:sz="0" w:space="0" w:color="auto"/>
      </w:divBdr>
    </w:div>
    <w:div w:id="1297300560">
      <w:bodyDiv w:val="1"/>
      <w:marLeft w:val="0"/>
      <w:marRight w:val="0"/>
      <w:marTop w:val="0"/>
      <w:marBottom w:val="0"/>
      <w:divBdr>
        <w:top w:val="none" w:sz="0" w:space="0" w:color="auto"/>
        <w:left w:val="none" w:sz="0" w:space="0" w:color="auto"/>
        <w:bottom w:val="none" w:sz="0" w:space="0" w:color="auto"/>
        <w:right w:val="none" w:sz="0" w:space="0" w:color="auto"/>
      </w:divBdr>
    </w:div>
    <w:div w:id="1300500619">
      <w:bodyDiv w:val="1"/>
      <w:marLeft w:val="0"/>
      <w:marRight w:val="0"/>
      <w:marTop w:val="0"/>
      <w:marBottom w:val="0"/>
      <w:divBdr>
        <w:top w:val="none" w:sz="0" w:space="0" w:color="auto"/>
        <w:left w:val="none" w:sz="0" w:space="0" w:color="auto"/>
        <w:bottom w:val="none" w:sz="0" w:space="0" w:color="auto"/>
        <w:right w:val="none" w:sz="0" w:space="0" w:color="auto"/>
      </w:divBdr>
    </w:div>
    <w:div w:id="1301837639">
      <w:bodyDiv w:val="1"/>
      <w:marLeft w:val="0"/>
      <w:marRight w:val="0"/>
      <w:marTop w:val="0"/>
      <w:marBottom w:val="0"/>
      <w:divBdr>
        <w:top w:val="none" w:sz="0" w:space="0" w:color="auto"/>
        <w:left w:val="none" w:sz="0" w:space="0" w:color="auto"/>
        <w:bottom w:val="none" w:sz="0" w:space="0" w:color="auto"/>
        <w:right w:val="none" w:sz="0" w:space="0" w:color="auto"/>
      </w:divBdr>
    </w:div>
    <w:div w:id="1302425316">
      <w:bodyDiv w:val="1"/>
      <w:marLeft w:val="0"/>
      <w:marRight w:val="0"/>
      <w:marTop w:val="0"/>
      <w:marBottom w:val="0"/>
      <w:divBdr>
        <w:top w:val="none" w:sz="0" w:space="0" w:color="auto"/>
        <w:left w:val="none" w:sz="0" w:space="0" w:color="auto"/>
        <w:bottom w:val="none" w:sz="0" w:space="0" w:color="auto"/>
        <w:right w:val="none" w:sz="0" w:space="0" w:color="auto"/>
      </w:divBdr>
    </w:div>
    <w:div w:id="1303268104">
      <w:bodyDiv w:val="1"/>
      <w:marLeft w:val="0"/>
      <w:marRight w:val="0"/>
      <w:marTop w:val="0"/>
      <w:marBottom w:val="0"/>
      <w:divBdr>
        <w:top w:val="none" w:sz="0" w:space="0" w:color="auto"/>
        <w:left w:val="none" w:sz="0" w:space="0" w:color="auto"/>
        <w:bottom w:val="none" w:sz="0" w:space="0" w:color="auto"/>
        <w:right w:val="none" w:sz="0" w:space="0" w:color="auto"/>
      </w:divBdr>
    </w:div>
    <w:div w:id="1303580362">
      <w:bodyDiv w:val="1"/>
      <w:marLeft w:val="0"/>
      <w:marRight w:val="0"/>
      <w:marTop w:val="0"/>
      <w:marBottom w:val="0"/>
      <w:divBdr>
        <w:top w:val="none" w:sz="0" w:space="0" w:color="auto"/>
        <w:left w:val="none" w:sz="0" w:space="0" w:color="auto"/>
        <w:bottom w:val="none" w:sz="0" w:space="0" w:color="auto"/>
        <w:right w:val="none" w:sz="0" w:space="0" w:color="auto"/>
      </w:divBdr>
    </w:div>
    <w:div w:id="1303848109">
      <w:bodyDiv w:val="1"/>
      <w:marLeft w:val="0"/>
      <w:marRight w:val="0"/>
      <w:marTop w:val="0"/>
      <w:marBottom w:val="0"/>
      <w:divBdr>
        <w:top w:val="none" w:sz="0" w:space="0" w:color="auto"/>
        <w:left w:val="none" w:sz="0" w:space="0" w:color="auto"/>
        <w:bottom w:val="none" w:sz="0" w:space="0" w:color="auto"/>
        <w:right w:val="none" w:sz="0" w:space="0" w:color="auto"/>
      </w:divBdr>
    </w:div>
    <w:div w:id="1304039898">
      <w:bodyDiv w:val="1"/>
      <w:marLeft w:val="0"/>
      <w:marRight w:val="0"/>
      <w:marTop w:val="0"/>
      <w:marBottom w:val="0"/>
      <w:divBdr>
        <w:top w:val="none" w:sz="0" w:space="0" w:color="auto"/>
        <w:left w:val="none" w:sz="0" w:space="0" w:color="auto"/>
        <w:bottom w:val="none" w:sz="0" w:space="0" w:color="auto"/>
        <w:right w:val="none" w:sz="0" w:space="0" w:color="auto"/>
      </w:divBdr>
    </w:div>
    <w:div w:id="1305890467">
      <w:bodyDiv w:val="1"/>
      <w:marLeft w:val="0"/>
      <w:marRight w:val="0"/>
      <w:marTop w:val="0"/>
      <w:marBottom w:val="0"/>
      <w:divBdr>
        <w:top w:val="none" w:sz="0" w:space="0" w:color="auto"/>
        <w:left w:val="none" w:sz="0" w:space="0" w:color="auto"/>
        <w:bottom w:val="none" w:sz="0" w:space="0" w:color="auto"/>
        <w:right w:val="none" w:sz="0" w:space="0" w:color="auto"/>
      </w:divBdr>
    </w:div>
    <w:div w:id="1305893511">
      <w:bodyDiv w:val="1"/>
      <w:marLeft w:val="0"/>
      <w:marRight w:val="0"/>
      <w:marTop w:val="0"/>
      <w:marBottom w:val="0"/>
      <w:divBdr>
        <w:top w:val="none" w:sz="0" w:space="0" w:color="auto"/>
        <w:left w:val="none" w:sz="0" w:space="0" w:color="auto"/>
        <w:bottom w:val="none" w:sz="0" w:space="0" w:color="auto"/>
        <w:right w:val="none" w:sz="0" w:space="0" w:color="auto"/>
      </w:divBdr>
    </w:div>
    <w:div w:id="1306088466">
      <w:bodyDiv w:val="1"/>
      <w:marLeft w:val="0"/>
      <w:marRight w:val="0"/>
      <w:marTop w:val="0"/>
      <w:marBottom w:val="0"/>
      <w:divBdr>
        <w:top w:val="none" w:sz="0" w:space="0" w:color="auto"/>
        <w:left w:val="none" w:sz="0" w:space="0" w:color="auto"/>
        <w:bottom w:val="none" w:sz="0" w:space="0" w:color="auto"/>
        <w:right w:val="none" w:sz="0" w:space="0" w:color="auto"/>
      </w:divBdr>
    </w:div>
    <w:div w:id="1306931755">
      <w:bodyDiv w:val="1"/>
      <w:marLeft w:val="0"/>
      <w:marRight w:val="0"/>
      <w:marTop w:val="0"/>
      <w:marBottom w:val="0"/>
      <w:divBdr>
        <w:top w:val="none" w:sz="0" w:space="0" w:color="auto"/>
        <w:left w:val="none" w:sz="0" w:space="0" w:color="auto"/>
        <w:bottom w:val="none" w:sz="0" w:space="0" w:color="auto"/>
        <w:right w:val="none" w:sz="0" w:space="0" w:color="auto"/>
      </w:divBdr>
    </w:div>
    <w:div w:id="1308129918">
      <w:bodyDiv w:val="1"/>
      <w:marLeft w:val="0"/>
      <w:marRight w:val="0"/>
      <w:marTop w:val="0"/>
      <w:marBottom w:val="0"/>
      <w:divBdr>
        <w:top w:val="none" w:sz="0" w:space="0" w:color="auto"/>
        <w:left w:val="none" w:sz="0" w:space="0" w:color="auto"/>
        <w:bottom w:val="none" w:sz="0" w:space="0" w:color="auto"/>
        <w:right w:val="none" w:sz="0" w:space="0" w:color="auto"/>
      </w:divBdr>
    </w:div>
    <w:div w:id="1311253286">
      <w:bodyDiv w:val="1"/>
      <w:marLeft w:val="0"/>
      <w:marRight w:val="0"/>
      <w:marTop w:val="0"/>
      <w:marBottom w:val="0"/>
      <w:divBdr>
        <w:top w:val="none" w:sz="0" w:space="0" w:color="auto"/>
        <w:left w:val="none" w:sz="0" w:space="0" w:color="auto"/>
        <w:bottom w:val="none" w:sz="0" w:space="0" w:color="auto"/>
        <w:right w:val="none" w:sz="0" w:space="0" w:color="auto"/>
      </w:divBdr>
    </w:div>
    <w:div w:id="1314408778">
      <w:bodyDiv w:val="1"/>
      <w:marLeft w:val="0"/>
      <w:marRight w:val="0"/>
      <w:marTop w:val="0"/>
      <w:marBottom w:val="0"/>
      <w:divBdr>
        <w:top w:val="none" w:sz="0" w:space="0" w:color="auto"/>
        <w:left w:val="none" w:sz="0" w:space="0" w:color="auto"/>
        <w:bottom w:val="none" w:sz="0" w:space="0" w:color="auto"/>
        <w:right w:val="none" w:sz="0" w:space="0" w:color="auto"/>
      </w:divBdr>
    </w:div>
    <w:div w:id="1316227508">
      <w:bodyDiv w:val="1"/>
      <w:marLeft w:val="0"/>
      <w:marRight w:val="0"/>
      <w:marTop w:val="0"/>
      <w:marBottom w:val="0"/>
      <w:divBdr>
        <w:top w:val="none" w:sz="0" w:space="0" w:color="auto"/>
        <w:left w:val="none" w:sz="0" w:space="0" w:color="auto"/>
        <w:bottom w:val="none" w:sz="0" w:space="0" w:color="auto"/>
        <w:right w:val="none" w:sz="0" w:space="0" w:color="auto"/>
      </w:divBdr>
    </w:div>
    <w:div w:id="1317026632">
      <w:bodyDiv w:val="1"/>
      <w:marLeft w:val="0"/>
      <w:marRight w:val="0"/>
      <w:marTop w:val="0"/>
      <w:marBottom w:val="0"/>
      <w:divBdr>
        <w:top w:val="none" w:sz="0" w:space="0" w:color="auto"/>
        <w:left w:val="none" w:sz="0" w:space="0" w:color="auto"/>
        <w:bottom w:val="none" w:sz="0" w:space="0" w:color="auto"/>
        <w:right w:val="none" w:sz="0" w:space="0" w:color="auto"/>
      </w:divBdr>
    </w:div>
    <w:div w:id="1317875271">
      <w:bodyDiv w:val="1"/>
      <w:marLeft w:val="0"/>
      <w:marRight w:val="0"/>
      <w:marTop w:val="0"/>
      <w:marBottom w:val="0"/>
      <w:divBdr>
        <w:top w:val="none" w:sz="0" w:space="0" w:color="auto"/>
        <w:left w:val="none" w:sz="0" w:space="0" w:color="auto"/>
        <w:bottom w:val="none" w:sz="0" w:space="0" w:color="auto"/>
        <w:right w:val="none" w:sz="0" w:space="0" w:color="auto"/>
      </w:divBdr>
    </w:div>
    <w:div w:id="1318219389">
      <w:bodyDiv w:val="1"/>
      <w:marLeft w:val="0"/>
      <w:marRight w:val="0"/>
      <w:marTop w:val="0"/>
      <w:marBottom w:val="0"/>
      <w:divBdr>
        <w:top w:val="none" w:sz="0" w:space="0" w:color="auto"/>
        <w:left w:val="none" w:sz="0" w:space="0" w:color="auto"/>
        <w:bottom w:val="none" w:sz="0" w:space="0" w:color="auto"/>
        <w:right w:val="none" w:sz="0" w:space="0" w:color="auto"/>
      </w:divBdr>
    </w:div>
    <w:div w:id="1318877008">
      <w:bodyDiv w:val="1"/>
      <w:marLeft w:val="0"/>
      <w:marRight w:val="0"/>
      <w:marTop w:val="0"/>
      <w:marBottom w:val="0"/>
      <w:divBdr>
        <w:top w:val="none" w:sz="0" w:space="0" w:color="auto"/>
        <w:left w:val="none" w:sz="0" w:space="0" w:color="auto"/>
        <w:bottom w:val="none" w:sz="0" w:space="0" w:color="auto"/>
        <w:right w:val="none" w:sz="0" w:space="0" w:color="auto"/>
      </w:divBdr>
    </w:div>
    <w:div w:id="1319191148">
      <w:bodyDiv w:val="1"/>
      <w:marLeft w:val="0"/>
      <w:marRight w:val="0"/>
      <w:marTop w:val="0"/>
      <w:marBottom w:val="0"/>
      <w:divBdr>
        <w:top w:val="none" w:sz="0" w:space="0" w:color="auto"/>
        <w:left w:val="none" w:sz="0" w:space="0" w:color="auto"/>
        <w:bottom w:val="none" w:sz="0" w:space="0" w:color="auto"/>
        <w:right w:val="none" w:sz="0" w:space="0" w:color="auto"/>
      </w:divBdr>
    </w:div>
    <w:div w:id="1319380926">
      <w:bodyDiv w:val="1"/>
      <w:marLeft w:val="0"/>
      <w:marRight w:val="0"/>
      <w:marTop w:val="0"/>
      <w:marBottom w:val="0"/>
      <w:divBdr>
        <w:top w:val="none" w:sz="0" w:space="0" w:color="auto"/>
        <w:left w:val="none" w:sz="0" w:space="0" w:color="auto"/>
        <w:bottom w:val="none" w:sz="0" w:space="0" w:color="auto"/>
        <w:right w:val="none" w:sz="0" w:space="0" w:color="auto"/>
      </w:divBdr>
    </w:div>
    <w:div w:id="1322000088">
      <w:bodyDiv w:val="1"/>
      <w:marLeft w:val="0"/>
      <w:marRight w:val="0"/>
      <w:marTop w:val="0"/>
      <w:marBottom w:val="0"/>
      <w:divBdr>
        <w:top w:val="none" w:sz="0" w:space="0" w:color="auto"/>
        <w:left w:val="none" w:sz="0" w:space="0" w:color="auto"/>
        <w:bottom w:val="none" w:sz="0" w:space="0" w:color="auto"/>
        <w:right w:val="none" w:sz="0" w:space="0" w:color="auto"/>
      </w:divBdr>
    </w:div>
    <w:div w:id="1322464784">
      <w:bodyDiv w:val="1"/>
      <w:marLeft w:val="0"/>
      <w:marRight w:val="0"/>
      <w:marTop w:val="0"/>
      <w:marBottom w:val="0"/>
      <w:divBdr>
        <w:top w:val="none" w:sz="0" w:space="0" w:color="auto"/>
        <w:left w:val="none" w:sz="0" w:space="0" w:color="auto"/>
        <w:bottom w:val="none" w:sz="0" w:space="0" w:color="auto"/>
        <w:right w:val="none" w:sz="0" w:space="0" w:color="auto"/>
      </w:divBdr>
    </w:div>
    <w:div w:id="1322663009">
      <w:bodyDiv w:val="1"/>
      <w:marLeft w:val="0"/>
      <w:marRight w:val="0"/>
      <w:marTop w:val="0"/>
      <w:marBottom w:val="0"/>
      <w:divBdr>
        <w:top w:val="none" w:sz="0" w:space="0" w:color="auto"/>
        <w:left w:val="none" w:sz="0" w:space="0" w:color="auto"/>
        <w:bottom w:val="none" w:sz="0" w:space="0" w:color="auto"/>
        <w:right w:val="none" w:sz="0" w:space="0" w:color="auto"/>
      </w:divBdr>
    </w:div>
    <w:div w:id="1323048536">
      <w:bodyDiv w:val="1"/>
      <w:marLeft w:val="0"/>
      <w:marRight w:val="0"/>
      <w:marTop w:val="0"/>
      <w:marBottom w:val="0"/>
      <w:divBdr>
        <w:top w:val="none" w:sz="0" w:space="0" w:color="auto"/>
        <w:left w:val="none" w:sz="0" w:space="0" w:color="auto"/>
        <w:bottom w:val="none" w:sz="0" w:space="0" w:color="auto"/>
        <w:right w:val="none" w:sz="0" w:space="0" w:color="auto"/>
      </w:divBdr>
    </w:div>
    <w:div w:id="1324312586">
      <w:bodyDiv w:val="1"/>
      <w:marLeft w:val="0"/>
      <w:marRight w:val="0"/>
      <w:marTop w:val="0"/>
      <w:marBottom w:val="0"/>
      <w:divBdr>
        <w:top w:val="none" w:sz="0" w:space="0" w:color="auto"/>
        <w:left w:val="none" w:sz="0" w:space="0" w:color="auto"/>
        <w:bottom w:val="none" w:sz="0" w:space="0" w:color="auto"/>
        <w:right w:val="none" w:sz="0" w:space="0" w:color="auto"/>
      </w:divBdr>
    </w:div>
    <w:div w:id="1324435705">
      <w:bodyDiv w:val="1"/>
      <w:marLeft w:val="0"/>
      <w:marRight w:val="0"/>
      <w:marTop w:val="0"/>
      <w:marBottom w:val="0"/>
      <w:divBdr>
        <w:top w:val="none" w:sz="0" w:space="0" w:color="auto"/>
        <w:left w:val="none" w:sz="0" w:space="0" w:color="auto"/>
        <w:bottom w:val="none" w:sz="0" w:space="0" w:color="auto"/>
        <w:right w:val="none" w:sz="0" w:space="0" w:color="auto"/>
      </w:divBdr>
    </w:div>
    <w:div w:id="1326130060">
      <w:bodyDiv w:val="1"/>
      <w:marLeft w:val="0"/>
      <w:marRight w:val="0"/>
      <w:marTop w:val="0"/>
      <w:marBottom w:val="0"/>
      <w:divBdr>
        <w:top w:val="none" w:sz="0" w:space="0" w:color="auto"/>
        <w:left w:val="none" w:sz="0" w:space="0" w:color="auto"/>
        <w:bottom w:val="none" w:sz="0" w:space="0" w:color="auto"/>
        <w:right w:val="none" w:sz="0" w:space="0" w:color="auto"/>
      </w:divBdr>
    </w:div>
    <w:div w:id="1326858415">
      <w:bodyDiv w:val="1"/>
      <w:marLeft w:val="0"/>
      <w:marRight w:val="0"/>
      <w:marTop w:val="0"/>
      <w:marBottom w:val="0"/>
      <w:divBdr>
        <w:top w:val="none" w:sz="0" w:space="0" w:color="auto"/>
        <w:left w:val="none" w:sz="0" w:space="0" w:color="auto"/>
        <w:bottom w:val="none" w:sz="0" w:space="0" w:color="auto"/>
        <w:right w:val="none" w:sz="0" w:space="0" w:color="auto"/>
      </w:divBdr>
    </w:div>
    <w:div w:id="1329407268">
      <w:bodyDiv w:val="1"/>
      <w:marLeft w:val="0"/>
      <w:marRight w:val="0"/>
      <w:marTop w:val="0"/>
      <w:marBottom w:val="0"/>
      <w:divBdr>
        <w:top w:val="none" w:sz="0" w:space="0" w:color="auto"/>
        <w:left w:val="none" w:sz="0" w:space="0" w:color="auto"/>
        <w:bottom w:val="none" w:sz="0" w:space="0" w:color="auto"/>
        <w:right w:val="none" w:sz="0" w:space="0" w:color="auto"/>
      </w:divBdr>
    </w:div>
    <w:div w:id="1329944539">
      <w:bodyDiv w:val="1"/>
      <w:marLeft w:val="0"/>
      <w:marRight w:val="0"/>
      <w:marTop w:val="0"/>
      <w:marBottom w:val="0"/>
      <w:divBdr>
        <w:top w:val="none" w:sz="0" w:space="0" w:color="auto"/>
        <w:left w:val="none" w:sz="0" w:space="0" w:color="auto"/>
        <w:bottom w:val="none" w:sz="0" w:space="0" w:color="auto"/>
        <w:right w:val="none" w:sz="0" w:space="0" w:color="auto"/>
      </w:divBdr>
    </w:div>
    <w:div w:id="1330720530">
      <w:bodyDiv w:val="1"/>
      <w:marLeft w:val="0"/>
      <w:marRight w:val="0"/>
      <w:marTop w:val="0"/>
      <w:marBottom w:val="0"/>
      <w:divBdr>
        <w:top w:val="none" w:sz="0" w:space="0" w:color="auto"/>
        <w:left w:val="none" w:sz="0" w:space="0" w:color="auto"/>
        <w:bottom w:val="none" w:sz="0" w:space="0" w:color="auto"/>
        <w:right w:val="none" w:sz="0" w:space="0" w:color="auto"/>
      </w:divBdr>
    </w:div>
    <w:div w:id="1331251490">
      <w:bodyDiv w:val="1"/>
      <w:marLeft w:val="0"/>
      <w:marRight w:val="0"/>
      <w:marTop w:val="0"/>
      <w:marBottom w:val="0"/>
      <w:divBdr>
        <w:top w:val="none" w:sz="0" w:space="0" w:color="auto"/>
        <w:left w:val="none" w:sz="0" w:space="0" w:color="auto"/>
        <w:bottom w:val="none" w:sz="0" w:space="0" w:color="auto"/>
        <w:right w:val="none" w:sz="0" w:space="0" w:color="auto"/>
      </w:divBdr>
    </w:div>
    <w:div w:id="1333681953">
      <w:bodyDiv w:val="1"/>
      <w:marLeft w:val="0"/>
      <w:marRight w:val="0"/>
      <w:marTop w:val="0"/>
      <w:marBottom w:val="0"/>
      <w:divBdr>
        <w:top w:val="none" w:sz="0" w:space="0" w:color="auto"/>
        <w:left w:val="none" w:sz="0" w:space="0" w:color="auto"/>
        <w:bottom w:val="none" w:sz="0" w:space="0" w:color="auto"/>
        <w:right w:val="none" w:sz="0" w:space="0" w:color="auto"/>
      </w:divBdr>
    </w:div>
    <w:div w:id="1335762445">
      <w:bodyDiv w:val="1"/>
      <w:marLeft w:val="0"/>
      <w:marRight w:val="0"/>
      <w:marTop w:val="0"/>
      <w:marBottom w:val="0"/>
      <w:divBdr>
        <w:top w:val="none" w:sz="0" w:space="0" w:color="auto"/>
        <w:left w:val="none" w:sz="0" w:space="0" w:color="auto"/>
        <w:bottom w:val="none" w:sz="0" w:space="0" w:color="auto"/>
        <w:right w:val="none" w:sz="0" w:space="0" w:color="auto"/>
      </w:divBdr>
    </w:div>
    <w:div w:id="1336835754">
      <w:bodyDiv w:val="1"/>
      <w:marLeft w:val="0"/>
      <w:marRight w:val="0"/>
      <w:marTop w:val="0"/>
      <w:marBottom w:val="0"/>
      <w:divBdr>
        <w:top w:val="none" w:sz="0" w:space="0" w:color="auto"/>
        <w:left w:val="none" w:sz="0" w:space="0" w:color="auto"/>
        <w:bottom w:val="none" w:sz="0" w:space="0" w:color="auto"/>
        <w:right w:val="none" w:sz="0" w:space="0" w:color="auto"/>
      </w:divBdr>
    </w:div>
    <w:div w:id="1337417937">
      <w:bodyDiv w:val="1"/>
      <w:marLeft w:val="0"/>
      <w:marRight w:val="0"/>
      <w:marTop w:val="0"/>
      <w:marBottom w:val="0"/>
      <w:divBdr>
        <w:top w:val="none" w:sz="0" w:space="0" w:color="auto"/>
        <w:left w:val="none" w:sz="0" w:space="0" w:color="auto"/>
        <w:bottom w:val="none" w:sz="0" w:space="0" w:color="auto"/>
        <w:right w:val="none" w:sz="0" w:space="0" w:color="auto"/>
      </w:divBdr>
    </w:div>
    <w:div w:id="1337423790">
      <w:bodyDiv w:val="1"/>
      <w:marLeft w:val="0"/>
      <w:marRight w:val="0"/>
      <w:marTop w:val="0"/>
      <w:marBottom w:val="0"/>
      <w:divBdr>
        <w:top w:val="none" w:sz="0" w:space="0" w:color="auto"/>
        <w:left w:val="none" w:sz="0" w:space="0" w:color="auto"/>
        <w:bottom w:val="none" w:sz="0" w:space="0" w:color="auto"/>
        <w:right w:val="none" w:sz="0" w:space="0" w:color="auto"/>
      </w:divBdr>
    </w:div>
    <w:div w:id="1339118391">
      <w:bodyDiv w:val="1"/>
      <w:marLeft w:val="0"/>
      <w:marRight w:val="0"/>
      <w:marTop w:val="0"/>
      <w:marBottom w:val="0"/>
      <w:divBdr>
        <w:top w:val="none" w:sz="0" w:space="0" w:color="auto"/>
        <w:left w:val="none" w:sz="0" w:space="0" w:color="auto"/>
        <w:bottom w:val="none" w:sz="0" w:space="0" w:color="auto"/>
        <w:right w:val="none" w:sz="0" w:space="0" w:color="auto"/>
      </w:divBdr>
    </w:div>
    <w:div w:id="1339230461">
      <w:bodyDiv w:val="1"/>
      <w:marLeft w:val="0"/>
      <w:marRight w:val="0"/>
      <w:marTop w:val="0"/>
      <w:marBottom w:val="0"/>
      <w:divBdr>
        <w:top w:val="none" w:sz="0" w:space="0" w:color="auto"/>
        <w:left w:val="none" w:sz="0" w:space="0" w:color="auto"/>
        <w:bottom w:val="none" w:sz="0" w:space="0" w:color="auto"/>
        <w:right w:val="none" w:sz="0" w:space="0" w:color="auto"/>
      </w:divBdr>
    </w:div>
    <w:div w:id="1339383626">
      <w:bodyDiv w:val="1"/>
      <w:marLeft w:val="0"/>
      <w:marRight w:val="0"/>
      <w:marTop w:val="0"/>
      <w:marBottom w:val="0"/>
      <w:divBdr>
        <w:top w:val="none" w:sz="0" w:space="0" w:color="auto"/>
        <w:left w:val="none" w:sz="0" w:space="0" w:color="auto"/>
        <w:bottom w:val="none" w:sz="0" w:space="0" w:color="auto"/>
        <w:right w:val="none" w:sz="0" w:space="0" w:color="auto"/>
      </w:divBdr>
    </w:div>
    <w:div w:id="1342582647">
      <w:bodyDiv w:val="1"/>
      <w:marLeft w:val="0"/>
      <w:marRight w:val="0"/>
      <w:marTop w:val="0"/>
      <w:marBottom w:val="0"/>
      <w:divBdr>
        <w:top w:val="none" w:sz="0" w:space="0" w:color="auto"/>
        <w:left w:val="none" w:sz="0" w:space="0" w:color="auto"/>
        <w:bottom w:val="none" w:sz="0" w:space="0" w:color="auto"/>
        <w:right w:val="none" w:sz="0" w:space="0" w:color="auto"/>
      </w:divBdr>
    </w:div>
    <w:div w:id="1343750602">
      <w:bodyDiv w:val="1"/>
      <w:marLeft w:val="0"/>
      <w:marRight w:val="0"/>
      <w:marTop w:val="0"/>
      <w:marBottom w:val="0"/>
      <w:divBdr>
        <w:top w:val="none" w:sz="0" w:space="0" w:color="auto"/>
        <w:left w:val="none" w:sz="0" w:space="0" w:color="auto"/>
        <w:bottom w:val="none" w:sz="0" w:space="0" w:color="auto"/>
        <w:right w:val="none" w:sz="0" w:space="0" w:color="auto"/>
      </w:divBdr>
    </w:div>
    <w:div w:id="1347101403">
      <w:bodyDiv w:val="1"/>
      <w:marLeft w:val="0"/>
      <w:marRight w:val="0"/>
      <w:marTop w:val="0"/>
      <w:marBottom w:val="0"/>
      <w:divBdr>
        <w:top w:val="none" w:sz="0" w:space="0" w:color="auto"/>
        <w:left w:val="none" w:sz="0" w:space="0" w:color="auto"/>
        <w:bottom w:val="none" w:sz="0" w:space="0" w:color="auto"/>
        <w:right w:val="none" w:sz="0" w:space="0" w:color="auto"/>
      </w:divBdr>
    </w:div>
    <w:div w:id="1349336652">
      <w:bodyDiv w:val="1"/>
      <w:marLeft w:val="0"/>
      <w:marRight w:val="0"/>
      <w:marTop w:val="0"/>
      <w:marBottom w:val="0"/>
      <w:divBdr>
        <w:top w:val="none" w:sz="0" w:space="0" w:color="auto"/>
        <w:left w:val="none" w:sz="0" w:space="0" w:color="auto"/>
        <w:bottom w:val="none" w:sz="0" w:space="0" w:color="auto"/>
        <w:right w:val="none" w:sz="0" w:space="0" w:color="auto"/>
      </w:divBdr>
    </w:div>
    <w:div w:id="1350641078">
      <w:bodyDiv w:val="1"/>
      <w:marLeft w:val="0"/>
      <w:marRight w:val="0"/>
      <w:marTop w:val="0"/>
      <w:marBottom w:val="0"/>
      <w:divBdr>
        <w:top w:val="none" w:sz="0" w:space="0" w:color="auto"/>
        <w:left w:val="none" w:sz="0" w:space="0" w:color="auto"/>
        <w:bottom w:val="none" w:sz="0" w:space="0" w:color="auto"/>
        <w:right w:val="none" w:sz="0" w:space="0" w:color="auto"/>
      </w:divBdr>
    </w:div>
    <w:div w:id="1352612855">
      <w:bodyDiv w:val="1"/>
      <w:marLeft w:val="0"/>
      <w:marRight w:val="0"/>
      <w:marTop w:val="0"/>
      <w:marBottom w:val="0"/>
      <w:divBdr>
        <w:top w:val="none" w:sz="0" w:space="0" w:color="auto"/>
        <w:left w:val="none" w:sz="0" w:space="0" w:color="auto"/>
        <w:bottom w:val="none" w:sz="0" w:space="0" w:color="auto"/>
        <w:right w:val="none" w:sz="0" w:space="0" w:color="auto"/>
      </w:divBdr>
    </w:div>
    <w:div w:id="1353725979">
      <w:bodyDiv w:val="1"/>
      <w:marLeft w:val="0"/>
      <w:marRight w:val="0"/>
      <w:marTop w:val="0"/>
      <w:marBottom w:val="0"/>
      <w:divBdr>
        <w:top w:val="none" w:sz="0" w:space="0" w:color="auto"/>
        <w:left w:val="none" w:sz="0" w:space="0" w:color="auto"/>
        <w:bottom w:val="none" w:sz="0" w:space="0" w:color="auto"/>
        <w:right w:val="none" w:sz="0" w:space="0" w:color="auto"/>
      </w:divBdr>
    </w:div>
    <w:div w:id="1354451825">
      <w:bodyDiv w:val="1"/>
      <w:marLeft w:val="0"/>
      <w:marRight w:val="0"/>
      <w:marTop w:val="0"/>
      <w:marBottom w:val="0"/>
      <w:divBdr>
        <w:top w:val="none" w:sz="0" w:space="0" w:color="auto"/>
        <w:left w:val="none" w:sz="0" w:space="0" w:color="auto"/>
        <w:bottom w:val="none" w:sz="0" w:space="0" w:color="auto"/>
        <w:right w:val="none" w:sz="0" w:space="0" w:color="auto"/>
      </w:divBdr>
    </w:div>
    <w:div w:id="1355300730">
      <w:bodyDiv w:val="1"/>
      <w:marLeft w:val="0"/>
      <w:marRight w:val="0"/>
      <w:marTop w:val="0"/>
      <w:marBottom w:val="0"/>
      <w:divBdr>
        <w:top w:val="none" w:sz="0" w:space="0" w:color="auto"/>
        <w:left w:val="none" w:sz="0" w:space="0" w:color="auto"/>
        <w:bottom w:val="none" w:sz="0" w:space="0" w:color="auto"/>
        <w:right w:val="none" w:sz="0" w:space="0" w:color="auto"/>
      </w:divBdr>
    </w:div>
    <w:div w:id="1356931118">
      <w:bodyDiv w:val="1"/>
      <w:marLeft w:val="0"/>
      <w:marRight w:val="0"/>
      <w:marTop w:val="0"/>
      <w:marBottom w:val="0"/>
      <w:divBdr>
        <w:top w:val="none" w:sz="0" w:space="0" w:color="auto"/>
        <w:left w:val="none" w:sz="0" w:space="0" w:color="auto"/>
        <w:bottom w:val="none" w:sz="0" w:space="0" w:color="auto"/>
        <w:right w:val="none" w:sz="0" w:space="0" w:color="auto"/>
      </w:divBdr>
    </w:div>
    <w:div w:id="1356955401">
      <w:bodyDiv w:val="1"/>
      <w:marLeft w:val="0"/>
      <w:marRight w:val="0"/>
      <w:marTop w:val="0"/>
      <w:marBottom w:val="0"/>
      <w:divBdr>
        <w:top w:val="none" w:sz="0" w:space="0" w:color="auto"/>
        <w:left w:val="none" w:sz="0" w:space="0" w:color="auto"/>
        <w:bottom w:val="none" w:sz="0" w:space="0" w:color="auto"/>
        <w:right w:val="none" w:sz="0" w:space="0" w:color="auto"/>
      </w:divBdr>
    </w:div>
    <w:div w:id="1357316129">
      <w:bodyDiv w:val="1"/>
      <w:marLeft w:val="0"/>
      <w:marRight w:val="0"/>
      <w:marTop w:val="0"/>
      <w:marBottom w:val="0"/>
      <w:divBdr>
        <w:top w:val="none" w:sz="0" w:space="0" w:color="auto"/>
        <w:left w:val="none" w:sz="0" w:space="0" w:color="auto"/>
        <w:bottom w:val="none" w:sz="0" w:space="0" w:color="auto"/>
        <w:right w:val="none" w:sz="0" w:space="0" w:color="auto"/>
      </w:divBdr>
    </w:div>
    <w:div w:id="1357539177">
      <w:bodyDiv w:val="1"/>
      <w:marLeft w:val="0"/>
      <w:marRight w:val="0"/>
      <w:marTop w:val="0"/>
      <w:marBottom w:val="0"/>
      <w:divBdr>
        <w:top w:val="none" w:sz="0" w:space="0" w:color="auto"/>
        <w:left w:val="none" w:sz="0" w:space="0" w:color="auto"/>
        <w:bottom w:val="none" w:sz="0" w:space="0" w:color="auto"/>
        <w:right w:val="none" w:sz="0" w:space="0" w:color="auto"/>
      </w:divBdr>
    </w:div>
    <w:div w:id="1359160403">
      <w:bodyDiv w:val="1"/>
      <w:marLeft w:val="0"/>
      <w:marRight w:val="0"/>
      <w:marTop w:val="0"/>
      <w:marBottom w:val="0"/>
      <w:divBdr>
        <w:top w:val="none" w:sz="0" w:space="0" w:color="auto"/>
        <w:left w:val="none" w:sz="0" w:space="0" w:color="auto"/>
        <w:bottom w:val="none" w:sz="0" w:space="0" w:color="auto"/>
        <w:right w:val="none" w:sz="0" w:space="0" w:color="auto"/>
      </w:divBdr>
    </w:div>
    <w:div w:id="1359313854">
      <w:bodyDiv w:val="1"/>
      <w:marLeft w:val="0"/>
      <w:marRight w:val="0"/>
      <w:marTop w:val="0"/>
      <w:marBottom w:val="0"/>
      <w:divBdr>
        <w:top w:val="none" w:sz="0" w:space="0" w:color="auto"/>
        <w:left w:val="none" w:sz="0" w:space="0" w:color="auto"/>
        <w:bottom w:val="none" w:sz="0" w:space="0" w:color="auto"/>
        <w:right w:val="none" w:sz="0" w:space="0" w:color="auto"/>
      </w:divBdr>
    </w:div>
    <w:div w:id="1359743889">
      <w:bodyDiv w:val="1"/>
      <w:marLeft w:val="0"/>
      <w:marRight w:val="0"/>
      <w:marTop w:val="0"/>
      <w:marBottom w:val="0"/>
      <w:divBdr>
        <w:top w:val="none" w:sz="0" w:space="0" w:color="auto"/>
        <w:left w:val="none" w:sz="0" w:space="0" w:color="auto"/>
        <w:bottom w:val="none" w:sz="0" w:space="0" w:color="auto"/>
        <w:right w:val="none" w:sz="0" w:space="0" w:color="auto"/>
      </w:divBdr>
    </w:div>
    <w:div w:id="1361124827">
      <w:bodyDiv w:val="1"/>
      <w:marLeft w:val="0"/>
      <w:marRight w:val="0"/>
      <w:marTop w:val="0"/>
      <w:marBottom w:val="0"/>
      <w:divBdr>
        <w:top w:val="none" w:sz="0" w:space="0" w:color="auto"/>
        <w:left w:val="none" w:sz="0" w:space="0" w:color="auto"/>
        <w:bottom w:val="none" w:sz="0" w:space="0" w:color="auto"/>
        <w:right w:val="none" w:sz="0" w:space="0" w:color="auto"/>
      </w:divBdr>
    </w:div>
    <w:div w:id="1361199742">
      <w:bodyDiv w:val="1"/>
      <w:marLeft w:val="0"/>
      <w:marRight w:val="0"/>
      <w:marTop w:val="0"/>
      <w:marBottom w:val="0"/>
      <w:divBdr>
        <w:top w:val="none" w:sz="0" w:space="0" w:color="auto"/>
        <w:left w:val="none" w:sz="0" w:space="0" w:color="auto"/>
        <w:bottom w:val="none" w:sz="0" w:space="0" w:color="auto"/>
        <w:right w:val="none" w:sz="0" w:space="0" w:color="auto"/>
      </w:divBdr>
    </w:div>
    <w:div w:id="1361474160">
      <w:bodyDiv w:val="1"/>
      <w:marLeft w:val="0"/>
      <w:marRight w:val="0"/>
      <w:marTop w:val="0"/>
      <w:marBottom w:val="0"/>
      <w:divBdr>
        <w:top w:val="none" w:sz="0" w:space="0" w:color="auto"/>
        <w:left w:val="none" w:sz="0" w:space="0" w:color="auto"/>
        <w:bottom w:val="none" w:sz="0" w:space="0" w:color="auto"/>
        <w:right w:val="none" w:sz="0" w:space="0" w:color="auto"/>
      </w:divBdr>
    </w:div>
    <w:div w:id="1361861926">
      <w:bodyDiv w:val="1"/>
      <w:marLeft w:val="0"/>
      <w:marRight w:val="0"/>
      <w:marTop w:val="0"/>
      <w:marBottom w:val="0"/>
      <w:divBdr>
        <w:top w:val="none" w:sz="0" w:space="0" w:color="auto"/>
        <w:left w:val="none" w:sz="0" w:space="0" w:color="auto"/>
        <w:bottom w:val="none" w:sz="0" w:space="0" w:color="auto"/>
        <w:right w:val="none" w:sz="0" w:space="0" w:color="auto"/>
      </w:divBdr>
    </w:div>
    <w:div w:id="1364792989">
      <w:bodyDiv w:val="1"/>
      <w:marLeft w:val="0"/>
      <w:marRight w:val="0"/>
      <w:marTop w:val="0"/>
      <w:marBottom w:val="0"/>
      <w:divBdr>
        <w:top w:val="none" w:sz="0" w:space="0" w:color="auto"/>
        <w:left w:val="none" w:sz="0" w:space="0" w:color="auto"/>
        <w:bottom w:val="none" w:sz="0" w:space="0" w:color="auto"/>
        <w:right w:val="none" w:sz="0" w:space="0" w:color="auto"/>
      </w:divBdr>
    </w:div>
    <w:div w:id="1367873499">
      <w:bodyDiv w:val="1"/>
      <w:marLeft w:val="0"/>
      <w:marRight w:val="0"/>
      <w:marTop w:val="0"/>
      <w:marBottom w:val="0"/>
      <w:divBdr>
        <w:top w:val="none" w:sz="0" w:space="0" w:color="auto"/>
        <w:left w:val="none" w:sz="0" w:space="0" w:color="auto"/>
        <w:bottom w:val="none" w:sz="0" w:space="0" w:color="auto"/>
        <w:right w:val="none" w:sz="0" w:space="0" w:color="auto"/>
      </w:divBdr>
    </w:div>
    <w:div w:id="1370454077">
      <w:bodyDiv w:val="1"/>
      <w:marLeft w:val="0"/>
      <w:marRight w:val="0"/>
      <w:marTop w:val="0"/>
      <w:marBottom w:val="0"/>
      <w:divBdr>
        <w:top w:val="none" w:sz="0" w:space="0" w:color="auto"/>
        <w:left w:val="none" w:sz="0" w:space="0" w:color="auto"/>
        <w:bottom w:val="none" w:sz="0" w:space="0" w:color="auto"/>
        <w:right w:val="none" w:sz="0" w:space="0" w:color="auto"/>
      </w:divBdr>
    </w:div>
    <w:div w:id="1373193007">
      <w:bodyDiv w:val="1"/>
      <w:marLeft w:val="0"/>
      <w:marRight w:val="0"/>
      <w:marTop w:val="0"/>
      <w:marBottom w:val="0"/>
      <w:divBdr>
        <w:top w:val="none" w:sz="0" w:space="0" w:color="auto"/>
        <w:left w:val="none" w:sz="0" w:space="0" w:color="auto"/>
        <w:bottom w:val="none" w:sz="0" w:space="0" w:color="auto"/>
        <w:right w:val="none" w:sz="0" w:space="0" w:color="auto"/>
      </w:divBdr>
    </w:div>
    <w:div w:id="1374306516">
      <w:bodyDiv w:val="1"/>
      <w:marLeft w:val="0"/>
      <w:marRight w:val="0"/>
      <w:marTop w:val="0"/>
      <w:marBottom w:val="0"/>
      <w:divBdr>
        <w:top w:val="none" w:sz="0" w:space="0" w:color="auto"/>
        <w:left w:val="none" w:sz="0" w:space="0" w:color="auto"/>
        <w:bottom w:val="none" w:sz="0" w:space="0" w:color="auto"/>
        <w:right w:val="none" w:sz="0" w:space="0" w:color="auto"/>
      </w:divBdr>
    </w:div>
    <w:div w:id="1375350917">
      <w:bodyDiv w:val="1"/>
      <w:marLeft w:val="0"/>
      <w:marRight w:val="0"/>
      <w:marTop w:val="0"/>
      <w:marBottom w:val="0"/>
      <w:divBdr>
        <w:top w:val="none" w:sz="0" w:space="0" w:color="auto"/>
        <w:left w:val="none" w:sz="0" w:space="0" w:color="auto"/>
        <w:bottom w:val="none" w:sz="0" w:space="0" w:color="auto"/>
        <w:right w:val="none" w:sz="0" w:space="0" w:color="auto"/>
      </w:divBdr>
    </w:div>
    <w:div w:id="1376275242">
      <w:bodyDiv w:val="1"/>
      <w:marLeft w:val="0"/>
      <w:marRight w:val="0"/>
      <w:marTop w:val="0"/>
      <w:marBottom w:val="0"/>
      <w:divBdr>
        <w:top w:val="none" w:sz="0" w:space="0" w:color="auto"/>
        <w:left w:val="none" w:sz="0" w:space="0" w:color="auto"/>
        <w:bottom w:val="none" w:sz="0" w:space="0" w:color="auto"/>
        <w:right w:val="none" w:sz="0" w:space="0" w:color="auto"/>
      </w:divBdr>
    </w:div>
    <w:div w:id="1376737882">
      <w:bodyDiv w:val="1"/>
      <w:marLeft w:val="0"/>
      <w:marRight w:val="0"/>
      <w:marTop w:val="0"/>
      <w:marBottom w:val="0"/>
      <w:divBdr>
        <w:top w:val="none" w:sz="0" w:space="0" w:color="auto"/>
        <w:left w:val="none" w:sz="0" w:space="0" w:color="auto"/>
        <w:bottom w:val="none" w:sz="0" w:space="0" w:color="auto"/>
        <w:right w:val="none" w:sz="0" w:space="0" w:color="auto"/>
      </w:divBdr>
    </w:div>
    <w:div w:id="1378310669">
      <w:bodyDiv w:val="1"/>
      <w:marLeft w:val="0"/>
      <w:marRight w:val="0"/>
      <w:marTop w:val="0"/>
      <w:marBottom w:val="0"/>
      <w:divBdr>
        <w:top w:val="none" w:sz="0" w:space="0" w:color="auto"/>
        <w:left w:val="none" w:sz="0" w:space="0" w:color="auto"/>
        <w:bottom w:val="none" w:sz="0" w:space="0" w:color="auto"/>
        <w:right w:val="none" w:sz="0" w:space="0" w:color="auto"/>
      </w:divBdr>
    </w:div>
    <w:div w:id="1379470791">
      <w:bodyDiv w:val="1"/>
      <w:marLeft w:val="0"/>
      <w:marRight w:val="0"/>
      <w:marTop w:val="0"/>
      <w:marBottom w:val="0"/>
      <w:divBdr>
        <w:top w:val="none" w:sz="0" w:space="0" w:color="auto"/>
        <w:left w:val="none" w:sz="0" w:space="0" w:color="auto"/>
        <w:bottom w:val="none" w:sz="0" w:space="0" w:color="auto"/>
        <w:right w:val="none" w:sz="0" w:space="0" w:color="auto"/>
      </w:divBdr>
    </w:div>
    <w:div w:id="1384215835">
      <w:bodyDiv w:val="1"/>
      <w:marLeft w:val="0"/>
      <w:marRight w:val="0"/>
      <w:marTop w:val="0"/>
      <w:marBottom w:val="0"/>
      <w:divBdr>
        <w:top w:val="none" w:sz="0" w:space="0" w:color="auto"/>
        <w:left w:val="none" w:sz="0" w:space="0" w:color="auto"/>
        <w:bottom w:val="none" w:sz="0" w:space="0" w:color="auto"/>
        <w:right w:val="none" w:sz="0" w:space="0" w:color="auto"/>
      </w:divBdr>
    </w:div>
    <w:div w:id="1385062752">
      <w:bodyDiv w:val="1"/>
      <w:marLeft w:val="0"/>
      <w:marRight w:val="0"/>
      <w:marTop w:val="0"/>
      <w:marBottom w:val="0"/>
      <w:divBdr>
        <w:top w:val="none" w:sz="0" w:space="0" w:color="auto"/>
        <w:left w:val="none" w:sz="0" w:space="0" w:color="auto"/>
        <w:bottom w:val="none" w:sz="0" w:space="0" w:color="auto"/>
        <w:right w:val="none" w:sz="0" w:space="0" w:color="auto"/>
      </w:divBdr>
    </w:div>
    <w:div w:id="1385762827">
      <w:bodyDiv w:val="1"/>
      <w:marLeft w:val="0"/>
      <w:marRight w:val="0"/>
      <w:marTop w:val="0"/>
      <w:marBottom w:val="0"/>
      <w:divBdr>
        <w:top w:val="none" w:sz="0" w:space="0" w:color="auto"/>
        <w:left w:val="none" w:sz="0" w:space="0" w:color="auto"/>
        <w:bottom w:val="none" w:sz="0" w:space="0" w:color="auto"/>
        <w:right w:val="none" w:sz="0" w:space="0" w:color="auto"/>
      </w:divBdr>
    </w:div>
    <w:div w:id="1387293327">
      <w:bodyDiv w:val="1"/>
      <w:marLeft w:val="0"/>
      <w:marRight w:val="0"/>
      <w:marTop w:val="0"/>
      <w:marBottom w:val="0"/>
      <w:divBdr>
        <w:top w:val="none" w:sz="0" w:space="0" w:color="auto"/>
        <w:left w:val="none" w:sz="0" w:space="0" w:color="auto"/>
        <w:bottom w:val="none" w:sz="0" w:space="0" w:color="auto"/>
        <w:right w:val="none" w:sz="0" w:space="0" w:color="auto"/>
      </w:divBdr>
    </w:div>
    <w:div w:id="1387684402">
      <w:bodyDiv w:val="1"/>
      <w:marLeft w:val="0"/>
      <w:marRight w:val="0"/>
      <w:marTop w:val="0"/>
      <w:marBottom w:val="0"/>
      <w:divBdr>
        <w:top w:val="none" w:sz="0" w:space="0" w:color="auto"/>
        <w:left w:val="none" w:sz="0" w:space="0" w:color="auto"/>
        <w:bottom w:val="none" w:sz="0" w:space="0" w:color="auto"/>
        <w:right w:val="none" w:sz="0" w:space="0" w:color="auto"/>
      </w:divBdr>
    </w:div>
    <w:div w:id="1388070590">
      <w:bodyDiv w:val="1"/>
      <w:marLeft w:val="0"/>
      <w:marRight w:val="0"/>
      <w:marTop w:val="0"/>
      <w:marBottom w:val="0"/>
      <w:divBdr>
        <w:top w:val="none" w:sz="0" w:space="0" w:color="auto"/>
        <w:left w:val="none" w:sz="0" w:space="0" w:color="auto"/>
        <w:bottom w:val="none" w:sz="0" w:space="0" w:color="auto"/>
        <w:right w:val="none" w:sz="0" w:space="0" w:color="auto"/>
      </w:divBdr>
    </w:div>
    <w:div w:id="1388332358">
      <w:bodyDiv w:val="1"/>
      <w:marLeft w:val="0"/>
      <w:marRight w:val="0"/>
      <w:marTop w:val="0"/>
      <w:marBottom w:val="0"/>
      <w:divBdr>
        <w:top w:val="none" w:sz="0" w:space="0" w:color="auto"/>
        <w:left w:val="none" w:sz="0" w:space="0" w:color="auto"/>
        <w:bottom w:val="none" w:sz="0" w:space="0" w:color="auto"/>
        <w:right w:val="none" w:sz="0" w:space="0" w:color="auto"/>
      </w:divBdr>
    </w:div>
    <w:div w:id="1392121182">
      <w:bodyDiv w:val="1"/>
      <w:marLeft w:val="0"/>
      <w:marRight w:val="0"/>
      <w:marTop w:val="0"/>
      <w:marBottom w:val="0"/>
      <w:divBdr>
        <w:top w:val="none" w:sz="0" w:space="0" w:color="auto"/>
        <w:left w:val="none" w:sz="0" w:space="0" w:color="auto"/>
        <w:bottom w:val="none" w:sz="0" w:space="0" w:color="auto"/>
        <w:right w:val="none" w:sz="0" w:space="0" w:color="auto"/>
      </w:divBdr>
    </w:div>
    <w:div w:id="1393775855">
      <w:bodyDiv w:val="1"/>
      <w:marLeft w:val="0"/>
      <w:marRight w:val="0"/>
      <w:marTop w:val="0"/>
      <w:marBottom w:val="0"/>
      <w:divBdr>
        <w:top w:val="none" w:sz="0" w:space="0" w:color="auto"/>
        <w:left w:val="none" w:sz="0" w:space="0" w:color="auto"/>
        <w:bottom w:val="none" w:sz="0" w:space="0" w:color="auto"/>
        <w:right w:val="none" w:sz="0" w:space="0" w:color="auto"/>
      </w:divBdr>
    </w:div>
    <w:div w:id="1394889401">
      <w:bodyDiv w:val="1"/>
      <w:marLeft w:val="0"/>
      <w:marRight w:val="0"/>
      <w:marTop w:val="0"/>
      <w:marBottom w:val="0"/>
      <w:divBdr>
        <w:top w:val="none" w:sz="0" w:space="0" w:color="auto"/>
        <w:left w:val="none" w:sz="0" w:space="0" w:color="auto"/>
        <w:bottom w:val="none" w:sz="0" w:space="0" w:color="auto"/>
        <w:right w:val="none" w:sz="0" w:space="0" w:color="auto"/>
      </w:divBdr>
    </w:div>
    <w:div w:id="1395078679">
      <w:bodyDiv w:val="1"/>
      <w:marLeft w:val="0"/>
      <w:marRight w:val="0"/>
      <w:marTop w:val="0"/>
      <w:marBottom w:val="0"/>
      <w:divBdr>
        <w:top w:val="none" w:sz="0" w:space="0" w:color="auto"/>
        <w:left w:val="none" w:sz="0" w:space="0" w:color="auto"/>
        <w:bottom w:val="none" w:sz="0" w:space="0" w:color="auto"/>
        <w:right w:val="none" w:sz="0" w:space="0" w:color="auto"/>
      </w:divBdr>
    </w:div>
    <w:div w:id="1395542973">
      <w:bodyDiv w:val="1"/>
      <w:marLeft w:val="0"/>
      <w:marRight w:val="0"/>
      <w:marTop w:val="0"/>
      <w:marBottom w:val="0"/>
      <w:divBdr>
        <w:top w:val="none" w:sz="0" w:space="0" w:color="auto"/>
        <w:left w:val="none" w:sz="0" w:space="0" w:color="auto"/>
        <w:bottom w:val="none" w:sz="0" w:space="0" w:color="auto"/>
        <w:right w:val="none" w:sz="0" w:space="0" w:color="auto"/>
      </w:divBdr>
    </w:div>
    <w:div w:id="1396582008">
      <w:bodyDiv w:val="1"/>
      <w:marLeft w:val="0"/>
      <w:marRight w:val="0"/>
      <w:marTop w:val="0"/>
      <w:marBottom w:val="0"/>
      <w:divBdr>
        <w:top w:val="none" w:sz="0" w:space="0" w:color="auto"/>
        <w:left w:val="none" w:sz="0" w:space="0" w:color="auto"/>
        <w:bottom w:val="none" w:sz="0" w:space="0" w:color="auto"/>
        <w:right w:val="none" w:sz="0" w:space="0" w:color="auto"/>
      </w:divBdr>
    </w:div>
    <w:div w:id="1397583687">
      <w:bodyDiv w:val="1"/>
      <w:marLeft w:val="0"/>
      <w:marRight w:val="0"/>
      <w:marTop w:val="0"/>
      <w:marBottom w:val="0"/>
      <w:divBdr>
        <w:top w:val="none" w:sz="0" w:space="0" w:color="auto"/>
        <w:left w:val="none" w:sz="0" w:space="0" w:color="auto"/>
        <w:bottom w:val="none" w:sz="0" w:space="0" w:color="auto"/>
        <w:right w:val="none" w:sz="0" w:space="0" w:color="auto"/>
      </w:divBdr>
    </w:div>
    <w:div w:id="1399009575">
      <w:bodyDiv w:val="1"/>
      <w:marLeft w:val="0"/>
      <w:marRight w:val="0"/>
      <w:marTop w:val="0"/>
      <w:marBottom w:val="0"/>
      <w:divBdr>
        <w:top w:val="none" w:sz="0" w:space="0" w:color="auto"/>
        <w:left w:val="none" w:sz="0" w:space="0" w:color="auto"/>
        <w:bottom w:val="none" w:sz="0" w:space="0" w:color="auto"/>
        <w:right w:val="none" w:sz="0" w:space="0" w:color="auto"/>
      </w:divBdr>
    </w:div>
    <w:div w:id="1404449335">
      <w:bodyDiv w:val="1"/>
      <w:marLeft w:val="0"/>
      <w:marRight w:val="0"/>
      <w:marTop w:val="0"/>
      <w:marBottom w:val="0"/>
      <w:divBdr>
        <w:top w:val="none" w:sz="0" w:space="0" w:color="auto"/>
        <w:left w:val="none" w:sz="0" w:space="0" w:color="auto"/>
        <w:bottom w:val="none" w:sz="0" w:space="0" w:color="auto"/>
        <w:right w:val="none" w:sz="0" w:space="0" w:color="auto"/>
      </w:divBdr>
    </w:div>
    <w:div w:id="1406684889">
      <w:bodyDiv w:val="1"/>
      <w:marLeft w:val="0"/>
      <w:marRight w:val="0"/>
      <w:marTop w:val="0"/>
      <w:marBottom w:val="0"/>
      <w:divBdr>
        <w:top w:val="none" w:sz="0" w:space="0" w:color="auto"/>
        <w:left w:val="none" w:sz="0" w:space="0" w:color="auto"/>
        <w:bottom w:val="none" w:sz="0" w:space="0" w:color="auto"/>
        <w:right w:val="none" w:sz="0" w:space="0" w:color="auto"/>
      </w:divBdr>
    </w:div>
    <w:div w:id="1408117631">
      <w:bodyDiv w:val="1"/>
      <w:marLeft w:val="0"/>
      <w:marRight w:val="0"/>
      <w:marTop w:val="0"/>
      <w:marBottom w:val="0"/>
      <w:divBdr>
        <w:top w:val="none" w:sz="0" w:space="0" w:color="auto"/>
        <w:left w:val="none" w:sz="0" w:space="0" w:color="auto"/>
        <w:bottom w:val="none" w:sz="0" w:space="0" w:color="auto"/>
        <w:right w:val="none" w:sz="0" w:space="0" w:color="auto"/>
      </w:divBdr>
    </w:div>
    <w:div w:id="1408576643">
      <w:bodyDiv w:val="1"/>
      <w:marLeft w:val="0"/>
      <w:marRight w:val="0"/>
      <w:marTop w:val="0"/>
      <w:marBottom w:val="0"/>
      <w:divBdr>
        <w:top w:val="none" w:sz="0" w:space="0" w:color="auto"/>
        <w:left w:val="none" w:sz="0" w:space="0" w:color="auto"/>
        <w:bottom w:val="none" w:sz="0" w:space="0" w:color="auto"/>
        <w:right w:val="none" w:sz="0" w:space="0" w:color="auto"/>
      </w:divBdr>
    </w:div>
    <w:div w:id="1409186038">
      <w:bodyDiv w:val="1"/>
      <w:marLeft w:val="0"/>
      <w:marRight w:val="0"/>
      <w:marTop w:val="0"/>
      <w:marBottom w:val="0"/>
      <w:divBdr>
        <w:top w:val="none" w:sz="0" w:space="0" w:color="auto"/>
        <w:left w:val="none" w:sz="0" w:space="0" w:color="auto"/>
        <w:bottom w:val="none" w:sz="0" w:space="0" w:color="auto"/>
        <w:right w:val="none" w:sz="0" w:space="0" w:color="auto"/>
      </w:divBdr>
    </w:div>
    <w:div w:id="1410538790">
      <w:bodyDiv w:val="1"/>
      <w:marLeft w:val="0"/>
      <w:marRight w:val="0"/>
      <w:marTop w:val="0"/>
      <w:marBottom w:val="0"/>
      <w:divBdr>
        <w:top w:val="none" w:sz="0" w:space="0" w:color="auto"/>
        <w:left w:val="none" w:sz="0" w:space="0" w:color="auto"/>
        <w:bottom w:val="none" w:sz="0" w:space="0" w:color="auto"/>
        <w:right w:val="none" w:sz="0" w:space="0" w:color="auto"/>
      </w:divBdr>
    </w:div>
    <w:div w:id="1413312337">
      <w:bodyDiv w:val="1"/>
      <w:marLeft w:val="0"/>
      <w:marRight w:val="0"/>
      <w:marTop w:val="0"/>
      <w:marBottom w:val="0"/>
      <w:divBdr>
        <w:top w:val="none" w:sz="0" w:space="0" w:color="auto"/>
        <w:left w:val="none" w:sz="0" w:space="0" w:color="auto"/>
        <w:bottom w:val="none" w:sz="0" w:space="0" w:color="auto"/>
        <w:right w:val="none" w:sz="0" w:space="0" w:color="auto"/>
      </w:divBdr>
    </w:div>
    <w:div w:id="1413772334">
      <w:bodyDiv w:val="1"/>
      <w:marLeft w:val="0"/>
      <w:marRight w:val="0"/>
      <w:marTop w:val="0"/>
      <w:marBottom w:val="0"/>
      <w:divBdr>
        <w:top w:val="none" w:sz="0" w:space="0" w:color="auto"/>
        <w:left w:val="none" w:sz="0" w:space="0" w:color="auto"/>
        <w:bottom w:val="none" w:sz="0" w:space="0" w:color="auto"/>
        <w:right w:val="none" w:sz="0" w:space="0" w:color="auto"/>
      </w:divBdr>
    </w:div>
    <w:div w:id="1414624115">
      <w:bodyDiv w:val="1"/>
      <w:marLeft w:val="0"/>
      <w:marRight w:val="0"/>
      <w:marTop w:val="0"/>
      <w:marBottom w:val="0"/>
      <w:divBdr>
        <w:top w:val="none" w:sz="0" w:space="0" w:color="auto"/>
        <w:left w:val="none" w:sz="0" w:space="0" w:color="auto"/>
        <w:bottom w:val="none" w:sz="0" w:space="0" w:color="auto"/>
        <w:right w:val="none" w:sz="0" w:space="0" w:color="auto"/>
      </w:divBdr>
    </w:div>
    <w:div w:id="1418092255">
      <w:bodyDiv w:val="1"/>
      <w:marLeft w:val="0"/>
      <w:marRight w:val="0"/>
      <w:marTop w:val="0"/>
      <w:marBottom w:val="0"/>
      <w:divBdr>
        <w:top w:val="none" w:sz="0" w:space="0" w:color="auto"/>
        <w:left w:val="none" w:sz="0" w:space="0" w:color="auto"/>
        <w:bottom w:val="none" w:sz="0" w:space="0" w:color="auto"/>
        <w:right w:val="none" w:sz="0" w:space="0" w:color="auto"/>
      </w:divBdr>
    </w:div>
    <w:div w:id="1418676805">
      <w:bodyDiv w:val="1"/>
      <w:marLeft w:val="0"/>
      <w:marRight w:val="0"/>
      <w:marTop w:val="0"/>
      <w:marBottom w:val="0"/>
      <w:divBdr>
        <w:top w:val="none" w:sz="0" w:space="0" w:color="auto"/>
        <w:left w:val="none" w:sz="0" w:space="0" w:color="auto"/>
        <w:bottom w:val="none" w:sz="0" w:space="0" w:color="auto"/>
        <w:right w:val="none" w:sz="0" w:space="0" w:color="auto"/>
      </w:divBdr>
    </w:div>
    <w:div w:id="1419862125">
      <w:bodyDiv w:val="1"/>
      <w:marLeft w:val="0"/>
      <w:marRight w:val="0"/>
      <w:marTop w:val="0"/>
      <w:marBottom w:val="0"/>
      <w:divBdr>
        <w:top w:val="none" w:sz="0" w:space="0" w:color="auto"/>
        <w:left w:val="none" w:sz="0" w:space="0" w:color="auto"/>
        <w:bottom w:val="none" w:sz="0" w:space="0" w:color="auto"/>
        <w:right w:val="none" w:sz="0" w:space="0" w:color="auto"/>
      </w:divBdr>
    </w:div>
    <w:div w:id="1420634055">
      <w:bodyDiv w:val="1"/>
      <w:marLeft w:val="0"/>
      <w:marRight w:val="0"/>
      <w:marTop w:val="0"/>
      <w:marBottom w:val="0"/>
      <w:divBdr>
        <w:top w:val="none" w:sz="0" w:space="0" w:color="auto"/>
        <w:left w:val="none" w:sz="0" w:space="0" w:color="auto"/>
        <w:bottom w:val="none" w:sz="0" w:space="0" w:color="auto"/>
        <w:right w:val="none" w:sz="0" w:space="0" w:color="auto"/>
      </w:divBdr>
    </w:div>
    <w:div w:id="1426070797">
      <w:bodyDiv w:val="1"/>
      <w:marLeft w:val="0"/>
      <w:marRight w:val="0"/>
      <w:marTop w:val="0"/>
      <w:marBottom w:val="0"/>
      <w:divBdr>
        <w:top w:val="none" w:sz="0" w:space="0" w:color="auto"/>
        <w:left w:val="none" w:sz="0" w:space="0" w:color="auto"/>
        <w:bottom w:val="none" w:sz="0" w:space="0" w:color="auto"/>
        <w:right w:val="none" w:sz="0" w:space="0" w:color="auto"/>
      </w:divBdr>
    </w:div>
    <w:div w:id="1432164805">
      <w:bodyDiv w:val="1"/>
      <w:marLeft w:val="0"/>
      <w:marRight w:val="0"/>
      <w:marTop w:val="0"/>
      <w:marBottom w:val="0"/>
      <w:divBdr>
        <w:top w:val="none" w:sz="0" w:space="0" w:color="auto"/>
        <w:left w:val="none" w:sz="0" w:space="0" w:color="auto"/>
        <w:bottom w:val="none" w:sz="0" w:space="0" w:color="auto"/>
        <w:right w:val="none" w:sz="0" w:space="0" w:color="auto"/>
      </w:divBdr>
    </w:div>
    <w:div w:id="1438018574">
      <w:bodyDiv w:val="1"/>
      <w:marLeft w:val="0"/>
      <w:marRight w:val="0"/>
      <w:marTop w:val="0"/>
      <w:marBottom w:val="0"/>
      <w:divBdr>
        <w:top w:val="none" w:sz="0" w:space="0" w:color="auto"/>
        <w:left w:val="none" w:sz="0" w:space="0" w:color="auto"/>
        <w:bottom w:val="none" w:sz="0" w:space="0" w:color="auto"/>
        <w:right w:val="none" w:sz="0" w:space="0" w:color="auto"/>
      </w:divBdr>
    </w:div>
    <w:div w:id="1441224686">
      <w:bodyDiv w:val="1"/>
      <w:marLeft w:val="0"/>
      <w:marRight w:val="0"/>
      <w:marTop w:val="0"/>
      <w:marBottom w:val="0"/>
      <w:divBdr>
        <w:top w:val="none" w:sz="0" w:space="0" w:color="auto"/>
        <w:left w:val="none" w:sz="0" w:space="0" w:color="auto"/>
        <w:bottom w:val="none" w:sz="0" w:space="0" w:color="auto"/>
        <w:right w:val="none" w:sz="0" w:space="0" w:color="auto"/>
      </w:divBdr>
    </w:div>
    <w:div w:id="1444424307">
      <w:bodyDiv w:val="1"/>
      <w:marLeft w:val="0"/>
      <w:marRight w:val="0"/>
      <w:marTop w:val="0"/>
      <w:marBottom w:val="0"/>
      <w:divBdr>
        <w:top w:val="none" w:sz="0" w:space="0" w:color="auto"/>
        <w:left w:val="none" w:sz="0" w:space="0" w:color="auto"/>
        <w:bottom w:val="none" w:sz="0" w:space="0" w:color="auto"/>
        <w:right w:val="none" w:sz="0" w:space="0" w:color="auto"/>
      </w:divBdr>
    </w:div>
    <w:div w:id="1446776280">
      <w:bodyDiv w:val="1"/>
      <w:marLeft w:val="0"/>
      <w:marRight w:val="0"/>
      <w:marTop w:val="0"/>
      <w:marBottom w:val="0"/>
      <w:divBdr>
        <w:top w:val="none" w:sz="0" w:space="0" w:color="auto"/>
        <w:left w:val="none" w:sz="0" w:space="0" w:color="auto"/>
        <w:bottom w:val="none" w:sz="0" w:space="0" w:color="auto"/>
        <w:right w:val="none" w:sz="0" w:space="0" w:color="auto"/>
      </w:divBdr>
    </w:div>
    <w:div w:id="1446844494">
      <w:bodyDiv w:val="1"/>
      <w:marLeft w:val="0"/>
      <w:marRight w:val="0"/>
      <w:marTop w:val="0"/>
      <w:marBottom w:val="0"/>
      <w:divBdr>
        <w:top w:val="none" w:sz="0" w:space="0" w:color="auto"/>
        <w:left w:val="none" w:sz="0" w:space="0" w:color="auto"/>
        <w:bottom w:val="none" w:sz="0" w:space="0" w:color="auto"/>
        <w:right w:val="none" w:sz="0" w:space="0" w:color="auto"/>
      </w:divBdr>
    </w:div>
    <w:div w:id="1447962189">
      <w:bodyDiv w:val="1"/>
      <w:marLeft w:val="0"/>
      <w:marRight w:val="0"/>
      <w:marTop w:val="0"/>
      <w:marBottom w:val="0"/>
      <w:divBdr>
        <w:top w:val="none" w:sz="0" w:space="0" w:color="auto"/>
        <w:left w:val="none" w:sz="0" w:space="0" w:color="auto"/>
        <w:bottom w:val="none" w:sz="0" w:space="0" w:color="auto"/>
        <w:right w:val="none" w:sz="0" w:space="0" w:color="auto"/>
      </w:divBdr>
    </w:div>
    <w:div w:id="1448543912">
      <w:bodyDiv w:val="1"/>
      <w:marLeft w:val="0"/>
      <w:marRight w:val="0"/>
      <w:marTop w:val="0"/>
      <w:marBottom w:val="0"/>
      <w:divBdr>
        <w:top w:val="none" w:sz="0" w:space="0" w:color="auto"/>
        <w:left w:val="none" w:sz="0" w:space="0" w:color="auto"/>
        <w:bottom w:val="none" w:sz="0" w:space="0" w:color="auto"/>
        <w:right w:val="none" w:sz="0" w:space="0" w:color="auto"/>
      </w:divBdr>
    </w:div>
    <w:div w:id="1448740413">
      <w:bodyDiv w:val="1"/>
      <w:marLeft w:val="0"/>
      <w:marRight w:val="0"/>
      <w:marTop w:val="0"/>
      <w:marBottom w:val="0"/>
      <w:divBdr>
        <w:top w:val="none" w:sz="0" w:space="0" w:color="auto"/>
        <w:left w:val="none" w:sz="0" w:space="0" w:color="auto"/>
        <w:bottom w:val="none" w:sz="0" w:space="0" w:color="auto"/>
        <w:right w:val="none" w:sz="0" w:space="0" w:color="auto"/>
      </w:divBdr>
    </w:div>
    <w:div w:id="1452017592">
      <w:bodyDiv w:val="1"/>
      <w:marLeft w:val="0"/>
      <w:marRight w:val="0"/>
      <w:marTop w:val="0"/>
      <w:marBottom w:val="0"/>
      <w:divBdr>
        <w:top w:val="none" w:sz="0" w:space="0" w:color="auto"/>
        <w:left w:val="none" w:sz="0" w:space="0" w:color="auto"/>
        <w:bottom w:val="none" w:sz="0" w:space="0" w:color="auto"/>
        <w:right w:val="none" w:sz="0" w:space="0" w:color="auto"/>
      </w:divBdr>
    </w:div>
    <w:div w:id="1456211996">
      <w:bodyDiv w:val="1"/>
      <w:marLeft w:val="0"/>
      <w:marRight w:val="0"/>
      <w:marTop w:val="0"/>
      <w:marBottom w:val="0"/>
      <w:divBdr>
        <w:top w:val="none" w:sz="0" w:space="0" w:color="auto"/>
        <w:left w:val="none" w:sz="0" w:space="0" w:color="auto"/>
        <w:bottom w:val="none" w:sz="0" w:space="0" w:color="auto"/>
        <w:right w:val="none" w:sz="0" w:space="0" w:color="auto"/>
      </w:divBdr>
    </w:div>
    <w:div w:id="1457219951">
      <w:bodyDiv w:val="1"/>
      <w:marLeft w:val="0"/>
      <w:marRight w:val="0"/>
      <w:marTop w:val="0"/>
      <w:marBottom w:val="0"/>
      <w:divBdr>
        <w:top w:val="none" w:sz="0" w:space="0" w:color="auto"/>
        <w:left w:val="none" w:sz="0" w:space="0" w:color="auto"/>
        <w:bottom w:val="none" w:sz="0" w:space="0" w:color="auto"/>
        <w:right w:val="none" w:sz="0" w:space="0" w:color="auto"/>
      </w:divBdr>
    </w:div>
    <w:div w:id="1461343081">
      <w:bodyDiv w:val="1"/>
      <w:marLeft w:val="0"/>
      <w:marRight w:val="0"/>
      <w:marTop w:val="0"/>
      <w:marBottom w:val="0"/>
      <w:divBdr>
        <w:top w:val="none" w:sz="0" w:space="0" w:color="auto"/>
        <w:left w:val="none" w:sz="0" w:space="0" w:color="auto"/>
        <w:bottom w:val="none" w:sz="0" w:space="0" w:color="auto"/>
        <w:right w:val="none" w:sz="0" w:space="0" w:color="auto"/>
      </w:divBdr>
    </w:div>
    <w:div w:id="1461612924">
      <w:bodyDiv w:val="1"/>
      <w:marLeft w:val="0"/>
      <w:marRight w:val="0"/>
      <w:marTop w:val="0"/>
      <w:marBottom w:val="0"/>
      <w:divBdr>
        <w:top w:val="none" w:sz="0" w:space="0" w:color="auto"/>
        <w:left w:val="none" w:sz="0" w:space="0" w:color="auto"/>
        <w:bottom w:val="none" w:sz="0" w:space="0" w:color="auto"/>
        <w:right w:val="none" w:sz="0" w:space="0" w:color="auto"/>
      </w:divBdr>
    </w:div>
    <w:div w:id="1462114153">
      <w:bodyDiv w:val="1"/>
      <w:marLeft w:val="0"/>
      <w:marRight w:val="0"/>
      <w:marTop w:val="0"/>
      <w:marBottom w:val="0"/>
      <w:divBdr>
        <w:top w:val="none" w:sz="0" w:space="0" w:color="auto"/>
        <w:left w:val="none" w:sz="0" w:space="0" w:color="auto"/>
        <w:bottom w:val="none" w:sz="0" w:space="0" w:color="auto"/>
        <w:right w:val="none" w:sz="0" w:space="0" w:color="auto"/>
      </w:divBdr>
    </w:div>
    <w:div w:id="1462844353">
      <w:bodyDiv w:val="1"/>
      <w:marLeft w:val="0"/>
      <w:marRight w:val="0"/>
      <w:marTop w:val="0"/>
      <w:marBottom w:val="0"/>
      <w:divBdr>
        <w:top w:val="none" w:sz="0" w:space="0" w:color="auto"/>
        <w:left w:val="none" w:sz="0" w:space="0" w:color="auto"/>
        <w:bottom w:val="none" w:sz="0" w:space="0" w:color="auto"/>
        <w:right w:val="none" w:sz="0" w:space="0" w:color="auto"/>
      </w:divBdr>
    </w:div>
    <w:div w:id="1466000697">
      <w:bodyDiv w:val="1"/>
      <w:marLeft w:val="0"/>
      <w:marRight w:val="0"/>
      <w:marTop w:val="0"/>
      <w:marBottom w:val="0"/>
      <w:divBdr>
        <w:top w:val="none" w:sz="0" w:space="0" w:color="auto"/>
        <w:left w:val="none" w:sz="0" w:space="0" w:color="auto"/>
        <w:bottom w:val="none" w:sz="0" w:space="0" w:color="auto"/>
        <w:right w:val="none" w:sz="0" w:space="0" w:color="auto"/>
      </w:divBdr>
    </w:div>
    <w:div w:id="1466194672">
      <w:bodyDiv w:val="1"/>
      <w:marLeft w:val="0"/>
      <w:marRight w:val="0"/>
      <w:marTop w:val="0"/>
      <w:marBottom w:val="0"/>
      <w:divBdr>
        <w:top w:val="none" w:sz="0" w:space="0" w:color="auto"/>
        <w:left w:val="none" w:sz="0" w:space="0" w:color="auto"/>
        <w:bottom w:val="none" w:sz="0" w:space="0" w:color="auto"/>
        <w:right w:val="none" w:sz="0" w:space="0" w:color="auto"/>
      </w:divBdr>
    </w:div>
    <w:div w:id="1468815927">
      <w:bodyDiv w:val="1"/>
      <w:marLeft w:val="0"/>
      <w:marRight w:val="0"/>
      <w:marTop w:val="0"/>
      <w:marBottom w:val="0"/>
      <w:divBdr>
        <w:top w:val="none" w:sz="0" w:space="0" w:color="auto"/>
        <w:left w:val="none" w:sz="0" w:space="0" w:color="auto"/>
        <w:bottom w:val="none" w:sz="0" w:space="0" w:color="auto"/>
        <w:right w:val="none" w:sz="0" w:space="0" w:color="auto"/>
      </w:divBdr>
    </w:div>
    <w:div w:id="1470786569">
      <w:bodyDiv w:val="1"/>
      <w:marLeft w:val="0"/>
      <w:marRight w:val="0"/>
      <w:marTop w:val="0"/>
      <w:marBottom w:val="0"/>
      <w:divBdr>
        <w:top w:val="none" w:sz="0" w:space="0" w:color="auto"/>
        <w:left w:val="none" w:sz="0" w:space="0" w:color="auto"/>
        <w:bottom w:val="none" w:sz="0" w:space="0" w:color="auto"/>
        <w:right w:val="none" w:sz="0" w:space="0" w:color="auto"/>
      </w:divBdr>
    </w:div>
    <w:div w:id="1473449838">
      <w:bodyDiv w:val="1"/>
      <w:marLeft w:val="0"/>
      <w:marRight w:val="0"/>
      <w:marTop w:val="0"/>
      <w:marBottom w:val="0"/>
      <w:divBdr>
        <w:top w:val="none" w:sz="0" w:space="0" w:color="auto"/>
        <w:left w:val="none" w:sz="0" w:space="0" w:color="auto"/>
        <w:bottom w:val="none" w:sz="0" w:space="0" w:color="auto"/>
        <w:right w:val="none" w:sz="0" w:space="0" w:color="auto"/>
      </w:divBdr>
    </w:div>
    <w:div w:id="1474953405">
      <w:bodyDiv w:val="1"/>
      <w:marLeft w:val="0"/>
      <w:marRight w:val="0"/>
      <w:marTop w:val="0"/>
      <w:marBottom w:val="0"/>
      <w:divBdr>
        <w:top w:val="none" w:sz="0" w:space="0" w:color="auto"/>
        <w:left w:val="none" w:sz="0" w:space="0" w:color="auto"/>
        <w:bottom w:val="none" w:sz="0" w:space="0" w:color="auto"/>
        <w:right w:val="none" w:sz="0" w:space="0" w:color="auto"/>
      </w:divBdr>
    </w:div>
    <w:div w:id="1475177372">
      <w:bodyDiv w:val="1"/>
      <w:marLeft w:val="0"/>
      <w:marRight w:val="0"/>
      <w:marTop w:val="0"/>
      <w:marBottom w:val="0"/>
      <w:divBdr>
        <w:top w:val="none" w:sz="0" w:space="0" w:color="auto"/>
        <w:left w:val="none" w:sz="0" w:space="0" w:color="auto"/>
        <w:bottom w:val="none" w:sz="0" w:space="0" w:color="auto"/>
        <w:right w:val="none" w:sz="0" w:space="0" w:color="auto"/>
      </w:divBdr>
    </w:div>
    <w:div w:id="1477182471">
      <w:bodyDiv w:val="1"/>
      <w:marLeft w:val="0"/>
      <w:marRight w:val="0"/>
      <w:marTop w:val="0"/>
      <w:marBottom w:val="0"/>
      <w:divBdr>
        <w:top w:val="none" w:sz="0" w:space="0" w:color="auto"/>
        <w:left w:val="none" w:sz="0" w:space="0" w:color="auto"/>
        <w:bottom w:val="none" w:sz="0" w:space="0" w:color="auto"/>
        <w:right w:val="none" w:sz="0" w:space="0" w:color="auto"/>
      </w:divBdr>
    </w:div>
    <w:div w:id="1477530992">
      <w:bodyDiv w:val="1"/>
      <w:marLeft w:val="0"/>
      <w:marRight w:val="0"/>
      <w:marTop w:val="0"/>
      <w:marBottom w:val="0"/>
      <w:divBdr>
        <w:top w:val="none" w:sz="0" w:space="0" w:color="auto"/>
        <w:left w:val="none" w:sz="0" w:space="0" w:color="auto"/>
        <w:bottom w:val="none" w:sz="0" w:space="0" w:color="auto"/>
        <w:right w:val="none" w:sz="0" w:space="0" w:color="auto"/>
      </w:divBdr>
    </w:div>
    <w:div w:id="1478761438">
      <w:bodyDiv w:val="1"/>
      <w:marLeft w:val="0"/>
      <w:marRight w:val="0"/>
      <w:marTop w:val="0"/>
      <w:marBottom w:val="0"/>
      <w:divBdr>
        <w:top w:val="none" w:sz="0" w:space="0" w:color="auto"/>
        <w:left w:val="none" w:sz="0" w:space="0" w:color="auto"/>
        <w:bottom w:val="none" w:sz="0" w:space="0" w:color="auto"/>
        <w:right w:val="none" w:sz="0" w:space="0" w:color="auto"/>
      </w:divBdr>
    </w:div>
    <w:div w:id="1480145791">
      <w:bodyDiv w:val="1"/>
      <w:marLeft w:val="0"/>
      <w:marRight w:val="0"/>
      <w:marTop w:val="0"/>
      <w:marBottom w:val="0"/>
      <w:divBdr>
        <w:top w:val="none" w:sz="0" w:space="0" w:color="auto"/>
        <w:left w:val="none" w:sz="0" w:space="0" w:color="auto"/>
        <w:bottom w:val="none" w:sz="0" w:space="0" w:color="auto"/>
        <w:right w:val="none" w:sz="0" w:space="0" w:color="auto"/>
      </w:divBdr>
    </w:div>
    <w:div w:id="1480611114">
      <w:bodyDiv w:val="1"/>
      <w:marLeft w:val="0"/>
      <w:marRight w:val="0"/>
      <w:marTop w:val="0"/>
      <w:marBottom w:val="0"/>
      <w:divBdr>
        <w:top w:val="none" w:sz="0" w:space="0" w:color="auto"/>
        <w:left w:val="none" w:sz="0" w:space="0" w:color="auto"/>
        <w:bottom w:val="none" w:sz="0" w:space="0" w:color="auto"/>
        <w:right w:val="none" w:sz="0" w:space="0" w:color="auto"/>
      </w:divBdr>
    </w:div>
    <w:div w:id="1481652939">
      <w:bodyDiv w:val="1"/>
      <w:marLeft w:val="0"/>
      <w:marRight w:val="0"/>
      <w:marTop w:val="0"/>
      <w:marBottom w:val="0"/>
      <w:divBdr>
        <w:top w:val="none" w:sz="0" w:space="0" w:color="auto"/>
        <w:left w:val="none" w:sz="0" w:space="0" w:color="auto"/>
        <w:bottom w:val="none" w:sz="0" w:space="0" w:color="auto"/>
        <w:right w:val="none" w:sz="0" w:space="0" w:color="auto"/>
      </w:divBdr>
    </w:div>
    <w:div w:id="1482429904">
      <w:bodyDiv w:val="1"/>
      <w:marLeft w:val="0"/>
      <w:marRight w:val="0"/>
      <w:marTop w:val="0"/>
      <w:marBottom w:val="0"/>
      <w:divBdr>
        <w:top w:val="none" w:sz="0" w:space="0" w:color="auto"/>
        <w:left w:val="none" w:sz="0" w:space="0" w:color="auto"/>
        <w:bottom w:val="none" w:sz="0" w:space="0" w:color="auto"/>
        <w:right w:val="none" w:sz="0" w:space="0" w:color="auto"/>
      </w:divBdr>
    </w:div>
    <w:div w:id="1483229160">
      <w:bodyDiv w:val="1"/>
      <w:marLeft w:val="0"/>
      <w:marRight w:val="0"/>
      <w:marTop w:val="0"/>
      <w:marBottom w:val="0"/>
      <w:divBdr>
        <w:top w:val="none" w:sz="0" w:space="0" w:color="auto"/>
        <w:left w:val="none" w:sz="0" w:space="0" w:color="auto"/>
        <w:bottom w:val="none" w:sz="0" w:space="0" w:color="auto"/>
        <w:right w:val="none" w:sz="0" w:space="0" w:color="auto"/>
      </w:divBdr>
    </w:div>
    <w:div w:id="1483616597">
      <w:bodyDiv w:val="1"/>
      <w:marLeft w:val="0"/>
      <w:marRight w:val="0"/>
      <w:marTop w:val="0"/>
      <w:marBottom w:val="0"/>
      <w:divBdr>
        <w:top w:val="none" w:sz="0" w:space="0" w:color="auto"/>
        <w:left w:val="none" w:sz="0" w:space="0" w:color="auto"/>
        <w:bottom w:val="none" w:sz="0" w:space="0" w:color="auto"/>
        <w:right w:val="none" w:sz="0" w:space="0" w:color="auto"/>
      </w:divBdr>
    </w:div>
    <w:div w:id="1483888009">
      <w:bodyDiv w:val="1"/>
      <w:marLeft w:val="0"/>
      <w:marRight w:val="0"/>
      <w:marTop w:val="0"/>
      <w:marBottom w:val="0"/>
      <w:divBdr>
        <w:top w:val="none" w:sz="0" w:space="0" w:color="auto"/>
        <w:left w:val="none" w:sz="0" w:space="0" w:color="auto"/>
        <w:bottom w:val="none" w:sz="0" w:space="0" w:color="auto"/>
        <w:right w:val="none" w:sz="0" w:space="0" w:color="auto"/>
      </w:divBdr>
    </w:div>
    <w:div w:id="1484547791">
      <w:bodyDiv w:val="1"/>
      <w:marLeft w:val="0"/>
      <w:marRight w:val="0"/>
      <w:marTop w:val="0"/>
      <w:marBottom w:val="0"/>
      <w:divBdr>
        <w:top w:val="none" w:sz="0" w:space="0" w:color="auto"/>
        <w:left w:val="none" w:sz="0" w:space="0" w:color="auto"/>
        <w:bottom w:val="none" w:sz="0" w:space="0" w:color="auto"/>
        <w:right w:val="none" w:sz="0" w:space="0" w:color="auto"/>
      </w:divBdr>
    </w:div>
    <w:div w:id="1484741642">
      <w:bodyDiv w:val="1"/>
      <w:marLeft w:val="0"/>
      <w:marRight w:val="0"/>
      <w:marTop w:val="0"/>
      <w:marBottom w:val="0"/>
      <w:divBdr>
        <w:top w:val="none" w:sz="0" w:space="0" w:color="auto"/>
        <w:left w:val="none" w:sz="0" w:space="0" w:color="auto"/>
        <w:bottom w:val="none" w:sz="0" w:space="0" w:color="auto"/>
        <w:right w:val="none" w:sz="0" w:space="0" w:color="auto"/>
      </w:divBdr>
    </w:div>
    <w:div w:id="1484930599">
      <w:bodyDiv w:val="1"/>
      <w:marLeft w:val="0"/>
      <w:marRight w:val="0"/>
      <w:marTop w:val="0"/>
      <w:marBottom w:val="0"/>
      <w:divBdr>
        <w:top w:val="none" w:sz="0" w:space="0" w:color="auto"/>
        <w:left w:val="none" w:sz="0" w:space="0" w:color="auto"/>
        <w:bottom w:val="none" w:sz="0" w:space="0" w:color="auto"/>
        <w:right w:val="none" w:sz="0" w:space="0" w:color="auto"/>
      </w:divBdr>
    </w:div>
    <w:div w:id="1486388351">
      <w:bodyDiv w:val="1"/>
      <w:marLeft w:val="0"/>
      <w:marRight w:val="0"/>
      <w:marTop w:val="0"/>
      <w:marBottom w:val="0"/>
      <w:divBdr>
        <w:top w:val="none" w:sz="0" w:space="0" w:color="auto"/>
        <w:left w:val="none" w:sz="0" w:space="0" w:color="auto"/>
        <w:bottom w:val="none" w:sz="0" w:space="0" w:color="auto"/>
        <w:right w:val="none" w:sz="0" w:space="0" w:color="auto"/>
      </w:divBdr>
    </w:div>
    <w:div w:id="1487625481">
      <w:bodyDiv w:val="1"/>
      <w:marLeft w:val="0"/>
      <w:marRight w:val="0"/>
      <w:marTop w:val="0"/>
      <w:marBottom w:val="0"/>
      <w:divBdr>
        <w:top w:val="none" w:sz="0" w:space="0" w:color="auto"/>
        <w:left w:val="none" w:sz="0" w:space="0" w:color="auto"/>
        <w:bottom w:val="none" w:sz="0" w:space="0" w:color="auto"/>
        <w:right w:val="none" w:sz="0" w:space="0" w:color="auto"/>
      </w:divBdr>
    </w:div>
    <w:div w:id="1487741615">
      <w:bodyDiv w:val="1"/>
      <w:marLeft w:val="0"/>
      <w:marRight w:val="0"/>
      <w:marTop w:val="0"/>
      <w:marBottom w:val="0"/>
      <w:divBdr>
        <w:top w:val="none" w:sz="0" w:space="0" w:color="auto"/>
        <w:left w:val="none" w:sz="0" w:space="0" w:color="auto"/>
        <w:bottom w:val="none" w:sz="0" w:space="0" w:color="auto"/>
        <w:right w:val="none" w:sz="0" w:space="0" w:color="auto"/>
      </w:divBdr>
    </w:div>
    <w:div w:id="1488941524">
      <w:bodyDiv w:val="1"/>
      <w:marLeft w:val="0"/>
      <w:marRight w:val="0"/>
      <w:marTop w:val="0"/>
      <w:marBottom w:val="0"/>
      <w:divBdr>
        <w:top w:val="none" w:sz="0" w:space="0" w:color="auto"/>
        <w:left w:val="none" w:sz="0" w:space="0" w:color="auto"/>
        <w:bottom w:val="none" w:sz="0" w:space="0" w:color="auto"/>
        <w:right w:val="none" w:sz="0" w:space="0" w:color="auto"/>
      </w:divBdr>
    </w:div>
    <w:div w:id="1490511870">
      <w:bodyDiv w:val="1"/>
      <w:marLeft w:val="0"/>
      <w:marRight w:val="0"/>
      <w:marTop w:val="0"/>
      <w:marBottom w:val="0"/>
      <w:divBdr>
        <w:top w:val="none" w:sz="0" w:space="0" w:color="auto"/>
        <w:left w:val="none" w:sz="0" w:space="0" w:color="auto"/>
        <w:bottom w:val="none" w:sz="0" w:space="0" w:color="auto"/>
        <w:right w:val="none" w:sz="0" w:space="0" w:color="auto"/>
      </w:divBdr>
    </w:div>
    <w:div w:id="1492722395">
      <w:bodyDiv w:val="1"/>
      <w:marLeft w:val="0"/>
      <w:marRight w:val="0"/>
      <w:marTop w:val="0"/>
      <w:marBottom w:val="0"/>
      <w:divBdr>
        <w:top w:val="none" w:sz="0" w:space="0" w:color="auto"/>
        <w:left w:val="none" w:sz="0" w:space="0" w:color="auto"/>
        <w:bottom w:val="none" w:sz="0" w:space="0" w:color="auto"/>
        <w:right w:val="none" w:sz="0" w:space="0" w:color="auto"/>
      </w:divBdr>
    </w:div>
    <w:div w:id="1494954054">
      <w:bodyDiv w:val="1"/>
      <w:marLeft w:val="0"/>
      <w:marRight w:val="0"/>
      <w:marTop w:val="0"/>
      <w:marBottom w:val="0"/>
      <w:divBdr>
        <w:top w:val="none" w:sz="0" w:space="0" w:color="auto"/>
        <w:left w:val="none" w:sz="0" w:space="0" w:color="auto"/>
        <w:bottom w:val="none" w:sz="0" w:space="0" w:color="auto"/>
        <w:right w:val="none" w:sz="0" w:space="0" w:color="auto"/>
      </w:divBdr>
    </w:div>
    <w:div w:id="1495562751">
      <w:bodyDiv w:val="1"/>
      <w:marLeft w:val="0"/>
      <w:marRight w:val="0"/>
      <w:marTop w:val="0"/>
      <w:marBottom w:val="0"/>
      <w:divBdr>
        <w:top w:val="none" w:sz="0" w:space="0" w:color="auto"/>
        <w:left w:val="none" w:sz="0" w:space="0" w:color="auto"/>
        <w:bottom w:val="none" w:sz="0" w:space="0" w:color="auto"/>
        <w:right w:val="none" w:sz="0" w:space="0" w:color="auto"/>
      </w:divBdr>
    </w:div>
    <w:div w:id="1496067427">
      <w:bodyDiv w:val="1"/>
      <w:marLeft w:val="0"/>
      <w:marRight w:val="0"/>
      <w:marTop w:val="0"/>
      <w:marBottom w:val="0"/>
      <w:divBdr>
        <w:top w:val="none" w:sz="0" w:space="0" w:color="auto"/>
        <w:left w:val="none" w:sz="0" w:space="0" w:color="auto"/>
        <w:bottom w:val="none" w:sz="0" w:space="0" w:color="auto"/>
        <w:right w:val="none" w:sz="0" w:space="0" w:color="auto"/>
      </w:divBdr>
    </w:div>
    <w:div w:id="1496648925">
      <w:bodyDiv w:val="1"/>
      <w:marLeft w:val="0"/>
      <w:marRight w:val="0"/>
      <w:marTop w:val="0"/>
      <w:marBottom w:val="0"/>
      <w:divBdr>
        <w:top w:val="none" w:sz="0" w:space="0" w:color="auto"/>
        <w:left w:val="none" w:sz="0" w:space="0" w:color="auto"/>
        <w:bottom w:val="none" w:sz="0" w:space="0" w:color="auto"/>
        <w:right w:val="none" w:sz="0" w:space="0" w:color="auto"/>
      </w:divBdr>
    </w:div>
    <w:div w:id="1499539332">
      <w:bodyDiv w:val="1"/>
      <w:marLeft w:val="0"/>
      <w:marRight w:val="0"/>
      <w:marTop w:val="0"/>
      <w:marBottom w:val="0"/>
      <w:divBdr>
        <w:top w:val="none" w:sz="0" w:space="0" w:color="auto"/>
        <w:left w:val="none" w:sz="0" w:space="0" w:color="auto"/>
        <w:bottom w:val="none" w:sz="0" w:space="0" w:color="auto"/>
        <w:right w:val="none" w:sz="0" w:space="0" w:color="auto"/>
      </w:divBdr>
    </w:div>
    <w:div w:id="1500462024">
      <w:bodyDiv w:val="1"/>
      <w:marLeft w:val="0"/>
      <w:marRight w:val="0"/>
      <w:marTop w:val="0"/>
      <w:marBottom w:val="0"/>
      <w:divBdr>
        <w:top w:val="none" w:sz="0" w:space="0" w:color="auto"/>
        <w:left w:val="none" w:sz="0" w:space="0" w:color="auto"/>
        <w:bottom w:val="none" w:sz="0" w:space="0" w:color="auto"/>
        <w:right w:val="none" w:sz="0" w:space="0" w:color="auto"/>
      </w:divBdr>
    </w:div>
    <w:div w:id="1509714821">
      <w:bodyDiv w:val="1"/>
      <w:marLeft w:val="0"/>
      <w:marRight w:val="0"/>
      <w:marTop w:val="0"/>
      <w:marBottom w:val="0"/>
      <w:divBdr>
        <w:top w:val="none" w:sz="0" w:space="0" w:color="auto"/>
        <w:left w:val="none" w:sz="0" w:space="0" w:color="auto"/>
        <w:bottom w:val="none" w:sz="0" w:space="0" w:color="auto"/>
        <w:right w:val="none" w:sz="0" w:space="0" w:color="auto"/>
      </w:divBdr>
    </w:div>
    <w:div w:id="1513881650">
      <w:bodyDiv w:val="1"/>
      <w:marLeft w:val="0"/>
      <w:marRight w:val="0"/>
      <w:marTop w:val="0"/>
      <w:marBottom w:val="0"/>
      <w:divBdr>
        <w:top w:val="none" w:sz="0" w:space="0" w:color="auto"/>
        <w:left w:val="none" w:sz="0" w:space="0" w:color="auto"/>
        <w:bottom w:val="none" w:sz="0" w:space="0" w:color="auto"/>
        <w:right w:val="none" w:sz="0" w:space="0" w:color="auto"/>
      </w:divBdr>
    </w:div>
    <w:div w:id="1516309273">
      <w:bodyDiv w:val="1"/>
      <w:marLeft w:val="0"/>
      <w:marRight w:val="0"/>
      <w:marTop w:val="0"/>
      <w:marBottom w:val="0"/>
      <w:divBdr>
        <w:top w:val="none" w:sz="0" w:space="0" w:color="auto"/>
        <w:left w:val="none" w:sz="0" w:space="0" w:color="auto"/>
        <w:bottom w:val="none" w:sz="0" w:space="0" w:color="auto"/>
        <w:right w:val="none" w:sz="0" w:space="0" w:color="auto"/>
      </w:divBdr>
    </w:div>
    <w:div w:id="1518811388">
      <w:bodyDiv w:val="1"/>
      <w:marLeft w:val="0"/>
      <w:marRight w:val="0"/>
      <w:marTop w:val="0"/>
      <w:marBottom w:val="0"/>
      <w:divBdr>
        <w:top w:val="none" w:sz="0" w:space="0" w:color="auto"/>
        <w:left w:val="none" w:sz="0" w:space="0" w:color="auto"/>
        <w:bottom w:val="none" w:sz="0" w:space="0" w:color="auto"/>
        <w:right w:val="none" w:sz="0" w:space="0" w:color="auto"/>
      </w:divBdr>
    </w:div>
    <w:div w:id="1521242663">
      <w:bodyDiv w:val="1"/>
      <w:marLeft w:val="0"/>
      <w:marRight w:val="0"/>
      <w:marTop w:val="0"/>
      <w:marBottom w:val="0"/>
      <w:divBdr>
        <w:top w:val="none" w:sz="0" w:space="0" w:color="auto"/>
        <w:left w:val="none" w:sz="0" w:space="0" w:color="auto"/>
        <w:bottom w:val="none" w:sz="0" w:space="0" w:color="auto"/>
        <w:right w:val="none" w:sz="0" w:space="0" w:color="auto"/>
      </w:divBdr>
    </w:div>
    <w:div w:id="1526408544">
      <w:bodyDiv w:val="1"/>
      <w:marLeft w:val="0"/>
      <w:marRight w:val="0"/>
      <w:marTop w:val="0"/>
      <w:marBottom w:val="0"/>
      <w:divBdr>
        <w:top w:val="none" w:sz="0" w:space="0" w:color="auto"/>
        <w:left w:val="none" w:sz="0" w:space="0" w:color="auto"/>
        <w:bottom w:val="none" w:sz="0" w:space="0" w:color="auto"/>
        <w:right w:val="none" w:sz="0" w:space="0" w:color="auto"/>
      </w:divBdr>
    </w:div>
    <w:div w:id="1528131724">
      <w:bodyDiv w:val="1"/>
      <w:marLeft w:val="0"/>
      <w:marRight w:val="0"/>
      <w:marTop w:val="0"/>
      <w:marBottom w:val="0"/>
      <w:divBdr>
        <w:top w:val="none" w:sz="0" w:space="0" w:color="auto"/>
        <w:left w:val="none" w:sz="0" w:space="0" w:color="auto"/>
        <w:bottom w:val="none" w:sz="0" w:space="0" w:color="auto"/>
        <w:right w:val="none" w:sz="0" w:space="0" w:color="auto"/>
      </w:divBdr>
    </w:div>
    <w:div w:id="1528444635">
      <w:bodyDiv w:val="1"/>
      <w:marLeft w:val="0"/>
      <w:marRight w:val="0"/>
      <w:marTop w:val="0"/>
      <w:marBottom w:val="0"/>
      <w:divBdr>
        <w:top w:val="none" w:sz="0" w:space="0" w:color="auto"/>
        <w:left w:val="none" w:sz="0" w:space="0" w:color="auto"/>
        <w:bottom w:val="none" w:sz="0" w:space="0" w:color="auto"/>
        <w:right w:val="none" w:sz="0" w:space="0" w:color="auto"/>
      </w:divBdr>
    </w:div>
    <w:div w:id="1528711118">
      <w:bodyDiv w:val="1"/>
      <w:marLeft w:val="0"/>
      <w:marRight w:val="0"/>
      <w:marTop w:val="0"/>
      <w:marBottom w:val="0"/>
      <w:divBdr>
        <w:top w:val="none" w:sz="0" w:space="0" w:color="auto"/>
        <w:left w:val="none" w:sz="0" w:space="0" w:color="auto"/>
        <w:bottom w:val="none" w:sz="0" w:space="0" w:color="auto"/>
        <w:right w:val="none" w:sz="0" w:space="0" w:color="auto"/>
      </w:divBdr>
    </w:div>
    <w:div w:id="1532566798">
      <w:bodyDiv w:val="1"/>
      <w:marLeft w:val="0"/>
      <w:marRight w:val="0"/>
      <w:marTop w:val="0"/>
      <w:marBottom w:val="0"/>
      <w:divBdr>
        <w:top w:val="none" w:sz="0" w:space="0" w:color="auto"/>
        <w:left w:val="none" w:sz="0" w:space="0" w:color="auto"/>
        <w:bottom w:val="none" w:sz="0" w:space="0" w:color="auto"/>
        <w:right w:val="none" w:sz="0" w:space="0" w:color="auto"/>
      </w:divBdr>
    </w:div>
    <w:div w:id="1533955720">
      <w:bodyDiv w:val="1"/>
      <w:marLeft w:val="0"/>
      <w:marRight w:val="0"/>
      <w:marTop w:val="0"/>
      <w:marBottom w:val="0"/>
      <w:divBdr>
        <w:top w:val="none" w:sz="0" w:space="0" w:color="auto"/>
        <w:left w:val="none" w:sz="0" w:space="0" w:color="auto"/>
        <w:bottom w:val="none" w:sz="0" w:space="0" w:color="auto"/>
        <w:right w:val="none" w:sz="0" w:space="0" w:color="auto"/>
      </w:divBdr>
    </w:div>
    <w:div w:id="1534996618">
      <w:bodyDiv w:val="1"/>
      <w:marLeft w:val="0"/>
      <w:marRight w:val="0"/>
      <w:marTop w:val="0"/>
      <w:marBottom w:val="0"/>
      <w:divBdr>
        <w:top w:val="none" w:sz="0" w:space="0" w:color="auto"/>
        <w:left w:val="none" w:sz="0" w:space="0" w:color="auto"/>
        <w:bottom w:val="none" w:sz="0" w:space="0" w:color="auto"/>
        <w:right w:val="none" w:sz="0" w:space="0" w:color="auto"/>
      </w:divBdr>
    </w:div>
    <w:div w:id="1535844294">
      <w:bodyDiv w:val="1"/>
      <w:marLeft w:val="0"/>
      <w:marRight w:val="0"/>
      <w:marTop w:val="0"/>
      <w:marBottom w:val="0"/>
      <w:divBdr>
        <w:top w:val="none" w:sz="0" w:space="0" w:color="auto"/>
        <w:left w:val="none" w:sz="0" w:space="0" w:color="auto"/>
        <w:bottom w:val="none" w:sz="0" w:space="0" w:color="auto"/>
        <w:right w:val="none" w:sz="0" w:space="0" w:color="auto"/>
      </w:divBdr>
    </w:div>
    <w:div w:id="1538620632">
      <w:bodyDiv w:val="1"/>
      <w:marLeft w:val="0"/>
      <w:marRight w:val="0"/>
      <w:marTop w:val="0"/>
      <w:marBottom w:val="0"/>
      <w:divBdr>
        <w:top w:val="none" w:sz="0" w:space="0" w:color="auto"/>
        <w:left w:val="none" w:sz="0" w:space="0" w:color="auto"/>
        <w:bottom w:val="none" w:sz="0" w:space="0" w:color="auto"/>
        <w:right w:val="none" w:sz="0" w:space="0" w:color="auto"/>
      </w:divBdr>
    </w:div>
    <w:div w:id="1538928325">
      <w:bodyDiv w:val="1"/>
      <w:marLeft w:val="0"/>
      <w:marRight w:val="0"/>
      <w:marTop w:val="0"/>
      <w:marBottom w:val="0"/>
      <w:divBdr>
        <w:top w:val="none" w:sz="0" w:space="0" w:color="auto"/>
        <w:left w:val="none" w:sz="0" w:space="0" w:color="auto"/>
        <w:bottom w:val="none" w:sz="0" w:space="0" w:color="auto"/>
        <w:right w:val="none" w:sz="0" w:space="0" w:color="auto"/>
      </w:divBdr>
    </w:div>
    <w:div w:id="1540118681">
      <w:bodyDiv w:val="1"/>
      <w:marLeft w:val="0"/>
      <w:marRight w:val="0"/>
      <w:marTop w:val="0"/>
      <w:marBottom w:val="0"/>
      <w:divBdr>
        <w:top w:val="none" w:sz="0" w:space="0" w:color="auto"/>
        <w:left w:val="none" w:sz="0" w:space="0" w:color="auto"/>
        <w:bottom w:val="none" w:sz="0" w:space="0" w:color="auto"/>
        <w:right w:val="none" w:sz="0" w:space="0" w:color="auto"/>
      </w:divBdr>
    </w:div>
    <w:div w:id="1540430673">
      <w:bodyDiv w:val="1"/>
      <w:marLeft w:val="0"/>
      <w:marRight w:val="0"/>
      <w:marTop w:val="0"/>
      <w:marBottom w:val="0"/>
      <w:divBdr>
        <w:top w:val="none" w:sz="0" w:space="0" w:color="auto"/>
        <w:left w:val="none" w:sz="0" w:space="0" w:color="auto"/>
        <w:bottom w:val="none" w:sz="0" w:space="0" w:color="auto"/>
        <w:right w:val="none" w:sz="0" w:space="0" w:color="auto"/>
      </w:divBdr>
    </w:div>
    <w:div w:id="1541748096">
      <w:bodyDiv w:val="1"/>
      <w:marLeft w:val="0"/>
      <w:marRight w:val="0"/>
      <w:marTop w:val="0"/>
      <w:marBottom w:val="0"/>
      <w:divBdr>
        <w:top w:val="none" w:sz="0" w:space="0" w:color="auto"/>
        <w:left w:val="none" w:sz="0" w:space="0" w:color="auto"/>
        <w:bottom w:val="none" w:sz="0" w:space="0" w:color="auto"/>
        <w:right w:val="none" w:sz="0" w:space="0" w:color="auto"/>
      </w:divBdr>
    </w:div>
    <w:div w:id="1543128212">
      <w:bodyDiv w:val="1"/>
      <w:marLeft w:val="0"/>
      <w:marRight w:val="0"/>
      <w:marTop w:val="0"/>
      <w:marBottom w:val="0"/>
      <w:divBdr>
        <w:top w:val="none" w:sz="0" w:space="0" w:color="auto"/>
        <w:left w:val="none" w:sz="0" w:space="0" w:color="auto"/>
        <w:bottom w:val="none" w:sz="0" w:space="0" w:color="auto"/>
        <w:right w:val="none" w:sz="0" w:space="0" w:color="auto"/>
      </w:divBdr>
    </w:div>
    <w:div w:id="1545367877">
      <w:bodyDiv w:val="1"/>
      <w:marLeft w:val="0"/>
      <w:marRight w:val="0"/>
      <w:marTop w:val="0"/>
      <w:marBottom w:val="0"/>
      <w:divBdr>
        <w:top w:val="none" w:sz="0" w:space="0" w:color="auto"/>
        <w:left w:val="none" w:sz="0" w:space="0" w:color="auto"/>
        <w:bottom w:val="none" w:sz="0" w:space="0" w:color="auto"/>
        <w:right w:val="none" w:sz="0" w:space="0" w:color="auto"/>
      </w:divBdr>
    </w:div>
    <w:div w:id="1546059870">
      <w:bodyDiv w:val="1"/>
      <w:marLeft w:val="0"/>
      <w:marRight w:val="0"/>
      <w:marTop w:val="0"/>
      <w:marBottom w:val="0"/>
      <w:divBdr>
        <w:top w:val="none" w:sz="0" w:space="0" w:color="auto"/>
        <w:left w:val="none" w:sz="0" w:space="0" w:color="auto"/>
        <w:bottom w:val="none" w:sz="0" w:space="0" w:color="auto"/>
        <w:right w:val="none" w:sz="0" w:space="0" w:color="auto"/>
      </w:divBdr>
    </w:div>
    <w:div w:id="1548104282">
      <w:bodyDiv w:val="1"/>
      <w:marLeft w:val="0"/>
      <w:marRight w:val="0"/>
      <w:marTop w:val="0"/>
      <w:marBottom w:val="0"/>
      <w:divBdr>
        <w:top w:val="none" w:sz="0" w:space="0" w:color="auto"/>
        <w:left w:val="none" w:sz="0" w:space="0" w:color="auto"/>
        <w:bottom w:val="none" w:sz="0" w:space="0" w:color="auto"/>
        <w:right w:val="none" w:sz="0" w:space="0" w:color="auto"/>
      </w:divBdr>
    </w:div>
    <w:div w:id="1550262710">
      <w:bodyDiv w:val="1"/>
      <w:marLeft w:val="0"/>
      <w:marRight w:val="0"/>
      <w:marTop w:val="0"/>
      <w:marBottom w:val="0"/>
      <w:divBdr>
        <w:top w:val="none" w:sz="0" w:space="0" w:color="auto"/>
        <w:left w:val="none" w:sz="0" w:space="0" w:color="auto"/>
        <w:bottom w:val="none" w:sz="0" w:space="0" w:color="auto"/>
        <w:right w:val="none" w:sz="0" w:space="0" w:color="auto"/>
      </w:divBdr>
    </w:div>
    <w:div w:id="1554148637">
      <w:bodyDiv w:val="1"/>
      <w:marLeft w:val="0"/>
      <w:marRight w:val="0"/>
      <w:marTop w:val="0"/>
      <w:marBottom w:val="0"/>
      <w:divBdr>
        <w:top w:val="none" w:sz="0" w:space="0" w:color="auto"/>
        <w:left w:val="none" w:sz="0" w:space="0" w:color="auto"/>
        <w:bottom w:val="none" w:sz="0" w:space="0" w:color="auto"/>
        <w:right w:val="none" w:sz="0" w:space="0" w:color="auto"/>
      </w:divBdr>
    </w:div>
    <w:div w:id="1554389081">
      <w:bodyDiv w:val="1"/>
      <w:marLeft w:val="0"/>
      <w:marRight w:val="0"/>
      <w:marTop w:val="0"/>
      <w:marBottom w:val="0"/>
      <w:divBdr>
        <w:top w:val="none" w:sz="0" w:space="0" w:color="auto"/>
        <w:left w:val="none" w:sz="0" w:space="0" w:color="auto"/>
        <w:bottom w:val="none" w:sz="0" w:space="0" w:color="auto"/>
        <w:right w:val="none" w:sz="0" w:space="0" w:color="auto"/>
      </w:divBdr>
    </w:div>
    <w:div w:id="1559127922">
      <w:bodyDiv w:val="1"/>
      <w:marLeft w:val="0"/>
      <w:marRight w:val="0"/>
      <w:marTop w:val="0"/>
      <w:marBottom w:val="0"/>
      <w:divBdr>
        <w:top w:val="none" w:sz="0" w:space="0" w:color="auto"/>
        <w:left w:val="none" w:sz="0" w:space="0" w:color="auto"/>
        <w:bottom w:val="none" w:sz="0" w:space="0" w:color="auto"/>
        <w:right w:val="none" w:sz="0" w:space="0" w:color="auto"/>
      </w:divBdr>
    </w:div>
    <w:div w:id="1559703137">
      <w:bodyDiv w:val="1"/>
      <w:marLeft w:val="0"/>
      <w:marRight w:val="0"/>
      <w:marTop w:val="0"/>
      <w:marBottom w:val="0"/>
      <w:divBdr>
        <w:top w:val="none" w:sz="0" w:space="0" w:color="auto"/>
        <w:left w:val="none" w:sz="0" w:space="0" w:color="auto"/>
        <w:bottom w:val="none" w:sz="0" w:space="0" w:color="auto"/>
        <w:right w:val="none" w:sz="0" w:space="0" w:color="auto"/>
      </w:divBdr>
    </w:div>
    <w:div w:id="1562401844">
      <w:bodyDiv w:val="1"/>
      <w:marLeft w:val="0"/>
      <w:marRight w:val="0"/>
      <w:marTop w:val="0"/>
      <w:marBottom w:val="0"/>
      <w:divBdr>
        <w:top w:val="none" w:sz="0" w:space="0" w:color="auto"/>
        <w:left w:val="none" w:sz="0" w:space="0" w:color="auto"/>
        <w:bottom w:val="none" w:sz="0" w:space="0" w:color="auto"/>
        <w:right w:val="none" w:sz="0" w:space="0" w:color="auto"/>
      </w:divBdr>
    </w:div>
    <w:div w:id="1563180324">
      <w:bodyDiv w:val="1"/>
      <w:marLeft w:val="0"/>
      <w:marRight w:val="0"/>
      <w:marTop w:val="0"/>
      <w:marBottom w:val="0"/>
      <w:divBdr>
        <w:top w:val="none" w:sz="0" w:space="0" w:color="auto"/>
        <w:left w:val="none" w:sz="0" w:space="0" w:color="auto"/>
        <w:bottom w:val="none" w:sz="0" w:space="0" w:color="auto"/>
        <w:right w:val="none" w:sz="0" w:space="0" w:color="auto"/>
      </w:divBdr>
    </w:div>
    <w:div w:id="1564681033">
      <w:bodyDiv w:val="1"/>
      <w:marLeft w:val="0"/>
      <w:marRight w:val="0"/>
      <w:marTop w:val="0"/>
      <w:marBottom w:val="0"/>
      <w:divBdr>
        <w:top w:val="none" w:sz="0" w:space="0" w:color="auto"/>
        <w:left w:val="none" w:sz="0" w:space="0" w:color="auto"/>
        <w:bottom w:val="none" w:sz="0" w:space="0" w:color="auto"/>
        <w:right w:val="none" w:sz="0" w:space="0" w:color="auto"/>
      </w:divBdr>
    </w:div>
    <w:div w:id="1567884453">
      <w:bodyDiv w:val="1"/>
      <w:marLeft w:val="0"/>
      <w:marRight w:val="0"/>
      <w:marTop w:val="0"/>
      <w:marBottom w:val="0"/>
      <w:divBdr>
        <w:top w:val="none" w:sz="0" w:space="0" w:color="auto"/>
        <w:left w:val="none" w:sz="0" w:space="0" w:color="auto"/>
        <w:bottom w:val="none" w:sz="0" w:space="0" w:color="auto"/>
        <w:right w:val="none" w:sz="0" w:space="0" w:color="auto"/>
      </w:divBdr>
    </w:div>
    <w:div w:id="1568565100">
      <w:bodyDiv w:val="1"/>
      <w:marLeft w:val="0"/>
      <w:marRight w:val="0"/>
      <w:marTop w:val="0"/>
      <w:marBottom w:val="0"/>
      <w:divBdr>
        <w:top w:val="none" w:sz="0" w:space="0" w:color="auto"/>
        <w:left w:val="none" w:sz="0" w:space="0" w:color="auto"/>
        <w:bottom w:val="none" w:sz="0" w:space="0" w:color="auto"/>
        <w:right w:val="none" w:sz="0" w:space="0" w:color="auto"/>
      </w:divBdr>
    </w:div>
    <w:div w:id="1569340024">
      <w:bodyDiv w:val="1"/>
      <w:marLeft w:val="0"/>
      <w:marRight w:val="0"/>
      <w:marTop w:val="0"/>
      <w:marBottom w:val="0"/>
      <w:divBdr>
        <w:top w:val="none" w:sz="0" w:space="0" w:color="auto"/>
        <w:left w:val="none" w:sz="0" w:space="0" w:color="auto"/>
        <w:bottom w:val="none" w:sz="0" w:space="0" w:color="auto"/>
        <w:right w:val="none" w:sz="0" w:space="0" w:color="auto"/>
      </w:divBdr>
    </w:div>
    <w:div w:id="1569725482">
      <w:bodyDiv w:val="1"/>
      <w:marLeft w:val="0"/>
      <w:marRight w:val="0"/>
      <w:marTop w:val="0"/>
      <w:marBottom w:val="0"/>
      <w:divBdr>
        <w:top w:val="none" w:sz="0" w:space="0" w:color="auto"/>
        <w:left w:val="none" w:sz="0" w:space="0" w:color="auto"/>
        <w:bottom w:val="none" w:sz="0" w:space="0" w:color="auto"/>
        <w:right w:val="none" w:sz="0" w:space="0" w:color="auto"/>
      </w:divBdr>
    </w:div>
    <w:div w:id="1571501939">
      <w:bodyDiv w:val="1"/>
      <w:marLeft w:val="0"/>
      <w:marRight w:val="0"/>
      <w:marTop w:val="0"/>
      <w:marBottom w:val="0"/>
      <w:divBdr>
        <w:top w:val="none" w:sz="0" w:space="0" w:color="auto"/>
        <w:left w:val="none" w:sz="0" w:space="0" w:color="auto"/>
        <w:bottom w:val="none" w:sz="0" w:space="0" w:color="auto"/>
        <w:right w:val="none" w:sz="0" w:space="0" w:color="auto"/>
      </w:divBdr>
    </w:div>
    <w:div w:id="1572616637">
      <w:bodyDiv w:val="1"/>
      <w:marLeft w:val="0"/>
      <w:marRight w:val="0"/>
      <w:marTop w:val="0"/>
      <w:marBottom w:val="0"/>
      <w:divBdr>
        <w:top w:val="none" w:sz="0" w:space="0" w:color="auto"/>
        <w:left w:val="none" w:sz="0" w:space="0" w:color="auto"/>
        <w:bottom w:val="none" w:sz="0" w:space="0" w:color="auto"/>
        <w:right w:val="none" w:sz="0" w:space="0" w:color="auto"/>
      </w:divBdr>
    </w:div>
    <w:div w:id="1573420617">
      <w:bodyDiv w:val="1"/>
      <w:marLeft w:val="0"/>
      <w:marRight w:val="0"/>
      <w:marTop w:val="0"/>
      <w:marBottom w:val="0"/>
      <w:divBdr>
        <w:top w:val="none" w:sz="0" w:space="0" w:color="auto"/>
        <w:left w:val="none" w:sz="0" w:space="0" w:color="auto"/>
        <w:bottom w:val="none" w:sz="0" w:space="0" w:color="auto"/>
        <w:right w:val="none" w:sz="0" w:space="0" w:color="auto"/>
      </w:divBdr>
    </w:div>
    <w:div w:id="1574001937">
      <w:bodyDiv w:val="1"/>
      <w:marLeft w:val="0"/>
      <w:marRight w:val="0"/>
      <w:marTop w:val="0"/>
      <w:marBottom w:val="0"/>
      <w:divBdr>
        <w:top w:val="none" w:sz="0" w:space="0" w:color="auto"/>
        <w:left w:val="none" w:sz="0" w:space="0" w:color="auto"/>
        <w:bottom w:val="none" w:sz="0" w:space="0" w:color="auto"/>
        <w:right w:val="none" w:sz="0" w:space="0" w:color="auto"/>
      </w:divBdr>
    </w:div>
    <w:div w:id="1574385791">
      <w:bodyDiv w:val="1"/>
      <w:marLeft w:val="0"/>
      <w:marRight w:val="0"/>
      <w:marTop w:val="0"/>
      <w:marBottom w:val="0"/>
      <w:divBdr>
        <w:top w:val="none" w:sz="0" w:space="0" w:color="auto"/>
        <w:left w:val="none" w:sz="0" w:space="0" w:color="auto"/>
        <w:bottom w:val="none" w:sz="0" w:space="0" w:color="auto"/>
        <w:right w:val="none" w:sz="0" w:space="0" w:color="auto"/>
      </w:divBdr>
    </w:div>
    <w:div w:id="1575506114">
      <w:bodyDiv w:val="1"/>
      <w:marLeft w:val="0"/>
      <w:marRight w:val="0"/>
      <w:marTop w:val="0"/>
      <w:marBottom w:val="0"/>
      <w:divBdr>
        <w:top w:val="none" w:sz="0" w:space="0" w:color="auto"/>
        <w:left w:val="none" w:sz="0" w:space="0" w:color="auto"/>
        <w:bottom w:val="none" w:sz="0" w:space="0" w:color="auto"/>
        <w:right w:val="none" w:sz="0" w:space="0" w:color="auto"/>
      </w:divBdr>
    </w:div>
    <w:div w:id="1577786692">
      <w:bodyDiv w:val="1"/>
      <w:marLeft w:val="0"/>
      <w:marRight w:val="0"/>
      <w:marTop w:val="0"/>
      <w:marBottom w:val="0"/>
      <w:divBdr>
        <w:top w:val="none" w:sz="0" w:space="0" w:color="auto"/>
        <w:left w:val="none" w:sz="0" w:space="0" w:color="auto"/>
        <w:bottom w:val="none" w:sz="0" w:space="0" w:color="auto"/>
        <w:right w:val="none" w:sz="0" w:space="0" w:color="auto"/>
      </w:divBdr>
    </w:div>
    <w:div w:id="1578322475">
      <w:bodyDiv w:val="1"/>
      <w:marLeft w:val="0"/>
      <w:marRight w:val="0"/>
      <w:marTop w:val="0"/>
      <w:marBottom w:val="0"/>
      <w:divBdr>
        <w:top w:val="none" w:sz="0" w:space="0" w:color="auto"/>
        <w:left w:val="none" w:sz="0" w:space="0" w:color="auto"/>
        <w:bottom w:val="none" w:sz="0" w:space="0" w:color="auto"/>
        <w:right w:val="none" w:sz="0" w:space="0" w:color="auto"/>
      </w:divBdr>
    </w:div>
    <w:div w:id="1578858799">
      <w:bodyDiv w:val="1"/>
      <w:marLeft w:val="0"/>
      <w:marRight w:val="0"/>
      <w:marTop w:val="0"/>
      <w:marBottom w:val="0"/>
      <w:divBdr>
        <w:top w:val="none" w:sz="0" w:space="0" w:color="auto"/>
        <w:left w:val="none" w:sz="0" w:space="0" w:color="auto"/>
        <w:bottom w:val="none" w:sz="0" w:space="0" w:color="auto"/>
        <w:right w:val="none" w:sz="0" w:space="0" w:color="auto"/>
      </w:divBdr>
    </w:div>
    <w:div w:id="1579900652">
      <w:bodyDiv w:val="1"/>
      <w:marLeft w:val="0"/>
      <w:marRight w:val="0"/>
      <w:marTop w:val="0"/>
      <w:marBottom w:val="0"/>
      <w:divBdr>
        <w:top w:val="none" w:sz="0" w:space="0" w:color="auto"/>
        <w:left w:val="none" w:sz="0" w:space="0" w:color="auto"/>
        <w:bottom w:val="none" w:sz="0" w:space="0" w:color="auto"/>
        <w:right w:val="none" w:sz="0" w:space="0" w:color="auto"/>
      </w:divBdr>
    </w:div>
    <w:div w:id="1580749231">
      <w:bodyDiv w:val="1"/>
      <w:marLeft w:val="0"/>
      <w:marRight w:val="0"/>
      <w:marTop w:val="0"/>
      <w:marBottom w:val="0"/>
      <w:divBdr>
        <w:top w:val="none" w:sz="0" w:space="0" w:color="auto"/>
        <w:left w:val="none" w:sz="0" w:space="0" w:color="auto"/>
        <w:bottom w:val="none" w:sz="0" w:space="0" w:color="auto"/>
        <w:right w:val="none" w:sz="0" w:space="0" w:color="auto"/>
      </w:divBdr>
    </w:div>
    <w:div w:id="1581985614">
      <w:bodyDiv w:val="1"/>
      <w:marLeft w:val="0"/>
      <w:marRight w:val="0"/>
      <w:marTop w:val="0"/>
      <w:marBottom w:val="0"/>
      <w:divBdr>
        <w:top w:val="none" w:sz="0" w:space="0" w:color="auto"/>
        <w:left w:val="none" w:sz="0" w:space="0" w:color="auto"/>
        <w:bottom w:val="none" w:sz="0" w:space="0" w:color="auto"/>
        <w:right w:val="none" w:sz="0" w:space="0" w:color="auto"/>
      </w:divBdr>
    </w:div>
    <w:div w:id="1585146517">
      <w:bodyDiv w:val="1"/>
      <w:marLeft w:val="0"/>
      <w:marRight w:val="0"/>
      <w:marTop w:val="0"/>
      <w:marBottom w:val="0"/>
      <w:divBdr>
        <w:top w:val="none" w:sz="0" w:space="0" w:color="auto"/>
        <w:left w:val="none" w:sz="0" w:space="0" w:color="auto"/>
        <w:bottom w:val="none" w:sz="0" w:space="0" w:color="auto"/>
        <w:right w:val="none" w:sz="0" w:space="0" w:color="auto"/>
      </w:divBdr>
    </w:div>
    <w:div w:id="1586106324">
      <w:bodyDiv w:val="1"/>
      <w:marLeft w:val="0"/>
      <w:marRight w:val="0"/>
      <w:marTop w:val="0"/>
      <w:marBottom w:val="0"/>
      <w:divBdr>
        <w:top w:val="none" w:sz="0" w:space="0" w:color="auto"/>
        <w:left w:val="none" w:sz="0" w:space="0" w:color="auto"/>
        <w:bottom w:val="none" w:sz="0" w:space="0" w:color="auto"/>
        <w:right w:val="none" w:sz="0" w:space="0" w:color="auto"/>
      </w:divBdr>
    </w:div>
    <w:div w:id="1587229162">
      <w:bodyDiv w:val="1"/>
      <w:marLeft w:val="0"/>
      <w:marRight w:val="0"/>
      <w:marTop w:val="0"/>
      <w:marBottom w:val="0"/>
      <w:divBdr>
        <w:top w:val="none" w:sz="0" w:space="0" w:color="auto"/>
        <w:left w:val="none" w:sz="0" w:space="0" w:color="auto"/>
        <w:bottom w:val="none" w:sz="0" w:space="0" w:color="auto"/>
        <w:right w:val="none" w:sz="0" w:space="0" w:color="auto"/>
      </w:divBdr>
    </w:div>
    <w:div w:id="1592616106">
      <w:bodyDiv w:val="1"/>
      <w:marLeft w:val="0"/>
      <w:marRight w:val="0"/>
      <w:marTop w:val="0"/>
      <w:marBottom w:val="0"/>
      <w:divBdr>
        <w:top w:val="none" w:sz="0" w:space="0" w:color="auto"/>
        <w:left w:val="none" w:sz="0" w:space="0" w:color="auto"/>
        <w:bottom w:val="none" w:sz="0" w:space="0" w:color="auto"/>
        <w:right w:val="none" w:sz="0" w:space="0" w:color="auto"/>
      </w:divBdr>
    </w:div>
    <w:div w:id="1595674881">
      <w:bodyDiv w:val="1"/>
      <w:marLeft w:val="0"/>
      <w:marRight w:val="0"/>
      <w:marTop w:val="0"/>
      <w:marBottom w:val="0"/>
      <w:divBdr>
        <w:top w:val="none" w:sz="0" w:space="0" w:color="auto"/>
        <w:left w:val="none" w:sz="0" w:space="0" w:color="auto"/>
        <w:bottom w:val="none" w:sz="0" w:space="0" w:color="auto"/>
        <w:right w:val="none" w:sz="0" w:space="0" w:color="auto"/>
      </w:divBdr>
    </w:div>
    <w:div w:id="1595935377">
      <w:bodyDiv w:val="1"/>
      <w:marLeft w:val="0"/>
      <w:marRight w:val="0"/>
      <w:marTop w:val="0"/>
      <w:marBottom w:val="0"/>
      <w:divBdr>
        <w:top w:val="none" w:sz="0" w:space="0" w:color="auto"/>
        <w:left w:val="none" w:sz="0" w:space="0" w:color="auto"/>
        <w:bottom w:val="none" w:sz="0" w:space="0" w:color="auto"/>
        <w:right w:val="none" w:sz="0" w:space="0" w:color="auto"/>
      </w:divBdr>
    </w:div>
    <w:div w:id="1598975298">
      <w:bodyDiv w:val="1"/>
      <w:marLeft w:val="0"/>
      <w:marRight w:val="0"/>
      <w:marTop w:val="0"/>
      <w:marBottom w:val="0"/>
      <w:divBdr>
        <w:top w:val="none" w:sz="0" w:space="0" w:color="auto"/>
        <w:left w:val="none" w:sz="0" w:space="0" w:color="auto"/>
        <w:bottom w:val="none" w:sz="0" w:space="0" w:color="auto"/>
        <w:right w:val="none" w:sz="0" w:space="0" w:color="auto"/>
      </w:divBdr>
    </w:div>
    <w:div w:id="1601834534">
      <w:bodyDiv w:val="1"/>
      <w:marLeft w:val="0"/>
      <w:marRight w:val="0"/>
      <w:marTop w:val="0"/>
      <w:marBottom w:val="0"/>
      <w:divBdr>
        <w:top w:val="none" w:sz="0" w:space="0" w:color="auto"/>
        <w:left w:val="none" w:sz="0" w:space="0" w:color="auto"/>
        <w:bottom w:val="none" w:sz="0" w:space="0" w:color="auto"/>
        <w:right w:val="none" w:sz="0" w:space="0" w:color="auto"/>
      </w:divBdr>
    </w:div>
    <w:div w:id="1605116654">
      <w:bodyDiv w:val="1"/>
      <w:marLeft w:val="0"/>
      <w:marRight w:val="0"/>
      <w:marTop w:val="0"/>
      <w:marBottom w:val="0"/>
      <w:divBdr>
        <w:top w:val="none" w:sz="0" w:space="0" w:color="auto"/>
        <w:left w:val="none" w:sz="0" w:space="0" w:color="auto"/>
        <w:bottom w:val="none" w:sz="0" w:space="0" w:color="auto"/>
        <w:right w:val="none" w:sz="0" w:space="0" w:color="auto"/>
      </w:divBdr>
    </w:div>
    <w:div w:id="1607036796">
      <w:bodyDiv w:val="1"/>
      <w:marLeft w:val="0"/>
      <w:marRight w:val="0"/>
      <w:marTop w:val="0"/>
      <w:marBottom w:val="0"/>
      <w:divBdr>
        <w:top w:val="none" w:sz="0" w:space="0" w:color="auto"/>
        <w:left w:val="none" w:sz="0" w:space="0" w:color="auto"/>
        <w:bottom w:val="none" w:sz="0" w:space="0" w:color="auto"/>
        <w:right w:val="none" w:sz="0" w:space="0" w:color="auto"/>
      </w:divBdr>
    </w:div>
    <w:div w:id="1613779702">
      <w:bodyDiv w:val="1"/>
      <w:marLeft w:val="0"/>
      <w:marRight w:val="0"/>
      <w:marTop w:val="0"/>
      <w:marBottom w:val="0"/>
      <w:divBdr>
        <w:top w:val="none" w:sz="0" w:space="0" w:color="auto"/>
        <w:left w:val="none" w:sz="0" w:space="0" w:color="auto"/>
        <w:bottom w:val="none" w:sz="0" w:space="0" w:color="auto"/>
        <w:right w:val="none" w:sz="0" w:space="0" w:color="auto"/>
      </w:divBdr>
    </w:div>
    <w:div w:id="1614357357">
      <w:bodyDiv w:val="1"/>
      <w:marLeft w:val="0"/>
      <w:marRight w:val="0"/>
      <w:marTop w:val="0"/>
      <w:marBottom w:val="0"/>
      <w:divBdr>
        <w:top w:val="none" w:sz="0" w:space="0" w:color="auto"/>
        <w:left w:val="none" w:sz="0" w:space="0" w:color="auto"/>
        <w:bottom w:val="none" w:sz="0" w:space="0" w:color="auto"/>
        <w:right w:val="none" w:sz="0" w:space="0" w:color="auto"/>
      </w:divBdr>
    </w:div>
    <w:div w:id="1614557273">
      <w:bodyDiv w:val="1"/>
      <w:marLeft w:val="0"/>
      <w:marRight w:val="0"/>
      <w:marTop w:val="0"/>
      <w:marBottom w:val="0"/>
      <w:divBdr>
        <w:top w:val="none" w:sz="0" w:space="0" w:color="auto"/>
        <w:left w:val="none" w:sz="0" w:space="0" w:color="auto"/>
        <w:bottom w:val="none" w:sz="0" w:space="0" w:color="auto"/>
        <w:right w:val="none" w:sz="0" w:space="0" w:color="auto"/>
      </w:divBdr>
    </w:div>
    <w:div w:id="1618371894">
      <w:bodyDiv w:val="1"/>
      <w:marLeft w:val="0"/>
      <w:marRight w:val="0"/>
      <w:marTop w:val="0"/>
      <w:marBottom w:val="0"/>
      <w:divBdr>
        <w:top w:val="none" w:sz="0" w:space="0" w:color="auto"/>
        <w:left w:val="none" w:sz="0" w:space="0" w:color="auto"/>
        <w:bottom w:val="none" w:sz="0" w:space="0" w:color="auto"/>
        <w:right w:val="none" w:sz="0" w:space="0" w:color="auto"/>
      </w:divBdr>
    </w:div>
    <w:div w:id="1620456970">
      <w:bodyDiv w:val="1"/>
      <w:marLeft w:val="0"/>
      <w:marRight w:val="0"/>
      <w:marTop w:val="0"/>
      <w:marBottom w:val="0"/>
      <w:divBdr>
        <w:top w:val="none" w:sz="0" w:space="0" w:color="auto"/>
        <w:left w:val="none" w:sz="0" w:space="0" w:color="auto"/>
        <w:bottom w:val="none" w:sz="0" w:space="0" w:color="auto"/>
        <w:right w:val="none" w:sz="0" w:space="0" w:color="auto"/>
      </w:divBdr>
    </w:div>
    <w:div w:id="1620644829">
      <w:bodyDiv w:val="1"/>
      <w:marLeft w:val="0"/>
      <w:marRight w:val="0"/>
      <w:marTop w:val="0"/>
      <w:marBottom w:val="0"/>
      <w:divBdr>
        <w:top w:val="none" w:sz="0" w:space="0" w:color="auto"/>
        <w:left w:val="none" w:sz="0" w:space="0" w:color="auto"/>
        <w:bottom w:val="none" w:sz="0" w:space="0" w:color="auto"/>
        <w:right w:val="none" w:sz="0" w:space="0" w:color="auto"/>
      </w:divBdr>
    </w:div>
    <w:div w:id="1622417773">
      <w:bodyDiv w:val="1"/>
      <w:marLeft w:val="0"/>
      <w:marRight w:val="0"/>
      <w:marTop w:val="0"/>
      <w:marBottom w:val="0"/>
      <w:divBdr>
        <w:top w:val="none" w:sz="0" w:space="0" w:color="auto"/>
        <w:left w:val="none" w:sz="0" w:space="0" w:color="auto"/>
        <w:bottom w:val="none" w:sz="0" w:space="0" w:color="auto"/>
        <w:right w:val="none" w:sz="0" w:space="0" w:color="auto"/>
      </w:divBdr>
    </w:div>
    <w:div w:id="1623540268">
      <w:bodyDiv w:val="1"/>
      <w:marLeft w:val="0"/>
      <w:marRight w:val="0"/>
      <w:marTop w:val="0"/>
      <w:marBottom w:val="0"/>
      <w:divBdr>
        <w:top w:val="none" w:sz="0" w:space="0" w:color="auto"/>
        <w:left w:val="none" w:sz="0" w:space="0" w:color="auto"/>
        <w:bottom w:val="none" w:sz="0" w:space="0" w:color="auto"/>
        <w:right w:val="none" w:sz="0" w:space="0" w:color="auto"/>
      </w:divBdr>
    </w:div>
    <w:div w:id="1624654279">
      <w:bodyDiv w:val="1"/>
      <w:marLeft w:val="0"/>
      <w:marRight w:val="0"/>
      <w:marTop w:val="0"/>
      <w:marBottom w:val="0"/>
      <w:divBdr>
        <w:top w:val="none" w:sz="0" w:space="0" w:color="auto"/>
        <w:left w:val="none" w:sz="0" w:space="0" w:color="auto"/>
        <w:bottom w:val="none" w:sz="0" w:space="0" w:color="auto"/>
        <w:right w:val="none" w:sz="0" w:space="0" w:color="auto"/>
      </w:divBdr>
    </w:div>
    <w:div w:id="1624918398">
      <w:bodyDiv w:val="1"/>
      <w:marLeft w:val="0"/>
      <w:marRight w:val="0"/>
      <w:marTop w:val="0"/>
      <w:marBottom w:val="0"/>
      <w:divBdr>
        <w:top w:val="none" w:sz="0" w:space="0" w:color="auto"/>
        <w:left w:val="none" w:sz="0" w:space="0" w:color="auto"/>
        <w:bottom w:val="none" w:sz="0" w:space="0" w:color="auto"/>
        <w:right w:val="none" w:sz="0" w:space="0" w:color="auto"/>
      </w:divBdr>
    </w:div>
    <w:div w:id="1626884942">
      <w:bodyDiv w:val="1"/>
      <w:marLeft w:val="0"/>
      <w:marRight w:val="0"/>
      <w:marTop w:val="0"/>
      <w:marBottom w:val="0"/>
      <w:divBdr>
        <w:top w:val="none" w:sz="0" w:space="0" w:color="auto"/>
        <w:left w:val="none" w:sz="0" w:space="0" w:color="auto"/>
        <w:bottom w:val="none" w:sz="0" w:space="0" w:color="auto"/>
        <w:right w:val="none" w:sz="0" w:space="0" w:color="auto"/>
      </w:divBdr>
    </w:div>
    <w:div w:id="1630092845">
      <w:bodyDiv w:val="1"/>
      <w:marLeft w:val="0"/>
      <w:marRight w:val="0"/>
      <w:marTop w:val="0"/>
      <w:marBottom w:val="0"/>
      <w:divBdr>
        <w:top w:val="none" w:sz="0" w:space="0" w:color="auto"/>
        <w:left w:val="none" w:sz="0" w:space="0" w:color="auto"/>
        <w:bottom w:val="none" w:sz="0" w:space="0" w:color="auto"/>
        <w:right w:val="none" w:sz="0" w:space="0" w:color="auto"/>
      </w:divBdr>
    </w:div>
    <w:div w:id="1630668502">
      <w:bodyDiv w:val="1"/>
      <w:marLeft w:val="0"/>
      <w:marRight w:val="0"/>
      <w:marTop w:val="0"/>
      <w:marBottom w:val="0"/>
      <w:divBdr>
        <w:top w:val="none" w:sz="0" w:space="0" w:color="auto"/>
        <w:left w:val="none" w:sz="0" w:space="0" w:color="auto"/>
        <w:bottom w:val="none" w:sz="0" w:space="0" w:color="auto"/>
        <w:right w:val="none" w:sz="0" w:space="0" w:color="auto"/>
      </w:divBdr>
    </w:div>
    <w:div w:id="1638492518">
      <w:bodyDiv w:val="1"/>
      <w:marLeft w:val="0"/>
      <w:marRight w:val="0"/>
      <w:marTop w:val="0"/>
      <w:marBottom w:val="0"/>
      <w:divBdr>
        <w:top w:val="none" w:sz="0" w:space="0" w:color="auto"/>
        <w:left w:val="none" w:sz="0" w:space="0" w:color="auto"/>
        <w:bottom w:val="none" w:sz="0" w:space="0" w:color="auto"/>
        <w:right w:val="none" w:sz="0" w:space="0" w:color="auto"/>
      </w:divBdr>
    </w:div>
    <w:div w:id="1642928677">
      <w:bodyDiv w:val="1"/>
      <w:marLeft w:val="0"/>
      <w:marRight w:val="0"/>
      <w:marTop w:val="0"/>
      <w:marBottom w:val="0"/>
      <w:divBdr>
        <w:top w:val="none" w:sz="0" w:space="0" w:color="auto"/>
        <w:left w:val="none" w:sz="0" w:space="0" w:color="auto"/>
        <w:bottom w:val="none" w:sz="0" w:space="0" w:color="auto"/>
        <w:right w:val="none" w:sz="0" w:space="0" w:color="auto"/>
      </w:divBdr>
    </w:div>
    <w:div w:id="1644385217">
      <w:bodyDiv w:val="1"/>
      <w:marLeft w:val="0"/>
      <w:marRight w:val="0"/>
      <w:marTop w:val="0"/>
      <w:marBottom w:val="0"/>
      <w:divBdr>
        <w:top w:val="none" w:sz="0" w:space="0" w:color="auto"/>
        <w:left w:val="none" w:sz="0" w:space="0" w:color="auto"/>
        <w:bottom w:val="none" w:sz="0" w:space="0" w:color="auto"/>
        <w:right w:val="none" w:sz="0" w:space="0" w:color="auto"/>
      </w:divBdr>
    </w:div>
    <w:div w:id="1644702110">
      <w:bodyDiv w:val="1"/>
      <w:marLeft w:val="0"/>
      <w:marRight w:val="0"/>
      <w:marTop w:val="0"/>
      <w:marBottom w:val="0"/>
      <w:divBdr>
        <w:top w:val="none" w:sz="0" w:space="0" w:color="auto"/>
        <w:left w:val="none" w:sz="0" w:space="0" w:color="auto"/>
        <w:bottom w:val="none" w:sz="0" w:space="0" w:color="auto"/>
        <w:right w:val="none" w:sz="0" w:space="0" w:color="auto"/>
      </w:divBdr>
    </w:div>
    <w:div w:id="1645574508">
      <w:bodyDiv w:val="1"/>
      <w:marLeft w:val="0"/>
      <w:marRight w:val="0"/>
      <w:marTop w:val="0"/>
      <w:marBottom w:val="0"/>
      <w:divBdr>
        <w:top w:val="none" w:sz="0" w:space="0" w:color="auto"/>
        <w:left w:val="none" w:sz="0" w:space="0" w:color="auto"/>
        <w:bottom w:val="none" w:sz="0" w:space="0" w:color="auto"/>
        <w:right w:val="none" w:sz="0" w:space="0" w:color="auto"/>
      </w:divBdr>
    </w:div>
    <w:div w:id="1646932545">
      <w:bodyDiv w:val="1"/>
      <w:marLeft w:val="0"/>
      <w:marRight w:val="0"/>
      <w:marTop w:val="0"/>
      <w:marBottom w:val="0"/>
      <w:divBdr>
        <w:top w:val="none" w:sz="0" w:space="0" w:color="auto"/>
        <w:left w:val="none" w:sz="0" w:space="0" w:color="auto"/>
        <w:bottom w:val="none" w:sz="0" w:space="0" w:color="auto"/>
        <w:right w:val="none" w:sz="0" w:space="0" w:color="auto"/>
      </w:divBdr>
    </w:div>
    <w:div w:id="1648583204">
      <w:bodyDiv w:val="1"/>
      <w:marLeft w:val="0"/>
      <w:marRight w:val="0"/>
      <w:marTop w:val="0"/>
      <w:marBottom w:val="0"/>
      <w:divBdr>
        <w:top w:val="none" w:sz="0" w:space="0" w:color="auto"/>
        <w:left w:val="none" w:sz="0" w:space="0" w:color="auto"/>
        <w:bottom w:val="none" w:sz="0" w:space="0" w:color="auto"/>
        <w:right w:val="none" w:sz="0" w:space="0" w:color="auto"/>
      </w:divBdr>
    </w:div>
    <w:div w:id="1648893302">
      <w:bodyDiv w:val="1"/>
      <w:marLeft w:val="0"/>
      <w:marRight w:val="0"/>
      <w:marTop w:val="0"/>
      <w:marBottom w:val="0"/>
      <w:divBdr>
        <w:top w:val="none" w:sz="0" w:space="0" w:color="auto"/>
        <w:left w:val="none" w:sz="0" w:space="0" w:color="auto"/>
        <w:bottom w:val="none" w:sz="0" w:space="0" w:color="auto"/>
        <w:right w:val="none" w:sz="0" w:space="0" w:color="auto"/>
      </w:divBdr>
    </w:div>
    <w:div w:id="1649092570">
      <w:bodyDiv w:val="1"/>
      <w:marLeft w:val="0"/>
      <w:marRight w:val="0"/>
      <w:marTop w:val="0"/>
      <w:marBottom w:val="0"/>
      <w:divBdr>
        <w:top w:val="none" w:sz="0" w:space="0" w:color="auto"/>
        <w:left w:val="none" w:sz="0" w:space="0" w:color="auto"/>
        <w:bottom w:val="none" w:sz="0" w:space="0" w:color="auto"/>
        <w:right w:val="none" w:sz="0" w:space="0" w:color="auto"/>
      </w:divBdr>
    </w:div>
    <w:div w:id="1650480974">
      <w:bodyDiv w:val="1"/>
      <w:marLeft w:val="0"/>
      <w:marRight w:val="0"/>
      <w:marTop w:val="0"/>
      <w:marBottom w:val="0"/>
      <w:divBdr>
        <w:top w:val="none" w:sz="0" w:space="0" w:color="auto"/>
        <w:left w:val="none" w:sz="0" w:space="0" w:color="auto"/>
        <w:bottom w:val="none" w:sz="0" w:space="0" w:color="auto"/>
        <w:right w:val="none" w:sz="0" w:space="0" w:color="auto"/>
      </w:divBdr>
    </w:div>
    <w:div w:id="1650936364">
      <w:bodyDiv w:val="1"/>
      <w:marLeft w:val="0"/>
      <w:marRight w:val="0"/>
      <w:marTop w:val="0"/>
      <w:marBottom w:val="0"/>
      <w:divBdr>
        <w:top w:val="none" w:sz="0" w:space="0" w:color="auto"/>
        <w:left w:val="none" w:sz="0" w:space="0" w:color="auto"/>
        <w:bottom w:val="none" w:sz="0" w:space="0" w:color="auto"/>
        <w:right w:val="none" w:sz="0" w:space="0" w:color="auto"/>
      </w:divBdr>
    </w:div>
    <w:div w:id="1651444255">
      <w:bodyDiv w:val="1"/>
      <w:marLeft w:val="0"/>
      <w:marRight w:val="0"/>
      <w:marTop w:val="0"/>
      <w:marBottom w:val="0"/>
      <w:divBdr>
        <w:top w:val="none" w:sz="0" w:space="0" w:color="auto"/>
        <w:left w:val="none" w:sz="0" w:space="0" w:color="auto"/>
        <w:bottom w:val="none" w:sz="0" w:space="0" w:color="auto"/>
        <w:right w:val="none" w:sz="0" w:space="0" w:color="auto"/>
      </w:divBdr>
    </w:div>
    <w:div w:id="1652252523">
      <w:bodyDiv w:val="1"/>
      <w:marLeft w:val="0"/>
      <w:marRight w:val="0"/>
      <w:marTop w:val="0"/>
      <w:marBottom w:val="0"/>
      <w:divBdr>
        <w:top w:val="none" w:sz="0" w:space="0" w:color="auto"/>
        <w:left w:val="none" w:sz="0" w:space="0" w:color="auto"/>
        <w:bottom w:val="none" w:sz="0" w:space="0" w:color="auto"/>
        <w:right w:val="none" w:sz="0" w:space="0" w:color="auto"/>
      </w:divBdr>
    </w:div>
    <w:div w:id="1653630941">
      <w:bodyDiv w:val="1"/>
      <w:marLeft w:val="0"/>
      <w:marRight w:val="0"/>
      <w:marTop w:val="0"/>
      <w:marBottom w:val="0"/>
      <w:divBdr>
        <w:top w:val="none" w:sz="0" w:space="0" w:color="auto"/>
        <w:left w:val="none" w:sz="0" w:space="0" w:color="auto"/>
        <w:bottom w:val="none" w:sz="0" w:space="0" w:color="auto"/>
        <w:right w:val="none" w:sz="0" w:space="0" w:color="auto"/>
      </w:divBdr>
    </w:div>
    <w:div w:id="1653676396">
      <w:bodyDiv w:val="1"/>
      <w:marLeft w:val="0"/>
      <w:marRight w:val="0"/>
      <w:marTop w:val="0"/>
      <w:marBottom w:val="0"/>
      <w:divBdr>
        <w:top w:val="none" w:sz="0" w:space="0" w:color="auto"/>
        <w:left w:val="none" w:sz="0" w:space="0" w:color="auto"/>
        <w:bottom w:val="none" w:sz="0" w:space="0" w:color="auto"/>
        <w:right w:val="none" w:sz="0" w:space="0" w:color="auto"/>
      </w:divBdr>
    </w:div>
    <w:div w:id="1654485148">
      <w:bodyDiv w:val="1"/>
      <w:marLeft w:val="0"/>
      <w:marRight w:val="0"/>
      <w:marTop w:val="0"/>
      <w:marBottom w:val="0"/>
      <w:divBdr>
        <w:top w:val="none" w:sz="0" w:space="0" w:color="auto"/>
        <w:left w:val="none" w:sz="0" w:space="0" w:color="auto"/>
        <w:bottom w:val="none" w:sz="0" w:space="0" w:color="auto"/>
        <w:right w:val="none" w:sz="0" w:space="0" w:color="auto"/>
      </w:divBdr>
    </w:div>
    <w:div w:id="1656451267">
      <w:bodyDiv w:val="1"/>
      <w:marLeft w:val="0"/>
      <w:marRight w:val="0"/>
      <w:marTop w:val="0"/>
      <w:marBottom w:val="0"/>
      <w:divBdr>
        <w:top w:val="none" w:sz="0" w:space="0" w:color="auto"/>
        <w:left w:val="none" w:sz="0" w:space="0" w:color="auto"/>
        <w:bottom w:val="none" w:sz="0" w:space="0" w:color="auto"/>
        <w:right w:val="none" w:sz="0" w:space="0" w:color="auto"/>
      </w:divBdr>
    </w:div>
    <w:div w:id="1657537749">
      <w:bodyDiv w:val="1"/>
      <w:marLeft w:val="0"/>
      <w:marRight w:val="0"/>
      <w:marTop w:val="0"/>
      <w:marBottom w:val="0"/>
      <w:divBdr>
        <w:top w:val="none" w:sz="0" w:space="0" w:color="auto"/>
        <w:left w:val="none" w:sz="0" w:space="0" w:color="auto"/>
        <w:bottom w:val="none" w:sz="0" w:space="0" w:color="auto"/>
        <w:right w:val="none" w:sz="0" w:space="0" w:color="auto"/>
      </w:divBdr>
    </w:div>
    <w:div w:id="1657537894">
      <w:bodyDiv w:val="1"/>
      <w:marLeft w:val="0"/>
      <w:marRight w:val="0"/>
      <w:marTop w:val="0"/>
      <w:marBottom w:val="0"/>
      <w:divBdr>
        <w:top w:val="none" w:sz="0" w:space="0" w:color="auto"/>
        <w:left w:val="none" w:sz="0" w:space="0" w:color="auto"/>
        <w:bottom w:val="none" w:sz="0" w:space="0" w:color="auto"/>
        <w:right w:val="none" w:sz="0" w:space="0" w:color="auto"/>
      </w:divBdr>
    </w:div>
    <w:div w:id="1658458991">
      <w:bodyDiv w:val="1"/>
      <w:marLeft w:val="0"/>
      <w:marRight w:val="0"/>
      <w:marTop w:val="0"/>
      <w:marBottom w:val="0"/>
      <w:divBdr>
        <w:top w:val="none" w:sz="0" w:space="0" w:color="auto"/>
        <w:left w:val="none" w:sz="0" w:space="0" w:color="auto"/>
        <w:bottom w:val="none" w:sz="0" w:space="0" w:color="auto"/>
        <w:right w:val="none" w:sz="0" w:space="0" w:color="auto"/>
      </w:divBdr>
    </w:div>
    <w:div w:id="1659766390">
      <w:bodyDiv w:val="1"/>
      <w:marLeft w:val="0"/>
      <w:marRight w:val="0"/>
      <w:marTop w:val="0"/>
      <w:marBottom w:val="0"/>
      <w:divBdr>
        <w:top w:val="none" w:sz="0" w:space="0" w:color="auto"/>
        <w:left w:val="none" w:sz="0" w:space="0" w:color="auto"/>
        <w:bottom w:val="none" w:sz="0" w:space="0" w:color="auto"/>
        <w:right w:val="none" w:sz="0" w:space="0" w:color="auto"/>
      </w:divBdr>
    </w:div>
    <w:div w:id="1660962912">
      <w:bodyDiv w:val="1"/>
      <w:marLeft w:val="0"/>
      <w:marRight w:val="0"/>
      <w:marTop w:val="0"/>
      <w:marBottom w:val="0"/>
      <w:divBdr>
        <w:top w:val="none" w:sz="0" w:space="0" w:color="auto"/>
        <w:left w:val="none" w:sz="0" w:space="0" w:color="auto"/>
        <w:bottom w:val="none" w:sz="0" w:space="0" w:color="auto"/>
        <w:right w:val="none" w:sz="0" w:space="0" w:color="auto"/>
      </w:divBdr>
    </w:div>
    <w:div w:id="1663193687">
      <w:bodyDiv w:val="1"/>
      <w:marLeft w:val="0"/>
      <w:marRight w:val="0"/>
      <w:marTop w:val="0"/>
      <w:marBottom w:val="0"/>
      <w:divBdr>
        <w:top w:val="none" w:sz="0" w:space="0" w:color="auto"/>
        <w:left w:val="none" w:sz="0" w:space="0" w:color="auto"/>
        <w:bottom w:val="none" w:sz="0" w:space="0" w:color="auto"/>
        <w:right w:val="none" w:sz="0" w:space="0" w:color="auto"/>
      </w:divBdr>
    </w:div>
    <w:div w:id="1665160351">
      <w:bodyDiv w:val="1"/>
      <w:marLeft w:val="0"/>
      <w:marRight w:val="0"/>
      <w:marTop w:val="0"/>
      <w:marBottom w:val="0"/>
      <w:divBdr>
        <w:top w:val="none" w:sz="0" w:space="0" w:color="auto"/>
        <w:left w:val="none" w:sz="0" w:space="0" w:color="auto"/>
        <w:bottom w:val="none" w:sz="0" w:space="0" w:color="auto"/>
        <w:right w:val="none" w:sz="0" w:space="0" w:color="auto"/>
      </w:divBdr>
    </w:div>
    <w:div w:id="1666395649">
      <w:bodyDiv w:val="1"/>
      <w:marLeft w:val="0"/>
      <w:marRight w:val="0"/>
      <w:marTop w:val="0"/>
      <w:marBottom w:val="0"/>
      <w:divBdr>
        <w:top w:val="none" w:sz="0" w:space="0" w:color="auto"/>
        <w:left w:val="none" w:sz="0" w:space="0" w:color="auto"/>
        <w:bottom w:val="none" w:sz="0" w:space="0" w:color="auto"/>
        <w:right w:val="none" w:sz="0" w:space="0" w:color="auto"/>
      </w:divBdr>
    </w:div>
    <w:div w:id="1667704903">
      <w:bodyDiv w:val="1"/>
      <w:marLeft w:val="0"/>
      <w:marRight w:val="0"/>
      <w:marTop w:val="0"/>
      <w:marBottom w:val="0"/>
      <w:divBdr>
        <w:top w:val="none" w:sz="0" w:space="0" w:color="auto"/>
        <w:left w:val="none" w:sz="0" w:space="0" w:color="auto"/>
        <w:bottom w:val="none" w:sz="0" w:space="0" w:color="auto"/>
        <w:right w:val="none" w:sz="0" w:space="0" w:color="auto"/>
      </w:divBdr>
    </w:div>
    <w:div w:id="1667975715">
      <w:bodyDiv w:val="1"/>
      <w:marLeft w:val="0"/>
      <w:marRight w:val="0"/>
      <w:marTop w:val="0"/>
      <w:marBottom w:val="0"/>
      <w:divBdr>
        <w:top w:val="none" w:sz="0" w:space="0" w:color="auto"/>
        <w:left w:val="none" w:sz="0" w:space="0" w:color="auto"/>
        <w:bottom w:val="none" w:sz="0" w:space="0" w:color="auto"/>
        <w:right w:val="none" w:sz="0" w:space="0" w:color="auto"/>
      </w:divBdr>
    </w:div>
    <w:div w:id="1668554823">
      <w:bodyDiv w:val="1"/>
      <w:marLeft w:val="0"/>
      <w:marRight w:val="0"/>
      <w:marTop w:val="0"/>
      <w:marBottom w:val="0"/>
      <w:divBdr>
        <w:top w:val="none" w:sz="0" w:space="0" w:color="auto"/>
        <w:left w:val="none" w:sz="0" w:space="0" w:color="auto"/>
        <w:bottom w:val="none" w:sz="0" w:space="0" w:color="auto"/>
        <w:right w:val="none" w:sz="0" w:space="0" w:color="auto"/>
      </w:divBdr>
    </w:div>
    <w:div w:id="1669863034">
      <w:bodyDiv w:val="1"/>
      <w:marLeft w:val="0"/>
      <w:marRight w:val="0"/>
      <w:marTop w:val="0"/>
      <w:marBottom w:val="0"/>
      <w:divBdr>
        <w:top w:val="none" w:sz="0" w:space="0" w:color="auto"/>
        <w:left w:val="none" w:sz="0" w:space="0" w:color="auto"/>
        <w:bottom w:val="none" w:sz="0" w:space="0" w:color="auto"/>
        <w:right w:val="none" w:sz="0" w:space="0" w:color="auto"/>
      </w:divBdr>
    </w:div>
    <w:div w:id="1670282081">
      <w:bodyDiv w:val="1"/>
      <w:marLeft w:val="0"/>
      <w:marRight w:val="0"/>
      <w:marTop w:val="0"/>
      <w:marBottom w:val="0"/>
      <w:divBdr>
        <w:top w:val="none" w:sz="0" w:space="0" w:color="auto"/>
        <w:left w:val="none" w:sz="0" w:space="0" w:color="auto"/>
        <w:bottom w:val="none" w:sz="0" w:space="0" w:color="auto"/>
        <w:right w:val="none" w:sz="0" w:space="0" w:color="auto"/>
      </w:divBdr>
    </w:div>
    <w:div w:id="1670720086">
      <w:bodyDiv w:val="1"/>
      <w:marLeft w:val="0"/>
      <w:marRight w:val="0"/>
      <w:marTop w:val="0"/>
      <w:marBottom w:val="0"/>
      <w:divBdr>
        <w:top w:val="none" w:sz="0" w:space="0" w:color="auto"/>
        <w:left w:val="none" w:sz="0" w:space="0" w:color="auto"/>
        <w:bottom w:val="none" w:sz="0" w:space="0" w:color="auto"/>
        <w:right w:val="none" w:sz="0" w:space="0" w:color="auto"/>
      </w:divBdr>
    </w:div>
    <w:div w:id="1671567647">
      <w:bodyDiv w:val="1"/>
      <w:marLeft w:val="0"/>
      <w:marRight w:val="0"/>
      <w:marTop w:val="0"/>
      <w:marBottom w:val="0"/>
      <w:divBdr>
        <w:top w:val="none" w:sz="0" w:space="0" w:color="auto"/>
        <w:left w:val="none" w:sz="0" w:space="0" w:color="auto"/>
        <w:bottom w:val="none" w:sz="0" w:space="0" w:color="auto"/>
        <w:right w:val="none" w:sz="0" w:space="0" w:color="auto"/>
      </w:divBdr>
    </w:div>
    <w:div w:id="1672441793">
      <w:bodyDiv w:val="1"/>
      <w:marLeft w:val="0"/>
      <w:marRight w:val="0"/>
      <w:marTop w:val="0"/>
      <w:marBottom w:val="0"/>
      <w:divBdr>
        <w:top w:val="none" w:sz="0" w:space="0" w:color="auto"/>
        <w:left w:val="none" w:sz="0" w:space="0" w:color="auto"/>
        <w:bottom w:val="none" w:sz="0" w:space="0" w:color="auto"/>
        <w:right w:val="none" w:sz="0" w:space="0" w:color="auto"/>
      </w:divBdr>
    </w:div>
    <w:div w:id="1672642131">
      <w:bodyDiv w:val="1"/>
      <w:marLeft w:val="0"/>
      <w:marRight w:val="0"/>
      <w:marTop w:val="0"/>
      <w:marBottom w:val="0"/>
      <w:divBdr>
        <w:top w:val="none" w:sz="0" w:space="0" w:color="auto"/>
        <w:left w:val="none" w:sz="0" w:space="0" w:color="auto"/>
        <w:bottom w:val="none" w:sz="0" w:space="0" w:color="auto"/>
        <w:right w:val="none" w:sz="0" w:space="0" w:color="auto"/>
      </w:divBdr>
    </w:div>
    <w:div w:id="1673676789">
      <w:bodyDiv w:val="1"/>
      <w:marLeft w:val="0"/>
      <w:marRight w:val="0"/>
      <w:marTop w:val="0"/>
      <w:marBottom w:val="0"/>
      <w:divBdr>
        <w:top w:val="none" w:sz="0" w:space="0" w:color="auto"/>
        <w:left w:val="none" w:sz="0" w:space="0" w:color="auto"/>
        <w:bottom w:val="none" w:sz="0" w:space="0" w:color="auto"/>
        <w:right w:val="none" w:sz="0" w:space="0" w:color="auto"/>
      </w:divBdr>
    </w:div>
    <w:div w:id="1675302091">
      <w:bodyDiv w:val="1"/>
      <w:marLeft w:val="0"/>
      <w:marRight w:val="0"/>
      <w:marTop w:val="0"/>
      <w:marBottom w:val="0"/>
      <w:divBdr>
        <w:top w:val="none" w:sz="0" w:space="0" w:color="auto"/>
        <w:left w:val="none" w:sz="0" w:space="0" w:color="auto"/>
        <w:bottom w:val="none" w:sz="0" w:space="0" w:color="auto"/>
        <w:right w:val="none" w:sz="0" w:space="0" w:color="auto"/>
      </w:divBdr>
    </w:div>
    <w:div w:id="1680736366">
      <w:bodyDiv w:val="1"/>
      <w:marLeft w:val="0"/>
      <w:marRight w:val="0"/>
      <w:marTop w:val="0"/>
      <w:marBottom w:val="0"/>
      <w:divBdr>
        <w:top w:val="none" w:sz="0" w:space="0" w:color="auto"/>
        <w:left w:val="none" w:sz="0" w:space="0" w:color="auto"/>
        <w:bottom w:val="none" w:sz="0" w:space="0" w:color="auto"/>
        <w:right w:val="none" w:sz="0" w:space="0" w:color="auto"/>
      </w:divBdr>
    </w:div>
    <w:div w:id="1681158783">
      <w:bodyDiv w:val="1"/>
      <w:marLeft w:val="0"/>
      <w:marRight w:val="0"/>
      <w:marTop w:val="0"/>
      <w:marBottom w:val="0"/>
      <w:divBdr>
        <w:top w:val="none" w:sz="0" w:space="0" w:color="auto"/>
        <w:left w:val="none" w:sz="0" w:space="0" w:color="auto"/>
        <w:bottom w:val="none" w:sz="0" w:space="0" w:color="auto"/>
        <w:right w:val="none" w:sz="0" w:space="0" w:color="auto"/>
      </w:divBdr>
    </w:div>
    <w:div w:id="1682047244">
      <w:bodyDiv w:val="1"/>
      <w:marLeft w:val="0"/>
      <w:marRight w:val="0"/>
      <w:marTop w:val="0"/>
      <w:marBottom w:val="0"/>
      <w:divBdr>
        <w:top w:val="none" w:sz="0" w:space="0" w:color="auto"/>
        <w:left w:val="none" w:sz="0" w:space="0" w:color="auto"/>
        <w:bottom w:val="none" w:sz="0" w:space="0" w:color="auto"/>
        <w:right w:val="none" w:sz="0" w:space="0" w:color="auto"/>
      </w:divBdr>
    </w:div>
    <w:div w:id="1682854267">
      <w:bodyDiv w:val="1"/>
      <w:marLeft w:val="0"/>
      <w:marRight w:val="0"/>
      <w:marTop w:val="0"/>
      <w:marBottom w:val="0"/>
      <w:divBdr>
        <w:top w:val="none" w:sz="0" w:space="0" w:color="auto"/>
        <w:left w:val="none" w:sz="0" w:space="0" w:color="auto"/>
        <w:bottom w:val="none" w:sz="0" w:space="0" w:color="auto"/>
        <w:right w:val="none" w:sz="0" w:space="0" w:color="auto"/>
      </w:divBdr>
    </w:div>
    <w:div w:id="1683164152">
      <w:bodyDiv w:val="1"/>
      <w:marLeft w:val="0"/>
      <w:marRight w:val="0"/>
      <w:marTop w:val="0"/>
      <w:marBottom w:val="0"/>
      <w:divBdr>
        <w:top w:val="none" w:sz="0" w:space="0" w:color="auto"/>
        <w:left w:val="none" w:sz="0" w:space="0" w:color="auto"/>
        <w:bottom w:val="none" w:sz="0" w:space="0" w:color="auto"/>
        <w:right w:val="none" w:sz="0" w:space="0" w:color="auto"/>
      </w:divBdr>
    </w:div>
    <w:div w:id="1683820001">
      <w:bodyDiv w:val="1"/>
      <w:marLeft w:val="0"/>
      <w:marRight w:val="0"/>
      <w:marTop w:val="0"/>
      <w:marBottom w:val="0"/>
      <w:divBdr>
        <w:top w:val="none" w:sz="0" w:space="0" w:color="auto"/>
        <w:left w:val="none" w:sz="0" w:space="0" w:color="auto"/>
        <w:bottom w:val="none" w:sz="0" w:space="0" w:color="auto"/>
        <w:right w:val="none" w:sz="0" w:space="0" w:color="auto"/>
      </w:divBdr>
    </w:div>
    <w:div w:id="1687754490">
      <w:bodyDiv w:val="1"/>
      <w:marLeft w:val="0"/>
      <w:marRight w:val="0"/>
      <w:marTop w:val="0"/>
      <w:marBottom w:val="0"/>
      <w:divBdr>
        <w:top w:val="none" w:sz="0" w:space="0" w:color="auto"/>
        <w:left w:val="none" w:sz="0" w:space="0" w:color="auto"/>
        <w:bottom w:val="none" w:sz="0" w:space="0" w:color="auto"/>
        <w:right w:val="none" w:sz="0" w:space="0" w:color="auto"/>
      </w:divBdr>
    </w:div>
    <w:div w:id="1687828159">
      <w:bodyDiv w:val="1"/>
      <w:marLeft w:val="0"/>
      <w:marRight w:val="0"/>
      <w:marTop w:val="0"/>
      <w:marBottom w:val="0"/>
      <w:divBdr>
        <w:top w:val="none" w:sz="0" w:space="0" w:color="auto"/>
        <w:left w:val="none" w:sz="0" w:space="0" w:color="auto"/>
        <w:bottom w:val="none" w:sz="0" w:space="0" w:color="auto"/>
        <w:right w:val="none" w:sz="0" w:space="0" w:color="auto"/>
      </w:divBdr>
    </w:div>
    <w:div w:id="1688481737">
      <w:bodyDiv w:val="1"/>
      <w:marLeft w:val="0"/>
      <w:marRight w:val="0"/>
      <w:marTop w:val="0"/>
      <w:marBottom w:val="0"/>
      <w:divBdr>
        <w:top w:val="none" w:sz="0" w:space="0" w:color="auto"/>
        <w:left w:val="none" w:sz="0" w:space="0" w:color="auto"/>
        <w:bottom w:val="none" w:sz="0" w:space="0" w:color="auto"/>
        <w:right w:val="none" w:sz="0" w:space="0" w:color="auto"/>
      </w:divBdr>
    </w:div>
    <w:div w:id="1689024423">
      <w:bodyDiv w:val="1"/>
      <w:marLeft w:val="0"/>
      <w:marRight w:val="0"/>
      <w:marTop w:val="0"/>
      <w:marBottom w:val="0"/>
      <w:divBdr>
        <w:top w:val="none" w:sz="0" w:space="0" w:color="auto"/>
        <w:left w:val="none" w:sz="0" w:space="0" w:color="auto"/>
        <w:bottom w:val="none" w:sz="0" w:space="0" w:color="auto"/>
        <w:right w:val="none" w:sz="0" w:space="0" w:color="auto"/>
      </w:divBdr>
    </w:div>
    <w:div w:id="1689596688">
      <w:bodyDiv w:val="1"/>
      <w:marLeft w:val="0"/>
      <w:marRight w:val="0"/>
      <w:marTop w:val="0"/>
      <w:marBottom w:val="0"/>
      <w:divBdr>
        <w:top w:val="none" w:sz="0" w:space="0" w:color="auto"/>
        <w:left w:val="none" w:sz="0" w:space="0" w:color="auto"/>
        <w:bottom w:val="none" w:sz="0" w:space="0" w:color="auto"/>
        <w:right w:val="none" w:sz="0" w:space="0" w:color="auto"/>
      </w:divBdr>
    </w:div>
    <w:div w:id="1690335389">
      <w:bodyDiv w:val="1"/>
      <w:marLeft w:val="0"/>
      <w:marRight w:val="0"/>
      <w:marTop w:val="0"/>
      <w:marBottom w:val="0"/>
      <w:divBdr>
        <w:top w:val="none" w:sz="0" w:space="0" w:color="auto"/>
        <w:left w:val="none" w:sz="0" w:space="0" w:color="auto"/>
        <w:bottom w:val="none" w:sz="0" w:space="0" w:color="auto"/>
        <w:right w:val="none" w:sz="0" w:space="0" w:color="auto"/>
      </w:divBdr>
    </w:div>
    <w:div w:id="1691831419">
      <w:bodyDiv w:val="1"/>
      <w:marLeft w:val="0"/>
      <w:marRight w:val="0"/>
      <w:marTop w:val="0"/>
      <w:marBottom w:val="0"/>
      <w:divBdr>
        <w:top w:val="none" w:sz="0" w:space="0" w:color="auto"/>
        <w:left w:val="none" w:sz="0" w:space="0" w:color="auto"/>
        <w:bottom w:val="none" w:sz="0" w:space="0" w:color="auto"/>
        <w:right w:val="none" w:sz="0" w:space="0" w:color="auto"/>
      </w:divBdr>
    </w:div>
    <w:div w:id="1694528903">
      <w:bodyDiv w:val="1"/>
      <w:marLeft w:val="0"/>
      <w:marRight w:val="0"/>
      <w:marTop w:val="0"/>
      <w:marBottom w:val="0"/>
      <w:divBdr>
        <w:top w:val="none" w:sz="0" w:space="0" w:color="auto"/>
        <w:left w:val="none" w:sz="0" w:space="0" w:color="auto"/>
        <w:bottom w:val="none" w:sz="0" w:space="0" w:color="auto"/>
        <w:right w:val="none" w:sz="0" w:space="0" w:color="auto"/>
      </w:divBdr>
    </w:div>
    <w:div w:id="1694647862">
      <w:bodyDiv w:val="1"/>
      <w:marLeft w:val="0"/>
      <w:marRight w:val="0"/>
      <w:marTop w:val="0"/>
      <w:marBottom w:val="0"/>
      <w:divBdr>
        <w:top w:val="none" w:sz="0" w:space="0" w:color="auto"/>
        <w:left w:val="none" w:sz="0" w:space="0" w:color="auto"/>
        <w:bottom w:val="none" w:sz="0" w:space="0" w:color="auto"/>
        <w:right w:val="none" w:sz="0" w:space="0" w:color="auto"/>
      </w:divBdr>
    </w:div>
    <w:div w:id="1700663942">
      <w:bodyDiv w:val="1"/>
      <w:marLeft w:val="0"/>
      <w:marRight w:val="0"/>
      <w:marTop w:val="0"/>
      <w:marBottom w:val="0"/>
      <w:divBdr>
        <w:top w:val="none" w:sz="0" w:space="0" w:color="auto"/>
        <w:left w:val="none" w:sz="0" w:space="0" w:color="auto"/>
        <w:bottom w:val="none" w:sz="0" w:space="0" w:color="auto"/>
        <w:right w:val="none" w:sz="0" w:space="0" w:color="auto"/>
      </w:divBdr>
    </w:div>
    <w:div w:id="1700739062">
      <w:bodyDiv w:val="1"/>
      <w:marLeft w:val="0"/>
      <w:marRight w:val="0"/>
      <w:marTop w:val="0"/>
      <w:marBottom w:val="0"/>
      <w:divBdr>
        <w:top w:val="none" w:sz="0" w:space="0" w:color="auto"/>
        <w:left w:val="none" w:sz="0" w:space="0" w:color="auto"/>
        <w:bottom w:val="none" w:sz="0" w:space="0" w:color="auto"/>
        <w:right w:val="none" w:sz="0" w:space="0" w:color="auto"/>
      </w:divBdr>
    </w:div>
    <w:div w:id="1701202200">
      <w:bodyDiv w:val="1"/>
      <w:marLeft w:val="0"/>
      <w:marRight w:val="0"/>
      <w:marTop w:val="0"/>
      <w:marBottom w:val="0"/>
      <w:divBdr>
        <w:top w:val="none" w:sz="0" w:space="0" w:color="auto"/>
        <w:left w:val="none" w:sz="0" w:space="0" w:color="auto"/>
        <w:bottom w:val="none" w:sz="0" w:space="0" w:color="auto"/>
        <w:right w:val="none" w:sz="0" w:space="0" w:color="auto"/>
      </w:divBdr>
    </w:div>
    <w:div w:id="1702053359">
      <w:bodyDiv w:val="1"/>
      <w:marLeft w:val="0"/>
      <w:marRight w:val="0"/>
      <w:marTop w:val="0"/>
      <w:marBottom w:val="0"/>
      <w:divBdr>
        <w:top w:val="none" w:sz="0" w:space="0" w:color="auto"/>
        <w:left w:val="none" w:sz="0" w:space="0" w:color="auto"/>
        <w:bottom w:val="none" w:sz="0" w:space="0" w:color="auto"/>
        <w:right w:val="none" w:sz="0" w:space="0" w:color="auto"/>
      </w:divBdr>
    </w:div>
    <w:div w:id="1707096948">
      <w:bodyDiv w:val="1"/>
      <w:marLeft w:val="0"/>
      <w:marRight w:val="0"/>
      <w:marTop w:val="0"/>
      <w:marBottom w:val="0"/>
      <w:divBdr>
        <w:top w:val="none" w:sz="0" w:space="0" w:color="auto"/>
        <w:left w:val="none" w:sz="0" w:space="0" w:color="auto"/>
        <w:bottom w:val="none" w:sz="0" w:space="0" w:color="auto"/>
        <w:right w:val="none" w:sz="0" w:space="0" w:color="auto"/>
      </w:divBdr>
    </w:div>
    <w:div w:id="1707752883">
      <w:bodyDiv w:val="1"/>
      <w:marLeft w:val="0"/>
      <w:marRight w:val="0"/>
      <w:marTop w:val="0"/>
      <w:marBottom w:val="0"/>
      <w:divBdr>
        <w:top w:val="none" w:sz="0" w:space="0" w:color="auto"/>
        <w:left w:val="none" w:sz="0" w:space="0" w:color="auto"/>
        <w:bottom w:val="none" w:sz="0" w:space="0" w:color="auto"/>
        <w:right w:val="none" w:sz="0" w:space="0" w:color="auto"/>
      </w:divBdr>
    </w:div>
    <w:div w:id="1708798879">
      <w:bodyDiv w:val="1"/>
      <w:marLeft w:val="0"/>
      <w:marRight w:val="0"/>
      <w:marTop w:val="0"/>
      <w:marBottom w:val="0"/>
      <w:divBdr>
        <w:top w:val="none" w:sz="0" w:space="0" w:color="auto"/>
        <w:left w:val="none" w:sz="0" w:space="0" w:color="auto"/>
        <w:bottom w:val="none" w:sz="0" w:space="0" w:color="auto"/>
        <w:right w:val="none" w:sz="0" w:space="0" w:color="auto"/>
      </w:divBdr>
    </w:div>
    <w:div w:id="1710766286">
      <w:bodyDiv w:val="1"/>
      <w:marLeft w:val="0"/>
      <w:marRight w:val="0"/>
      <w:marTop w:val="0"/>
      <w:marBottom w:val="0"/>
      <w:divBdr>
        <w:top w:val="none" w:sz="0" w:space="0" w:color="auto"/>
        <w:left w:val="none" w:sz="0" w:space="0" w:color="auto"/>
        <w:bottom w:val="none" w:sz="0" w:space="0" w:color="auto"/>
        <w:right w:val="none" w:sz="0" w:space="0" w:color="auto"/>
      </w:divBdr>
    </w:div>
    <w:div w:id="1711150000">
      <w:bodyDiv w:val="1"/>
      <w:marLeft w:val="0"/>
      <w:marRight w:val="0"/>
      <w:marTop w:val="0"/>
      <w:marBottom w:val="0"/>
      <w:divBdr>
        <w:top w:val="none" w:sz="0" w:space="0" w:color="auto"/>
        <w:left w:val="none" w:sz="0" w:space="0" w:color="auto"/>
        <w:bottom w:val="none" w:sz="0" w:space="0" w:color="auto"/>
        <w:right w:val="none" w:sz="0" w:space="0" w:color="auto"/>
      </w:divBdr>
    </w:div>
    <w:div w:id="1712147544">
      <w:bodyDiv w:val="1"/>
      <w:marLeft w:val="0"/>
      <w:marRight w:val="0"/>
      <w:marTop w:val="0"/>
      <w:marBottom w:val="0"/>
      <w:divBdr>
        <w:top w:val="none" w:sz="0" w:space="0" w:color="auto"/>
        <w:left w:val="none" w:sz="0" w:space="0" w:color="auto"/>
        <w:bottom w:val="none" w:sz="0" w:space="0" w:color="auto"/>
        <w:right w:val="none" w:sz="0" w:space="0" w:color="auto"/>
      </w:divBdr>
    </w:div>
    <w:div w:id="1714847657">
      <w:bodyDiv w:val="1"/>
      <w:marLeft w:val="0"/>
      <w:marRight w:val="0"/>
      <w:marTop w:val="0"/>
      <w:marBottom w:val="0"/>
      <w:divBdr>
        <w:top w:val="none" w:sz="0" w:space="0" w:color="auto"/>
        <w:left w:val="none" w:sz="0" w:space="0" w:color="auto"/>
        <w:bottom w:val="none" w:sz="0" w:space="0" w:color="auto"/>
        <w:right w:val="none" w:sz="0" w:space="0" w:color="auto"/>
      </w:divBdr>
    </w:div>
    <w:div w:id="1719235608">
      <w:bodyDiv w:val="1"/>
      <w:marLeft w:val="0"/>
      <w:marRight w:val="0"/>
      <w:marTop w:val="0"/>
      <w:marBottom w:val="0"/>
      <w:divBdr>
        <w:top w:val="none" w:sz="0" w:space="0" w:color="auto"/>
        <w:left w:val="none" w:sz="0" w:space="0" w:color="auto"/>
        <w:bottom w:val="none" w:sz="0" w:space="0" w:color="auto"/>
        <w:right w:val="none" w:sz="0" w:space="0" w:color="auto"/>
      </w:divBdr>
    </w:div>
    <w:div w:id="1719821260">
      <w:bodyDiv w:val="1"/>
      <w:marLeft w:val="0"/>
      <w:marRight w:val="0"/>
      <w:marTop w:val="0"/>
      <w:marBottom w:val="0"/>
      <w:divBdr>
        <w:top w:val="none" w:sz="0" w:space="0" w:color="auto"/>
        <w:left w:val="none" w:sz="0" w:space="0" w:color="auto"/>
        <w:bottom w:val="none" w:sz="0" w:space="0" w:color="auto"/>
        <w:right w:val="none" w:sz="0" w:space="0" w:color="auto"/>
      </w:divBdr>
    </w:div>
    <w:div w:id="1721201131">
      <w:bodyDiv w:val="1"/>
      <w:marLeft w:val="0"/>
      <w:marRight w:val="0"/>
      <w:marTop w:val="0"/>
      <w:marBottom w:val="0"/>
      <w:divBdr>
        <w:top w:val="none" w:sz="0" w:space="0" w:color="auto"/>
        <w:left w:val="none" w:sz="0" w:space="0" w:color="auto"/>
        <w:bottom w:val="none" w:sz="0" w:space="0" w:color="auto"/>
        <w:right w:val="none" w:sz="0" w:space="0" w:color="auto"/>
      </w:divBdr>
    </w:div>
    <w:div w:id="1725788278">
      <w:bodyDiv w:val="1"/>
      <w:marLeft w:val="0"/>
      <w:marRight w:val="0"/>
      <w:marTop w:val="0"/>
      <w:marBottom w:val="0"/>
      <w:divBdr>
        <w:top w:val="none" w:sz="0" w:space="0" w:color="auto"/>
        <w:left w:val="none" w:sz="0" w:space="0" w:color="auto"/>
        <w:bottom w:val="none" w:sz="0" w:space="0" w:color="auto"/>
        <w:right w:val="none" w:sz="0" w:space="0" w:color="auto"/>
      </w:divBdr>
    </w:div>
    <w:div w:id="1726366872">
      <w:bodyDiv w:val="1"/>
      <w:marLeft w:val="0"/>
      <w:marRight w:val="0"/>
      <w:marTop w:val="0"/>
      <w:marBottom w:val="0"/>
      <w:divBdr>
        <w:top w:val="none" w:sz="0" w:space="0" w:color="auto"/>
        <w:left w:val="none" w:sz="0" w:space="0" w:color="auto"/>
        <w:bottom w:val="none" w:sz="0" w:space="0" w:color="auto"/>
        <w:right w:val="none" w:sz="0" w:space="0" w:color="auto"/>
      </w:divBdr>
    </w:div>
    <w:div w:id="1730302438">
      <w:bodyDiv w:val="1"/>
      <w:marLeft w:val="0"/>
      <w:marRight w:val="0"/>
      <w:marTop w:val="0"/>
      <w:marBottom w:val="0"/>
      <w:divBdr>
        <w:top w:val="none" w:sz="0" w:space="0" w:color="auto"/>
        <w:left w:val="none" w:sz="0" w:space="0" w:color="auto"/>
        <w:bottom w:val="none" w:sz="0" w:space="0" w:color="auto"/>
        <w:right w:val="none" w:sz="0" w:space="0" w:color="auto"/>
      </w:divBdr>
    </w:div>
    <w:div w:id="1736590002">
      <w:bodyDiv w:val="1"/>
      <w:marLeft w:val="0"/>
      <w:marRight w:val="0"/>
      <w:marTop w:val="0"/>
      <w:marBottom w:val="0"/>
      <w:divBdr>
        <w:top w:val="none" w:sz="0" w:space="0" w:color="auto"/>
        <w:left w:val="none" w:sz="0" w:space="0" w:color="auto"/>
        <w:bottom w:val="none" w:sz="0" w:space="0" w:color="auto"/>
        <w:right w:val="none" w:sz="0" w:space="0" w:color="auto"/>
      </w:divBdr>
    </w:div>
    <w:div w:id="1736775158">
      <w:bodyDiv w:val="1"/>
      <w:marLeft w:val="0"/>
      <w:marRight w:val="0"/>
      <w:marTop w:val="0"/>
      <w:marBottom w:val="0"/>
      <w:divBdr>
        <w:top w:val="none" w:sz="0" w:space="0" w:color="auto"/>
        <w:left w:val="none" w:sz="0" w:space="0" w:color="auto"/>
        <w:bottom w:val="none" w:sz="0" w:space="0" w:color="auto"/>
        <w:right w:val="none" w:sz="0" w:space="0" w:color="auto"/>
      </w:divBdr>
    </w:div>
    <w:div w:id="1737047057">
      <w:bodyDiv w:val="1"/>
      <w:marLeft w:val="0"/>
      <w:marRight w:val="0"/>
      <w:marTop w:val="0"/>
      <w:marBottom w:val="0"/>
      <w:divBdr>
        <w:top w:val="none" w:sz="0" w:space="0" w:color="auto"/>
        <w:left w:val="none" w:sz="0" w:space="0" w:color="auto"/>
        <w:bottom w:val="none" w:sz="0" w:space="0" w:color="auto"/>
        <w:right w:val="none" w:sz="0" w:space="0" w:color="auto"/>
      </w:divBdr>
    </w:div>
    <w:div w:id="1737164253">
      <w:bodyDiv w:val="1"/>
      <w:marLeft w:val="0"/>
      <w:marRight w:val="0"/>
      <w:marTop w:val="0"/>
      <w:marBottom w:val="0"/>
      <w:divBdr>
        <w:top w:val="none" w:sz="0" w:space="0" w:color="auto"/>
        <w:left w:val="none" w:sz="0" w:space="0" w:color="auto"/>
        <w:bottom w:val="none" w:sz="0" w:space="0" w:color="auto"/>
        <w:right w:val="none" w:sz="0" w:space="0" w:color="auto"/>
      </w:divBdr>
    </w:div>
    <w:div w:id="1737513042">
      <w:bodyDiv w:val="1"/>
      <w:marLeft w:val="0"/>
      <w:marRight w:val="0"/>
      <w:marTop w:val="0"/>
      <w:marBottom w:val="0"/>
      <w:divBdr>
        <w:top w:val="none" w:sz="0" w:space="0" w:color="auto"/>
        <w:left w:val="none" w:sz="0" w:space="0" w:color="auto"/>
        <w:bottom w:val="none" w:sz="0" w:space="0" w:color="auto"/>
        <w:right w:val="none" w:sz="0" w:space="0" w:color="auto"/>
      </w:divBdr>
    </w:div>
    <w:div w:id="1741631115">
      <w:bodyDiv w:val="1"/>
      <w:marLeft w:val="0"/>
      <w:marRight w:val="0"/>
      <w:marTop w:val="0"/>
      <w:marBottom w:val="0"/>
      <w:divBdr>
        <w:top w:val="none" w:sz="0" w:space="0" w:color="auto"/>
        <w:left w:val="none" w:sz="0" w:space="0" w:color="auto"/>
        <w:bottom w:val="none" w:sz="0" w:space="0" w:color="auto"/>
        <w:right w:val="none" w:sz="0" w:space="0" w:color="auto"/>
      </w:divBdr>
    </w:div>
    <w:div w:id="1742369993">
      <w:bodyDiv w:val="1"/>
      <w:marLeft w:val="0"/>
      <w:marRight w:val="0"/>
      <w:marTop w:val="0"/>
      <w:marBottom w:val="0"/>
      <w:divBdr>
        <w:top w:val="none" w:sz="0" w:space="0" w:color="auto"/>
        <w:left w:val="none" w:sz="0" w:space="0" w:color="auto"/>
        <w:bottom w:val="none" w:sz="0" w:space="0" w:color="auto"/>
        <w:right w:val="none" w:sz="0" w:space="0" w:color="auto"/>
      </w:divBdr>
    </w:div>
    <w:div w:id="1744256970">
      <w:bodyDiv w:val="1"/>
      <w:marLeft w:val="0"/>
      <w:marRight w:val="0"/>
      <w:marTop w:val="0"/>
      <w:marBottom w:val="0"/>
      <w:divBdr>
        <w:top w:val="none" w:sz="0" w:space="0" w:color="auto"/>
        <w:left w:val="none" w:sz="0" w:space="0" w:color="auto"/>
        <w:bottom w:val="none" w:sz="0" w:space="0" w:color="auto"/>
        <w:right w:val="none" w:sz="0" w:space="0" w:color="auto"/>
      </w:divBdr>
    </w:div>
    <w:div w:id="1745106644">
      <w:bodyDiv w:val="1"/>
      <w:marLeft w:val="0"/>
      <w:marRight w:val="0"/>
      <w:marTop w:val="0"/>
      <w:marBottom w:val="0"/>
      <w:divBdr>
        <w:top w:val="none" w:sz="0" w:space="0" w:color="auto"/>
        <w:left w:val="none" w:sz="0" w:space="0" w:color="auto"/>
        <w:bottom w:val="none" w:sz="0" w:space="0" w:color="auto"/>
        <w:right w:val="none" w:sz="0" w:space="0" w:color="auto"/>
      </w:divBdr>
    </w:div>
    <w:div w:id="1745906889">
      <w:bodyDiv w:val="1"/>
      <w:marLeft w:val="0"/>
      <w:marRight w:val="0"/>
      <w:marTop w:val="0"/>
      <w:marBottom w:val="0"/>
      <w:divBdr>
        <w:top w:val="none" w:sz="0" w:space="0" w:color="auto"/>
        <w:left w:val="none" w:sz="0" w:space="0" w:color="auto"/>
        <w:bottom w:val="none" w:sz="0" w:space="0" w:color="auto"/>
        <w:right w:val="none" w:sz="0" w:space="0" w:color="auto"/>
      </w:divBdr>
    </w:div>
    <w:div w:id="1746685095">
      <w:bodyDiv w:val="1"/>
      <w:marLeft w:val="0"/>
      <w:marRight w:val="0"/>
      <w:marTop w:val="0"/>
      <w:marBottom w:val="0"/>
      <w:divBdr>
        <w:top w:val="none" w:sz="0" w:space="0" w:color="auto"/>
        <w:left w:val="none" w:sz="0" w:space="0" w:color="auto"/>
        <w:bottom w:val="none" w:sz="0" w:space="0" w:color="auto"/>
        <w:right w:val="none" w:sz="0" w:space="0" w:color="auto"/>
      </w:divBdr>
    </w:div>
    <w:div w:id="1749232745">
      <w:bodyDiv w:val="1"/>
      <w:marLeft w:val="0"/>
      <w:marRight w:val="0"/>
      <w:marTop w:val="0"/>
      <w:marBottom w:val="0"/>
      <w:divBdr>
        <w:top w:val="none" w:sz="0" w:space="0" w:color="auto"/>
        <w:left w:val="none" w:sz="0" w:space="0" w:color="auto"/>
        <w:bottom w:val="none" w:sz="0" w:space="0" w:color="auto"/>
        <w:right w:val="none" w:sz="0" w:space="0" w:color="auto"/>
      </w:divBdr>
    </w:div>
    <w:div w:id="1751073635">
      <w:bodyDiv w:val="1"/>
      <w:marLeft w:val="0"/>
      <w:marRight w:val="0"/>
      <w:marTop w:val="0"/>
      <w:marBottom w:val="0"/>
      <w:divBdr>
        <w:top w:val="none" w:sz="0" w:space="0" w:color="auto"/>
        <w:left w:val="none" w:sz="0" w:space="0" w:color="auto"/>
        <w:bottom w:val="none" w:sz="0" w:space="0" w:color="auto"/>
        <w:right w:val="none" w:sz="0" w:space="0" w:color="auto"/>
      </w:divBdr>
    </w:div>
    <w:div w:id="1751851158">
      <w:bodyDiv w:val="1"/>
      <w:marLeft w:val="0"/>
      <w:marRight w:val="0"/>
      <w:marTop w:val="0"/>
      <w:marBottom w:val="0"/>
      <w:divBdr>
        <w:top w:val="none" w:sz="0" w:space="0" w:color="auto"/>
        <w:left w:val="none" w:sz="0" w:space="0" w:color="auto"/>
        <w:bottom w:val="none" w:sz="0" w:space="0" w:color="auto"/>
        <w:right w:val="none" w:sz="0" w:space="0" w:color="auto"/>
      </w:divBdr>
    </w:div>
    <w:div w:id="1752002502">
      <w:bodyDiv w:val="1"/>
      <w:marLeft w:val="0"/>
      <w:marRight w:val="0"/>
      <w:marTop w:val="0"/>
      <w:marBottom w:val="0"/>
      <w:divBdr>
        <w:top w:val="none" w:sz="0" w:space="0" w:color="auto"/>
        <w:left w:val="none" w:sz="0" w:space="0" w:color="auto"/>
        <w:bottom w:val="none" w:sz="0" w:space="0" w:color="auto"/>
        <w:right w:val="none" w:sz="0" w:space="0" w:color="auto"/>
      </w:divBdr>
    </w:div>
    <w:div w:id="1754426119">
      <w:bodyDiv w:val="1"/>
      <w:marLeft w:val="0"/>
      <w:marRight w:val="0"/>
      <w:marTop w:val="0"/>
      <w:marBottom w:val="0"/>
      <w:divBdr>
        <w:top w:val="none" w:sz="0" w:space="0" w:color="auto"/>
        <w:left w:val="none" w:sz="0" w:space="0" w:color="auto"/>
        <w:bottom w:val="none" w:sz="0" w:space="0" w:color="auto"/>
        <w:right w:val="none" w:sz="0" w:space="0" w:color="auto"/>
      </w:divBdr>
    </w:div>
    <w:div w:id="1756124063">
      <w:bodyDiv w:val="1"/>
      <w:marLeft w:val="0"/>
      <w:marRight w:val="0"/>
      <w:marTop w:val="0"/>
      <w:marBottom w:val="0"/>
      <w:divBdr>
        <w:top w:val="none" w:sz="0" w:space="0" w:color="auto"/>
        <w:left w:val="none" w:sz="0" w:space="0" w:color="auto"/>
        <w:bottom w:val="none" w:sz="0" w:space="0" w:color="auto"/>
        <w:right w:val="none" w:sz="0" w:space="0" w:color="auto"/>
      </w:divBdr>
    </w:div>
    <w:div w:id="1757550783">
      <w:bodyDiv w:val="1"/>
      <w:marLeft w:val="0"/>
      <w:marRight w:val="0"/>
      <w:marTop w:val="0"/>
      <w:marBottom w:val="0"/>
      <w:divBdr>
        <w:top w:val="none" w:sz="0" w:space="0" w:color="auto"/>
        <w:left w:val="none" w:sz="0" w:space="0" w:color="auto"/>
        <w:bottom w:val="none" w:sz="0" w:space="0" w:color="auto"/>
        <w:right w:val="none" w:sz="0" w:space="0" w:color="auto"/>
      </w:divBdr>
    </w:div>
    <w:div w:id="1762944657">
      <w:bodyDiv w:val="1"/>
      <w:marLeft w:val="0"/>
      <w:marRight w:val="0"/>
      <w:marTop w:val="0"/>
      <w:marBottom w:val="0"/>
      <w:divBdr>
        <w:top w:val="none" w:sz="0" w:space="0" w:color="auto"/>
        <w:left w:val="none" w:sz="0" w:space="0" w:color="auto"/>
        <w:bottom w:val="none" w:sz="0" w:space="0" w:color="auto"/>
        <w:right w:val="none" w:sz="0" w:space="0" w:color="auto"/>
      </w:divBdr>
    </w:div>
    <w:div w:id="1764377845">
      <w:bodyDiv w:val="1"/>
      <w:marLeft w:val="0"/>
      <w:marRight w:val="0"/>
      <w:marTop w:val="0"/>
      <w:marBottom w:val="0"/>
      <w:divBdr>
        <w:top w:val="none" w:sz="0" w:space="0" w:color="auto"/>
        <w:left w:val="none" w:sz="0" w:space="0" w:color="auto"/>
        <w:bottom w:val="none" w:sz="0" w:space="0" w:color="auto"/>
        <w:right w:val="none" w:sz="0" w:space="0" w:color="auto"/>
      </w:divBdr>
    </w:div>
    <w:div w:id="1764717538">
      <w:bodyDiv w:val="1"/>
      <w:marLeft w:val="0"/>
      <w:marRight w:val="0"/>
      <w:marTop w:val="0"/>
      <w:marBottom w:val="0"/>
      <w:divBdr>
        <w:top w:val="none" w:sz="0" w:space="0" w:color="auto"/>
        <w:left w:val="none" w:sz="0" w:space="0" w:color="auto"/>
        <w:bottom w:val="none" w:sz="0" w:space="0" w:color="auto"/>
        <w:right w:val="none" w:sz="0" w:space="0" w:color="auto"/>
      </w:divBdr>
    </w:div>
    <w:div w:id="1765612986">
      <w:bodyDiv w:val="1"/>
      <w:marLeft w:val="0"/>
      <w:marRight w:val="0"/>
      <w:marTop w:val="0"/>
      <w:marBottom w:val="0"/>
      <w:divBdr>
        <w:top w:val="none" w:sz="0" w:space="0" w:color="auto"/>
        <w:left w:val="none" w:sz="0" w:space="0" w:color="auto"/>
        <w:bottom w:val="none" w:sz="0" w:space="0" w:color="auto"/>
        <w:right w:val="none" w:sz="0" w:space="0" w:color="auto"/>
      </w:divBdr>
    </w:div>
    <w:div w:id="1765876913">
      <w:bodyDiv w:val="1"/>
      <w:marLeft w:val="0"/>
      <w:marRight w:val="0"/>
      <w:marTop w:val="0"/>
      <w:marBottom w:val="0"/>
      <w:divBdr>
        <w:top w:val="none" w:sz="0" w:space="0" w:color="auto"/>
        <w:left w:val="none" w:sz="0" w:space="0" w:color="auto"/>
        <w:bottom w:val="none" w:sz="0" w:space="0" w:color="auto"/>
        <w:right w:val="none" w:sz="0" w:space="0" w:color="auto"/>
      </w:divBdr>
    </w:div>
    <w:div w:id="1768428473">
      <w:bodyDiv w:val="1"/>
      <w:marLeft w:val="0"/>
      <w:marRight w:val="0"/>
      <w:marTop w:val="0"/>
      <w:marBottom w:val="0"/>
      <w:divBdr>
        <w:top w:val="none" w:sz="0" w:space="0" w:color="auto"/>
        <w:left w:val="none" w:sz="0" w:space="0" w:color="auto"/>
        <w:bottom w:val="none" w:sz="0" w:space="0" w:color="auto"/>
        <w:right w:val="none" w:sz="0" w:space="0" w:color="auto"/>
      </w:divBdr>
    </w:div>
    <w:div w:id="1768429538">
      <w:bodyDiv w:val="1"/>
      <w:marLeft w:val="0"/>
      <w:marRight w:val="0"/>
      <w:marTop w:val="0"/>
      <w:marBottom w:val="0"/>
      <w:divBdr>
        <w:top w:val="none" w:sz="0" w:space="0" w:color="auto"/>
        <w:left w:val="none" w:sz="0" w:space="0" w:color="auto"/>
        <w:bottom w:val="none" w:sz="0" w:space="0" w:color="auto"/>
        <w:right w:val="none" w:sz="0" w:space="0" w:color="auto"/>
      </w:divBdr>
    </w:div>
    <w:div w:id="1770661836">
      <w:bodyDiv w:val="1"/>
      <w:marLeft w:val="0"/>
      <w:marRight w:val="0"/>
      <w:marTop w:val="0"/>
      <w:marBottom w:val="0"/>
      <w:divBdr>
        <w:top w:val="none" w:sz="0" w:space="0" w:color="auto"/>
        <w:left w:val="none" w:sz="0" w:space="0" w:color="auto"/>
        <w:bottom w:val="none" w:sz="0" w:space="0" w:color="auto"/>
        <w:right w:val="none" w:sz="0" w:space="0" w:color="auto"/>
      </w:divBdr>
    </w:div>
    <w:div w:id="1776434749">
      <w:bodyDiv w:val="1"/>
      <w:marLeft w:val="0"/>
      <w:marRight w:val="0"/>
      <w:marTop w:val="0"/>
      <w:marBottom w:val="0"/>
      <w:divBdr>
        <w:top w:val="none" w:sz="0" w:space="0" w:color="auto"/>
        <w:left w:val="none" w:sz="0" w:space="0" w:color="auto"/>
        <w:bottom w:val="none" w:sz="0" w:space="0" w:color="auto"/>
        <w:right w:val="none" w:sz="0" w:space="0" w:color="auto"/>
      </w:divBdr>
    </w:div>
    <w:div w:id="1782451220">
      <w:bodyDiv w:val="1"/>
      <w:marLeft w:val="0"/>
      <w:marRight w:val="0"/>
      <w:marTop w:val="0"/>
      <w:marBottom w:val="0"/>
      <w:divBdr>
        <w:top w:val="none" w:sz="0" w:space="0" w:color="auto"/>
        <w:left w:val="none" w:sz="0" w:space="0" w:color="auto"/>
        <w:bottom w:val="none" w:sz="0" w:space="0" w:color="auto"/>
        <w:right w:val="none" w:sz="0" w:space="0" w:color="auto"/>
      </w:divBdr>
    </w:div>
    <w:div w:id="1787651642">
      <w:bodyDiv w:val="1"/>
      <w:marLeft w:val="0"/>
      <w:marRight w:val="0"/>
      <w:marTop w:val="0"/>
      <w:marBottom w:val="0"/>
      <w:divBdr>
        <w:top w:val="none" w:sz="0" w:space="0" w:color="auto"/>
        <w:left w:val="none" w:sz="0" w:space="0" w:color="auto"/>
        <w:bottom w:val="none" w:sz="0" w:space="0" w:color="auto"/>
        <w:right w:val="none" w:sz="0" w:space="0" w:color="auto"/>
      </w:divBdr>
    </w:div>
    <w:div w:id="1787969937">
      <w:bodyDiv w:val="1"/>
      <w:marLeft w:val="0"/>
      <w:marRight w:val="0"/>
      <w:marTop w:val="0"/>
      <w:marBottom w:val="0"/>
      <w:divBdr>
        <w:top w:val="none" w:sz="0" w:space="0" w:color="auto"/>
        <w:left w:val="none" w:sz="0" w:space="0" w:color="auto"/>
        <w:bottom w:val="none" w:sz="0" w:space="0" w:color="auto"/>
        <w:right w:val="none" w:sz="0" w:space="0" w:color="auto"/>
      </w:divBdr>
    </w:div>
    <w:div w:id="1790509885">
      <w:bodyDiv w:val="1"/>
      <w:marLeft w:val="0"/>
      <w:marRight w:val="0"/>
      <w:marTop w:val="0"/>
      <w:marBottom w:val="0"/>
      <w:divBdr>
        <w:top w:val="none" w:sz="0" w:space="0" w:color="auto"/>
        <w:left w:val="none" w:sz="0" w:space="0" w:color="auto"/>
        <w:bottom w:val="none" w:sz="0" w:space="0" w:color="auto"/>
        <w:right w:val="none" w:sz="0" w:space="0" w:color="auto"/>
      </w:divBdr>
    </w:div>
    <w:div w:id="1795369694">
      <w:bodyDiv w:val="1"/>
      <w:marLeft w:val="0"/>
      <w:marRight w:val="0"/>
      <w:marTop w:val="0"/>
      <w:marBottom w:val="0"/>
      <w:divBdr>
        <w:top w:val="none" w:sz="0" w:space="0" w:color="auto"/>
        <w:left w:val="none" w:sz="0" w:space="0" w:color="auto"/>
        <w:bottom w:val="none" w:sz="0" w:space="0" w:color="auto"/>
        <w:right w:val="none" w:sz="0" w:space="0" w:color="auto"/>
      </w:divBdr>
    </w:div>
    <w:div w:id="1797025163">
      <w:bodyDiv w:val="1"/>
      <w:marLeft w:val="0"/>
      <w:marRight w:val="0"/>
      <w:marTop w:val="0"/>
      <w:marBottom w:val="0"/>
      <w:divBdr>
        <w:top w:val="none" w:sz="0" w:space="0" w:color="auto"/>
        <w:left w:val="none" w:sz="0" w:space="0" w:color="auto"/>
        <w:bottom w:val="none" w:sz="0" w:space="0" w:color="auto"/>
        <w:right w:val="none" w:sz="0" w:space="0" w:color="auto"/>
      </w:divBdr>
    </w:div>
    <w:div w:id="1797600140">
      <w:bodyDiv w:val="1"/>
      <w:marLeft w:val="0"/>
      <w:marRight w:val="0"/>
      <w:marTop w:val="0"/>
      <w:marBottom w:val="0"/>
      <w:divBdr>
        <w:top w:val="none" w:sz="0" w:space="0" w:color="auto"/>
        <w:left w:val="none" w:sz="0" w:space="0" w:color="auto"/>
        <w:bottom w:val="none" w:sz="0" w:space="0" w:color="auto"/>
        <w:right w:val="none" w:sz="0" w:space="0" w:color="auto"/>
      </w:divBdr>
    </w:div>
    <w:div w:id="1797603678">
      <w:bodyDiv w:val="1"/>
      <w:marLeft w:val="0"/>
      <w:marRight w:val="0"/>
      <w:marTop w:val="0"/>
      <w:marBottom w:val="0"/>
      <w:divBdr>
        <w:top w:val="none" w:sz="0" w:space="0" w:color="auto"/>
        <w:left w:val="none" w:sz="0" w:space="0" w:color="auto"/>
        <w:bottom w:val="none" w:sz="0" w:space="0" w:color="auto"/>
        <w:right w:val="none" w:sz="0" w:space="0" w:color="auto"/>
      </w:divBdr>
    </w:div>
    <w:div w:id="1799956513">
      <w:bodyDiv w:val="1"/>
      <w:marLeft w:val="0"/>
      <w:marRight w:val="0"/>
      <w:marTop w:val="0"/>
      <w:marBottom w:val="0"/>
      <w:divBdr>
        <w:top w:val="none" w:sz="0" w:space="0" w:color="auto"/>
        <w:left w:val="none" w:sz="0" w:space="0" w:color="auto"/>
        <w:bottom w:val="none" w:sz="0" w:space="0" w:color="auto"/>
        <w:right w:val="none" w:sz="0" w:space="0" w:color="auto"/>
      </w:divBdr>
    </w:div>
    <w:div w:id="1800107016">
      <w:bodyDiv w:val="1"/>
      <w:marLeft w:val="0"/>
      <w:marRight w:val="0"/>
      <w:marTop w:val="0"/>
      <w:marBottom w:val="0"/>
      <w:divBdr>
        <w:top w:val="none" w:sz="0" w:space="0" w:color="auto"/>
        <w:left w:val="none" w:sz="0" w:space="0" w:color="auto"/>
        <w:bottom w:val="none" w:sz="0" w:space="0" w:color="auto"/>
        <w:right w:val="none" w:sz="0" w:space="0" w:color="auto"/>
      </w:divBdr>
    </w:div>
    <w:div w:id="1801343021">
      <w:bodyDiv w:val="1"/>
      <w:marLeft w:val="0"/>
      <w:marRight w:val="0"/>
      <w:marTop w:val="0"/>
      <w:marBottom w:val="0"/>
      <w:divBdr>
        <w:top w:val="none" w:sz="0" w:space="0" w:color="auto"/>
        <w:left w:val="none" w:sz="0" w:space="0" w:color="auto"/>
        <w:bottom w:val="none" w:sz="0" w:space="0" w:color="auto"/>
        <w:right w:val="none" w:sz="0" w:space="0" w:color="auto"/>
      </w:divBdr>
    </w:div>
    <w:div w:id="1801875783">
      <w:bodyDiv w:val="1"/>
      <w:marLeft w:val="0"/>
      <w:marRight w:val="0"/>
      <w:marTop w:val="0"/>
      <w:marBottom w:val="0"/>
      <w:divBdr>
        <w:top w:val="none" w:sz="0" w:space="0" w:color="auto"/>
        <w:left w:val="none" w:sz="0" w:space="0" w:color="auto"/>
        <w:bottom w:val="none" w:sz="0" w:space="0" w:color="auto"/>
        <w:right w:val="none" w:sz="0" w:space="0" w:color="auto"/>
      </w:divBdr>
    </w:div>
    <w:div w:id="1802772446">
      <w:bodyDiv w:val="1"/>
      <w:marLeft w:val="0"/>
      <w:marRight w:val="0"/>
      <w:marTop w:val="0"/>
      <w:marBottom w:val="0"/>
      <w:divBdr>
        <w:top w:val="none" w:sz="0" w:space="0" w:color="auto"/>
        <w:left w:val="none" w:sz="0" w:space="0" w:color="auto"/>
        <w:bottom w:val="none" w:sz="0" w:space="0" w:color="auto"/>
        <w:right w:val="none" w:sz="0" w:space="0" w:color="auto"/>
      </w:divBdr>
    </w:div>
    <w:div w:id="1803385312">
      <w:bodyDiv w:val="1"/>
      <w:marLeft w:val="0"/>
      <w:marRight w:val="0"/>
      <w:marTop w:val="0"/>
      <w:marBottom w:val="0"/>
      <w:divBdr>
        <w:top w:val="none" w:sz="0" w:space="0" w:color="auto"/>
        <w:left w:val="none" w:sz="0" w:space="0" w:color="auto"/>
        <w:bottom w:val="none" w:sz="0" w:space="0" w:color="auto"/>
        <w:right w:val="none" w:sz="0" w:space="0" w:color="auto"/>
      </w:divBdr>
    </w:div>
    <w:div w:id="1805349742">
      <w:bodyDiv w:val="1"/>
      <w:marLeft w:val="0"/>
      <w:marRight w:val="0"/>
      <w:marTop w:val="0"/>
      <w:marBottom w:val="0"/>
      <w:divBdr>
        <w:top w:val="none" w:sz="0" w:space="0" w:color="auto"/>
        <w:left w:val="none" w:sz="0" w:space="0" w:color="auto"/>
        <w:bottom w:val="none" w:sz="0" w:space="0" w:color="auto"/>
        <w:right w:val="none" w:sz="0" w:space="0" w:color="auto"/>
      </w:divBdr>
    </w:div>
    <w:div w:id="1806704063">
      <w:bodyDiv w:val="1"/>
      <w:marLeft w:val="0"/>
      <w:marRight w:val="0"/>
      <w:marTop w:val="0"/>
      <w:marBottom w:val="0"/>
      <w:divBdr>
        <w:top w:val="none" w:sz="0" w:space="0" w:color="auto"/>
        <w:left w:val="none" w:sz="0" w:space="0" w:color="auto"/>
        <w:bottom w:val="none" w:sz="0" w:space="0" w:color="auto"/>
        <w:right w:val="none" w:sz="0" w:space="0" w:color="auto"/>
      </w:divBdr>
    </w:div>
    <w:div w:id="1808352293">
      <w:bodyDiv w:val="1"/>
      <w:marLeft w:val="0"/>
      <w:marRight w:val="0"/>
      <w:marTop w:val="0"/>
      <w:marBottom w:val="0"/>
      <w:divBdr>
        <w:top w:val="none" w:sz="0" w:space="0" w:color="auto"/>
        <w:left w:val="none" w:sz="0" w:space="0" w:color="auto"/>
        <w:bottom w:val="none" w:sz="0" w:space="0" w:color="auto"/>
        <w:right w:val="none" w:sz="0" w:space="0" w:color="auto"/>
      </w:divBdr>
    </w:div>
    <w:div w:id="1809785310">
      <w:bodyDiv w:val="1"/>
      <w:marLeft w:val="0"/>
      <w:marRight w:val="0"/>
      <w:marTop w:val="0"/>
      <w:marBottom w:val="0"/>
      <w:divBdr>
        <w:top w:val="none" w:sz="0" w:space="0" w:color="auto"/>
        <w:left w:val="none" w:sz="0" w:space="0" w:color="auto"/>
        <w:bottom w:val="none" w:sz="0" w:space="0" w:color="auto"/>
        <w:right w:val="none" w:sz="0" w:space="0" w:color="auto"/>
      </w:divBdr>
    </w:div>
    <w:div w:id="1809935144">
      <w:bodyDiv w:val="1"/>
      <w:marLeft w:val="0"/>
      <w:marRight w:val="0"/>
      <w:marTop w:val="0"/>
      <w:marBottom w:val="0"/>
      <w:divBdr>
        <w:top w:val="none" w:sz="0" w:space="0" w:color="auto"/>
        <w:left w:val="none" w:sz="0" w:space="0" w:color="auto"/>
        <w:bottom w:val="none" w:sz="0" w:space="0" w:color="auto"/>
        <w:right w:val="none" w:sz="0" w:space="0" w:color="auto"/>
      </w:divBdr>
    </w:div>
    <w:div w:id="1811827801">
      <w:bodyDiv w:val="1"/>
      <w:marLeft w:val="0"/>
      <w:marRight w:val="0"/>
      <w:marTop w:val="0"/>
      <w:marBottom w:val="0"/>
      <w:divBdr>
        <w:top w:val="none" w:sz="0" w:space="0" w:color="auto"/>
        <w:left w:val="none" w:sz="0" w:space="0" w:color="auto"/>
        <w:bottom w:val="none" w:sz="0" w:space="0" w:color="auto"/>
        <w:right w:val="none" w:sz="0" w:space="0" w:color="auto"/>
      </w:divBdr>
    </w:div>
    <w:div w:id="1817528237">
      <w:bodyDiv w:val="1"/>
      <w:marLeft w:val="0"/>
      <w:marRight w:val="0"/>
      <w:marTop w:val="0"/>
      <w:marBottom w:val="0"/>
      <w:divBdr>
        <w:top w:val="none" w:sz="0" w:space="0" w:color="auto"/>
        <w:left w:val="none" w:sz="0" w:space="0" w:color="auto"/>
        <w:bottom w:val="none" w:sz="0" w:space="0" w:color="auto"/>
        <w:right w:val="none" w:sz="0" w:space="0" w:color="auto"/>
      </w:divBdr>
    </w:div>
    <w:div w:id="1818298577">
      <w:bodyDiv w:val="1"/>
      <w:marLeft w:val="0"/>
      <w:marRight w:val="0"/>
      <w:marTop w:val="0"/>
      <w:marBottom w:val="0"/>
      <w:divBdr>
        <w:top w:val="none" w:sz="0" w:space="0" w:color="auto"/>
        <w:left w:val="none" w:sz="0" w:space="0" w:color="auto"/>
        <w:bottom w:val="none" w:sz="0" w:space="0" w:color="auto"/>
        <w:right w:val="none" w:sz="0" w:space="0" w:color="auto"/>
      </w:divBdr>
    </w:div>
    <w:div w:id="1822041290">
      <w:bodyDiv w:val="1"/>
      <w:marLeft w:val="0"/>
      <w:marRight w:val="0"/>
      <w:marTop w:val="0"/>
      <w:marBottom w:val="0"/>
      <w:divBdr>
        <w:top w:val="none" w:sz="0" w:space="0" w:color="auto"/>
        <w:left w:val="none" w:sz="0" w:space="0" w:color="auto"/>
        <w:bottom w:val="none" w:sz="0" w:space="0" w:color="auto"/>
        <w:right w:val="none" w:sz="0" w:space="0" w:color="auto"/>
      </w:divBdr>
    </w:div>
    <w:div w:id="1826242253">
      <w:bodyDiv w:val="1"/>
      <w:marLeft w:val="0"/>
      <w:marRight w:val="0"/>
      <w:marTop w:val="0"/>
      <w:marBottom w:val="0"/>
      <w:divBdr>
        <w:top w:val="none" w:sz="0" w:space="0" w:color="auto"/>
        <w:left w:val="none" w:sz="0" w:space="0" w:color="auto"/>
        <w:bottom w:val="none" w:sz="0" w:space="0" w:color="auto"/>
        <w:right w:val="none" w:sz="0" w:space="0" w:color="auto"/>
      </w:divBdr>
    </w:div>
    <w:div w:id="1827893995">
      <w:bodyDiv w:val="1"/>
      <w:marLeft w:val="0"/>
      <w:marRight w:val="0"/>
      <w:marTop w:val="0"/>
      <w:marBottom w:val="0"/>
      <w:divBdr>
        <w:top w:val="none" w:sz="0" w:space="0" w:color="auto"/>
        <w:left w:val="none" w:sz="0" w:space="0" w:color="auto"/>
        <w:bottom w:val="none" w:sz="0" w:space="0" w:color="auto"/>
        <w:right w:val="none" w:sz="0" w:space="0" w:color="auto"/>
      </w:divBdr>
    </w:div>
    <w:div w:id="1828130752">
      <w:bodyDiv w:val="1"/>
      <w:marLeft w:val="0"/>
      <w:marRight w:val="0"/>
      <w:marTop w:val="0"/>
      <w:marBottom w:val="0"/>
      <w:divBdr>
        <w:top w:val="none" w:sz="0" w:space="0" w:color="auto"/>
        <w:left w:val="none" w:sz="0" w:space="0" w:color="auto"/>
        <w:bottom w:val="none" w:sz="0" w:space="0" w:color="auto"/>
        <w:right w:val="none" w:sz="0" w:space="0" w:color="auto"/>
      </w:divBdr>
    </w:div>
    <w:div w:id="1828280802">
      <w:bodyDiv w:val="1"/>
      <w:marLeft w:val="0"/>
      <w:marRight w:val="0"/>
      <w:marTop w:val="0"/>
      <w:marBottom w:val="0"/>
      <w:divBdr>
        <w:top w:val="none" w:sz="0" w:space="0" w:color="auto"/>
        <w:left w:val="none" w:sz="0" w:space="0" w:color="auto"/>
        <w:bottom w:val="none" w:sz="0" w:space="0" w:color="auto"/>
        <w:right w:val="none" w:sz="0" w:space="0" w:color="auto"/>
      </w:divBdr>
    </w:div>
    <w:div w:id="1829899730">
      <w:bodyDiv w:val="1"/>
      <w:marLeft w:val="0"/>
      <w:marRight w:val="0"/>
      <w:marTop w:val="0"/>
      <w:marBottom w:val="0"/>
      <w:divBdr>
        <w:top w:val="none" w:sz="0" w:space="0" w:color="auto"/>
        <w:left w:val="none" w:sz="0" w:space="0" w:color="auto"/>
        <w:bottom w:val="none" w:sz="0" w:space="0" w:color="auto"/>
        <w:right w:val="none" w:sz="0" w:space="0" w:color="auto"/>
      </w:divBdr>
    </w:div>
    <w:div w:id="1830709733">
      <w:bodyDiv w:val="1"/>
      <w:marLeft w:val="0"/>
      <w:marRight w:val="0"/>
      <w:marTop w:val="0"/>
      <w:marBottom w:val="0"/>
      <w:divBdr>
        <w:top w:val="none" w:sz="0" w:space="0" w:color="auto"/>
        <w:left w:val="none" w:sz="0" w:space="0" w:color="auto"/>
        <w:bottom w:val="none" w:sz="0" w:space="0" w:color="auto"/>
        <w:right w:val="none" w:sz="0" w:space="0" w:color="auto"/>
      </w:divBdr>
    </w:div>
    <w:div w:id="1830830242">
      <w:bodyDiv w:val="1"/>
      <w:marLeft w:val="0"/>
      <w:marRight w:val="0"/>
      <w:marTop w:val="0"/>
      <w:marBottom w:val="0"/>
      <w:divBdr>
        <w:top w:val="none" w:sz="0" w:space="0" w:color="auto"/>
        <w:left w:val="none" w:sz="0" w:space="0" w:color="auto"/>
        <w:bottom w:val="none" w:sz="0" w:space="0" w:color="auto"/>
        <w:right w:val="none" w:sz="0" w:space="0" w:color="auto"/>
      </w:divBdr>
    </w:div>
    <w:div w:id="1832017376">
      <w:bodyDiv w:val="1"/>
      <w:marLeft w:val="0"/>
      <w:marRight w:val="0"/>
      <w:marTop w:val="0"/>
      <w:marBottom w:val="0"/>
      <w:divBdr>
        <w:top w:val="none" w:sz="0" w:space="0" w:color="auto"/>
        <w:left w:val="none" w:sz="0" w:space="0" w:color="auto"/>
        <w:bottom w:val="none" w:sz="0" w:space="0" w:color="auto"/>
        <w:right w:val="none" w:sz="0" w:space="0" w:color="auto"/>
      </w:divBdr>
    </w:div>
    <w:div w:id="1832721098">
      <w:bodyDiv w:val="1"/>
      <w:marLeft w:val="0"/>
      <w:marRight w:val="0"/>
      <w:marTop w:val="0"/>
      <w:marBottom w:val="0"/>
      <w:divBdr>
        <w:top w:val="none" w:sz="0" w:space="0" w:color="auto"/>
        <w:left w:val="none" w:sz="0" w:space="0" w:color="auto"/>
        <w:bottom w:val="none" w:sz="0" w:space="0" w:color="auto"/>
        <w:right w:val="none" w:sz="0" w:space="0" w:color="auto"/>
      </w:divBdr>
    </w:div>
    <w:div w:id="1834368473">
      <w:bodyDiv w:val="1"/>
      <w:marLeft w:val="0"/>
      <w:marRight w:val="0"/>
      <w:marTop w:val="0"/>
      <w:marBottom w:val="0"/>
      <w:divBdr>
        <w:top w:val="none" w:sz="0" w:space="0" w:color="auto"/>
        <w:left w:val="none" w:sz="0" w:space="0" w:color="auto"/>
        <w:bottom w:val="none" w:sz="0" w:space="0" w:color="auto"/>
        <w:right w:val="none" w:sz="0" w:space="0" w:color="auto"/>
      </w:divBdr>
    </w:div>
    <w:div w:id="1834449882">
      <w:bodyDiv w:val="1"/>
      <w:marLeft w:val="0"/>
      <w:marRight w:val="0"/>
      <w:marTop w:val="0"/>
      <w:marBottom w:val="0"/>
      <w:divBdr>
        <w:top w:val="none" w:sz="0" w:space="0" w:color="auto"/>
        <w:left w:val="none" w:sz="0" w:space="0" w:color="auto"/>
        <w:bottom w:val="none" w:sz="0" w:space="0" w:color="auto"/>
        <w:right w:val="none" w:sz="0" w:space="0" w:color="auto"/>
      </w:divBdr>
    </w:div>
    <w:div w:id="1836413534">
      <w:bodyDiv w:val="1"/>
      <w:marLeft w:val="0"/>
      <w:marRight w:val="0"/>
      <w:marTop w:val="0"/>
      <w:marBottom w:val="0"/>
      <w:divBdr>
        <w:top w:val="none" w:sz="0" w:space="0" w:color="auto"/>
        <w:left w:val="none" w:sz="0" w:space="0" w:color="auto"/>
        <w:bottom w:val="none" w:sz="0" w:space="0" w:color="auto"/>
        <w:right w:val="none" w:sz="0" w:space="0" w:color="auto"/>
      </w:divBdr>
    </w:div>
    <w:div w:id="1838956934">
      <w:bodyDiv w:val="1"/>
      <w:marLeft w:val="0"/>
      <w:marRight w:val="0"/>
      <w:marTop w:val="0"/>
      <w:marBottom w:val="0"/>
      <w:divBdr>
        <w:top w:val="none" w:sz="0" w:space="0" w:color="auto"/>
        <w:left w:val="none" w:sz="0" w:space="0" w:color="auto"/>
        <w:bottom w:val="none" w:sz="0" w:space="0" w:color="auto"/>
        <w:right w:val="none" w:sz="0" w:space="0" w:color="auto"/>
      </w:divBdr>
    </w:div>
    <w:div w:id="1840344370">
      <w:bodyDiv w:val="1"/>
      <w:marLeft w:val="0"/>
      <w:marRight w:val="0"/>
      <w:marTop w:val="0"/>
      <w:marBottom w:val="0"/>
      <w:divBdr>
        <w:top w:val="none" w:sz="0" w:space="0" w:color="auto"/>
        <w:left w:val="none" w:sz="0" w:space="0" w:color="auto"/>
        <w:bottom w:val="none" w:sz="0" w:space="0" w:color="auto"/>
        <w:right w:val="none" w:sz="0" w:space="0" w:color="auto"/>
      </w:divBdr>
    </w:div>
    <w:div w:id="1840926937">
      <w:bodyDiv w:val="1"/>
      <w:marLeft w:val="0"/>
      <w:marRight w:val="0"/>
      <w:marTop w:val="0"/>
      <w:marBottom w:val="0"/>
      <w:divBdr>
        <w:top w:val="none" w:sz="0" w:space="0" w:color="auto"/>
        <w:left w:val="none" w:sz="0" w:space="0" w:color="auto"/>
        <w:bottom w:val="none" w:sz="0" w:space="0" w:color="auto"/>
        <w:right w:val="none" w:sz="0" w:space="0" w:color="auto"/>
      </w:divBdr>
    </w:div>
    <w:div w:id="1841650525">
      <w:bodyDiv w:val="1"/>
      <w:marLeft w:val="0"/>
      <w:marRight w:val="0"/>
      <w:marTop w:val="0"/>
      <w:marBottom w:val="0"/>
      <w:divBdr>
        <w:top w:val="none" w:sz="0" w:space="0" w:color="auto"/>
        <w:left w:val="none" w:sz="0" w:space="0" w:color="auto"/>
        <w:bottom w:val="none" w:sz="0" w:space="0" w:color="auto"/>
        <w:right w:val="none" w:sz="0" w:space="0" w:color="auto"/>
      </w:divBdr>
    </w:div>
    <w:div w:id="1841851505">
      <w:bodyDiv w:val="1"/>
      <w:marLeft w:val="0"/>
      <w:marRight w:val="0"/>
      <w:marTop w:val="0"/>
      <w:marBottom w:val="0"/>
      <w:divBdr>
        <w:top w:val="none" w:sz="0" w:space="0" w:color="auto"/>
        <w:left w:val="none" w:sz="0" w:space="0" w:color="auto"/>
        <w:bottom w:val="none" w:sz="0" w:space="0" w:color="auto"/>
        <w:right w:val="none" w:sz="0" w:space="0" w:color="auto"/>
      </w:divBdr>
    </w:div>
    <w:div w:id="1845821831">
      <w:bodyDiv w:val="1"/>
      <w:marLeft w:val="0"/>
      <w:marRight w:val="0"/>
      <w:marTop w:val="0"/>
      <w:marBottom w:val="0"/>
      <w:divBdr>
        <w:top w:val="none" w:sz="0" w:space="0" w:color="auto"/>
        <w:left w:val="none" w:sz="0" w:space="0" w:color="auto"/>
        <w:bottom w:val="none" w:sz="0" w:space="0" w:color="auto"/>
        <w:right w:val="none" w:sz="0" w:space="0" w:color="auto"/>
      </w:divBdr>
    </w:div>
    <w:div w:id="1847477534">
      <w:bodyDiv w:val="1"/>
      <w:marLeft w:val="0"/>
      <w:marRight w:val="0"/>
      <w:marTop w:val="0"/>
      <w:marBottom w:val="0"/>
      <w:divBdr>
        <w:top w:val="none" w:sz="0" w:space="0" w:color="auto"/>
        <w:left w:val="none" w:sz="0" w:space="0" w:color="auto"/>
        <w:bottom w:val="none" w:sz="0" w:space="0" w:color="auto"/>
        <w:right w:val="none" w:sz="0" w:space="0" w:color="auto"/>
      </w:divBdr>
    </w:div>
    <w:div w:id="1848013678">
      <w:bodyDiv w:val="1"/>
      <w:marLeft w:val="0"/>
      <w:marRight w:val="0"/>
      <w:marTop w:val="0"/>
      <w:marBottom w:val="0"/>
      <w:divBdr>
        <w:top w:val="none" w:sz="0" w:space="0" w:color="auto"/>
        <w:left w:val="none" w:sz="0" w:space="0" w:color="auto"/>
        <w:bottom w:val="none" w:sz="0" w:space="0" w:color="auto"/>
        <w:right w:val="none" w:sz="0" w:space="0" w:color="auto"/>
      </w:divBdr>
    </w:div>
    <w:div w:id="1849055159">
      <w:bodyDiv w:val="1"/>
      <w:marLeft w:val="0"/>
      <w:marRight w:val="0"/>
      <w:marTop w:val="0"/>
      <w:marBottom w:val="0"/>
      <w:divBdr>
        <w:top w:val="none" w:sz="0" w:space="0" w:color="auto"/>
        <w:left w:val="none" w:sz="0" w:space="0" w:color="auto"/>
        <w:bottom w:val="none" w:sz="0" w:space="0" w:color="auto"/>
        <w:right w:val="none" w:sz="0" w:space="0" w:color="auto"/>
      </w:divBdr>
    </w:div>
    <w:div w:id="1850945474">
      <w:bodyDiv w:val="1"/>
      <w:marLeft w:val="0"/>
      <w:marRight w:val="0"/>
      <w:marTop w:val="0"/>
      <w:marBottom w:val="0"/>
      <w:divBdr>
        <w:top w:val="none" w:sz="0" w:space="0" w:color="auto"/>
        <w:left w:val="none" w:sz="0" w:space="0" w:color="auto"/>
        <w:bottom w:val="none" w:sz="0" w:space="0" w:color="auto"/>
        <w:right w:val="none" w:sz="0" w:space="0" w:color="auto"/>
      </w:divBdr>
    </w:div>
    <w:div w:id="1856769829">
      <w:bodyDiv w:val="1"/>
      <w:marLeft w:val="0"/>
      <w:marRight w:val="0"/>
      <w:marTop w:val="0"/>
      <w:marBottom w:val="0"/>
      <w:divBdr>
        <w:top w:val="none" w:sz="0" w:space="0" w:color="auto"/>
        <w:left w:val="none" w:sz="0" w:space="0" w:color="auto"/>
        <w:bottom w:val="none" w:sz="0" w:space="0" w:color="auto"/>
        <w:right w:val="none" w:sz="0" w:space="0" w:color="auto"/>
      </w:divBdr>
    </w:div>
    <w:div w:id="1857647293">
      <w:bodyDiv w:val="1"/>
      <w:marLeft w:val="0"/>
      <w:marRight w:val="0"/>
      <w:marTop w:val="0"/>
      <w:marBottom w:val="0"/>
      <w:divBdr>
        <w:top w:val="none" w:sz="0" w:space="0" w:color="auto"/>
        <w:left w:val="none" w:sz="0" w:space="0" w:color="auto"/>
        <w:bottom w:val="none" w:sz="0" w:space="0" w:color="auto"/>
        <w:right w:val="none" w:sz="0" w:space="0" w:color="auto"/>
      </w:divBdr>
    </w:div>
    <w:div w:id="1859615107">
      <w:bodyDiv w:val="1"/>
      <w:marLeft w:val="0"/>
      <w:marRight w:val="0"/>
      <w:marTop w:val="0"/>
      <w:marBottom w:val="0"/>
      <w:divBdr>
        <w:top w:val="none" w:sz="0" w:space="0" w:color="auto"/>
        <w:left w:val="none" w:sz="0" w:space="0" w:color="auto"/>
        <w:bottom w:val="none" w:sz="0" w:space="0" w:color="auto"/>
        <w:right w:val="none" w:sz="0" w:space="0" w:color="auto"/>
      </w:divBdr>
    </w:div>
    <w:div w:id="1860317819">
      <w:bodyDiv w:val="1"/>
      <w:marLeft w:val="0"/>
      <w:marRight w:val="0"/>
      <w:marTop w:val="0"/>
      <w:marBottom w:val="0"/>
      <w:divBdr>
        <w:top w:val="none" w:sz="0" w:space="0" w:color="auto"/>
        <w:left w:val="none" w:sz="0" w:space="0" w:color="auto"/>
        <w:bottom w:val="none" w:sz="0" w:space="0" w:color="auto"/>
        <w:right w:val="none" w:sz="0" w:space="0" w:color="auto"/>
      </w:divBdr>
    </w:div>
    <w:div w:id="1862891421">
      <w:bodyDiv w:val="1"/>
      <w:marLeft w:val="0"/>
      <w:marRight w:val="0"/>
      <w:marTop w:val="0"/>
      <w:marBottom w:val="0"/>
      <w:divBdr>
        <w:top w:val="none" w:sz="0" w:space="0" w:color="auto"/>
        <w:left w:val="none" w:sz="0" w:space="0" w:color="auto"/>
        <w:bottom w:val="none" w:sz="0" w:space="0" w:color="auto"/>
        <w:right w:val="none" w:sz="0" w:space="0" w:color="auto"/>
      </w:divBdr>
    </w:div>
    <w:div w:id="1864122947">
      <w:bodyDiv w:val="1"/>
      <w:marLeft w:val="0"/>
      <w:marRight w:val="0"/>
      <w:marTop w:val="0"/>
      <w:marBottom w:val="0"/>
      <w:divBdr>
        <w:top w:val="none" w:sz="0" w:space="0" w:color="auto"/>
        <w:left w:val="none" w:sz="0" w:space="0" w:color="auto"/>
        <w:bottom w:val="none" w:sz="0" w:space="0" w:color="auto"/>
        <w:right w:val="none" w:sz="0" w:space="0" w:color="auto"/>
      </w:divBdr>
    </w:div>
    <w:div w:id="1865367359">
      <w:bodyDiv w:val="1"/>
      <w:marLeft w:val="0"/>
      <w:marRight w:val="0"/>
      <w:marTop w:val="0"/>
      <w:marBottom w:val="0"/>
      <w:divBdr>
        <w:top w:val="none" w:sz="0" w:space="0" w:color="auto"/>
        <w:left w:val="none" w:sz="0" w:space="0" w:color="auto"/>
        <w:bottom w:val="none" w:sz="0" w:space="0" w:color="auto"/>
        <w:right w:val="none" w:sz="0" w:space="0" w:color="auto"/>
      </w:divBdr>
    </w:div>
    <w:div w:id="1868256710">
      <w:bodyDiv w:val="1"/>
      <w:marLeft w:val="0"/>
      <w:marRight w:val="0"/>
      <w:marTop w:val="0"/>
      <w:marBottom w:val="0"/>
      <w:divBdr>
        <w:top w:val="none" w:sz="0" w:space="0" w:color="auto"/>
        <w:left w:val="none" w:sz="0" w:space="0" w:color="auto"/>
        <w:bottom w:val="none" w:sz="0" w:space="0" w:color="auto"/>
        <w:right w:val="none" w:sz="0" w:space="0" w:color="auto"/>
      </w:divBdr>
    </w:div>
    <w:div w:id="1873151392">
      <w:bodyDiv w:val="1"/>
      <w:marLeft w:val="0"/>
      <w:marRight w:val="0"/>
      <w:marTop w:val="0"/>
      <w:marBottom w:val="0"/>
      <w:divBdr>
        <w:top w:val="none" w:sz="0" w:space="0" w:color="auto"/>
        <w:left w:val="none" w:sz="0" w:space="0" w:color="auto"/>
        <w:bottom w:val="none" w:sz="0" w:space="0" w:color="auto"/>
        <w:right w:val="none" w:sz="0" w:space="0" w:color="auto"/>
      </w:divBdr>
    </w:div>
    <w:div w:id="1874492698">
      <w:bodyDiv w:val="1"/>
      <w:marLeft w:val="0"/>
      <w:marRight w:val="0"/>
      <w:marTop w:val="0"/>
      <w:marBottom w:val="0"/>
      <w:divBdr>
        <w:top w:val="none" w:sz="0" w:space="0" w:color="auto"/>
        <w:left w:val="none" w:sz="0" w:space="0" w:color="auto"/>
        <w:bottom w:val="none" w:sz="0" w:space="0" w:color="auto"/>
        <w:right w:val="none" w:sz="0" w:space="0" w:color="auto"/>
      </w:divBdr>
    </w:div>
    <w:div w:id="1875148077">
      <w:bodyDiv w:val="1"/>
      <w:marLeft w:val="0"/>
      <w:marRight w:val="0"/>
      <w:marTop w:val="0"/>
      <w:marBottom w:val="0"/>
      <w:divBdr>
        <w:top w:val="none" w:sz="0" w:space="0" w:color="auto"/>
        <w:left w:val="none" w:sz="0" w:space="0" w:color="auto"/>
        <w:bottom w:val="none" w:sz="0" w:space="0" w:color="auto"/>
        <w:right w:val="none" w:sz="0" w:space="0" w:color="auto"/>
      </w:divBdr>
    </w:div>
    <w:div w:id="1876041345">
      <w:bodyDiv w:val="1"/>
      <w:marLeft w:val="0"/>
      <w:marRight w:val="0"/>
      <w:marTop w:val="0"/>
      <w:marBottom w:val="0"/>
      <w:divBdr>
        <w:top w:val="none" w:sz="0" w:space="0" w:color="auto"/>
        <w:left w:val="none" w:sz="0" w:space="0" w:color="auto"/>
        <w:bottom w:val="none" w:sz="0" w:space="0" w:color="auto"/>
        <w:right w:val="none" w:sz="0" w:space="0" w:color="auto"/>
      </w:divBdr>
    </w:div>
    <w:div w:id="1877809738">
      <w:bodyDiv w:val="1"/>
      <w:marLeft w:val="0"/>
      <w:marRight w:val="0"/>
      <w:marTop w:val="0"/>
      <w:marBottom w:val="0"/>
      <w:divBdr>
        <w:top w:val="none" w:sz="0" w:space="0" w:color="auto"/>
        <w:left w:val="none" w:sz="0" w:space="0" w:color="auto"/>
        <w:bottom w:val="none" w:sz="0" w:space="0" w:color="auto"/>
        <w:right w:val="none" w:sz="0" w:space="0" w:color="auto"/>
      </w:divBdr>
    </w:div>
    <w:div w:id="1879587231">
      <w:bodyDiv w:val="1"/>
      <w:marLeft w:val="0"/>
      <w:marRight w:val="0"/>
      <w:marTop w:val="0"/>
      <w:marBottom w:val="0"/>
      <w:divBdr>
        <w:top w:val="none" w:sz="0" w:space="0" w:color="auto"/>
        <w:left w:val="none" w:sz="0" w:space="0" w:color="auto"/>
        <w:bottom w:val="none" w:sz="0" w:space="0" w:color="auto"/>
        <w:right w:val="none" w:sz="0" w:space="0" w:color="auto"/>
      </w:divBdr>
    </w:div>
    <w:div w:id="1882401597">
      <w:bodyDiv w:val="1"/>
      <w:marLeft w:val="0"/>
      <w:marRight w:val="0"/>
      <w:marTop w:val="0"/>
      <w:marBottom w:val="0"/>
      <w:divBdr>
        <w:top w:val="none" w:sz="0" w:space="0" w:color="auto"/>
        <w:left w:val="none" w:sz="0" w:space="0" w:color="auto"/>
        <w:bottom w:val="none" w:sz="0" w:space="0" w:color="auto"/>
        <w:right w:val="none" w:sz="0" w:space="0" w:color="auto"/>
      </w:divBdr>
    </w:div>
    <w:div w:id="1884753153">
      <w:bodyDiv w:val="1"/>
      <w:marLeft w:val="0"/>
      <w:marRight w:val="0"/>
      <w:marTop w:val="0"/>
      <w:marBottom w:val="0"/>
      <w:divBdr>
        <w:top w:val="none" w:sz="0" w:space="0" w:color="auto"/>
        <w:left w:val="none" w:sz="0" w:space="0" w:color="auto"/>
        <w:bottom w:val="none" w:sz="0" w:space="0" w:color="auto"/>
        <w:right w:val="none" w:sz="0" w:space="0" w:color="auto"/>
      </w:divBdr>
    </w:div>
    <w:div w:id="1885487472">
      <w:bodyDiv w:val="1"/>
      <w:marLeft w:val="0"/>
      <w:marRight w:val="0"/>
      <w:marTop w:val="0"/>
      <w:marBottom w:val="0"/>
      <w:divBdr>
        <w:top w:val="none" w:sz="0" w:space="0" w:color="auto"/>
        <w:left w:val="none" w:sz="0" w:space="0" w:color="auto"/>
        <w:bottom w:val="none" w:sz="0" w:space="0" w:color="auto"/>
        <w:right w:val="none" w:sz="0" w:space="0" w:color="auto"/>
      </w:divBdr>
    </w:div>
    <w:div w:id="1885826912">
      <w:bodyDiv w:val="1"/>
      <w:marLeft w:val="0"/>
      <w:marRight w:val="0"/>
      <w:marTop w:val="0"/>
      <w:marBottom w:val="0"/>
      <w:divBdr>
        <w:top w:val="none" w:sz="0" w:space="0" w:color="auto"/>
        <w:left w:val="none" w:sz="0" w:space="0" w:color="auto"/>
        <w:bottom w:val="none" w:sz="0" w:space="0" w:color="auto"/>
        <w:right w:val="none" w:sz="0" w:space="0" w:color="auto"/>
      </w:divBdr>
    </w:div>
    <w:div w:id="1886332629">
      <w:bodyDiv w:val="1"/>
      <w:marLeft w:val="0"/>
      <w:marRight w:val="0"/>
      <w:marTop w:val="0"/>
      <w:marBottom w:val="0"/>
      <w:divBdr>
        <w:top w:val="none" w:sz="0" w:space="0" w:color="auto"/>
        <w:left w:val="none" w:sz="0" w:space="0" w:color="auto"/>
        <w:bottom w:val="none" w:sz="0" w:space="0" w:color="auto"/>
        <w:right w:val="none" w:sz="0" w:space="0" w:color="auto"/>
      </w:divBdr>
    </w:div>
    <w:div w:id="1886334156">
      <w:bodyDiv w:val="1"/>
      <w:marLeft w:val="0"/>
      <w:marRight w:val="0"/>
      <w:marTop w:val="0"/>
      <w:marBottom w:val="0"/>
      <w:divBdr>
        <w:top w:val="none" w:sz="0" w:space="0" w:color="auto"/>
        <w:left w:val="none" w:sz="0" w:space="0" w:color="auto"/>
        <w:bottom w:val="none" w:sz="0" w:space="0" w:color="auto"/>
        <w:right w:val="none" w:sz="0" w:space="0" w:color="auto"/>
      </w:divBdr>
    </w:div>
    <w:div w:id="1887253292">
      <w:bodyDiv w:val="1"/>
      <w:marLeft w:val="0"/>
      <w:marRight w:val="0"/>
      <w:marTop w:val="0"/>
      <w:marBottom w:val="0"/>
      <w:divBdr>
        <w:top w:val="none" w:sz="0" w:space="0" w:color="auto"/>
        <w:left w:val="none" w:sz="0" w:space="0" w:color="auto"/>
        <w:bottom w:val="none" w:sz="0" w:space="0" w:color="auto"/>
        <w:right w:val="none" w:sz="0" w:space="0" w:color="auto"/>
      </w:divBdr>
    </w:div>
    <w:div w:id="1887717000">
      <w:bodyDiv w:val="1"/>
      <w:marLeft w:val="0"/>
      <w:marRight w:val="0"/>
      <w:marTop w:val="0"/>
      <w:marBottom w:val="0"/>
      <w:divBdr>
        <w:top w:val="none" w:sz="0" w:space="0" w:color="auto"/>
        <w:left w:val="none" w:sz="0" w:space="0" w:color="auto"/>
        <w:bottom w:val="none" w:sz="0" w:space="0" w:color="auto"/>
        <w:right w:val="none" w:sz="0" w:space="0" w:color="auto"/>
      </w:divBdr>
    </w:div>
    <w:div w:id="1887989717">
      <w:bodyDiv w:val="1"/>
      <w:marLeft w:val="0"/>
      <w:marRight w:val="0"/>
      <w:marTop w:val="0"/>
      <w:marBottom w:val="0"/>
      <w:divBdr>
        <w:top w:val="none" w:sz="0" w:space="0" w:color="auto"/>
        <w:left w:val="none" w:sz="0" w:space="0" w:color="auto"/>
        <w:bottom w:val="none" w:sz="0" w:space="0" w:color="auto"/>
        <w:right w:val="none" w:sz="0" w:space="0" w:color="auto"/>
      </w:divBdr>
    </w:div>
    <w:div w:id="1892381482">
      <w:bodyDiv w:val="1"/>
      <w:marLeft w:val="0"/>
      <w:marRight w:val="0"/>
      <w:marTop w:val="0"/>
      <w:marBottom w:val="0"/>
      <w:divBdr>
        <w:top w:val="none" w:sz="0" w:space="0" w:color="auto"/>
        <w:left w:val="none" w:sz="0" w:space="0" w:color="auto"/>
        <w:bottom w:val="none" w:sz="0" w:space="0" w:color="auto"/>
        <w:right w:val="none" w:sz="0" w:space="0" w:color="auto"/>
      </w:divBdr>
    </w:div>
    <w:div w:id="1892646552">
      <w:bodyDiv w:val="1"/>
      <w:marLeft w:val="0"/>
      <w:marRight w:val="0"/>
      <w:marTop w:val="0"/>
      <w:marBottom w:val="0"/>
      <w:divBdr>
        <w:top w:val="none" w:sz="0" w:space="0" w:color="auto"/>
        <w:left w:val="none" w:sz="0" w:space="0" w:color="auto"/>
        <w:bottom w:val="none" w:sz="0" w:space="0" w:color="auto"/>
        <w:right w:val="none" w:sz="0" w:space="0" w:color="auto"/>
      </w:divBdr>
    </w:div>
    <w:div w:id="1896044010">
      <w:bodyDiv w:val="1"/>
      <w:marLeft w:val="0"/>
      <w:marRight w:val="0"/>
      <w:marTop w:val="0"/>
      <w:marBottom w:val="0"/>
      <w:divBdr>
        <w:top w:val="none" w:sz="0" w:space="0" w:color="auto"/>
        <w:left w:val="none" w:sz="0" w:space="0" w:color="auto"/>
        <w:bottom w:val="none" w:sz="0" w:space="0" w:color="auto"/>
        <w:right w:val="none" w:sz="0" w:space="0" w:color="auto"/>
      </w:divBdr>
    </w:div>
    <w:div w:id="1896311644">
      <w:bodyDiv w:val="1"/>
      <w:marLeft w:val="0"/>
      <w:marRight w:val="0"/>
      <w:marTop w:val="0"/>
      <w:marBottom w:val="0"/>
      <w:divBdr>
        <w:top w:val="none" w:sz="0" w:space="0" w:color="auto"/>
        <w:left w:val="none" w:sz="0" w:space="0" w:color="auto"/>
        <w:bottom w:val="none" w:sz="0" w:space="0" w:color="auto"/>
        <w:right w:val="none" w:sz="0" w:space="0" w:color="auto"/>
      </w:divBdr>
    </w:div>
    <w:div w:id="1898977734">
      <w:bodyDiv w:val="1"/>
      <w:marLeft w:val="0"/>
      <w:marRight w:val="0"/>
      <w:marTop w:val="0"/>
      <w:marBottom w:val="0"/>
      <w:divBdr>
        <w:top w:val="none" w:sz="0" w:space="0" w:color="auto"/>
        <w:left w:val="none" w:sz="0" w:space="0" w:color="auto"/>
        <w:bottom w:val="none" w:sz="0" w:space="0" w:color="auto"/>
        <w:right w:val="none" w:sz="0" w:space="0" w:color="auto"/>
      </w:divBdr>
    </w:div>
    <w:div w:id="1900556503">
      <w:bodyDiv w:val="1"/>
      <w:marLeft w:val="0"/>
      <w:marRight w:val="0"/>
      <w:marTop w:val="0"/>
      <w:marBottom w:val="0"/>
      <w:divBdr>
        <w:top w:val="none" w:sz="0" w:space="0" w:color="auto"/>
        <w:left w:val="none" w:sz="0" w:space="0" w:color="auto"/>
        <w:bottom w:val="none" w:sz="0" w:space="0" w:color="auto"/>
        <w:right w:val="none" w:sz="0" w:space="0" w:color="auto"/>
      </w:divBdr>
    </w:div>
    <w:div w:id="1901211828">
      <w:bodyDiv w:val="1"/>
      <w:marLeft w:val="0"/>
      <w:marRight w:val="0"/>
      <w:marTop w:val="0"/>
      <w:marBottom w:val="0"/>
      <w:divBdr>
        <w:top w:val="none" w:sz="0" w:space="0" w:color="auto"/>
        <w:left w:val="none" w:sz="0" w:space="0" w:color="auto"/>
        <w:bottom w:val="none" w:sz="0" w:space="0" w:color="auto"/>
        <w:right w:val="none" w:sz="0" w:space="0" w:color="auto"/>
      </w:divBdr>
    </w:div>
    <w:div w:id="1903445935">
      <w:bodyDiv w:val="1"/>
      <w:marLeft w:val="0"/>
      <w:marRight w:val="0"/>
      <w:marTop w:val="0"/>
      <w:marBottom w:val="0"/>
      <w:divBdr>
        <w:top w:val="none" w:sz="0" w:space="0" w:color="auto"/>
        <w:left w:val="none" w:sz="0" w:space="0" w:color="auto"/>
        <w:bottom w:val="none" w:sz="0" w:space="0" w:color="auto"/>
        <w:right w:val="none" w:sz="0" w:space="0" w:color="auto"/>
      </w:divBdr>
    </w:div>
    <w:div w:id="1903830566">
      <w:bodyDiv w:val="1"/>
      <w:marLeft w:val="0"/>
      <w:marRight w:val="0"/>
      <w:marTop w:val="0"/>
      <w:marBottom w:val="0"/>
      <w:divBdr>
        <w:top w:val="none" w:sz="0" w:space="0" w:color="auto"/>
        <w:left w:val="none" w:sz="0" w:space="0" w:color="auto"/>
        <w:bottom w:val="none" w:sz="0" w:space="0" w:color="auto"/>
        <w:right w:val="none" w:sz="0" w:space="0" w:color="auto"/>
      </w:divBdr>
    </w:div>
    <w:div w:id="1911189439">
      <w:bodyDiv w:val="1"/>
      <w:marLeft w:val="0"/>
      <w:marRight w:val="0"/>
      <w:marTop w:val="0"/>
      <w:marBottom w:val="0"/>
      <w:divBdr>
        <w:top w:val="none" w:sz="0" w:space="0" w:color="auto"/>
        <w:left w:val="none" w:sz="0" w:space="0" w:color="auto"/>
        <w:bottom w:val="none" w:sz="0" w:space="0" w:color="auto"/>
        <w:right w:val="none" w:sz="0" w:space="0" w:color="auto"/>
      </w:divBdr>
    </w:div>
    <w:div w:id="1914316982">
      <w:bodyDiv w:val="1"/>
      <w:marLeft w:val="0"/>
      <w:marRight w:val="0"/>
      <w:marTop w:val="0"/>
      <w:marBottom w:val="0"/>
      <w:divBdr>
        <w:top w:val="none" w:sz="0" w:space="0" w:color="auto"/>
        <w:left w:val="none" w:sz="0" w:space="0" w:color="auto"/>
        <w:bottom w:val="none" w:sz="0" w:space="0" w:color="auto"/>
        <w:right w:val="none" w:sz="0" w:space="0" w:color="auto"/>
      </w:divBdr>
    </w:div>
    <w:div w:id="1917324385">
      <w:bodyDiv w:val="1"/>
      <w:marLeft w:val="0"/>
      <w:marRight w:val="0"/>
      <w:marTop w:val="0"/>
      <w:marBottom w:val="0"/>
      <w:divBdr>
        <w:top w:val="none" w:sz="0" w:space="0" w:color="auto"/>
        <w:left w:val="none" w:sz="0" w:space="0" w:color="auto"/>
        <w:bottom w:val="none" w:sz="0" w:space="0" w:color="auto"/>
        <w:right w:val="none" w:sz="0" w:space="0" w:color="auto"/>
      </w:divBdr>
    </w:div>
    <w:div w:id="1917666708">
      <w:bodyDiv w:val="1"/>
      <w:marLeft w:val="0"/>
      <w:marRight w:val="0"/>
      <w:marTop w:val="0"/>
      <w:marBottom w:val="0"/>
      <w:divBdr>
        <w:top w:val="none" w:sz="0" w:space="0" w:color="auto"/>
        <w:left w:val="none" w:sz="0" w:space="0" w:color="auto"/>
        <w:bottom w:val="none" w:sz="0" w:space="0" w:color="auto"/>
        <w:right w:val="none" w:sz="0" w:space="0" w:color="auto"/>
      </w:divBdr>
    </w:div>
    <w:div w:id="1922789056">
      <w:bodyDiv w:val="1"/>
      <w:marLeft w:val="0"/>
      <w:marRight w:val="0"/>
      <w:marTop w:val="0"/>
      <w:marBottom w:val="0"/>
      <w:divBdr>
        <w:top w:val="none" w:sz="0" w:space="0" w:color="auto"/>
        <w:left w:val="none" w:sz="0" w:space="0" w:color="auto"/>
        <w:bottom w:val="none" w:sz="0" w:space="0" w:color="auto"/>
        <w:right w:val="none" w:sz="0" w:space="0" w:color="auto"/>
      </w:divBdr>
    </w:div>
    <w:div w:id="1923443996">
      <w:bodyDiv w:val="1"/>
      <w:marLeft w:val="0"/>
      <w:marRight w:val="0"/>
      <w:marTop w:val="0"/>
      <w:marBottom w:val="0"/>
      <w:divBdr>
        <w:top w:val="none" w:sz="0" w:space="0" w:color="auto"/>
        <w:left w:val="none" w:sz="0" w:space="0" w:color="auto"/>
        <w:bottom w:val="none" w:sz="0" w:space="0" w:color="auto"/>
        <w:right w:val="none" w:sz="0" w:space="0" w:color="auto"/>
      </w:divBdr>
    </w:div>
    <w:div w:id="1924408149">
      <w:bodyDiv w:val="1"/>
      <w:marLeft w:val="0"/>
      <w:marRight w:val="0"/>
      <w:marTop w:val="0"/>
      <w:marBottom w:val="0"/>
      <w:divBdr>
        <w:top w:val="none" w:sz="0" w:space="0" w:color="auto"/>
        <w:left w:val="none" w:sz="0" w:space="0" w:color="auto"/>
        <w:bottom w:val="none" w:sz="0" w:space="0" w:color="auto"/>
        <w:right w:val="none" w:sz="0" w:space="0" w:color="auto"/>
      </w:divBdr>
    </w:div>
    <w:div w:id="1924562349">
      <w:bodyDiv w:val="1"/>
      <w:marLeft w:val="0"/>
      <w:marRight w:val="0"/>
      <w:marTop w:val="0"/>
      <w:marBottom w:val="0"/>
      <w:divBdr>
        <w:top w:val="none" w:sz="0" w:space="0" w:color="auto"/>
        <w:left w:val="none" w:sz="0" w:space="0" w:color="auto"/>
        <w:bottom w:val="none" w:sz="0" w:space="0" w:color="auto"/>
        <w:right w:val="none" w:sz="0" w:space="0" w:color="auto"/>
      </w:divBdr>
    </w:div>
    <w:div w:id="1925021158">
      <w:bodyDiv w:val="1"/>
      <w:marLeft w:val="0"/>
      <w:marRight w:val="0"/>
      <w:marTop w:val="0"/>
      <w:marBottom w:val="0"/>
      <w:divBdr>
        <w:top w:val="none" w:sz="0" w:space="0" w:color="auto"/>
        <w:left w:val="none" w:sz="0" w:space="0" w:color="auto"/>
        <w:bottom w:val="none" w:sz="0" w:space="0" w:color="auto"/>
        <w:right w:val="none" w:sz="0" w:space="0" w:color="auto"/>
      </w:divBdr>
    </w:div>
    <w:div w:id="1925603526">
      <w:bodyDiv w:val="1"/>
      <w:marLeft w:val="0"/>
      <w:marRight w:val="0"/>
      <w:marTop w:val="0"/>
      <w:marBottom w:val="0"/>
      <w:divBdr>
        <w:top w:val="none" w:sz="0" w:space="0" w:color="auto"/>
        <w:left w:val="none" w:sz="0" w:space="0" w:color="auto"/>
        <w:bottom w:val="none" w:sz="0" w:space="0" w:color="auto"/>
        <w:right w:val="none" w:sz="0" w:space="0" w:color="auto"/>
      </w:divBdr>
    </w:div>
    <w:div w:id="1929071463">
      <w:bodyDiv w:val="1"/>
      <w:marLeft w:val="0"/>
      <w:marRight w:val="0"/>
      <w:marTop w:val="0"/>
      <w:marBottom w:val="0"/>
      <w:divBdr>
        <w:top w:val="none" w:sz="0" w:space="0" w:color="auto"/>
        <w:left w:val="none" w:sz="0" w:space="0" w:color="auto"/>
        <w:bottom w:val="none" w:sz="0" w:space="0" w:color="auto"/>
        <w:right w:val="none" w:sz="0" w:space="0" w:color="auto"/>
      </w:divBdr>
    </w:div>
    <w:div w:id="1929925621">
      <w:bodyDiv w:val="1"/>
      <w:marLeft w:val="0"/>
      <w:marRight w:val="0"/>
      <w:marTop w:val="0"/>
      <w:marBottom w:val="0"/>
      <w:divBdr>
        <w:top w:val="none" w:sz="0" w:space="0" w:color="auto"/>
        <w:left w:val="none" w:sz="0" w:space="0" w:color="auto"/>
        <w:bottom w:val="none" w:sz="0" w:space="0" w:color="auto"/>
        <w:right w:val="none" w:sz="0" w:space="0" w:color="auto"/>
      </w:divBdr>
    </w:div>
    <w:div w:id="1933196268">
      <w:bodyDiv w:val="1"/>
      <w:marLeft w:val="0"/>
      <w:marRight w:val="0"/>
      <w:marTop w:val="0"/>
      <w:marBottom w:val="0"/>
      <w:divBdr>
        <w:top w:val="none" w:sz="0" w:space="0" w:color="auto"/>
        <w:left w:val="none" w:sz="0" w:space="0" w:color="auto"/>
        <w:bottom w:val="none" w:sz="0" w:space="0" w:color="auto"/>
        <w:right w:val="none" w:sz="0" w:space="0" w:color="auto"/>
      </w:divBdr>
    </w:div>
    <w:div w:id="1936476254">
      <w:bodyDiv w:val="1"/>
      <w:marLeft w:val="0"/>
      <w:marRight w:val="0"/>
      <w:marTop w:val="0"/>
      <w:marBottom w:val="0"/>
      <w:divBdr>
        <w:top w:val="none" w:sz="0" w:space="0" w:color="auto"/>
        <w:left w:val="none" w:sz="0" w:space="0" w:color="auto"/>
        <w:bottom w:val="none" w:sz="0" w:space="0" w:color="auto"/>
        <w:right w:val="none" w:sz="0" w:space="0" w:color="auto"/>
      </w:divBdr>
    </w:div>
    <w:div w:id="1936749088">
      <w:bodyDiv w:val="1"/>
      <w:marLeft w:val="0"/>
      <w:marRight w:val="0"/>
      <w:marTop w:val="0"/>
      <w:marBottom w:val="0"/>
      <w:divBdr>
        <w:top w:val="none" w:sz="0" w:space="0" w:color="auto"/>
        <w:left w:val="none" w:sz="0" w:space="0" w:color="auto"/>
        <w:bottom w:val="none" w:sz="0" w:space="0" w:color="auto"/>
        <w:right w:val="none" w:sz="0" w:space="0" w:color="auto"/>
      </w:divBdr>
    </w:div>
    <w:div w:id="1937666065">
      <w:bodyDiv w:val="1"/>
      <w:marLeft w:val="0"/>
      <w:marRight w:val="0"/>
      <w:marTop w:val="0"/>
      <w:marBottom w:val="0"/>
      <w:divBdr>
        <w:top w:val="none" w:sz="0" w:space="0" w:color="auto"/>
        <w:left w:val="none" w:sz="0" w:space="0" w:color="auto"/>
        <w:bottom w:val="none" w:sz="0" w:space="0" w:color="auto"/>
        <w:right w:val="none" w:sz="0" w:space="0" w:color="auto"/>
      </w:divBdr>
    </w:div>
    <w:div w:id="1939175445">
      <w:bodyDiv w:val="1"/>
      <w:marLeft w:val="0"/>
      <w:marRight w:val="0"/>
      <w:marTop w:val="0"/>
      <w:marBottom w:val="0"/>
      <w:divBdr>
        <w:top w:val="none" w:sz="0" w:space="0" w:color="auto"/>
        <w:left w:val="none" w:sz="0" w:space="0" w:color="auto"/>
        <w:bottom w:val="none" w:sz="0" w:space="0" w:color="auto"/>
        <w:right w:val="none" w:sz="0" w:space="0" w:color="auto"/>
      </w:divBdr>
    </w:div>
    <w:div w:id="1939632323">
      <w:bodyDiv w:val="1"/>
      <w:marLeft w:val="0"/>
      <w:marRight w:val="0"/>
      <w:marTop w:val="0"/>
      <w:marBottom w:val="0"/>
      <w:divBdr>
        <w:top w:val="none" w:sz="0" w:space="0" w:color="auto"/>
        <w:left w:val="none" w:sz="0" w:space="0" w:color="auto"/>
        <w:bottom w:val="none" w:sz="0" w:space="0" w:color="auto"/>
        <w:right w:val="none" w:sz="0" w:space="0" w:color="auto"/>
      </w:divBdr>
    </w:div>
    <w:div w:id="1940403059">
      <w:bodyDiv w:val="1"/>
      <w:marLeft w:val="0"/>
      <w:marRight w:val="0"/>
      <w:marTop w:val="0"/>
      <w:marBottom w:val="0"/>
      <w:divBdr>
        <w:top w:val="none" w:sz="0" w:space="0" w:color="auto"/>
        <w:left w:val="none" w:sz="0" w:space="0" w:color="auto"/>
        <w:bottom w:val="none" w:sz="0" w:space="0" w:color="auto"/>
        <w:right w:val="none" w:sz="0" w:space="0" w:color="auto"/>
      </w:divBdr>
    </w:div>
    <w:div w:id="1940868439">
      <w:bodyDiv w:val="1"/>
      <w:marLeft w:val="0"/>
      <w:marRight w:val="0"/>
      <w:marTop w:val="0"/>
      <w:marBottom w:val="0"/>
      <w:divBdr>
        <w:top w:val="none" w:sz="0" w:space="0" w:color="auto"/>
        <w:left w:val="none" w:sz="0" w:space="0" w:color="auto"/>
        <w:bottom w:val="none" w:sz="0" w:space="0" w:color="auto"/>
        <w:right w:val="none" w:sz="0" w:space="0" w:color="auto"/>
      </w:divBdr>
    </w:div>
    <w:div w:id="1941526416">
      <w:bodyDiv w:val="1"/>
      <w:marLeft w:val="0"/>
      <w:marRight w:val="0"/>
      <w:marTop w:val="0"/>
      <w:marBottom w:val="0"/>
      <w:divBdr>
        <w:top w:val="none" w:sz="0" w:space="0" w:color="auto"/>
        <w:left w:val="none" w:sz="0" w:space="0" w:color="auto"/>
        <w:bottom w:val="none" w:sz="0" w:space="0" w:color="auto"/>
        <w:right w:val="none" w:sz="0" w:space="0" w:color="auto"/>
      </w:divBdr>
    </w:div>
    <w:div w:id="1943150677">
      <w:bodyDiv w:val="1"/>
      <w:marLeft w:val="0"/>
      <w:marRight w:val="0"/>
      <w:marTop w:val="0"/>
      <w:marBottom w:val="0"/>
      <w:divBdr>
        <w:top w:val="none" w:sz="0" w:space="0" w:color="auto"/>
        <w:left w:val="none" w:sz="0" w:space="0" w:color="auto"/>
        <w:bottom w:val="none" w:sz="0" w:space="0" w:color="auto"/>
        <w:right w:val="none" w:sz="0" w:space="0" w:color="auto"/>
      </w:divBdr>
    </w:div>
    <w:div w:id="1949461085">
      <w:bodyDiv w:val="1"/>
      <w:marLeft w:val="0"/>
      <w:marRight w:val="0"/>
      <w:marTop w:val="0"/>
      <w:marBottom w:val="0"/>
      <w:divBdr>
        <w:top w:val="none" w:sz="0" w:space="0" w:color="auto"/>
        <w:left w:val="none" w:sz="0" w:space="0" w:color="auto"/>
        <w:bottom w:val="none" w:sz="0" w:space="0" w:color="auto"/>
        <w:right w:val="none" w:sz="0" w:space="0" w:color="auto"/>
      </w:divBdr>
    </w:div>
    <w:div w:id="1958371903">
      <w:bodyDiv w:val="1"/>
      <w:marLeft w:val="0"/>
      <w:marRight w:val="0"/>
      <w:marTop w:val="0"/>
      <w:marBottom w:val="0"/>
      <w:divBdr>
        <w:top w:val="none" w:sz="0" w:space="0" w:color="auto"/>
        <w:left w:val="none" w:sz="0" w:space="0" w:color="auto"/>
        <w:bottom w:val="none" w:sz="0" w:space="0" w:color="auto"/>
        <w:right w:val="none" w:sz="0" w:space="0" w:color="auto"/>
      </w:divBdr>
    </w:div>
    <w:div w:id="1958751508">
      <w:bodyDiv w:val="1"/>
      <w:marLeft w:val="0"/>
      <w:marRight w:val="0"/>
      <w:marTop w:val="0"/>
      <w:marBottom w:val="0"/>
      <w:divBdr>
        <w:top w:val="none" w:sz="0" w:space="0" w:color="auto"/>
        <w:left w:val="none" w:sz="0" w:space="0" w:color="auto"/>
        <w:bottom w:val="none" w:sz="0" w:space="0" w:color="auto"/>
        <w:right w:val="none" w:sz="0" w:space="0" w:color="auto"/>
      </w:divBdr>
    </w:div>
    <w:div w:id="1959987097">
      <w:bodyDiv w:val="1"/>
      <w:marLeft w:val="0"/>
      <w:marRight w:val="0"/>
      <w:marTop w:val="0"/>
      <w:marBottom w:val="0"/>
      <w:divBdr>
        <w:top w:val="none" w:sz="0" w:space="0" w:color="auto"/>
        <w:left w:val="none" w:sz="0" w:space="0" w:color="auto"/>
        <w:bottom w:val="none" w:sz="0" w:space="0" w:color="auto"/>
        <w:right w:val="none" w:sz="0" w:space="0" w:color="auto"/>
      </w:divBdr>
    </w:div>
    <w:div w:id="1960138259">
      <w:bodyDiv w:val="1"/>
      <w:marLeft w:val="0"/>
      <w:marRight w:val="0"/>
      <w:marTop w:val="0"/>
      <w:marBottom w:val="0"/>
      <w:divBdr>
        <w:top w:val="none" w:sz="0" w:space="0" w:color="auto"/>
        <w:left w:val="none" w:sz="0" w:space="0" w:color="auto"/>
        <w:bottom w:val="none" w:sz="0" w:space="0" w:color="auto"/>
        <w:right w:val="none" w:sz="0" w:space="0" w:color="auto"/>
      </w:divBdr>
    </w:div>
    <w:div w:id="1960145766">
      <w:bodyDiv w:val="1"/>
      <w:marLeft w:val="0"/>
      <w:marRight w:val="0"/>
      <w:marTop w:val="0"/>
      <w:marBottom w:val="0"/>
      <w:divBdr>
        <w:top w:val="none" w:sz="0" w:space="0" w:color="auto"/>
        <w:left w:val="none" w:sz="0" w:space="0" w:color="auto"/>
        <w:bottom w:val="none" w:sz="0" w:space="0" w:color="auto"/>
        <w:right w:val="none" w:sz="0" w:space="0" w:color="auto"/>
      </w:divBdr>
    </w:div>
    <w:div w:id="1963002635">
      <w:bodyDiv w:val="1"/>
      <w:marLeft w:val="0"/>
      <w:marRight w:val="0"/>
      <w:marTop w:val="0"/>
      <w:marBottom w:val="0"/>
      <w:divBdr>
        <w:top w:val="none" w:sz="0" w:space="0" w:color="auto"/>
        <w:left w:val="none" w:sz="0" w:space="0" w:color="auto"/>
        <w:bottom w:val="none" w:sz="0" w:space="0" w:color="auto"/>
        <w:right w:val="none" w:sz="0" w:space="0" w:color="auto"/>
      </w:divBdr>
    </w:div>
    <w:div w:id="1964342973">
      <w:bodyDiv w:val="1"/>
      <w:marLeft w:val="0"/>
      <w:marRight w:val="0"/>
      <w:marTop w:val="0"/>
      <w:marBottom w:val="0"/>
      <w:divBdr>
        <w:top w:val="none" w:sz="0" w:space="0" w:color="auto"/>
        <w:left w:val="none" w:sz="0" w:space="0" w:color="auto"/>
        <w:bottom w:val="none" w:sz="0" w:space="0" w:color="auto"/>
        <w:right w:val="none" w:sz="0" w:space="0" w:color="auto"/>
      </w:divBdr>
    </w:div>
    <w:div w:id="1964801350">
      <w:bodyDiv w:val="1"/>
      <w:marLeft w:val="0"/>
      <w:marRight w:val="0"/>
      <w:marTop w:val="0"/>
      <w:marBottom w:val="0"/>
      <w:divBdr>
        <w:top w:val="none" w:sz="0" w:space="0" w:color="auto"/>
        <w:left w:val="none" w:sz="0" w:space="0" w:color="auto"/>
        <w:bottom w:val="none" w:sz="0" w:space="0" w:color="auto"/>
        <w:right w:val="none" w:sz="0" w:space="0" w:color="auto"/>
      </w:divBdr>
    </w:div>
    <w:div w:id="1967664482">
      <w:bodyDiv w:val="1"/>
      <w:marLeft w:val="0"/>
      <w:marRight w:val="0"/>
      <w:marTop w:val="0"/>
      <w:marBottom w:val="0"/>
      <w:divBdr>
        <w:top w:val="none" w:sz="0" w:space="0" w:color="auto"/>
        <w:left w:val="none" w:sz="0" w:space="0" w:color="auto"/>
        <w:bottom w:val="none" w:sz="0" w:space="0" w:color="auto"/>
        <w:right w:val="none" w:sz="0" w:space="0" w:color="auto"/>
      </w:divBdr>
    </w:div>
    <w:div w:id="1969428395">
      <w:bodyDiv w:val="1"/>
      <w:marLeft w:val="0"/>
      <w:marRight w:val="0"/>
      <w:marTop w:val="0"/>
      <w:marBottom w:val="0"/>
      <w:divBdr>
        <w:top w:val="none" w:sz="0" w:space="0" w:color="auto"/>
        <w:left w:val="none" w:sz="0" w:space="0" w:color="auto"/>
        <w:bottom w:val="none" w:sz="0" w:space="0" w:color="auto"/>
        <w:right w:val="none" w:sz="0" w:space="0" w:color="auto"/>
      </w:divBdr>
    </w:div>
    <w:div w:id="1970431122">
      <w:bodyDiv w:val="1"/>
      <w:marLeft w:val="0"/>
      <w:marRight w:val="0"/>
      <w:marTop w:val="0"/>
      <w:marBottom w:val="0"/>
      <w:divBdr>
        <w:top w:val="none" w:sz="0" w:space="0" w:color="auto"/>
        <w:left w:val="none" w:sz="0" w:space="0" w:color="auto"/>
        <w:bottom w:val="none" w:sz="0" w:space="0" w:color="auto"/>
        <w:right w:val="none" w:sz="0" w:space="0" w:color="auto"/>
      </w:divBdr>
    </w:div>
    <w:div w:id="1973826892">
      <w:bodyDiv w:val="1"/>
      <w:marLeft w:val="0"/>
      <w:marRight w:val="0"/>
      <w:marTop w:val="0"/>
      <w:marBottom w:val="0"/>
      <w:divBdr>
        <w:top w:val="none" w:sz="0" w:space="0" w:color="auto"/>
        <w:left w:val="none" w:sz="0" w:space="0" w:color="auto"/>
        <w:bottom w:val="none" w:sz="0" w:space="0" w:color="auto"/>
        <w:right w:val="none" w:sz="0" w:space="0" w:color="auto"/>
      </w:divBdr>
    </w:div>
    <w:div w:id="1978413288">
      <w:bodyDiv w:val="1"/>
      <w:marLeft w:val="0"/>
      <w:marRight w:val="0"/>
      <w:marTop w:val="0"/>
      <w:marBottom w:val="0"/>
      <w:divBdr>
        <w:top w:val="none" w:sz="0" w:space="0" w:color="auto"/>
        <w:left w:val="none" w:sz="0" w:space="0" w:color="auto"/>
        <w:bottom w:val="none" w:sz="0" w:space="0" w:color="auto"/>
        <w:right w:val="none" w:sz="0" w:space="0" w:color="auto"/>
      </w:divBdr>
    </w:div>
    <w:div w:id="1978946343">
      <w:bodyDiv w:val="1"/>
      <w:marLeft w:val="0"/>
      <w:marRight w:val="0"/>
      <w:marTop w:val="0"/>
      <w:marBottom w:val="0"/>
      <w:divBdr>
        <w:top w:val="none" w:sz="0" w:space="0" w:color="auto"/>
        <w:left w:val="none" w:sz="0" w:space="0" w:color="auto"/>
        <w:bottom w:val="none" w:sz="0" w:space="0" w:color="auto"/>
        <w:right w:val="none" w:sz="0" w:space="0" w:color="auto"/>
      </w:divBdr>
    </w:div>
    <w:div w:id="1979339845">
      <w:bodyDiv w:val="1"/>
      <w:marLeft w:val="0"/>
      <w:marRight w:val="0"/>
      <w:marTop w:val="0"/>
      <w:marBottom w:val="0"/>
      <w:divBdr>
        <w:top w:val="none" w:sz="0" w:space="0" w:color="auto"/>
        <w:left w:val="none" w:sz="0" w:space="0" w:color="auto"/>
        <w:bottom w:val="none" w:sz="0" w:space="0" w:color="auto"/>
        <w:right w:val="none" w:sz="0" w:space="0" w:color="auto"/>
      </w:divBdr>
    </w:div>
    <w:div w:id="1982152252">
      <w:bodyDiv w:val="1"/>
      <w:marLeft w:val="0"/>
      <w:marRight w:val="0"/>
      <w:marTop w:val="0"/>
      <w:marBottom w:val="0"/>
      <w:divBdr>
        <w:top w:val="none" w:sz="0" w:space="0" w:color="auto"/>
        <w:left w:val="none" w:sz="0" w:space="0" w:color="auto"/>
        <w:bottom w:val="none" w:sz="0" w:space="0" w:color="auto"/>
        <w:right w:val="none" w:sz="0" w:space="0" w:color="auto"/>
      </w:divBdr>
    </w:div>
    <w:div w:id="1983074578">
      <w:bodyDiv w:val="1"/>
      <w:marLeft w:val="0"/>
      <w:marRight w:val="0"/>
      <w:marTop w:val="0"/>
      <w:marBottom w:val="0"/>
      <w:divBdr>
        <w:top w:val="none" w:sz="0" w:space="0" w:color="auto"/>
        <w:left w:val="none" w:sz="0" w:space="0" w:color="auto"/>
        <w:bottom w:val="none" w:sz="0" w:space="0" w:color="auto"/>
        <w:right w:val="none" w:sz="0" w:space="0" w:color="auto"/>
      </w:divBdr>
    </w:div>
    <w:div w:id="1983120447">
      <w:bodyDiv w:val="1"/>
      <w:marLeft w:val="0"/>
      <w:marRight w:val="0"/>
      <w:marTop w:val="0"/>
      <w:marBottom w:val="0"/>
      <w:divBdr>
        <w:top w:val="none" w:sz="0" w:space="0" w:color="auto"/>
        <w:left w:val="none" w:sz="0" w:space="0" w:color="auto"/>
        <w:bottom w:val="none" w:sz="0" w:space="0" w:color="auto"/>
        <w:right w:val="none" w:sz="0" w:space="0" w:color="auto"/>
      </w:divBdr>
    </w:div>
    <w:div w:id="1983734981">
      <w:bodyDiv w:val="1"/>
      <w:marLeft w:val="0"/>
      <w:marRight w:val="0"/>
      <w:marTop w:val="0"/>
      <w:marBottom w:val="0"/>
      <w:divBdr>
        <w:top w:val="none" w:sz="0" w:space="0" w:color="auto"/>
        <w:left w:val="none" w:sz="0" w:space="0" w:color="auto"/>
        <w:bottom w:val="none" w:sz="0" w:space="0" w:color="auto"/>
        <w:right w:val="none" w:sz="0" w:space="0" w:color="auto"/>
      </w:divBdr>
    </w:div>
    <w:div w:id="1985885585">
      <w:bodyDiv w:val="1"/>
      <w:marLeft w:val="0"/>
      <w:marRight w:val="0"/>
      <w:marTop w:val="0"/>
      <w:marBottom w:val="0"/>
      <w:divBdr>
        <w:top w:val="none" w:sz="0" w:space="0" w:color="auto"/>
        <w:left w:val="none" w:sz="0" w:space="0" w:color="auto"/>
        <w:bottom w:val="none" w:sz="0" w:space="0" w:color="auto"/>
        <w:right w:val="none" w:sz="0" w:space="0" w:color="auto"/>
      </w:divBdr>
    </w:div>
    <w:div w:id="1986812652">
      <w:bodyDiv w:val="1"/>
      <w:marLeft w:val="0"/>
      <w:marRight w:val="0"/>
      <w:marTop w:val="0"/>
      <w:marBottom w:val="0"/>
      <w:divBdr>
        <w:top w:val="none" w:sz="0" w:space="0" w:color="auto"/>
        <w:left w:val="none" w:sz="0" w:space="0" w:color="auto"/>
        <w:bottom w:val="none" w:sz="0" w:space="0" w:color="auto"/>
        <w:right w:val="none" w:sz="0" w:space="0" w:color="auto"/>
      </w:divBdr>
    </w:div>
    <w:div w:id="1987204211">
      <w:bodyDiv w:val="1"/>
      <w:marLeft w:val="0"/>
      <w:marRight w:val="0"/>
      <w:marTop w:val="0"/>
      <w:marBottom w:val="0"/>
      <w:divBdr>
        <w:top w:val="none" w:sz="0" w:space="0" w:color="auto"/>
        <w:left w:val="none" w:sz="0" w:space="0" w:color="auto"/>
        <w:bottom w:val="none" w:sz="0" w:space="0" w:color="auto"/>
        <w:right w:val="none" w:sz="0" w:space="0" w:color="auto"/>
      </w:divBdr>
    </w:div>
    <w:div w:id="1988509837">
      <w:bodyDiv w:val="1"/>
      <w:marLeft w:val="0"/>
      <w:marRight w:val="0"/>
      <w:marTop w:val="0"/>
      <w:marBottom w:val="0"/>
      <w:divBdr>
        <w:top w:val="none" w:sz="0" w:space="0" w:color="auto"/>
        <w:left w:val="none" w:sz="0" w:space="0" w:color="auto"/>
        <w:bottom w:val="none" w:sz="0" w:space="0" w:color="auto"/>
        <w:right w:val="none" w:sz="0" w:space="0" w:color="auto"/>
      </w:divBdr>
    </w:div>
    <w:div w:id="1990401468">
      <w:bodyDiv w:val="1"/>
      <w:marLeft w:val="0"/>
      <w:marRight w:val="0"/>
      <w:marTop w:val="0"/>
      <w:marBottom w:val="0"/>
      <w:divBdr>
        <w:top w:val="none" w:sz="0" w:space="0" w:color="auto"/>
        <w:left w:val="none" w:sz="0" w:space="0" w:color="auto"/>
        <w:bottom w:val="none" w:sz="0" w:space="0" w:color="auto"/>
        <w:right w:val="none" w:sz="0" w:space="0" w:color="auto"/>
      </w:divBdr>
    </w:div>
    <w:div w:id="1990473252">
      <w:bodyDiv w:val="1"/>
      <w:marLeft w:val="0"/>
      <w:marRight w:val="0"/>
      <w:marTop w:val="0"/>
      <w:marBottom w:val="0"/>
      <w:divBdr>
        <w:top w:val="none" w:sz="0" w:space="0" w:color="auto"/>
        <w:left w:val="none" w:sz="0" w:space="0" w:color="auto"/>
        <w:bottom w:val="none" w:sz="0" w:space="0" w:color="auto"/>
        <w:right w:val="none" w:sz="0" w:space="0" w:color="auto"/>
      </w:divBdr>
    </w:div>
    <w:div w:id="1992438603">
      <w:bodyDiv w:val="1"/>
      <w:marLeft w:val="0"/>
      <w:marRight w:val="0"/>
      <w:marTop w:val="0"/>
      <w:marBottom w:val="0"/>
      <w:divBdr>
        <w:top w:val="none" w:sz="0" w:space="0" w:color="auto"/>
        <w:left w:val="none" w:sz="0" w:space="0" w:color="auto"/>
        <w:bottom w:val="none" w:sz="0" w:space="0" w:color="auto"/>
        <w:right w:val="none" w:sz="0" w:space="0" w:color="auto"/>
      </w:divBdr>
    </w:div>
    <w:div w:id="1993286895">
      <w:bodyDiv w:val="1"/>
      <w:marLeft w:val="0"/>
      <w:marRight w:val="0"/>
      <w:marTop w:val="0"/>
      <w:marBottom w:val="0"/>
      <w:divBdr>
        <w:top w:val="none" w:sz="0" w:space="0" w:color="auto"/>
        <w:left w:val="none" w:sz="0" w:space="0" w:color="auto"/>
        <w:bottom w:val="none" w:sz="0" w:space="0" w:color="auto"/>
        <w:right w:val="none" w:sz="0" w:space="0" w:color="auto"/>
      </w:divBdr>
    </w:div>
    <w:div w:id="2004582078">
      <w:bodyDiv w:val="1"/>
      <w:marLeft w:val="0"/>
      <w:marRight w:val="0"/>
      <w:marTop w:val="0"/>
      <w:marBottom w:val="0"/>
      <w:divBdr>
        <w:top w:val="none" w:sz="0" w:space="0" w:color="auto"/>
        <w:left w:val="none" w:sz="0" w:space="0" w:color="auto"/>
        <w:bottom w:val="none" w:sz="0" w:space="0" w:color="auto"/>
        <w:right w:val="none" w:sz="0" w:space="0" w:color="auto"/>
      </w:divBdr>
    </w:div>
    <w:div w:id="2006662761">
      <w:bodyDiv w:val="1"/>
      <w:marLeft w:val="0"/>
      <w:marRight w:val="0"/>
      <w:marTop w:val="0"/>
      <w:marBottom w:val="0"/>
      <w:divBdr>
        <w:top w:val="none" w:sz="0" w:space="0" w:color="auto"/>
        <w:left w:val="none" w:sz="0" w:space="0" w:color="auto"/>
        <w:bottom w:val="none" w:sz="0" w:space="0" w:color="auto"/>
        <w:right w:val="none" w:sz="0" w:space="0" w:color="auto"/>
      </w:divBdr>
    </w:div>
    <w:div w:id="2007584743">
      <w:bodyDiv w:val="1"/>
      <w:marLeft w:val="0"/>
      <w:marRight w:val="0"/>
      <w:marTop w:val="0"/>
      <w:marBottom w:val="0"/>
      <w:divBdr>
        <w:top w:val="none" w:sz="0" w:space="0" w:color="auto"/>
        <w:left w:val="none" w:sz="0" w:space="0" w:color="auto"/>
        <w:bottom w:val="none" w:sz="0" w:space="0" w:color="auto"/>
        <w:right w:val="none" w:sz="0" w:space="0" w:color="auto"/>
      </w:divBdr>
    </w:div>
    <w:div w:id="2007592600">
      <w:bodyDiv w:val="1"/>
      <w:marLeft w:val="0"/>
      <w:marRight w:val="0"/>
      <w:marTop w:val="0"/>
      <w:marBottom w:val="0"/>
      <w:divBdr>
        <w:top w:val="none" w:sz="0" w:space="0" w:color="auto"/>
        <w:left w:val="none" w:sz="0" w:space="0" w:color="auto"/>
        <w:bottom w:val="none" w:sz="0" w:space="0" w:color="auto"/>
        <w:right w:val="none" w:sz="0" w:space="0" w:color="auto"/>
      </w:divBdr>
    </w:div>
    <w:div w:id="2008172489">
      <w:bodyDiv w:val="1"/>
      <w:marLeft w:val="0"/>
      <w:marRight w:val="0"/>
      <w:marTop w:val="0"/>
      <w:marBottom w:val="0"/>
      <w:divBdr>
        <w:top w:val="none" w:sz="0" w:space="0" w:color="auto"/>
        <w:left w:val="none" w:sz="0" w:space="0" w:color="auto"/>
        <w:bottom w:val="none" w:sz="0" w:space="0" w:color="auto"/>
        <w:right w:val="none" w:sz="0" w:space="0" w:color="auto"/>
      </w:divBdr>
    </w:div>
    <w:div w:id="2008248844">
      <w:bodyDiv w:val="1"/>
      <w:marLeft w:val="0"/>
      <w:marRight w:val="0"/>
      <w:marTop w:val="0"/>
      <w:marBottom w:val="0"/>
      <w:divBdr>
        <w:top w:val="none" w:sz="0" w:space="0" w:color="auto"/>
        <w:left w:val="none" w:sz="0" w:space="0" w:color="auto"/>
        <w:bottom w:val="none" w:sz="0" w:space="0" w:color="auto"/>
        <w:right w:val="none" w:sz="0" w:space="0" w:color="auto"/>
      </w:divBdr>
    </w:div>
    <w:div w:id="2010407726">
      <w:bodyDiv w:val="1"/>
      <w:marLeft w:val="0"/>
      <w:marRight w:val="0"/>
      <w:marTop w:val="0"/>
      <w:marBottom w:val="0"/>
      <w:divBdr>
        <w:top w:val="none" w:sz="0" w:space="0" w:color="auto"/>
        <w:left w:val="none" w:sz="0" w:space="0" w:color="auto"/>
        <w:bottom w:val="none" w:sz="0" w:space="0" w:color="auto"/>
        <w:right w:val="none" w:sz="0" w:space="0" w:color="auto"/>
      </w:divBdr>
    </w:div>
    <w:div w:id="2013217534">
      <w:bodyDiv w:val="1"/>
      <w:marLeft w:val="0"/>
      <w:marRight w:val="0"/>
      <w:marTop w:val="0"/>
      <w:marBottom w:val="0"/>
      <w:divBdr>
        <w:top w:val="none" w:sz="0" w:space="0" w:color="auto"/>
        <w:left w:val="none" w:sz="0" w:space="0" w:color="auto"/>
        <w:bottom w:val="none" w:sz="0" w:space="0" w:color="auto"/>
        <w:right w:val="none" w:sz="0" w:space="0" w:color="auto"/>
      </w:divBdr>
    </w:div>
    <w:div w:id="2020697865">
      <w:bodyDiv w:val="1"/>
      <w:marLeft w:val="0"/>
      <w:marRight w:val="0"/>
      <w:marTop w:val="0"/>
      <w:marBottom w:val="0"/>
      <w:divBdr>
        <w:top w:val="none" w:sz="0" w:space="0" w:color="auto"/>
        <w:left w:val="none" w:sz="0" w:space="0" w:color="auto"/>
        <w:bottom w:val="none" w:sz="0" w:space="0" w:color="auto"/>
        <w:right w:val="none" w:sz="0" w:space="0" w:color="auto"/>
      </w:divBdr>
    </w:div>
    <w:div w:id="2023973823">
      <w:bodyDiv w:val="1"/>
      <w:marLeft w:val="0"/>
      <w:marRight w:val="0"/>
      <w:marTop w:val="0"/>
      <w:marBottom w:val="0"/>
      <w:divBdr>
        <w:top w:val="none" w:sz="0" w:space="0" w:color="auto"/>
        <w:left w:val="none" w:sz="0" w:space="0" w:color="auto"/>
        <w:bottom w:val="none" w:sz="0" w:space="0" w:color="auto"/>
        <w:right w:val="none" w:sz="0" w:space="0" w:color="auto"/>
      </w:divBdr>
    </w:div>
    <w:div w:id="2024895799">
      <w:bodyDiv w:val="1"/>
      <w:marLeft w:val="0"/>
      <w:marRight w:val="0"/>
      <w:marTop w:val="0"/>
      <w:marBottom w:val="0"/>
      <w:divBdr>
        <w:top w:val="none" w:sz="0" w:space="0" w:color="auto"/>
        <w:left w:val="none" w:sz="0" w:space="0" w:color="auto"/>
        <w:bottom w:val="none" w:sz="0" w:space="0" w:color="auto"/>
        <w:right w:val="none" w:sz="0" w:space="0" w:color="auto"/>
      </w:divBdr>
    </w:div>
    <w:div w:id="2027754667">
      <w:bodyDiv w:val="1"/>
      <w:marLeft w:val="0"/>
      <w:marRight w:val="0"/>
      <w:marTop w:val="0"/>
      <w:marBottom w:val="0"/>
      <w:divBdr>
        <w:top w:val="none" w:sz="0" w:space="0" w:color="auto"/>
        <w:left w:val="none" w:sz="0" w:space="0" w:color="auto"/>
        <w:bottom w:val="none" w:sz="0" w:space="0" w:color="auto"/>
        <w:right w:val="none" w:sz="0" w:space="0" w:color="auto"/>
      </w:divBdr>
    </w:div>
    <w:div w:id="2030400728">
      <w:bodyDiv w:val="1"/>
      <w:marLeft w:val="0"/>
      <w:marRight w:val="0"/>
      <w:marTop w:val="0"/>
      <w:marBottom w:val="0"/>
      <w:divBdr>
        <w:top w:val="none" w:sz="0" w:space="0" w:color="auto"/>
        <w:left w:val="none" w:sz="0" w:space="0" w:color="auto"/>
        <w:bottom w:val="none" w:sz="0" w:space="0" w:color="auto"/>
        <w:right w:val="none" w:sz="0" w:space="0" w:color="auto"/>
      </w:divBdr>
    </w:div>
    <w:div w:id="2033844974">
      <w:bodyDiv w:val="1"/>
      <w:marLeft w:val="0"/>
      <w:marRight w:val="0"/>
      <w:marTop w:val="0"/>
      <w:marBottom w:val="0"/>
      <w:divBdr>
        <w:top w:val="none" w:sz="0" w:space="0" w:color="auto"/>
        <w:left w:val="none" w:sz="0" w:space="0" w:color="auto"/>
        <w:bottom w:val="none" w:sz="0" w:space="0" w:color="auto"/>
        <w:right w:val="none" w:sz="0" w:space="0" w:color="auto"/>
      </w:divBdr>
    </w:div>
    <w:div w:id="2035031966">
      <w:bodyDiv w:val="1"/>
      <w:marLeft w:val="0"/>
      <w:marRight w:val="0"/>
      <w:marTop w:val="0"/>
      <w:marBottom w:val="0"/>
      <w:divBdr>
        <w:top w:val="none" w:sz="0" w:space="0" w:color="auto"/>
        <w:left w:val="none" w:sz="0" w:space="0" w:color="auto"/>
        <w:bottom w:val="none" w:sz="0" w:space="0" w:color="auto"/>
        <w:right w:val="none" w:sz="0" w:space="0" w:color="auto"/>
      </w:divBdr>
    </w:div>
    <w:div w:id="2038461770">
      <w:bodyDiv w:val="1"/>
      <w:marLeft w:val="0"/>
      <w:marRight w:val="0"/>
      <w:marTop w:val="0"/>
      <w:marBottom w:val="0"/>
      <w:divBdr>
        <w:top w:val="none" w:sz="0" w:space="0" w:color="auto"/>
        <w:left w:val="none" w:sz="0" w:space="0" w:color="auto"/>
        <w:bottom w:val="none" w:sz="0" w:space="0" w:color="auto"/>
        <w:right w:val="none" w:sz="0" w:space="0" w:color="auto"/>
      </w:divBdr>
    </w:div>
    <w:div w:id="2041467561">
      <w:bodyDiv w:val="1"/>
      <w:marLeft w:val="0"/>
      <w:marRight w:val="0"/>
      <w:marTop w:val="0"/>
      <w:marBottom w:val="0"/>
      <w:divBdr>
        <w:top w:val="none" w:sz="0" w:space="0" w:color="auto"/>
        <w:left w:val="none" w:sz="0" w:space="0" w:color="auto"/>
        <w:bottom w:val="none" w:sz="0" w:space="0" w:color="auto"/>
        <w:right w:val="none" w:sz="0" w:space="0" w:color="auto"/>
      </w:divBdr>
    </w:div>
    <w:div w:id="2042391849">
      <w:bodyDiv w:val="1"/>
      <w:marLeft w:val="0"/>
      <w:marRight w:val="0"/>
      <w:marTop w:val="0"/>
      <w:marBottom w:val="0"/>
      <w:divBdr>
        <w:top w:val="none" w:sz="0" w:space="0" w:color="auto"/>
        <w:left w:val="none" w:sz="0" w:space="0" w:color="auto"/>
        <w:bottom w:val="none" w:sz="0" w:space="0" w:color="auto"/>
        <w:right w:val="none" w:sz="0" w:space="0" w:color="auto"/>
      </w:divBdr>
    </w:div>
    <w:div w:id="2042896538">
      <w:bodyDiv w:val="1"/>
      <w:marLeft w:val="0"/>
      <w:marRight w:val="0"/>
      <w:marTop w:val="0"/>
      <w:marBottom w:val="0"/>
      <w:divBdr>
        <w:top w:val="none" w:sz="0" w:space="0" w:color="auto"/>
        <w:left w:val="none" w:sz="0" w:space="0" w:color="auto"/>
        <w:bottom w:val="none" w:sz="0" w:space="0" w:color="auto"/>
        <w:right w:val="none" w:sz="0" w:space="0" w:color="auto"/>
      </w:divBdr>
    </w:div>
    <w:div w:id="2042897195">
      <w:bodyDiv w:val="1"/>
      <w:marLeft w:val="0"/>
      <w:marRight w:val="0"/>
      <w:marTop w:val="0"/>
      <w:marBottom w:val="0"/>
      <w:divBdr>
        <w:top w:val="none" w:sz="0" w:space="0" w:color="auto"/>
        <w:left w:val="none" w:sz="0" w:space="0" w:color="auto"/>
        <w:bottom w:val="none" w:sz="0" w:space="0" w:color="auto"/>
        <w:right w:val="none" w:sz="0" w:space="0" w:color="auto"/>
      </w:divBdr>
    </w:div>
    <w:div w:id="2044789826">
      <w:bodyDiv w:val="1"/>
      <w:marLeft w:val="0"/>
      <w:marRight w:val="0"/>
      <w:marTop w:val="0"/>
      <w:marBottom w:val="0"/>
      <w:divBdr>
        <w:top w:val="none" w:sz="0" w:space="0" w:color="auto"/>
        <w:left w:val="none" w:sz="0" w:space="0" w:color="auto"/>
        <w:bottom w:val="none" w:sz="0" w:space="0" w:color="auto"/>
        <w:right w:val="none" w:sz="0" w:space="0" w:color="auto"/>
      </w:divBdr>
    </w:div>
    <w:div w:id="2045859517">
      <w:bodyDiv w:val="1"/>
      <w:marLeft w:val="0"/>
      <w:marRight w:val="0"/>
      <w:marTop w:val="0"/>
      <w:marBottom w:val="0"/>
      <w:divBdr>
        <w:top w:val="none" w:sz="0" w:space="0" w:color="auto"/>
        <w:left w:val="none" w:sz="0" w:space="0" w:color="auto"/>
        <w:bottom w:val="none" w:sz="0" w:space="0" w:color="auto"/>
        <w:right w:val="none" w:sz="0" w:space="0" w:color="auto"/>
      </w:divBdr>
    </w:div>
    <w:div w:id="2046983106">
      <w:bodyDiv w:val="1"/>
      <w:marLeft w:val="0"/>
      <w:marRight w:val="0"/>
      <w:marTop w:val="0"/>
      <w:marBottom w:val="0"/>
      <w:divBdr>
        <w:top w:val="none" w:sz="0" w:space="0" w:color="auto"/>
        <w:left w:val="none" w:sz="0" w:space="0" w:color="auto"/>
        <w:bottom w:val="none" w:sz="0" w:space="0" w:color="auto"/>
        <w:right w:val="none" w:sz="0" w:space="0" w:color="auto"/>
      </w:divBdr>
    </w:div>
    <w:div w:id="2047442903">
      <w:bodyDiv w:val="1"/>
      <w:marLeft w:val="0"/>
      <w:marRight w:val="0"/>
      <w:marTop w:val="0"/>
      <w:marBottom w:val="0"/>
      <w:divBdr>
        <w:top w:val="none" w:sz="0" w:space="0" w:color="auto"/>
        <w:left w:val="none" w:sz="0" w:space="0" w:color="auto"/>
        <w:bottom w:val="none" w:sz="0" w:space="0" w:color="auto"/>
        <w:right w:val="none" w:sz="0" w:space="0" w:color="auto"/>
      </w:divBdr>
    </w:div>
    <w:div w:id="2047562944">
      <w:bodyDiv w:val="1"/>
      <w:marLeft w:val="0"/>
      <w:marRight w:val="0"/>
      <w:marTop w:val="0"/>
      <w:marBottom w:val="0"/>
      <w:divBdr>
        <w:top w:val="none" w:sz="0" w:space="0" w:color="auto"/>
        <w:left w:val="none" w:sz="0" w:space="0" w:color="auto"/>
        <w:bottom w:val="none" w:sz="0" w:space="0" w:color="auto"/>
        <w:right w:val="none" w:sz="0" w:space="0" w:color="auto"/>
      </w:divBdr>
    </w:div>
    <w:div w:id="2048555866">
      <w:bodyDiv w:val="1"/>
      <w:marLeft w:val="0"/>
      <w:marRight w:val="0"/>
      <w:marTop w:val="0"/>
      <w:marBottom w:val="0"/>
      <w:divBdr>
        <w:top w:val="none" w:sz="0" w:space="0" w:color="auto"/>
        <w:left w:val="none" w:sz="0" w:space="0" w:color="auto"/>
        <w:bottom w:val="none" w:sz="0" w:space="0" w:color="auto"/>
        <w:right w:val="none" w:sz="0" w:space="0" w:color="auto"/>
      </w:divBdr>
    </w:div>
    <w:div w:id="2052727747">
      <w:bodyDiv w:val="1"/>
      <w:marLeft w:val="0"/>
      <w:marRight w:val="0"/>
      <w:marTop w:val="0"/>
      <w:marBottom w:val="0"/>
      <w:divBdr>
        <w:top w:val="none" w:sz="0" w:space="0" w:color="auto"/>
        <w:left w:val="none" w:sz="0" w:space="0" w:color="auto"/>
        <w:bottom w:val="none" w:sz="0" w:space="0" w:color="auto"/>
        <w:right w:val="none" w:sz="0" w:space="0" w:color="auto"/>
      </w:divBdr>
    </w:div>
    <w:div w:id="2053187225">
      <w:bodyDiv w:val="1"/>
      <w:marLeft w:val="0"/>
      <w:marRight w:val="0"/>
      <w:marTop w:val="0"/>
      <w:marBottom w:val="0"/>
      <w:divBdr>
        <w:top w:val="none" w:sz="0" w:space="0" w:color="auto"/>
        <w:left w:val="none" w:sz="0" w:space="0" w:color="auto"/>
        <w:bottom w:val="none" w:sz="0" w:space="0" w:color="auto"/>
        <w:right w:val="none" w:sz="0" w:space="0" w:color="auto"/>
      </w:divBdr>
    </w:div>
    <w:div w:id="2053844141">
      <w:bodyDiv w:val="1"/>
      <w:marLeft w:val="0"/>
      <w:marRight w:val="0"/>
      <w:marTop w:val="0"/>
      <w:marBottom w:val="0"/>
      <w:divBdr>
        <w:top w:val="none" w:sz="0" w:space="0" w:color="auto"/>
        <w:left w:val="none" w:sz="0" w:space="0" w:color="auto"/>
        <w:bottom w:val="none" w:sz="0" w:space="0" w:color="auto"/>
        <w:right w:val="none" w:sz="0" w:space="0" w:color="auto"/>
      </w:divBdr>
    </w:div>
    <w:div w:id="2055885657">
      <w:bodyDiv w:val="1"/>
      <w:marLeft w:val="0"/>
      <w:marRight w:val="0"/>
      <w:marTop w:val="0"/>
      <w:marBottom w:val="0"/>
      <w:divBdr>
        <w:top w:val="none" w:sz="0" w:space="0" w:color="auto"/>
        <w:left w:val="none" w:sz="0" w:space="0" w:color="auto"/>
        <w:bottom w:val="none" w:sz="0" w:space="0" w:color="auto"/>
        <w:right w:val="none" w:sz="0" w:space="0" w:color="auto"/>
      </w:divBdr>
    </w:div>
    <w:div w:id="2057772538">
      <w:bodyDiv w:val="1"/>
      <w:marLeft w:val="0"/>
      <w:marRight w:val="0"/>
      <w:marTop w:val="0"/>
      <w:marBottom w:val="0"/>
      <w:divBdr>
        <w:top w:val="none" w:sz="0" w:space="0" w:color="auto"/>
        <w:left w:val="none" w:sz="0" w:space="0" w:color="auto"/>
        <w:bottom w:val="none" w:sz="0" w:space="0" w:color="auto"/>
        <w:right w:val="none" w:sz="0" w:space="0" w:color="auto"/>
      </w:divBdr>
    </w:div>
    <w:div w:id="2058046274">
      <w:bodyDiv w:val="1"/>
      <w:marLeft w:val="0"/>
      <w:marRight w:val="0"/>
      <w:marTop w:val="0"/>
      <w:marBottom w:val="0"/>
      <w:divBdr>
        <w:top w:val="none" w:sz="0" w:space="0" w:color="auto"/>
        <w:left w:val="none" w:sz="0" w:space="0" w:color="auto"/>
        <w:bottom w:val="none" w:sz="0" w:space="0" w:color="auto"/>
        <w:right w:val="none" w:sz="0" w:space="0" w:color="auto"/>
      </w:divBdr>
    </w:div>
    <w:div w:id="2060781381">
      <w:bodyDiv w:val="1"/>
      <w:marLeft w:val="0"/>
      <w:marRight w:val="0"/>
      <w:marTop w:val="0"/>
      <w:marBottom w:val="0"/>
      <w:divBdr>
        <w:top w:val="none" w:sz="0" w:space="0" w:color="auto"/>
        <w:left w:val="none" w:sz="0" w:space="0" w:color="auto"/>
        <w:bottom w:val="none" w:sz="0" w:space="0" w:color="auto"/>
        <w:right w:val="none" w:sz="0" w:space="0" w:color="auto"/>
      </w:divBdr>
    </w:div>
    <w:div w:id="2061588848">
      <w:bodyDiv w:val="1"/>
      <w:marLeft w:val="0"/>
      <w:marRight w:val="0"/>
      <w:marTop w:val="0"/>
      <w:marBottom w:val="0"/>
      <w:divBdr>
        <w:top w:val="none" w:sz="0" w:space="0" w:color="auto"/>
        <w:left w:val="none" w:sz="0" w:space="0" w:color="auto"/>
        <w:bottom w:val="none" w:sz="0" w:space="0" w:color="auto"/>
        <w:right w:val="none" w:sz="0" w:space="0" w:color="auto"/>
      </w:divBdr>
    </w:div>
    <w:div w:id="2061711266">
      <w:bodyDiv w:val="1"/>
      <w:marLeft w:val="0"/>
      <w:marRight w:val="0"/>
      <w:marTop w:val="0"/>
      <w:marBottom w:val="0"/>
      <w:divBdr>
        <w:top w:val="none" w:sz="0" w:space="0" w:color="auto"/>
        <w:left w:val="none" w:sz="0" w:space="0" w:color="auto"/>
        <w:bottom w:val="none" w:sz="0" w:space="0" w:color="auto"/>
        <w:right w:val="none" w:sz="0" w:space="0" w:color="auto"/>
      </w:divBdr>
    </w:div>
    <w:div w:id="2063941814">
      <w:bodyDiv w:val="1"/>
      <w:marLeft w:val="0"/>
      <w:marRight w:val="0"/>
      <w:marTop w:val="0"/>
      <w:marBottom w:val="0"/>
      <w:divBdr>
        <w:top w:val="none" w:sz="0" w:space="0" w:color="auto"/>
        <w:left w:val="none" w:sz="0" w:space="0" w:color="auto"/>
        <w:bottom w:val="none" w:sz="0" w:space="0" w:color="auto"/>
        <w:right w:val="none" w:sz="0" w:space="0" w:color="auto"/>
      </w:divBdr>
    </w:div>
    <w:div w:id="2066293574">
      <w:bodyDiv w:val="1"/>
      <w:marLeft w:val="0"/>
      <w:marRight w:val="0"/>
      <w:marTop w:val="0"/>
      <w:marBottom w:val="0"/>
      <w:divBdr>
        <w:top w:val="none" w:sz="0" w:space="0" w:color="auto"/>
        <w:left w:val="none" w:sz="0" w:space="0" w:color="auto"/>
        <w:bottom w:val="none" w:sz="0" w:space="0" w:color="auto"/>
        <w:right w:val="none" w:sz="0" w:space="0" w:color="auto"/>
      </w:divBdr>
    </w:div>
    <w:div w:id="2068600619">
      <w:bodyDiv w:val="1"/>
      <w:marLeft w:val="0"/>
      <w:marRight w:val="0"/>
      <w:marTop w:val="0"/>
      <w:marBottom w:val="0"/>
      <w:divBdr>
        <w:top w:val="none" w:sz="0" w:space="0" w:color="auto"/>
        <w:left w:val="none" w:sz="0" w:space="0" w:color="auto"/>
        <w:bottom w:val="none" w:sz="0" w:space="0" w:color="auto"/>
        <w:right w:val="none" w:sz="0" w:space="0" w:color="auto"/>
      </w:divBdr>
    </w:div>
    <w:div w:id="2068843377">
      <w:bodyDiv w:val="1"/>
      <w:marLeft w:val="0"/>
      <w:marRight w:val="0"/>
      <w:marTop w:val="0"/>
      <w:marBottom w:val="0"/>
      <w:divBdr>
        <w:top w:val="none" w:sz="0" w:space="0" w:color="auto"/>
        <w:left w:val="none" w:sz="0" w:space="0" w:color="auto"/>
        <w:bottom w:val="none" w:sz="0" w:space="0" w:color="auto"/>
        <w:right w:val="none" w:sz="0" w:space="0" w:color="auto"/>
      </w:divBdr>
    </w:div>
    <w:div w:id="2069917161">
      <w:bodyDiv w:val="1"/>
      <w:marLeft w:val="0"/>
      <w:marRight w:val="0"/>
      <w:marTop w:val="0"/>
      <w:marBottom w:val="0"/>
      <w:divBdr>
        <w:top w:val="none" w:sz="0" w:space="0" w:color="auto"/>
        <w:left w:val="none" w:sz="0" w:space="0" w:color="auto"/>
        <w:bottom w:val="none" w:sz="0" w:space="0" w:color="auto"/>
        <w:right w:val="none" w:sz="0" w:space="0" w:color="auto"/>
      </w:divBdr>
    </w:div>
    <w:div w:id="2069958875">
      <w:bodyDiv w:val="1"/>
      <w:marLeft w:val="0"/>
      <w:marRight w:val="0"/>
      <w:marTop w:val="0"/>
      <w:marBottom w:val="0"/>
      <w:divBdr>
        <w:top w:val="none" w:sz="0" w:space="0" w:color="auto"/>
        <w:left w:val="none" w:sz="0" w:space="0" w:color="auto"/>
        <w:bottom w:val="none" w:sz="0" w:space="0" w:color="auto"/>
        <w:right w:val="none" w:sz="0" w:space="0" w:color="auto"/>
      </w:divBdr>
    </w:div>
    <w:div w:id="2072073687">
      <w:bodyDiv w:val="1"/>
      <w:marLeft w:val="0"/>
      <w:marRight w:val="0"/>
      <w:marTop w:val="0"/>
      <w:marBottom w:val="0"/>
      <w:divBdr>
        <w:top w:val="none" w:sz="0" w:space="0" w:color="auto"/>
        <w:left w:val="none" w:sz="0" w:space="0" w:color="auto"/>
        <w:bottom w:val="none" w:sz="0" w:space="0" w:color="auto"/>
        <w:right w:val="none" w:sz="0" w:space="0" w:color="auto"/>
      </w:divBdr>
    </w:div>
    <w:div w:id="2072313929">
      <w:bodyDiv w:val="1"/>
      <w:marLeft w:val="0"/>
      <w:marRight w:val="0"/>
      <w:marTop w:val="0"/>
      <w:marBottom w:val="0"/>
      <w:divBdr>
        <w:top w:val="none" w:sz="0" w:space="0" w:color="auto"/>
        <w:left w:val="none" w:sz="0" w:space="0" w:color="auto"/>
        <w:bottom w:val="none" w:sz="0" w:space="0" w:color="auto"/>
        <w:right w:val="none" w:sz="0" w:space="0" w:color="auto"/>
      </w:divBdr>
    </w:div>
    <w:div w:id="2074815745">
      <w:bodyDiv w:val="1"/>
      <w:marLeft w:val="0"/>
      <w:marRight w:val="0"/>
      <w:marTop w:val="0"/>
      <w:marBottom w:val="0"/>
      <w:divBdr>
        <w:top w:val="none" w:sz="0" w:space="0" w:color="auto"/>
        <w:left w:val="none" w:sz="0" w:space="0" w:color="auto"/>
        <w:bottom w:val="none" w:sz="0" w:space="0" w:color="auto"/>
        <w:right w:val="none" w:sz="0" w:space="0" w:color="auto"/>
      </w:divBdr>
    </w:div>
    <w:div w:id="2075202247">
      <w:bodyDiv w:val="1"/>
      <w:marLeft w:val="0"/>
      <w:marRight w:val="0"/>
      <w:marTop w:val="0"/>
      <w:marBottom w:val="0"/>
      <w:divBdr>
        <w:top w:val="none" w:sz="0" w:space="0" w:color="auto"/>
        <w:left w:val="none" w:sz="0" w:space="0" w:color="auto"/>
        <w:bottom w:val="none" w:sz="0" w:space="0" w:color="auto"/>
        <w:right w:val="none" w:sz="0" w:space="0" w:color="auto"/>
      </w:divBdr>
    </w:div>
    <w:div w:id="2076001723">
      <w:bodyDiv w:val="1"/>
      <w:marLeft w:val="0"/>
      <w:marRight w:val="0"/>
      <w:marTop w:val="0"/>
      <w:marBottom w:val="0"/>
      <w:divBdr>
        <w:top w:val="none" w:sz="0" w:space="0" w:color="auto"/>
        <w:left w:val="none" w:sz="0" w:space="0" w:color="auto"/>
        <w:bottom w:val="none" w:sz="0" w:space="0" w:color="auto"/>
        <w:right w:val="none" w:sz="0" w:space="0" w:color="auto"/>
      </w:divBdr>
    </w:div>
    <w:div w:id="2078242813">
      <w:bodyDiv w:val="1"/>
      <w:marLeft w:val="0"/>
      <w:marRight w:val="0"/>
      <w:marTop w:val="0"/>
      <w:marBottom w:val="0"/>
      <w:divBdr>
        <w:top w:val="none" w:sz="0" w:space="0" w:color="auto"/>
        <w:left w:val="none" w:sz="0" w:space="0" w:color="auto"/>
        <w:bottom w:val="none" w:sz="0" w:space="0" w:color="auto"/>
        <w:right w:val="none" w:sz="0" w:space="0" w:color="auto"/>
      </w:divBdr>
    </w:div>
    <w:div w:id="2079280739">
      <w:bodyDiv w:val="1"/>
      <w:marLeft w:val="0"/>
      <w:marRight w:val="0"/>
      <w:marTop w:val="0"/>
      <w:marBottom w:val="0"/>
      <w:divBdr>
        <w:top w:val="none" w:sz="0" w:space="0" w:color="auto"/>
        <w:left w:val="none" w:sz="0" w:space="0" w:color="auto"/>
        <w:bottom w:val="none" w:sz="0" w:space="0" w:color="auto"/>
        <w:right w:val="none" w:sz="0" w:space="0" w:color="auto"/>
      </w:divBdr>
    </w:div>
    <w:div w:id="2084060298">
      <w:bodyDiv w:val="1"/>
      <w:marLeft w:val="0"/>
      <w:marRight w:val="0"/>
      <w:marTop w:val="0"/>
      <w:marBottom w:val="0"/>
      <w:divBdr>
        <w:top w:val="none" w:sz="0" w:space="0" w:color="auto"/>
        <w:left w:val="none" w:sz="0" w:space="0" w:color="auto"/>
        <w:bottom w:val="none" w:sz="0" w:space="0" w:color="auto"/>
        <w:right w:val="none" w:sz="0" w:space="0" w:color="auto"/>
      </w:divBdr>
    </w:div>
    <w:div w:id="2086367408">
      <w:bodyDiv w:val="1"/>
      <w:marLeft w:val="0"/>
      <w:marRight w:val="0"/>
      <w:marTop w:val="0"/>
      <w:marBottom w:val="0"/>
      <w:divBdr>
        <w:top w:val="none" w:sz="0" w:space="0" w:color="auto"/>
        <w:left w:val="none" w:sz="0" w:space="0" w:color="auto"/>
        <w:bottom w:val="none" w:sz="0" w:space="0" w:color="auto"/>
        <w:right w:val="none" w:sz="0" w:space="0" w:color="auto"/>
      </w:divBdr>
    </w:div>
    <w:div w:id="2088188016">
      <w:bodyDiv w:val="1"/>
      <w:marLeft w:val="0"/>
      <w:marRight w:val="0"/>
      <w:marTop w:val="0"/>
      <w:marBottom w:val="0"/>
      <w:divBdr>
        <w:top w:val="none" w:sz="0" w:space="0" w:color="auto"/>
        <w:left w:val="none" w:sz="0" w:space="0" w:color="auto"/>
        <w:bottom w:val="none" w:sz="0" w:space="0" w:color="auto"/>
        <w:right w:val="none" w:sz="0" w:space="0" w:color="auto"/>
      </w:divBdr>
    </w:div>
    <w:div w:id="2090956848">
      <w:bodyDiv w:val="1"/>
      <w:marLeft w:val="0"/>
      <w:marRight w:val="0"/>
      <w:marTop w:val="0"/>
      <w:marBottom w:val="0"/>
      <w:divBdr>
        <w:top w:val="none" w:sz="0" w:space="0" w:color="auto"/>
        <w:left w:val="none" w:sz="0" w:space="0" w:color="auto"/>
        <w:bottom w:val="none" w:sz="0" w:space="0" w:color="auto"/>
        <w:right w:val="none" w:sz="0" w:space="0" w:color="auto"/>
      </w:divBdr>
    </w:div>
    <w:div w:id="2093695004">
      <w:bodyDiv w:val="1"/>
      <w:marLeft w:val="0"/>
      <w:marRight w:val="0"/>
      <w:marTop w:val="0"/>
      <w:marBottom w:val="0"/>
      <w:divBdr>
        <w:top w:val="none" w:sz="0" w:space="0" w:color="auto"/>
        <w:left w:val="none" w:sz="0" w:space="0" w:color="auto"/>
        <w:bottom w:val="none" w:sz="0" w:space="0" w:color="auto"/>
        <w:right w:val="none" w:sz="0" w:space="0" w:color="auto"/>
      </w:divBdr>
    </w:div>
    <w:div w:id="2093774789">
      <w:bodyDiv w:val="1"/>
      <w:marLeft w:val="0"/>
      <w:marRight w:val="0"/>
      <w:marTop w:val="0"/>
      <w:marBottom w:val="0"/>
      <w:divBdr>
        <w:top w:val="none" w:sz="0" w:space="0" w:color="auto"/>
        <w:left w:val="none" w:sz="0" w:space="0" w:color="auto"/>
        <w:bottom w:val="none" w:sz="0" w:space="0" w:color="auto"/>
        <w:right w:val="none" w:sz="0" w:space="0" w:color="auto"/>
      </w:divBdr>
    </w:div>
    <w:div w:id="2095202697">
      <w:bodyDiv w:val="1"/>
      <w:marLeft w:val="0"/>
      <w:marRight w:val="0"/>
      <w:marTop w:val="0"/>
      <w:marBottom w:val="0"/>
      <w:divBdr>
        <w:top w:val="none" w:sz="0" w:space="0" w:color="auto"/>
        <w:left w:val="none" w:sz="0" w:space="0" w:color="auto"/>
        <w:bottom w:val="none" w:sz="0" w:space="0" w:color="auto"/>
        <w:right w:val="none" w:sz="0" w:space="0" w:color="auto"/>
      </w:divBdr>
    </w:div>
    <w:div w:id="2101441136">
      <w:bodyDiv w:val="1"/>
      <w:marLeft w:val="0"/>
      <w:marRight w:val="0"/>
      <w:marTop w:val="0"/>
      <w:marBottom w:val="0"/>
      <w:divBdr>
        <w:top w:val="none" w:sz="0" w:space="0" w:color="auto"/>
        <w:left w:val="none" w:sz="0" w:space="0" w:color="auto"/>
        <w:bottom w:val="none" w:sz="0" w:space="0" w:color="auto"/>
        <w:right w:val="none" w:sz="0" w:space="0" w:color="auto"/>
      </w:divBdr>
    </w:div>
    <w:div w:id="2102025678">
      <w:bodyDiv w:val="1"/>
      <w:marLeft w:val="0"/>
      <w:marRight w:val="0"/>
      <w:marTop w:val="0"/>
      <w:marBottom w:val="0"/>
      <w:divBdr>
        <w:top w:val="none" w:sz="0" w:space="0" w:color="auto"/>
        <w:left w:val="none" w:sz="0" w:space="0" w:color="auto"/>
        <w:bottom w:val="none" w:sz="0" w:space="0" w:color="auto"/>
        <w:right w:val="none" w:sz="0" w:space="0" w:color="auto"/>
      </w:divBdr>
    </w:div>
    <w:div w:id="2102678472">
      <w:bodyDiv w:val="1"/>
      <w:marLeft w:val="0"/>
      <w:marRight w:val="0"/>
      <w:marTop w:val="0"/>
      <w:marBottom w:val="0"/>
      <w:divBdr>
        <w:top w:val="none" w:sz="0" w:space="0" w:color="auto"/>
        <w:left w:val="none" w:sz="0" w:space="0" w:color="auto"/>
        <w:bottom w:val="none" w:sz="0" w:space="0" w:color="auto"/>
        <w:right w:val="none" w:sz="0" w:space="0" w:color="auto"/>
      </w:divBdr>
    </w:div>
    <w:div w:id="2104372117">
      <w:bodyDiv w:val="1"/>
      <w:marLeft w:val="0"/>
      <w:marRight w:val="0"/>
      <w:marTop w:val="0"/>
      <w:marBottom w:val="0"/>
      <w:divBdr>
        <w:top w:val="none" w:sz="0" w:space="0" w:color="auto"/>
        <w:left w:val="none" w:sz="0" w:space="0" w:color="auto"/>
        <w:bottom w:val="none" w:sz="0" w:space="0" w:color="auto"/>
        <w:right w:val="none" w:sz="0" w:space="0" w:color="auto"/>
      </w:divBdr>
    </w:div>
    <w:div w:id="2104760547">
      <w:bodyDiv w:val="1"/>
      <w:marLeft w:val="0"/>
      <w:marRight w:val="0"/>
      <w:marTop w:val="0"/>
      <w:marBottom w:val="0"/>
      <w:divBdr>
        <w:top w:val="none" w:sz="0" w:space="0" w:color="auto"/>
        <w:left w:val="none" w:sz="0" w:space="0" w:color="auto"/>
        <w:bottom w:val="none" w:sz="0" w:space="0" w:color="auto"/>
        <w:right w:val="none" w:sz="0" w:space="0" w:color="auto"/>
      </w:divBdr>
    </w:div>
    <w:div w:id="2105490060">
      <w:bodyDiv w:val="1"/>
      <w:marLeft w:val="0"/>
      <w:marRight w:val="0"/>
      <w:marTop w:val="0"/>
      <w:marBottom w:val="0"/>
      <w:divBdr>
        <w:top w:val="none" w:sz="0" w:space="0" w:color="auto"/>
        <w:left w:val="none" w:sz="0" w:space="0" w:color="auto"/>
        <w:bottom w:val="none" w:sz="0" w:space="0" w:color="auto"/>
        <w:right w:val="none" w:sz="0" w:space="0" w:color="auto"/>
      </w:divBdr>
    </w:div>
    <w:div w:id="2106685967">
      <w:bodyDiv w:val="1"/>
      <w:marLeft w:val="0"/>
      <w:marRight w:val="0"/>
      <w:marTop w:val="0"/>
      <w:marBottom w:val="0"/>
      <w:divBdr>
        <w:top w:val="none" w:sz="0" w:space="0" w:color="auto"/>
        <w:left w:val="none" w:sz="0" w:space="0" w:color="auto"/>
        <w:bottom w:val="none" w:sz="0" w:space="0" w:color="auto"/>
        <w:right w:val="none" w:sz="0" w:space="0" w:color="auto"/>
      </w:divBdr>
    </w:div>
    <w:div w:id="2108574882">
      <w:bodyDiv w:val="1"/>
      <w:marLeft w:val="0"/>
      <w:marRight w:val="0"/>
      <w:marTop w:val="0"/>
      <w:marBottom w:val="0"/>
      <w:divBdr>
        <w:top w:val="none" w:sz="0" w:space="0" w:color="auto"/>
        <w:left w:val="none" w:sz="0" w:space="0" w:color="auto"/>
        <w:bottom w:val="none" w:sz="0" w:space="0" w:color="auto"/>
        <w:right w:val="none" w:sz="0" w:space="0" w:color="auto"/>
      </w:divBdr>
    </w:div>
    <w:div w:id="2109344158">
      <w:bodyDiv w:val="1"/>
      <w:marLeft w:val="0"/>
      <w:marRight w:val="0"/>
      <w:marTop w:val="0"/>
      <w:marBottom w:val="0"/>
      <w:divBdr>
        <w:top w:val="none" w:sz="0" w:space="0" w:color="auto"/>
        <w:left w:val="none" w:sz="0" w:space="0" w:color="auto"/>
        <w:bottom w:val="none" w:sz="0" w:space="0" w:color="auto"/>
        <w:right w:val="none" w:sz="0" w:space="0" w:color="auto"/>
      </w:divBdr>
    </w:div>
    <w:div w:id="2110345423">
      <w:bodyDiv w:val="1"/>
      <w:marLeft w:val="0"/>
      <w:marRight w:val="0"/>
      <w:marTop w:val="0"/>
      <w:marBottom w:val="0"/>
      <w:divBdr>
        <w:top w:val="none" w:sz="0" w:space="0" w:color="auto"/>
        <w:left w:val="none" w:sz="0" w:space="0" w:color="auto"/>
        <w:bottom w:val="none" w:sz="0" w:space="0" w:color="auto"/>
        <w:right w:val="none" w:sz="0" w:space="0" w:color="auto"/>
      </w:divBdr>
    </w:div>
    <w:div w:id="2112429392">
      <w:bodyDiv w:val="1"/>
      <w:marLeft w:val="0"/>
      <w:marRight w:val="0"/>
      <w:marTop w:val="0"/>
      <w:marBottom w:val="0"/>
      <w:divBdr>
        <w:top w:val="none" w:sz="0" w:space="0" w:color="auto"/>
        <w:left w:val="none" w:sz="0" w:space="0" w:color="auto"/>
        <w:bottom w:val="none" w:sz="0" w:space="0" w:color="auto"/>
        <w:right w:val="none" w:sz="0" w:space="0" w:color="auto"/>
      </w:divBdr>
    </w:div>
    <w:div w:id="2113428888">
      <w:bodyDiv w:val="1"/>
      <w:marLeft w:val="0"/>
      <w:marRight w:val="0"/>
      <w:marTop w:val="0"/>
      <w:marBottom w:val="0"/>
      <w:divBdr>
        <w:top w:val="none" w:sz="0" w:space="0" w:color="auto"/>
        <w:left w:val="none" w:sz="0" w:space="0" w:color="auto"/>
        <w:bottom w:val="none" w:sz="0" w:space="0" w:color="auto"/>
        <w:right w:val="none" w:sz="0" w:space="0" w:color="auto"/>
      </w:divBdr>
    </w:div>
    <w:div w:id="2114860136">
      <w:bodyDiv w:val="1"/>
      <w:marLeft w:val="0"/>
      <w:marRight w:val="0"/>
      <w:marTop w:val="0"/>
      <w:marBottom w:val="0"/>
      <w:divBdr>
        <w:top w:val="none" w:sz="0" w:space="0" w:color="auto"/>
        <w:left w:val="none" w:sz="0" w:space="0" w:color="auto"/>
        <w:bottom w:val="none" w:sz="0" w:space="0" w:color="auto"/>
        <w:right w:val="none" w:sz="0" w:space="0" w:color="auto"/>
      </w:divBdr>
    </w:div>
    <w:div w:id="2117405825">
      <w:bodyDiv w:val="1"/>
      <w:marLeft w:val="0"/>
      <w:marRight w:val="0"/>
      <w:marTop w:val="0"/>
      <w:marBottom w:val="0"/>
      <w:divBdr>
        <w:top w:val="none" w:sz="0" w:space="0" w:color="auto"/>
        <w:left w:val="none" w:sz="0" w:space="0" w:color="auto"/>
        <w:bottom w:val="none" w:sz="0" w:space="0" w:color="auto"/>
        <w:right w:val="none" w:sz="0" w:space="0" w:color="auto"/>
      </w:divBdr>
    </w:div>
    <w:div w:id="2117753108">
      <w:bodyDiv w:val="1"/>
      <w:marLeft w:val="0"/>
      <w:marRight w:val="0"/>
      <w:marTop w:val="0"/>
      <w:marBottom w:val="0"/>
      <w:divBdr>
        <w:top w:val="none" w:sz="0" w:space="0" w:color="auto"/>
        <w:left w:val="none" w:sz="0" w:space="0" w:color="auto"/>
        <w:bottom w:val="none" w:sz="0" w:space="0" w:color="auto"/>
        <w:right w:val="none" w:sz="0" w:space="0" w:color="auto"/>
      </w:divBdr>
    </w:div>
    <w:div w:id="2118255096">
      <w:bodyDiv w:val="1"/>
      <w:marLeft w:val="0"/>
      <w:marRight w:val="0"/>
      <w:marTop w:val="0"/>
      <w:marBottom w:val="0"/>
      <w:divBdr>
        <w:top w:val="none" w:sz="0" w:space="0" w:color="auto"/>
        <w:left w:val="none" w:sz="0" w:space="0" w:color="auto"/>
        <w:bottom w:val="none" w:sz="0" w:space="0" w:color="auto"/>
        <w:right w:val="none" w:sz="0" w:space="0" w:color="auto"/>
      </w:divBdr>
    </w:div>
    <w:div w:id="2119522902">
      <w:bodyDiv w:val="1"/>
      <w:marLeft w:val="0"/>
      <w:marRight w:val="0"/>
      <w:marTop w:val="0"/>
      <w:marBottom w:val="0"/>
      <w:divBdr>
        <w:top w:val="none" w:sz="0" w:space="0" w:color="auto"/>
        <w:left w:val="none" w:sz="0" w:space="0" w:color="auto"/>
        <w:bottom w:val="none" w:sz="0" w:space="0" w:color="auto"/>
        <w:right w:val="none" w:sz="0" w:space="0" w:color="auto"/>
      </w:divBdr>
    </w:div>
    <w:div w:id="2122069974">
      <w:bodyDiv w:val="1"/>
      <w:marLeft w:val="0"/>
      <w:marRight w:val="0"/>
      <w:marTop w:val="0"/>
      <w:marBottom w:val="0"/>
      <w:divBdr>
        <w:top w:val="none" w:sz="0" w:space="0" w:color="auto"/>
        <w:left w:val="none" w:sz="0" w:space="0" w:color="auto"/>
        <w:bottom w:val="none" w:sz="0" w:space="0" w:color="auto"/>
        <w:right w:val="none" w:sz="0" w:space="0" w:color="auto"/>
      </w:divBdr>
    </w:div>
    <w:div w:id="2122722671">
      <w:bodyDiv w:val="1"/>
      <w:marLeft w:val="0"/>
      <w:marRight w:val="0"/>
      <w:marTop w:val="0"/>
      <w:marBottom w:val="0"/>
      <w:divBdr>
        <w:top w:val="none" w:sz="0" w:space="0" w:color="auto"/>
        <w:left w:val="none" w:sz="0" w:space="0" w:color="auto"/>
        <w:bottom w:val="none" w:sz="0" w:space="0" w:color="auto"/>
        <w:right w:val="none" w:sz="0" w:space="0" w:color="auto"/>
      </w:divBdr>
    </w:div>
    <w:div w:id="2122913397">
      <w:bodyDiv w:val="1"/>
      <w:marLeft w:val="0"/>
      <w:marRight w:val="0"/>
      <w:marTop w:val="0"/>
      <w:marBottom w:val="0"/>
      <w:divBdr>
        <w:top w:val="none" w:sz="0" w:space="0" w:color="auto"/>
        <w:left w:val="none" w:sz="0" w:space="0" w:color="auto"/>
        <w:bottom w:val="none" w:sz="0" w:space="0" w:color="auto"/>
        <w:right w:val="none" w:sz="0" w:space="0" w:color="auto"/>
      </w:divBdr>
    </w:div>
    <w:div w:id="2134010930">
      <w:bodyDiv w:val="1"/>
      <w:marLeft w:val="0"/>
      <w:marRight w:val="0"/>
      <w:marTop w:val="0"/>
      <w:marBottom w:val="0"/>
      <w:divBdr>
        <w:top w:val="none" w:sz="0" w:space="0" w:color="auto"/>
        <w:left w:val="none" w:sz="0" w:space="0" w:color="auto"/>
        <w:bottom w:val="none" w:sz="0" w:space="0" w:color="auto"/>
        <w:right w:val="none" w:sz="0" w:space="0" w:color="auto"/>
      </w:divBdr>
    </w:div>
    <w:div w:id="2134906309">
      <w:bodyDiv w:val="1"/>
      <w:marLeft w:val="0"/>
      <w:marRight w:val="0"/>
      <w:marTop w:val="0"/>
      <w:marBottom w:val="0"/>
      <w:divBdr>
        <w:top w:val="none" w:sz="0" w:space="0" w:color="auto"/>
        <w:left w:val="none" w:sz="0" w:space="0" w:color="auto"/>
        <w:bottom w:val="none" w:sz="0" w:space="0" w:color="auto"/>
        <w:right w:val="none" w:sz="0" w:space="0" w:color="auto"/>
      </w:divBdr>
    </w:div>
    <w:div w:id="2138986174">
      <w:bodyDiv w:val="1"/>
      <w:marLeft w:val="0"/>
      <w:marRight w:val="0"/>
      <w:marTop w:val="0"/>
      <w:marBottom w:val="0"/>
      <w:divBdr>
        <w:top w:val="none" w:sz="0" w:space="0" w:color="auto"/>
        <w:left w:val="none" w:sz="0" w:space="0" w:color="auto"/>
        <w:bottom w:val="none" w:sz="0" w:space="0" w:color="auto"/>
        <w:right w:val="none" w:sz="0" w:space="0" w:color="auto"/>
      </w:divBdr>
    </w:div>
    <w:div w:id="2139444043">
      <w:bodyDiv w:val="1"/>
      <w:marLeft w:val="0"/>
      <w:marRight w:val="0"/>
      <w:marTop w:val="0"/>
      <w:marBottom w:val="0"/>
      <w:divBdr>
        <w:top w:val="none" w:sz="0" w:space="0" w:color="auto"/>
        <w:left w:val="none" w:sz="0" w:space="0" w:color="auto"/>
        <w:bottom w:val="none" w:sz="0" w:space="0" w:color="auto"/>
        <w:right w:val="none" w:sz="0" w:space="0" w:color="auto"/>
      </w:divBdr>
    </w:div>
    <w:div w:id="2140880944">
      <w:bodyDiv w:val="1"/>
      <w:marLeft w:val="0"/>
      <w:marRight w:val="0"/>
      <w:marTop w:val="0"/>
      <w:marBottom w:val="0"/>
      <w:divBdr>
        <w:top w:val="none" w:sz="0" w:space="0" w:color="auto"/>
        <w:left w:val="none" w:sz="0" w:space="0" w:color="auto"/>
        <w:bottom w:val="none" w:sz="0" w:space="0" w:color="auto"/>
        <w:right w:val="none" w:sz="0" w:space="0" w:color="auto"/>
      </w:divBdr>
    </w:div>
    <w:div w:id="2141461820">
      <w:bodyDiv w:val="1"/>
      <w:marLeft w:val="0"/>
      <w:marRight w:val="0"/>
      <w:marTop w:val="0"/>
      <w:marBottom w:val="0"/>
      <w:divBdr>
        <w:top w:val="none" w:sz="0" w:space="0" w:color="auto"/>
        <w:left w:val="none" w:sz="0" w:space="0" w:color="auto"/>
        <w:bottom w:val="none" w:sz="0" w:space="0" w:color="auto"/>
        <w:right w:val="none" w:sz="0" w:space="0" w:color="auto"/>
      </w:divBdr>
    </w:div>
    <w:div w:id="2141485233">
      <w:bodyDiv w:val="1"/>
      <w:marLeft w:val="0"/>
      <w:marRight w:val="0"/>
      <w:marTop w:val="0"/>
      <w:marBottom w:val="0"/>
      <w:divBdr>
        <w:top w:val="none" w:sz="0" w:space="0" w:color="auto"/>
        <w:left w:val="none" w:sz="0" w:space="0" w:color="auto"/>
        <w:bottom w:val="none" w:sz="0" w:space="0" w:color="auto"/>
        <w:right w:val="none" w:sz="0" w:space="0" w:color="auto"/>
      </w:divBdr>
    </w:div>
    <w:div w:id="2142458037">
      <w:bodyDiv w:val="1"/>
      <w:marLeft w:val="0"/>
      <w:marRight w:val="0"/>
      <w:marTop w:val="0"/>
      <w:marBottom w:val="0"/>
      <w:divBdr>
        <w:top w:val="none" w:sz="0" w:space="0" w:color="auto"/>
        <w:left w:val="none" w:sz="0" w:space="0" w:color="auto"/>
        <w:bottom w:val="none" w:sz="0" w:space="0" w:color="auto"/>
        <w:right w:val="none" w:sz="0" w:space="0" w:color="auto"/>
      </w:divBdr>
    </w:div>
    <w:div w:id="2143570226">
      <w:bodyDiv w:val="1"/>
      <w:marLeft w:val="0"/>
      <w:marRight w:val="0"/>
      <w:marTop w:val="0"/>
      <w:marBottom w:val="0"/>
      <w:divBdr>
        <w:top w:val="none" w:sz="0" w:space="0" w:color="auto"/>
        <w:left w:val="none" w:sz="0" w:space="0" w:color="auto"/>
        <w:bottom w:val="none" w:sz="0" w:space="0" w:color="auto"/>
        <w:right w:val="none" w:sz="0" w:space="0" w:color="auto"/>
      </w:divBdr>
    </w:div>
    <w:div w:id="21446900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G"/><Relationship Id="rId18" Type="http://schemas.openxmlformats.org/officeDocument/2006/relationships/image" Target="media/image8.gif"/><Relationship Id="rId26" Type="http://schemas.openxmlformats.org/officeDocument/2006/relationships/chart" Target="charts/chart8.xml"/><Relationship Id="rId39" Type="http://schemas.openxmlformats.org/officeDocument/2006/relationships/chart" Target="charts/chart21.xml"/><Relationship Id="rId21" Type="http://schemas.openxmlformats.org/officeDocument/2006/relationships/chart" Target="charts/chart4.xml"/><Relationship Id="rId34" Type="http://schemas.openxmlformats.org/officeDocument/2006/relationships/chart" Target="charts/chart16.xml"/><Relationship Id="rId42" Type="http://schemas.openxmlformats.org/officeDocument/2006/relationships/chart" Target="charts/chart24.xml"/><Relationship Id="rId47" Type="http://schemas.openxmlformats.org/officeDocument/2006/relationships/chart" Target="charts/chart28.xml"/><Relationship Id="rId50" Type="http://schemas.openxmlformats.org/officeDocument/2006/relationships/image" Target="media/image13.JPG"/><Relationship Id="rId55" Type="http://schemas.openxmlformats.org/officeDocument/2006/relationships/image" Target="media/image18.JPG"/><Relationship Id="rId63" Type="http://schemas.openxmlformats.org/officeDocument/2006/relationships/image" Target="media/image26.png"/><Relationship Id="rId68" Type="http://schemas.openxmlformats.org/officeDocument/2006/relationships/image" Target="media/image31.jpeg"/><Relationship Id="rId76" Type="http://schemas.openxmlformats.org/officeDocument/2006/relationships/fontTable" Target="fontTable.xml"/><Relationship Id="rId7" Type="http://schemas.openxmlformats.org/officeDocument/2006/relationships/footnotes" Target="footnotes.xml"/><Relationship Id="rId71" Type="http://schemas.openxmlformats.org/officeDocument/2006/relationships/image" Target="media/image34.jpeg"/><Relationship Id="rId2" Type="http://schemas.openxmlformats.org/officeDocument/2006/relationships/customXml" Target="../customXml/item2.xml"/><Relationship Id="rId16" Type="http://schemas.openxmlformats.org/officeDocument/2006/relationships/chart" Target="charts/chart1.xml"/><Relationship Id="rId29" Type="http://schemas.openxmlformats.org/officeDocument/2006/relationships/chart" Target="charts/chart11.xml"/><Relationship Id="rId11" Type="http://schemas.openxmlformats.org/officeDocument/2006/relationships/image" Target="media/image3.png"/><Relationship Id="rId24" Type="http://schemas.openxmlformats.org/officeDocument/2006/relationships/chart" Target="charts/chart6.xml"/><Relationship Id="rId32" Type="http://schemas.openxmlformats.org/officeDocument/2006/relationships/chart" Target="charts/chart14.xml"/><Relationship Id="rId37" Type="http://schemas.openxmlformats.org/officeDocument/2006/relationships/chart" Target="charts/chart19.xml"/><Relationship Id="rId40" Type="http://schemas.openxmlformats.org/officeDocument/2006/relationships/chart" Target="charts/chart22.xml"/><Relationship Id="rId45" Type="http://schemas.openxmlformats.org/officeDocument/2006/relationships/chart" Target="charts/chart27.xml"/><Relationship Id="rId53" Type="http://schemas.openxmlformats.org/officeDocument/2006/relationships/image" Target="media/image16.JPG"/><Relationship Id="rId58" Type="http://schemas.openxmlformats.org/officeDocument/2006/relationships/image" Target="media/image21.JPG"/><Relationship Id="rId66" Type="http://schemas.openxmlformats.org/officeDocument/2006/relationships/image" Target="media/image29.jpeg"/><Relationship Id="rId74"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image" Target="media/image7.JPG"/><Relationship Id="rId23" Type="http://schemas.openxmlformats.org/officeDocument/2006/relationships/chart" Target="charts/chart5.xml"/><Relationship Id="rId28" Type="http://schemas.openxmlformats.org/officeDocument/2006/relationships/chart" Target="charts/chart10.xml"/><Relationship Id="rId36" Type="http://schemas.openxmlformats.org/officeDocument/2006/relationships/chart" Target="charts/chart18.xml"/><Relationship Id="rId49" Type="http://schemas.openxmlformats.org/officeDocument/2006/relationships/image" Target="media/image12.JPG"/><Relationship Id="rId57" Type="http://schemas.openxmlformats.org/officeDocument/2006/relationships/image" Target="media/image20.JPG"/><Relationship Id="rId61" Type="http://schemas.openxmlformats.org/officeDocument/2006/relationships/image" Target="media/image24.png"/><Relationship Id="rId10" Type="http://schemas.openxmlformats.org/officeDocument/2006/relationships/image" Target="media/image2.PNG"/><Relationship Id="rId19" Type="http://schemas.openxmlformats.org/officeDocument/2006/relationships/image" Target="media/image9.png"/><Relationship Id="rId31" Type="http://schemas.openxmlformats.org/officeDocument/2006/relationships/chart" Target="charts/chart13.xml"/><Relationship Id="rId44" Type="http://schemas.openxmlformats.org/officeDocument/2006/relationships/chart" Target="charts/chart26.xml"/><Relationship Id="rId52" Type="http://schemas.openxmlformats.org/officeDocument/2006/relationships/image" Target="media/image15.JPG"/><Relationship Id="rId60" Type="http://schemas.openxmlformats.org/officeDocument/2006/relationships/image" Target="media/image23.png"/><Relationship Id="rId65" Type="http://schemas.openxmlformats.org/officeDocument/2006/relationships/image" Target="media/image28.png"/><Relationship Id="rId73" Type="http://schemas.openxmlformats.org/officeDocument/2006/relationships/image" Target="media/image36.jpeg"/><Relationship Id="rId78"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JPG"/><Relationship Id="rId22" Type="http://schemas.openxmlformats.org/officeDocument/2006/relationships/image" Target="media/image10.JPG"/><Relationship Id="rId27" Type="http://schemas.openxmlformats.org/officeDocument/2006/relationships/chart" Target="charts/chart9.xml"/><Relationship Id="rId30" Type="http://schemas.openxmlformats.org/officeDocument/2006/relationships/chart" Target="charts/chart12.xml"/><Relationship Id="rId35" Type="http://schemas.openxmlformats.org/officeDocument/2006/relationships/chart" Target="charts/chart17.xml"/><Relationship Id="rId43" Type="http://schemas.openxmlformats.org/officeDocument/2006/relationships/chart" Target="charts/chart25.xml"/><Relationship Id="rId48" Type="http://schemas.openxmlformats.org/officeDocument/2006/relationships/chart" Target="charts/chart29.xml"/><Relationship Id="rId56" Type="http://schemas.openxmlformats.org/officeDocument/2006/relationships/image" Target="media/image19.JPG"/><Relationship Id="rId64" Type="http://schemas.openxmlformats.org/officeDocument/2006/relationships/image" Target="media/image27.png"/><Relationship Id="rId69" Type="http://schemas.openxmlformats.org/officeDocument/2006/relationships/image" Target="media/image32.jpeg"/><Relationship Id="rId77" Type="http://schemas.openxmlformats.org/officeDocument/2006/relationships/glossaryDocument" Target="glossary/document.xml"/><Relationship Id="rId8" Type="http://schemas.openxmlformats.org/officeDocument/2006/relationships/endnotes" Target="endnotes.xml"/><Relationship Id="rId51" Type="http://schemas.openxmlformats.org/officeDocument/2006/relationships/image" Target="media/image14.JPG"/><Relationship Id="rId72" Type="http://schemas.openxmlformats.org/officeDocument/2006/relationships/image" Target="media/image35.jpeg"/><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chart" Target="charts/chart2.xml"/><Relationship Id="rId25" Type="http://schemas.openxmlformats.org/officeDocument/2006/relationships/chart" Target="charts/chart7.xml"/><Relationship Id="rId33" Type="http://schemas.openxmlformats.org/officeDocument/2006/relationships/chart" Target="charts/chart15.xml"/><Relationship Id="rId38" Type="http://schemas.openxmlformats.org/officeDocument/2006/relationships/chart" Target="charts/chart20.xml"/><Relationship Id="rId46" Type="http://schemas.openxmlformats.org/officeDocument/2006/relationships/image" Target="media/image11.JPG"/><Relationship Id="rId59" Type="http://schemas.openxmlformats.org/officeDocument/2006/relationships/image" Target="media/image22.JPG"/><Relationship Id="rId67" Type="http://schemas.openxmlformats.org/officeDocument/2006/relationships/image" Target="media/image30.jpeg"/><Relationship Id="rId20" Type="http://schemas.openxmlformats.org/officeDocument/2006/relationships/chart" Target="charts/chart3.xml"/><Relationship Id="rId41" Type="http://schemas.openxmlformats.org/officeDocument/2006/relationships/chart" Target="charts/chart23.xml"/><Relationship Id="rId54" Type="http://schemas.openxmlformats.org/officeDocument/2006/relationships/image" Target="media/image17.JPG"/><Relationship Id="rId62" Type="http://schemas.openxmlformats.org/officeDocument/2006/relationships/image" Target="media/image25.JPG"/><Relationship Id="rId70" Type="http://schemas.openxmlformats.org/officeDocument/2006/relationships/image" Target="media/image33.jpeg"/><Relationship Id="rId75"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Matthew\Desktop\Statistics%20for%20Dissertation.xlsx" TargetMode="External"/></Relationships>
</file>

<file path=word/charts/_rels/chart2.xml.rels><?xml version="1.0" encoding="UTF-8" standalone="yes"?>
<Relationships xmlns="http://schemas.openxmlformats.org/package/2006/relationships"><Relationship Id="rId3" Type="http://schemas.openxmlformats.org/officeDocument/2006/relationships/oleObject" Target="file:///C:\Users\Matthew\Desktop\Statistics%20for%20Dissertation.xlsx" TargetMode="External"/><Relationship Id="rId2" Type="http://schemas.microsoft.com/office/2011/relationships/chartColorStyle" Target="colors1.xml"/><Relationship Id="rId1" Type="http://schemas.microsoft.com/office/2011/relationships/chartStyle" Target="style1.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Matthew\Desktop\Statistics%20for%20Dissertation.xlsx" TargetMode="External"/><Relationship Id="rId2" Type="http://schemas.microsoft.com/office/2011/relationships/chartColorStyle" Target="colors2.xml"/><Relationship Id="rId1" Type="http://schemas.microsoft.com/office/2011/relationships/chartStyle" Target="style2.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Matthew\Desktop\Statistics%20for%20Dissertation.xlsx" TargetMode="External"/><Relationship Id="rId2" Type="http://schemas.microsoft.com/office/2011/relationships/chartColorStyle" Target="colors3.xml"/><Relationship Id="rId1" Type="http://schemas.microsoft.com/office/2011/relationships/chartStyle" Target="style3.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Matthew\Desktop\Statistics%20for%20Dissertation.xlsx" TargetMode="External"/><Relationship Id="rId2" Type="http://schemas.microsoft.com/office/2011/relationships/chartColorStyle" Target="colors4.xml"/><Relationship Id="rId1" Type="http://schemas.microsoft.com/office/2011/relationships/chartStyle" Target="style4.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Matthew\Desktop\Statistics%20for%20Dissertation.xlsx" TargetMode="External"/><Relationship Id="rId2" Type="http://schemas.microsoft.com/office/2011/relationships/chartColorStyle" Target="colors5.xml"/><Relationship Id="rId1" Type="http://schemas.microsoft.com/office/2011/relationships/chartStyle" Target="style5.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Matthew\Desktop\Statistics%20for%20Dissertation.xlsx" TargetMode="External"/><Relationship Id="rId2" Type="http://schemas.microsoft.com/office/2011/relationships/chartColorStyle" Target="colors6.xml"/><Relationship Id="rId1" Type="http://schemas.microsoft.com/office/2011/relationships/chartStyle" Target="style6.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Matthew\Desktop\Statistics%20for%20Dissertation.xlsx" TargetMode="Externa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chartUserShapes" Target="../drawings/drawing1.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Matthew\Desktop\Statistics%20for%20Dissertation.xlsx" TargetMode="External"/><Relationship Id="rId2" Type="http://schemas.microsoft.com/office/2011/relationships/chartColorStyle" Target="colors8.xml"/><Relationship Id="rId1" Type="http://schemas.microsoft.com/office/2011/relationships/chartStyle" Target="style8.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Matthew\Desktop\Statistics%20for%20Dissertation.xlsx" TargetMode="External"/><Relationship Id="rId2" Type="http://schemas.microsoft.com/office/2011/relationships/chartColorStyle" Target="colors9.xml"/><Relationship Id="rId1" Type="http://schemas.microsoft.com/office/2011/relationships/chartStyle" Target="style9.xml"/></Relationships>
</file>

<file path=word/charts/_rels/chart11.xml.rels><?xml version="1.0" encoding="UTF-8" standalone="yes"?>
<Relationships xmlns="http://schemas.openxmlformats.org/package/2006/relationships"><Relationship Id="rId3" Type="http://schemas.openxmlformats.org/officeDocument/2006/relationships/oleObject" Target="file:///C:\Users\Matthew\Desktop\Statistics%20for%20Dissertation.xlsx" TargetMode="External"/><Relationship Id="rId2" Type="http://schemas.microsoft.com/office/2011/relationships/chartColorStyle" Target="colors10.xml"/><Relationship Id="rId1" Type="http://schemas.microsoft.com/office/2011/relationships/chartStyle" Target="style10.xml"/></Relationships>
</file>

<file path=word/charts/_rels/chart12.xml.rels><?xml version="1.0" encoding="UTF-8" standalone="yes"?>
<Relationships xmlns="http://schemas.openxmlformats.org/package/2006/relationships"><Relationship Id="rId3" Type="http://schemas.openxmlformats.org/officeDocument/2006/relationships/oleObject" Target="file:///C:\Users\Matthew\Desktop\Statistics%20for%20Dissertation.xlsx" TargetMode="External"/><Relationship Id="rId2" Type="http://schemas.microsoft.com/office/2011/relationships/chartColorStyle" Target="colors11.xml"/><Relationship Id="rId1" Type="http://schemas.microsoft.com/office/2011/relationships/chartStyle" Target="style11.xml"/></Relationships>
</file>

<file path=word/charts/_rels/chart13.xml.rels><?xml version="1.0" encoding="UTF-8" standalone="yes"?>
<Relationships xmlns="http://schemas.openxmlformats.org/package/2006/relationships"><Relationship Id="rId3" Type="http://schemas.openxmlformats.org/officeDocument/2006/relationships/oleObject" Target="file:///C:\Users\Matthew\Desktop\Statistics%20for%20Dissertation.xlsx" TargetMode="External"/><Relationship Id="rId2" Type="http://schemas.microsoft.com/office/2011/relationships/chartColorStyle" Target="colors12.xml"/><Relationship Id="rId1" Type="http://schemas.microsoft.com/office/2011/relationships/chartStyle" Target="style12.xml"/></Relationships>
</file>

<file path=word/charts/_rels/chart14.xml.rels><?xml version="1.0" encoding="UTF-8" standalone="yes"?>
<Relationships xmlns="http://schemas.openxmlformats.org/package/2006/relationships"><Relationship Id="rId3" Type="http://schemas.openxmlformats.org/officeDocument/2006/relationships/oleObject" Target="file:///C:\Users\Matthew\Desktop\Statistics%20for%20Dissertation.xlsx" TargetMode="External"/><Relationship Id="rId2" Type="http://schemas.microsoft.com/office/2011/relationships/chartColorStyle" Target="colors13.xml"/><Relationship Id="rId1" Type="http://schemas.microsoft.com/office/2011/relationships/chartStyle" Target="style13.xml"/></Relationships>
</file>

<file path=word/charts/_rels/chart15.xml.rels><?xml version="1.0" encoding="UTF-8" standalone="yes"?>
<Relationships xmlns="http://schemas.openxmlformats.org/package/2006/relationships"><Relationship Id="rId3" Type="http://schemas.openxmlformats.org/officeDocument/2006/relationships/oleObject" Target="file:///C:\Users\Matthew\Desktop\Statistics%20for%20Dissertation.xlsx" TargetMode="External"/><Relationship Id="rId2" Type="http://schemas.microsoft.com/office/2011/relationships/chartColorStyle" Target="colors14.xml"/><Relationship Id="rId1" Type="http://schemas.microsoft.com/office/2011/relationships/chartStyle" Target="style14.xml"/></Relationships>
</file>

<file path=word/charts/_rels/chart16.xml.rels><?xml version="1.0" encoding="UTF-8" standalone="yes"?>
<Relationships xmlns="http://schemas.openxmlformats.org/package/2006/relationships"><Relationship Id="rId3" Type="http://schemas.openxmlformats.org/officeDocument/2006/relationships/oleObject" Target="file:///C:\Users\Matthew\Desktop\Statistics%20for%20Dissertation.xlsx" TargetMode="External"/><Relationship Id="rId2" Type="http://schemas.microsoft.com/office/2011/relationships/chartColorStyle" Target="colors15.xml"/><Relationship Id="rId1" Type="http://schemas.microsoft.com/office/2011/relationships/chartStyle" Target="style15.xml"/></Relationships>
</file>

<file path=word/charts/_rels/chart17.xml.rels><?xml version="1.0" encoding="UTF-8" standalone="yes"?>
<Relationships xmlns="http://schemas.openxmlformats.org/package/2006/relationships"><Relationship Id="rId3" Type="http://schemas.openxmlformats.org/officeDocument/2006/relationships/oleObject" Target="file:///C:\Users\Matthew\Desktop\Statistics%20for%20Dissertation.xlsx" TargetMode="External"/><Relationship Id="rId2" Type="http://schemas.microsoft.com/office/2011/relationships/chartColorStyle" Target="colors16.xml"/><Relationship Id="rId1" Type="http://schemas.microsoft.com/office/2011/relationships/chartStyle" Target="style16.xml"/></Relationships>
</file>

<file path=word/charts/_rels/chart18.xml.rels><?xml version="1.0" encoding="UTF-8" standalone="yes"?>
<Relationships xmlns="http://schemas.openxmlformats.org/package/2006/relationships"><Relationship Id="rId3" Type="http://schemas.openxmlformats.org/officeDocument/2006/relationships/oleObject" Target="file:///C:\Users\Matthew\Desktop\Statistics%20for%20Dissertation.xlsx" TargetMode="External"/><Relationship Id="rId2" Type="http://schemas.microsoft.com/office/2011/relationships/chartColorStyle" Target="colors17.xml"/><Relationship Id="rId1" Type="http://schemas.microsoft.com/office/2011/relationships/chartStyle" Target="style17.xml"/></Relationships>
</file>

<file path=word/charts/_rels/chart19.xml.rels><?xml version="1.0" encoding="UTF-8" standalone="yes"?>
<Relationships xmlns="http://schemas.openxmlformats.org/package/2006/relationships"><Relationship Id="rId3" Type="http://schemas.openxmlformats.org/officeDocument/2006/relationships/oleObject" Target="file:///C:\Users\Matthew\Desktop\Statistics%20for%20Dissertation.xlsx" TargetMode="External"/><Relationship Id="rId2" Type="http://schemas.microsoft.com/office/2011/relationships/chartColorStyle" Target="colors18.xml"/><Relationship Id="rId1" Type="http://schemas.microsoft.com/office/2011/relationships/chartStyle" Target="style18.xml"/></Relationships>
</file>

<file path=word/charts/_rels/chart20.xml.rels><?xml version="1.0" encoding="UTF-8" standalone="yes"?>
<Relationships xmlns="http://schemas.openxmlformats.org/package/2006/relationships"><Relationship Id="rId3" Type="http://schemas.openxmlformats.org/officeDocument/2006/relationships/oleObject" Target="file:///C:\Users\Matthew\Desktop\Statistics%20for%20Dissertation.xlsx" TargetMode="External"/><Relationship Id="rId2" Type="http://schemas.microsoft.com/office/2011/relationships/chartColorStyle" Target="colors19.xml"/><Relationship Id="rId1" Type="http://schemas.microsoft.com/office/2011/relationships/chartStyle" Target="style19.xml"/></Relationships>
</file>

<file path=word/charts/_rels/chart21.xml.rels><?xml version="1.0" encoding="UTF-8" standalone="yes"?>
<Relationships xmlns="http://schemas.openxmlformats.org/package/2006/relationships"><Relationship Id="rId3" Type="http://schemas.openxmlformats.org/officeDocument/2006/relationships/oleObject" Target="file:///C:\Users\Matthew\Desktop\Statistics%20for%20Dissertation.xlsx" TargetMode="External"/><Relationship Id="rId2" Type="http://schemas.microsoft.com/office/2011/relationships/chartColorStyle" Target="colors20.xml"/><Relationship Id="rId1" Type="http://schemas.microsoft.com/office/2011/relationships/chartStyle" Target="style20.xml"/></Relationships>
</file>

<file path=word/charts/_rels/chart22.xml.rels><?xml version="1.0" encoding="UTF-8" standalone="yes"?>
<Relationships xmlns="http://schemas.openxmlformats.org/package/2006/relationships"><Relationship Id="rId3" Type="http://schemas.openxmlformats.org/officeDocument/2006/relationships/oleObject" Target="file:///C:\Users\Matthew\Desktop\Statistics%20for%20Dissertation.xlsx" TargetMode="External"/><Relationship Id="rId2" Type="http://schemas.microsoft.com/office/2011/relationships/chartColorStyle" Target="colors21.xml"/><Relationship Id="rId1" Type="http://schemas.microsoft.com/office/2011/relationships/chartStyle" Target="style21.xml"/></Relationships>
</file>

<file path=word/charts/_rels/chart23.xml.rels><?xml version="1.0" encoding="UTF-8" standalone="yes"?>
<Relationships xmlns="http://schemas.openxmlformats.org/package/2006/relationships"><Relationship Id="rId3" Type="http://schemas.openxmlformats.org/officeDocument/2006/relationships/oleObject" Target="file:///C:\Users\Matthew\Desktop\Statistics%20for%20Dissertation.xlsx" TargetMode="External"/><Relationship Id="rId2" Type="http://schemas.microsoft.com/office/2011/relationships/chartColorStyle" Target="colors22.xml"/><Relationship Id="rId1" Type="http://schemas.microsoft.com/office/2011/relationships/chartStyle" Target="style22.xml"/></Relationships>
</file>

<file path=word/charts/_rels/chart24.xml.rels><?xml version="1.0" encoding="UTF-8" standalone="yes"?>
<Relationships xmlns="http://schemas.openxmlformats.org/package/2006/relationships"><Relationship Id="rId3" Type="http://schemas.openxmlformats.org/officeDocument/2006/relationships/oleObject" Target="file:///C:\Users\Matthew\Desktop\Statistics%20for%20Dissertation.xlsx" TargetMode="External"/><Relationship Id="rId2" Type="http://schemas.microsoft.com/office/2011/relationships/chartColorStyle" Target="colors23.xml"/><Relationship Id="rId1" Type="http://schemas.microsoft.com/office/2011/relationships/chartStyle" Target="style23.xml"/></Relationships>
</file>

<file path=word/charts/_rels/chart25.xml.rels><?xml version="1.0" encoding="UTF-8" standalone="yes"?>
<Relationships xmlns="http://schemas.openxmlformats.org/package/2006/relationships"><Relationship Id="rId3" Type="http://schemas.openxmlformats.org/officeDocument/2006/relationships/oleObject" Target="file:///C:\Users\Matthew\Desktop\Statistics%20for%20Dissertation.xlsx" TargetMode="External"/><Relationship Id="rId2" Type="http://schemas.microsoft.com/office/2011/relationships/chartColorStyle" Target="colors24.xml"/><Relationship Id="rId1" Type="http://schemas.microsoft.com/office/2011/relationships/chartStyle" Target="style24.xml"/></Relationships>
</file>

<file path=word/charts/_rels/chart26.xml.rels><?xml version="1.0" encoding="UTF-8" standalone="yes"?>
<Relationships xmlns="http://schemas.openxmlformats.org/package/2006/relationships"><Relationship Id="rId3" Type="http://schemas.openxmlformats.org/officeDocument/2006/relationships/oleObject" Target="file:///C:\Users\Matthew\Desktop\Statistics%20for%20Dissertation.xlsx" TargetMode="External"/><Relationship Id="rId2" Type="http://schemas.microsoft.com/office/2011/relationships/chartColorStyle" Target="colors25.xml"/><Relationship Id="rId1" Type="http://schemas.microsoft.com/office/2011/relationships/chartStyle" Target="style25.xml"/></Relationships>
</file>

<file path=word/charts/_rels/chart27.xml.rels><?xml version="1.0" encoding="UTF-8" standalone="yes"?>
<Relationships xmlns="http://schemas.openxmlformats.org/package/2006/relationships"><Relationship Id="rId3" Type="http://schemas.openxmlformats.org/officeDocument/2006/relationships/oleObject" Target="file:///C:\Users\Matthew\Desktop\Statistics%20for%20Dissertation.xlsx" TargetMode="External"/><Relationship Id="rId2" Type="http://schemas.microsoft.com/office/2011/relationships/chartColorStyle" Target="colors26.xml"/><Relationship Id="rId1" Type="http://schemas.microsoft.com/office/2011/relationships/chartStyle" Target="style26.xml"/></Relationships>
</file>

<file path=word/charts/_rels/chart28.xml.rels><?xml version="1.0" encoding="UTF-8" standalone="yes"?>
<Relationships xmlns="http://schemas.openxmlformats.org/package/2006/relationships"><Relationship Id="rId3" Type="http://schemas.openxmlformats.org/officeDocument/2006/relationships/oleObject" Target="file:///C:\Users\Matthew\Desktop\Statistics%20for%20Dissertation.xlsx" TargetMode="External"/><Relationship Id="rId2" Type="http://schemas.microsoft.com/office/2011/relationships/chartColorStyle" Target="colors27.xml"/><Relationship Id="rId1" Type="http://schemas.microsoft.com/office/2011/relationships/chartStyle" Target="style27.xml"/></Relationships>
</file>

<file path=word/charts/_rels/chart29.xml.rels><?xml version="1.0" encoding="UTF-8" standalone="yes"?>
<Relationships xmlns="http://schemas.openxmlformats.org/package/2006/relationships"><Relationship Id="rId3" Type="http://schemas.openxmlformats.org/officeDocument/2006/relationships/oleObject" Target="file:///C:\Users\Matthew\Desktop\Statistics%20for%20Dissertation.xlsx" TargetMode="External"/><Relationship Id="rId2" Type="http://schemas.microsoft.com/office/2011/relationships/chartColorStyle" Target="colors28.xml"/><Relationship Id="rId1" Type="http://schemas.microsoft.com/office/2011/relationships/chartStyle" Target="style2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Figure 4.3 Correlation</a:t>
            </a:r>
            <a:r>
              <a:rPr lang="en-GB" baseline="0"/>
              <a:t> Graph of GGO's Marks Awarded</a:t>
            </a:r>
            <a:endParaRPr lang="en-GB"/>
          </a:p>
        </c:rich>
      </c:tx>
      <c:overlay val="0"/>
      <c:spPr>
        <a:noFill/>
        <a:ln>
          <a:noFill/>
        </a:ln>
        <a:effectLst/>
      </c:spPr>
    </c:title>
    <c:autoTitleDeleted val="0"/>
    <c:plotArea>
      <c:layout/>
      <c:scatterChart>
        <c:scatterStyle val="smoothMarker"/>
        <c:varyColors val="0"/>
        <c:ser>
          <c:idx val="1"/>
          <c:order val="0"/>
          <c:spPr>
            <a:ln>
              <a:solidFill>
                <a:srgbClr val="00B050"/>
              </a:solidFill>
            </a:ln>
          </c:spPr>
          <c:xVal>
            <c:strRef>
              <c:f>Sheet2!$A$19:$A$26</c:f>
              <c:strCache>
                <c:ptCount val="8"/>
                <c:pt idx="0">
                  <c:v>A</c:v>
                </c:pt>
                <c:pt idx="1">
                  <c:v>B</c:v>
                </c:pt>
                <c:pt idx="2">
                  <c:v>C</c:v>
                </c:pt>
                <c:pt idx="3">
                  <c:v>D</c:v>
                </c:pt>
                <c:pt idx="4">
                  <c:v>E</c:v>
                </c:pt>
                <c:pt idx="5">
                  <c:v>F</c:v>
                </c:pt>
                <c:pt idx="6">
                  <c:v>G</c:v>
                </c:pt>
                <c:pt idx="7">
                  <c:v>H</c:v>
                </c:pt>
              </c:strCache>
            </c:strRef>
          </c:xVal>
          <c:yVal>
            <c:numRef>
              <c:f>Sheet2!$B$19:$B$26</c:f>
              <c:numCache>
                <c:formatCode>General</c:formatCode>
                <c:ptCount val="8"/>
                <c:pt idx="0">
                  <c:v>6</c:v>
                </c:pt>
                <c:pt idx="1">
                  <c:v>10</c:v>
                </c:pt>
                <c:pt idx="2">
                  <c:v>3</c:v>
                </c:pt>
                <c:pt idx="3">
                  <c:v>6</c:v>
                </c:pt>
                <c:pt idx="4">
                  <c:v>1</c:v>
                </c:pt>
                <c:pt idx="5">
                  <c:v>3</c:v>
                </c:pt>
                <c:pt idx="6">
                  <c:v>3</c:v>
                </c:pt>
                <c:pt idx="7">
                  <c:v>6</c:v>
                </c:pt>
              </c:numCache>
            </c:numRef>
          </c:yVal>
          <c:smooth val="1"/>
          <c:extLst>
            <c:ext xmlns:c16="http://schemas.microsoft.com/office/drawing/2014/chart" uri="{C3380CC4-5D6E-409C-BE32-E72D297353CC}">
              <c16:uniqueId val="{00000000-036B-4CC7-A15A-F48BAA411853}"/>
            </c:ext>
          </c:extLst>
        </c:ser>
        <c:ser>
          <c:idx val="2"/>
          <c:order val="1"/>
          <c:spPr>
            <a:ln w="19050" cap="rnd">
              <a:solidFill>
                <a:schemeClr val="accent2"/>
              </a:solidFill>
              <a:round/>
            </a:ln>
            <a:effectLst/>
          </c:spPr>
          <c:xVal>
            <c:strRef>
              <c:f>Sheet2!$A$10:$A$17</c:f>
              <c:strCache>
                <c:ptCount val="8"/>
                <c:pt idx="0">
                  <c:v>A</c:v>
                </c:pt>
                <c:pt idx="1">
                  <c:v>B</c:v>
                </c:pt>
                <c:pt idx="2">
                  <c:v>C</c:v>
                </c:pt>
                <c:pt idx="3">
                  <c:v>D</c:v>
                </c:pt>
                <c:pt idx="4">
                  <c:v>E</c:v>
                </c:pt>
                <c:pt idx="5">
                  <c:v>F</c:v>
                </c:pt>
                <c:pt idx="6">
                  <c:v>G</c:v>
                </c:pt>
                <c:pt idx="7">
                  <c:v>H</c:v>
                </c:pt>
              </c:strCache>
            </c:strRef>
          </c:xVal>
          <c:yVal>
            <c:numRef>
              <c:f>Sheet2!$B$10:$B$17</c:f>
              <c:numCache>
                <c:formatCode>General</c:formatCode>
                <c:ptCount val="8"/>
                <c:pt idx="0">
                  <c:v>7</c:v>
                </c:pt>
                <c:pt idx="1">
                  <c:v>11</c:v>
                </c:pt>
                <c:pt idx="2">
                  <c:v>4</c:v>
                </c:pt>
                <c:pt idx="3">
                  <c:v>11</c:v>
                </c:pt>
                <c:pt idx="4">
                  <c:v>2</c:v>
                </c:pt>
                <c:pt idx="5">
                  <c:v>3</c:v>
                </c:pt>
                <c:pt idx="6">
                  <c:v>3</c:v>
                </c:pt>
                <c:pt idx="7">
                  <c:v>6</c:v>
                </c:pt>
              </c:numCache>
            </c:numRef>
          </c:yVal>
          <c:smooth val="1"/>
          <c:extLst>
            <c:ext xmlns:c16="http://schemas.microsoft.com/office/drawing/2014/chart" uri="{C3380CC4-5D6E-409C-BE32-E72D297353CC}">
              <c16:uniqueId val="{00000001-036B-4CC7-A15A-F48BAA411853}"/>
            </c:ext>
          </c:extLst>
        </c:ser>
        <c:ser>
          <c:idx val="0"/>
          <c:order val="2"/>
          <c:spPr>
            <a:ln w="19050" cap="rnd">
              <a:solidFill>
                <a:schemeClr val="accent1"/>
              </a:solidFill>
              <a:round/>
            </a:ln>
            <a:effectLst/>
          </c:spPr>
          <c:marker>
            <c:symbol val="circle"/>
            <c:size val="5"/>
            <c:spPr>
              <a:solidFill>
                <a:schemeClr val="accent1"/>
              </a:solidFill>
              <a:ln w="9525">
                <a:solidFill>
                  <a:schemeClr val="accent1"/>
                </a:solidFill>
              </a:ln>
              <a:effectLst/>
            </c:spPr>
          </c:marker>
          <c:xVal>
            <c:strRef>
              <c:f>Sheet2!$A$1:$A$8</c:f>
              <c:strCache>
                <c:ptCount val="8"/>
                <c:pt idx="0">
                  <c:v>A</c:v>
                </c:pt>
                <c:pt idx="1">
                  <c:v>B</c:v>
                </c:pt>
                <c:pt idx="2">
                  <c:v>C</c:v>
                </c:pt>
                <c:pt idx="3">
                  <c:v>D</c:v>
                </c:pt>
                <c:pt idx="4">
                  <c:v>E</c:v>
                </c:pt>
                <c:pt idx="5">
                  <c:v>F</c:v>
                </c:pt>
                <c:pt idx="6">
                  <c:v>G</c:v>
                </c:pt>
                <c:pt idx="7">
                  <c:v>H</c:v>
                </c:pt>
              </c:strCache>
            </c:strRef>
          </c:xVal>
          <c:yVal>
            <c:numRef>
              <c:f>Sheet2!$B$1:$B$8</c:f>
              <c:numCache>
                <c:formatCode>General</c:formatCode>
                <c:ptCount val="8"/>
                <c:pt idx="0">
                  <c:v>8</c:v>
                </c:pt>
                <c:pt idx="1">
                  <c:v>11</c:v>
                </c:pt>
                <c:pt idx="2">
                  <c:v>5</c:v>
                </c:pt>
                <c:pt idx="3">
                  <c:v>12</c:v>
                </c:pt>
                <c:pt idx="4">
                  <c:v>2</c:v>
                </c:pt>
                <c:pt idx="5">
                  <c:v>3</c:v>
                </c:pt>
                <c:pt idx="6">
                  <c:v>4</c:v>
                </c:pt>
                <c:pt idx="7">
                  <c:v>6</c:v>
                </c:pt>
              </c:numCache>
            </c:numRef>
          </c:yVal>
          <c:smooth val="1"/>
          <c:extLst>
            <c:ext xmlns:c16="http://schemas.microsoft.com/office/drawing/2014/chart" uri="{C3380CC4-5D6E-409C-BE32-E72D297353CC}">
              <c16:uniqueId val="{00000002-036B-4CC7-A15A-F48BAA411853}"/>
            </c:ext>
          </c:extLst>
        </c:ser>
        <c:dLbls>
          <c:showLegendKey val="0"/>
          <c:showVal val="0"/>
          <c:showCatName val="0"/>
          <c:showSerName val="0"/>
          <c:showPercent val="0"/>
          <c:showBubbleSize val="0"/>
        </c:dLbls>
        <c:axId val="378836888"/>
        <c:axId val="378830984"/>
      </c:scatterChart>
      <c:valAx>
        <c:axId val="378836888"/>
        <c:scaling>
          <c:orientation val="minMax"/>
        </c:scaling>
        <c:delete val="1"/>
        <c:axPos val="b"/>
        <c:majorGridlines>
          <c:spPr>
            <a:ln w="9525" cap="flat" cmpd="sng" algn="ctr">
              <a:solidFill>
                <a:schemeClr val="tx1">
                  <a:lumMod val="15000"/>
                  <a:lumOff val="85000"/>
                </a:schemeClr>
              </a:solidFill>
              <a:round/>
            </a:ln>
            <a:effectLst/>
          </c:spPr>
        </c:majorGridlines>
        <c:majorTickMark val="none"/>
        <c:minorTickMark val="none"/>
        <c:tickLblPos val="nextTo"/>
        <c:crossAx val="378830984"/>
        <c:crosses val="autoZero"/>
        <c:crossBetween val="midCat"/>
      </c:valAx>
      <c:valAx>
        <c:axId val="3788309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Frquency</a:t>
                </a:r>
                <a:br>
                  <a:rPr lang="en-GB"/>
                </a:br>
                <a:r>
                  <a:rPr lang="en-GB"/>
                  <a:t>Mark Awarded</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8836888"/>
        <c:crosses val="autoZero"/>
        <c:crossBetween val="midCat"/>
      </c:valAx>
    </c:plotArea>
    <c:plotVisOnly val="1"/>
    <c:dispBlanksAs val="gap"/>
    <c:showDLblsOverMax val="0"/>
    <c:extLst/>
  </c:chart>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solidFill>
                  <a:sysClr val="windowText" lastClr="000000"/>
                </a:solidFill>
              </a:rPr>
              <a:t>Figure 4.5 </a:t>
            </a:r>
            <a:r>
              <a:rPr lang="en-GB">
                <a:solidFill>
                  <a:sysClr val="windowText" lastClr="000000"/>
                </a:solidFill>
              </a:rPr>
              <a:t>Question One Analysis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'Q1'!$A$2:$A$5</c:f>
              <c:strCache>
                <c:ptCount val="4"/>
                <c:pt idx="0">
                  <c:v>Under 16</c:v>
                </c:pt>
                <c:pt idx="1">
                  <c:v>Between 16-18</c:v>
                </c:pt>
                <c:pt idx="2">
                  <c:v>Over 18</c:v>
                </c:pt>
                <c:pt idx="3">
                  <c:v>Over 21</c:v>
                </c:pt>
              </c:strCache>
            </c:strRef>
          </c:cat>
          <c:val>
            <c:numRef>
              <c:f>'Q1'!$B$2:$B$5</c:f>
              <c:numCache>
                <c:formatCode>General</c:formatCode>
                <c:ptCount val="4"/>
                <c:pt idx="0">
                  <c:v>33</c:v>
                </c:pt>
                <c:pt idx="1">
                  <c:v>65</c:v>
                </c:pt>
                <c:pt idx="2">
                  <c:v>20</c:v>
                </c:pt>
                <c:pt idx="3">
                  <c:v>4</c:v>
                </c:pt>
              </c:numCache>
            </c:numRef>
          </c:val>
          <c:extLst>
            <c:ext xmlns:c16="http://schemas.microsoft.com/office/drawing/2014/chart" uri="{C3380CC4-5D6E-409C-BE32-E72D297353CC}">
              <c16:uniqueId val="{00000000-7571-477C-9CA9-3088978D58BA}"/>
            </c:ext>
          </c:extLst>
        </c:ser>
        <c:dLbls>
          <c:showLegendKey val="0"/>
          <c:showVal val="0"/>
          <c:showCatName val="0"/>
          <c:showSerName val="0"/>
          <c:showPercent val="0"/>
          <c:showBubbleSize val="0"/>
        </c:dLbls>
        <c:gapWidth val="150"/>
        <c:axId val="369867704"/>
        <c:axId val="369866064"/>
      </c:barChart>
      <c:scatterChart>
        <c:scatterStyle val="smoothMarker"/>
        <c:varyColors val="0"/>
        <c:ser>
          <c:idx val="1"/>
          <c:order val="1"/>
          <c:spPr>
            <a:ln w="28575" cap="rnd">
              <a:solidFill>
                <a:schemeClr val="accent2"/>
              </a:solidFill>
              <a:round/>
            </a:ln>
            <a:effectLst/>
          </c:spPr>
          <c:marker>
            <c:symbol val="none"/>
          </c:marker>
          <c:xVal>
            <c:strRef>
              <c:f>'Q1'!$A$2:$A$5</c:f>
              <c:strCache>
                <c:ptCount val="4"/>
                <c:pt idx="0">
                  <c:v>Under 16</c:v>
                </c:pt>
                <c:pt idx="1">
                  <c:v>Between 16-18</c:v>
                </c:pt>
                <c:pt idx="2">
                  <c:v>Over 18</c:v>
                </c:pt>
                <c:pt idx="3">
                  <c:v>Over 21</c:v>
                </c:pt>
              </c:strCache>
            </c:strRef>
          </c:xVal>
          <c:yVal>
            <c:numRef>
              <c:f>'Q1'!$C$2:$C$5</c:f>
              <c:numCache>
                <c:formatCode>General</c:formatCode>
                <c:ptCount val="4"/>
                <c:pt idx="0">
                  <c:v>33</c:v>
                </c:pt>
                <c:pt idx="1">
                  <c:v>65</c:v>
                </c:pt>
                <c:pt idx="2">
                  <c:v>20</c:v>
                </c:pt>
                <c:pt idx="3">
                  <c:v>4</c:v>
                </c:pt>
              </c:numCache>
            </c:numRef>
          </c:yVal>
          <c:smooth val="1"/>
          <c:extLst>
            <c:ext xmlns:c16="http://schemas.microsoft.com/office/drawing/2014/chart" uri="{C3380CC4-5D6E-409C-BE32-E72D297353CC}">
              <c16:uniqueId val="{00000001-7571-477C-9CA9-3088978D58BA}"/>
            </c:ext>
          </c:extLst>
        </c:ser>
        <c:dLbls>
          <c:showLegendKey val="0"/>
          <c:showVal val="0"/>
          <c:showCatName val="0"/>
          <c:showSerName val="0"/>
          <c:showPercent val="0"/>
          <c:showBubbleSize val="0"/>
        </c:dLbls>
        <c:axId val="454467336"/>
        <c:axId val="454460120"/>
      </c:scatterChart>
      <c:catAx>
        <c:axId val="36986770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When did you first become aware on the concept of gambling?</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9866064"/>
        <c:crosses val="autoZero"/>
        <c:auto val="1"/>
        <c:lblAlgn val="ctr"/>
        <c:lblOffset val="100"/>
        <c:noMultiLvlLbl val="0"/>
      </c:catAx>
      <c:valAx>
        <c:axId val="3698660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Frequency</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9867704"/>
        <c:crosses val="autoZero"/>
        <c:crossBetween val="between"/>
      </c:valAx>
      <c:valAx>
        <c:axId val="454460120"/>
        <c:scaling>
          <c:orientation val="minMax"/>
        </c:scaling>
        <c:delete val="1"/>
        <c:axPos val="r"/>
        <c:numFmt formatCode="General" sourceLinked="1"/>
        <c:majorTickMark val="none"/>
        <c:minorTickMark val="none"/>
        <c:tickLblPos val="nextTo"/>
        <c:crossAx val="454467336"/>
        <c:crosses val="max"/>
        <c:crossBetween val="midCat"/>
      </c:valAx>
      <c:valAx>
        <c:axId val="454467336"/>
        <c:scaling>
          <c:orientation val="minMax"/>
        </c:scaling>
        <c:delete val="1"/>
        <c:axPos val="b"/>
        <c:numFmt formatCode="General" sourceLinked="1"/>
        <c:majorTickMark val="none"/>
        <c:minorTickMark val="none"/>
        <c:tickLblPos val="nextTo"/>
        <c:crossAx val="454460120"/>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1">
                <a:solidFill>
                  <a:sysClr val="windowText" lastClr="000000"/>
                </a:solidFill>
              </a:rPr>
              <a:t>Figure 4.7 </a:t>
            </a:r>
            <a:r>
              <a:rPr lang="en-US">
                <a:solidFill>
                  <a:sysClr val="windowText" lastClr="000000"/>
                </a:solidFill>
              </a:rPr>
              <a:t>Question Three Analysis </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'Q3'!$A$2:$A$6</c:f>
              <c:strCache>
                <c:ptCount val="5"/>
                <c:pt idx="0">
                  <c:v>Never</c:v>
                </c:pt>
                <c:pt idx="1">
                  <c:v>Once a week</c:v>
                </c:pt>
                <c:pt idx="2">
                  <c:v>More than once a week</c:v>
                </c:pt>
                <c:pt idx="3">
                  <c:v>Up to 10 times a month</c:v>
                </c:pt>
                <c:pt idx="4">
                  <c:v>More than 10 times a month</c:v>
                </c:pt>
              </c:strCache>
            </c:strRef>
          </c:cat>
          <c:val>
            <c:numRef>
              <c:f>'Q3'!$B$2:$B$6</c:f>
              <c:numCache>
                <c:formatCode>General</c:formatCode>
                <c:ptCount val="5"/>
                <c:pt idx="0">
                  <c:v>23</c:v>
                </c:pt>
                <c:pt idx="1">
                  <c:v>30</c:v>
                </c:pt>
                <c:pt idx="2">
                  <c:v>31</c:v>
                </c:pt>
                <c:pt idx="3">
                  <c:v>17</c:v>
                </c:pt>
                <c:pt idx="4">
                  <c:v>21</c:v>
                </c:pt>
              </c:numCache>
            </c:numRef>
          </c:val>
          <c:extLst>
            <c:ext xmlns:c16="http://schemas.microsoft.com/office/drawing/2014/chart" uri="{C3380CC4-5D6E-409C-BE32-E72D297353CC}">
              <c16:uniqueId val="{00000000-C1BE-4DEE-B0EE-619976171393}"/>
            </c:ext>
          </c:extLst>
        </c:ser>
        <c:dLbls>
          <c:showLegendKey val="0"/>
          <c:showVal val="0"/>
          <c:showCatName val="0"/>
          <c:showSerName val="0"/>
          <c:showPercent val="0"/>
          <c:showBubbleSize val="0"/>
        </c:dLbls>
        <c:gapWidth val="150"/>
        <c:axId val="369860816"/>
        <c:axId val="369855896"/>
      </c:barChart>
      <c:catAx>
        <c:axId val="36986081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How often do you participate in gambling (land-based and online)?</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9855896"/>
        <c:crosses val="autoZero"/>
        <c:auto val="1"/>
        <c:lblAlgn val="ctr"/>
        <c:lblOffset val="100"/>
        <c:noMultiLvlLbl val="0"/>
      </c:catAx>
      <c:valAx>
        <c:axId val="3698558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Frequency</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9860816"/>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Standard Deviation Curve</a:t>
            </a:r>
          </a:p>
        </c:rich>
      </c:tx>
      <c:layout>
        <c:manualLayout>
          <c:xMode val="edge"/>
          <c:yMode val="edge"/>
          <c:x val="0.35423038786818312"/>
          <c:y val="1.0158385374242013E-3"/>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2.550576764940457E-2"/>
          <c:y val="1.9237478986265742E-2"/>
          <c:w val="0.9136594255169499"/>
          <c:h val="0.78707785694362598"/>
        </c:manualLayout>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'Q3'!$B$34:$B$94</c:f>
              <c:numCache>
                <c:formatCode>General</c:formatCode>
                <c:ptCount val="61"/>
                <c:pt idx="0">
                  <c:v>8.997399999999999</c:v>
                </c:pt>
                <c:pt idx="1">
                  <c:v>9.5108199999999989</c:v>
                </c:pt>
                <c:pt idx="2">
                  <c:v>10.024239999999999</c:v>
                </c:pt>
                <c:pt idx="3">
                  <c:v>10.537659999999999</c:v>
                </c:pt>
                <c:pt idx="4">
                  <c:v>11.051079999999999</c:v>
                </c:pt>
                <c:pt idx="5">
                  <c:v>11.564499999999999</c:v>
                </c:pt>
                <c:pt idx="6">
                  <c:v>12.077919999999999</c:v>
                </c:pt>
                <c:pt idx="7">
                  <c:v>12.591339999999999</c:v>
                </c:pt>
                <c:pt idx="8">
                  <c:v>13.104759999999999</c:v>
                </c:pt>
                <c:pt idx="9">
                  <c:v>13.618179999999999</c:v>
                </c:pt>
                <c:pt idx="10">
                  <c:v>14.131599999999999</c:v>
                </c:pt>
                <c:pt idx="11">
                  <c:v>14.645019999999999</c:v>
                </c:pt>
                <c:pt idx="12">
                  <c:v>15.158439999999999</c:v>
                </c:pt>
                <c:pt idx="13">
                  <c:v>15.671859999999999</c:v>
                </c:pt>
                <c:pt idx="14">
                  <c:v>16.185279999999999</c:v>
                </c:pt>
                <c:pt idx="15">
                  <c:v>16.698699999999999</c:v>
                </c:pt>
                <c:pt idx="16">
                  <c:v>17.212119999999999</c:v>
                </c:pt>
                <c:pt idx="17">
                  <c:v>17.725539999999999</c:v>
                </c:pt>
                <c:pt idx="18">
                  <c:v>18.238959999999999</c:v>
                </c:pt>
                <c:pt idx="19">
                  <c:v>18.752379999999999</c:v>
                </c:pt>
                <c:pt idx="20">
                  <c:v>19.265799999999999</c:v>
                </c:pt>
                <c:pt idx="21">
                  <c:v>19.779219999999999</c:v>
                </c:pt>
                <c:pt idx="22">
                  <c:v>20.292639999999999</c:v>
                </c:pt>
                <c:pt idx="23">
                  <c:v>20.806059999999999</c:v>
                </c:pt>
                <c:pt idx="24">
                  <c:v>21.319479999999999</c:v>
                </c:pt>
                <c:pt idx="25">
                  <c:v>21.832899999999999</c:v>
                </c:pt>
                <c:pt idx="26">
                  <c:v>22.346319999999999</c:v>
                </c:pt>
                <c:pt idx="27">
                  <c:v>22.859739999999999</c:v>
                </c:pt>
                <c:pt idx="28">
                  <c:v>23.373159999999999</c:v>
                </c:pt>
                <c:pt idx="29">
                  <c:v>23.886579999999999</c:v>
                </c:pt>
                <c:pt idx="30">
                  <c:v>24.4</c:v>
                </c:pt>
                <c:pt idx="31">
                  <c:v>24.913419999999999</c:v>
                </c:pt>
                <c:pt idx="32">
                  <c:v>25.426839999999999</c:v>
                </c:pt>
                <c:pt idx="33">
                  <c:v>25.940259999999999</c:v>
                </c:pt>
                <c:pt idx="34">
                  <c:v>26.453679999999999</c:v>
                </c:pt>
                <c:pt idx="35">
                  <c:v>26.967099999999999</c:v>
                </c:pt>
                <c:pt idx="36">
                  <c:v>27.480519999999999</c:v>
                </c:pt>
                <c:pt idx="37">
                  <c:v>27.993939999999998</c:v>
                </c:pt>
                <c:pt idx="38">
                  <c:v>28.507359999999998</c:v>
                </c:pt>
                <c:pt idx="39">
                  <c:v>29.020779999999998</c:v>
                </c:pt>
                <c:pt idx="40">
                  <c:v>29.534199999999998</c:v>
                </c:pt>
                <c:pt idx="41">
                  <c:v>30.047619999999998</c:v>
                </c:pt>
                <c:pt idx="42">
                  <c:v>30.561039999999998</c:v>
                </c:pt>
                <c:pt idx="43">
                  <c:v>31.074459999999998</c:v>
                </c:pt>
                <c:pt idx="44">
                  <c:v>31.587879999999998</c:v>
                </c:pt>
                <c:pt idx="45">
                  <c:v>32.101299999999995</c:v>
                </c:pt>
                <c:pt idx="46">
                  <c:v>32.614719999999991</c:v>
                </c:pt>
                <c:pt idx="47">
                  <c:v>33.128139999999988</c:v>
                </c:pt>
                <c:pt idx="48">
                  <c:v>33.641559999999984</c:v>
                </c:pt>
                <c:pt idx="49">
                  <c:v>34.154979999999981</c:v>
                </c:pt>
                <c:pt idx="50">
                  <c:v>34.668399999999977</c:v>
                </c:pt>
                <c:pt idx="51">
                  <c:v>35.181819999999973</c:v>
                </c:pt>
                <c:pt idx="52">
                  <c:v>35.69523999999997</c:v>
                </c:pt>
                <c:pt idx="53">
                  <c:v>36.208659999999966</c:v>
                </c:pt>
                <c:pt idx="54">
                  <c:v>36.722079999999963</c:v>
                </c:pt>
                <c:pt idx="55">
                  <c:v>37.235499999999959</c:v>
                </c:pt>
                <c:pt idx="56">
                  <c:v>37.748919999999956</c:v>
                </c:pt>
                <c:pt idx="57">
                  <c:v>38.262339999999952</c:v>
                </c:pt>
                <c:pt idx="58">
                  <c:v>38.775759999999948</c:v>
                </c:pt>
                <c:pt idx="59">
                  <c:v>39.289179999999945</c:v>
                </c:pt>
                <c:pt idx="60">
                  <c:v>39.802599999999941</c:v>
                </c:pt>
              </c:numCache>
            </c:numRef>
          </c:xVal>
          <c:yVal>
            <c:numRef>
              <c:f>'Q3'!$C$34:$C$94</c:f>
              <c:numCache>
                <c:formatCode>General</c:formatCode>
                <c:ptCount val="61"/>
                <c:pt idx="0">
                  <c:v>8.6320135794047898E-4</c:v>
                </c:pt>
                <c:pt idx="1">
                  <c:v>1.1593884967036449E-3</c:v>
                </c:pt>
                <c:pt idx="2">
                  <c:v>1.5417107987573465E-3</c:v>
                </c:pt>
                <c:pt idx="3">
                  <c:v>2.0297095583387071E-3</c:v>
                </c:pt>
                <c:pt idx="4">
                  <c:v>2.6455863101721034E-3</c:v>
                </c:pt>
                <c:pt idx="5">
                  <c:v>3.4140275979838218E-3</c:v>
                </c:pt>
                <c:pt idx="6">
                  <c:v>4.3618344230538153E-3</c:v>
                </c:pt>
                <c:pt idx="7">
                  <c:v>5.5173226094817479E-3</c:v>
                </c:pt>
                <c:pt idx="8">
                  <c:v>6.9094684364129607E-3</c:v>
                </c:pt>
                <c:pt idx="9">
                  <c:v>8.5667866425981065E-3</c:v>
                </c:pt>
                <c:pt idx="10">
                  <c:v>1.0515945329980923E-2</c:v>
                </c:pt>
                <c:pt idx="11">
                  <c:v>1.2780143892851195E-2</c:v>
                </c:pt>
                <c:pt idx="12">
                  <c:v>1.5377304799363903E-2</c:v>
                </c:pt>
                <c:pt idx="13">
                  <c:v>1.8318156163937314E-2</c:v>
                </c:pt>
                <c:pt idx="14">
                  <c:v>2.16043073272283E-2</c:v>
                </c:pt>
                <c:pt idx="15">
                  <c:v>2.5226441444799918E-2</c:v>
                </c:pt>
                <c:pt idx="16">
                  <c:v>2.9162764527237907E-2</c:v>
                </c:pt>
                <c:pt idx="17">
                  <c:v>3.3377856734799455E-2</c:v>
                </c:pt>
                <c:pt idx="18">
                  <c:v>3.7822066725724156E-2</c:v>
                </c:pt>
                <c:pt idx="19">
                  <c:v>4.2431572013663384E-2</c:v>
                </c:pt>
                <c:pt idx="20">
                  <c:v>4.7129197249648119E-2</c:v>
                </c:pt>
                <c:pt idx="21">
                  <c:v>5.1826039090560334E-2</c:v>
                </c:pt>
                <c:pt idx="22">
                  <c:v>5.6423893257271381E-2</c:v>
                </c:pt>
                <c:pt idx="23">
                  <c:v>6.081842027321905E-2</c:v>
                </c:pt>
                <c:pt idx="24">
                  <c:v>6.4902926043356249E-2</c:v>
                </c:pt>
                <c:pt idx="25">
                  <c:v>6.8572577376085769E-2</c:v>
                </c:pt>
                <c:pt idx="26">
                  <c:v>7.1728826361131884E-2</c:v>
                </c:pt>
                <c:pt idx="27">
                  <c:v>7.4283786268654145E-2</c:v>
                </c:pt>
                <c:pt idx="28">
                  <c:v>7.6164289271056035E-2</c:v>
                </c:pt>
                <c:pt idx="29">
                  <c:v>7.7315365096219821E-2</c:v>
                </c:pt>
                <c:pt idx="30">
                  <c:v>7.770290997651684E-2</c:v>
                </c:pt>
                <c:pt idx="31">
                  <c:v>7.7315365096219821E-2</c:v>
                </c:pt>
                <c:pt idx="32">
                  <c:v>7.6164289271056035E-2</c:v>
                </c:pt>
                <c:pt idx="33">
                  <c:v>7.4283786268654145E-2</c:v>
                </c:pt>
                <c:pt idx="34">
                  <c:v>7.1728826361131884E-2</c:v>
                </c:pt>
                <c:pt idx="35">
                  <c:v>6.8572577376085769E-2</c:v>
                </c:pt>
                <c:pt idx="36">
                  <c:v>6.4902926043356249E-2</c:v>
                </c:pt>
                <c:pt idx="37">
                  <c:v>6.081842027321905E-2</c:v>
                </c:pt>
                <c:pt idx="38">
                  <c:v>5.6423893257271381E-2</c:v>
                </c:pt>
                <c:pt idx="39">
                  <c:v>5.1826039090560334E-2</c:v>
                </c:pt>
                <c:pt idx="40">
                  <c:v>4.7129197249648119E-2</c:v>
                </c:pt>
                <c:pt idx="41">
                  <c:v>4.2431572013663384E-2</c:v>
                </c:pt>
                <c:pt idx="42">
                  <c:v>3.7822066725724156E-2</c:v>
                </c:pt>
                <c:pt idx="43">
                  <c:v>3.3377856734799455E-2</c:v>
                </c:pt>
                <c:pt idx="44">
                  <c:v>2.9162764527237907E-2</c:v>
                </c:pt>
                <c:pt idx="45">
                  <c:v>2.5226441444799942E-2</c:v>
                </c:pt>
                <c:pt idx="46">
                  <c:v>2.1604307327228359E-2</c:v>
                </c:pt>
                <c:pt idx="47">
                  <c:v>1.8318156163937373E-2</c:v>
                </c:pt>
                <c:pt idx="48">
                  <c:v>1.5377304799363986E-2</c:v>
                </c:pt>
                <c:pt idx="49">
                  <c:v>1.2780143892851275E-2</c:v>
                </c:pt>
                <c:pt idx="50">
                  <c:v>1.0515945329981012E-2</c:v>
                </c:pt>
                <c:pt idx="51">
                  <c:v>8.5667866425981933E-3</c:v>
                </c:pt>
                <c:pt idx="52">
                  <c:v>6.9094684364130491E-3</c:v>
                </c:pt>
                <c:pt idx="53">
                  <c:v>5.517322609481826E-3</c:v>
                </c:pt>
                <c:pt idx="54">
                  <c:v>4.3618344230538855E-3</c:v>
                </c:pt>
                <c:pt idx="55">
                  <c:v>3.4140275979838855E-3</c:v>
                </c:pt>
                <c:pt idx="56">
                  <c:v>2.6455863101721624E-3</c:v>
                </c:pt>
                <c:pt idx="57">
                  <c:v>2.0297095583387587E-3</c:v>
                </c:pt>
                <c:pt idx="58">
                  <c:v>1.5417107987573868E-3</c:v>
                </c:pt>
                <c:pt idx="59">
                  <c:v>1.1593884967036801E-3</c:v>
                </c:pt>
                <c:pt idx="60">
                  <c:v>8.6320135794050814E-4</c:v>
                </c:pt>
              </c:numCache>
            </c:numRef>
          </c:yVal>
          <c:smooth val="1"/>
          <c:extLst>
            <c:ext xmlns:c16="http://schemas.microsoft.com/office/drawing/2014/chart" uri="{C3380CC4-5D6E-409C-BE32-E72D297353CC}">
              <c16:uniqueId val="{00000000-7486-4839-8A1A-B7D704BA2B4F}"/>
            </c:ext>
          </c:extLst>
        </c:ser>
        <c:dLbls>
          <c:showLegendKey val="0"/>
          <c:showVal val="0"/>
          <c:showCatName val="0"/>
          <c:showSerName val="0"/>
          <c:showPercent val="0"/>
          <c:showBubbleSize val="0"/>
        </c:dLbls>
        <c:axId val="314307216"/>
        <c:axId val="314307544"/>
      </c:scatterChart>
      <c:valAx>
        <c:axId val="314307216"/>
        <c:scaling>
          <c:orientation val="minMax"/>
        </c:scaling>
        <c:delete val="0"/>
        <c:axPos val="b"/>
        <c:majorGridlines>
          <c:spPr>
            <a:ln w="9525" cap="flat" cmpd="sng" algn="ctr">
              <a:no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4307544"/>
        <c:crosses val="autoZero"/>
        <c:crossBetween val="midCat"/>
      </c:valAx>
      <c:valAx>
        <c:axId val="314307544"/>
        <c:scaling>
          <c:orientation val="minMax"/>
        </c:scaling>
        <c:delete val="0"/>
        <c:axPos val="l"/>
        <c:majorGridlines>
          <c:spPr>
            <a:ln w="9525" cap="flat" cmpd="sng" algn="ctr">
              <a:no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p>
            </c:rich>
          </c:tx>
          <c:layout>
            <c:manualLayout>
              <c:xMode val="edge"/>
              <c:yMode val="edge"/>
              <c:x val="0"/>
              <c:y val="0.75775726310073299"/>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no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4307216"/>
        <c:crosses val="autoZero"/>
        <c:crossBetween val="midCat"/>
      </c:valAx>
      <c:spPr>
        <a:noFill/>
        <a:ln>
          <a:solidFill>
            <a:schemeClr val="accent1">
              <a:alpha val="0"/>
            </a:schemeClr>
          </a:solid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1" i="0" u="none" strike="noStrike" baseline="0">
                <a:solidFill>
                  <a:sysClr val="windowText" lastClr="000000"/>
                </a:solidFill>
                <a:effectLst/>
              </a:rPr>
              <a:t>Figure 4.9 </a:t>
            </a:r>
            <a:r>
              <a:rPr lang="en-GB" sz="1400" b="0" i="0" u="none" strike="noStrike" baseline="0">
                <a:solidFill>
                  <a:sysClr val="windowText" lastClr="000000"/>
                </a:solidFill>
                <a:effectLst/>
              </a:rPr>
              <a:t>Question Five Analysis</a:t>
            </a:r>
            <a:r>
              <a:rPr lang="en-GB" sz="1100" b="0" i="0" u="none" strike="noStrike" baseline="0">
                <a:effectLst/>
              </a:rPr>
              <a:t/>
            </a:r>
            <a:br>
              <a:rPr lang="en-GB" sz="1100" b="0" i="0" u="none" strike="noStrike" baseline="0">
                <a:effectLst/>
              </a:rPr>
            </a:br>
            <a:r>
              <a:rPr lang="en-GB" sz="1100" b="0" i="0" u="none" strike="noStrike" baseline="0">
                <a:effectLst/>
              </a:rPr>
              <a:t>What is your approach towards reading the terms and conditions on online gambling sites/apps, please select the most appropriate which relates to you.</a:t>
            </a:r>
            <a:endParaRPr lang="en-GB" sz="1100"/>
          </a:p>
        </c:rich>
      </c:tx>
      <c:layout>
        <c:manualLayout>
          <c:xMode val="edge"/>
          <c:yMode val="edge"/>
          <c:x val="0.13222900262467191"/>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6524321959755031"/>
          <c:y val="0.24959244677748615"/>
          <c:w val="0.83293613298337699"/>
          <c:h val="0.41966681248177312"/>
        </c:manualLayout>
      </c:layout>
      <c:barChart>
        <c:barDir val="col"/>
        <c:grouping val="stacked"/>
        <c:varyColors val="0"/>
        <c:ser>
          <c:idx val="0"/>
          <c:order val="0"/>
          <c:spPr>
            <a:solidFill>
              <a:schemeClr val="accent1"/>
            </a:solidFill>
            <a:ln>
              <a:noFill/>
            </a:ln>
            <a:effectLst/>
          </c:spPr>
          <c:invertIfNegative val="0"/>
          <c:cat>
            <c:strRef>
              <c:f>Sheet1!$A$2:$A$6</c:f>
              <c:strCache>
                <c:ptCount val="5"/>
                <c:pt idx="0">
                  <c:v>Terms and conditions are easily accessible</c:v>
                </c:pt>
                <c:pt idx="1">
                  <c:v>Terms and conditions are easy to read</c:v>
                </c:pt>
                <c:pt idx="2">
                  <c:v>Terms and conditions areunderstandable</c:v>
                </c:pt>
                <c:pt idx="3">
                  <c:v>Terms and conditions information islengthy</c:v>
                </c:pt>
                <c:pt idx="4">
                  <c:v>I don't read the terms and conditions</c:v>
                </c:pt>
              </c:strCache>
            </c:strRef>
          </c:cat>
          <c:val>
            <c:numRef>
              <c:f>Sheet1!$B$2:$B$6</c:f>
              <c:numCache>
                <c:formatCode>General</c:formatCode>
                <c:ptCount val="5"/>
                <c:pt idx="0">
                  <c:v>6</c:v>
                </c:pt>
                <c:pt idx="1">
                  <c:v>3</c:v>
                </c:pt>
                <c:pt idx="2">
                  <c:v>14</c:v>
                </c:pt>
                <c:pt idx="3">
                  <c:v>36</c:v>
                </c:pt>
                <c:pt idx="4">
                  <c:v>62</c:v>
                </c:pt>
              </c:numCache>
            </c:numRef>
          </c:val>
          <c:extLst>
            <c:ext xmlns:c16="http://schemas.microsoft.com/office/drawing/2014/chart" uri="{C3380CC4-5D6E-409C-BE32-E72D297353CC}">
              <c16:uniqueId val="{00000000-449D-4A14-A5DE-A122FDC9DE53}"/>
            </c:ext>
          </c:extLst>
        </c:ser>
        <c:dLbls>
          <c:showLegendKey val="0"/>
          <c:showVal val="0"/>
          <c:showCatName val="0"/>
          <c:showSerName val="0"/>
          <c:showPercent val="0"/>
          <c:showBubbleSize val="0"/>
        </c:dLbls>
        <c:gapWidth val="150"/>
        <c:overlap val="100"/>
        <c:axId val="384033064"/>
        <c:axId val="384034048"/>
      </c:barChart>
      <c:catAx>
        <c:axId val="38403306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Catagories</a:t>
                </a:r>
              </a:p>
            </c:rich>
          </c:tx>
          <c:layout>
            <c:manualLayout>
              <c:xMode val="edge"/>
              <c:yMode val="edge"/>
              <c:x val="0.49434317585301835"/>
              <c:y val="0.87253608923884529"/>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4034048"/>
        <c:crosses val="autoZero"/>
        <c:auto val="1"/>
        <c:lblAlgn val="ctr"/>
        <c:lblOffset val="100"/>
        <c:noMultiLvlLbl val="0"/>
      </c:catAx>
      <c:valAx>
        <c:axId val="3840340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4033064"/>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1" i="0" u="none" strike="noStrike" baseline="0">
                <a:solidFill>
                  <a:sysClr val="windowText" lastClr="000000"/>
                </a:solidFill>
                <a:effectLst/>
              </a:rPr>
              <a:t>Figure 4.10 </a:t>
            </a:r>
            <a:r>
              <a:rPr lang="en-GB" sz="1400" b="0" i="0" u="none" strike="noStrike" baseline="0">
                <a:solidFill>
                  <a:sysClr val="windowText" lastClr="000000"/>
                </a:solidFill>
                <a:effectLst/>
              </a:rPr>
              <a:t>Question Six Analysis</a:t>
            </a:r>
            <a:r>
              <a:rPr lang="en-GB" sz="1200" b="0" i="0" u="none" strike="noStrike" baseline="0">
                <a:solidFill>
                  <a:sysClr val="windowText" lastClr="000000"/>
                </a:solidFill>
                <a:effectLst/>
              </a:rPr>
              <a:t/>
            </a:r>
            <a:br>
              <a:rPr lang="en-GB" sz="1200" b="0" i="0" u="none" strike="noStrike" baseline="0">
                <a:solidFill>
                  <a:sysClr val="windowText" lastClr="000000"/>
                </a:solidFill>
                <a:effectLst/>
              </a:rPr>
            </a:br>
            <a:r>
              <a:rPr lang="en-GB" sz="1200" b="0" i="0" u="none" strike="noStrike" baseline="0">
                <a:effectLst/>
              </a:rPr>
              <a:t>Rating on a scale from 1-4, how effective do you consider the message portrayed by online gambling operators on RG towards consumers such as yourself?</a:t>
            </a:r>
            <a:endParaRPr lang="en-GB" sz="1200"/>
          </a:p>
        </c:rich>
      </c:tx>
      <c:layout>
        <c:manualLayout>
          <c:xMode val="edge"/>
          <c:yMode val="edge"/>
          <c:x val="0.13312489063867017"/>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Sheet4!$A$1:$A$4</c:f>
              <c:strCache>
                <c:ptCount val="4"/>
                <c:pt idx="0">
                  <c:v>Not Effective</c:v>
                </c:pt>
                <c:pt idx="1">
                  <c:v>Adequete </c:v>
                </c:pt>
                <c:pt idx="2">
                  <c:v>Effective</c:v>
                </c:pt>
                <c:pt idx="3">
                  <c:v>Very Effective</c:v>
                </c:pt>
              </c:strCache>
            </c:strRef>
          </c:cat>
          <c:val>
            <c:numRef>
              <c:f>Sheet4!$B$1:$B$4</c:f>
              <c:numCache>
                <c:formatCode>General</c:formatCode>
                <c:ptCount val="4"/>
                <c:pt idx="0">
                  <c:v>28</c:v>
                </c:pt>
                <c:pt idx="1">
                  <c:v>50</c:v>
                </c:pt>
                <c:pt idx="2">
                  <c:v>31</c:v>
                </c:pt>
                <c:pt idx="3">
                  <c:v>13</c:v>
                </c:pt>
              </c:numCache>
            </c:numRef>
          </c:val>
          <c:extLst>
            <c:ext xmlns:c16="http://schemas.microsoft.com/office/drawing/2014/chart" uri="{C3380CC4-5D6E-409C-BE32-E72D297353CC}">
              <c16:uniqueId val="{00000000-133C-4885-9F0F-E623E7BB2E35}"/>
            </c:ext>
          </c:extLst>
        </c:ser>
        <c:dLbls>
          <c:showLegendKey val="0"/>
          <c:showVal val="0"/>
          <c:showCatName val="0"/>
          <c:showSerName val="0"/>
          <c:showPercent val="0"/>
          <c:showBubbleSize val="0"/>
        </c:dLbls>
        <c:gapWidth val="219"/>
        <c:overlap val="-27"/>
        <c:axId val="384021584"/>
        <c:axId val="384030440"/>
      </c:barChart>
      <c:catAx>
        <c:axId val="38402158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Catagories</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4030440"/>
        <c:crosses val="autoZero"/>
        <c:auto val="1"/>
        <c:lblAlgn val="ctr"/>
        <c:lblOffset val="100"/>
        <c:noMultiLvlLbl val="0"/>
      </c:catAx>
      <c:valAx>
        <c:axId val="3840304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4021584"/>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lineMarker"/>
        <c:varyColors val="0"/>
        <c:ser>
          <c:idx val="0"/>
          <c:order val="0"/>
          <c:spPr>
            <a:ln w="25400" cap="rnd">
              <a:noFill/>
              <a:round/>
            </a:ln>
            <a:effectLst/>
          </c:spPr>
          <c:marker>
            <c:symbol val="circle"/>
            <c:size val="5"/>
            <c:spPr>
              <a:solidFill>
                <a:schemeClr val="accent1"/>
              </a:solidFill>
              <a:ln w="9525">
                <a:solidFill>
                  <a:schemeClr val="accent1"/>
                </a:solidFill>
              </a:ln>
              <a:effectLst/>
            </c:spPr>
          </c:marker>
          <c:xVal>
            <c:strRef>
              <c:f>Sheet4!$A$1:$A$4</c:f>
              <c:strCache>
                <c:ptCount val="4"/>
                <c:pt idx="0">
                  <c:v>Not Effective</c:v>
                </c:pt>
                <c:pt idx="1">
                  <c:v>Adequete </c:v>
                </c:pt>
                <c:pt idx="2">
                  <c:v>Effective</c:v>
                </c:pt>
                <c:pt idx="3">
                  <c:v>Very Effective</c:v>
                </c:pt>
              </c:strCache>
            </c:strRef>
          </c:xVal>
          <c:yVal>
            <c:numRef>
              <c:f>Sheet4!$B$1:$B$4</c:f>
              <c:numCache>
                <c:formatCode>General</c:formatCode>
                <c:ptCount val="4"/>
                <c:pt idx="0">
                  <c:v>28</c:v>
                </c:pt>
                <c:pt idx="1">
                  <c:v>50</c:v>
                </c:pt>
                <c:pt idx="2">
                  <c:v>31</c:v>
                </c:pt>
                <c:pt idx="3">
                  <c:v>13</c:v>
                </c:pt>
              </c:numCache>
            </c:numRef>
          </c:yVal>
          <c:smooth val="0"/>
          <c:extLst>
            <c:ext xmlns:c16="http://schemas.microsoft.com/office/drawing/2014/chart" uri="{C3380CC4-5D6E-409C-BE32-E72D297353CC}">
              <c16:uniqueId val="{00000000-36A9-4BED-AEE6-C6E256E9D46B}"/>
            </c:ext>
          </c:extLst>
        </c:ser>
        <c:dLbls>
          <c:showLegendKey val="0"/>
          <c:showVal val="0"/>
          <c:showCatName val="0"/>
          <c:showSerName val="0"/>
          <c:showPercent val="0"/>
          <c:showBubbleSize val="0"/>
        </c:dLbls>
        <c:axId val="384021584"/>
        <c:axId val="384030440"/>
      </c:scatterChart>
      <c:valAx>
        <c:axId val="38402158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Correlation</a:t>
                </a:r>
                <a:r>
                  <a:rPr lang="en-GB" baseline="0"/>
                  <a:t> Scale</a:t>
                </a:r>
                <a:endParaRPr lang="en-GB"/>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4030440"/>
        <c:crosses val="autoZero"/>
        <c:crossBetween val="midCat"/>
      </c:valAx>
      <c:valAx>
        <c:axId val="3840304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4021584"/>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Standard Deviation Curve </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4445603674540683"/>
          <c:y val="0.17171296296296296"/>
          <c:w val="0.70121062992125982"/>
          <c:h val="0.72088764946048411"/>
        </c:manualLayout>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Sheet4!$C$10:$C$19</c:f>
              <c:numCache>
                <c:formatCode>General</c:formatCode>
                <c:ptCount val="10"/>
                <c:pt idx="0">
                  <c:v>18.130670000000002</c:v>
                </c:pt>
                <c:pt idx="1">
                  <c:v>21.180670000000003</c:v>
                </c:pt>
                <c:pt idx="2">
                  <c:v>24.230670000000003</c:v>
                </c:pt>
                <c:pt idx="3">
                  <c:v>27.280670000000004</c:v>
                </c:pt>
                <c:pt idx="4">
                  <c:v>30.330670000000005</c:v>
                </c:pt>
                <c:pt idx="5">
                  <c:v>33.380670000000002</c:v>
                </c:pt>
                <c:pt idx="6">
                  <c:v>36.430669999999999</c:v>
                </c:pt>
                <c:pt idx="7">
                  <c:v>39.480669999999996</c:v>
                </c:pt>
                <c:pt idx="8">
                  <c:v>42.530669999999994</c:v>
                </c:pt>
                <c:pt idx="9">
                  <c:v>45.580669999999991</c:v>
                </c:pt>
              </c:numCache>
            </c:numRef>
          </c:xVal>
          <c:yVal>
            <c:numRef>
              <c:f>Sheet4!$D$10:$D$19</c:f>
              <c:numCache>
                <c:formatCode>General</c:formatCode>
                <c:ptCount val="10"/>
                <c:pt idx="0">
                  <c:v>1.0748799842686728E-3</c:v>
                </c:pt>
                <c:pt idx="1">
                  <c:v>7.5217984640491243E-3</c:v>
                </c:pt>
                <c:pt idx="2">
                  <c:v>3.0453374212434565E-2</c:v>
                </c:pt>
                <c:pt idx="3">
                  <c:v>7.1334751793720688E-2</c:v>
                </c:pt>
                <c:pt idx="4">
                  <c:v>9.6676050273186764E-2</c:v>
                </c:pt>
                <c:pt idx="5">
                  <c:v>7.5803394231483426E-2</c:v>
                </c:pt>
                <c:pt idx="6">
                  <c:v>3.4388276889844679E-2</c:v>
                </c:pt>
                <c:pt idx="7">
                  <c:v>9.0257684260318643E-3</c:v>
                </c:pt>
                <c:pt idx="8">
                  <c:v>1.3705976012860245E-3</c:v>
                </c:pt>
                <c:pt idx="9">
                  <c:v>1.2041698725500033E-4</c:v>
                </c:pt>
              </c:numCache>
            </c:numRef>
          </c:yVal>
          <c:smooth val="1"/>
          <c:extLst>
            <c:ext xmlns:c16="http://schemas.microsoft.com/office/drawing/2014/chart" uri="{C3380CC4-5D6E-409C-BE32-E72D297353CC}">
              <c16:uniqueId val="{00000000-5150-40AC-874F-F134F0AC7000}"/>
            </c:ext>
          </c:extLst>
        </c:ser>
        <c:dLbls>
          <c:showLegendKey val="0"/>
          <c:showVal val="0"/>
          <c:showCatName val="0"/>
          <c:showSerName val="0"/>
          <c:showPercent val="0"/>
          <c:showBubbleSize val="0"/>
        </c:dLbls>
        <c:axId val="424924224"/>
        <c:axId val="424924552"/>
      </c:scatterChart>
      <c:valAx>
        <c:axId val="424924224"/>
        <c:scaling>
          <c:orientation val="minMax"/>
        </c:scaling>
        <c:delete val="0"/>
        <c:axPos val="b"/>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4924552"/>
        <c:crosses val="autoZero"/>
        <c:crossBetween val="midCat"/>
      </c:valAx>
      <c:valAx>
        <c:axId val="424924552"/>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4924224"/>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r>
              <a:rPr lang="en-GB" sz="1400" b="1">
                <a:solidFill>
                  <a:sysClr val="windowText" lastClr="000000"/>
                </a:solidFill>
              </a:rPr>
              <a:t>Figure 4.12 </a:t>
            </a:r>
            <a:r>
              <a:rPr lang="en-GB" sz="1400">
                <a:solidFill>
                  <a:sysClr val="windowText" lastClr="000000"/>
                </a:solidFill>
              </a:rPr>
              <a:t>Question Seven Analysis</a:t>
            </a:r>
            <a:r>
              <a:rPr lang="en-GB" sz="1100"/>
              <a:t/>
            </a:r>
            <a:br>
              <a:rPr lang="en-GB" sz="1100"/>
            </a:br>
            <a:r>
              <a:rPr lang="en-GB" sz="1100"/>
              <a:t>Responsible Gambling links Participants have seen.</a:t>
            </a:r>
          </a:p>
        </c:rich>
      </c:tx>
      <c:layout/>
      <c:overlay val="0"/>
      <c:spPr>
        <a:noFill/>
        <a:ln>
          <a:noFill/>
        </a:ln>
        <a:effectLst/>
      </c:spPr>
      <c:txPr>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3815048118985127"/>
          <c:y val="0.17632728200641587"/>
          <c:w val="0.83129396325459315"/>
          <c:h val="0.50545384951881012"/>
        </c:manualLayout>
      </c:layout>
      <c:barChart>
        <c:barDir val="col"/>
        <c:grouping val="clustered"/>
        <c:varyColors val="0"/>
        <c:ser>
          <c:idx val="0"/>
          <c:order val="0"/>
          <c:spPr>
            <a:solidFill>
              <a:schemeClr val="accent1"/>
            </a:solidFill>
            <a:ln>
              <a:noFill/>
            </a:ln>
            <a:effectLst/>
          </c:spPr>
          <c:invertIfNegative val="0"/>
          <c:cat>
            <c:strRef>
              <c:f>Sheet5!$A$1:$A$9</c:f>
              <c:strCache>
                <c:ptCount val="9"/>
                <c:pt idx="0">
                  <c:v>Self Exclusion</c:v>
                </c:pt>
                <c:pt idx="1">
                  <c:v>Money Limits</c:v>
                </c:pt>
                <c:pt idx="2">
                  <c:v>Time Limits</c:v>
                </c:pt>
                <c:pt idx="3">
                  <c:v>Addiction Help</c:v>
                </c:pt>
                <c:pt idx="4">
                  <c:v>Customer Service</c:v>
                </c:pt>
                <c:pt idx="5">
                  <c:v>Technical Support</c:v>
                </c:pt>
                <c:pt idx="6">
                  <c:v>Offers and Exclusive Marketing on Gambling</c:v>
                </c:pt>
                <c:pt idx="7">
                  <c:v>External Responsible Gambling Links</c:v>
                </c:pt>
                <c:pt idx="8">
                  <c:v>Other </c:v>
                </c:pt>
              </c:strCache>
            </c:strRef>
          </c:cat>
          <c:val>
            <c:numRef>
              <c:f>Sheet5!$B$1:$B$9</c:f>
              <c:numCache>
                <c:formatCode>General</c:formatCode>
                <c:ptCount val="9"/>
                <c:pt idx="0">
                  <c:v>13</c:v>
                </c:pt>
                <c:pt idx="1">
                  <c:v>12</c:v>
                </c:pt>
                <c:pt idx="2">
                  <c:v>6</c:v>
                </c:pt>
                <c:pt idx="3">
                  <c:v>27</c:v>
                </c:pt>
                <c:pt idx="4">
                  <c:v>98</c:v>
                </c:pt>
                <c:pt idx="5">
                  <c:v>85</c:v>
                </c:pt>
                <c:pt idx="6">
                  <c:v>85</c:v>
                </c:pt>
                <c:pt idx="7">
                  <c:v>24</c:v>
                </c:pt>
                <c:pt idx="8">
                  <c:v>6</c:v>
                </c:pt>
              </c:numCache>
            </c:numRef>
          </c:val>
          <c:extLst>
            <c:ext xmlns:c16="http://schemas.microsoft.com/office/drawing/2014/chart" uri="{C3380CC4-5D6E-409C-BE32-E72D297353CC}">
              <c16:uniqueId val="{00000000-4ED1-443D-BC28-86A4A9304568}"/>
            </c:ext>
          </c:extLst>
        </c:ser>
        <c:dLbls>
          <c:showLegendKey val="0"/>
          <c:showVal val="0"/>
          <c:showCatName val="0"/>
          <c:showSerName val="0"/>
          <c:showPercent val="0"/>
          <c:showBubbleSize val="0"/>
        </c:dLbls>
        <c:gapWidth val="219"/>
        <c:overlap val="-27"/>
        <c:axId val="378700656"/>
        <c:axId val="378700984"/>
      </c:barChart>
      <c:catAx>
        <c:axId val="37870065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Catagories</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8700984"/>
        <c:crosses val="autoZero"/>
        <c:auto val="1"/>
        <c:lblAlgn val="ctr"/>
        <c:lblOffset val="100"/>
        <c:noMultiLvlLbl val="0"/>
      </c:catAx>
      <c:valAx>
        <c:axId val="3787009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8700656"/>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a:solidFill>
                  <a:sysClr val="windowText" lastClr="000000"/>
                </a:solidFill>
              </a:rPr>
              <a:t>Statement one - Slowing Play</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dPt>
            <c:idx val="0"/>
            <c:marker>
              <c:symbol val="circle"/>
              <c:size val="5"/>
              <c:spPr>
                <a:solidFill>
                  <a:schemeClr val="accent2"/>
                </a:solidFill>
                <a:ln w="9525">
                  <a:solidFill>
                    <a:schemeClr val="accent1"/>
                  </a:solidFill>
                </a:ln>
                <a:effectLst/>
              </c:spPr>
            </c:marker>
            <c:bubble3D val="0"/>
            <c:extLst>
              <c:ext xmlns:c16="http://schemas.microsoft.com/office/drawing/2014/chart" uri="{C3380CC4-5D6E-409C-BE32-E72D297353CC}">
                <c16:uniqueId val="{00000000-8748-45FB-8494-0F55DB85DDB1}"/>
              </c:ext>
            </c:extLst>
          </c:dPt>
          <c:dPt>
            <c:idx val="1"/>
            <c:marker>
              <c:symbol val="circle"/>
              <c:size val="5"/>
              <c:spPr>
                <a:solidFill>
                  <a:srgbClr val="00B0F0"/>
                </a:solidFill>
                <a:ln w="9525">
                  <a:solidFill>
                    <a:schemeClr val="accent1"/>
                  </a:solidFill>
                </a:ln>
                <a:effectLst/>
              </c:spPr>
            </c:marker>
            <c:bubble3D val="0"/>
            <c:extLst>
              <c:ext xmlns:c16="http://schemas.microsoft.com/office/drawing/2014/chart" uri="{C3380CC4-5D6E-409C-BE32-E72D297353CC}">
                <c16:uniqueId val="{00000001-8748-45FB-8494-0F55DB85DDB1}"/>
              </c:ext>
            </c:extLst>
          </c:dPt>
          <c:dPt>
            <c:idx val="2"/>
            <c:marker>
              <c:symbol val="circle"/>
              <c:size val="5"/>
              <c:spPr>
                <a:solidFill>
                  <a:srgbClr val="FF0000"/>
                </a:solidFill>
                <a:ln w="9525">
                  <a:solidFill>
                    <a:schemeClr val="accent1"/>
                  </a:solidFill>
                </a:ln>
                <a:effectLst/>
              </c:spPr>
            </c:marker>
            <c:bubble3D val="0"/>
            <c:extLst>
              <c:ext xmlns:c16="http://schemas.microsoft.com/office/drawing/2014/chart" uri="{C3380CC4-5D6E-409C-BE32-E72D297353CC}">
                <c16:uniqueId val="{00000002-8748-45FB-8494-0F55DB85DDB1}"/>
              </c:ext>
            </c:extLst>
          </c:dPt>
          <c:dPt>
            <c:idx val="3"/>
            <c:marker>
              <c:symbol val="circle"/>
              <c:size val="5"/>
              <c:spPr>
                <a:solidFill>
                  <a:srgbClr val="7030A0"/>
                </a:solidFill>
                <a:ln w="9525">
                  <a:solidFill>
                    <a:schemeClr val="accent1"/>
                  </a:solidFill>
                </a:ln>
                <a:effectLst/>
              </c:spPr>
            </c:marker>
            <c:bubble3D val="0"/>
            <c:extLst>
              <c:ext xmlns:c16="http://schemas.microsoft.com/office/drawing/2014/chart" uri="{C3380CC4-5D6E-409C-BE32-E72D297353CC}">
                <c16:uniqueId val="{00000003-8748-45FB-8494-0F55DB85DDB1}"/>
              </c:ext>
            </c:extLst>
          </c:dPt>
          <c:xVal>
            <c:strRef>
              <c:f>'Q8'!$A$3:$A$6</c:f>
              <c:strCache>
                <c:ptCount val="4"/>
                <c:pt idx="0">
                  <c:v>Strongly Disagree</c:v>
                </c:pt>
                <c:pt idx="1">
                  <c:v>Disagree</c:v>
                </c:pt>
                <c:pt idx="2">
                  <c:v>Agree</c:v>
                </c:pt>
                <c:pt idx="3">
                  <c:v>Strongly Agree</c:v>
                </c:pt>
              </c:strCache>
            </c:strRef>
          </c:xVal>
          <c:yVal>
            <c:numRef>
              <c:f>'Q8'!$B$3:$B$6</c:f>
              <c:numCache>
                <c:formatCode>General</c:formatCode>
                <c:ptCount val="4"/>
                <c:pt idx="0">
                  <c:v>2</c:v>
                </c:pt>
                <c:pt idx="1">
                  <c:v>14</c:v>
                </c:pt>
                <c:pt idx="2">
                  <c:v>85</c:v>
                </c:pt>
                <c:pt idx="3">
                  <c:v>22</c:v>
                </c:pt>
              </c:numCache>
            </c:numRef>
          </c:yVal>
          <c:smooth val="0"/>
          <c:extLst>
            <c:ext xmlns:c16="http://schemas.microsoft.com/office/drawing/2014/chart" uri="{C3380CC4-5D6E-409C-BE32-E72D297353CC}">
              <c16:uniqueId val="{00000004-8748-45FB-8494-0F55DB85DDB1}"/>
            </c:ext>
          </c:extLst>
        </c:ser>
        <c:dLbls>
          <c:showLegendKey val="0"/>
          <c:showVal val="0"/>
          <c:showCatName val="0"/>
          <c:showSerName val="0"/>
          <c:showPercent val="0"/>
          <c:showBubbleSize val="0"/>
        </c:dLbls>
        <c:axId val="390271456"/>
        <c:axId val="390264568"/>
      </c:scatterChart>
      <c:valAx>
        <c:axId val="390271456"/>
        <c:scaling>
          <c:orientation val="minMax"/>
        </c:scaling>
        <c:delete val="1"/>
        <c:axPos val="b"/>
        <c:majorGridlines>
          <c:spPr>
            <a:ln w="9525" cap="flat" cmpd="sng" algn="ctr">
              <a:solidFill>
                <a:schemeClr val="tx1">
                  <a:lumMod val="15000"/>
                  <a:lumOff val="85000"/>
                </a:schemeClr>
              </a:solidFill>
              <a:round/>
            </a:ln>
            <a:effectLst/>
          </c:spPr>
        </c:majorGridlines>
        <c:majorTickMark val="none"/>
        <c:minorTickMark val="none"/>
        <c:tickLblPos val="nextTo"/>
        <c:crossAx val="390264568"/>
        <c:crosses val="autoZero"/>
        <c:crossBetween val="midCat"/>
      </c:valAx>
      <c:valAx>
        <c:axId val="3902645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Frequency</a:t>
                </a:r>
                <a:br>
                  <a:rPr lang="en-US"/>
                </a:br>
                <a:r>
                  <a:rPr lang="en-US"/>
                  <a:t>No. of people</a:t>
                </a:r>
              </a:p>
            </c:rich>
          </c:tx>
          <c:layout>
            <c:manualLayout>
              <c:xMode val="edge"/>
              <c:yMode val="edge"/>
              <c:x val="4.7139059152339402E-2"/>
              <c:y val="0.3772222366593615"/>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0271456"/>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a:solidFill>
                  <a:sysClr val="windowText" lastClr="000000"/>
                </a:solidFill>
                <a:effectLst/>
              </a:rPr>
              <a:t>Statement three - Increasing minimum bet</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6484714451081337"/>
          <c:y val="0.25408163265306122"/>
          <c:w val="0.68437971909407935"/>
          <c:h val="0.66574344023323617"/>
        </c:manualLayout>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dPt>
            <c:idx val="0"/>
            <c:marker>
              <c:symbol val="circle"/>
              <c:size val="5"/>
              <c:spPr>
                <a:solidFill>
                  <a:srgbClr val="FFC000"/>
                </a:solidFill>
                <a:ln w="9525">
                  <a:solidFill>
                    <a:schemeClr val="accent1"/>
                  </a:solidFill>
                </a:ln>
                <a:effectLst/>
              </c:spPr>
            </c:marker>
            <c:bubble3D val="0"/>
            <c:extLst>
              <c:ext xmlns:c16="http://schemas.microsoft.com/office/drawing/2014/chart" uri="{C3380CC4-5D6E-409C-BE32-E72D297353CC}">
                <c16:uniqueId val="{00000000-2B93-425A-9B52-94E48F8EF3E8}"/>
              </c:ext>
            </c:extLst>
          </c:dPt>
          <c:dPt>
            <c:idx val="1"/>
            <c:marker>
              <c:symbol val="circle"/>
              <c:size val="5"/>
              <c:spPr>
                <a:solidFill>
                  <a:srgbClr val="00B0F0"/>
                </a:solidFill>
                <a:ln w="9525">
                  <a:solidFill>
                    <a:schemeClr val="accent1"/>
                  </a:solidFill>
                </a:ln>
                <a:effectLst/>
              </c:spPr>
            </c:marker>
            <c:bubble3D val="0"/>
            <c:extLst>
              <c:ext xmlns:c16="http://schemas.microsoft.com/office/drawing/2014/chart" uri="{C3380CC4-5D6E-409C-BE32-E72D297353CC}">
                <c16:uniqueId val="{00000001-2B93-425A-9B52-94E48F8EF3E8}"/>
              </c:ext>
            </c:extLst>
          </c:dPt>
          <c:dPt>
            <c:idx val="2"/>
            <c:marker>
              <c:symbol val="circle"/>
              <c:size val="5"/>
              <c:spPr>
                <a:solidFill>
                  <a:srgbClr val="FF0000"/>
                </a:solidFill>
                <a:ln w="9525">
                  <a:solidFill>
                    <a:schemeClr val="accent1"/>
                  </a:solidFill>
                </a:ln>
                <a:effectLst/>
              </c:spPr>
            </c:marker>
            <c:bubble3D val="0"/>
            <c:extLst>
              <c:ext xmlns:c16="http://schemas.microsoft.com/office/drawing/2014/chart" uri="{C3380CC4-5D6E-409C-BE32-E72D297353CC}">
                <c16:uniqueId val="{00000002-2B93-425A-9B52-94E48F8EF3E8}"/>
              </c:ext>
            </c:extLst>
          </c:dPt>
          <c:dPt>
            <c:idx val="3"/>
            <c:marker>
              <c:symbol val="circle"/>
              <c:size val="5"/>
              <c:spPr>
                <a:solidFill>
                  <a:srgbClr val="7030A0"/>
                </a:solidFill>
                <a:ln w="9525">
                  <a:solidFill>
                    <a:schemeClr val="accent1"/>
                  </a:solidFill>
                </a:ln>
                <a:effectLst/>
              </c:spPr>
            </c:marker>
            <c:bubble3D val="0"/>
            <c:extLst>
              <c:ext xmlns:c16="http://schemas.microsoft.com/office/drawing/2014/chart" uri="{C3380CC4-5D6E-409C-BE32-E72D297353CC}">
                <c16:uniqueId val="{00000003-2B93-425A-9B52-94E48F8EF3E8}"/>
              </c:ext>
            </c:extLst>
          </c:dPt>
          <c:xVal>
            <c:strRef>
              <c:f>'Q8'!$A$13:$A$16</c:f>
              <c:strCache>
                <c:ptCount val="4"/>
                <c:pt idx="0">
                  <c:v>Strongly Disagree</c:v>
                </c:pt>
                <c:pt idx="1">
                  <c:v>Disagree</c:v>
                </c:pt>
                <c:pt idx="2">
                  <c:v>Agree</c:v>
                </c:pt>
                <c:pt idx="3">
                  <c:v>Strongly Agree</c:v>
                </c:pt>
              </c:strCache>
            </c:strRef>
          </c:xVal>
          <c:yVal>
            <c:numRef>
              <c:f>'Q8'!$B$13:$B$16</c:f>
              <c:numCache>
                <c:formatCode>General</c:formatCode>
                <c:ptCount val="4"/>
                <c:pt idx="0">
                  <c:v>10</c:v>
                </c:pt>
                <c:pt idx="1">
                  <c:v>26</c:v>
                </c:pt>
                <c:pt idx="2">
                  <c:v>57</c:v>
                </c:pt>
                <c:pt idx="3">
                  <c:v>29</c:v>
                </c:pt>
              </c:numCache>
            </c:numRef>
          </c:yVal>
          <c:smooth val="0"/>
          <c:extLst>
            <c:ext xmlns:c16="http://schemas.microsoft.com/office/drawing/2014/chart" uri="{C3380CC4-5D6E-409C-BE32-E72D297353CC}">
              <c16:uniqueId val="{00000004-2B93-425A-9B52-94E48F8EF3E8}"/>
            </c:ext>
          </c:extLst>
        </c:ser>
        <c:dLbls>
          <c:showLegendKey val="0"/>
          <c:showVal val="0"/>
          <c:showCatName val="0"/>
          <c:showSerName val="0"/>
          <c:showPercent val="0"/>
          <c:showBubbleSize val="0"/>
        </c:dLbls>
        <c:axId val="389245400"/>
        <c:axId val="389241464"/>
      </c:scatterChart>
      <c:valAx>
        <c:axId val="389245400"/>
        <c:scaling>
          <c:orientation val="minMax"/>
        </c:scaling>
        <c:delete val="1"/>
        <c:axPos val="b"/>
        <c:majorGridlines>
          <c:spPr>
            <a:ln w="9525" cap="flat" cmpd="sng" algn="ctr">
              <a:solidFill>
                <a:schemeClr val="tx1">
                  <a:lumMod val="15000"/>
                  <a:lumOff val="85000"/>
                </a:schemeClr>
              </a:solidFill>
              <a:round/>
            </a:ln>
            <a:effectLst/>
          </c:spPr>
        </c:majorGridlines>
        <c:majorTickMark val="none"/>
        <c:minorTickMark val="none"/>
        <c:tickLblPos val="nextTo"/>
        <c:crossAx val="389241464"/>
        <c:crosses val="autoZero"/>
        <c:crossBetween val="midCat"/>
      </c:valAx>
      <c:valAx>
        <c:axId val="3892414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br>
                  <a:rPr lang="en-GB"/>
                </a:br>
                <a:r>
                  <a:rPr lang="en-GB"/>
                  <a:t>No. of people</a:t>
                </a:r>
              </a:p>
            </c:rich>
          </c:tx>
          <c:layout>
            <c:manualLayout>
              <c:xMode val="edge"/>
              <c:yMode val="edge"/>
              <c:x val="3.6925917378259863E-2"/>
              <c:y val="0.34314868804664722"/>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9245400"/>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a:solidFill>
                  <a:sysClr val="windowText" lastClr="000000"/>
                </a:solidFill>
              </a:rPr>
              <a:t>Statement four - Removal of highly addictive games</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8412446723976015"/>
          <c:y val="0.26709770114942527"/>
          <c:w val="0.66541681716390955"/>
          <c:h val="0.6538793103448276"/>
        </c:manualLayout>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dPt>
            <c:idx val="0"/>
            <c:marker>
              <c:symbol val="circle"/>
              <c:size val="5"/>
              <c:spPr>
                <a:solidFill>
                  <a:schemeClr val="accent4"/>
                </a:solidFill>
                <a:ln w="9525">
                  <a:solidFill>
                    <a:schemeClr val="accent1"/>
                  </a:solidFill>
                </a:ln>
                <a:effectLst/>
              </c:spPr>
            </c:marker>
            <c:bubble3D val="0"/>
            <c:extLst>
              <c:ext xmlns:c16="http://schemas.microsoft.com/office/drawing/2014/chart" uri="{C3380CC4-5D6E-409C-BE32-E72D297353CC}">
                <c16:uniqueId val="{00000000-D53B-425C-99BF-A11FE2261D86}"/>
              </c:ext>
            </c:extLst>
          </c:dPt>
          <c:dPt>
            <c:idx val="1"/>
            <c:marker>
              <c:symbol val="circle"/>
              <c:size val="5"/>
              <c:spPr>
                <a:solidFill>
                  <a:srgbClr val="00B0F0"/>
                </a:solidFill>
                <a:ln w="9525">
                  <a:solidFill>
                    <a:schemeClr val="accent1"/>
                  </a:solidFill>
                </a:ln>
                <a:effectLst/>
              </c:spPr>
            </c:marker>
            <c:bubble3D val="0"/>
            <c:extLst>
              <c:ext xmlns:c16="http://schemas.microsoft.com/office/drawing/2014/chart" uri="{C3380CC4-5D6E-409C-BE32-E72D297353CC}">
                <c16:uniqueId val="{00000001-D53B-425C-99BF-A11FE2261D86}"/>
              </c:ext>
            </c:extLst>
          </c:dPt>
          <c:dPt>
            <c:idx val="2"/>
            <c:marker>
              <c:symbol val="circle"/>
              <c:size val="5"/>
              <c:spPr>
                <a:solidFill>
                  <a:srgbClr val="FF0000"/>
                </a:solidFill>
                <a:ln w="9525">
                  <a:solidFill>
                    <a:schemeClr val="accent1"/>
                  </a:solidFill>
                </a:ln>
                <a:effectLst/>
              </c:spPr>
            </c:marker>
            <c:bubble3D val="0"/>
            <c:extLst>
              <c:ext xmlns:c16="http://schemas.microsoft.com/office/drawing/2014/chart" uri="{C3380CC4-5D6E-409C-BE32-E72D297353CC}">
                <c16:uniqueId val="{00000002-D53B-425C-99BF-A11FE2261D86}"/>
              </c:ext>
            </c:extLst>
          </c:dPt>
          <c:dPt>
            <c:idx val="3"/>
            <c:marker>
              <c:symbol val="circle"/>
              <c:size val="5"/>
              <c:spPr>
                <a:solidFill>
                  <a:srgbClr val="7030A0"/>
                </a:solidFill>
                <a:ln w="9525">
                  <a:solidFill>
                    <a:schemeClr val="accent1"/>
                  </a:solidFill>
                </a:ln>
                <a:effectLst/>
              </c:spPr>
            </c:marker>
            <c:bubble3D val="0"/>
            <c:extLst>
              <c:ext xmlns:c16="http://schemas.microsoft.com/office/drawing/2014/chart" uri="{C3380CC4-5D6E-409C-BE32-E72D297353CC}">
                <c16:uniqueId val="{00000003-D53B-425C-99BF-A11FE2261D86}"/>
              </c:ext>
            </c:extLst>
          </c:dPt>
          <c:xVal>
            <c:strRef>
              <c:f>'Q8'!$A$18:$A$21</c:f>
              <c:strCache>
                <c:ptCount val="4"/>
                <c:pt idx="0">
                  <c:v>Strongly Disagree</c:v>
                </c:pt>
                <c:pt idx="1">
                  <c:v>Disagree</c:v>
                </c:pt>
                <c:pt idx="2">
                  <c:v>Agree</c:v>
                </c:pt>
                <c:pt idx="3">
                  <c:v>Strongly Agree</c:v>
                </c:pt>
              </c:strCache>
            </c:strRef>
          </c:xVal>
          <c:yVal>
            <c:numRef>
              <c:f>'Q8'!$B$18:$B$21</c:f>
              <c:numCache>
                <c:formatCode>General</c:formatCode>
                <c:ptCount val="4"/>
                <c:pt idx="0">
                  <c:v>1</c:v>
                </c:pt>
                <c:pt idx="1">
                  <c:v>15</c:v>
                </c:pt>
                <c:pt idx="2">
                  <c:v>77</c:v>
                </c:pt>
                <c:pt idx="3">
                  <c:v>28</c:v>
                </c:pt>
              </c:numCache>
            </c:numRef>
          </c:yVal>
          <c:smooth val="0"/>
          <c:extLst>
            <c:ext xmlns:c16="http://schemas.microsoft.com/office/drawing/2014/chart" uri="{C3380CC4-5D6E-409C-BE32-E72D297353CC}">
              <c16:uniqueId val="{00000004-D53B-425C-99BF-A11FE2261D86}"/>
            </c:ext>
          </c:extLst>
        </c:ser>
        <c:dLbls>
          <c:showLegendKey val="0"/>
          <c:showVal val="0"/>
          <c:showCatName val="0"/>
          <c:showSerName val="0"/>
          <c:showPercent val="0"/>
          <c:showBubbleSize val="0"/>
        </c:dLbls>
        <c:axId val="387003544"/>
        <c:axId val="387006824"/>
      </c:scatterChart>
      <c:valAx>
        <c:axId val="387003544"/>
        <c:scaling>
          <c:orientation val="minMax"/>
        </c:scaling>
        <c:delete val="1"/>
        <c:axPos val="b"/>
        <c:majorGridlines>
          <c:spPr>
            <a:ln w="9525" cap="flat" cmpd="sng" algn="ctr">
              <a:solidFill>
                <a:schemeClr val="tx1">
                  <a:lumMod val="15000"/>
                  <a:lumOff val="85000"/>
                </a:schemeClr>
              </a:solidFill>
              <a:round/>
            </a:ln>
            <a:effectLst/>
          </c:spPr>
        </c:majorGridlines>
        <c:majorTickMark val="none"/>
        <c:minorTickMark val="none"/>
        <c:tickLblPos val="nextTo"/>
        <c:crossAx val="387006824"/>
        <c:crosses val="autoZero"/>
        <c:crossBetween val="midCat"/>
      </c:valAx>
      <c:valAx>
        <c:axId val="3870068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br>
                  <a:rPr lang="en-GB"/>
                </a:br>
                <a:r>
                  <a:rPr lang="en-GB"/>
                  <a:t>No. of people</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7003544"/>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a:solidFill>
                  <a:sysClr val="windowText" lastClr="000000"/>
                </a:solidFill>
              </a:rPr>
              <a:t>Statement five - Eliminating bonus rounds</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6236458097058857"/>
          <c:y val="0.24917798427448173"/>
          <c:w val="0.68733820823837355"/>
          <c:h val="0.67219442458899215"/>
        </c:manualLayout>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dPt>
            <c:idx val="0"/>
            <c:marker>
              <c:symbol val="circle"/>
              <c:size val="5"/>
              <c:spPr>
                <a:solidFill>
                  <a:schemeClr val="accent4"/>
                </a:solidFill>
                <a:ln w="9525">
                  <a:solidFill>
                    <a:schemeClr val="accent1"/>
                  </a:solidFill>
                </a:ln>
                <a:effectLst/>
              </c:spPr>
            </c:marker>
            <c:bubble3D val="0"/>
            <c:extLst>
              <c:ext xmlns:c16="http://schemas.microsoft.com/office/drawing/2014/chart" uri="{C3380CC4-5D6E-409C-BE32-E72D297353CC}">
                <c16:uniqueId val="{00000000-992D-4E17-84FE-5338236A3CB2}"/>
              </c:ext>
            </c:extLst>
          </c:dPt>
          <c:dPt>
            <c:idx val="1"/>
            <c:marker>
              <c:symbol val="circle"/>
              <c:size val="5"/>
              <c:spPr>
                <a:solidFill>
                  <a:srgbClr val="00B0F0"/>
                </a:solidFill>
                <a:ln w="9525">
                  <a:solidFill>
                    <a:schemeClr val="accent1"/>
                  </a:solidFill>
                </a:ln>
                <a:effectLst/>
              </c:spPr>
            </c:marker>
            <c:bubble3D val="0"/>
            <c:extLst>
              <c:ext xmlns:c16="http://schemas.microsoft.com/office/drawing/2014/chart" uri="{C3380CC4-5D6E-409C-BE32-E72D297353CC}">
                <c16:uniqueId val="{00000001-992D-4E17-84FE-5338236A3CB2}"/>
              </c:ext>
            </c:extLst>
          </c:dPt>
          <c:dPt>
            <c:idx val="2"/>
            <c:marker>
              <c:symbol val="circle"/>
              <c:size val="5"/>
              <c:spPr>
                <a:solidFill>
                  <a:srgbClr val="FF0000"/>
                </a:solidFill>
                <a:ln w="9525">
                  <a:solidFill>
                    <a:schemeClr val="accent1"/>
                  </a:solidFill>
                </a:ln>
                <a:effectLst/>
              </c:spPr>
            </c:marker>
            <c:bubble3D val="0"/>
            <c:extLst>
              <c:ext xmlns:c16="http://schemas.microsoft.com/office/drawing/2014/chart" uri="{C3380CC4-5D6E-409C-BE32-E72D297353CC}">
                <c16:uniqueId val="{00000002-992D-4E17-84FE-5338236A3CB2}"/>
              </c:ext>
            </c:extLst>
          </c:dPt>
          <c:dPt>
            <c:idx val="3"/>
            <c:marker>
              <c:symbol val="circle"/>
              <c:size val="5"/>
              <c:spPr>
                <a:solidFill>
                  <a:srgbClr val="7030A0"/>
                </a:solidFill>
                <a:ln w="9525">
                  <a:solidFill>
                    <a:schemeClr val="accent1"/>
                  </a:solidFill>
                </a:ln>
                <a:effectLst/>
              </c:spPr>
            </c:marker>
            <c:bubble3D val="0"/>
            <c:extLst>
              <c:ext xmlns:c16="http://schemas.microsoft.com/office/drawing/2014/chart" uri="{C3380CC4-5D6E-409C-BE32-E72D297353CC}">
                <c16:uniqueId val="{00000003-992D-4E17-84FE-5338236A3CB2}"/>
              </c:ext>
            </c:extLst>
          </c:dPt>
          <c:xVal>
            <c:strRef>
              <c:f>'Q8'!$A$23:$A$26</c:f>
              <c:strCache>
                <c:ptCount val="4"/>
                <c:pt idx="0">
                  <c:v>Strongly Disagree</c:v>
                </c:pt>
                <c:pt idx="1">
                  <c:v>Disagree</c:v>
                </c:pt>
                <c:pt idx="2">
                  <c:v>Agree</c:v>
                </c:pt>
                <c:pt idx="3">
                  <c:v>Strongly Agree</c:v>
                </c:pt>
              </c:strCache>
            </c:strRef>
          </c:xVal>
          <c:yVal>
            <c:numRef>
              <c:f>'Q8'!$B$23:$B$26</c:f>
              <c:numCache>
                <c:formatCode>General</c:formatCode>
                <c:ptCount val="4"/>
                <c:pt idx="0">
                  <c:v>5</c:v>
                </c:pt>
                <c:pt idx="1">
                  <c:v>16</c:v>
                </c:pt>
                <c:pt idx="2">
                  <c:v>75</c:v>
                </c:pt>
                <c:pt idx="3">
                  <c:v>37</c:v>
                </c:pt>
              </c:numCache>
            </c:numRef>
          </c:yVal>
          <c:smooth val="0"/>
          <c:extLst>
            <c:ext xmlns:c16="http://schemas.microsoft.com/office/drawing/2014/chart" uri="{C3380CC4-5D6E-409C-BE32-E72D297353CC}">
              <c16:uniqueId val="{00000004-992D-4E17-84FE-5338236A3CB2}"/>
            </c:ext>
          </c:extLst>
        </c:ser>
        <c:dLbls>
          <c:showLegendKey val="0"/>
          <c:showVal val="0"/>
          <c:showCatName val="0"/>
          <c:showSerName val="0"/>
          <c:showPercent val="0"/>
          <c:showBubbleSize val="0"/>
        </c:dLbls>
        <c:axId val="396051184"/>
        <c:axId val="396046920"/>
      </c:scatterChart>
      <c:valAx>
        <c:axId val="396051184"/>
        <c:scaling>
          <c:orientation val="minMax"/>
        </c:scaling>
        <c:delete val="1"/>
        <c:axPos val="b"/>
        <c:majorGridlines>
          <c:spPr>
            <a:ln w="9525" cap="flat" cmpd="sng" algn="ctr">
              <a:solidFill>
                <a:schemeClr val="tx1">
                  <a:lumMod val="15000"/>
                  <a:lumOff val="85000"/>
                </a:schemeClr>
              </a:solidFill>
              <a:round/>
            </a:ln>
            <a:effectLst/>
          </c:spPr>
        </c:majorGridlines>
        <c:majorTickMark val="none"/>
        <c:minorTickMark val="none"/>
        <c:tickLblPos val="nextTo"/>
        <c:crossAx val="396046920"/>
        <c:crosses val="autoZero"/>
        <c:crossBetween val="midCat"/>
      </c:valAx>
      <c:valAx>
        <c:axId val="3960469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br>
                  <a:rPr lang="en-GB"/>
                </a:br>
                <a:r>
                  <a:rPr lang="en-GB"/>
                  <a:t>No. of people</a:t>
                </a:r>
              </a:p>
            </c:rich>
          </c:tx>
          <c:layout>
            <c:manualLayout>
              <c:xMode val="edge"/>
              <c:yMode val="edge"/>
              <c:x val="1.9444444444444445E-2"/>
              <c:y val="0.33693678915135605"/>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6051184"/>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a:solidFill>
                  <a:sysClr val="windowText" lastClr="000000"/>
                </a:solidFill>
              </a:rPr>
              <a:t>Statement six - Removing high stake / roller bets</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6405491881393334"/>
          <c:y val="0.27866287339971552"/>
          <c:w val="0.6853238202564762"/>
          <c:h val="0.64310099573257473"/>
        </c:manualLayout>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dPt>
            <c:idx val="0"/>
            <c:marker>
              <c:symbol val="circle"/>
              <c:size val="5"/>
              <c:spPr>
                <a:solidFill>
                  <a:schemeClr val="accent4"/>
                </a:solidFill>
                <a:ln w="9525">
                  <a:solidFill>
                    <a:schemeClr val="accent1"/>
                  </a:solidFill>
                </a:ln>
                <a:effectLst/>
              </c:spPr>
            </c:marker>
            <c:bubble3D val="0"/>
            <c:extLst>
              <c:ext xmlns:c16="http://schemas.microsoft.com/office/drawing/2014/chart" uri="{C3380CC4-5D6E-409C-BE32-E72D297353CC}">
                <c16:uniqueId val="{00000000-C945-4737-83FF-9C338A9A7BFF}"/>
              </c:ext>
            </c:extLst>
          </c:dPt>
          <c:dPt>
            <c:idx val="1"/>
            <c:marker>
              <c:symbol val="circle"/>
              <c:size val="5"/>
              <c:spPr>
                <a:solidFill>
                  <a:srgbClr val="00B0F0"/>
                </a:solidFill>
                <a:ln w="9525">
                  <a:solidFill>
                    <a:schemeClr val="accent1"/>
                  </a:solidFill>
                </a:ln>
                <a:effectLst/>
              </c:spPr>
            </c:marker>
            <c:bubble3D val="0"/>
            <c:extLst>
              <c:ext xmlns:c16="http://schemas.microsoft.com/office/drawing/2014/chart" uri="{C3380CC4-5D6E-409C-BE32-E72D297353CC}">
                <c16:uniqueId val="{00000001-C945-4737-83FF-9C338A9A7BFF}"/>
              </c:ext>
            </c:extLst>
          </c:dPt>
          <c:dPt>
            <c:idx val="2"/>
            <c:marker>
              <c:symbol val="circle"/>
              <c:size val="5"/>
              <c:spPr>
                <a:solidFill>
                  <a:srgbClr val="FF0000"/>
                </a:solidFill>
                <a:ln w="9525">
                  <a:solidFill>
                    <a:schemeClr val="accent1"/>
                  </a:solidFill>
                </a:ln>
                <a:effectLst/>
              </c:spPr>
            </c:marker>
            <c:bubble3D val="0"/>
            <c:extLst>
              <c:ext xmlns:c16="http://schemas.microsoft.com/office/drawing/2014/chart" uri="{C3380CC4-5D6E-409C-BE32-E72D297353CC}">
                <c16:uniqueId val="{00000002-C945-4737-83FF-9C338A9A7BFF}"/>
              </c:ext>
            </c:extLst>
          </c:dPt>
          <c:dPt>
            <c:idx val="3"/>
            <c:marker>
              <c:symbol val="circle"/>
              <c:size val="5"/>
              <c:spPr>
                <a:solidFill>
                  <a:srgbClr val="7030A0"/>
                </a:solidFill>
                <a:ln w="9525">
                  <a:solidFill>
                    <a:schemeClr val="accent1"/>
                  </a:solidFill>
                </a:ln>
                <a:effectLst/>
              </c:spPr>
            </c:marker>
            <c:bubble3D val="0"/>
            <c:extLst>
              <c:ext xmlns:c16="http://schemas.microsoft.com/office/drawing/2014/chart" uri="{C3380CC4-5D6E-409C-BE32-E72D297353CC}">
                <c16:uniqueId val="{00000003-C945-4737-83FF-9C338A9A7BFF}"/>
              </c:ext>
            </c:extLst>
          </c:dPt>
          <c:xVal>
            <c:strRef>
              <c:f>'Q8'!$D$28:$D$31</c:f>
              <c:strCache>
                <c:ptCount val="4"/>
                <c:pt idx="0">
                  <c:v>Strongly Disagree</c:v>
                </c:pt>
                <c:pt idx="1">
                  <c:v>Disagree</c:v>
                </c:pt>
                <c:pt idx="2">
                  <c:v>Agree</c:v>
                </c:pt>
                <c:pt idx="3">
                  <c:v>Strongly Agree</c:v>
                </c:pt>
              </c:strCache>
            </c:strRef>
          </c:xVal>
          <c:yVal>
            <c:numRef>
              <c:f>'Q8'!$E$28:$E$31</c:f>
              <c:numCache>
                <c:formatCode>General</c:formatCode>
                <c:ptCount val="4"/>
                <c:pt idx="0">
                  <c:v>3</c:v>
                </c:pt>
                <c:pt idx="1">
                  <c:v>13</c:v>
                </c:pt>
                <c:pt idx="2">
                  <c:v>68</c:v>
                </c:pt>
                <c:pt idx="3">
                  <c:v>37</c:v>
                </c:pt>
              </c:numCache>
            </c:numRef>
          </c:yVal>
          <c:smooth val="0"/>
          <c:extLst>
            <c:ext xmlns:c16="http://schemas.microsoft.com/office/drawing/2014/chart" uri="{C3380CC4-5D6E-409C-BE32-E72D297353CC}">
              <c16:uniqueId val="{00000004-C945-4737-83FF-9C338A9A7BFF}"/>
            </c:ext>
          </c:extLst>
        </c:ser>
        <c:dLbls>
          <c:showLegendKey val="0"/>
          <c:showVal val="0"/>
          <c:showCatName val="0"/>
          <c:showSerName val="0"/>
          <c:showPercent val="0"/>
          <c:showBubbleSize val="0"/>
        </c:dLbls>
        <c:axId val="397225712"/>
        <c:axId val="397228992"/>
      </c:scatterChart>
      <c:valAx>
        <c:axId val="397225712"/>
        <c:scaling>
          <c:orientation val="minMax"/>
        </c:scaling>
        <c:delete val="1"/>
        <c:axPos val="b"/>
        <c:majorGridlines>
          <c:spPr>
            <a:ln w="9525" cap="flat" cmpd="sng" algn="ctr">
              <a:solidFill>
                <a:schemeClr val="tx1">
                  <a:lumMod val="15000"/>
                  <a:lumOff val="85000"/>
                </a:schemeClr>
              </a:solidFill>
              <a:round/>
            </a:ln>
            <a:effectLst/>
          </c:spPr>
        </c:majorGridlines>
        <c:majorTickMark val="none"/>
        <c:minorTickMark val="none"/>
        <c:tickLblPos val="nextTo"/>
        <c:crossAx val="397228992"/>
        <c:crosses val="autoZero"/>
        <c:crossBetween val="midCat"/>
      </c:valAx>
      <c:valAx>
        <c:axId val="3972289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br>
                  <a:rPr lang="en-GB"/>
                </a:br>
                <a:r>
                  <a:rPr lang="en-GB"/>
                  <a:t>no. of people</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7225712"/>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a:solidFill>
                  <a:sysClr val="windowText" lastClr="000000"/>
                </a:solidFill>
              </a:rPr>
              <a:t>Statement</a:t>
            </a:r>
            <a:r>
              <a:rPr lang="en-GB" sz="1100" baseline="0">
                <a:solidFill>
                  <a:sysClr val="windowText" lastClr="000000"/>
                </a:solidFill>
              </a:rPr>
              <a:t> two - </a:t>
            </a:r>
            <a:r>
              <a:rPr lang="en-GB" sz="1100">
                <a:solidFill>
                  <a:sysClr val="windowText" lastClr="000000"/>
                </a:solidFill>
              </a:rPr>
              <a:t>Reducing Maximum Bet</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8589491741642148"/>
          <c:y val="0.27273399926008141"/>
          <c:w val="0.66333194618847124"/>
          <c:h val="0.64587495375508697"/>
        </c:manualLayout>
      </c:layout>
      <c:scatterChart>
        <c:scatterStyle val="lineMarker"/>
        <c:varyColors val="0"/>
        <c:ser>
          <c:idx val="0"/>
          <c:order val="0"/>
          <c:spPr>
            <a:ln w="19050" cap="rnd">
              <a:noFill/>
              <a:round/>
            </a:ln>
            <a:effectLst/>
          </c:spPr>
          <c:marker>
            <c:symbol val="circle"/>
            <c:size val="5"/>
            <c:spPr>
              <a:solidFill>
                <a:schemeClr val="accent2"/>
              </a:solidFill>
              <a:ln w="9525">
                <a:solidFill>
                  <a:schemeClr val="accent1"/>
                </a:solidFill>
              </a:ln>
              <a:effectLst/>
            </c:spPr>
          </c:marker>
          <c:dPt>
            <c:idx val="1"/>
            <c:marker>
              <c:symbol val="circle"/>
              <c:size val="5"/>
              <c:spPr>
                <a:solidFill>
                  <a:srgbClr val="00B0F0"/>
                </a:solidFill>
                <a:ln w="9525">
                  <a:solidFill>
                    <a:schemeClr val="accent1"/>
                  </a:solidFill>
                </a:ln>
                <a:effectLst/>
              </c:spPr>
            </c:marker>
            <c:bubble3D val="0"/>
            <c:extLst>
              <c:ext xmlns:c16="http://schemas.microsoft.com/office/drawing/2014/chart" uri="{C3380CC4-5D6E-409C-BE32-E72D297353CC}">
                <c16:uniqueId val="{00000000-59B4-4F88-BF66-6C4D818204A0}"/>
              </c:ext>
            </c:extLst>
          </c:dPt>
          <c:dPt>
            <c:idx val="2"/>
            <c:marker>
              <c:symbol val="circle"/>
              <c:size val="5"/>
              <c:spPr>
                <a:solidFill>
                  <a:srgbClr val="FF0000"/>
                </a:solidFill>
                <a:ln w="9525">
                  <a:solidFill>
                    <a:schemeClr val="accent1"/>
                  </a:solidFill>
                </a:ln>
                <a:effectLst/>
              </c:spPr>
            </c:marker>
            <c:bubble3D val="0"/>
            <c:extLst>
              <c:ext xmlns:c16="http://schemas.microsoft.com/office/drawing/2014/chart" uri="{C3380CC4-5D6E-409C-BE32-E72D297353CC}">
                <c16:uniqueId val="{00000001-59B4-4F88-BF66-6C4D818204A0}"/>
              </c:ext>
            </c:extLst>
          </c:dPt>
          <c:dPt>
            <c:idx val="3"/>
            <c:marker>
              <c:symbol val="circle"/>
              <c:size val="5"/>
              <c:spPr>
                <a:solidFill>
                  <a:srgbClr val="7030A0"/>
                </a:solidFill>
                <a:ln w="9525">
                  <a:solidFill>
                    <a:schemeClr val="accent1"/>
                  </a:solidFill>
                </a:ln>
                <a:effectLst/>
              </c:spPr>
            </c:marker>
            <c:bubble3D val="0"/>
            <c:extLst>
              <c:ext xmlns:c16="http://schemas.microsoft.com/office/drawing/2014/chart" uri="{C3380CC4-5D6E-409C-BE32-E72D297353CC}">
                <c16:uniqueId val="{00000002-59B4-4F88-BF66-6C4D818204A0}"/>
              </c:ext>
            </c:extLst>
          </c:dPt>
          <c:xVal>
            <c:strRef>
              <c:f>'Q8'!$A$8:$A$11</c:f>
              <c:strCache>
                <c:ptCount val="4"/>
                <c:pt idx="0">
                  <c:v>Strongly Disagree</c:v>
                </c:pt>
                <c:pt idx="1">
                  <c:v>Disagree</c:v>
                </c:pt>
                <c:pt idx="2">
                  <c:v>Agree</c:v>
                </c:pt>
                <c:pt idx="3">
                  <c:v>Strongly Agree</c:v>
                </c:pt>
              </c:strCache>
            </c:strRef>
          </c:xVal>
          <c:yVal>
            <c:numRef>
              <c:f>'Q8'!$B$8:$B$11</c:f>
              <c:numCache>
                <c:formatCode>General</c:formatCode>
                <c:ptCount val="4"/>
                <c:pt idx="0">
                  <c:v>1</c:v>
                </c:pt>
                <c:pt idx="1">
                  <c:v>7</c:v>
                </c:pt>
                <c:pt idx="2">
                  <c:v>79</c:v>
                </c:pt>
                <c:pt idx="3">
                  <c:v>35</c:v>
                </c:pt>
              </c:numCache>
            </c:numRef>
          </c:yVal>
          <c:smooth val="0"/>
          <c:extLst>
            <c:ext xmlns:c16="http://schemas.microsoft.com/office/drawing/2014/chart" uri="{C3380CC4-5D6E-409C-BE32-E72D297353CC}">
              <c16:uniqueId val="{00000003-59B4-4F88-BF66-6C4D818204A0}"/>
            </c:ext>
          </c:extLst>
        </c:ser>
        <c:dLbls>
          <c:showLegendKey val="0"/>
          <c:showVal val="0"/>
          <c:showCatName val="0"/>
          <c:showSerName val="0"/>
          <c:showPercent val="0"/>
          <c:showBubbleSize val="0"/>
        </c:dLbls>
        <c:axId val="387005184"/>
        <c:axId val="387008136"/>
      </c:scatterChart>
      <c:valAx>
        <c:axId val="387005184"/>
        <c:scaling>
          <c:orientation val="minMax"/>
        </c:scaling>
        <c:delete val="1"/>
        <c:axPos val="b"/>
        <c:majorGridlines>
          <c:spPr>
            <a:ln w="9525" cap="flat" cmpd="sng" algn="ctr">
              <a:solidFill>
                <a:schemeClr val="tx1">
                  <a:lumMod val="15000"/>
                  <a:lumOff val="85000"/>
                </a:schemeClr>
              </a:solidFill>
              <a:round/>
            </a:ln>
            <a:effectLst/>
          </c:spPr>
        </c:majorGridlines>
        <c:majorTickMark val="none"/>
        <c:minorTickMark val="none"/>
        <c:tickLblPos val="nextTo"/>
        <c:crossAx val="387008136"/>
        <c:crosses val="autoZero"/>
        <c:crossBetween val="midCat"/>
      </c:valAx>
      <c:valAx>
        <c:axId val="3870081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br>
                  <a:rPr lang="en-GB"/>
                </a:br>
                <a:r>
                  <a:rPr lang="en-GB"/>
                  <a:t>No.</a:t>
                </a:r>
                <a:r>
                  <a:rPr lang="en-GB" baseline="0"/>
                  <a:t> of people</a:t>
                </a:r>
                <a:endParaRPr lang="en-GB"/>
              </a:p>
            </c:rich>
          </c:tx>
          <c:layout>
            <c:manualLayout>
              <c:xMode val="edge"/>
              <c:yMode val="edge"/>
              <c:x val="4.9916498725219929E-2"/>
              <c:y val="0.36333345103162562"/>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7005184"/>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a:solidFill>
                  <a:sysClr val="windowText" lastClr="000000"/>
                </a:solidFill>
              </a:rPr>
              <a:t>Statement thirteen</a:t>
            </a:r>
            <a:r>
              <a:rPr lang="en-GB" sz="1100" baseline="0">
                <a:solidFill>
                  <a:sysClr val="windowText" lastClr="000000"/>
                </a:solidFill>
              </a:rPr>
              <a:t> - Allowing one credit card per account</a:t>
            </a:r>
            <a:endParaRPr lang="en-GB" sz="1100">
              <a:solidFill>
                <a:sysClr val="windowText" lastClr="000000"/>
              </a:solidFill>
            </a:endParaRP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6236458097058857"/>
          <c:y val="0.2597603946441156"/>
          <c:w val="0.68733820823837355"/>
          <c:h val="0.66272022551092313"/>
        </c:manualLayout>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dPt>
            <c:idx val="0"/>
            <c:marker>
              <c:symbol val="circle"/>
              <c:size val="5"/>
              <c:spPr>
                <a:solidFill>
                  <a:schemeClr val="accent4"/>
                </a:solidFill>
                <a:ln w="9525">
                  <a:solidFill>
                    <a:schemeClr val="accent1"/>
                  </a:solidFill>
                </a:ln>
                <a:effectLst/>
              </c:spPr>
            </c:marker>
            <c:bubble3D val="0"/>
            <c:extLst>
              <c:ext xmlns:c16="http://schemas.microsoft.com/office/drawing/2014/chart" uri="{C3380CC4-5D6E-409C-BE32-E72D297353CC}">
                <c16:uniqueId val="{00000000-BFEB-4ED6-BD40-79BBCD2BBF18}"/>
              </c:ext>
            </c:extLst>
          </c:dPt>
          <c:dPt>
            <c:idx val="1"/>
            <c:marker>
              <c:symbol val="circle"/>
              <c:size val="5"/>
              <c:spPr>
                <a:solidFill>
                  <a:srgbClr val="00B0F0"/>
                </a:solidFill>
                <a:ln w="9525">
                  <a:solidFill>
                    <a:schemeClr val="accent1"/>
                  </a:solidFill>
                </a:ln>
                <a:effectLst/>
              </c:spPr>
            </c:marker>
            <c:bubble3D val="0"/>
            <c:extLst>
              <c:ext xmlns:c16="http://schemas.microsoft.com/office/drawing/2014/chart" uri="{C3380CC4-5D6E-409C-BE32-E72D297353CC}">
                <c16:uniqueId val="{00000001-BFEB-4ED6-BD40-79BBCD2BBF18}"/>
              </c:ext>
            </c:extLst>
          </c:dPt>
          <c:dPt>
            <c:idx val="2"/>
            <c:marker>
              <c:symbol val="circle"/>
              <c:size val="5"/>
              <c:spPr>
                <a:solidFill>
                  <a:srgbClr val="FF0000"/>
                </a:solidFill>
                <a:ln w="9525">
                  <a:solidFill>
                    <a:schemeClr val="accent1"/>
                  </a:solidFill>
                </a:ln>
                <a:effectLst/>
              </c:spPr>
            </c:marker>
            <c:bubble3D val="0"/>
            <c:extLst>
              <c:ext xmlns:c16="http://schemas.microsoft.com/office/drawing/2014/chart" uri="{C3380CC4-5D6E-409C-BE32-E72D297353CC}">
                <c16:uniqueId val="{00000002-BFEB-4ED6-BD40-79BBCD2BBF18}"/>
              </c:ext>
            </c:extLst>
          </c:dPt>
          <c:dPt>
            <c:idx val="3"/>
            <c:marker>
              <c:symbol val="circle"/>
              <c:size val="5"/>
              <c:spPr>
                <a:solidFill>
                  <a:srgbClr val="7030A0"/>
                </a:solidFill>
                <a:ln w="9525">
                  <a:solidFill>
                    <a:schemeClr val="accent1"/>
                  </a:solidFill>
                </a:ln>
                <a:effectLst/>
              </c:spPr>
            </c:marker>
            <c:bubble3D val="0"/>
            <c:extLst>
              <c:ext xmlns:c16="http://schemas.microsoft.com/office/drawing/2014/chart" uri="{C3380CC4-5D6E-409C-BE32-E72D297353CC}">
                <c16:uniqueId val="{00000003-BFEB-4ED6-BD40-79BBCD2BBF18}"/>
              </c:ext>
            </c:extLst>
          </c:dPt>
          <c:xVal>
            <c:strRef>
              <c:f>'Q8'!$A$58:$A$61</c:f>
              <c:strCache>
                <c:ptCount val="4"/>
                <c:pt idx="0">
                  <c:v>Strongly Disagree</c:v>
                </c:pt>
                <c:pt idx="1">
                  <c:v>Disagree</c:v>
                </c:pt>
                <c:pt idx="2">
                  <c:v>Agree</c:v>
                </c:pt>
                <c:pt idx="3">
                  <c:v>Strongly Agree</c:v>
                </c:pt>
              </c:strCache>
            </c:strRef>
          </c:xVal>
          <c:yVal>
            <c:numRef>
              <c:f>'Q8'!$B$58:$B$61</c:f>
              <c:numCache>
                <c:formatCode>General</c:formatCode>
                <c:ptCount val="4"/>
                <c:pt idx="0">
                  <c:v>6</c:v>
                </c:pt>
                <c:pt idx="1">
                  <c:v>20</c:v>
                </c:pt>
                <c:pt idx="2">
                  <c:v>64</c:v>
                </c:pt>
                <c:pt idx="3">
                  <c:v>31</c:v>
                </c:pt>
              </c:numCache>
            </c:numRef>
          </c:yVal>
          <c:smooth val="0"/>
          <c:extLst>
            <c:ext xmlns:c16="http://schemas.microsoft.com/office/drawing/2014/chart" uri="{C3380CC4-5D6E-409C-BE32-E72D297353CC}">
              <c16:uniqueId val="{00000004-BFEB-4ED6-BD40-79BBCD2BBF18}"/>
            </c:ext>
          </c:extLst>
        </c:ser>
        <c:dLbls>
          <c:showLegendKey val="0"/>
          <c:showVal val="0"/>
          <c:showCatName val="0"/>
          <c:showSerName val="0"/>
          <c:showPercent val="0"/>
          <c:showBubbleSize val="0"/>
        </c:dLbls>
        <c:axId val="396046592"/>
        <c:axId val="396047576"/>
      </c:scatterChart>
      <c:valAx>
        <c:axId val="396046592"/>
        <c:scaling>
          <c:orientation val="minMax"/>
        </c:scaling>
        <c:delete val="1"/>
        <c:axPos val="b"/>
        <c:majorGridlines>
          <c:spPr>
            <a:ln w="9525" cap="flat" cmpd="sng" algn="ctr">
              <a:solidFill>
                <a:schemeClr val="tx1">
                  <a:lumMod val="15000"/>
                  <a:lumOff val="85000"/>
                </a:schemeClr>
              </a:solidFill>
              <a:round/>
            </a:ln>
            <a:effectLst/>
          </c:spPr>
        </c:majorGridlines>
        <c:majorTickMark val="none"/>
        <c:minorTickMark val="none"/>
        <c:tickLblPos val="nextTo"/>
        <c:crossAx val="396047576"/>
        <c:crosses val="autoZero"/>
        <c:crossBetween val="midCat"/>
      </c:valAx>
      <c:valAx>
        <c:axId val="3960475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br>
                  <a:rPr lang="en-GB"/>
                </a:br>
                <a:r>
                  <a:rPr lang="en-GB"/>
                  <a:t>No. of people</a:t>
                </a:r>
              </a:p>
            </c:rich>
          </c:tx>
          <c:layout>
            <c:manualLayout>
              <c:xMode val="edge"/>
              <c:yMode val="edge"/>
              <c:x val="3.0555555555555555E-2"/>
              <c:y val="0.39040901137357831"/>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6046592"/>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a:solidFill>
                  <a:sysClr val="windowText" lastClr="000000"/>
                </a:solidFill>
              </a:rPr>
              <a:t>Statement fourteen - Providing self-exclusion options</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8427793070581631"/>
          <c:y val="0.25966889749911942"/>
          <c:w val="0.67055495095633366"/>
          <c:h val="0.66283902782669957"/>
        </c:manualLayout>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dPt>
            <c:idx val="0"/>
            <c:marker>
              <c:symbol val="circle"/>
              <c:size val="5"/>
              <c:spPr>
                <a:solidFill>
                  <a:schemeClr val="accent4"/>
                </a:solidFill>
                <a:ln w="9525">
                  <a:solidFill>
                    <a:schemeClr val="accent1"/>
                  </a:solidFill>
                </a:ln>
                <a:effectLst/>
              </c:spPr>
            </c:marker>
            <c:bubble3D val="0"/>
            <c:extLst>
              <c:ext xmlns:c16="http://schemas.microsoft.com/office/drawing/2014/chart" uri="{C3380CC4-5D6E-409C-BE32-E72D297353CC}">
                <c16:uniqueId val="{00000000-2870-4A32-AD3D-BDB0606BB45D}"/>
              </c:ext>
            </c:extLst>
          </c:dPt>
          <c:dPt>
            <c:idx val="1"/>
            <c:marker>
              <c:symbol val="circle"/>
              <c:size val="5"/>
              <c:spPr>
                <a:solidFill>
                  <a:srgbClr val="00B0F0"/>
                </a:solidFill>
                <a:ln w="9525">
                  <a:solidFill>
                    <a:schemeClr val="accent1"/>
                  </a:solidFill>
                </a:ln>
                <a:effectLst/>
              </c:spPr>
            </c:marker>
            <c:bubble3D val="0"/>
            <c:extLst>
              <c:ext xmlns:c16="http://schemas.microsoft.com/office/drawing/2014/chart" uri="{C3380CC4-5D6E-409C-BE32-E72D297353CC}">
                <c16:uniqueId val="{00000001-2870-4A32-AD3D-BDB0606BB45D}"/>
              </c:ext>
            </c:extLst>
          </c:dPt>
          <c:dPt>
            <c:idx val="2"/>
            <c:marker>
              <c:symbol val="circle"/>
              <c:size val="5"/>
              <c:spPr>
                <a:solidFill>
                  <a:srgbClr val="FF0000"/>
                </a:solidFill>
                <a:ln w="9525">
                  <a:solidFill>
                    <a:schemeClr val="accent1"/>
                  </a:solidFill>
                </a:ln>
                <a:effectLst/>
              </c:spPr>
            </c:marker>
            <c:bubble3D val="0"/>
            <c:extLst>
              <c:ext xmlns:c16="http://schemas.microsoft.com/office/drawing/2014/chart" uri="{C3380CC4-5D6E-409C-BE32-E72D297353CC}">
                <c16:uniqueId val="{00000002-2870-4A32-AD3D-BDB0606BB45D}"/>
              </c:ext>
            </c:extLst>
          </c:dPt>
          <c:dPt>
            <c:idx val="3"/>
            <c:marker>
              <c:symbol val="circle"/>
              <c:size val="5"/>
              <c:spPr>
                <a:solidFill>
                  <a:srgbClr val="7030A0"/>
                </a:solidFill>
                <a:ln w="9525">
                  <a:solidFill>
                    <a:schemeClr val="accent1"/>
                  </a:solidFill>
                </a:ln>
                <a:effectLst/>
              </c:spPr>
            </c:marker>
            <c:bubble3D val="0"/>
            <c:extLst>
              <c:ext xmlns:c16="http://schemas.microsoft.com/office/drawing/2014/chart" uri="{C3380CC4-5D6E-409C-BE32-E72D297353CC}">
                <c16:uniqueId val="{00000003-2870-4A32-AD3D-BDB0606BB45D}"/>
              </c:ext>
            </c:extLst>
          </c:dPt>
          <c:xVal>
            <c:strRef>
              <c:f>'Q8'!$A$63:$A$66</c:f>
              <c:strCache>
                <c:ptCount val="4"/>
                <c:pt idx="0">
                  <c:v>Strongly Disagree</c:v>
                </c:pt>
                <c:pt idx="1">
                  <c:v>Disagree</c:v>
                </c:pt>
                <c:pt idx="2">
                  <c:v>Agree</c:v>
                </c:pt>
                <c:pt idx="3">
                  <c:v>Strongly Agree</c:v>
                </c:pt>
              </c:strCache>
            </c:strRef>
          </c:xVal>
          <c:yVal>
            <c:numRef>
              <c:f>'Q8'!$B$63:$B$66</c:f>
              <c:numCache>
                <c:formatCode>General</c:formatCode>
                <c:ptCount val="4"/>
                <c:pt idx="0">
                  <c:v>1</c:v>
                </c:pt>
                <c:pt idx="1">
                  <c:v>11</c:v>
                </c:pt>
                <c:pt idx="2">
                  <c:v>78</c:v>
                </c:pt>
                <c:pt idx="3">
                  <c:v>32</c:v>
                </c:pt>
              </c:numCache>
            </c:numRef>
          </c:yVal>
          <c:smooth val="0"/>
          <c:extLst>
            <c:ext xmlns:c16="http://schemas.microsoft.com/office/drawing/2014/chart" uri="{C3380CC4-5D6E-409C-BE32-E72D297353CC}">
              <c16:uniqueId val="{00000004-2870-4A32-AD3D-BDB0606BB45D}"/>
            </c:ext>
          </c:extLst>
        </c:ser>
        <c:dLbls>
          <c:showLegendKey val="0"/>
          <c:showVal val="0"/>
          <c:showCatName val="0"/>
          <c:showSerName val="0"/>
          <c:showPercent val="0"/>
          <c:showBubbleSize val="0"/>
        </c:dLbls>
        <c:axId val="314288848"/>
        <c:axId val="314292784"/>
      </c:scatterChart>
      <c:valAx>
        <c:axId val="314288848"/>
        <c:scaling>
          <c:orientation val="minMax"/>
        </c:scaling>
        <c:delete val="1"/>
        <c:axPos val="b"/>
        <c:majorGridlines>
          <c:spPr>
            <a:ln w="9525" cap="flat" cmpd="sng" algn="ctr">
              <a:solidFill>
                <a:schemeClr val="tx1">
                  <a:lumMod val="15000"/>
                  <a:lumOff val="85000"/>
                </a:schemeClr>
              </a:solidFill>
              <a:round/>
            </a:ln>
            <a:effectLst/>
          </c:spPr>
        </c:majorGridlines>
        <c:majorTickMark val="none"/>
        <c:minorTickMark val="none"/>
        <c:tickLblPos val="nextTo"/>
        <c:crossAx val="314292784"/>
        <c:crosses val="autoZero"/>
        <c:crossBetween val="midCat"/>
      </c:valAx>
      <c:valAx>
        <c:axId val="3142927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br>
                  <a:rPr lang="en-GB"/>
                </a:br>
                <a:r>
                  <a:rPr lang="en-GB"/>
                  <a:t>No.</a:t>
                </a:r>
                <a:r>
                  <a:rPr lang="en-GB" baseline="0"/>
                  <a:t> of people</a:t>
                </a:r>
                <a:endParaRPr lang="en-GB"/>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4288848"/>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a:solidFill>
                  <a:sysClr val="windowText" lastClr="000000"/>
                </a:solidFill>
              </a:rPr>
              <a:t>Statement nine - Enforcing play stoppage whilst active on the app</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7887948607954849"/>
          <c:y val="0.27738053097345133"/>
          <c:w val="0.67159327393846147"/>
          <c:h val="0.6447433628318584"/>
        </c:manualLayout>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dPt>
            <c:idx val="0"/>
            <c:marker>
              <c:symbol val="circle"/>
              <c:size val="5"/>
              <c:spPr>
                <a:solidFill>
                  <a:schemeClr val="accent4"/>
                </a:solidFill>
                <a:ln w="9525">
                  <a:solidFill>
                    <a:schemeClr val="accent1"/>
                  </a:solidFill>
                </a:ln>
                <a:effectLst/>
              </c:spPr>
            </c:marker>
            <c:bubble3D val="0"/>
            <c:extLst>
              <c:ext xmlns:c16="http://schemas.microsoft.com/office/drawing/2014/chart" uri="{C3380CC4-5D6E-409C-BE32-E72D297353CC}">
                <c16:uniqueId val="{00000000-8D5B-4ED5-B44B-1CEAB633BF19}"/>
              </c:ext>
            </c:extLst>
          </c:dPt>
          <c:dPt>
            <c:idx val="1"/>
            <c:marker>
              <c:symbol val="circle"/>
              <c:size val="5"/>
              <c:spPr>
                <a:solidFill>
                  <a:srgbClr val="00B0F0"/>
                </a:solidFill>
                <a:ln w="9525">
                  <a:solidFill>
                    <a:schemeClr val="accent1"/>
                  </a:solidFill>
                </a:ln>
                <a:effectLst/>
              </c:spPr>
            </c:marker>
            <c:bubble3D val="0"/>
            <c:extLst>
              <c:ext xmlns:c16="http://schemas.microsoft.com/office/drawing/2014/chart" uri="{C3380CC4-5D6E-409C-BE32-E72D297353CC}">
                <c16:uniqueId val="{00000001-8D5B-4ED5-B44B-1CEAB633BF19}"/>
              </c:ext>
            </c:extLst>
          </c:dPt>
          <c:dPt>
            <c:idx val="2"/>
            <c:marker>
              <c:symbol val="circle"/>
              <c:size val="5"/>
              <c:spPr>
                <a:solidFill>
                  <a:srgbClr val="FF0000"/>
                </a:solidFill>
                <a:ln w="9525">
                  <a:solidFill>
                    <a:schemeClr val="accent1"/>
                  </a:solidFill>
                </a:ln>
                <a:effectLst/>
              </c:spPr>
            </c:marker>
            <c:bubble3D val="0"/>
            <c:extLst>
              <c:ext xmlns:c16="http://schemas.microsoft.com/office/drawing/2014/chart" uri="{C3380CC4-5D6E-409C-BE32-E72D297353CC}">
                <c16:uniqueId val="{00000002-8D5B-4ED5-B44B-1CEAB633BF19}"/>
              </c:ext>
            </c:extLst>
          </c:dPt>
          <c:dPt>
            <c:idx val="3"/>
            <c:marker>
              <c:symbol val="circle"/>
              <c:size val="5"/>
              <c:spPr>
                <a:solidFill>
                  <a:srgbClr val="7030A0"/>
                </a:solidFill>
                <a:ln w="9525">
                  <a:solidFill>
                    <a:schemeClr val="accent1"/>
                  </a:solidFill>
                </a:ln>
                <a:effectLst/>
              </c:spPr>
            </c:marker>
            <c:bubble3D val="0"/>
            <c:extLst>
              <c:ext xmlns:c16="http://schemas.microsoft.com/office/drawing/2014/chart" uri="{C3380CC4-5D6E-409C-BE32-E72D297353CC}">
                <c16:uniqueId val="{00000003-8D5B-4ED5-B44B-1CEAB633BF19}"/>
              </c:ext>
            </c:extLst>
          </c:dPt>
          <c:xVal>
            <c:strRef>
              <c:f>'Q8'!$A$38:$A$41</c:f>
              <c:strCache>
                <c:ptCount val="4"/>
                <c:pt idx="0">
                  <c:v>Strongly Disagree</c:v>
                </c:pt>
                <c:pt idx="1">
                  <c:v>Disagree</c:v>
                </c:pt>
                <c:pt idx="2">
                  <c:v>Agree</c:v>
                </c:pt>
                <c:pt idx="3">
                  <c:v>Strongly Agree</c:v>
                </c:pt>
              </c:strCache>
            </c:strRef>
          </c:xVal>
          <c:yVal>
            <c:numRef>
              <c:f>'Q8'!$B$38:$B$41</c:f>
              <c:numCache>
                <c:formatCode>General</c:formatCode>
                <c:ptCount val="4"/>
                <c:pt idx="0">
                  <c:v>1</c:v>
                </c:pt>
                <c:pt idx="1">
                  <c:v>17</c:v>
                </c:pt>
                <c:pt idx="2">
                  <c:v>85</c:v>
                </c:pt>
                <c:pt idx="3">
                  <c:v>19</c:v>
                </c:pt>
              </c:numCache>
            </c:numRef>
          </c:yVal>
          <c:smooth val="0"/>
          <c:extLst>
            <c:ext xmlns:c16="http://schemas.microsoft.com/office/drawing/2014/chart" uri="{C3380CC4-5D6E-409C-BE32-E72D297353CC}">
              <c16:uniqueId val="{00000004-8D5B-4ED5-B44B-1CEAB633BF19}"/>
            </c:ext>
          </c:extLst>
        </c:ser>
        <c:dLbls>
          <c:showLegendKey val="0"/>
          <c:showVal val="0"/>
          <c:showCatName val="0"/>
          <c:showSerName val="0"/>
          <c:showPercent val="0"/>
          <c:showBubbleSize val="0"/>
        </c:dLbls>
        <c:axId val="397215544"/>
        <c:axId val="397216200"/>
      </c:scatterChart>
      <c:valAx>
        <c:axId val="397215544"/>
        <c:scaling>
          <c:orientation val="minMax"/>
        </c:scaling>
        <c:delete val="1"/>
        <c:axPos val="b"/>
        <c:majorGridlines>
          <c:spPr>
            <a:ln w="9525" cap="flat" cmpd="sng" algn="ctr">
              <a:solidFill>
                <a:schemeClr val="tx1">
                  <a:lumMod val="15000"/>
                  <a:lumOff val="85000"/>
                </a:schemeClr>
              </a:solidFill>
              <a:round/>
            </a:ln>
            <a:effectLst/>
          </c:spPr>
        </c:majorGridlines>
        <c:majorTickMark val="none"/>
        <c:minorTickMark val="none"/>
        <c:tickLblPos val="nextTo"/>
        <c:crossAx val="397216200"/>
        <c:crosses val="autoZero"/>
        <c:crossBetween val="midCat"/>
      </c:valAx>
      <c:valAx>
        <c:axId val="397216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a:t>
                </a:r>
                <a:br>
                  <a:rPr lang="en-GB"/>
                </a:br>
                <a:r>
                  <a:rPr lang="en-GB"/>
                  <a:t>No. of people</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7215544"/>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a:solidFill>
                  <a:sysClr val="windowText" lastClr="000000"/>
                </a:solidFill>
              </a:rPr>
              <a:t>Statement ten - Reducing daily spending limit</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832150610803279"/>
          <c:y val="0.24679646017699111"/>
          <c:w val="0.6664877281286341"/>
          <c:h val="0.6753274336283186"/>
        </c:manualLayout>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dPt>
            <c:idx val="0"/>
            <c:marker>
              <c:symbol val="circle"/>
              <c:size val="5"/>
              <c:spPr>
                <a:solidFill>
                  <a:schemeClr val="accent4"/>
                </a:solidFill>
                <a:ln w="9525">
                  <a:solidFill>
                    <a:schemeClr val="accent1"/>
                  </a:solidFill>
                </a:ln>
                <a:effectLst/>
              </c:spPr>
            </c:marker>
            <c:bubble3D val="0"/>
            <c:extLst>
              <c:ext xmlns:c16="http://schemas.microsoft.com/office/drawing/2014/chart" uri="{C3380CC4-5D6E-409C-BE32-E72D297353CC}">
                <c16:uniqueId val="{00000000-14B7-4290-8573-D2B022CF1A86}"/>
              </c:ext>
            </c:extLst>
          </c:dPt>
          <c:dPt>
            <c:idx val="1"/>
            <c:marker>
              <c:symbol val="circle"/>
              <c:size val="5"/>
              <c:spPr>
                <a:solidFill>
                  <a:srgbClr val="00B0F0"/>
                </a:solidFill>
                <a:ln w="9525">
                  <a:solidFill>
                    <a:schemeClr val="accent1"/>
                  </a:solidFill>
                </a:ln>
                <a:effectLst/>
              </c:spPr>
            </c:marker>
            <c:bubble3D val="0"/>
            <c:extLst>
              <c:ext xmlns:c16="http://schemas.microsoft.com/office/drawing/2014/chart" uri="{C3380CC4-5D6E-409C-BE32-E72D297353CC}">
                <c16:uniqueId val="{00000001-14B7-4290-8573-D2B022CF1A86}"/>
              </c:ext>
            </c:extLst>
          </c:dPt>
          <c:dPt>
            <c:idx val="2"/>
            <c:marker>
              <c:symbol val="circle"/>
              <c:size val="5"/>
              <c:spPr>
                <a:solidFill>
                  <a:srgbClr val="FF0000"/>
                </a:solidFill>
                <a:ln w="9525">
                  <a:solidFill>
                    <a:schemeClr val="accent1"/>
                  </a:solidFill>
                </a:ln>
                <a:effectLst/>
              </c:spPr>
            </c:marker>
            <c:bubble3D val="0"/>
            <c:extLst>
              <c:ext xmlns:c16="http://schemas.microsoft.com/office/drawing/2014/chart" uri="{C3380CC4-5D6E-409C-BE32-E72D297353CC}">
                <c16:uniqueId val="{00000002-14B7-4290-8573-D2B022CF1A86}"/>
              </c:ext>
            </c:extLst>
          </c:dPt>
          <c:dPt>
            <c:idx val="3"/>
            <c:marker>
              <c:symbol val="circle"/>
              <c:size val="5"/>
              <c:spPr>
                <a:solidFill>
                  <a:srgbClr val="7030A0"/>
                </a:solidFill>
                <a:ln w="9525">
                  <a:solidFill>
                    <a:schemeClr val="accent1"/>
                  </a:solidFill>
                </a:ln>
                <a:effectLst/>
              </c:spPr>
            </c:marker>
            <c:bubble3D val="0"/>
            <c:extLst>
              <c:ext xmlns:c16="http://schemas.microsoft.com/office/drawing/2014/chart" uri="{C3380CC4-5D6E-409C-BE32-E72D297353CC}">
                <c16:uniqueId val="{00000003-14B7-4290-8573-D2B022CF1A86}"/>
              </c:ext>
            </c:extLst>
          </c:dPt>
          <c:xVal>
            <c:strRef>
              <c:f>'Q8'!$A$43:$A$46</c:f>
              <c:strCache>
                <c:ptCount val="4"/>
                <c:pt idx="0">
                  <c:v>Strongly Disagree</c:v>
                </c:pt>
                <c:pt idx="1">
                  <c:v>Disagree</c:v>
                </c:pt>
                <c:pt idx="2">
                  <c:v>Agree</c:v>
                </c:pt>
                <c:pt idx="3">
                  <c:v>Strongly Agree</c:v>
                </c:pt>
              </c:strCache>
            </c:strRef>
          </c:xVal>
          <c:yVal>
            <c:numRef>
              <c:f>'Q8'!$B$43:$B$46</c:f>
              <c:numCache>
                <c:formatCode>General</c:formatCode>
                <c:ptCount val="4"/>
                <c:pt idx="0">
                  <c:v>2</c:v>
                </c:pt>
                <c:pt idx="1">
                  <c:v>17</c:v>
                </c:pt>
                <c:pt idx="2">
                  <c:v>77</c:v>
                </c:pt>
                <c:pt idx="3">
                  <c:v>26</c:v>
                </c:pt>
              </c:numCache>
            </c:numRef>
          </c:yVal>
          <c:smooth val="0"/>
          <c:extLst>
            <c:ext xmlns:c16="http://schemas.microsoft.com/office/drawing/2014/chart" uri="{C3380CC4-5D6E-409C-BE32-E72D297353CC}">
              <c16:uniqueId val="{00000004-14B7-4290-8573-D2B022CF1A86}"/>
            </c:ext>
          </c:extLst>
        </c:ser>
        <c:dLbls>
          <c:showLegendKey val="0"/>
          <c:showVal val="0"/>
          <c:showCatName val="0"/>
          <c:showSerName val="0"/>
          <c:showPercent val="0"/>
          <c:showBubbleSize val="0"/>
        </c:dLbls>
        <c:axId val="397220792"/>
        <c:axId val="397223744"/>
      </c:scatterChart>
      <c:valAx>
        <c:axId val="397220792"/>
        <c:scaling>
          <c:orientation val="minMax"/>
        </c:scaling>
        <c:delete val="1"/>
        <c:axPos val="b"/>
        <c:majorGridlines>
          <c:spPr>
            <a:ln w="9525" cap="flat" cmpd="sng" algn="ctr">
              <a:solidFill>
                <a:schemeClr val="tx1">
                  <a:lumMod val="15000"/>
                  <a:lumOff val="85000"/>
                </a:schemeClr>
              </a:solidFill>
              <a:round/>
            </a:ln>
            <a:effectLst/>
          </c:spPr>
        </c:majorGridlines>
        <c:majorTickMark val="none"/>
        <c:minorTickMark val="none"/>
        <c:tickLblPos val="nextTo"/>
        <c:crossAx val="397223744"/>
        <c:crosses val="autoZero"/>
        <c:crossBetween val="midCat"/>
      </c:valAx>
      <c:valAx>
        <c:axId val="3972237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br>
                  <a:rPr lang="en-GB"/>
                </a:br>
                <a:r>
                  <a:rPr lang="en-GB"/>
                  <a:t>No. of people</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7220792"/>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r>
              <a:rPr lang="en-GB" sz="1100">
                <a:solidFill>
                  <a:sysClr val="windowText" lastClr="000000"/>
                </a:solidFill>
              </a:rPr>
              <a:t>Statement twelve - Eliminate advertisement on big prizes</a:t>
            </a:r>
            <a:r>
              <a:rPr lang="en-GB" sz="1100" baseline="0">
                <a:solidFill>
                  <a:sysClr val="windowText" lastClr="000000"/>
                </a:solidFill>
              </a:rPr>
              <a:t> and winnings</a:t>
            </a:r>
            <a:endParaRPr lang="en-GB" sz="1100">
              <a:solidFill>
                <a:sysClr val="windowText" lastClr="000000"/>
              </a:solidFill>
            </a:endParaRPr>
          </a:p>
        </c:rich>
      </c:tx>
      <c:layout>
        <c:manualLayout>
          <c:xMode val="edge"/>
          <c:yMode val="edge"/>
          <c:x val="0.15896400784340559"/>
          <c:y val="2.1037868162692847E-2"/>
        </c:manualLayout>
      </c:layout>
      <c:overlay val="0"/>
      <c:spPr>
        <a:noFill/>
        <a:ln>
          <a:noFill/>
        </a:ln>
        <a:effectLst/>
      </c:spPr>
      <c:txPr>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6242457744462711"/>
          <c:y val="0.31760168302945302"/>
          <c:w val="0.68726671000106232"/>
          <c:h val="0.60525946704067324"/>
        </c:manualLayout>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dPt>
            <c:idx val="0"/>
            <c:marker>
              <c:symbol val="circle"/>
              <c:size val="5"/>
              <c:spPr>
                <a:solidFill>
                  <a:schemeClr val="accent4"/>
                </a:solidFill>
                <a:ln w="9525">
                  <a:solidFill>
                    <a:schemeClr val="accent1"/>
                  </a:solidFill>
                </a:ln>
                <a:effectLst/>
              </c:spPr>
            </c:marker>
            <c:bubble3D val="0"/>
            <c:extLst>
              <c:ext xmlns:c16="http://schemas.microsoft.com/office/drawing/2014/chart" uri="{C3380CC4-5D6E-409C-BE32-E72D297353CC}">
                <c16:uniqueId val="{00000000-3346-42E1-AA9A-C2E501FF0040}"/>
              </c:ext>
            </c:extLst>
          </c:dPt>
          <c:dPt>
            <c:idx val="1"/>
            <c:marker>
              <c:symbol val="circle"/>
              <c:size val="5"/>
              <c:spPr>
                <a:solidFill>
                  <a:srgbClr val="00B0F0"/>
                </a:solidFill>
                <a:ln w="9525">
                  <a:solidFill>
                    <a:schemeClr val="accent1"/>
                  </a:solidFill>
                </a:ln>
                <a:effectLst/>
              </c:spPr>
            </c:marker>
            <c:bubble3D val="0"/>
            <c:extLst>
              <c:ext xmlns:c16="http://schemas.microsoft.com/office/drawing/2014/chart" uri="{C3380CC4-5D6E-409C-BE32-E72D297353CC}">
                <c16:uniqueId val="{00000001-3346-42E1-AA9A-C2E501FF0040}"/>
              </c:ext>
            </c:extLst>
          </c:dPt>
          <c:dPt>
            <c:idx val="2"/>
            <c:marker>
              <c:symbol val="circle"/>
              <c:size val="5"/>
              <c:spPr>
                <a:solidFill>
                  <a:srgbClr val="FF0000"/>
                </a:solidFill>
                <a:ln w="9525">
                  <a:solidFill>
                    <a:schemeClr val="accent1"/>
                  </a:solidFill>
                </a:ln>
                <a:effectLst/>
              </c:spPr>
            </c:marker>
            <c:bubble3D val="0"/>
            <c:extLst>
              <c:ext xmlns:c16="http://schemas.microsoft.com/office/drawing/2014/chart" uri="{C3380CC4-5D6E-409C-BE32-E72D297353CC}">
                <c16:uniqueId val="{00000002-3346-42E1-AA9A-C2E501FF0040}"/>
              </c:ext>
            </c:extLst>
          </c:dPt>
          <c:dPt>
            <c:idx val="3"/>
            <c:marker>
              <c:symbol val="circle"/>
              <c:size val="5"/>
              <c:spPr>
                <a:solidFill>
                  <a:srgbClr val="7030A0"/>
                </a:solidFill>
                <a:ln w="9525">
                  <a:solidFill>
                    <a:schemeClr val="accent1"/>
                  </a:solidFill>
                </a:ln>
                <a:effectLst/>
              </c:spPr>
            </c:marker>
            <c:bubble3D val="0"/>
            <c:extLst>
              <c:ext xmlns:c16="http://schemas.microsoft.com/office/drawing/2014/chart" uri="{C3380CC4-5D6E-409C-BE32-E72D297353CC}">
                <c16:uniqueId val="{00000003-3346-42E1-AA9A-C2E501FF0040}"/>
              </c:ext>
            </c:extLst>
          </c:dPt>
          <c:xVal>
            <c:strRef>
              <c:f>'Q8'!$A$53:$A$56</c:f>
              <c:strCache>
                <c:ptCount val="4"/>
                <c:pt idx="0">
                  <c:v>Strongly Disagree</c:v>
                </c:pt>
                <c:pt idx="1">
                  <c:v>Disagree</c:v>
                </c:pt>
                <c:pt idx="2">
                  <c:v>Agree</c:v>
                </c:pt>
                <c:pt idx="3">
                  <c:v>Strongly Agree</c:v>
                </c:pt>
              </c:strCache>
            </c:strRef>
          </c:xVal>
          <c:yVal>
            <c:numRef>
              <c:f>'Q8'!$B$53:$B$56</c:f>
              <c:numCache>
                <c:formatCode>General</c:formatCode>
                <c:ptCount val="4"/>
                <c:pt idx="0">
                  <c:v>4</c:v>
                </c:pt>
                <c:pt idx="1">
                  <c:v>11</c:v>
                </c:pt>
                <c:pt idx="2">
                  <c:v>74</c:v>
                </c:pt>
                <c:pt idx="3">
                  <c:v>33</c:v>
                </c:pt>
              </c:numCache>
            </c:numRef>
          </c:yVal>
          <c:smooth val="0"/>
          <c:extLst>
            <c:ext xmlns:c16="http://schemas.microsoft.com/office/drawing/2014/chart" uri="{C3380CC4-5D6E-409C-BE32-E72D297353CC}">
              <c16:uniqueId val="{00000004-3346-42E1-AA9A-C2E501FF0040}"/>
            </c:ext>
          </c:extLst>
        </c:ser>
        <c:dLbls>
          <c:showLegendKey val="0"/>
          <c:showVal val="0"/>
          <c:showCatName val="0"/>
          <c:showSerName val="0"/>
          <c:showPercent val="0"/>
          <c:showBubbleSize val="0"/>
        </c:dLbls>
        <c:axId val="314305576"/>
        <c:axId val="314305904"/>
      </c:scatterChart>
      <c:valAx>
        <c:axId val="314305576"/>
        <c:scaling>
          <c:orientation val="minMax"/>
        </c:scaling>
        <c:delete val="1"/>
        <c:axPos val="b"/>
        <c:majorGridlines>
          <c:spPr>
            <a:ln w="9525" cap="flat" cmpd="sng" algn="ctr">
              <a:solidFill>
                <a:schemeClr val="tx1">
                  <a:lumMod val="15000"/>
                  <a:lumOff val="85000"/>
                </a:schemeClr>
              </a:solidFill>
              <a:round/>
            </a:ln>
            <a:effectLst/>
          </c:spPr>
        </c:majorGridlines>
        <c:majorTickMark val="none"/>
        <c:minorTickMark val="none"/>
        <c:tickLblPos val="nextTo"/>
        <c:crossAx val="314305904"/>
        <c:crosses val="autoZero"/>
        <c:crossBetween val="midCat"/>
      </c:valAx>
      <c:valAx>
        <c:axId val="3143059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br>
                  <a:rPr lang="en-GB"/>
                </a:br>
                <a:r>
                  <a:rPr lang="en-GB"/>
                  <a:t>No. of people</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4305576"/>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a:solidFill>
                  <a:sysClr val="windowText" lastClr="000000"/>
                </a:solidFill>
              </a:rPr>
              <a:t>Statement eleven</a:t>
            </a:r>
            <a:r>
              <a:rPr lang="en-GB" sz="1100" baseline="0">
                <a:solidFill>
                  <a:sysClr val="windowText" lastClr="000000"/>
                </a:solidFill>
              </a:rPr>
              <a:t> - Providing financial statements</a:t>
            </a:r>
            <a:endParaRPr lang="en-GB" sz="1100">
              <a:solidFill>
                <a:sysClr val="windowText" lastClr="000000"/>
              </a:solidFill>
            </a:endParaRP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6158711583436389"/>
          <c:y val="0.24208333333333329"/>
          <c:w val="0.68826471913258391"/>
          <c:h val="0.68152777777777773"/>
        </c:manualLayout>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dPt>
            <c:idx val="0"/>
            <c:marker>
              <c:symbol val="circle"/>
              <c:size val="5"/>
              <c:spPr>
                <a:solidFill>
                  <a:schemeClr val="accent4"/>
                </a:solidFill>
                <a:ln w="9525">
                  <a:solidFill>
                    <a:schemeClr val="accent1"/>
                  </a:solidFill>
                </a:ln>
                <a:effectLst/>
              </c:spPr>
            </c:marker>
            <c:bubble3D val="0"/>
            <c:extLst>
              <c:ext xmlns:c16="http://schemas.microsoft.com/office/drawing/2014/chart" uri="{C3380CC4-5D6E-409C-BE32-E72D297353CC}">
                <c16:uniqueId val="{00000000-9D68-42B2-9F6E-BAF67FF4EC33}"/>
              </c:ext>
            </c:extLst>
          </c:dPt>
          <c:dPt>
            <c:idx val="1"/>
            <c:marker>
              <c:symbol val="circle"/>
              <c:size val="5"/>
              <c:spPr>
                <a:solidFill>
                  <a:srgbClr val="00B0F0"/>
                </a:solidFill>
                <a:ln w="9525">
                  <a:solidFill>
                    <a:schemeClr val="accent1"/>
                  </a:solidFill>
                </a:ln>
                <a:effectLst/>
              </c:spPr>
            </c:marker>
            <c:bubble3D val="0"/>
            <c:extLst>
              <c:ext xmlns:c16="http://schemas.microsoft.com/office/drawing/2014/chart" uri="{C3380CC4-5D6E-409C-BE32-E72D297353CC}">
                <c16:uniqueId val="{00000001-9D68-42B2-9F6E-BAF67FF4EC33}"/>
              </c:ext>
            </c:extLst>
          </c:dPt>
          <c:dPt>
            <c:idx val="2"/>
            <c:marker>
              <c:symbol val="circle"/>
              <c:size val="5"/>
              <c:spPr>
                <a:solidFill>
                  <a:srgbClr val="FF0000"/>
                </a:solidFill>
                <a:ln w="9525">
                  <a:solidFill>
                    <a:schemeClr val="accent1"/>
                  </a:solidFill>
                </a:ln>
                <a:effectLst/>
              </c:spPr>
            </c:marker>
            <c:bubble3D val="0"/>
            <c:extLst>
              <c:ext xmlns:c16="http://schemas.microsoft.com/office/drawing/2014/chart" uri="{C3380CC4-5D6E-409C-BE32-E72D297353CC}">
                <c16:uniqueId val="{00000002-9D68-42B2-9F6E-BAF67FF4EC33}"/>
              </c:ext>
            </c:extLst>
          </c:dPt>
          <c:dPt>
            <c:idx val="3"/>
            <c:marker>
              <c:symbol val="circle"/>
              <c:size val="5"/>
              <c:spPr>
                <a:solidFill>
                  <a:srgbClr val="7030A0"/>
                </a:solidFill>
                <a:ln w="9525">
                  <a:solidFill>
                    <a:schemeClr val="accent1"/>
                  </a:solidFill>
                </a:ln>
                <a:effectLst/>
              </c:spPr>
            </c:marker>
            <c:bubble3D val="0"/>
            <c:extLst>
              <c:ext xmlns:c16="http://schemas.microsoft.com/office/drawing/2014/chart" uri="{C3380CC4-5D6E-409C-BE32-E72D297353CC}">
                <c16:uniqueId val="{00000003-9D68-42B2-9F6E-BAF67FF4EC33}"/>
              </c:ext>
            </c:extLst>
          </c:dPt>
          <c:xVal>
            <c:strRef>
              <c:f>'Q8'!$A$48:$A$51</c:f>
              <c:strCache>
                <c:ptCount val="4"/>
                <c:pt idx="0">
                  <c:v>Strongly Disagree</c:v>
                </c:pt>
                <c:pt idx="1">
                  <c:v>Disagree</c:v>
                </c:pt>
                <c:pt idx="2">
                  <c:v>Agree</c:v>
                </c:pt>
                <c:pt idx="3">
                  <c:v>Strongly Agree</c:v>
                </c:pt>
              </c:strCache>
            </c:strRef>
          </c:xVal>
          <c:yVal>
            <c:numRef>
              <c:f>'Q8'!$B$48:$B$51</c:f>
              <c:numCache>
                <c:formatCode>General</c:formatCode>
                <c:ptCount val="4"/>
                <c:pt idx="0">
                  <c:v>2</c:v>
                </c:pt>
                <c:pt idx="1">
                  <c:v>7</c:v>
                </c:pt>
                <c:pt idx="2">
                  <c:v>65</c:v>
                </c:pt>
                <c:pt idx="3">
                  <c:v>47</c:v>
                </c:pt>
              </c:numCache>
            </c:numRef>
          </c:yVal>
          <c:smooth val="0"/>
          <c:extLst>
            <c:ext xmlns:c16="http://schemas.microsoft.com/office/drawing/2014/chart" uri="{C3380CC4-5D6E-409C-BE32-E72D297353CC}">
              <c16:uniqueId val="{00000004-9D68-42B2-9F6E-BAF67FF4EC33}"/>
            </c:ext>
          </c:extLst>
        </c:ser>
        <c:dLbls>
          <c:showLegendKey val="0"/>
          <c:showVal val="0"/>
          <c:showCatName val="0"/>
          <c:showSerName val="0"/>
          <c:showPercent val="0"/>
          <c:showBubbleSize val="0"/>
        </c:dLbls>
        <c:axId val="314316072"/>
        <c:axId val="314309512"/>
      </c:scatterChart>
      <c:valAx>
        <c:axId val="314316072"/>
        <c:scaling>
          <c:orientation val="minMax"/>
        </c:scaling>
        <c:delete val="1"/>
        <c:axPos val="b"/>
        <c:majorGridlines>
          <c:spPr>
            <a:ln w="9525" cap="flat" cmpd="sng" algn="ctr">
              <a:solidFill>
                <a:schemeClr val="tx1">
                  <a:lumMod val="15000"/>
                  <a:lumOff val="85000"/>
                </a:schemeClr>
              </a:solidFill>
              <a:round/>
            </a:ln>
            <a:effectLst/>
          </c:spPr>
        </c:majorGridlines>
        <c:majorTickMark val="none"/>
        <c:minorTickMark val="none"/>
        <c:tickLblPos val="nextTo"/>
        <c:crossAx val="314309512"/>
        <c:crosses val="autoZero"/>
        <c:crossBetween val="midCat"/>
      </c:valAx>
      <c:valAx>
        <c:axId val="3143095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a:t>
                </a:r>
                <a:br>
                  <a:rPr lang="en-GB"/>
                </a:br>
                <a:r>
                  <a:rPr lang="en-GB"/>
                  <a:t>no. of people</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4316072"/>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a:solidFill>
                  <a:sysClr val="windowText" lastClr="000000"/>
                </a:solidFill>
              </a:rPr>
              <a:t>Statement eight</a:t>
            </a:r>
            <a:r>
              <a:rPr lang="en-GB" sz="1100" baseline="0">
                <a:solidFill>
                  <a:sysClr val="windowText" lastClr="000000"/>
                </a:solidFill>
              </a:rPr>
              <a:t> - </a:t>
            </a:r>
            <a:r>
              <a:rPr lang="en-GB" sz="1100">
                <a:solidFill>
                  <a:sysClr val="windowText" lastClr="000000"/>
                </a:solidFill>
              </a:rPr>
              <a:t>Increasing the chances of winning</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6158711583436389"/>
          <c:y val="0.29725158562367865"/>
          <c:w val="0.68826471913258391"/>
          <c:h val="0.63932346723044398"/>
        </c:manualLayout>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dPt>
            <c:idx val="0"/>
            <c:marker>
              <c:symbol val="circle"/>
              <c:size val="5"/>
              <c:spPr>
                <a:solidFill>
                  <a:schemeClr val="accent4"/>
                </a:solidFill>
                <a:ln w="9525">
                  <a:solidFill>
                    <a:schemeClr val="accent1"/>
                  </a:solidFill>
                </a:ln>
                <a:effectLst/>
              </c:spPr>
            </c:marker>
            <c:bubble3D val="0"/>
            <c:extLst>
              <c:ext xmlns:c16="http://schemas.microsoft.com/office/drawing/2014/chart" uri="{C3380CC4-5D6E-409C-BE32-E72D297353CC}">
                <c16:uniqueId val="{00000000-D0C2-43B4-9810-D747E92E6B53}"/>
              </c:ext>
            </c:extLst>
          </c:dPt>
          <c:dPt>
            <c:idx val="1"/>
            <c:marker>
              <c:symbol val="circle"/>
              <c:size val="5"/>
              <c:spPr>
                <a:solidFill>
                  <a:srgbClr val="00B0F0"/>
                </a:solidFill>
                <a:ln w="9525">
                  <a:solidFill>
                    <a:schemeClr val="accent1"/>
                  </a:solidFill>
                </a:ln>
                <a:effectLst/>
              </c:spPr>
            </c:marker>
            <c:bubble3D val="0"/>
            <c:extLst>
              <c:ext xmlns:c16="http://schemas.microsoft.com/office/drawing/2014/chart" uri="{C3380CC4-5D6E-409C-BE32-E72D297353CC}">
                <c16:uniqueId val="{00000001-D0C2-43B4-9810-D747E92E6B53}"/>
              </c:ext>
            </c:extLst>
          </c:dPt>
          <c:dPt>
            <c:idx val="2"/>
            <c:marker>
              <c:symbol val="circle"/>
              <c:size val="5"/>
              <c:spPr>
                <a:solidFill>
                  <a:srgbClr val="FF0000"/>
                </a:solidFill>
                <a:ln w="9525">
                  <a:solidFill>
                    <a:schemeClr val="accent1"/>
                  </a:solidFill>
                </a:ln>
                <a:effectLst/>
              </c:spPr>
            </c:marker>
            <c:bubble3D val="0"/>
            <c:extLst>
              <c:ext xmlns:c16="http://schemas.microsoft.com/office/drawing/2014/chart" uri="{C3380CC4-5D6E-409C-BE32-E72D297353CC}">
                <c16:uniqueId val="{00000002-D0C2-43B4-9810-D747E92E6B53}"/>
              </c:ext>
            </c:extLst>
          </c:dPt>
          <c:dPt>
            <c:idx val="3"/>
            <c:marker>
              <c:symbol val="circle"/>
              <c:size val="5"/>
              <c:spPr>
                <a:solidFill>
                  <a:srgbClr val="7030A0"/>
                </a:solidFill>
                <a:ln w="9525">
                  <a:solidFill>
                    <a:schemeClr val="accent1"/>
                  </a:solidFill>
                </a:ln>
                <a:effectLst/>
              </c:spPr>
            </c:marker>
            <c:bubble3D val="0"/>
            <c:extLst>
              <c:ext xmlns:c16="http://schemas.microsoft.com/office/drawing/2014/chart" uri="{C3380CC4-5D6E-409C-BE32-E72D297353CC}">
                <c16:uniqueId val="{00000003-D0C2-43B4-9810-D747E92E6B53}"/>
              </c:ext>
            </c:extLst>
          </c:dPt>
          <c:xVal>
            <c:strRef>
              <c:f>'Q8'!$A$33:$A$36</c:f>
              <c:strCache>
                <c:ptCount val="4"/>
                <c:pt idx="0">
                  <c:v>Strongly Disagree</c:v>
                </c:pt>
                <c:pt idx="1">
                  <c:v>Disagree</c:v>
                </c:pt>
                <c:pt idx="2">
                  <c:v>Agree</c:v>
                </c:pt>
                <c:pt idx="3">
                  <c:v>Strongly Agree</c:v>
                </c:pt>
              </c:strCache>
            </c:strRef>
          </c:xVal>
          <c:yVal>
            <c:numRef>
              <c:f>'Q8'!$B$33:$B$36</c:f>
              <c:numCache>
                <c:formatCode>General</c:formatCode>
                <c:ptCount val="4"/>
                <c:pt idx="0">
                  <c:v>55</c:v>
                </c:pt>
                <c:pt idx="1">
                  <c:v>54</c:v>
                </c:pt>
                <c:pt idx="2">
                  <c:v>9</c:v>
                </c:pt>
                <c:pt idx="3">
                  <c:v>3</c:v>
                </c:pt>
              </c:numCache>
            </c:numRef>
          </c:yVal>
          <c:smooth val="0"/>
          <c:extLst>
            <c:ext xmlns:c16="http://schemas.microsoft.com/office/drawing/2014/chart" uri="{C3380CC4-5D6E-409C-BE32-E72D297353CC}">
              <c16:uniqueId val="{00000004-D0C2-43B4-9810-D747E92E6B53}"/>
            </c:ext>
          </c:extLst>
        </c:ser>
        <c:dLbls>
          <c:showLegendKey val="0"/>
          <c:showVal val="0"/>
          <c:showCatName val="0"/>
          <c:showSerName val="0"/>
          <c:showPercent val="0"/>
          <c:showBubbleSize val="0"/>
        </c:dLbls>
        <c:axId val="396054464"/>
        <c:axId val="396054792"/>
      </c:scatterChart>
      <c:valAx>
        <c:axId val="396054464"/>
        <c:scaling>
          <c:orientation val="minMax"/>
        </c:scaling>
        <c:delete val="1"/>
        <c:axPos val="b"/>
        <c:majorGridlines>
          <c:spPr>
            <a:ln w="9525" cap="flat" cmpd="sng" algn="ctr">
              <a:solidFill>
                <a:schemeClr val="tx1">
                  <a:lumMod val="15000"/>
                  <a:lumOff val="85000"/>
                </a:schemeClr>
              </a:solidFill>
              <a:round/>
            </a:ln>
            <a:effectLst/>
          </c:spPr>
        </c:majorGridlines>
        <c:majorTickMark val="none"/>
        <c:minorTickMark val="none"/>
        <c:tickLblPos val="nextTo"/>
        <c:crossAx val="396054792"/>
        <c:crosses val="autoZero"/>
        <c:crossBetween val="midCat"/>
      </c:valAx>
      <c:valAx>
        <c:axId val="3960547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br>
                  <a:rPr lang="en-GB"/>
                </a:br>
                <a:r>
                  <a:rPr lang="en-GB"/>
                  <a:t>No. of participants</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6054464"/>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a:solidFill>
                  <a:sysClr val="windowText" lastClr="000000"/>
                </a:solidFill>
              </a:rPr>
              <a:t>Statement seven - Decreasing the chances of winning</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6236458097058857"/>
          <c:y val="0.28877980364656386"/>
          <c:w val="0.68733820823837355"/>
          <c:h val="0.65511921458625522"/>
        </c:manualLayout>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dPt>
            <c:idx val="0"/>
            <c:marker>
              <c:symbol val="circle"/>
              <c:size val="5"/>
              <c:spPr>
                <a:solidFill>
                  <a:schemeClr val="accent4"/>
                </a:solidFill>
                <a:ln w="9525">
                  <a:solidFill>
                    <a:schemeClr val="accent1"/>
                  </a:solidFill>
                </a:ln>
                <a:effectLst/>
              </c:spPr>
            </c:marker>
            <c:bubble3D val="0"/>
            <c:extLst>
              <c:ext xmlns:c16="http://schemas.microsoft.com/office/drawing/2014/chart" uri="{C3380CC4-5D6E-409C-BE32-E72D297353CC}">
                <c16:uniqueId val="{00000000-B0B6-4016-B766-0D6617F4DCC3}"/>
              </c:ext>
            </c:extLst>
          </c:dPt>
          <c:dPt>
            <c:idx val="1"/>
            <c:marker>
              <c:symbol val="circle"/>
              <c:size val="5"/>
              <c:spPr>
                <a:solidFill>
                  <a:srgbClr val="00B0F0"/>
                </a:solidFill>
                <a:ln w="9525">
                  <a:solidFill>
                    <a:schemeClr val="accent1"/>
                  </a:solidFill>
                </a:ln>
                <a:effectLst/>
              </c:spPr>
            </c:marker>
            <c:bubble3D val="0"/>
            <c:extLst>
              <c:ext xmlns:c16="http://schemas.microsoft.com/office/drawing/2014/chart" uri="{C3380CC4-5D6E-409C-BE32-E72D297353CC}">
                <c16:uniqueId val="{00000001-B0B6-4016-B766-0D6617F4DCC3}"/>
              </c:ext>
            </c:extLst>
          </c:dPt>
          <c:dPt>
            <c:idx val="2"/>
            <c:marker>
              <c:symbol val="circle"/>
              <c:size val="5"/>
              <c:spPr>
                <a:solidFill>
                  <a:srgbClr val="FF0000"/>
                </a:solidFill>
                <a:ln w="9525">
                  <a:solidFill>
                    <a:schemeClr val="accent1"/>
                  </a:solidFill>
                </a:ln>
                <a:effectLst/>
              </c:spPr>
            </c:marker>
            <c:bubble3D val="0"/>
            <c:extLst>
              <c:ext xmlns:c16="http://schemas.microsoft.com/office/drawing/2014/chart" uri="{C3380CC4-5D6E-409C-BE32-E72D297353CC}">
                <c16:uniqueId val="{00000002-B0B6-4016-B766-0D6617F4DCC3}"/>
              </c:ext>
            </c:extLst>
          </c:dPt>
          <c:dPt>
            <c:idx val="3"/>
            <c:marker>
              <c:symbol val="circle"/>
              <c:size val="5"/>
              <c:spPr>
                <a:solidFill>
                  <a:srgbClr val="7030A0"/>
                </a:solidFill>
                <a:ln w="9525">
                  <a:solidFill>
                    <a:schemeClr val="accent1"/>
                  </a:solidFill>
                </a:ln>
                <a:effectLst/>
              </c:spPr>
            </c:marker>
            <c:bubble3D val="0"/>
            <c:extLst>
              <c:ext xmlns:c16="http://schemas.microsoft.com/office/drawing/2014/chart" uri="{C3380CC4-5D6E-409C-BE32-E72D297353CC}">
                <c16:uniqueId val="{00000003-B0B6-4016-B766-0D6617F4DCC3}"/>
              </c:ext>
            </c:extLst>
          </c:dPt>
          <c:xVal>
            <c:strRef>
              <c:f>'Q8'!$A$28:$A$31</c:f>
              <c:strCache>
                <c:ptCount val="4"/>
                <c:pt idx="0">
                  <c:v>Strongly Disagree</c:v>
                </c:pt>
                <c:pt idx="1">
                  <c:v>Disagree</c:v>
                </c:pt>
                <c:pt idx="2">
                  <c:v>Agree</c:v>
                </c:pt>
                <c:pt idx="3">
                  <c:v>Strongly Agree</c:v>
                </c:pt>
              </c:strCache>
            </c:strRef>
          </c:xVal>
          <c:yVal>
            <c:numRef>
              <c:f>'Q8'!$B$28:$B$31</c:f>
              <c:numCache>
                <c:formatCode>General</c:formatCode>
                <c:ptCount val="4"/>
                <c:pt idx="0">
                  <c:v>15</c:v>
                </c:pt>
                <c:pt idx="1">
                  <c:v>13</c:v>
                </c:pt>
                <c:pt idx="2">
                  <c:v>35</c:v>
                </c:pt>
                <c:pt idx="3">
                  <c:v>58</c:v>
                </c:pt>
              </c:numCache>
            </c:numRef>
          </c:yVal>
          <c:smooth val="0"/>
          <c:extLst>
            <c:ext xmlns:c16="http://schemas.microsoft.com/office/drawing/2014/chart" uri="{C3380CC4-5D6E-409C-BE32-E72D297353CC}">
              <c16:uniqueId val="{00000004-B0B6-4016-B766-0D6617F4DCC3}"/>
            </c:ext>
          </c:extLst>
        </c:ser>
        <c:dLbls>
          <c:showLegendKey val="0"/>
          <c:showVal val="0"/>
          <c:showCatName val="0"/>
          <c:showSerName val="0"/>
          <c:showPercent val="0"/>
          <c:showBubbleSize val="0"/>
        </c:dLbls>
        <c:axId val="389253928"/>
        <c:axId val="389247368"/>
      </c:scatterChart>
      <c:valAx>
        <c:axId val="389253928"/>
        <c:scaling>
          <c:orientation val="minMax"/>
        </c:scaling>
        <c:delete val="1"/>
        <c:axPos val="b"/>
        <c:majorGridlines>
          <c:spPr>
            <a:ln w="9525" cap="flat" cmpd="sng" algn="ctr">
              <a:solidFill>
                <a:schemeClr val="tx1">
                  <a:lumMod val="15000"/>
                  <a:lumOff val="85000"/>
                </a:schemeClr>
              </a:solidFill>
              <a:round/>
            </a:ln>
            <a:effectLst/>
          </c:spPr>
        </c:majorGridlines>
        <c:majorTickMark val="none"/>
        <c:minorTickMark val="none"/>
        <c:tickLblPos val="nextTo"/>
        <c:crossAx val="389247368"/>
        <c:crosses val="autoZero"/>
        <c:crossBetween val="midCat"/>
      </c:valAx>
      <c:valAx>
        <c:axId val="3892473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br>
                  <a:rPr lang="en-GB"/>
                </a:br>
                <a:r>
                  <a:rPr lang="en-GB"/>
                  <a:t>No. of participants</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9253928"/>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a:solidFill>
                  <a:sysClr val="windowText" lastClr="000000"/>
                </a:solidFill>
              </a:rPr>
              <a:t>Statement sixteen</a:t>
            </a:r>
            <a:r>
              <a:rPr lang="en-GB" sz="1100" baseline="0">
                <a:solidFill>
                  <a:sysClr val="windowText" lastClr="000000"/>
                </a:solidFill>
              </a:rPr>
              <a:t> - Provide general information on responsible gambling on welcome screens</a:t>
            </a:r>
            <a:endParaRPr lang="en-GB" sz="1100">
              <a:solidFill>
                <a:sysClr val="windowText" lastClr="000000"/>
              </a:solidFill>
            </a:endParaRPr>
          </a:p>
        </c:rich>
      </c:tx>
      <c:layout>
        <c:manualLayout>
          <c:xMode val="edge"/>
          <c:yMode val="edge"/>
          <c:x val="0.11666657829387488"/>
          <c:y val="2.103786816269284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5759431586203241"/>
          <c:y val="0.31058906030855538"/>
          <c:w val="0.69302296808858488"/>
          <c:h val="0.61227208976157088"/>
        </c:manualLayout>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dPt>
            <c:idx val="0"/>
            <c:marker>
              <c:symbol val="circle"/>
              <c:size val="5"/>
              <c:spPr>
                <a:solidFill>
                  <a:schemeClr val="accent4"/>
                </a:solidFill>
                <a:ln w="9525">
                  <a:solidFill>
                    <a:schemeClr val="accent1"/>
                  </a:solidFill>
                </a:ln>
                <a:effectLst/>
              </c:spPr>
            </c:marker>
            <c:bubble3D val="0"/>
            <c:extLst>
              <c:ext xmlns:c16="http://schemas.microsoft.com/office/drawing/2014/chart" uri="{C3380CC4-5D6E-409C-BE32-E72D297353CC}">
                <c16:uniqueId val="{00000000-4676-46E3-914E-F98E6E7EA0AD}"/>
              </c:ext>
            </c:extLst>
          </c:dPt>
          <c:dPt>
            <c:idx val="1"/>
            <c:marker>
              <c:symbol val="circle"/>
              <c:size val="5"/>
              <c:spPr>
                <a:solidFill>
                  <a:srgbClr val="00B0F0"/>
                </a:solidFill>
                <a:ln w="9525">
                  <a:solidFill>
                    <a:schemeClr val="accent1"/>
                  </a:solidFill>
                </a:ln>
                <a:effectLst/>
              </c:spPr>
            </c:marker>
            <c:bubble3D val="0"/>
            <c:extLst>
              <c:ext xmlns:c16="http://schemas.microsoft.com/office/drawing/2014/chart" uri="{C3380CC4-5D6E-409C-BE32-E72D297353CC}">
                <c16:uniqueId val="{00000001-4676-46E3-914E-F98E6E7EA0AD}"/>
              </c:ext>
            </c:extLst>
          </c:dPt>
          <c:dPt>
            <c:idx val="2"/>
            <c:marker>
              <c:symbol val="circle"/>
              <c:size val="5"/>
              <c:spPr>
                <a:solidFill>
                  <a:srgbClr val="FF0000"/>
                </a:solidFill>
                <a:ln w="9525">
                  <a:solidFill>
                    <a:schemeClr val="accent1"/>
                  </a:solidFill>
                </a:ln>
                <a:effectLst/>
              </c:spPr>
            </c:marker>
            <c:bubble3D val="0"/>
            <c:extLst>
              <c:ext xmlns:c16="http://schemas.microsoft.com/office/drawing/2014/chart" uri="{C3380CC4-5D6E-409C-BE32-E72D297353CC}">
                <c16:uniqueId val="{00000002-4676-46E3-914E-F98E6E7EA0AD}"/>
              </c:ext>
            </c:extLst>
          </c:dPt>
          <c:dPt>
            <c:idx val="3"/>
            <c:marker>
              <c:symbol val="circle"/>
              <c:size val="5"/>
              <c:spPr>
                <a:solidFill>
                  <a:srgbClr val="7030A0"/>
                </a:solidFill>
                <a:ln w="9525">
                  <a:solidFill>
                    <a:schemeClr val="accent1"/>
                  </a:solidFill>
                </a:ln>
                <a:effectLst/>
              </c:spPr>
            </c:marker>
            <c:bubble3D val="0"/>
            <c:extLst>
              <c:ext xmlns:c16="http://schemas.microsoft.com/office/drawing/2014/chart" uri="{C3380CC4-5D6E-409C-BE32-E72D297353CC}">
                <c16:uniqueId val="{00000003-4676-46E3-914E-F98E6E7EA0AD}"/>
              </c:ext>
            </c:extLst>
          </c:dPt>
          <c:xVal>
            <c:strRef>
              <c:f>'Q8'!$A$73:$A$76</c:f>
              <c:strCache>
                <c:ptCount val="4"/>
                <c:pt idx="0">
                  <c:v>Strongly Disagree</c:v>
                </c:pt>
                <c:pt idx="1">
                  <c:v>Disagree</c:v>
                </c:pt>
                <c:pt idx="2">
                  <c:v>Agree</c:v>
                </c:pt>
                <c:pt idx="3">
                  <c:v>Strongly Agree</c:v>
                </c:pt>
              </c:strCache>
            </c:strRef>
          </c:xVal>
          <c:yVal>
            <c:numRef>
              <c:f>'Q8'!$B$73:$B$76</c:f>
              <c:numCache>
                <c:formatCode>General</c:formatCode>
                <c:ptCount val="4"/>
                <c:pt idx="0">
                  <c:v>1</c:v>
                </c:pt>
                <c:pt idx="1">
                  <c:v>5</c:v>
                </c:pt>
                <c:pt idx="2">
                  <c:v>68</c:v>
                </c:pt>
                <c:pt idx="3">
                  <c:v>48</c:v>
                </c:pt>
              </c:numCache>
            </c:numRef>
          </c:yVal>
          <c:smooth val="0"/>
          <c:extLst>
            <c:ext xmlns:c16="http://schemas.microsoft.com/office/drawing/2014/chart" uri="{C3380CC4-5D6E-409C-BE32-E72D297353CC}">
              <c16:uniqueId val="{00000004-4676-46E3-914E-F98E6E7EA0AD}"/>
            </c:ext>
          </c:extLst>
        </c:ser>
        <c:dLbls>
          <c:showLegendKey val="0"/>
          <c:showVal val="0"/>
          <c:showCatName val="0"/>
          <c:showSerName val="0"/>
          <c:showPercent val="0"/>
          <c:showBubbleSize val="0"/>
        </c:dLbls>
        <c:axId val="422075040"/>
        <c:axId val="422068808"/>
      </c:scatterChart>
      <c:valAx>
        <c:axId val="422075040"/>
        <c:scaling>
          <c:orientation val="minMax"/>
        </c:scaling>
        <c:delete val="1"/>
        <c:axPos val="b"/>
        <c:majorGridlines>
          <c:spPr>
            <a:ln w="9525" cap="flat" cmpd="sng" algn="ctr">
              <a:solidFill>
                <a:schemeClr val="tx1">
                  <a:lumMod val="15000"/>
                  <a:lumOff val="85000"/>
                </a:schemeClr>
              </a:solidFill>
              <a:round/>
            </a:ln>
            <a:effectLst/>
          </c:spPr>
        </c:majorGridlines>
        <c:majorTickMark val="none"/>
        <c:minorTickMark val="none"/>
        <c:tickLblPos val="nextTo"/>
        <c:crossAx val="422068808"/>
        <c:crosses val="autoZero"/>
        <c:crossBetween val="midCat"/>
      </c:valAx>
      <c:valAx>
        <c:axId val="4220688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br>
                  <a:rPr lang="en-GB"/>
                </a:br>
                <a:r>
                  <a:rPr lang="en-GB"/>
                  <a:t>No. of people</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2075040"/>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a:solidFill>
                  <a:sysClr val="windowText" lastClr="000000"/>
                </a:solidFill>
              </a:rPr>
              <a:t>Statement fifteen</a:t>
            </a:r>
            <a:r>
              <a:rPr lang="en-GB" sz="1100" baseline="0">
                <a:solidFill>
                  <a:sysClr val="windowText" lastClr="000000"/>
                </a:solidFill>
              </a:rPr>
              <a:t> - Reducing internet gambling marketing</a:t>
            </a:r>
            <a:endParaRPr lang="en-GB" sz="1100">
              <a:solidFill>
                <a:sysClr val="windowText" lastClr="000000"/>
              </a:solidFill>
            </a:endParaRP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5450935399542124"/>
          <c:y val="0.27251051893408135"/>
          <c:w val="0.69669933972824261"/>
          <c:h val="0.65035063113604485"/>
        </c:manualLayout>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dPt>
            <c:idx val="0"/>
            <c:marker>
              <c:symbol val="circle"/>
              <c:size val="5"/>
              <c:spPr>
                <a:solidFill>
                  <a:schemeClr val="accent4"/>
                </a:solidFill>
                <a:ln w="9525">
                  <a:solidFill>
                    <a:schemeClr val="accent1"/>
                  </a:solidFill>
                </a:ln>
                <a:effectLst/>
              </c:spPr>
            </c:marker>
            <c:bubble3D val="0"/>
            <c:extLst>
              <c:ext xmlns:c16="http://schemas.microsoft.com/office/drawing/2014/chart" uri="{C3380CC4-5D6E-409C-BE32-E72D297353CC}">
                <c16:uniqueId val="{00000000-E236-414C-97C1-1164D9052D5D}"/>
              </c:ext>
            </c:extLst>
          </c:dPt>
          <c:dPt>
            <c:idx val="1"/>
            <c:marker>
              <c:symbol val="circle"/>
              <c:size val="5"/>
              <c:spPr>
                <a:solidFill>
                  <a:srgbClr val="00B0F0"/>
                </a:solidFill>
                <a:ln w="9525">
                  <a:solidFill>
                    <a:schemeClr val="accent1"/>
                  </a:solidFill>
                </a:ln>
                <a:effectLst/>
              </c:spPr>
            </c:marker>
            <c:bubble3D val="0"/>
            <c:extLst>
              <c:ext xmlns:c16="http://schemas.microsoft.com/office/drawing/2014/chart" uri="{C3380CC4-5D6E-409C-BE32-E72D297353CC}">
                <c16:uniqueId val="{00000001-E236-414C-97C1-1164D9052D5D}"/>
              </c:ext>
            </c:extLst>
          </c:dPt>
          <c:dPt>
            <c:idx val="2"/>
            <c:marker>
              <c:symbol val="circle"/>
              <c:size val="5"/>
              <c:spPr>
                <a:solidFill>
                  <a:srgbClr val="FF0000"/>
                </a:solidFill>
                <a:ln w="9525">
                  <a:solidFill>
                    <a:schemeClr val="accent1"/>
                  </a:solidFill>
                </a:ln>
                <a:effectLst/>
              </c:spPr>
            </c:marker>
            <c:bubble3D val="0"/>
            <c:extLst>
              <c:ext xmlns:c16="http://schemas.microsoft.com/office/drawing/2014/chart" uri="{C3380CC4-5D6E-409C-BE32-E72D297353CC}">
                <c16:uniqueId val="{00000002-E236-414C-97C1-1164D9052D5D}"/>
              </c:ext>
            </c:extLst>
          </c:dPt>
          <c:dPt>
            <c:idx val="3"/>
            <c:marker>
              <c:symbol val="circle"/>
              <c:size val="5"/>
              <c:spPr>
                <a:solidFill>
                  <a:srgbClr val="7030A0"/>
                </a:solidFill>
                <a:ln w="9525">
                  <a:solidFill>
                    <a:schemeClr val="accent1"/>
                  </a:solidFill>
                </a:ln>
                <a:effectLst/>
              </c:spPr>
            </c:marker>
            <c:bubble3D val="0"/>
            <c:extLst>
              <c:ext xmlns:c16="http://schemas.microsoft.com/office/drawing/2014/chart" uri="{C3380CC4-5D6E-409C-BE32-E72D297353CC}">
                <c16:uniqueId val="{00000003-E236-414C-97C1-1164D9052D5D}"/>
              </c:ext>
            </c:extLst>
          </c:dPt>
          <c:xVal>
            <c:strRef>
              <c:f>'Q8'!$A$68:$A$71</c:f>
              <c:strCache>
                <c:ptCount val="4"/>
                <c:pt idx="0">
                  <c:v>Strongly Disagree</c:v>
                </c:pt>
                <c:pt idx="1">
                  <c:v>Disagree</c:v>
                </c:pt>
                <c:pt idx="2">
                  <c:v>Agree</c:v>
                </c:pt>
                <c:pt idx="3">
                  <c:v>Strongly Agree</c:v>
                </c:pt>
              </c:strCache>
            </c:strRef>
          </c:xVal>
          <c:yVal>
            <c:numRef>
              <c:f>'Q8'!$B$68:$B$71</c:f>
              <c:numCache>
                <c:formatCode>General</c:formatCode>
                <c:ptCount val="4"/>
                <c:pt idx="0">
                  <c:v>2</c:v>
                </c:pt>
                <c:pt idx="1">
                  <c:v>7</c:v>
                </c:pt>
                <c:pt idx="2">
                  <c:v>48</c:v>
                </c:pt>
                <c:pt idx="3">
                  <c:v>65</c:v>
                </c:pt>
              </c:numCache>
            </c:numRef>
          </c:yVal>
          <c:smooth val="0"/>
          <c:extLst>
            <c:ext xmlns:c16="http://schemas.microsoft.com/office/drawing/2014/chart" uri="{C3380CC4-5D6E-409C-BE32-E72D297353CC}">
              <c16:uniqueId val="{00000004-E236-414C-97C1-1164D9052D5D}"/>
            </c:ext>
          </c:extLst>
        </c:ser>
        <c:dLbls>
          <c:showLegendKey val="0"/>
          <c:showVal val="0"/>
          <c:showCatName val="0"/>
          <c:showSerName val="0"/>
          <c:showPercent val="0"/>
          <c:showBubbleSize val="0"/>
        </c:dLbls>
        <c:axId val="316778776"/>
        <c:axId val="316779432"/>
      </c:scatterChart>
      <c:valAx>
        <c:axId val="316778776"/>
        <c:scaling>
          <c:orientation val="minMax"/>
        </c:scaling>
        <c:delete val="1"/>
        <c:axPos val="b"/>
        <c:majorGridlines>
          <c:spPr>
            <a:ln w="9525" cap="flat" cmpd="sng" algn="ctr">
              <a:solidFill>
                <a:schemeClr val="tx1">
                  <a:lumMod val="15000"/>
                  <a:lumOff val="85000"/>
                </a:schemeClr>
              </a:solidFill>
              <a:round/>
            </a:ln>
            <a:effectLst/>
          </c:spPr>
        </c:majorGridlines>
        <c:majorTickMark val="none"/>
        <c:minorTickMark val="none"/>
        <c:tickLblPos val="nextTo"/>
        <c:crossAx val="316779432"/>
        <c:crosses val="autoZero"/>
        <c:crossBetween val="midCat"/>
      </c:valAx>
      <c:valAx>
        <c:axId val="3167794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a:t>
                </a:r>
                <a:br>
                  <a:rPr lang="en-GB"/>
                </a:br>
                <a:r>
                  <a:rPr lang="en-GB"/>
                  <a:t>No. of people</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6778776"/>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1" i="0" u="none" strike="noStrike" baseline="0">
                <a:solidFill>
                  <a:sysClr val="windowText" lastClr="000000"/>
                </a:solidFill>
                <a:effectLst/>
              </a:rPr>
              <a:t>Figure 4.14 </a:t>
            </a:r>
            <a:r>
              <a:rPr lang="en-GB" sz="1400" b="0" i="0" u="none" strike="noStrike" baseline="0">
                <a:solidFill>
                  <a:sysClr val="windowText" lastClr="000000"/>
                </a:solidFill>
                <a:effectLst/>
              </a:rPr>
              <a:t>Question Nine Analysis</a:t>
            </a:r>
            <a:r>
              <a:rPr lang="en-GB" sz="1400" b="0" i="0" u="none" strike="noStrike" baseline="0">
                <a:effectLst/>
              </a:rPr>
              <a:t/>
            </a:r>
            <a:br>
              <a:rPr lang="en-GB" sz="1400" b="0" i="0" u="none" strike="noStrike" baseline="0">
                <a:effectLst/>
              </a:rPr>
            </a:br>
            <a:r>
              <a:rPr lang="en-GB" sz="1400" b="0" i="0" u="none" strike="noStrike" baseline="0">
                <a:effectLst/>
              </a:rPr>
              <a:t>Do you feel that global gambling operators such as the ones you choose to game on value the psychological welfare of consumers?</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'Q9'!$A$1:$A$4</c:f>
              <c:strCache>
                <c:ptCount val="4"/>
                <c:pt idx="0">
                  <c:v>Yes</c:v>
                </c:pt>
                <c:pt idx="1">
                  <c:v>No</c:v>
                </c:pt>
                <c:pt idx="2">
                  <c:v>Cannot Say</c:v>
                </c:pt>
                <c:pt idx="3">
                  <c:v>Other</c:v>
                </c:pt>
              </c:strCache>
            </c:strRef>
          </c:cat>
          <c:val>
            <c:numRef>
              <c:f>'Q9'!$B$1:$B$4</c:f>
              <c:numCache>
                <c:formatCode>General</c:formatCode>
                <c:ptCount val="4"/>
                <c:pt idx="0">
                  <c:v>8</c:v>
                </c:pt>
                <c:pt idx="1">
                  <c:v>100</c:v>
                </c:pt>
                <c:pt idx="2">
                  <c:v>9</c:v>
                </c:pt>
                <c:pt idx="3">
                  <c:v>5</c:v>
                </c:pt>
              </c:numCache>
            </c:numRef>
          </c:val>
          <c:extLst>
            <c:ext xmlns:c16="http://schemas.microsoft.com/office/drawing/2014/chart" uri="{C3380CC4-5D6E-409C-BE32-E72D297353CC}">
              <c16:uniqueId val="{00000000-B862-4CDE-8229-F39733ACB966}"/>
            </c:ext>
          </c:extLst>
        </c:ser>
        <c:dLbls>
          <c:showLegendKey val="0"/>
          <c:showVal val="0"/>
          <c:showCatName val="0"/>
          <c:showSerName val="0"/>
          <c:showPercent val="0"/>
          <c:showBubbleSize val="0"/>
        </c:dLbls>
        <c:gapWidth val="219"/>
        <c:overlap val="-27"/>
        <c:axId val="428172760"/>
        <c:axId val="428168496"/>
      </c:barChart>
      <c:catAx>
        <c:axId val="42817276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Catagories</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8168496"/>
        <c:crosses val="autoZero"/>
        <c:auto val="1"/>
        <c:lblAlgn val="ctr"/>
        <c:lblOffset val="100"/>
        <c:noMultiLvlLbl val="0"/>
      </c:catAx>
      <c:valAx>
        <c:axId val="4281684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8172760"/>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Standard</a:t>
            </a:r>
            <a:r>
              <a:rPr lang="en-GB" baseline="0"/>
              <a:t> Deviation Curve </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7.3434063985245088E-2"/>
          <c:y val="0.17171296296296296"/>
          <c:w val="0.74202292281032434"/>
          <c:h val="0.72088764946048411"/>
        </c:manualLayout>
      </c:layout>
      <c:scatterChart>
        <c:scatterStyle val="smoothMarker"/>
        <c:varyColors val="0"/>
        <c:ser>
          <c:idx val="0"/>
          <c:order val="0"/>
          <c:spPr>
            <a:ln w="19050" cap="rnd">
              <a:solidFill>
                <a:schemeClr val="accent1"/>
              </a:solidFill>
              <a:round/>
            </a:ln>
            <a:effectLst/>
          </c:spPr>
          <c:marker>
            <c:symbol val="none"/>
          </c:marker>
          <c:xVal>
            <c:strRef>
              <c:f>'Q9'!$A$1:$A$4</c:f>
              <c:strCache>
                <c:ptCount val="4"/>
                <c:pt idx="0">
                  <c:v>Yes</c:v>
                </c:pt>
                <c:pt idx="1">
                  <c:v>No</c:v>
                </c:pt>
                <c:pt idx="2">
                  <c:v>Cannot Say</c:v>
                </c:pt>
                <c:pt idx="3">
                  <c:v>Other</c:v>
                </c:pt>
              </c:strCache>
            </c:strRef>
          </c:xVal>
          <c:yVal>
            <c:numRef>
              <c:f>'Q9'!$B$1:$B$4</c:f>
              <c:numCache>
                <c:formatCode>General</c:formatCode>
                <c:ptCount val="4"/>
                <c:pt idx="0">
                  <c:v>8</c:v>
                </c:pt>
                <c:pt idx="1">
                  <c:v>100</c:v>
                </c:pt>
                <c:pt idx="2">
                  <c:v>9</c:v>
                </c:pt>
                <c:pt idx="3">
                  <c:v>5</c:v>
                </c:pt>
              </c:numCache>
            </c:numRef>
          </c:yVal>
          <c:smooth val="1"/>
          <c:extLst>
            <c:ext xmlns:c16="http://schemas.microsoft.com/office/drawing/2014/chart" uri="{C3380CC4-5D6E-409C-BE32-E72D297353CC}">
              <c16:uniqueId val="{00000000-F295-4758-89C1-1DC73E6065BD}"/>
            </c:ext>
          </c:extLst>
        </c:ser>
        <c:dLbls>
          <c:showLegendKey val="0"/>
          <c:showVal val="0"/>
          <c:showCatName val="0"/>
          <c:showSerName val="0"/>
          <c:showPercent val="0"/>
          <c:showBubbleSize val="0"/>
        </c:dLbls>
        <c:axId val="381873984"/>
        <c:axId val="381872016"/>
      </c:scatterChart>
      <c:valAx>
        <c:axId val="381873984"/>
        <c:scaling>
          <c:orientation val="minMax"/>
        </c:scaling>
        <c:delete val="0"/>
        <c:axPos val="b"/>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1872016"/>
        <c:crosses val="autoZero"/>
        <c:crossBetween val="midCat"/>
      </c:valAx>
      <c:valAx>
        <c:axId val="381872016"/>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1873984"/>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'Q10'!$B$2</c:f>
              <c:strCache>
                <c:ptCount val="1"/>
                <c:pt idx="0">
                  <c:v>Agree</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strRef>
              <c:f>'Q10'!$A$3:$A$7</c:f>
              <c:strCache>
                <c:ptCount val="5"/>
                <c:pt idx="0">
                  <c:v>Global gambling operators value the psychological welfare of consumers.</c:v>
                </c:pt>
                <c:pt idx="1">
                  <c:v>Global gambling operators have financial concerns with problem gamblers.</c:v>
                </c:pt>
                <c:pt idx="2">
                  <c:v>Global gambling operators could do more to help problem gambling.</c:v>
                </c:pt>
                <c:pt idx="3">
                  <c:v>Global gambling operators see responsible gambling campaigns as a disruption to their business model.</c:v>
                </c:pt>
                <c:pt idx="4">
                  <c:v>Global gambling operators commitment to responsible gambling campaigns is just a window dressing attempt and all that they truly value is financial gain.</c:v>
                </c:pt>
              </c:strCache>
            </c:strRef>
          </c:xVal>
          <c:yVal>
            <c:numRef>
              <c:f>'Q10'!$B$3:$B$7</c:f>
              <c:numCache>
                <c:formatCode>General</c:formatCode>
                <c:ptCount val="5"/>
                <c:pt idx="0">
                  <c:v>15</c:v>
                </c:pt>
                <c:pt idx="1">
                  <c:v>8</c:v>
                </c:pt>
                <c:pt idx="2">
                  <c:v>118</c:v>
                </c:pt>
                <c:pt idx="3">
                  <c:v>117</c:v>
                </c:pt>
                <c:pt idx="4">
                  <c:v>118</c:v>
                </c:pt>
              </c:numCache>
            </c:numRef>
          </c:yVal>
          <c:smooth val="1"/>
          <c:extLst>
            <c:ext xmlns:c16="http://schemas.microsoft.com/office/drawing/2014/chart" uri="{C3380CC4-5D6E-409C-BE32-E72D297353CC}">
              <c16:uniqueId val="{00000000-036B-4657-97AD-857901C34BCA}"/>
            </c:ext>
          </c:extLst>
        </c:ser>
        <c:dLbls>
          <c:showLegendKey val="0"/>
          <c:showVal val="0"/>
          <c:showCatName val="0"/>
          <c:showSerName val="0"/>
          <c:showPercent val="0"/>
          <c:showBubbleSize val="0"/>
        </c:dLbls>
        <c:axId val="428165872"/>
        <c:axId val="428156688"/>
      </c:scatterChart>
      <c:valAx>
        <c:axId val="428165872"/>
        <c:scaling>
          <c:orientation val="minMax"/>
        </c:scaling>
        <c:delete val="0"/>
        <c:axPos val="b"/>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8156688"/>
        <c:crosses val="autoZero"/>
        <c:crossBetween val="midCat"/>
      </c:valAx>
      <c:valAx>
        <c:axId val="428156688"/>
        <c:scaling>
          <c:orientation val="minMax"/>
        </c:scaling>
        <c:delete val="0"/>
        <c:axPos val="l"/>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8165872"/>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'Q10'!$C$2</c:f>
              <c:strCache>
                <c:ptCount val="1"/>
                <c:pt idx="0">
                  <c:v>Disagree</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strRef>
              <c:f>'Q10'!$A$3:$A$7</c:f>
              <c:strCache>
                <c:ptCount val="5"/>
                <c:pt idx="0">
                  <c:v>Global gambling operators value the psychological welfare of consumers.</c:v>
                </c:pt>
                <c:pt idx="1">
                  <c:v>Global gambling operators have financial concerns with problem gamblers.</c:v>
                </c:pt>
                <c:pt idx="2">
                  <c:v>Global gambling operators could do more to help problem gambling.</c:v>
                </c:pt>
                <c:pt idx="3">
                  <c:v>Global gambling operators see responsible gambling campaigns as a disruption to their business model.</c:v>
                </c:pt>
                <c:pt idx="4">
                  <c:v>Global gambling operators commitment to responsible gambling campaigns is just a window dressing attempt and all that they truly value is financial gain.</c:v>
                </c:pt>
              </c:strCache>
            </c:strRef>
          </c:xVal>
          <c:yVal>
            <c:numRef>
              <c:f>'Q10'!$C$3:$C$7</c:f>
              <c:numCache>
                <c:formatCode>General</c:formatCode>
                <c:ptCount val="5"/>
                <c:pt idx="0">
                  <c:v>106</c:v>
                </c:pt>
                <c:pt idx="1">
                  <c:v>113</c:v>
                </c:pt>
                <c:pt idx="2">
                  <c:v>4</c:v>
                </c:pt>
                <c:pt idx="3">
                  <c:v>4</c:v>
                </c:pt>
                <c:pt idx="4">
                  <c:v>4</c:v>
                </c:pt>
              </c:numCache>
            </c:numRef>
          </c:yVal>
          <c:smooth val="1"/>
          <c:extLst>
            <c:ext xmlns:c16="http://schemas.microsoft.com/office/drawing/2014/chart" uri="{C3380CC4-5D6E-409C-BE32-E72D297353CC}">
              <c16:uniqueId val="{00000000-2633-48A8-93FE-8BC6342F98C9}"/>
            </c:ext>
          </c:extLst>
        </c:ser>
        <c:dLbls>
          <c:showLegendKey val="0"/>
          <c:showVal val="0"/>
          <c:showCatName val="0"/>
          <c:showSerName val="0"/>
          <c:showPercent val="0"/>
          <c:showBubbleSize val="0"/>
        </c:dLbls>
        <c:axId val="424930784"/>
        <c:axId val="424928816"/>
      </c:scatterChart>
      <c:valAx>
        <c:axId val="424930784"/>
        <c:scaling>
          <c:orientation val="minMax"/>
        </c:scaling>
        <c:delete val="0"/>
        <c:axPos val="b"/>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4928816"/>
        <c:crosses val="autoZero"/>
        <c:crossBetween val="midCat"/>
      </c:valAx>
      <c:valAx>
        <c:axId val="424928816"/>
        <c:scaling>
          <c:orientation val="minMax"/>
        </c:scaling>
        <c:delete val="0"/>
        <c:axPos val="l"/>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4930784"/>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2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2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0.56979</cdr:x>
      <cdr:y>0.31076</cdr:y>
    </cdr:from>
    <cdr:to>
      <cdr:x>0.56979</cdr:x>
      <cdr:y>0.89063</cdr:y>
    </cdr:to>
    <cdr:cxnSp macro="">
      <cdr:nvCxnSpPr>
        <cdr:cNvPr id="3" name="Straight Connector 2">
          <a:extLst xmlns:a="http://schemas.openxmlformats.org/drawingml/2006/main">
            <a:ext uri="{FF2B5EF4-FFF2-40B4-BE49-F238E27FC236}">
              <a16:creationId xmlns:a16="http://schemas.microsoft.com/office/drawing/2014/main" id="{5DF12521-7020-41A6-B58C-D2EB6F8A3B7A}"/>
            </a:ext>
          </a:extLst>
        </cdr:cNvPr>
        <cdr:cNvCxnSpPr/>
      </cdr:nvCxnSpPr>
      <cdr:spPr>
        <a:xfrm xmlns:a="http://schemas.openxmlformats.org/drawingml/2006/main">
          <a:off x="2605088" y="852488"/>
          <a:ext cx="0" cy="1590675"/>
        </a:xfrm>
        <a:prstGeom xmlns:a="http://schemas.openxmlformats.org/drawingml/2006/main" prst="line">
          <a:avLst/>
        </a:prstGeom>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userShape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5F49469F0FC445AABDA2E4D02FAFCA64"/>
        <w:category>
          <w:name w:val="General"/>
          <w:gallery w:val="placeholder"/>
        </w:category>
        <w:types>
          <w:type w:val="bbPlcHdr"/>
        </w:types>
        <w:behaviors>
          <w:behavior w:val="content"/>
        </w:behaviors>
        <w:guid w:val="{9FE2A93E-EE7A-49A4-8274-3E7952504BAC}"/>
      </w:docPartPr>
      <w:docPartBody>
        <w:p w:rsidR="004C05F8" w:rsidRDefault="004C05F8" w:rsidP="004C05F8">
          <w:pPr>
            <w:pStyle w:val="5F49469F0FC445AABDA2E4D02FAFCA64"/>
          </w:pPr>
          <w:r>
            <w:rPr>
              <w:rFonts w:asciiTheme="majorHAnsi" w:eastAsiaTheme="majorEastAsia" w:hAnsiTheme="majorHAnsi" w:cstheme="majorBidi"/>
              <w:color w:val="5B9BD5" w:themeColor="accent1"/>
              <w:sz w:val="88"/>
              <w:szCs w:val="88"/>
            </w:rPr>
            <w:t>[Document title]</w:t>
          </w:r>
        </w:p>
      </w:docPartBody>
    </w:docPart>
    <w:docPart>
      <w:docPartPr>
        <w:name w:val="500F2087580F4BBC84C306B46A265080"/>
        <w:category>
          <w:name w:val="General"/>
          <w:gallery w:val="placeholder"/>
        </w:category>
        <w:types>
          <w:type w:val="bbPlcHdr"/>
        </w:types>
        <w:behaviors>
          <w:behavior w:val="content"/>
        </w:behaviors>
        <w:guid w:val="{0F564860-28AA-4348-BD09-3D404F47FCB1}"/>
      </w:docPartPr>
      <w:docPartBody>
        <w:p w:rsidR="004C05F8" w:rsidRDefault="004C05F8" w:rsidP="004C05F8">
          <w:pPr>
            <w:pStyle w:val="500F2087580F4BBC84C306B46A265080"/>
          </w:pPr>
          <w:r>
            <w:rPr>
              <w:color w:val="5B9BD5"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mbria Math">
    <w:panose1 w:val="02040503050406030204"/>
    <w:charset w:val="00"/>
    <w:family w:val="roman"/>
    <w:pitch w:val="variable"/>
    <w:sig w:usb0="E00002FF" w:usb1="42002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C05F8"/>
    <w:rsid w:val="00260FCC"/>
    <w:rsid w:val="004542DC"/>
    <w:rsid w:val="004C05F8"/>
    <w:rsid w:val="005F0BEB"/>
    <w:rsid w:val="00704D97"/>
    <w:rsid w:val="008253AE"/>
    <w:rsid w:val="00881C67"/>
    <w:rsid w:val="00956FA5"/>
    <w:rsid w:val="00AB66D0"/>
    <w:rsid w:val="00DD33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6FA1F520EA04A3393F3B79EE038A947">
    <w:name w:val="A6FA1F520EA04A3393F3B79EE038A947"/>
    <w:rsid w:val="004C05F8"/>
  </w:style>
  <w:style w:type="paragraph" w:customStyle="1" w:styleId="5F49469F0FC445AABDA2E4D02FAFCA64">
    <w:name w:val="5F49469F0FC445AABDA2E4D02FAFCA64"/>
    <w:rsid w:val="004C05F8"/>
  </w:style>
  <w:style w:type="paragraph" w:customStyle="1" w:styleId="33EF048F93504A5696A84B8E8130B289">
    <w:name w:val="33EF048F93504A5696A84B8E8130B289"/>
    <w:rsid w:val="004C05F8"/>
  </w:style>
  <w:style w:type="paragraph" w:customStyle="1" w:styleId="500F2087580F4BBC84C306B46A265080">
    <w:name w:val="500F2087580F4BBC84C306B46A265080"/>
    <w:rsid w:val="004C05F8"/>
  </w:style>
  <w:style w:type="paragraph" w:customStyle="1" w:styleId="288EE96C8C3D48CC9F25E4B41D89861A">
    <w:name w:val="288EE96C8C3D48CC9F25E4B41D89861A"/>
    <w:rsid w:val="004C05F8"/>
  </w:style>
  <w:style w:type="paragraph" w:customStyle="1" w:styleId="A7D035FC38EE4E898EB19AA9881E2B24">
    <w:name w:val="A7D035FC38EE4E898EB19AA9881E2B24"/>
    <w:rsid w:val="004C05F8"/>
  </w:style>
  <w:style w:type="paragraph" w:customStyle="1" w:styleId="4CEE5C20563C461A8768A4C84F30E0D3">
    <w:name w:val="4CEE5C20563C461A8768A4C84F30E0D3"/>
    <w:rsid w:val="004C05F8"/>
  </w:style>
  <w:style w:type="paragraph" w:customStyle="1" w:styleId="BD7DC34CC4484F02AF8450A86498A9CA">
    <w:name w:val="BD7DC34CC4484F02AF8450A86498A9CA"/>
    <w:rsid w:val="004C05F8"/>
  </w:style>
  <w:style w:type="paragraph" w:customStyle="1" w:styleId="6555729C849745649DDD8CC76FF0F60B">
    <w:name w:val="6555729C849745649DDD8CC76FF0F60B"/>
    <w:rsid w:val="004C05F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MBA Dissertation</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Bow53</b:Tag>
    <b:SourceType>Book</b:SourceType>
    <b:Guid>{5F3C12DB-963F-4577-AC48-9E14E3BB6387}</b:Guid>
    <b:Title>The Social Responsibility of the Businessman</b:Title>
    <b:Year>1953</b:Year>
    <b:City>Iowa City </b:City>
    <b:Publisher>Iowa University Press</b:Publisher>
    <b:Author>
      <b:Author>
        <b:NameList>
          <b:Person>
            <b:Last>Bowen</b:Last>
            <b:Middle>Howard</b:Middle>
            <b:First>R.</b:First>
          </b:Person>
        </b:NameList>
      </b:Author>
    </b:Author>
    <b:RefOrder>43</b:RefOrder>
  </b:Source>
  <b:Source>
    <b:Tag>Fre84</b:Tag>
    <b:SourceType>Book</b:SourceType>
    <b:Guid>{1E15D327-222D-4645-82D7-BBB8D623FE38}</b:Guid>
    <b:Title>Strategic Management: A Stakeholder Approach</b:Title>
    <b:Year>1984</b:Year>
    <b:City>Cambridge</b:City>
    <b:Publisher>Cambridge University Press</b:Publisher>
    <b:Author>
      <b:Author>
        <b:NameList>
          <b:Person>
            <b:Last>Freeman</b:Last>
            <b:Middle>Edward</b:Middle>
            <b:First>R.</b:First>
          </b:Person>
        </b:NameList>
      </b:Author>
    </b:Author>
    <b:RefOrder>12</b:RefOrder>
  </b:Source>
  <b:Source>
    <b:Tag>Dah08</b:Tag>
    <b:SourceType>JournalArticle</b:SourceType>
    <b:Guid>{8C4DE291-2B50-4143-A055-E63B968E4D70}</b:Guid>
    <b:Title>How corporate social responsibility is defined: an analysis of 37 definitions</b:Title>
    <b:Year>2008</b:Year>
    <b:JournalName>Corporate social responsibility and environmental management</b:JournalName>
    <b:Pages>1-13</b:Pages>
    <b:Author>
      <b:Author>
        <b:NameList>
          <b:Person>
            <b:Last>Dahlsrud</b:Last>
            <b:First>Alexander</b:First>
          </b:Person>
        </b:NameList>
      </b:Author>
    </b:Author>
    <b:Volume>15</b:Volume>
    <b:Issue>1</b:Issue>
    <b:RefOrder>37</b:RefOrder>
  </b:Source>
  <b:Source>
    <b:Tag>Con16</b:Tag>
    <b:SourceType>Report</b:SourceType>
    <b:Guid>{5781B914-3E4F-408E-875D-14F21AB30698}</b:Guid>
    <b:Title>CSR Window Dressing</b:Title>
    <b:Year>2016</b:Year>
    <b:Pages>1-3</b:Pages>
    <b:Publisher>CopyLab Inc</b:Publisher>
    <b:City>Boston</b:City>
    <b:Author>
      <b:Author>
        <b:NameList>
          <b:Person>
            <b:Last>Connolly</b:Last>
            <b:First>John</b:First>
          </b:Person>
        </b:NameList>
      </b:Author>
    </b:Author>
    <b:RefOrder>14</b:RefOrder>
  </b:Source>
  <b:Source>
    <b:Tag>Mar03</b:Tag>
    <b:SourceType>JournalArticle</b:SourceType>
    <b:Guid>{3974D1CA-16A5-4A90-B421-2662B66CBF0B}</b:Guid>
    <b:Title>Multiple levels of corporate sustainability</b:Title>
    <b:Year>2003</b:Year>
    <b:JournalName>Journal of Business Ethics</b:JournalName>
    <b:Pages>107-119</b:Pages>
    <b:Author>
      <b:Author>
        <b:NameList>
          <b:Person>
            <b:Last>Marrewijk</b:Last>
            <b:Middle>Van</b:Middle>
            <b:First>Marcel</b:First>
          </b:Person>
          <b:Person>
            <b:Last>Werre</b:Last>
            <b:First>Marco</b:First>
          </b:Person>
        </b:NameList>
      </b:Author>
    </b:Author>
    <b:Volume>44</b:Volume>
    <b:Issue>3</b:Issue>
    <b:RefOrder>11</b:RefOrder>
  </b:Source>
  <b:Source>
    <b:Tag>Cos13</b:Tag>
    <b:SourceType>JournalArticle</b:SourceType>
    <b:Guid>{1335E0F6-8A80-48C2-8E61-C1C5CF74FB3A}</b:Guid>
    <b:Title>A multidimensional approach for CSR assessment: The importance of stakeholder perception</b:Title>
    <b:JournalName>Expert Systems with Applications</b:JournalName>
    <b:Year>2013</b:Year>
    <b:Pages>150-161</b:Pages>
    <b:Author>
      <b:Author>
        <b:NameList>
          <b:Person>
            <b:Last>Costa</b:Last>
            <b:First>Roberta</b:First>
          </b:Person>
          <b:Person>
            <b:Last>Menichini</b:Last>
            <b:First>Tamara</b:First>
          </b:Person>
        </b:NameList>
      </b:Author>
    </b:Author>
    <b:Volume>40</b:Volume>
    <b:Issue>1</b:Issue>
    <b:RefOrder>27</b:RefOrder>
  </b:Source>
  <b:Source>
    <b:Tag>Tur14</b:Tag>
    <b:SourceType>JournalArticle</b:SourceType>
    <b:Guid>{3D08D16F-BCE0-40F2-8460-26A74CAA2F89}</b:Guid>
    <b:Title>The impact of corporate soial responsibility factors on the competitiveness of small and medium sized enterprises</b:Title>
    <b:JournalName>Journal of Economic and Management Sciences</b:JournalName>
    <b:Year>2014</b:Year>
    <b:Pages>157-172</b:Pages>
    <b:Author>
      <b:Author>
        <b:NameList>
          <b:Person>
            <b:Last>Turyakira</b:Last>
            <b:First>P.</b:First>
          </b:Person>
          <b:Person>
            <b:Last>Venter</b:Last>
            <b:First>E.</b:First>
          </b:Person>
          <b:Person>
            <b:Last>Smith</b:Last>
            <b:First>E.</b:First>
          </b:Person>
        </b:NameList>
      </b:Author>
    </b:Author>
    <b:Volume>17</b:Volume>
    <b:Issue>2</b:Issue>
    <b:RefOrder>44</b:RefOrder>
  </b:Source>
  <b:Source>
    <b:Tag>Wil</b:Tag>
    <b:SourceType>JournalArticle</b:SourceType>
    <b:Guid>{9E02B110-1F2A-43C2-9AA0-9EEF1959C63B}</b:Guid>
    <b:Title>Islamic and Ethical Finance</b:Title>
    <b:JournalName>International Journal of Social Economics</b:JournalName>
    <b:Author>
      <b:Author>
        <b:NameList>
          <b:Person>
            <b:Last>Wilson</b:Last>
            <b:First>Rodney</b:First>
          </b:Person>
        </b:NameList>
      </b:Author>
    </b:Author>
    <b:Year>1997</b:Year>
    <b:Pages>1325-1342</b:Pages>
    <b:Volume>24</b:Volume>
    <b:Issue>11</b:Issue>
    <b:RefOrder>45</b:RefOrder>
  </b:Source>
  <b:Source>
    <b:Tag>Smi07</b:Tag>
    <b:SourceType>JournalArticle</b:SourceType>
    <b:Guid>{F720F720-2BC4-4A39-BB5B-8806ECADFD9D}</b:Guid>
    <b:Title>Making the case for the competitive advantage of corporate social responsibility</b:Title>
    <b:JournalName>Business Strategy Series</b:JournalName>
    <b:Year>2007</b:Year>
    <b:Pages>186-195</b:Pages>
    <b:Author>
      <b:Author>
        <b:NameList>
          <b:Person>
            <b:Last>Smith</b:Last>
            <b:Middle>D.</b:Middle>
            <b:First>Alan</b:First>
          </b:Person>
        </b:NameList>
      </b:Author>
    </b:Author>
    <b:Volume>8</b:Volume>
    <b:Issue>3</b:Issue>
    <b:RefOrder>46</b:RefOrder>
  </b:Source>
  <b:Source>
    <b:Tag>Mit83</b:Tag>
    <b:SourceType>Book</b:SourceType>
    <b:Guid>{EA123B2F-C4FA-4133-819E-B1AEDB9F8AC8}</b:Guid>
    <b:Title>Stakeholders of the Organizaional Mind</b:Title>
    <b:Year>1983</b:Year>
    <b:City>San Fransisco</b:City>
    <b:Publisher>Jossey-Bass Publishers</b:Publisher>
    <b:Author>
      <b:Author>
        <b:NameList>
          <b:Person>
            <b:Last>Mitroff</b:Last>
            <b:First>Ian</b:First>
          </b:Person>
        </b:NameList>
      </b:Author>
    </b:Author>
    <b:RefOrder>47</b:RefOrder>
  </b:Source>
  <b:Source>
    <b:Tag>Ren09</b:Tag>
    <b:SourceType>Book</b:SourceType>
    <b:Guid>{7952EB0B-79CE-4DCF-8000-B3E4DF985A13}</b:Guid>
    <b:Title>Responsibility, Ethics and Legitimacy of Corporations</b:Title>
    <b:Year>2009</b:Year>
    <b:City>Copenhagen</b:City>
    <b:Publisher>Copenhagen Business School Press</b:Publisher>
    <b:Author>
      <b:Author>
        <b:NameList>
          <b:Person>
            <b:Last>Rendtorff</b:Last>
            <b:Middle>Dahl</b:Middle>
            <b:First>Jacob</b:First>
          </b:Person>
        </b:NameList>
      </b:Author>
    </b:Author>
    <b:RefOrder>48</b:RefOrder>
  </b:Source>
  <b:Source>
    <b:Tag>Bla10</b:Tag>
    <b:SourceType>Book</b:SourceType>
    <b:Guid>{0CDD8E48-7BF7-403B-B43E-550CD5B58816}</b:Guid>
    <b:Title>Rethinking Corporate Governance: From Shareholder Value to Stakeholder Value</b:Title>
    <b:Year>2010</b:Year>
    <b:City>The Netherlands</b:City>
    <b:Publisher>Kluwer Law International </b:Publisher>
    <b:Author>
      <b:Author>
        <b:NameList>
          <b:Person>
            <b:Last>Blanpain</b:Last>
            <b:First>Roger</b:First>
          </b:Person>
          <b:Person>
            <b:Last>Bromwich</b:Last>
            <b:First>William</b:First>
          </b:Person>
          <b:Person>
            <b:Last>Rymkevich</b:Last>
            <b:First>Olga</b:First>
          </b:Person>
        </b:NameList>
      </b:Author>
    </b:Author>
    <b:RefOrder>49</b:RefOrder>
  </b:Source>
  <b:Source>
    <b:Tag>Don95</b:Tag>
    <b:SourceType>JournalArticle</b:SourceType>
    <b:Guid>{BBE0611C-B2A4-416D-9F79-ED60A81E4AED}</b:Guid>
    <b:Title>The stakeholder theory of the modern corporation: Concepts, evidence, implications.</b:Title>
    <b:JournalName>Academy of Management Review</b:JournalName>
    <b:Year>1995</b:Year>
    <b:Pages>65-91</b:Pages>
    <b:Author>
      <b:Author>
        <b:NameList>
          <b:Person>
            <b:Last>Donaldson</b:Last>
            <b:First>T.</b:First>
          </b:Person>
          <b:Person>
            <b:Last>Preston</b:Last>
            <b:First>L.</b:First>
          </b:Person>
        </b:NameList>
      </b:Author>
    </b:Author>
    <b:RefOrder>50</b:RefOrder>
  </b:Source>
  <b:Source>
    <b:Tag>Bou16</b:Tag>
    <b:SourceType>Book</b:SourceType>
    <b:Guid>{610722EC-49BB-4A4B-B103-306CB842F348}</b:Guid>
    <b:Title>Stakeholder Theory: A Model for Strategic Management</b:Title>
    <b:Year>2016</b:Year>
    <b:City>Switzerland </b:City>
    <b:Publisher>Spring Publishing International </b:Publisher>
    <b:Author>
      <b:Author>
        <b:NameList>
          <b:Person>
            <b:Last>Boucher</b:Last>
            <b:Middle>Maria</b:Middle>
            <b:First>Bonnafous</b:First>
          </b:Person>
          <b:Person>
            <b:Last>Rendtorff</b:Last>
            <b:Middle>Dahl</b:Middle>
            <b:First>Jacob</b:First>
          </b:Person>
        </b:NameList>
      </b:Author>
    </b:Author>
    <b:RefOrder>51</b:RefOrder>
  </b:Source>
  <b:Source>
    <b:Tag>Fre98</b:Tag>
    <b:SourceType>Book</b:SourceType>
    <b:Guid>{D9E9E92C-E5E7-44A2-A95D-1000E7A8A7F6}</b:Guid>
    <b:Title>Corporate Strategy and the search for ethics</b:Title>
    <b:Year>1998</b:Year>
    <b:City>Englewood Cliffs</b:City>
    <b:Publisher>Prentice-Hall</b:Publisher>
    <b:Author>
      <b:Author>
        <b:NameList>
          <b:Person>
            <b:Last>Freeman</b:Last>
            <b:Middle>E.</b:Middle>
            <b:First>R.</b:First>
          </b:Person>
          <b:Person>
            <b:Last>Gilbert</b:Last>
            <b:Middle>R.</b:Middle>
            <b:First>D.</b:First>
          </b:Person>
        </b:NameList>
      </b:Author>
    </b:Author>
    <b:RefOrder>52</b:RefOrder>
  </b:Source>
  <b:Source>
    <b:Tag>Phi03</b:Tag>
    <b:SourceType>Book</b:SourceType>
    <b:Guid>{CA1315B6-0BD7-4F9C-BBF6-2B11EE2D76F9}</b:Guid>
    <b:Title>Stakeholder Theory and Organizational Ethics</b:Title>
    <b:Year>2003</b:Year>
    <b:City>San Fransisco</b:City>
    <b:Publisher>Berrett-Koehler Publishing Limited</b:Publisher>
    <b:Author>
      <b:Author>
        <b:NameList>
          <b:Person>
            <b:Last>Phillips</b:Last>
            <b:First>Robert</b:First>
          </b:Person>
        </b:NameList>
      </b:Author>
    </b:Author>
    <b:RefOrder>16</b:RefOrder>
  </b:Source>
  <b:Source>
    <b:Tag>Wal02</b:Tag>
    <b:SourceType>Book</b:SourceType>
    <b:Guid>{AD5AB873-8ABC-4E7E-831F-B717D73DC172}</b:Guid>
    <b:Title>Stakeholder Power</b:Title>
    <b:Year>2002</b:Year>
    <b:City>New York </b:City>
    <b:Publisher>Basic Books</b:Publisher>
    <b:Author>
      <b:Author>
        <b:NameList>
          <b:Person>
            <b:Last>Walker</b:Last>
            <b:First>Steven</b:First>
          </b:Person>
        </b:NameList>
      </b:Author>
    </b:Author>
    <b:RefOrder>53</b:RefOrder>
  </b:Source>
  <b:Source>
    <b:Tag>Pod08</b:Tag>
    <b:SourceType>JournalArticle</b:SourceType>
    <b:Guid>{91DEFF59-08A8-4940-A7CC-3E18ED8C5F25}</b:Guid>
    <b:Title>Communicating Corporate Social Responsibility</b:Title>
    <b:Year>2008</b:Year>
    <b:JournalName>Journal of Marketing Communications</b:JournalName>
    <b:Pages>75-81</b:Pages>
    <b:Volume>14</b:Volume>
    <b:Issue>2</b:Issue>
    <b:Author>
      <b:Author>
        <b:NameList>
          <b:Person>
            <b:Last>Podnar</b:Last>
            <b:First>Klement</b:First>
          </b:Person>
        </b:NameList>
      </b:Author>
    </b:Author>
    <b:RefOrder>54</b:RefOrder>
  </b:Source>
  <b:Source>
    <b:Tag>Sch07</b:Tag>
    <b:SourceType>JournalArticle</b:SourceType>
    <b:Guid>{6B5992A5-DB4D-4FAA-8B73-8FA1F720CCF1}</b:Guid>
    <b:Title>Toward a Political Conception of Corporate Responsibility: Business and Society Seen from a Habermasian Perspective</b:Title>
    <b:JournalName>The Academy of Management Review</b:JournalName>
    <b:Year>2007</b:Year>
    <b:Pages>1096-1120</b:Pages>
    <b:Volume>32</b:Volume>
    <b:Issue>4</b:Issue>
    <b:Author>
      <b:Author>
        <b:NameList>
          <b:Person>
            <b:Last>Scherer</b:Last>
            <b:Middle>Georg</b:Middle>
            <b:First>Andreas</b:First>
          </b:Person>
          <b:Person>
            <b:Last>Palazzo</b:Last>
            <b:First>Guido</b:First>
          </b:Person>
        </b:NameList>
      </b:Author>
    </b:Author>
    <b:RefOrder>19</b:RefOrder>
  </b:Source>
  <b:Source>
    <b:Tag>Mor151</b:Tag>
    <b:SourceType>JournalArticle</b:SourceType>
    <b:Guid>{72CCB687-80F6-4B3A-A5F9-ECE9073B2EC2}</b:Guid>
    <b:Title>CSR reporting as an important tool of CSR communication</b:Title>
    <b:JournalName>Procedia of Economics and Finance</b:JournalName>
    <b:Year>2015</b:Year>
    <b:Pages>332-338</b:Pages>
    <b:City>Zilinia, Slovakia</b:City>
    <b:Volume>26</b:Volume>
    <b:Author>
      <b:Author>
        <b:NameList>
          <b:Person>
            <b:Last>Moravcikova</b:Last>
            <b:First>Katarina</b:First>
          </b:Person>
          <b:Person>
            <b:Last>Stefanikova</b:Last>
            <b:First>Lubica</b:First>
          </b:Person>
          <b:Person>
            <b:Last>Rypakova</b:Last>
            <b:First>Martina</b:First>
          </b:Person>
        </b:NameList>
      </b:Author>
    </b:Author>
    <b:RefOrder>55</b:RefOrder>
  </b:Source>
  <b:Source>
    <b:Tag>Cre12</b:Tag>
    <b:SourceType>JournalArticle</b:SourceType>
    <b:Guid>{9AA9BD43-EFCE-4B8B-979D-D0B43427B903}</b:Guid>
    <b:Title>How Corporate Social Responsibility Influences Brand Equity</b:Title>
    <b:JournalName>Management Accounting Quarterly</b:JournalName>
    <b:Year>2012</b:Year>
    <b:Pages>1-5</b:Pages>
    <b:Author>
      <b:Author>
        <b:NameList>
          <b:Person>
            <b:Last>Creel</b:Last>
            <b:First>Timothy</b:First>
          </b:Person>
        </b:NameList>
      </b:Author>
    </b:Author>
    <b:Volume>13</b:Volume>
    <b:Issue>4</b:Issue>
    <b:RefOrder>18</b:RefOrder>
  </b:Source>
  <b:Source>
    <b:Tag>DuS10</b:Tag>
    <b:SourceType>JournalArticle</b:SourceType>
    <b:Guid>{9B2C6034-7913-4078-9C26-044AAD0373CE}</b:Guid>
    <b:Title>Maximizing Business Returns to Corporate Social Responsibility (CSR): The Role of CSR Communication</b:Title>
    <b:JournalName>International Hournal of Management Reviews</b:JournalName>
    <b:Year>2010</b:Year>
    <b:Author>
      <b:Author>
        <b:NameList>
          <b:Person>
            <b:Last>Du</b:Last>
            <b:First>Shuili</b:First>
          </b:Person>
          <b:Person>
            <b:Last>Bhattacharya</b:Last>
            <b:Middle>B.</b:Middle>
            <b:First>C.</b:First>
          </b:Person>
          <b:Person>
            <b:Last>Sen</b:Last>
            <b:First>Sankar</b:First>
          </b:Person>
        </b:NameList>
      </b:Author>
    </b:Author>
    <b:Volume>12</b:Volume>
    <b:Issue>1</b:Issue>
    <b:RefOrder>56</b:RefOrder>
  </b:Source>
  <b:Source>
    <b:Tag>Wil18</b:Tag>
    <b:SourceType>InternetSite</b:SourceType>
    <b:Guid>{3EF7689B-ABCF-4FC6-937D-1811A08DC385}</b:Guid>
    <b:Title>Promoting Responsible Gambling</b:Title>
    <b:Author>
      <b:Author>
        <b:NameList>
          <b:Person>
            <b:Last>Wilmot</b:Last>
            <b:First>Gillian</b:First>
          </b:Person>
        </b:NameList>
      </b:Author>
    </b:Author>
    <b:InternetSiteTitle>The Senet Group</b:InternetSiteTitle>
    <b:URL>https://senetgroup.org.uk/</b:URL>
    <b:Year>2018</b:Year>
    <b:RefOrder>22</b:RefOrder>
  </b:Source>
  <b:Source>
    <b:Tag>Luo06</b:Tag>
    <b:SourceType>JournalArticle</b:SourceType>
    <b:Guid>{E6EC4A88-D0B0-469B-8518-5F730FB88956}</b:Guid>
    <b:Title>Corporate Social Responsibility, Customer Satisfaction, and Market Value</b:Title>
    <b:Year>2006</b:Year>
    <b:JournalName>Journal of Marketing</b:JournalName>
    <b:Pages>1-18</b:Pages>
    <b:Author>
      <b:Author>
        <b:NameList>
          <b:Person>
            <b:Last>Luo</b:Last>
            <b:First>Xueming</b:First>
          </b:Person>
          <b:Person>
            <b:Last>Bhattacharya</b:Last>
            <b:Middle>B.</b:Middle>
            <b:First>C.</b:First>
          </b:Person>
        </b:NameList>
      </b:Author>
    </b:Author>
    <b:Publisher>American Marketing Association</b:Publisher>
    <b:Volume>70</b:Volume>
    <b:Issue>4</b:Issue>
    <b:RefOrder>21</b:RefOrder>
  </b:Source>
  <b:Source>
    <b:Tag>Fri701</b:Tag>
    <b:SourceType>JournalArticle</b:SourceType>
    <b:Guid>{A61D4EFF-FF15-4644-A524-4C745EFBE498}</b:Guid>
    <b:Title>The Social Responsibility of a Business is to Increase its Profits</b:Title>
    <b:JournalName>The New York Times Magazine</b:JournalName>
    <b:Year>1970</b:Year>
    <b:Pages>1</b:Pages>
    <b:Author>
      <b:Author>
        <b:NameList>
          <b:Person>
            <b:Last>Friedman</b:Last>
            <b:First>Milton</b:First>
          </b:Person>
        </b:NameList>
      </b:Author>
    </b:Author>
    <b:RefOrder>57</b:RefOrder>
  </b:Source>
  <b:Source>
    <b:Tag>Fre08</b:Tag>
    <b:SourceType>Report</b:SourceType>
    <b:Guid>{78F7B1CC-BFD7-435B-BDC8-83A10D030D05}</b:Guid>
    <b:Title>A New Approach to CSR: Company Stakeholder Responsibility</b:Title>
    <b:JournalName>The Darden School, University of Virginia</b:JournalName>
    <b:Year>2008</b:Year>
    <b:Pages>1-22</b:Pages>
    <b:Author>
      <b:Author>
        <b:NameList>
          <b:Person>
            <b:Last>Freeman</b:Last>
            <b:Middle>Edward</b:Middle>
            <b:First>R</b:First>
          </b:Person>
        </b:NameList>
      </b:Author>
    </b:Author>
    <b:Publisher>University of Virginia</b:Publisher>
    <b:City>Charlottesville</b:City>
    <b:RefOrder>58</b:RefOrder>
  </b:Source>
  <b:Source>
    <b:Tag>Bal07</b:Tag>
    <b:SourceType>JournalArticle</b:SourceType>
    <b:Guid>{A555C421-3540-4955-ADAF-26B6EF3285EF}</b:Guid>
    <b:Title>The Nature and Management of Ethical Corporate Identity: A Commentary on Corporate Identity, Corporate Social Responsibility and Ethics</b:Title>
    <b:Year>2007</b:Year>
    <b:JournalName>Journal of Business</b:JournalName>
    <b:Pages>7-15</b:Pages>
    <b:Author>
      <b:Author>
        <b:NameList>
          <b:Person>
            <b:Last>Balmer</b:Last>
            <b:Middle>John</b:Middle>
            <b:First>M. T. </b:First>
          </b:Person>
          <b:Person>
            <b:Last>Gray</b:Last>
            <b:Middle>Edmund</b:Middle>
            <b:First>R.</b:First>
          </b:Person>
          <b:Person>
            <b:Last>Fukukawa</b:Last>
            <b:First>Kyoko</b:First>
          </b:Person>
        </b:NameList>
      </b:Author>
    </b:Author>
    <b:Volume>76</b:Volume>
    <b:Issue>1</b:Issue>
    <b:RefOrder>10</b:RefOrder>
  </b:Source>
  <b:Source>
    <b:Tag>Jon09</b:Tag>
    <b:SourceType>JournalArticle</b:SourceType>
    <b:Guid>{699DAA51-5263-45F1-A27B-368FA9384C12}</b:Guid>
    <b:Title>Corporate Social Responsibility in the UK Gambling Industry</b:Title>
    <b:JournalName>The International Journal of Business in Society</b:JournalName>
    <b:Year>2009</b:Year>
    <b:Pages>189-201</b:Pages>
    <b:Author>
      <b:Author>
        <b:NameList>
          <b:Person>
            <b:Last>Jones</b:Last>
            <b:First>Peter</b:First>
          </b:Person>
          <b:Person>
            <b:Last>Hillier</b:Last>
            <b:First>David</b:First>
          </b:Person>
          <b:Person>
            <b:Last>Comfort</b:Last>
            <b:First>Daphne</b:First>
          </b:Person>
        </b:NameList>
      </b:Author>
    </b:Author>
    <b:Volume>9</b:Volume>
    <b:Issue>2</b:Issue>
    <b:RefOrder>59</b:RefOrder>
  </b:Source>
  <b:Source>
    <b:Tag>Arg02</b:Tag>
    <b:SourceType>JournalArticle</b:SourceType>
    <b:Guid>{95DB0905-AABF-4AE8-BDA5-4A9FA0D11392}</b:Guid>
    <b:Title>Reputation and the Corporate Brand</b:Title>
    <b:JournalName>Corporate Reputation Review</b:JournalName>
    <b:Year>2002</b:Year>
    <b:Pages>368-374</b:Pages>
    <b:Author>
      <b:Author>
        <b:NameList>
          <b:Person>
            <b:Last>Argenti</b:Last>
            <b:First>Paul.</b:First>
            <b:Middle>A.</b:Middle>
          </b:Person>
          <b:Person>
            <b:Last>Druckermiller</b:Last>
            <b:First>Bob</b:First>
          </b:Person>
        </b:NameList>
      </b:Author>
    </b:Author>
    <b:Volume>6</b:Volume>
    <b:Issue>4</b:Issue>
    <b:RefOrder>60</b:RefOrder>
  </b:Source>
  <b:Source>
    <b:Tag>Hit08</b:Tag>
    <b:SourceType>Report</b:SourceType>
    <b:Guid>{A3B50014-A906-49B1-934B-4E0046659FED}</b:Guid>
    <b:Title>Attaining Sustainable Growth through Corporate Social Responsibility.</b:Title>
    <b:Year>2008</b:Year>
    <b:Publisher>IBM Global Business Services</b:Publisher>
    <b:City>New York</b:City>
    <b:Author>
      <b:Author>
        <b:NameList>
          <b:Person>
            <b:Last>Hittner</b:Last>
            <b:First>Jeff</b:First>
          </b:Person>
          <b:Person>
            <b:Last>Pohle</b:Last>
            <b:First>George</b:First>
          </b:Person>
        </b:NameList>
      </b:Author>
    </b:Author>
    <b:RefOrder>25</b:RefOrder>
  </b:Source>
  <b:Source>
    <b:Tag>Kot05</b:Tag>
    <b:SourceType>Book</b:SourceType>
    <b:Guid>{93AC2A4C-0315-4E51-B30F-9EA83BA362F5}</b:Guid>
    <b:Title>Corporate Social Responsibility: Doing the Most Good for Your Company and Your Cause</b:Title>
    <b:Year>2005</b:Year>
    <b:Publisher>John Wiley &amp; Sons</b:Publisher>
    <b:City>New York </b:City>
    <b:Author>
      <b:Author>
        <b:NameList>
          <b:Person>
            <b:Last>Kotler</b:Last>
            <b:First>Phillip</b:First>
          </b:Person>
          <b:Person>
            <b:Last>Lee</b:Last>
            <b:First>Nancy</b:First>
          </b:Person>
        </b:NameList>
      </b:Author>
    </b:Author>
    <b:RefOrder>61</b:RefOrder>
  </b:Source>
  <b:Source>
    <b:Tag>Hun16</b:Tag>
    <b:SourceType>Report</b:SourceType>
    <b:Guid>{54942F0C-E3A0-4AD4-8F16-7D24A3A2A885}</b:Guid>
    <b:Title>The World Business Council for Sustainable Development</b:Title>
    <b:Year>2016</b:Year>
    <b:City>Geneva</b:City>
    <b:Publisher> WBCSD</b:Publisher>
    <b:Author>
      <b:Author>
        <b:NameList>
          <b:Person>
            <b:Last>Hunziker</b:Last>
            <b:First>Roland</b:First>
          </b:Person>
        </b:NameList>
      </b:Author>
    </b:Author>
    <b:RefOrder>62</b:RefOrder>
  </b:Source>
  <b:Source>
    <b:Tag>Gor09</b:Tag>
    <b:SourceType>JournalArticle</b:SourceType>
    <b:Guid>{FDF4A3D9-AAEB-4D12-AF8D-EDB57BECBC44}</b:Guid>
    <b:Title>Dead cert or long shot: the utility of social marketing in tackling problem gambling in the UK?</b:Title>
    <b:Year>2009</b:Year>
    <b:JournalName>International Journal of Non-profit and Voluntary Sector Marketing</b:JournalName>
    <b:Pages>243-253</b:Pages>
    <b:Author>
      <b:Author>
        <b:NameList>
          <b:Person>
            <b:Last>Gordon</b:Last>
            <b:First>R</b:First>
          </b:Person>
          <b:Person>
            <b:Last>Moodie</b:Last>
            <b:First>C</b:First>
          </b:Person>
        </b:NameList>
      </b:Author>
    </b:Author>
    <b:RefOrder>63</b:RefOrder>
  </b:Source>
  <b:Source>
    <b:Tag>Car121</b:Tag>
    <b:SourceType>Book</b:SourceType>
    <b:Guid>{B981D22C-AF5F-4E7F-918E-438F5A735D6D}</b:Guid>
    <b:Title>Corporate Social Responsibility: The American Experience</b:Title>
    <b:Year>2012</b:Year>
    <b:City>Cambridge</b:City>
    <b:Publisher>Cambridge University Press</b:Publisher>
    <b:Author>
      <b:Author>
        <b:NameList>
          <b:Person>
            <b:Last>Carroll</b:Last>
            <b:Middle>B.</b:Middle>
            <b:First>A.</b:First>
          </b:Person>
          <b:Person>
            <b:Last>Lipartito</b:Last>
            <b:Middle>J.</b:Middle>
            <b:First>K.</b:First>
          </b:Person>
          <b:Person>
            <b:Last>Post</b:Last>
            <b:Middle>E.</b:Middle>
            <b:First>J.</b:First>
          </b:Person>
          <b:Person>
            <b:Last>Werhane</b:Last>
            <b:Middle>H.</b:Middle>
            <b:First>P.</b:First>
          </b:Person>
        </b:NameList>
      </b:Author>
    </b:Author>
    <b:RefOrder>64</b:RefOrder>
  </b:Source>
  <b:Source>
    <b:Tag>Cra161</b:Tag>
    <b:SourceType>Book</b:SourceType>
    <b:Guid>{D58BCB13-0DC1-42BD-ABDF-DC9672ADBBA7}</b:Guid>
    <b:Title>Business Ethics: Managing Corporate Citizenship and Sustainability in the age of Globalization</b:Title>
    <b:Year>2016</b:Year>
    <b:City>Oxford</b:City>
    <b:Publisher>Oxford University press</b:Publisher>
    <b:Author>
      <b:Author>
        <b:NameList>
          <b:Person>
            <b:Last>Crane</b:Last>
            <b:First>Andrew</b:First>
          </b:Person>
          <b:Person>
            <b:Last>Matten</b:Last>
            <b:First>Dirk</b:First>
          </b:Person>
        </b:NameList>
      </b:Author>
    </b:Author>
    <b:Edition>4th</b:Edition>
    <b:RefOrder>65</b:RefOrder>
  </b:Source>
  <b:Source>
    <b:Tag>Pin96</b:Tag>
    <b:SourceType>JournalArticle</b:SourceType>
    <b:Guid>{812FCFFE-5C66-4A4D-ACEB-4295E8222820}</b:Guid>
    <b:Title>A retrospective examination of CSR orientations: Have they changed?</b:Title>
    <b:Year>1996</b:Year>
    <b:JournalName>Journal of Business Ethics</b:JournalName>
    <b:Pages>199-206</b:Pages>
    <b:Author>
      <b:Author>
        <b:NameList>
          <b:Person>
            <b:Last>Pinkston</b:Last>
            <b:Middle>S.</b:Middle>
            <b:First>Tammie</b:First>
          </b:Person>
          <b:Person>
            <b:Last>Carroll</b:Last>
            <b:Middle>B.</b:Middle>
            <b:First>Archie</b:First>
          </b:Person>
        </b:NameList>
      </b:Author>
    </b:Author>
    <b:Volume>15</b:Volume>
    <b:Issue>2</b:Issue>
    <b:RefOrder>66</b:RefOrder>
  </b:Source>
  <b:Source>
    <b:Tag>Uni05</b:Tag>
    <b:SourceType>Report</b:SourceType>
    <b:Guid>{EFDCC10D-A334-4A4D-9147-E7BAAFE5210C}</b:Guid>
    <b:Title>The Gambling Act 2005</b:Title>
    <b:Year>2005</b:Year>
    <b:Author>
      <b:Author>
        <b:Corporate>United Kingdom Government </b:Corporate>
      </b:Author>
    </b:Author>
    <b:Publisher>Her Majesty’s Stationery Office and Queen’s Printer of Acts of Parliament</b:Publisher>
    <b:City>Westminster</b:City>
    <b:RefOrder>67</b:RefOrder>
  </b:Source>
  <b:Source>
    <b:Tag>Gai15</b:Tag>
    <b:SourceType>JournalArticle</b:SourceType>
    <b:Guid>{F77F1627-1C85-488C-939A-1A733AF921DA}</b:Guid>
    <b:Title>Online Gambling Addiction: the Relationship Between Internet Gambling and Disordered Gambling</b:Title>
    <b:Year>2015</b:Year>
    <b:JournalName>Current Addiction Reports</b:JournalName>
    <b:Pages>185-193</b:Pages>
    <b:Volume>2</b:Volume>
    <b:Issue>2</b:Issue>
    <b:Author>
      <b:Author>
        <b:NameList>
          <b:Person>
            <b:Last>Gainsbury</b:Last>
            <b:Middle>M.</b:Middle>
            <b:First>Sally</b:First>
          </b:Person>
        </b:NameList>
      </b:Author>
    </b:Author>
    <b:RefOrder>68</b:RefOrder>
  </b:Source>
  <b:Source>
    <b:Tag>Sta18</b:Tag>
    <b:SourceType>InternetSite</b:SourceType>
    <b:Guid>{BB6893AC-8B81-437F-8A60-88F36700867B}</b:Guid>
    <b:Author>
      <b:Author>
        <b:Corporate>Statista</b:Corporate>
      </b:Author>
    </b:Author>
    <b:Title>Size of the online gambling market from 2009 to 2020</b:Title>
    <b:InternetSiteTitle>Statista</b:InternetSiteTitle>
    <b:Year>2018</b:Year>
    <b:Month>June</b:Month>
    <b:Day>26</b:Day>
    <b:URL>https://www.statista.com/statistics/270728/market-volume-of-online-gaming-worldwide/</b:URL>
    <b:RefOrder>41</b:RefOrder>
  </b:Source>
  <b:Source>
    <b:Tag>Cri98</b:Tag>
    <b:SourceType>JournalArticle</b:SourceType>
    <b:Guid>{CECB51D6-2857-449E-A9D0-46E896B917CC}</b:Guid>
    <b:Title>All bets are off the U.S. is on the verge of an explosion in internet sports betting that could change the face of gambling in this country forever. But is this legal? And even if it is can it be stopped?</b:Title>
    <b:Year>1998</b:Year>
    <b:JournalName>Sports Illustrated Vault</b:JournalName>
    <b:Author>
      <b:Author>
        <b:NameList>
          <b:Person>
            <b:Last>Crist</b:Last>
            <b:First>Steven</b:First>
          </b:Person>
        </b:NameList>
      </b:Author>
    </b:Author>
    <b:Pages>113-114</b:Pages>
    <b:RefOrder>69</b:RefOrder>
  </b:Source>
  <b:Source>
    <b:Tag>Lon17</b:Tag>
    <b:SourceType>JournalArticle</b:SourceType>
    <b:Guid>{A3A1B8DD-9A52-4300-B253-5EBCA26EFA9B}</b:Guid>
    <b:Title>The History of Online Gambling (Infographic): How betting became a billion dollar industry </b:Title>
    <b:JournalName>Entrepreneur Europe </b:JournalName>
    <b:Year>2017</b:Year>
    <b:Pages>11</b:Pages>
    <b:Author>
      <b:Author>
        <b:NameList>
          <b:Person>
            <b:Last>Long</b:Last>
            <b:First>Jonathan </b:First>
          </b:Person>
        </b:NameList>
      </b:Author>
    </b:Author>
    <b:RefOrder>70</b:RefOrder>
  </b:Source>
  <b:Source>
    <b:Tag>Dev09</b:Tag>
    <b:SourceType>JournalArticle</b:SourceType>
    <b:Guid>{4D7A9083-EF57-4B5D-9E26-DFC76FA70721}</b:Guid>
    <b:Title>Online gambling and international regulation: an outside bet</b:Title>
    <b:JournalName>Information &amp; Communications Technology Law</b:JournalName>
    <b:Year>2009</b:Year>
    <b:Pages>273-283</b:Pages>
    <b:Author>
      <b:Author>
        <b:NameList>
          <b:Person>
            <b:Last>Devaney</b:Last>
            <b:First>Margaret </b:First>
          </b:Person>
        </b:NameList>
      </b:Author>
    </b:Author>
    <b:Volume>18</b:Volume>
    <b:Issue>3</b:Issue>
    <b:RefOrder>71</b:RefOrder>
  </b:Source>
  <b:Source>
    <b:Tag>Lor18</b:Tag>
    <b:SourceType>Report</b:SourceType>
    <b:Guid>{65217004-7848-4215-85A8-E175BE22755D}</b:Guid>
    <b:Author>
      <b:Author>
        <b:Corporate>Lords Select Committee</b:Corporate>
      </b:Author>
    </b:Author>
    <b:Title>Is it time to regulate the internet? Legal experts give evidence</b:Title>
    <b:Year>2018</b:Year>
    <b:Publisher>United Kingdom Parliament</b:Publisher>
    <b:City>London </b:City>
    <b:RefOrder>72</b:RefOrder>
  </b:Source>
  <b:Source>
    <b:Tag>Rei07</b:Tag>
    <b:SourceType>JournalArticle</b:SourceType>
    <b:Guid>{86318AD6-3E60-40E5-9237-078ECFC27B7B}</b:Guid>
    <b:Title>Gambling and the Contradictions of Consumption</b:Title>
    <b:JournalName>American Behavioural Scientist</b:JournalName>
    <b:Year>2007</b:Year>
    <b:Pages>33-35</b:Pages>
    <b:Author>
      <b:Author>
        <b:NameList>
          <b:Person>
            <b:Last>Reith</b:Last>
            <b:First>G</b:First>
          </b:Person>
        </b:NameList>
      </b:Author>
    </b:Author>
    <b:RefOrder>73</b:RefOrder>
  </b:Source>
  <b:Source>
    <b:Tag>Gri03</b:Tag>
    <b:SourceType>JournalArticle</b:SourceType>
    <b:Guid>{23C19680-2DE8-4011-9061-29BCCAEE4808}</b:Guid>
    <b:Title>Internet Gambling: Issues, Concerns, and Recommendations</b:Title>
    <b:JournalName>Cyber Psychology &amp; Behaviour</b:JournalName>
    <b:Year>2003</b:Year>
    <b:Pages>557-568</b:Pages>
    <b:Author>
      <b:Author>
        <b:NameList>
          <b:Person>
            <b:Last>Griffiths</b:Last>
            <b:First>M</b:First>
          </b:Person>
        </b:NameList>
      </b:Author>
    </b:Author>
    <b:RefOrder>74</b:RefOrder>
  </b:Source>
  <b:Source>
    <b:Tag>Cas08</b:Tag>
    <b:SourceType>JournalArticle</b:SourceType>
    <b:Guid>{8ED8DC89-A1CF-402B-A851-C40B70AD5E60}</b:Guid>
    <b:Title>Working Class Women, Gambling and The Dream of Happiness</b:Title>
    <b:JournalName>Feminist Review</b:JournalName>
    <b:Year>2008</b:Year>
    <b:Pages>122-137</b:Pages>
    <b:Author>
      <b:Author>
        <b:NameList>
          <b:Person>
            <b:Last>Casey</b:Last>
            <b:First>E</b:First>
          </b:Person>
        </b:NameList>
      </b:Author>
    </b:Author>
    <b:Volume>89</b:Volume>
    <b:Issue>1</b:Issue>
    <b:RefOrder>75</b:RefOrder>
  </b:Source>
  <b:Source>
    <b:Tag>Fro14</b:Tag>
    <b:SourceType>Report</b:SourceType>
    <b:Guid>{B6677936-109F-451A-874C-BFE816AC666E}</b:Guid>
    <b:Title>The UK betting and gaming market: estimating price elasticities of demand and understanding the use of promotions</b:Title>
    <b:Year>2014</b:Year>
    <b:Author>
      <b:Author>
        <b:Corporate>Frontier Economics </b:Corporate>
      </b:Author>
    </b:Author>
    <b:Publisher>HM Revenue &amp; Customs</b:Publisher>
    <b:City>London </b:City>
    <b:RefOrder>76</b:RefOrder>
  </b:Source>
  <b:Source>
    <b:Tag>Fer10</b:Tag>
    <b:SourceType>Book</b:SourceType>
    <b:Guid>{E9F50D26-289B-47C4-BB42-35625747CFF4}</b:Guid>
    <b:Title>Business Ethics and Corporate Governance</b:Title>
    <b:Year>2010</b:Year>
    <b:Publisher>Pearson Education Limited</b:Publisher>
    <b:City>New Delhi</b:City>
    <b:Author>
      <b:Author>
        <b:NameList>
          <b:Person>
            <b:Last>Fernando</b:Last>
            <b:Middle>C.</b:Middle>
            <b:First>A.</b:First>
          </b:Person>
        </b:NameList>
      </b:Author>
    </b:Author>
    <b:RefOrder>8</b:RefOrder>
  </b:Source>
  <b:Source>
    <b:Tag>Fer15</b:Tag>
    <b:SourceType>Book</b:SourceType>
    <b:Guid>{87410957-D01B-402A-9818-E7F4BE43A492}</b:Guid>
    <b:Title>Business Ethics: Ethical Decision Making and Cases</b:Title>
    <b:Year>2015</b:Year>
    <b:City>Boston</b:City>
    <b:Publisher>Cengage Learning</b:Publisher>
    <b:Author>
      <b:Author>
        <b:NameList>
          <b:Person>
            <b:Last>Ferrell</b:Last>
            <b:Middle>C.</b:Middle>
            <b:First>O.</b:First>
          </b:Person>
          <b:Person>
            <b:Last>Ferrell</b:Last>
            <b:First>Linda</b:First>
          </b:Person>
          <b:Person>
            <b:Last>Fraedrich</b:Last>
            <b:First>John</b:First>
          </b:Person>
        </b:NameList>
      </b:Author>
    </b:Author>
    <b:Edition>11th</b:Edition>
    <b:RefOrder>77</b:RefOrder>
  </b:Source>
  <b:Source>
    <b:Tag>Beu01</b:Tag>
    <b:SourceType>JournalArticle</b:SourceType>
    <b:Guid>{B9E262BE-0C28-4C20-A52B-2AFEC93C342C}</b:Guid>
    <b:Title>The Hypothesized Relationship Between Accountability and Ethical Behavior</b:Title>
    <b:Year>2001</b:Year>
    <b:JournalName>Journal of Business Ethics</b:JournalName>
    <b:Pages>57-73</b:Pages>
    <b:Volume>34</b:Volume>
    <b:Issue>1</b:Issue>
    <b:Author>
      <b:Author>
        <b:NameList>
          <b:Person>
            <b:Last>Beu</b:Last>
            <b:First>Danielle</b:First>
          </b:Person>
          <b:Person>
            <b:Last>Buckley</b:Last>
            <b:Middle>M.</b:Middle>
            <b:First>Ronald</b:First>
          </b:Person>
        </b:NameList>
      </b:Author>
    </b:Author>
    <b:RefOrder>78</b:RefOrder>
  </b:Source>
  <b:Source>
    <b:Tag>Kra91</b:Tag>
    <b:SourceType>JournalArticle</b:SourceType>
    <b:Guid>{F6287FAB-0632-4D02-B358-05885E950E3D}</b:Guid>
    <b:Title>The role of ethics and social responsibility in achieving organizational effectiveness: Students versus managers</b:Title>
    <b:JournalName>Journal of Business Ethics</b:JournalName>
    <b:Year>1991</b:Year>
    <b:Pages>679-686</b:Pages>
    <b:Volume>10</b:Volume>
    <b:Issue>9</b:Issue>
    <b:Author>
      <b:Author>
        <b:NameList>
          <b:Person>
            <b:Last>Kraft</b:Last>
            <b:Middle>L.</b:Middle>
            <b:First>Kenneth</b:First>
          </b:Person>
          <b:Person>
            <b:Last>Singhapakdi</b:Last>
            <b:First>Anusorn</b:First>
          </b:Person>
        </b:NameList>
      </b:Author>
    </b:Author>
    <b:RefOrder>9</b:RefOrder>
  </b:Source>
  <b:Source>
    <b:Tag>Car91</b:Tag>
    <b:SourceType>JournalArticle</b:SourceType>
    <b:Guid>{2ED46809-01C5-4D73-971A-1DC27A8383AF}</b:Guid>
    <b:Title>The pyramid of corporate social responsibility: Toward the moral management of organizational stakeholders</b:Title>
    <b:JournalName>Business Horizons</b:JournalName>
    <b:Year>1991</b:Year>
    <b:Pages>39-48</b:Pages>
    <b:Volume>34</b:Volume>
    <b:Issue>4</b:Issue>
    <b:Author>
      <b:Author>
        <b:NameList>
          <b:Person>
            <b:Last>Carroll</b:Last>
            <b:Middle>B.</b:Middle>
            <b:First>A.</b:First>
          </b:Person>
        </b:NameList>
      </b:Author>
    </b:Author>
    <b:RefOrder>79</b:RefOrder>
  </b:Source>
  <b:Source>
    <b:Tag>Dud12</b:Tag>
    <b:SourceType>JournalArticle</b:SourceType>
    <b:Guid>{E8E00FFE-1987-4063-96BE-081F5F7E5941}</b:Guid>
    <b:Title>Carroll’s CSR Pyramid and its applications to small and medium sized businesses</b:Title>
    <b:JournalName>Research Methodology</b:JournalName>
    <b:Year>2012</b:Year>
    <b:Author>
      <b:Author>
        <b:NameList>
          <b:Person>
            <b:Last>Dudovskiy</b:Last>
            <b:First>John</b:First>
          </b:Person>
        </b:NameList>
      </b:Author>
    </b:Author>
    <b:RefOrder>80</b:RefOrder>
  </b:Source>
  <b:Source>
    <b:Tag>Moh09</b:Tag>
    <b:SourceType>JournalArticle</b:SourceType>
    <b:Guid>{8411C332-63F2-482D-92ED-060C7436227D}</b:Guid>
    <b:Title>Fairtrade and corporate social responsibility</b:Title>
    <b:JournalName>Economic Affairs</b:JournalName>
    <b:Year>2009</b:Year>
    <b:Pages>22-28</b:Pages>
    <b:Author>
      <b:Author>
        <b:NameList>
          <b:Person>
            <b:Last>Mohan</b:Last>
            <b:First>Sushil</b:First>
          </b:Person>
        </b:NameList>
      </b:Author>
    </b:Author>
    <b:Volume>29</b:Volume>
    <b:Issue>4</b:Issue>
    <b:RefOrder>81</b:RefOrder>
  </b:Source>
  <b:Source>
    <b:Tag>Exp07</b:Tag>
    <b:SourceType>JournalArticle</b:SourceType>
    <b:Guid>{0FB547F7-2E76-4500-8967-0BFED3BEC6EC}</b:Guid>
    <b:Title>Exploring the Ethical Identity of Islamic Banks via Communication in Annual Reports</b:Title>
    <b:Year>2007</b:Year>
    <b:JournalName>Journal of Business Ethics</b:JournalName>
    <b:Pages>97-116</b:Pages>
    <b:Volume>76</b:Volume>
    <b:Author>
      <b:Author>
        <b:NameList>
          <b:Person>
            <b:Last>Haniffa</b:Last>
            <b:First>Roszaini</b:First>
          </b:Person>
          <b:Person>
            <b:Last>Hudaib</b:Last>
            <b:First>Mohammad</b:First>
          </b:Person>
        </b:NameList>
      </b:Author>
    </b:Author>
    <b:RefOrder>17</b:RefOrder>
  </b:Source>
  <b:Source>
    <b:Tag>Gof59</b:Tag>
    <b:SourceType>Book</b:SourceType>
    <b:Guid>{100B4019-09EA-4BE3-9625-7F7ABDBF010C}</b:Guid>
    <b:Title>The Presentation of Self in Everyday Life</b:Title>
    <b:Year>1959</b:Year>
    <b:City>Edinburgh</b:City>
    <b:Publisher>University of Edinburgh Social Sciences Research Centre</b:Publisher>
    <b:Author>
      <b:Author>
        <b:NameList>
          <b:Person>
            <b:Last>Goffman</b:Last>
            <b:First>Erving</b:First>
          </b:Person>
        </b:NameList>
      </b:Author>
    </b:Author>
    <b:RefOrder>82</b:RefOrder>
  </b:Source>
  <b:Source>
    <b:Tag>Gam17</b:Tag>
    <b:SourceType>Report</b:SourceType>
    <b:Guid>{D5092D56-C9A3-4BCF-A755-17D56E837EEE}</b:Guid>
    <b:Title>Gambling participation in 2016: behaviour, awareness and attititudes.</b:Title>
    <b:Year>2017</b:Year>
    <b:Publisher>The Gambling Commision</b:Publisher>
    <b:City>Birmingham</b:City>
    <b:Author>
      <b:Author>
        <b:Corporate>The Gambling Commision</b:Corporate>
      </b:Author>
    </b:Author>
    <b:RefOrder>83</b:RefOrder>
  </b:Source>
  <b:Source>
    <b:Tag>Tat15</b:Tag>
    <b:SourceType>JournalArticle</b:SourceType>
    <b:Guid>{17CDDEC6-4FFD-4679-8CCB-8BBFA24F9450}</b:Guid>
    <b:Title>CSR Communication: An Impression Management Perspective</b:Title>
    <b:Year>2015</b:Year>
    <b:JournalName>Journal of Business Ethics</b:JournalName>
    <b:Pages>765-778</b:Pages>
    <b:Author>
      <b:Author>
        <b:NameList>
          <b:Person>
            <b:Last>Tata</b:Last>
            <b:First>Jasmine</b:First>
          </b:Person>
          <b:Person>
            <b:Last>Prasad</b:Last>
            <b:First>Sameer</b:First>
          </b:Person>
        </b:NameList>
      </b:Author>
    </b:Author>
    <b:Volume>132</b:Volume>
    <b:Issue>4</b:Issue>
    <b:RefOrder>30</b:RefOrder>
  </b:Source>
  <b:Source>
    <b:Tag>Kow90</b:Tag>
    <b:SourceType>JournalArticle</b:SourceType>
    <b:Guid>{D2F57C56-6FD8-4DA3-A71B-36B22812852E}</b:Guid>
    <b:Title>Impression Management: A Litreature Review and Two-Component Model</b:Title>
    <b:JournalName>Psychological Bulletin</b:JournalName>
    <b:Year>1990</b:Year>
    <b:Pages>34-47</b:Pages>
    <b:Author>
      <b:Author>
        <b:NameList>
          <b:Person>
            <b:Last>Kowalski</b:Last>
            <b:Middle>M.</b:Middle>
            <b:First>Robin</b:First>
          </b:Person>
          <b:Person>
            <b:Last>Leary</b:Last>
            <b:Middle>R.</b:Middle>
            <b:First>Mark</b:First>
          </b:Person>
        </b:NameList>
      </b:Author>
    </b:Author>
    <b:Volume>107</b:Volume>
    <b:Issue>1</b:Issue>
    <b:RefOrder>84</b:RefOrder>
  </b:Source>
  <b:Source>
    <b:Tag>Car16</b:Tag>
    <b:SourceType>Report</b:SourceType>
    <b:Guid>{7615C44E-AE00-4591-97FB-3B7A14A56D1F}</b:Guid>
    <b:Title>Gambling in the United States: Nevada</b:Title>
    <b:Year>2016</b:Year>
    <b:Author>
      <b:Author>
        <b:NameList>
          <b:Person>
            <b:Last>Carleton</b:Last>
            <b:Middle>L.</b:Middle>
            <b:First>Jennifer</b:First>
          </b:Person>
        </b:NameList>
      </b:Author>
    </b:Author>
    <b:Publisher>Thomson Reuters</b:Publisher>
    <b:City>Denver</b:City>
    <b:Institution>Brownstein Hyatt Farber Schreck</b:Institution>
    <b:RefOrder>23</b:RefOrder>
  </b:Source>
  <b:Source>
    <b:Tag>KPM10</b:Tag>
    <b:SourceType>Report</b:SourceType>
    <b:Guid>{22F56342-D6C4-47B1-8AC4-6A819E26466D}</b:Guid>
    <b:Author>
      <b:Author>
        <b:Corporate>KPMG</b:Corporate>
      </b:Author>
    </b:Author>
    <b:Title>Online Gambling: A Gamble or a Sure Bet </b:Title>
    <b:Year>2010</b:Year>
    <b:Publisher>KPMG</b:Publisher>
    <b:City>Amstelveen</b:City>
    <b:RefOrder>85</b:RefOrder>
  </b:Source>
  <b:Source>
    <b:Tag>KPM18</b:Tag>
    <b:SourceType>Report</b:SourceType>
    <b:Guid>{ECED4066-D43C-47EF-B51A-68997848CAF1}</b:Guid>
    <b:Author>
      <b:Author>
        <b:Corporate>KPMG</b:Corporate>
      </b:Author>
    </b:Author>
    <b:Title>KPMG in Malta: 2017 eGaming Summit</b:Title>
    <b:Year>2018</b:Year>
    <b:Publisher>KPMG</b:Publisher>
    <b:City>Amstelveen</b:City>
    <b:RefOrder>39</b:RefOrder>
  </b:Source>
  <b:Source>
    <b:Tag>Uni16</b:Tag>
    <b:SourceType>Report</b:SourceType>
    <b:Guid>{801AA713-9000-43C7-9508-0FAD5D861F69}</b:Guid>
    <b:Author>
      <b:Author>
        <b:Corporate>United States Health Department</b:Corporate>
      </b:Author>
    </b:Author>
    <b:Title>Funding Problem Gambling Services: Examples from Across U.S. States</b:Title>
    <b:Year>2016</b:Year>
    <b:Publisher>United States Government </b:Publisher>
    <b:City>Washington D.C</b:City>
    <b:RefOrder>24</b:RefOrder>
  </b:Source>
  <b:Source>
    <b:Tag>Bar17</b:Tag>
    <b:SourceType>Report</b:SourceType>
    <b:Guid>{17801176-63DF-487B-AEED-06C6BD811917}</b:Guid>
    <b:Title>Kenya Ups Its Gambling Tax Rate as Online Betting Booms Across Africa</b:Title>
    <b:Year>2017</b:Year>
    <b:Publisher>CasinoOrg</b:Publisher>
    <b:City>Malta</b:City>
    <b:Author>
      <b:Author>
        <b:NameList>
          <b:Person>
            <b:Last>Barlowe</b:Last>
            <b:First>Katie</b:First>
          </b:Person>
        </b:NameList>
      </b:Author>
    </b:Author>
    <b:RefOrder>26</b:RefOrder>
  </b:Source>
  <b:Source>
    <b:Tag>Hum18</b:Tag>
    <b:SourceType>InternetSite</b:SourceType>
    <b:Guid>{11CE2141-8C60-40F8-AA2C-AB3E5087CA32}</b:Guid>
    <b:Title>Kenya Elections 2017</b:Title>
    <b:Year>2018</b:Year>
    <b:Author>
      <b:Author>
        <b:Corporate>Human Rights Watch</b:Corporate>
      </b:Author>
    </b:Author>
    <b:InternetSiteTitle>Human Rights Watch</b:InternetSiteTitle>
    <b:Month>Feburary</b:Month>
    <b:Day>20</b:Day>
    <b:URL>https://www.hrw.org/blog-feed/kenya-elections-2017</b:URL>
    <b:RefOrder>86</b:RefOrder>
  </b:Source>
  <b:Source>
    <b:Tag>Luo17</b:Tag>
    <b:SourceType>JournalArticle</b:SourceType>
    <b:Guid>{147DB84F-F1F2-455B-9C13-4990B4D493BF}</b:Guid>
    <b:Title>Measuring Corporate Social Responsibility in Gambling Industry: Multi-Items Stakeholder Based Scales</b:Title>
    <b:Year>2017</b:Year>
    <b:JournalName>Sustainability</b:JournalName>
    <b:Pages>1-18</b:Pages>
    <b:Author>
      <b:Author>
        <b:NameList>
          <b:Person>
            <b:Last>Luo</b:Last>
            <b:Middle>Ming</b:Middle>
            <b:First>Jian</b:First>
          </b:Person>
          <b:Person>
            <b:Last>Lam</b:Last>
            <b:Middle>Fung</b:Middle>
            <b:First>Chi</b:First>
          </b:Person>
          <b:Person>
            <b:Last>Chau</b:Last>
            <b:Middle>Ka</b:Middle>
            <b:First>Yin</b:First>
          </b:Person>
          <b:Person>
            <b:Last>Shen</b:Last>
            <b:Middle>Wen</b:Middle>
            <b:First>Hua</b:First>
          </b:Person>
          <b:Person>
            <b:Last>Wang</b:Last>
            <b:First>Xin</b:First>
          </b:Person>
        </b:NameList>
      </b:Author>
    </b:Author>
    <b:RefOrder>87</b:RefOrder>
  </b:Source>
  <b:Source>
    <b:Tag>GVC16</b:Tag>
    <b:SourceType>Report</b:SourceType>
    <b:Guid>{066B04C1-CEA2-4C60-8963-E256DFF0FD34}</b:Guid>
    <b:Title>GVC Holdings Annual Report</b:Title>
    <b:Year>2016</b:Year>
    <b:Author>
      <b:Author>
        <b:Corporate>GVC Holdings Plc</b:Corporate>
      </b:Author>
    </b:Author>
    <b:Publisher>GVC Holdings</b:Publisher>
    <b:City>Isle of Man</b:City>
    <b:RefOrder>29</b:RefOrder>
  </b:Source>
  <b:Source>
    <b:Tag>Bus17</b:Tag>
    <b:SourceType>InternetSite</b:SourceType>
    <b:Guid>{B8F70DF2-3C91-456A-8D3D-EE144E8D3545}</b:Guid>
    <b:Title>Revealed: how gambling industry targets poor people and ex-gamblers</b:Title>
    <b:Year>2017</b:Year>
    <b:InternetSiteTitle>The Guardian</b:InternetSiteTitle>
    <b:Month>August</b:Month>
    <b:Day>31</b:Day>
    <b:URL>https://www.theguardian.com/society/2017/aug/31/gambling-industry-third-party-companies-online-casinos</b:URL>
    <b:Author>
      <b:Author>
        <b:NameList>
          <b:Person>
            <b:Last>Busby</b:Last>
            <b:First>Mattha</b:First>
          </b:Person>
        </b:NameList>
      </b:Author>
    </b:Author>
    <b:RefOrder>13</b:RefOrder>
  </b:Source>
  <b:Source>
    <b:Tag>Tra14</b:Tag>
    <b:SourceType>JournalArticle</b:SourceType>
    <b:Guid>{1BA2D3BA-8F57-4E6F-A551-665D6842088F}</b:Guid>
    <b:Title>Corporate reputation and financial performance: Underlying dimensions of corporate reputation and their relation to sustained financial performance.</b:Title>
    <b:Year>2014</b:Year>
    <b:JournalName>Queensland University of Technology </b:JournalName>
    <b:Pages>36-82</b:Pages>
    <b:Author>
      <b:Author>
        <b:NameList>
          <b:Person>
            <b:Last>Tracey</b:Last>
            <b:Middle>Patrick</b:Middle>
            <b:First>Noel</b:First>
          </b:Person>
        </b:NameList>
      </b:Author>
    </b:Author>
    <b:RefOrder>88</b:RefOrder>
  </b:Source>
  <b:Source>
    <b:Tag>Sae12</b:Tag>
    <b:SourceType>JournalArticle</b:SourceType>
    <b:Guid>{2ACA1DCD-79B1-467A-95E8-550E80221E9C}</b:Guid>
    <b:Title>Corporate social responsibility as a source of competitive advantage: The mediating role of social capital and reputational capital</b:Title>
    <b:JournalName>Journal of Database Marketing &amp; Customer Strategy Management</b:JournalName>
    <b:Year>2012</b:Year>
    <b:Pages>219-232</b:Pages>
    <b:Volume>4</b:Volume>
    <b:Issue>19</b:Issue>
    <b:Author>
      <b:Author>
        <b:NameList>
          <b:Person>
            <b:Last>Saeed</b:Last>
            <b:Middle>Mohtsham</b:Middle>
            <b:First>Muhammad</b:First>
          </b:Person>
          <b:Person>
            <b:Last>Arshad</b:Last>
            <b:First>Faria</b:First>
          </b:Person>
        </b:NameList>
      </b:Author>
    </b:Author>
    <b:RefOrder>28</b:RefOrder>
  </b:Source>
  <b:Source>
    <b:Tag>GAO96</b:Tag>
    <b:SourceType>JournalArticle</b:SourceType>
    <b:Guid>{237A0BE1-CD85-431C-8376-4297428C2036}</b:Guid>
    <b:Author>
      <b:Author>
        <b:Corporate>GAO</b:Corporate>
      </b:Author>
    </b:Author>
    <b:Title>Content Analysis: A Methodology for Structuring and Analysing Written Material</b:Title>
    <b:JournalName>United States General Accounting Office</b:JournalName>
    <b:Year>1996</b:Year>
    <b:Pages>GAO/PEMD-10.3.1.</b:Pages>
    <b:Publisher>GAO</b:Publisher>
    <b:City>Washington D.C.</b:City>
    <b:RefOrder>89</b:RefOrder>
  </b:Source>
  <b:Source>
    <b:Tag>Mac05</b:Tag>
    <b:SourceType>JournalArticle</b:SourceType>
    <b:Guid>{39941AA4-ED06-4A27-930C-58B3BADBB8BD}</b:Guid>
    <b:Title>Media content analysis: Its uses; benefits and best practices methodology</b:Title>
    <b:JournalName>Asia Pacific Public Relations Journal</b:JournalName>
    <b:Year>2005</b:Year>
    <b:Pages>1-34</b:Pages>
    <b:Publisher>6</b:Publisher>
    <b:Volume>1</b:Volume>
    <b:Author>
      <b:Author>
        <b:NameList>
          <b:Person>
            <b:Last>Macnamara</b:Last>
            <b:First>J.</b:First>
          </b:Person>
        </b:NameList>
      </b:Author>
    </b:Author>
    <b:RefOrder>34</b:RefOrder>
  </b:Source>
  <b:Source>
    <b:Tag>Kri80</b:Tag>
    <b:SourceType>Book</b:SourceType>
    <b:Guid>{5679C28F-970B-4B98-957A-D853ECFC6D79}</b:Guid>
    <b:Title>Content Analysis: An introduction to its methodology</b:Title>
    <b:Year>1980</b:Year>
    <b:City>Beverly Hills</b:City>
    <b:Publisher>Sage Publications</b:Publisher>
    <b:Author>
      <b:Author>
        <b:NameList>
          <b:Person>
            <b:Last>Krippendorff</b:Last>
            <b:First>K</b:First>
          </b:Person>
        </b:NameList>
      </b:Author>
    </b:Author>
    <b:RefOrder>90</b:RefOrder>
  </b:Source>
  <b:Source>
    <b:Tag>Web90</b:Tag>
    <b:SourceType>Book</b:SourceType>
    <b:Guid>{DF17ACC9-A2C0-4FF7-ABCF-CF3C88FED1E7}</b:Guid>
    <b:Title>Basic Content Analysis</b:Title>
    <b:Year>1990</b:Year>
    <b:City>Newbury Park, California</b:City>
    <b:Publisher>Sage Publications</b:Publisher>
    <b:Author>
      <b:Author>
        <b:NameList>
          <b:Person>
            <b:Last>Weber</b:Last>
            <b:Middle>P.</b:Middle>
            <b:First>R.</b:First>
          </b:Person>
        </b:NameList>
      </b:Author>
    </b:Author>
    <b:Edition>2nd</b:Edition>
    <b:RefOrder>91</b:RefOrder>
  </b:Source>
  <b:Source>
    <b:Tag>Kim10</b:Tag>
    <b:SourceType>JournalArticle</b:SourceType>
    <b:Guid>{D75DC0A9-9799-4E71-A207-5A001971126D}</b:Guid>
    <b:Title>Applying Content Analysis to Web-based Content</b:Title>
    <b:Year>2010</b:Year>
    <b:Author>
      <b:Author>
        <b:NameList>
          <b:Person>
            <b:Last>Kim</b:Last>
            <b:First>Inhwa</b:First>
          </b:Person>
          <b:Person>
            <b:Last>Kuljis</b:Last>
            <b:First>Jasna</b:First>
          </b:Person>
        </b:NameList>
      </b:Author>
    </b:Author>
    <b:JournalName>Journal of Computing and Information Technology</b:JournalName>
    <b:Pages>369–375</b:Pages>
    <b:Volume>18</b:Volume>
    <b:Issue>4</b:Issue>
    <b:RefOrder>33</b:RefOrder>
  </b:Source>
  <b:Source>
    <b:Tag>Sal05</b:Tag>
    <b:SourceType>JournalArticle</b:SourceType>
    <b:Guid>{5BB70374-5994-41A2-BA97-72CAFC0A2ACC}</b:Guid>
    <b:Title>Influence of Corporate Social Responsibility on Loyalty and Valuation of Services</b:Title>
    <b:JournalName>Journal of Busienss Ethics</b:JournalName>
    <b:Year>2005</b:Year>
    <b:Pages>369-385</b:Pages>
    <b:Author>
      <b:Author>
        <b:NameList>
          <b:Person>
            <b:Last>Salmones</b:Last>
            <b:Middle>Garcia de los</b:Middle>
            <b:First>Ma del</b:First>
          </b:Person>
          <b:Person>
            <b:Last>Crespo</b:Last>
            <b:Middle>Herrero</b:Middle>
            <b:First>Angel</b:First>
          </b:Person>
          <b:Person>
            <b:Last>Bosque</b:Last>
            <b:Middle>Rodriguez del</b:Middle>
            <b:First>Ignacio</b:First>
          </b:Person>
        </b:NameList>
      </b:Author>
    </b:Author>
    <b:Volume>61</b:Volume>
    <b:Issue>4</b:Issue>
    <b:RefOrder>7</b:RefOrder>
  </b:Source>
  <b:Source>
    <b:Tag>You12</b:Tag>
    <b:SourceType>JournalArticle</b:SourceType>
    <b:Guid>{C27474B6-14DA-49EB-BA7B-D67EAC405A15}</b:Guid>
    <b:Title>A Multi‐level Perspective of CSR Reporting: The Implications of National Institutions and Industry Risk Characteristics</b:Title>
    <b:JournalName>Corporate Governance: An International Review</b:JournalName>
    <b:Year>2012</b:Year>
    <b:Pages>432-450</b:Pages>
    <b:Volume>20</b:Volume>
    <b:Issue>5</b:Issue>
    <b:Author>
      <b:Author>
        <b:NameList>
          <b:Person>
            <b:Last>Young</b:Last>
            <b:First>Suzanne</b:First>
          </b:Person>
          <b:Person>
            <b:Last>Marais</b:Last>
            <b:First>Magalie</b:First>
          </b:Person>
        </b:NameList>
      </b:Author>
    </b:Author>
    <b:RefOrder>92</b:RefOrder>
  </b:Source>
  <b:Source>
    <b:Tag>Cul10</b:Tag>
    <b:SourceType>Report</b:SourceType>
    <b:Guid>{0AD73830-12B4-4E99-A24A-53964F2C8FAB}</b:Guid>
    <b:Title>How CSR has gained strength through Corporate Scandals: case studies of social, environmental and economic dimenrsions</b:Title>
    <b:Year>2010</b:Year>
    <b:Publisher>Escuela de organizacion industial </b:Publisher>
    <b:City>Madrid</b:City>
    <b:Author>
      <b:Author>
        <b:NameList>
          <b:Person>
            <b:Last>Culcasi</b:Last>
            <b:First>Francesca</b:First>
          </b:Person>
          <b:Person>
            <b:Last>Ruozzi</b:Last>
            <b:First>Helene</b:First>
          </b:Person>
          <b:Person>
            <b:Last>Sandisa</b:Last>
            <b:First>Claudia</b:First>
          </b:Person>
          <b:Person>
            <b:Last>Valle</b:Last>
            <b:First>Jocelina</b:First>
          </b:Person>
        </b:NameList>
      </b:Author>
    </b:Author>
    <b:RefOrder>93</b:RefOrder>
  </b:Source>
  <b:Source>
    <b:Tag>Mur98</b:Tag>
    <b:SourceType>JournalArticle</b:SourceType>
    <b:Guid>{4B7B4F0B-7B21-4F62-A2FA-1BC81DEC005C}</b:Guid>
    <b:Title>Corporate Codes of Conduct and Labor Standards</b:Title>
    <b:Year>1998</b:Year>
    <b:Publisher>Cornell University ILR School </b:Publisher>
    <b:JournalName>International Labour Organization</b:JournalName>
    <b:Pages>1-29</b:Pages>
    <b:Author>
      <b:Author>
        <b:NameList>
          <b:Person>
            <b:Last>Murray</b:Last>
            <b:First>Jill</b:First>
          </b:Person>
        </b:NameList>
      </b:Author>
    </b:Author>
    <b:RefOrder>94</b:RefOrder>
  </b:Source>
  <b:Source>
    <b:Tag>Bru87</b:Tag>
    <b:SourceType>Book</b:SourceType>
    <b:Guid>{83A3E699-8BE4-4319-8B51-C68E5A2F95B5}</b:Guid>
    <b:Title>Report of the World Commission on Environment and Development: Our Common Future</b:Title>
    <b:Year>1987</b:Year>
    <b:Publisher>Oxford University press</b:Publisher>
    <b:City>Oxford</b:City>
    <b:Author>
      <b:Author>
        <b:NameList>
          <b:Person>
            <b:Last>Brundtland</b:Last>
            <b:Middle>H.</b:Middle>
            <b:First>G.</b:First>
          </b:Person>
        </b:NameList>
      </b:Author>
    </b:Author>
    <b:RefOrder>95</b:RefOrder>
  </b:Source>
  <b:Source>
    <b:Tag>Cra16</b:Tag>
    <b:SourceType>JournalArticle</b:SourceType>
    <b:Guid>{77E50A07-DEF5-4691-B73E-DA466800FAC5}</b:Guid>
    <b:Title>Researching CSR communication: Themes, opportunities and challenges</b:Title>
    <b:Year>2016</b:Year>
    <b:Author>
      <b:Author>
        <b:NameList>
          <b:Person>
            <b:Last>Crane</b:Last>
            <b:First>Andrew</b:First>
          </b:Person>
          <b:Person>
            <b:Last>Glozer</b:Last>
            <b:First>Sarah</b:First>
          </b:Person>
        </b:NameList>
      </b:Author>
    </b:Author>
    <b:JournalName>Journal of Management Studies</b:JournalName>
    <b:Pages>1223-1252</b:Pages>
    <b:Volume>53</b:Volume>
    <b:Issue>7</b:Issue>
    <b:RefOrder>96</b:RefOrder>
  </b:Source>
  <b:Source>
    <b:Tag>Rub06</b:Tag>
    <b:SourceType>JournalArticle</b:SourceType>
    <b:Guid>{A8C3F4F5-BB9E-4473-8D7D-7B829BA1114C}</b:Guid>
    <b:Title>The epistemology of war gaming</b:Title>
    <b:JournalName>Naval War College Review</b:JournalName>
    <b:Year>2006</b:Year>
    <b:Pages>108-128</b:Pages>
    <b:Author>
      <b:Author>
        <b:NameList>
          <b:Person>
            <b:Last>Rubels</b:Last>
            <b:Middle>C.</b:Middle>
            <b:First>R.</b:First>
          </b:Person>
        </b:NameList>
      </b:Author>
    </b:Author>
    <b:Volume>59</b:Volume>
    <b:Issue>2</b:Issue>
    <b:RefOrder>97</b:RefOrder>
  </b:Source>
  <b:Source>
    <b:Tag>Bry08</b:Tag>
    <b:SourceType>Book</b:SourceType>
    <b:Guid>{DDF12E70-9D75-4E40-9328-69DD08444ACE}</b:Guid>
    <b:Title>Social Research Methods</b:Title>
    <b:Year>2008</b:Year>
    <b:City>New York</b:City>
    <b:Publisher>Oxford University Press</b:Publisher>
    <b:Author>
      <b:Author>
        <b:NameList>
          <b:Person>
            <b:Last>Bryman</b:Last>
            <b:First>A</b:First>
          </b:Person>
        </b:NameList>
      </b:Author>
    </b:Author>
    <b:Edition>3rd</b:Edition>
    <b:RefOrder>31</b:RefOrder>
  </b:Source>
  <b:Source>
    <b:Tag>Ham13</b:Tag>
    <b:SourceType>Book</b:SourceType>
    <b:Guid>{5B280636-8F27-41E7-A2E0-064C473EC836}</b:Guid>
    <b:Title>What is Qualitative Research</b:Title>
    <b:Year>2013</b:Year>
    <b:City>London</b:City>
    <b:Publisher>Bloomsbury</b:Publisher>
    <b:Author>
      <b:Author>
        <b:NameList>
          <b:Person>
            <b:Last>Hammersley</b:Last>
            <b:First>Martyn</b:First>
          </b:Person>
        </b:NameList>
      </b:Author>
    </b:Author>
    <b:Edition>1st</b:Edition>
    <b:RefOrder>32</b:RefOrder>
  </b:Source>
  <b:Source>
    <b:Tag>Osb08</b:Tag>
    <b:SourceType>Book</b:SourceType>
    <b:Guid>{20FF8A74-0148-4B44-BBD8-9F33F262B69A}</b:Guid>
    <b:Title>Best Practices in Quantitative Methods</b:Title>
    <b:Year>2008</b:Year>
    <b:City>Los Angeles </b:City>
    <b:Publisher>Sage Publications</b:Publisher>
    <b:Author>
      <b:Author>
        <b:NameList>
          <b:Person>
            <b:Last>Osborne</b:Last>
            <b:First>Jason</b:First>
          </b:Person>
        </b:NameList>
      </b:Author>
    </b:Author>
    <b:RefOrder>98</b:RefOrder>
  </b:Source>
  <b:Source>
    <b:Tag>Cas06</b:Tag>
    <b:SourceType>JournalArticle</b:SourceType>
    <b:Guid>{4CC5201C-5375-4C98-BEB4-4919AA2EF9E9}</b:Guid>
    <b:Title>Action research: explain the diversity.</b:Title>
    <b:JournalName>Human Relations</b:JournalName>
    <b:Year>2006</b:Year>
    <b:Pages>783-814</b:Pages>
    <b:Author>
      <b:Author>
        <b:NameList>
          <b:Person>
            <b:Last>Cassell</b:Last>
            <b:First>C.</b:First>
          </b:Person>
          <b:Person>
            <b:Last>Johnson</b:Last>
            <b:First>P.</b:First>
          </b:Person>
        </b:NameList>
      </b:Author>
    </b:Author>
    <b:Volume>59</b:Volume>
    <b:Issue>6</b:Issue>
    <b:RefOrder>99</b:RefOrder>
  </b:Source>
  <b:Source>
    <b:Tag>Ste01</b:Tag>
    <b:SourceType>JournalArticle</b:SourceType>
    <b:Guid>{123BA8E3-E801-4D8D-A597-0F26F44DD17C}</b:Guid>
    <b:Title>An overview of content analysis</b:Title>
    <b:JournalName>Practical assesment</b:JournalName>
    <b:Year>2001</b:Year>
    <b:Author>
      <b:Author>
        <b:NameList>
          <b:Person>
            <b:Last>Stemler</b:Last>
            <b:First>S</b:First>
          </b:Person>
        </b:NameList>
      </b:Author>
    </b:Author>
    <b:Volume>7</b:Volume>
    <b:Issue>19</b:Issue>
    <b:RefOrder>100</b:RefOrder>
  </b:Source>
  <b:Source>
    <b:Tag>Rob06</b:Tag>
    <b:SourceType>JournalArticle</b:SourceType>
    <b:Guid>{CD9B4F14-BE1D-46F6-9D6A-1A42A1FF709A}</b:Guid>
    <b:Title>Reliability and validity in research.</b:Title>
    <b:JournalName>Clinical Research Education </b:JournalName>
    <b:Year>2006</b:Year>
    <b:Pages>41-45</b:Pages>
    <b:Author>
      <b:Author>
        <b:NameList>
          <b:Person>
            <b:Last>Roberts</b:Last>
            <b:First>Paula</b:First>
          </b:Person>
          <b:Person>
            <b:Last>Priest</b:Last>
            <b:First>Helena</b:First>
          </b:Person>
          <b:Person>
            <b:Last>Traynor</b:Last>
            <b:First>Michael</b:First>
          </b:Person>
        </b:NameList>
      </b:Author>
    </b:Author>
    <b:Volume>20</b:Volume>
    <b:Issue>44</b:Issue>
    <b:RefOrder>101</b:RefOrder>
  </b:Source>
  <b:Source>
    <b:Tag>Ent17</b:Tag>
    <b:SourceType>Report</b:SourceType>
    <b:Guid>{A95633E3-E736-4109-83F5-C9B678ABE484}</b:Guid>
    <b:Author>
      <b:Author>
        <b:Corporate>Entertainment Asia Gaming</b:Corporate>
      </b:Author>
    </b:Author>
    <b:Title>Entertainment Asia Gaming Inc Annual Report 2016</b:Title>
    <b:Year>2017</b:Year>
    <b:Publisher>Entertainment Asia Gaming Inc</b:Publisher>
    <b:City>Macau </b:City>
    <b:RefOrder>38</b:RefOrder>
  </b:Source>
  <b:Source>
    <b:Tag>GVC161</b:Tag>
    <b:SourceType>Report</b:SourceType>
    <b:Guid>{4DD43A00-36E5-402D-A412-33E0DF714CFB}</b:Guid>
    <b:Title>GVC Holdings Annual Report 2016</b:Title>
    <b:Year>2017</b:Year>
    <b:City>Vienna</b:City>
    <b:Publisher>GVC Holdings</b:Publisher>
    <b:Author>
      <b:Author>
        <b:Corporate>GVC Holdings - Bwin</b:Corporate>
      </b:Author>
    </b:Author>
    <b:RefOrder>102</b:RefOrder>
  </b:Source>
  <b:Source>
    <b:Tag>UKg17</b:Tag>
    <b:SourceType>InternetSite</b:SourceType>
    <b:Guid>{A6C1E49F-C516-43BA-AF26-002A103FB924}</b:Guid>
    <b:Title>UK gambling industry now takes £14bn a year from punters – report</b:Title>
    <b:Year>2017</b:Year>
    <b:InternetSiteTitle>The Guardian</b:InternetSiteTitle>
    <b:Month>August</b:Month>
    <b:Day>31</b:Day>
    <b:URL>https://www.theguardian.com/society/2017/aug/31/uk-gambling-industry-takes-14bn-year-punters</b:URL>
    <b:YearAccessed>2018</b:YearAccessed>
    <b:MonthAccessed>August</b:MonthAccessed>
    <b:DayAccessed>24</b:DayAccessed>
    <b:Author>
      <b:Author>
        <b:NameList>
          <b:Person>
            <b:Last>Davies</b:Last>
            <b:First>Rob</b:First>
          </b:Person>
        </b:NameList>
      </b:Author>
    </b:Author>
    <b:RefOrder>103</b:RefOrder>
  </b:Source>
  <b:Source>
    <b:Tag>Dav16</b:Tag>
    <b:SourceType>InternetSite</b:SourceType>
    <b:Guid>{03864C56-322E-4395-B84D-205AF80FB12F}</b:Guid>
    <b:Title>Problem gambling costs UK up to £1.2bn a year</b:Title>
    <b:InternetSiteTitle>The Guardian</b:InternetSiteTitle>
    <b:Year>2016</b:Year>
    <b:Month>December</b:Month>
    <b:Day>13</b:Day>
    <b:URL>https://www.theguardian.com/society/2016/dec/13/problem-gambling-gambleaware-ippr</b:URL>
    <b:Author>
      <b:Author>
        <b:NameList>
          <b:Person>
            <b:Last>Davies</b:Last>
            <b:First>Rob</b:First>
          </b:Person>
        </b:NameList>
      </b:Author>
    </b:Author>
    <b:YearAccessed>2018</b:YearAccessed>
    <b:MonthAccessed>August</b:MonthAccessed>
    <b:DayAccessed>24</b:DayAccessed>
    <b:RefOrder>104</b:RefOrder>
  </b:Source>
  <b:Source>
    <b:Tag>Nat18</b:Tag>
    <b:SourceType>Report</b:SourceType>
    <b:Guid>{921C3447-B540-4B8F-BE43-A83AD0C7BD08}</b:Guid>
    <b:Title>Gambling and Internet Gaming</b:Title>
    <b:Year>2018</b:Year>
    <b:Publisher>The Department of National Defence</b:Publisher>
    <b:City>Ottawa</b:City>
    <b:Author>
      <b:Author>
        <b:Corporate>National Defence </b:Corporate>
      </b:Author>
    </b:Author>
    <b:RefOrder>42</b:RefOrder>
  </b:Source>
  <b:Source>
    <b:Tag>The17</b:Tag>
    <b:SourceType>Report</b:SourceType>
    <b:Guid>{F1FA84D9-1923-4609-B750-CCF2BA23012A}</b:Guid>
    <b:Author>
      <b:Author>
        <b:Corporate>The National Lottery </b:Corporate>
      </b:Author>
    </b:Author>
    <b:Title>Big Lottery Fund Annual Accounts 2016-2017</b:Title>
    <b:Year>2017</b:Year>
    <b:Publisher>Big Lottery Fund</b:Publisher>
    <b:City>London</b:City>
    <b:RefOrder>105</b:RefOrder>
  </b:Source>
  <b:Source>
    <b:Tag>Sch08</b:Tag>
    <b:SourceType>JournalArticle</b:SourceType>
    <b:Guid>{48856A02-856F-4B9B-B1D2-51FBA0B32084}</b:Guid>
    <b:Title>Defining Globalisation</b:Title>
    <b:JournalName>The World Economy</b:JournalName>
    <b:Year>2008</b:Year>
    <b:Pages>1471-1502</b:Pages>
    <b:Author>
      <b:Author>
        <b:NameList>
          <b:Person>
            <b:Last>Scholte</b:Last>
            <b:Middle>Aart</b:Middle>
            <b:First>Jan</b:First>
          </b:Person>
        </b:NameList>
      </b:Author>
    </b:Author>
    <b:Volume>31</b:Volume>
    <b:Issue>11</b:Issue>
    <b:RefOrder>4</b:RefOrder>
  </b:Source>
  <b:Source>
    <b:Tag>The05</b:Tag>
    <b:SourceType>Report</b:SourceType>
    <b:Guid>{BA92600D-C6D4-4013-82B9-8B957F1F4F59}</b:Guid>
    <b:Title>The Gambling Act 2005</b:Title>
    <b:Year>2005</b:Year>
    <b:Publisher>United Kingdom Government</b:Publisher>
    <b:City>Westminster</b:City>
    <b:RefOrder>106</b:RefOrder>
  </b:Source>
  <b:Source>
    <b:Tag>Geo14</b:Tag>
    <b:SourceType>Report</b:SourceType>
    <b:Guid>{22386D67-850B-4783-A445-C9D5BEB0C9B5}</b:Guid>
    <b:Title>Gambling: the hidden addiction</b:Title>
    <b:Year>2014</b:Year>
    <b:Publisher>Faculty of Addictions Psychiatry, Royal College of Psychiatrists</b:Publisher>
    <b:City>London </b:City>
    <b:Author>
      <b:Author>
        <b:NameList>
          <b:Person>
            <b:Last>George</b:Last>
            <b:First>Sanju</b:First>
          </b:Person>
          <b:Person>
            <b:Last>Bowden-Jones</b:Last>
            <b:First>Henrietta</b:First>
          </b:Person>
        </b:NameList>
      </b:Author>
    </b:Author>
    <b:RefOrder>5</b:RefOrder>
  </b:Source>
  <b:Source>
    <b:Tag>Sta181</b:Tag>
    <b:SourceType>InternetSite</b:SourceType>
    <b:Guid>{C17765E9-3CEE-44B0-8845-9A655475C003}</b:Guid>
    <b:Title>Global gambling market gross gaming yield (GGY) from 2001 to 2019 (in billion U.S. dollars)</b:Title>
    <b:Year>2018</b:Year>
    <b:Author>
      <b:Author>
        <b:Corporate>Statista</b:Corporate>
      </b:Author>
    </b:Author>
    <b:InternetSiteTitle>Statista.com</b:InternetSiteTitle>
    <b:Month>August</b:Month>
    <b:Day>29</b:Day>
    <b:URL>https://www.statista.com/statistics/253416/global-gambling-market-gross-win/</b:URL>
    <b:RefOrder>1</b:RefOrder>
  </b:Source>
  <b:Source>
    <b:Tag>Sam</b:Tag>
    <b:SourceType>Book</b:SourceType>
    <b:Guid>{AD49E4AD-51AB-4F0A-B92A-62DE3E919F78}</b:Guid>
    <b:Title>Sampling Techniques</b:Title>
    <b:Year>2007</b:Year>
    <b:City>New Delhi </b:City>
    <b:Publisher>Wiley &amp; Sons</b:Publisher>
    <b:Author>
      <b:Author>
        <b:NameList>
          <b:Person>
            <b:Last>Cochran</b:Last>
            <b:Middle>G.</b:Middle>
            <b:First>William</b:First>
          </b:Person>
        </b:NameList>
      </b:Author>
    </b:Author>
    <b:Edition>3rd</b:Edition>
    <b:RefOrder>35</b:RefOrder>
  </b:Source>
  <b:Source>
    <b:Tag>Ted07</b:Tag>
    <b:SourceType>JournalArticle</b:SourceType>
    <b:Guid>{2735CFD5-E45C-42F3-9E07-44440BB0F0BB}</b:Guid>
    <b:Title>The New Era of Mixed Methods</b:Title>
    <b:Year>2007</b:Year>
    <b:JournalName>Journal of Mixed Methods Research</b:JournalName>
    <b:Pages>3</b:Pages>
    <b:Volume>1</b:Volume>
    <b:Issue>1</b:Issue>
    <b:Author>
      <b:Author>
        <b:NameList>
          <b:Person>
            <b:Last>Teddlie</b:Last>
            <b:First>Charles</b:First>
          </b:Person>
          <b:Person>
            <b:Last>Yu</b:Last>
            <b:First>Fen</b:First>
          </b:Person>
        </b:NameList>
      </b:Author>
    </b:Author>
    <b:RefOrder>36</b:RefOrder>
  </b:Source>
  <b:Source>
    <b:Tag>Gam1723</b:Tag>
    <b:SourceType>InternetSite</b:SourceType>
    <b:Guid>{6035E249-96D9-4B7A-935C-8D267DCDF67B}</b:Guid>
    <b:Title>Gambling charity warns betting firms are failing to fund addiction treatment</b:Title>
    <b:Year>2017</b:Year>
    <b:InternetSiteTitle>The Guardian</b:InternetSiteTitle>
    <b:Month>October</b:Month>
    <b:Day>31</b:Day>
    <b:URL>https://www.theguardian.com/sport/2017/oct/30/force-gambling-firms-pay-levy-addiction-treatment-charity-gambleaware-betting-companies-donate</b:URL>
    <b:Author>
      <b:Author>
        <b:NameList>
          <b:Person>
            <b:Last>Davies</b:Last>
            <b:First>Rob</b:First>
          </b:Person>
        </b:NameList>
      </b:Author>
    </b:Author>
    <b:RefOrder>107</b:RefOrder>
  </b:Source>
  <b:Source>
    <b:Tag>Gam1768</b:Tag>
    <b:SourceType>Report</b:SourceType>
    <b:Guid>{A427B522-331E-4BED-86E7-45DD91E8BDCB}</b:Guid>
    <b:Title>Asia Outlook: Casinos and Gambling</b:Title>
    <b:Year>2017</b:Year>
    <b:City>London</b:City>
    <b:Publisher>Gambling Compliance Outlook </b:Publisher>
    <b:Author>
      <b:Author>
        <b:Corporate>Gambling Compliance</b:Corporate>
      </b:Author>
    </b:Author>
    <b:RefOrder>108</b:RefOrder>
  </b:Source>
  <b:Source>
    <b:Tag>Cha17</b:Tag>
    <b:SourceType>InternetSite</b:SourceType>
    <b:Guid>{1001AAA0-8199-4D36-BF3B-B21314B2A0E9}</b:Guid>
    <b:Title>Denise Coates Foundation</b:Title>
    <b:InternetSiteTitle>GOV.UK</b:InternetSiteTitle>
    <b:Year>2017</b:Year>
    <b:Month>March</b:Month>
    <b:Day>26</b:Day>
    <b:URL>http://beta.charitycommission.gov.uk/charity-details/?regid=1149110&amp;subid=0</b:URL>
    <b:Author>
      <b:Author>
        <b:Corporate>Charity Commission UK Government</b:Corporate>
      </b:Author>
    </b:Author>
    <b:RefOrder>20</b:RefOrder>
  </b:Source>
  <b:Source>
    <b:Tag>Fan18</b:Tag>
    <b:SourceType>Report</b:SourceType>
    <b:Guid>{6A610E07-ADA1-47D6-82BF-362FE9A36379}</b:Guid>
    <b:Title>The Canada Revenue Report</b:Title>
    <b:Year>2018</b:Year>
    <b:Publisher>Fantini National Research</b:Publisher>
    <b:City>Delaware</b:City>
    <b:Author>
      <b:Author>
        <b:NameList>
          <b:Person>
            <b:Last>Fantini</b:Last>
            <b:First>Frank</b:First>
          </b:Person>
          <b:Person>
            <b:Last>Diem</b:Last>
            <b:First>Ashley</b:First>
          </b:Person>
        </b:NameList>
      </b:Author>
    </b:Author>
    <b:RefOrder>2</b:RefOrder>
  </b:Source>
  <b:Source>
    <b:Tag>Bet18</b:Tag>
    <b:SourceType>InternetSite</b:SourceType>
    <b:Guid>{19937358-3053-4FBA-B128-5FBAADAD349C}</b:Guid>
    <b:Title>Bet 365 Twitter Account</b:Title>
    <b:Year>2018</b:Year>
    <b:InternetSiteTitle>Twitter</b:InternetSiteTitle>
    <b:Month>August</b:Month>
    <b:Day>15</b:Day>
    <b:URL>https://twitter.com/bet365?lang=en</b:URL>
    <b:RefOrder>109</b:RefOrder>
  </b:Source>
  <b:Source>
    <b:Tag>Bet181</b:Tag>
    <b:SourceType>InternetSite</b:SourceType>
    <b:Guid>{AFF13FE7-E8E2-4903-9932-4AE71F622ABD}</b:Guid>
    <b:Title>Bet 365 Facebook Account</b:Title>
    <b:InternetSiteTitle>Facebook</b:InternetSiteTitle>
    <b:Year>2018</b:Year>
    <b:Month>August</b:Month>
    <b:Day>15</b:Day>
    <b:URL>https://www.facebook.com/bet365uk/?hc_ref=ARQFn25Iq68NJZzEWpDU5QRCUnWTdEFW8oN_JgyjPHxOrZ5fnup72HvYgbEahnHoWwM&amp;fref=nf&amp;__xts__%5B0%5D=68.ARA-Zs0tt3YTVmjXAfWI0jnVzcYHsPdn_QAvZLfqkF6xcYYlUs3ICF4B4vDLLiOslu_J-6jUDJWFuLFPk3H6dq1eZJ4Xp9hVAjXv7ThjWSkUpT-0Gd_OZpU</b:URL>
    <b:RefOrder>110</b:RefOrder>
  </b:Source>
  <b:Source>
    <b:Tag>Bwi18</b:Tag>
    <b:SourceType>InternetSite</b:SourceType>
    <b:Guid>{ED9F838E-0F99-4F4A-B33F-4D7E31F08AFA}</b:Guid>
    <b:Title>Bwin Twitter Account</b:Title>
    <b:InternetSiteTitle>Bwin</b:InternetSiteTitle>
    <b:Year>2018</b:Year>
    <b:Month>August</b:Month>
    <b:Day>15</b:Day>
    <b:URL>https://twitter.com/bwin?lang=en</b:URL>
    <b:RefOrder>111</b:RefOrder>
  </b:Source>
  <b:Source>
    <b:Tag>Asi18</b:Tag>
    <b:SourceType>InternetSite</b:SourceType>
    <b:Guid>{A5D4067E-2093-4E0A-B0E7-5765A546EC98}</b:Guid>
    <b:Title>Asia Gaming Facebook Account</b:Title>
    <b:InternetSiteTitle>Facebook</b:InternetSiteTitle>
    <b:Year>2018</b:Year>
    <b:Month>August</b:Month>
    <b:Day>15</b:Day>
    <b:URL>https://www.facebook.com/AsiaGaming.Official/</b:URL>
    <b:RefOrder>40</b:RefOrder>
  </b:Source>
  <b:Source>
    <b:Tag>Asi181</b:Tag>
    <b:SourceType>InternetSite</b:SourceType>
    <b:Guid>{AB78CB41-C90C-41F3-A89B-2A0372BE577F}</b:Guid>
    <b:Title>Asia Gaming Weibo Account</b:Title>
    <b:InternetSiteTitle>Weibo</b:InternetSiteTitle>
    <b:Year>2018</b:Year>
    <b:Month>August</b:Month>
    <b:Day>15</b:Day>
    <b:URL>https://www.weibo.com/u/6376980652</b:URL>
    <b:RefOrder>112</b:RefOrder>
  </b:Source>
  <b:Source>
    <b:Tag>Asi182</b:Tag>
    <b:SourceType>InternetSite</b:SourceType>
    <b:Guid>{C2CE4938-50E1-4766-B99C-2D7C3592DABB}</b:Guid>
    <b:Title>Asia Gaming Website</b:Title>
    <b:InternetSiteTitle>Asia Gaming</b:InternetSiteTitle>
    <b:Year>2018</b:Year>
    <b:Month>August</b:Month>
    <b:Day>15</b:Day>
    <b:URL>https://asia-gaming.com/#</b:URL>
    <b:RefOrder>113</b:RefOrder>
  </b:Source>
  <b:Source>
    <b:Tag>Bet182</b:Tag>
    <b:SourceType>InternetSite</b:SourceType>
    <b:Guid>{F00D8C19-6684-4221-95E2-1FA7A44C0888}</b:Guid>
    <b:Title>Bet 365 Website</b:Title>
    <b:InternetSiteTitle>Bet 365</b:InternetSiteTitle>
    <b:Year>2018</b:Year>
    <b:Month>August</b:Month>
    <b:Day>15</b:Day>
    <b:URL>https://www.bet365.com/?affiliate=365_688292#/HO/</b:URL>
    <b:RefOrder>114</b:RefOrder>
  </b:Source>
  <b:Source>
    <b:Tag>Bwi181</b:Tag>
    <b:SourceType>InternetSite</b:SourceType>
    <b:Guid>{3F539F1D-5473-4AEC-871B-8AF287345A92}</b:Guid>
    <b:Title>Bwin Website</b:Title>
    <b:InternetSiteTitle>Bwin</b:InternetSiteTitle>
    <b:Year>2018</b:Year>
    <b:Month>August</b:Month>
    <b:Day>15</b:Day>
    <b:URL>https://www.bwin.com/</b:URL>
    <b:RefOrder>115</b:RefOrder>
  </b:Source>
  <b:Source>
    <b:Tag>BET16</b:Tag>
    <b:SourceType>Report</b:SourceType>
    <b:Guid>{120085D1-B99D-4E19-8190-EE9A311214CA}</b:Guid>
    <b:Author>
      <b:Author>
        <b:Corporate>Bet365 Group Limited</b:Corporate>
      </b:Author>
    </b:Author>
    <b:Title>Bet365 Annual Report 2016</b:Title>
    <b:Year>2017</b:Year>
    <b:Publisher>Bet365</b:Publisher>
    <b:City>Gibraltar</b:City>
    <b:RefOrder>116</b:RefOrder>
  </b:Source>
  <b:Source>
    <b:Tag>Asi08</b:Tag>
    <b:SourceType>InternetSite</b:SourceType>
    <b:Guid>{26DA25FC-C2CA-4BB0-856F-3A5CA1AC3A35}</b:Guid>
    <b:Title>Asia Gaming Gambling Website</b:Title>
    <b:InternetSiteTitle>Ali88win</b:InternetSiteTitle>
    <b:Year>2018</b:Year>
    <b:Month>August</b:Month>
    <b:Day>15</b:Day>
    <b:URL>http://ali88win.com/scr888.htm</b:URL>
    <b:RefOrder>117</b:RefOrder>
  </b:Source>
  <b:Source>
    <b:Tag>Ram16</b:Tag>
    <b:SourceType>InternetSite</b:SourceType>
    <b:Guid>{F748008F-1D28-4612-9FD8-4FC1FD190A9D}</b:Guid>
    <b:Title>Gambling charity chair lobbied for bookmakers, documents show</b:Title>
    <b:InternetSiteTitle>The Guardian</b:InternetSiteTitle>
    <b:Year>2016</b:Year>
    <b:Month>Janurary</b:Month>
    <b:Day>6</b:Day>
    <b:URL>https://www.theguardian.com/society/2016/jan/06/documents-reveal-gambling-charity-chair-conflict-of-interest</b:URL>
    <b:Author>
      <b:Author>
        <b:NameList>
          <b:Person>
            <b:Last>Ramesh</b:Last>
            <b:First>Randeep</b:First>
          </b:Person>
        </b:NameList>
      </b:Author>
    </b:Author>
    <b:RefOrder>3</b:RefOrder>
  </b:Source>
  <b:Source>
    <b:Tag>Joh14</b:Tag>
    <b:SourceType>InternetSite</b:SourceType>
    <b:Guid>{D92BDA7E-F73E-4EA9-8E51-0CD16776C54E}</b:Guid>
    <b:Title>Labour turned a flutter into a fatal addiction to gambling</b:Title>
    <b:InternetSiteTitle>The Telegraph</b:InternetSiteTitle>
    <b:Year>2014</b:Year>
    <b:Month>March</b:Month>
    <b:Day>3</b:Day>
    <b:URL>https://www.telegraph.co.uk/comment/10673509/Labour-turned-a-flutter-into-a-fatal-addiction-to-gambling.html</b:URL>
    <b:Author>
      <b:Author>
        <b:NameList>
          <b:Person>
            <b:Last>Johnston</b:Last>
            <b:First>Philip</b:First>
          </b:Person>
        </b:NameList>
      </b:Author>
    </b:Author>
    <b:RefOrder>6</b:RefOrder>
  </b:Source>
  <b:Source>
    <b:Tag>Ima18</b:Tag>
    <b:SourceType>InternetSite</b:SourceType>
    <b:Guid>{92A3E536-38CE-42EE-B1D8-B0648B9BF41A}</b:Guid>
    <b:Author>
      <b:Author>
        <b:Corporate>ImageHolders</b:Corporate>
      </b:Author>
    </b:Author>
    <b:Title>How Technology Has Influenced the Gambling and Casino Industry</b:Title>
    <b:InternetSiteTitle>ImageHolders.com</b:InternetSiteTitle>
    <b:Year>2018</b:Year>
    <b:Month>Feburary</b:Month>
    <b:Day>28</b:Day>
    <b:URL>https://www.imageholders.com/insights/blog/post/how-technology-has-influenced-the-gambling-and-casino-industry/</b:URL>
    <b:RefOrder>118</b:RefOrder>
  </b:Source>
  <b:Source>
    <b:Tag>Sau071</b:Tag>
    <b:SourceType>Book</b:SourceType>
    <b:Guid>{DA7E1AF3-CD8A-45E6-8877-EF4F3505317A}</b:Guid>
    <b:Title>Research Methods for Business Students</b:Title>
    <b:Year>2007</b:Year>
    <b:City>Harlow</b:City>
    <b:Publisher>Pearson Education</b:Publisher>
    <b:Author>
      <b:Author>
        <b:NameList>
          <b:Person>
            <b:Last>Saunders</b:Last>
            <b:First>Mark</b:First>
          </b:Person>
          <b:Person>
            <b:Last>Lewis</b:Last>
            <b:First>Philip</b:First>
          </b:Person>
          <b:Person>
            <b:Last>Thornhill</b:Last>
            <b:First>Adrian</b:First>
          </b:Person>
        </b:NameList>
      </b:Author>
    </b:Author>
    <b:RefOrder>119</b:RefOrder>
  </b:Source>
  <b:Source>
    <b:Tag>See09</b:Tag>
    <b:SourceType>Book</b:SourceType>
    <b:Guid>{23DF9553-2BD2-4F6C-BB30-06FDDEB30203}</b:Guid>
    <b:Title>Ethics The Heart of Healthcare</b:Title>
    <b:Year>2009</b:Year>
    <b:City>Chichester</b:City>
    <b:Publisher>Wiley and Sons</b:Publisher>
    <b:Author>
      <b:Author>
        <b:NameList>
          <b:Person>
            <b:Last>Seedhouse</b:Last>
            <b:First>David</b:First>
          </b:Person>
        </b:NameList>
      </b:Author>
    </b:Author>
    <b:Edition>3rd</b:Edition>
    <b:RefOrder>120</b:RefOrder>
  </b:Source>
  <b:Source>
    <b:Tag>Eps08</b:Tag>
    <b:SourceType>Book</b:SourceType>
    <b:Guid>{C06B7A7C-1C9E-4DB4-8F33-A5202ED47672}</b:Guid>
    <b:Title>Making Sustainability Work: Best Practices in Managing and Measuring Corporate Social, Environmental and Economic Impacts</b:Title>
    <b:Year>2008</b:Year>
    <b:City>London</b:City>
    <b:Publisher>Routledge</b:Publisher>
    <b:Author>
      <b:Author>
        <b:NameList>
          <b:Person>
            <b:Last>Epstein</b:Last>
            <b:Middle>J.</b:Middle>
            <b:First>Marc</b:First>
          </b:Person>
        </b:NameList>
      </b:Author>
    </b:Author>
    <b:RefOrder>15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4F83574-A1D0-4D85-873C-62C2B1CD71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115</Pages>
  <Words>27538</Words>
  <Characters>156973</Characters>
  <Application>Microsoft Office Word</Application>
  <DocSecurity>0</DocSecurity>
  <Lines>1308</Lines>
  <Paragraphs>368</Paragraphs>
  <ScaleCrop>false</ScaleCrop>
  <HeadingPairs>
    <vt:vector size="2" baseType="variant">
      <vt:variant>
        <vt:lpstr>Title</vt:lpstr>
      </vt:variant>
      <vt:variant>
        <vt:i4>1</vt:i4>
      </vt:variant>
    </vt:vector>
  </HeadingPairs>
  <TitlesOfParts>
    <vt:vector size="1" baseType="lpstr">
      <vt:lpstr>Corporate Social Responsibility reporting by the Global Gambling Industry: Commitment, initiatives and performance.</vt:lpstr>
    </vt:vector>
  </TitlesOfParts>
  <Company/>
  <LinksUpToDate>false</LinksUpToDate>
  <CharactersWithSpaces>184143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Corporate Social Responsibility reporting by the Global Gambling Industry: Commitment, initiatives and performance.</dc:title>
  <dc:subject/>
  <dc:creator>Matthew Millar</dc:creator>
  <cp:keywords/>
  <dc:description/>
  <cp:lastModifiedBy>Matthew Millar (1703768)</cp:lastModifiedBy>
  <cp:revision>3</cp:revision>
  <cp:lastPrinted>2018-10-02T14:26:00Z</cp:lastPrinted>
  <dcterms:created xsi:type="dcterms:W3CDTF">2018-10-05T10:20:00Z</dcterms:created>
  <dcterms:modified xsi:type="dcterms:W3CDTF">2018-10-05T11:01:00Z</dcterms:modified>
</cp:coreProperties>
</file>