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42C58F8" w14:textId="77777777" w:rsidR="002F0C2E" w:rsidRDefault="002F0C2E">
      <w:pPr>
        <w:jc w:val="center"/>
      </w:pPr>
    </w:p>
    <w:p w14:paraId="445DFE68" w14:textId="77777777" w:rsidR="002F0C2E" w:rsidRDefault="00000000">
      <w:pPr>
        <w:spacing w:after="280"/>
        <w:jc w:val="center"/>
      </w:pPr>
      <w:r>
        <w:rPr>
          <w:noProof/>
        </w:rPr>
        <w:drawing>
          <wp:inline distT="0" distB="0" distL="0" distR="0" wp14:anchorId="28E05C83" wp14:editId="07777777">
            <wp:extent cx="1417320" cy="566928"/>
            <wp:effectExtent l="0" t="0" r="0" b="0"/>
            <wp:docPr id="1" name="Picture 1" descr="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logo.png"/>
                    <pic:cNvPicPr/>
                  </pic:nvPicPr>
                  <pic:blipFill>
                    <a:blip r:embed="rId8"/>
                    <a:stretch>
                      <a:fillRect/>
                    </a:stretch>
                  </pic:blipFill>
                  <pic:spPr>
                    <a:xfrm>
                      <a:off x="0" y="0"/>
                      <a:ext cx="1417320" cy="566928"/>
                    </a:xfrm>
                    <a:prstGeom prst="rect">
                      <a:avLst/>
                    </a:prstGeom>
                  </pic:spPr>
                </pic:pic>
              </a:graphicData>
            </a:graphic>
          </wp:inline>
        </w:drawing>
      </w:r>
    </w:p>
    <w:p w14:paraId="64F5AD3A" w14:textId="77777777" w:rsidR="002F0C2E" w:rsidRDefault="00000000">
      <w:pPr>
        <w:pStyle w:val="Title"/>
        <w:jc w:val="center"/>
      </w:pPr>
      <w:r>
        <w:rPr>
          <w:rFonts w:ascii="Arial" w:hAnsi="Arial"/>
          <w:b/>
          <w:color w:val="183653"/>
          <w:sz w:val="40"/>
        </w:rPr>
        <w:t>Designing Innovative Working Practices and an Environment Where Talent May Grow</w:t>
      </w:r>
    </w:p>
    <w:p w14:paraId="400374EB" w14:textId="77777777" w:rsidR="002F0C2E" w:rsidRDefault="00000000">
      <w:pPr>
        <w:pStyle w:val="Subtitle"/>
        <w:jc w:val="center"/>
      </w:pPr>
      <w:r>
        <w:rPr>
          <w:rFonts w:ascii="Arial" w:hAnsi="Arial"/>
          <w:sz w:val="30"/>
        </w:rPr>
        <w:t>An Evidence-Based HR Strategy for NHSX</w:t>
      </w:r>
    </w:p>
    <w:p w14:paraId="5FA935F5" w14:textId="77777777" w:rsidR="002F0C2E" w:rsidRDefault="002F0C2E">
      <w:pPr>
        <w:jc w:val="center"/>
      </w:pPr>
    </w:p>
    <w:p w14:paraId="7987E8FE" w14:textId="77777777" w:rsidR="002F0C2E" w:rsidRDefault="00000000">
      <w:pPr>
        <w:jc w:val="center"/>
      </w:pPr>
      <w:r>
        <w:t>Programme: Master of Business Administration</w:t>
      </w:r>
    </w:p>
    <w:p w14:paraId="6E02552D" w14:textId="77777777" w:rsidR="002F0C2E" w:rsidRDefault="00000000">
      <w:pPr>
        <w:jc w:val="center"/>
      </w:pPr>
      <w:r>
        <w:t>Module: Human Capital Management (LCMB7023)</w:t>
      </w:r>
    </w:p>
    <w:p w14:paraId="6A8A97C1" w14:textId="3EF852C2" w:rsidR="002F0C2E" w:rsidRDefault="00000000">
      <w:pPr>
        <w:jc w:val="center"/>
      </w:pPr>
      <w:r>
        <w:t xml:space="preserve">Student name: </w:t>
      </w:r>
      <w:r w:rsidR="00DD6686">
        <w:t xml:space="preserve">Hetal </w:t>
      </w:r>
      <w:proofErr w:type="spellStart"/>
      <w:r w:rsidR="00DD6686">
        <w:t>Rambhai</w:t>
      </w:r>
      <w:proofErr w:type="spellEnd"/>
      <w:r w:rsidR="00DD6686">
        <w:t xml:space="preserve"> </w:t>
      </w:r>
      <w:proofErr w:type="spellStart"/>
      <w:r w:rsidR="00DD6686">
        <w:t>Ranavaya</w:t>
      </w:r>
      <w:proofErr w:type="spellEnd"/>
    </w:p>
    <w:p w14:paraId="61ECC36B" w14:textId="48044A47" w:rsidR="002F0C2E" w:rsidRDefault="00000000">
      <w:pPr>
        <w:jc w:val="center"/>
      </w:pPr>
      <w:r>
        <w:t xml:space="preserve">Student ID: </w:t>
      </w:r>
      <w:r w:rsidR="00DD6686">
        <w:t>2611855</w:t>
      </w:r>
    </w:p>
    <w:p w14:paraId="54317246" w14:textId="0EC8BFAE" w:rsidR="00DD6686" w:rsidRDefault="00000000" w:rsidP="00DD6686">
      <w:pPr>
        <w:jc w:val="center"/>
      </w:pPr>
      <w:r>
        <w:t xml:space="preserve">Lecturer: </w:t>
      </w:r>
      <w:r w:rsidR="00DD6686">
        <w:t>Eno Maycock</w:t>
      </w:r>
    </w:p>
    <w:p w14:paraId="6C055628" w14:textId="0F92559B" w:rsidR="002F0C2E" w:rsidRDefault="00000000">
      <w:pPr>
        <w:jc w:val="center"/>
      </w:pPr>
      <w:r>
        <w:t xml:space="preserve">Submission date: </w:t>
      </w:r>
      <w:r w:rsidR="00DD6686">
        <w:t>20</w:t>
      </w:r>
      <w:r>
        <w:t xml:space="preserve"> October 2026</w:t>
      </w:r>
    </w:p>
    <w:p w14:paraId="23C71DA4" w14:textId="77777777" w:rsidR="002F0C2E" w:rsidRDefault="00000000">
      <w:pPr>
        <w:jc w:val="center"/>
      </w:pPr>
      <w:r>
        <w:t>Word count: approximately 2,475 (excluding title page, contents, references, figure captions and AI use acknowledgement)</w:t>
      </w:r>
    </w:p>
    <w:p w14:paraId="28C8DFA4" w14:textId="77777777" w:rsidR="002F0C2E" w:rsidRDefault="00000000">
      <w:r>
        <w:br w:type="page"/>
      </w:r>
    </w:p>
    <w:p w14:paraId="3D385FDC" w14:textId="77777777" w:rsidR="002F0C2E" w:rsidRDefault="00000000">
      <w:pPr>
        <w:jc w:val="center"/>
      </w:pPr>
      <w:r>
        <w:rPr>
          <w:rFonts w:ascii="Arial" w:hAnsi="Arial"/>
          <w:b/>
          <w:color w:val="183653"/>
          <w:sz w:val="30"/>
        </w:rPr>
        <w:lastRenderedPageBreak/>
        <w:t>Table of Contents</w:t>
      </w:r>
    </w:p>
    <w:p w14:paraId="36C24720" w14:textId="77777777" w:rsidR="006D5135" w:rsidRDefault="00000000">
      <w:pPr>
        <w:pStyle w:val="TOC1"/>
        <w:tabs>
          <w:tab w:val="right" w:leader="dot" w:pos="9062"/>
        </w:tabs>
        <w:rPr>
          <w:noProof/>
        </w:rPr>
      </w:pPr>
      <w:r>
        <w:fldChar w:fldCharType="begin"/>
      </w:r>
      <w:r>
        <w:instrText xml:space="preserve"> TOC \o "1-2" \h \z \u </w:instrText>
      </w:r>
      <w:r>
        <w:fldChar w:fldCharType="separate"/>
      </w:r>
      <w:hyperlink w:anchor="_Toc243425671" w:history="1">
        <w:r w:rsidR="006D5135" w:rsidRPr="006D7A38">
          <w:rPr>
            <w:rStyle w:val="Hyperlink"/>
            <w:noProof/>
          </w:rPr>
          <w:t>Introduction</w:t>
        </w:r>
        <w:r w:rsidR="006D5135">
          <w:rPr>
            <w:noProof/>
            <w:webHidden/>
          </w:rPr>
          <w:tab/>
        </w:r>
        <w:r w:rsidR="006D5135">
          <w:rPr>
            <w:noProof/>
            <w:webHidden/>
          </w:rPr>
          <w:fldChar w:fldCharType="begin"/>
        </w:r>
        <w:r w:rsidR="006D5135">
          <w:rPr>
            <w:noProof/>
            <w:webHidden/>
          </w:rPr>
          <w:instrText xml:space="preserve"> PAGEREF _Toc243425671 \h </w:instrText>
        </w:r>
        <w:r w:rsidR="006D5135">
          <w:rPr>
            <w:noProof/>
            <w:webHidden/>
          </w:rPr>
        </w:r>
        <w:r w:rsidR="006D5135">
          <w:rPr>
            <w:noProof/>
            <w:webHidden/>
          </w:rPr>
          <w:fldChar w:fldCharType="separate"/>
        </w:r>
        <w:r w:rsidR="006D5135">
          <w:rPr>
            <w:noProof/>
            <w:webHidden/>
          </w:rPr>
          <w:t>3</w:t>
        </w:r>
        <w:r w:rsidR="006D5135">
          <w:rPr>
            <w:noProof/>
            <w:webHidden/>
          </w:rPr>
          <w:fldChar w:fldCharType="end"/>
        </w:r>
      </w:hyperlink>
    </w:p>
    <w:p w14:paraId="562F660C" w14:textId="77777777" w:rsidR="006D5135" w:rsidRDefault="006D5135">
      <w:pPr>
        <w:pStyle w:val="TOC1"/>
        <w:tabs>
          <w:tab w:val="right" w:leader="dot" w:pos="9062"/>
        </w:tabs>
        <w:rPr>
          <w:noProof/>
        </w:rPr>
      </w:pPr>
      <w:hyperlink w:anchor="_Toc243425672" w:history="1">
        <w:r w:rsidRPr="006D7A38">
          <w:rPr>
            <w:rStyle w:val="Hyperlink"/>
            <w:noProof/>
          </w:rPr>
          <w:t>Task A: Designing Innovative Working Practices</w:t>
        </w:r>
        <w:r>
          <w:rPr>
            <w:noProof/>
            <w:webHidden/>
          </w:rPr>
          <w:tab/>
        </w:r>
        <w:r>
          <w:rPr>
            <w:noProof/>
            <w:webHidden/>
          </w:rPr>
          <w:fldChar w:fldCharType="begin"/>
        </w:r>
        <w:r>
          <w:rPr>
            <w:noProof/>
            <w:webHidden/>
          </w:rPr>
          <w:instrText xml:space="preserve"> PAGEREF _Toc243425672 \h </w:instrText>
        </w:r>
        <w:r>
          <w:rPr>
            <w:noProof/>
            <w:webHidden/>
          </w:rPr>
        </w:r>
        <w:r>
          <w:rPr>
            <w:noProof/>
            <w:webHidden/>
          </w:rPr>
          <w:fldChar w:fldCharType="separate"/>
        </w:r>
        <w:r>
          <w:rPr>
            <w:noProof/>
            <w:webHidden/>
          </w:rPr>
          <w:t>3</w:t>
        </w:r>
        <w:r>
          <w:rPr>
            <w:noProof/>
            <w:webHidden/>
          </w:rPr>
          <w:fldChar w:fldCharType="end"/>
        </w:r>
      </w:hyperlink>
    </w:p>
    <w:p w14:paraId="736AC8E0" w14:textId="77777777" w:rsidR="006D5135" w:rsidRDefault="006D5135">
      <w:pPr>
        <w:pStyle w:val="TOC2"/>
        <w:tabs>
          <w:tab w:val="right" w:leader="dot" w:pos="9062"/>
        </w:tabs>
        <w:rPr>
          <w:noProof/>
        </w:rPr>
      </w:pPr>
      <w:hyperlink w:anchor="_Toc243425673" w:history="1">
        <w:r w:rsidRPr="006D7A38">
          <w:rPr>
            <w:rStyle w:val="Hyperlink"/>
            <w:noProof/>
          </w:rPr>
          <w:t>Sociotechnical design and work systems</w:t>
        </w:r>
        <w:r>
          <w:rPr>
            <w:noProof/>
            <w:webHidden/>
          </w:rPr>
          <w:tab/>
        </w:r>
        <w:r>
          <w:rPr>
            <w:noProof/>
            <w:webHidden/>
          </w:rPr>
          <w:fldChar w:fldCharType="begin"/>
        </w:r>
        <w:r>
          <w:rPr>
            <w:noProof/>
            <w:webHidden/>
          </w:rPr>
          <w:instrText xml:space="preserve"> PAGEREF _Toc243425673 \h </w:instrText>
        </w:r>
        <w:r>
          <w:rPr>
            <w:noProof/>
            <w:webHidden/>
          </w:rPr>
        </w:r>
        <w:r>
          <w:rPr>
            <w:noProof/>
            <w:webHidden/>
          </w:rPr>
          <w:fldChar w:fldCharType="separate"/>
        </w:r>
        <w:r>
          <w:rPr>
            <w:noProof/>
            <w:webHidden/>
          </w:rPr>
          <w:t>3</w:t>
        </w:r>
        <w:r>
          <w:rPr>
            <w:noProof/>
            <w:webHidden/>
          </w:rPr>
          <w:fldChar w:fldCharType="end"/>
        </w:r>
      </w:hyperlink>
    </w:p>
    <w:p w14:paraId="62A93681" w14:textId="77777777" w:rsidR="006D5135" w:rsidRDefault="006D5135">
      <w:pPr>
        <w:pStyle w:val="TOC2"/>
        <w:tabs>
          <w:tab w:val="right" w:leader="dot" w:pos="9062"/>
        </w:tabs>
        <w:rPr>
          <w:noProof/>
        </w:rPr>
      </w:pPr>
      <w:hyperlink w:anchor="_Toc243425674" w:history="1">
        <w:r w:rsidRPr="006D7A38">
          <w:rPr>
            <w:rStyle w:val="Hyperlink"/>
            <w:noProof/>
          </w:rPr>
          <w:t>Agile, hybrid and cross-border working</w:t>
        </w:r>
        <w:r>
          <w:rPr>
            <w:noProof/>
            <w:webHidden/>
          </w:rPr>
          <w:tab/>
        </w:r>
        <w:r>
          <w:rPr>
            <w:noProof/>
            <w:webHidden/>
          </w:rPr>
          <w:fldChar w:fldCharType="begin"/>
        </w:r>
        <w:r>
          <w:rPr>
            <w:noProof/>
            <w:webHidden/>
          </w:rPr>
          <w:instrText xml:space="preserve"> PAGEREF _Toc243425674 \h </w:instrText>
        </w:r>
        <w:r>
          <w:rPr>
            <w:noProof/>
            <w:webHidden/>
          </w:rPr>
        </w:r>
        <w:r>
          <w:rPr>
            <w:noProof/>
            <w:webHidden/>
          </w:rPr>
          <w:fldChar w:fldCharType="separate"/>
        </w:r>
        <w:r>
          <w:rPr>
            <w:noProof/>
            <w:webHidden/>
          </w:rPr>
          <w:t>4</w:t>
        </w:r>
        <w:r>
          <w:rPr>
            <w:noProof/>
            <w:webHidden/>
          </w:rPr>
          <w:fldChar w:fldCharType="end"/>
        </w:r>
      </w:hyperlink>
    </w:p>
    <w:p w14:paraId="109CD9BE" w14:textId="77777777" w:rsidR="006D5135" w:rsidRDefault="006D5135">
      <w:pPr>
        <w:pStyle w:val="TOC2"/>
        <w:tabs>
          <w:tab w:val="right" w:leader="dot" w:pos="9062"/>
        </w:tabs>
        <w:rPr>
          <w:noProof/>
        </w:rPr>
      </w:pPr>
      <w:hyperlink w:anchor="_Toc243425675" w:history="1">
        <w:r w:rsidRPr="006D7A38">
          <w:rPr>
            <w:rStyle w:val="Hyperlink"/>
            <w:noProof/>
          </w:rPr>
          <w:t>Integrated recommendations and performance implications</w:t>
        </w:r>
        <w:r>
          <w:rPr>
            <w:noProof/>
            <w:webHidden/>
          </w:rPr>
          <w:tab/>
        </w:r>
        <w:r>
          <w:rPr>
            <w:noProof/>
            <w:webHidden/>
          </w:rPr>
          <w:fldChar w:fldCharType="begin"/>
        </w:r>
        <w:r>
          <w:rPr>
            <w:noProof/>
            <w:webHidden/>
          </w:rPr>
          <w:instrText xml:space="preserve"> PAGEREF _Toc243425675 \h </w:instrText>
        </w:r>
        <w:r>
          <w:rPr>
            <w:noProof/>
            <w:webHidden/>
          </w:rPr>
        </w:r>
        <w:r>
          <w:rPr>
            <w:noProof/>
            <w:webHidden/>
          </w:rPr>
          <w:fldChar w:fldCharType="separate"/>
        </w:r>
        <w:r>
          <w:rPr>
            <w:noProof/>
            <w:webHidden/>
          </w:rPr>
          <w:t>5</w:t>
        </w:r>
        <w:r>
          <w:rPr>
            <w:noProof/>
            <w:webHidden/>
          </w:rPr>
          <w:fldChar w:fldCharType="end"/>
        </w:r>
      </w:hyperlink>
    </w:p>
    <w:p w14:paraId="6C5A108F" w14:textId="77777777" w:rsidR="006D5135" w:rsidRDefault="006D5135">
      <w:pPr>
        <w:pStyle w:val="TOC1"/>
        <w:tabs>
          <w:tab w:val="right" w:leader="dot" w:pos="9062"/>
        </w:tabs>
        <w:rPr>
          <w:noProof/>
        </w:rPr>
      </w:pPr>
      <w:hyperlink w:anchor="_Toc243425676" w:history="1">
        <w:r w:rsidRPr="006D7A38">
          <w:rPr>
            <w:rStyle w:val="Hyperlink"/>
            <w:noProof/>
          </w:rPr>
          <w:t>Task B: Breeding an Environment Where Talent May Grow</w:t>
        </w:r>
        <w:r>
          <w:rPr>
            <w:noProof/>
            <w:webHidden/>
          </w:rPr>
          <w:tab/>
        </w:r>
        <w:r>
          <w:rPr>
            <w:noProof/>
            <w:webHidden/>
          </w:rPr>
          <w:fldChar w:fldCharType="begin"/>
        </w:r>
        <w:r>
          <w:rPr>
            <w:noProof/>
            <w:webHidden/>
          </w:rPr>
          <w:instrText xml:space="preserve"> PAGEREF _Toc243425676 \h </w:instrText>
        </w:r>
        <w:r>
          <w:rPr>
            <w:noProof/>
            <w:webHidden/>
          </w:rPr>
        </w:r>
        <w:r>
          <w:rPr>
            <w:noProof/>
            <w:webHidden/>
          </w:rPr>
          <w:fldChar w:fldCharType="separate"/>
        </w:r>
        <w:r>
          <w:rPr>
            <w:noProof/>
            <w:webHidden/>
          </w:rPr>
          <w:t>8</w:t>
        </w:r>
        <w:r>
          <w:rPr>
            <w:noProof/>
            <w:webHidden/>
          </w:rPr>
          <w:fldChar w:fldCharType="end"/>
        </w:r>
      </w:hyperlink>
    </w:p>
    <w:p w14:paraId="563A232D" w14:textId="77777777" w:rsidR="006D5135" w:rsidRDefault="006D5135">
      <w:pPr>
        <w:pStyle w:val="TOC2"/>
        <w:tabs>
          <w:tab w:val="right" w:leader="dot" w:pos="9062"/>
        </w:tabs>
        <w:rPr>
          <w:noProof/>
        </w:rPr>
      </w:pPr>
      <w:hyperlink w:anchor="_Toc243425677" w:history="1">
        <w:r w:rsidRPr="006D7A38">
          <w:rPr>
            <w:rStyle w:val="Hyperlink"/>
            <w:noProof/>
          </w:rPr>
          <w:t>Psychological safety and organisational learning</w:t>
        </w:r>
        <w:r>
          <w:rPr>
            <w:noProof/>
            <w:webHidden/>
          </w:rPr>
          <w:tab/>
        </w:r>
        <w:r>
          <w:rPr>
            <w:noProof/>
            <w:webHidden/>
          </w:rPr>
          <w:fldChar w:fldCharType="begin"/>
        </w:r>
        <w:r>
          <w:rPr>
            <w:noProof/>
            <w:webHidden/>
          </w:rPr>
          <w:instrText xml:space="preserve"> PAGEREF _Toc243425677 \h </w:instrText>
        </w:r>
        <w:r>
          <w:rPr>
            <w:noProof/>
            <w:webHidden/>
          </w:rPr>
        </w:r>
        <w:r>
          <w:rPr>
            <w:noProof/>
            <w:webHidden/>
          </w:rPr>
          <w:fldChar w:fldCharType="separate"/>
        </w:r>
        <w:r>
          <w:rPr>
            <w:noProof/>
            <w:webHidden/>
          </w:rPr>
          <w:t>8</w:t>
        </w:r>
        <w:r>
          <w:rPr>
            <w:noProof/>
            <w:webHidden/>
          </w:rPr>
          <w:fldChar w:fldCharType="end"/>
        </w:r>
      </w:hyperlink>
    </w:p>
    <w:p w14:paraId="0F645E7A" w14:textId="77777777" w:rsidR="006D5135" w:rsidRDefault="006D5135">
      <w:pPr>
        <w:pStyle w:val="TOC2"/>
        <w:tabs>
          <w:tab w:val="right" w:leader="dot" w:pos="9062"/>
        </w:tabs>
        <w:rPr>
          <w:noProof/>
        </w:rPr>
      </w:pPr>
      <w:hyperlink w:anchor="_Toc243425678" w:history="1">
        <w:r w:rsidRPr="006D7A38">
          <w:rPr>
            <w:rStyle w:val="Hyperlink"/>
            <w:noProof/>
          </w:rPr>
          <w:t>Talent systems and employee experience</w:t>
        </w:r>
        <w:r>
          <w:rPr>
            <w:noProof/>
            <w:webHidden/>
          </w:rPr>
          <w:tab/>
        </w:r>
        <w:r>
          <w:rPr>
            <w:noProof/>
            <w:webHidden/>
          </w:rPr>
          <w:fldChar w:fldCharType="begin"/>
        </w:r>
        <w:r>
          <w:rPr>
            <w:noProof/>
            <w:webHidden/>
          </w:rPr>
          <w:instrText xml:space="preserve"> PAGEREF _Toc243425678 \h </w:instrText>
        </w:r>
        <w:r>
          <w:rPr>
            <w:noProof/>
            <w:webHidden/>
          </w:rPr>
        </w:r>
        <w:r>
          <w:rPr>
            <w:noProof/>
            <w:webHidden/>
          </w:rPr>
          <w:fldChar w:fldCharType="separate"/>
        </w:r>
        <w:r>
          <w:rPr>
            <w:noProof/>
            <w:webHidden/>
          </w:rPr>
          <w:t>9</w:t>
        </w:r>
        <w:r>
          <w:rPr>
            <w:noProof/>
            <w:webHidden/>
          </w:rPr>
          <w:fldChar w:fldCharType="end"/>
        </w:r>
      </w:hyperlink>
    </w:p>
    <w:p w14:paraId="18891BBB" w14:textId="77777777" w:rsidR="006D5135" w:rsidRDefault="006D5135">
      <w:pPr>
        <w:pStyle w:val="TOC2"/>
        <w:tabs>
          <w:tab w:val="right" w:leader="dot" w:pos="9062"/>
        </w:tabs>
        <w:rPr>
          <w:noProof/>
        </w:rPr>
      </w:pPr>
      <w:hyperlink w:anchor="_Toc243425679" w:history="1">
        <w:r w:rsidRPr="006D7A38">
          <w:rPr>
            <w:rStyle w:val="Hyperlink"/>
            <w:noProof/>
          </w:rPr>
          <w:t>Sustainable performance and evaluation</w:t>
        </w:r>
        <w:r>
          <w:rPr>
            <w:noProof/>
            <w:webHidden/>
          </w:rPr>
          <w:tab/>
        </w:r>
        <w:r>
          <w:rPr>
            <w:noProof/>
            <w:webHidden/>
          </w:rPr>
          <w:fldChar w:fldCharType="begin"/>
        </w:r>
        <w:r>
          <w:rPr>
            <w:noProof/>
            <w:webHidden/>
          </w:rPr>
          <w:instrText xml:space="preserve"> PAGEREF _Toc243425679 \h </w:instrText>
        </w:r>
        <w:r>
          <w:rPr>
            <w:noProof/>
            <w:webHidden/>
          </w:rPr>
        </w:r>
        <w:r>
          <w:rPr>
            <w:noProof/>
            <w:webHidden/>
          </w:rPr>
          <w:fldChar w:fldCharType="separate"/>
        </w:r>
        <w:r>
          <w:rPr>
            <w:noProof/>
            <w:webHidden/>
          </w:rPr>
          <w:t>9</w:t>
        </w:r>
        <w:r>
          <w:rPr>
            <w:noProof/>
            <w:webHidden/>
          </w:rPr>
          <w:fldChar w:fldCharType="end"/>
        </w:r>
      </w:hyperlink>
    </w:p>
    <w:p w14:paraId="5EF98B41" w14:textId="77777777" w:rsidR="006D5135" w:rsidRDefault="006D5135">
      <w:pPr>
        <w:pStyle w:val="TOC1"/>
        <w:tabs>
          <w:tab w:val="right" w:leader="dot" w:pos="9062"/>
        </w:tabs>
        <w:rPr>
          <w:noProof/>
        </w:rPr>
      </w:pPr>
      <w:hyperlink w:anchor="_Toc243425680" w:history="1">
        <w:r w:rsidRPr="006D7A38">
          <w:rPr>
            <w:rStyle w:val="Hyperlink"/>
            <w:noProof/>
          </w:rPr>
          <w:t>Task C: Reflection</w:t>
        </w:r>
        <w:r>
          <w:rPr>
            <w:noProof/>
            <w:webHidden/>
          </w:rPr>
          <w:tab/>
        </w:r>
        <w:r>
          <w:rPr>
            <w:noProof/>
            <w:webHidden/>
          </w:rPr>
          <w:fldChar w:fldCharType="begin"/>
        </w:r>
        <w:r>
          <w:rPr>
            <w:noProof/>
            <w:webHidden/>
          </w:rPr>
          <w:instrText xml:space="preserve"> PAGEREF _Toc243425680 \h </w:instrText>
        </w:r>
        <w:r>
          <w:rPr>
            <w:noProof/>
            <w:webHidden/>
          </w:rPr>
        </w:r>
        <w:r>
          <w:rPr>
            <w:noProof/>
            <w:webHidden/>
          </w:rPr>
          <w:fldChar w:fldCharType="separate"/>
        </w:r>
        <w:r>
          <w:rPr>
            <w:noProof/>
            <w:webHidden/>
          </w:rPr>
          <w:t>13</w:t>
        </w:r>
        <w:r>
          <w:rPr>
            <w:noProof/>
            <w:webHidden/>
          </w:rPr>
          <w:fldChar w:fldCharType="end"/>
        </w:r>
      </w:hyperlink>
    </w:p>
    <w:p w14:paraId="266030E7" w14:textId="77777777" w:rsidR="006D5135" w:rsidRDefault="006D5135">
      <w:pPr>
        <w:pStyle w:val="TOC2"/>
        <w:tabs>
          <w:tab w:val="right" w:leader="dot" w:pos="9062"/>
        </w:tabs>
        <w:rPr>
          <w:noProof/>
        </w:rPr>
      </w:pPr>
      <w:hyperlink w:anchor="_Toc243425681" w:history="1">
        <w:r w:rsidRPr="006D7A38">
          <w:rPr>
            <w:rStyle w:val="Hyperlink"/>
            <w:noProof/>
          </w:rPr>
          <w:t>Description</w:t>
        </w:r>
        <w:r>
          <w:rPr>
            <w:noProof/>
            <w:webHidden/>
          </w:rPr>
          <w:tab/>
        </w:r>
        <w:r>
          <w:rPr>
            <w:noProof/>
            <w:webHidden/>
          </w:rPr>
          <w:fldChar w:fldCharType="begin"/>
        </w:r>
        <w:r>
          <w:rPr>
            <w:noProof/>
            <w:webHidden/>
          </w:rPr>
          <w:instrText xml:space="preserve"> PAGEREF _Toc243425681 \h </w:instrText>
        </w:r>
        <w:r>
          <w:rPr>
            <w:noProof/>
            <w:webHidden/>
          </w:rPr>
        </w:r>
        <w:r>
          <w:rPr>
            <w:noProof/>
            <w:webHidden/>
          </w:rPr>
          <w:fldChar w:fldCharType="separate"/>
        </w:r>
        <w:r>
          <w:rPr>
            <w:noProof/>
            <w:webHidden/>
          </w:rPr>
          <w:t>13</w:t>
        </w:r>
        <w:r>
          <w:rPr>
            <w:noProof/>
            <w:webHidden/>
          </w:rPr>
          <w:fldChar w:fldCharType="end"/>
        </w:r>
      </w:hyperlink>
    </w:p>
    <w:p w14:paraId="5340E429" w14:textId="77777777" w:rsidR="006D5135" w:rsidRDefault="006D5135">
      <w:pPr>
        <w:pStyle w:val="TOC2"/>
        <w:tabs>
          <w:tab w:val="right" w:leader="dot" w:pos="9062"/>
        </w:tabs>
        <w:rPr>
          <w:noProof/>
        </w:rPr>
      </w:pPr>
      <w:hyperlink w:anchor="_Toc243425682" w:history="1">
        <w:r w:rsidRPr="006D7A38">
          <w:rPr>
            <w:rStyle w:val="Hyperlink"/>
            <w:noProof/>
          </w:rPr>
          <w:t>Evaluation and analysis</w:t>
        </w:r>
        <w:r>
          <w:rPr>
            <w:noProof/>
            <w:webHidden/>
          </w:rPr>
          <w:tab/>
        </w:r>
        <w:r>
          <w:rPr>
            <w:noProof/>
            <w:webHidden/>
          </w:rPr>
          <w:fldChar w:fldCharType="begin"/>
        </w:r>
        <w:r>
          <w:rPr>
            <w:noProof/>
            <w:webHidden/>
          </w:rPr>
          <w:instrText xml:space="preserve"> PAGEREF _Toc243425682 \h </w:instrText>
        </w:r>
        <w:r>
          <w:rPr>
            <w:noProof/>
            <w:webHidden/>
          </w:rPr>
        </w:r>
        <w:r>
          <w:rPr>
            <w:noProof/>
            <w:webHidden/>
          </w:rPr>
          <w:fldChar w:fldCharType="separate"/>
        </w:r>
        <w:r>
          <w:rPr>
            <w:noProof/>
            <w:webHidden/>
          </w:rPr>
          <w:t>13</w:t>
        </w:r>
        <w:r>
          <w:rPr>
            <w:noProof/>
            <w:webHidden/>
          </w:rPr>
          <w:fldChar w:fldCharType="end"/>
        </w:r>
      </w:hyperlink>
    </w:p>
    <w:p w14:paraId="7B7DD55A" w14:textId="77777777" w:rsidR="006D5135" w:rsidRDefault="006D5135">
      <w:pPr>
        <w:pStyle w:val="TOC2"/>
        <w:tabs>
          <w:tab w:val="right" w:leader="dot" w:pos="9062"/>
        </w:tabs>
        <w:rPr>
          <w:noProof/>
        </w:rPr>
      </w:pPr>
      <w:hyperlink w:anchor="_Toc243425683" w:history="1">
        <w:r w:rsidRPr="006D7A38">
          <w:rPr>
            <w:rStyle w:val="Hyperlink"/>
            <w:noProof/>
          </w:rPr>
          <w:t>Reflection on the experience</w:t>
        </w:r>
        <w:r>
          <w:rPr>
            <w:noProof/>
            <w:webHidden/>
          </w:rPr>
          <w:tab/>
        </w:r>
        <w:r>
          <w:rPr>
            <w:noProof/>
            <w:webHidden/>
          </w:rPr>
          <w:fldChar w:fldCharType="begin"/>
        </w:r>
        <w:r>
          <w:rPr>
            <w:noProof/>
            <w:webHidden/>
          </w:rPr>
          <w:instrText xml:space="preserve"> PAGEREF _Toc243425683 \h </w:instrText>
        </w:r>
        <w:r>
          <w:rPr>
            <w:noProof/>
            <w:webHidden/>
          </w:rPr>
        </w:r>
        <w:r>
          <w:rPr>
            <w:noProof/>
            <w:webHidden/>
          </w:rPr>
          <w:fldChar w:fldCharType="separate"/>
        </w:r>
        <w:r>
          <w:rPr>
            <w:noProof/>
            <w:webHidden/>
          </w:rPr>
          <w:t>14</w:t>
        </w:r>
        <w:r>
          <w:rPr>
            <w:noProof/>
            <w:webHidden/>
          </w:rPr>
          <w:fldChar w:fldCharType="end"/>
        </w:r>
      </w:hyperlink>
    </w:p>
    <w:p w14:paraId="256EE372" w14:textId="77777777" w:rsidR="006D5135" w:rsidRDefault="006D5135">
      <w:pPr>
        <w:pStyle w:val="TOC2"/>
        <w:tabs>
          <w:tab w:val="right" w:leader="dot" w:pos="9062"/>
        </w:tabs>
        <w:rPr>
          <w:noProof/>
        </w:rPr>
      </w:pPr>
      <w:hyperlink w:anchor="_Toc243425684" w:history="1">
        <w:r w:rsidRPr="006D7A38">
          <w:rPr>
            <w:rStyle w:val="Hyperlink"/>
            <w:noProof/>
          </w:rPr>
          <w:t>Ethical and professional implications</w:t>
        </w:r>
        <w:r>
          <w:rPr>
            <w:noProof/>
            <w:webHidden/>
          </w:rPr>
          <w:tab/>
        </w:r>
        <w:r>
          <w:rPr>
            <w:noProof/>
            <w:webHidden/>
          </w:rPr>
          <w:fldChar w:fldCharType="begin"/>
        </w:r>
        <w:r>
          <w:rPr>
            <w:noProof/>
            <w:webHidden/>
          </w:rPr>
          <w:instrText xml:space="preserve"> PAGEREF _Toc243425684 \h </w:instrText>
        </w:r>
        <w:r>
          <w:rPr>
            <w:noProof/>
            <w:webHidden/>
          </w:rPr>
        </w:r>
        <w:r>
          <w:rPr>
            <w:noProof/>
            <w:webHidden/>
          </w:rPr>
          <w:fldChar w:fldCharType="separate"/>
        </w:r>
        <w:r>
          <w:rPr>
            <w:noProof/>
            <w:webHidden/>
          </w:rPr>
          <w:t>14</w:t>
        </w:r>
        <w:r>
          <w:rPr>
            <w:noProof/>
            <w:webHidden/>
          </w:rPr>
          <w:fldChar w:fldCharType="end"/>
        </w:r>
      </w:hyperlink>
    </w:p>
    <w:p w14:paraId="2A1848BC" w14:textId="77777777" w:rsidR="006D5135" w:rsidRDefault="006D5135">
      <w:pPr>
        <w:pStyle w:val="TOC2"/>
        <w:tabs>
          <w:tab w:val="right" w:leader="dot" w:pos="9062"/>
        </w:tabs>
        <w:rPr>
          <w:noProof/>
        </w:rPr>
      </w:pPr>
      <w:hyperlink w:anchor="_Toc243425685" w:history="1">
        <w:r w:rsidRPr="006D7A38">
          <w:rPr>
            <w:rStyle w:val="Hyperlink"/>
            <w:noProof/>
          </w:rPr>
          <w:t>Conclusion and personal capability plan</w:t>
        </w:r>
        <w:r>
          <w:rPr>
            <w:noProof/>
            <w:webHidden/>
          </w:rPr>
          <w:tab/>
        </w:r>
        <w:r>
          <w:rPr>
            <w:noProof/>
            <w:webHidden/>
          </w:rPr>
          <w:fldChar w:fldCharType="begin"/>
        </w:r>
        <w:r>
          <w:rPr>
            <w:noProof/>
            <w:webHidden/>
          </w:rPr>
          <w:instrText xml:space="preserve"> PAGEREF _Toc243425685 \h </w:instrText>
        </w:r>
        <w:r>
          <w:rPr>
            <w:noProof/>
            <w:webHidden/>
          </w:rPr>
        </w:r>
        <w:r>
          <w:rPr>
            <w:noProof/>
            <w:webHidden/>
          </w:rPr>
          <w:fldChar w:fldCharType="separate"/>
        </w:r>
        <w:r>
          <w:rPr>
            <w:noProof/>
            <w:webHidden/>
          </w:rPr>
          <w:t>14</w:t>
        </w:r>
        <w:r>
          <w:rPr>
            <w:noProof/>
            <w:webHidden/>
          </w:rPr>
          <w:fldChar w:fldCharType="end"/>
        </w:r>
      </w:hyperlink>
    </w:p>
    <w:p w14:paraId="00AB103E" w14:textId="77777777" w:rsidR="006D5135" w:rsidRDefault="006D5135">
      <w:pPr>
        <w:pStyle w:val="TOC1"/>
        <w:tabs>
          <w:tab w:val="right" w:leader="dot" w:pos="9062"/>
        </w:tabs>
        <w:rPr>
          <w:noProof/>
        </w:rPr>
      </w:pPr>
      <w:hyperlink w:anchor="_Toc243425686" w:history="1">
        <w:r w:rsidRPr="006D7A38">
          <w:rPr>
            <w:rStyle w:val="Hyperlink"/>
            <w:noProof/>
          </w:rPr>
          <w:t>Conclusion</w:t>
        </w:r>
        <w:r>
          <w:rPr>
            <w:noProof/>
            <w:webHidden/>
          </w:rPr>
          <w:tab/>
        </w:r>
        <w:r>
          <w:rPr>
            <w:noProof/>
            <w:webHidden/>
          </w:rPr>
          <w:fldChar w:fldCharType="begin"/>
        </w:r>
        <w:r>
          <w:rPr>
            <w:noProof/>
            <w:webHidden/>
          </w:rPr>
          <w:instrText xml:space="preserve"> PAGEREF _Toc243425686 \h </w:instrText>
        </w:r>
        <w:r>
          <w:rPr>
            <w:noProof/>
            <w:webHidden/>
          </w:rPr>
        </w:r>
        <w:r>
          <w:rPr>
            <w:noProof/>
            <w:webHidden/>
          </w:rPr>
          <w:fldChar w:fldCharType="separate"/>
        </w:r>
        <w:r>
          <w:rPr>
            <w:noProof/>
            <w:webHidden/>
          </w:rPr>
          <w:t>15</w:t>
        </w:r>
        <w:r>
          <w:rPr>
            <w:noProof/>
            <w:webHidden/>
          </w:rPr>
          <w:fldChar w:fldCharType="end"/>
        </w:r>
      </w:hyperlink>
    </w:p>
    <w:p w14:paraId="3D9AD9FD" w14:textId="77777777" w:rsidR="006D5135" w:rsidRDefault="006D5135">
      <w:pPr>
        <w:pStyle w:val="TOC1"/>
        <w:tabs>
          <w:tab w:val="right" w:leader="dot" w:pos="9062"/>
        </w:tabs>
        <w:rPr>
          <w:noProof/>
        </w:rPr>
      </w:pPr>
      <w:hyperlink w:anchor="_Toc243425687" w:history="1">
        <w:r w:rsidRPr="006D7A38">
          <w:rPr>
            <w:rStyle w:val="Hyperlink"/>
            <w:noProof/>
          </w:rPr>
          <w:t>References</w:t>
        </w:r>
        <w:r>
          <w:rPr>
            <w:noProof/>
            <w:webHidden/>
          </w:rPr>
          <w:tab/>
        </w:r>
        <w:r>
          <w:rPr>
            <w:noProof/>
            <w:webHidden/>
          </w:rPr>
          <w:fldChar w:fldCharType="begin"/>
        </w:r>
        <w:r>
          <w:rPr>
            <w:noProof/>
            <w:webHidden/>
          </w:rPr>
          <w:instrText xml:space="preserve"> PAGEREF _Toc243425687 \h </w:instrText>
        </w:r>
        <w:r>
          <w:rPr>
            <w:noProof/>
            <w:webHidden/>
          </w:rPr>
        </w:r>
        <w:r>
          <w:rPr>
            <w:noProof/>
            <w:webHidden/>
          </w:rPr>
          <w:fldChar w:fldCharType="separate"/>
        </w:r>
        <w:r>
          <w:rPr>
            <w:noProof/>
            <w:webHidden/>
          </w:rPr>
          <w:t>15</w:t>
        </w:r>
        <w:r>
          <w:rPr>
            <w:noProof/>
            <w:webHidden/>
          </w:rPr>
          <w:fldChar w:fldCharType="end"/>
        </w:r>
      </w:hyperlink>
    </w:p>
    <w:p w14:paraId="78A992FA" w14:textId="77777777" w:rsidR="002F0C2E" w:rsidRDefault="00000000">
      <w:r>
        <w:fldChar w:fldCharType="end"/>
      </w:r>
    </w:p>
    <w:p w14:paraId="1C7884D9" w14:textId="77777777" w:rsidR="002F0C2E" w:rsidRDefault="00000000">
      <w:r>
        <w:br w:type="page"/>
      </w:r>
    </w:p>
    <w:p w14:paraId="568D2E41" w14:textId="77777777" w:rsidR="002F0C2E" w:rsidRDefault="1D0CA0E3">
      <w:pPr>
        <w:pStyle w:val="Heading1"/>
      </w:pPr>
      <w:bookmarkStart w:id="0" w:name="_Toc243425671"/>
      <w:r>
        <w:lastRenderedPageBreak/>
        <w:t>Introduction</w:t>
      </w:r>
      <w:bookmarkEnd w:id="0"/>
    </w:p>
    <w:p w14:paraId="01346103" w14:textId="77777777" w:rsidR="3FFD97CC" w:rsidRDefault="3FFD97CC" w:rsidP="1D0CA0E3">
      <w:pPr>
        <w:rPr>
          <w:rFonts w:cs="Arial"/>
          <w:szCs w:val="24"/>
        </w:rPr>
      </w:pPr>
      <w:r w:rsidRPr="1D0CA0E3">
        <w:rPr>
          <w:rFonts w:ascii="Arial" w:hAnsi="Arial" w:cs="Arial"/>
          <w:szCs w:val="24"/>
        </w:rPr>
        <w:t xml:space="preserve">NHSX needs to build on innovation, collaboration and talent retention and patient safety needs to be nurtured in their UK, India and UAE health services staff. </w:t>
      </w:r>
    </w:p>
    <w:p w14:paraId="517A6B0F" w14:textId="77777777" w:rsidR="002F0C2E" w:rsidRDefault="1D0CA0E3">
      <w:pPr>
        <w:pStyle w:val="Heading1"/>
      </w:pPr>
      <w:bookmarkStart w:id="1" w:name="_Toc243425672"/>
      <w:r>
        <w:t>Task A: Designing Innovative Working Practices</w:t>
      </w:r>
      <w:bookmarkEnd w:id="1"/>
    </w:p>
    <w:p w14:paraId="6069F66A" w14:textId="77777777" w:rsidR="3C2C78BF" w:rsidRDefault="3C2C78BF" w:rsidP="1D0CA0E3">
      <w:pPr>
        <w:rPr>
          <w:rFonts w:cs="Arial"/>
          <w:szCs w:val="24"/>
        </w:rPr>
      </w:pPr>
      <w:r w:rsidRPr="1D0CA0E3">
        <w:rPr>
          <w:rFonts w:ascii="Arial" w:hAnsi="Arial" w:cs="Arial"/>
          <w:szCs w:val="24"/>
        </w:rPr>
        <w:t xml:space="preserve"> Without a baseline of workforce performance provided in the case, it is not safe to assume recommendations will </w:t>
      </w:r>
      <w:proofErr w:type="gramStart"/>
      <w:r w:rsidRPr="1D0CA0E3">
        <w:rPr>
          <w:rFonts w:ascii="Arial" w:hAnsi="Arial" w:cs="Arial"/>
          <w:szCs w:val="24"/>
        </w:rPr>
        <w:t>work, and</w:t>
      </w:r>
      <w:proofErr w:type="gramEnd"/>
      <w:r w:rsidRPr="1D0CA0E3">
        <w:rPr>
          <w:rFonts w:ascii="Arial" w:hAnsi="Arial" w:cs="Arial"/>
          <w:szCs w:val="24"/>
        </w:rPr>
        <w:t xml:space="preserve"> should be tested and assessed. The analysis is based on the theory of Sociotechnical systems (Trist and Bamforth, 1951) which posits that working practices influence the ability to use technology safely, collaboratively and effectively.</w:t>
      </w:r>
    </w:p>
    <w:p w14:paraId="5C1F2F40" w14:textId="77777777" w:rsidR="002F0C2E" w:rsidRDefault="1D0CA0E3">
      <w:pPr>
        <w:pStyle w:val="Heading2"/>
      </w:pPr>
      <w:bookmarkStart w:id="2" w:name="_Toc243425673"/>
      <w:r>
        <w:t>Sociotechnical design and work systems</w:t>
      </w:r>
      <w:bookmarkEnd w:id="2"/>
    </w:p>
    <w:p w14:paraId="336495EC" w14:textId="77777777" w:rsidR="002F0C2E" w:rsidRDefault="15A2E96C" w:rsidP="1D0CA0E3">
      <w:pPr>
        <w:rPr>
          <w:rFonts w:cs="Arial"/>
          <w:szCs w:val="24"/>
        </w:rPr>
      </w:pPr>
      <w:r w:rsidRPr="1D0CA0E3">
        <w:rPr>
          <w:rFonts w:ascii="Arial" w:hAnsi="Arial" w:cs="Arial"/>
          <w:szCs w:val="24"/>
        </w:rPr>
        <w:t>The seminal study by Trist and Bamforth (1951) of mechanised coal mining has been the basis of the demonstration that a technical system optimization only reduces productivity and wellbeing (a social system optimization must be performed). Cherns' (1976) design principles make this possible, minimal critical specification (specify outcomes rather than methods), boundary management, and the compatibility principle and variance control.  It entails that NHSX needs to set the parameters as, for example: patient safety, delivery reliability, continuous learning and to leave their UK, Indian and Emirati teams real decision-making scope to deliver it as they see fit (Cherns, 1987). Variance control is no exception – where a team identifies a clinical-safety deviation, it should be the team who can stop the work, not a far-off approval chain. Hierarchical controls can help to establish accountability in clinical work, while centralised approvals can slow down routine decisions and stifle local expertise; ensure discovery decentralisation with retainment of named clinical release authority.</w:t>
      </w:r>
    </w:p>
    <w:p w14:paraId="34D85940" w14:textId="77777777" w:rsidR="002F0C2E" w:rsidRDefault="1E97DB23" w:rsidP="1D0CA0E3">
      <w:pPr>
        <w:rPr>
          <w:rFonts w:cs="Arial"/>
          <w:szCs w:val="24"/>
        </w:rPr>
      </w:pPr>
      <w:r w:rsidRPr="1D0CA0E3">
        <w:rPr>
          <w:rFonts w:ascii="Arial" w:hAnsi="Arial" w:cs="Arial"/>
          <w:szCs w:val="24"/>
        </w:rPr>
        <w:t xml:space="preserve">Bundles of selective hiring, training, information sharing and participation via ability–motivation–opportunity logic (Appelbaum et al., 2000), plus meaningful employee influence (Lawler, 1986; Benson and Lawler, 2003) create high-performance work systems (HPWS). Researchers have been associated with these bundles of components and measures of outcome, which are variable, making it difficult to make universal causal statements. </w:t>
      </w:r>
      <w:proofErr w:type="gramStart"/>
      <w:r w:rsidRPr="1D0CA0E3">
        <w:rPr>
          <w:rFonts w:ascii="Arial" w:hAnsi="Arial" w:cs="Arial"/>
          <w:szCs w:val="24"/>
        </w:rPr>
        <w:t>The majority of</w:t>
      </w:r>
      <w:proofErr w:type="gramEnd"/>
      <w:r w:rsidRPr="1D0CA0E3">
        <w:rPr>
          <w:rFonts w:ascii="Arial" w:hAnsi="Arial" w:cs="Arial"/>
          <w:szCs w:val="24"/>
        </w:rPr>
        <w:t xml:space="preserve"> the evidence is also from manufacturing in the United States; Boxall and Purcell (2016) warn that the practices might not transfer easily to regulatory and cultural contexts. NHSX to keep the architecture and </w:t>
      </w:r>
      <w:r w:rsidRPr="1D0CA0E3">
        <w:rPr>
          <w:rFonts w:ascii="Arial" w:hAnsi="Arial" w:cs="Arial"/>
          <w:szCs w:val="24"/>
        </w:rPr>
        <w:lastRenderedPageBreak/>
        <w:t>test locally fitted practices – clinical-safety officers, information sharing around data-protection and cross-border collaboration in appraisal.</w:t>
      </w:r>
    </w:p>
    <w:p w14:paraId="6AE4AFE8" w14:textId="77777777" w:rsidR="002F0C2E" w:rsidRDefault="1D0CA0E3">
      <w:pPr>
        <w:pStyle w:val="Heading2"/>
      </w:pPr>
      <w:bookmarkStart w:id="3" w:name="_Toc243425674"/>
      <w:r>
        <w:t>Agile, hybrid and cross-border working</w:t>
      </w:r>
      <w:bookmarkEnd w:id="3"/>
    </w:p>
    <w:p w14:paraId="623D584E" w14:textId="77777777" w:rsidR="4548C7E1" w:rsidRDefault="4548C7E1" w:rsidP="1D0CA0E3">
      <w:pPr>
        <w:rPr>
          <w:rFonts w:cs="Arial"/>
          <w:szCs w:val="24"/>
        </w:rPr>
      </w:pPr>
      <w:r w:rsidRPr="1D0CA0E3">
        <w:rPr>
          <w:rFonts w:ascii="Arial" w:hAnsi="Arial" w:cs="Arial"/>
          <w:szCs w:val="24"/>
        </w:rPr>
        <w:t xml:space="preserve">In a discovery project, the needs of the user and the technical possibilities are uncertain; agile methods (Rigby, Sutherland and Takeuchi, 2016) are suitable for this type of work. </w:t>
      </w:r>
      <w:proofErr w:type="gramStart"/>
      <w:r w:rsidRPr="1D0CA0E3">
        <w:rPr>
          <w:rFonts w:ascii="Arial" w:hAnsi="Arial" w:cs="Arial"/>
          <w:szCs w:val="24"/>
        </w:rPr>
        <w:t>Small empowered</w:t>
      </w:r>
      <w:proofErr w:type="gramEnd"/>
      <w:r w:rsidRPr="1D0CA0E3">
        <w:rPr>
          <w:rFonts w:ascii="Arial" w:hAnsi="Arial" w:cs="Arial"/>
          <w:szCs w:val="24"/>
        </w:rPr>
        <w:t xml:space="preserve"> teams and user feedback, iterative releases can help with experimentation. But if it is a healthcare issue, there must be a traceable evidence, clinical risk controls, and regulatory review; a fault in an algorithm could hurt patients. NHS England is currently reviewing to separate out manufacturer risk-management requirements (DCB0129) from deployment and use requirements (DCB0160), which encompass clinical-safety roles. The patient-facing release of NHSX should be subject to relevant assurance evidence and/or controls (NHS England, 2026).  Hybrid working is expected to continue, and cross-country evidence shows the continued adoption of hybrid after the pandemic (Barrero, Bloom &amp; Davis, 2021; 2023; Aksoy et al., 2022). It is also task- and team-dependent: A call centre experiment identified productivity benefits for simple individual tasks, and evidence on information workers showed that firm-wide telework has an impact on how collaboratively workers work, a result that could be interpreted as more siloed working (Bloom et al., 2015; Yang et al., 2022). Evidence reviews conducted during the pandemic also have found pros and cons dependent on work and home situations (Ipsen et al., 2021; Wang et al., 2021). These are not definitive conclusions to draw about the ideal schedule for NHSX. Should evaluate cross functional design and mentoring on agreed anchor windows, maintain local flexibility in between the anchor windows and evaluate collaboration, wellbeing and delivery against a baseline before committing to a default. Autonomy should be based on outcomes and choice of </w:t>
      </w:r>
      <w:proofErr w:type="gramStart"/>
      <w:r w:rsidRPr="1D0CA0E3">
        <w:rPr>
          <w:rFonts w:ascii="Arial" w:hAnsi="Arial" w:cs="Arial"/>
          <w:szCs w:val="24"/>
        </w:rPr>
        <w:t>method, and</w:t>
      </w:r>
      <w:proofErr w:type="gramEnd"/>
      <w:r w:rsidRPr="1D0CA0E3">
        <w:rPr>
          <w:rFonts w:ascii="Arial" w:hAnsi="Arial" w:cs="Arial"/>
          <w:szCs w:val="24"/>
        </w:rPr>
        <w:t xml:space="preserve"> should be shared when there is interdependence as required (Deci and Ryan, 2000). NHSX's multi-country presence can cause working time to be split. National indices as proposed by Hofstede (2001) should encourage discussion of hierarchy and voice, but cannot be used to predict individual behaviour, teams should co-design approaches to challenge decisions rather than assume country norms. Explicit voice channels and structured retrospectives can help combat this risk. Support and access to unique talent markets is also a possibility in Geography (Choudhury, Foroughi and Larson, 2020; 2021). Shift of coordinating </w:t>
      </w:r>
      <w:r w:rsidRPr="1D0CA0E3">
        <w:rPr>
          <w:rFonts w:ascii="Arial" w:hAnsi="Arial" w:cs="Arial"/>
          <w:szCs w:val="24"/>
        </w:rPr>
        <w:lastRenderedPageBreak/>
        <w:t>costs to capability through: Boundary spanning roles, rotating core hours, team agreements (Cherns, 1987).</w:t>
      </w:r>
    </w:p>
    <w:p w14:paraId="6671A04B" w14:textId="77777777" w:rsidR="002F0C2E" w:rsidRDefault="1D0CA0E3">
      <w:pPr>
        <w:pStyle w:val="Heading2"/>
      </w:pPr>
      <w:bookmarkStart w:id="4" w:name="_Toc243425675"/>
      <w:r>
        <w:t>Integrated recommendations and performance implications</w:t>
      </w:r>
      <w:bookmarkEnd w:id="4"/>
    </w:p>
    <w:p w14:paraId="301F5608" w14:textId="1A54A016" w:rsidR="4DA01685" w:rsidRDefault="0031124D" w:rsidP="1D0CA0E3">
      <w:pPr>
        <w:rPr>
          <w:rFonts w:cs="Arial"/>
          <w:szCs w:val="24"/>
        </w:rPr>
      </w:pPr>
      <w:r w:rsidRPr="0031124D">
        <w:rPr>
          <w:rFonts w:ascii="Arial" w:hAnsi="Arial" w:cs="Arial"/>
          <w:szCs w:val="24"/>
        </w:rPr>
        <w:t xml:space="preserve">In order to create a successful </w:t>
      </w:r>
      <w:proofErr w:type="spellStart"/>
      <w:r w:rsidRPr="0031124D">
        <w:rPr>
          <w:rFonts w:ascii="Arial" w:hAnsi="Arial" w:cs="Arial"/>
          <w:szCs w:val="24"/>
        </w:rPr>
        <w:t>programme</w:t>
      </w:r>
      <w:proofErr w:type="spellEnd"/>
      <w:r w:rsidRPr="0031124D">
        <w:rPr>
          <w:rFonts w:ascii="Arial" w:hAnsi="Arial" w:cs="Arial"/>
          <w:szCs w:val="24"/>
        </w:rPr>
        <w:t xml:space="preserve">‚ NHSX needs to balance three tensions: autonomy along with coordination; flexibility along with knowledge sharing </w:t>
      </w:r>
      <w:proofErr w:type="gramStart"/>
      <w:r w:rsidRPr="0031124D">
        <w:rPr>
          <w:rFonts w:ascii="Arial" w:hAnsi="Arial" w:cs="Arial"/>
          <w:szCs w:val="24"/>
        </w:rPr>
        <w:t>( Yang</w:t>
      </w:r>
      <w:proofErr w:type="gramEnd"/>
      <w:r w:rsidRPr="0031124D">
        <w:rPr>
          <w:rFonts w:ascii="Arial" w:hAnsi="Arial" w:cs="Arial"/>
          <w:szCs w:val="24"/>
        </w:rPr>
        <w:t xml:space="preserve"> et al</w:t>
      </w:r>
      <w:r w:rsidRPr="0031124D">
        <w:rPr>
          <w:rFonts w:ascii="MS Gothic" w:eastAsia="MS Gothic" w:hAnsi="MS Gothic" w:cs="MS Gothic" w:hint="eastAsia"/>
          <w:szCs w:val="24"/>
        </w:rPr>
        <w:t>․</w:t>
      </w:r>
      <w:r w:rsidRPr="0031124D">
        <w:rPr>
          <w:rFonts w:ascii="Arial" w:hAnsi="Arial" w:cs="Arial"/>
          <w:szCs w:val="24"/>
        </w:rPr>
        <w:t>‚ 2022); as well as agile discovery alongside regulatory compliance</w:t>
      </w:r>
      <w:r w:rsidRPr="0031124D">
        <w:rPr>
          <w:rFonts w:ascii="MS Gothic" w:eastAsia="MS Gothic" w:hAnsi="MS Gothic" w:cs="MS Gothic" w:hint="eastAsia"/>
          <w:szCs w:val="24"/>
        </w:rPr>
        <w:t>․</w:t>
      </w:r>
      <w:r w:rsidRPr="0031124D">
        <w:rPr>
          <w:rFonts w:ascii="Arial" w:hAnsi="Arial" w:cs="Arial"/>
          <w:szCs w:val="24"/>
        </w:rPr>
        <w:t xml:space="preserve"> Self-determination fosters motivation (Deci and Ryan‚ </w:t>
      </w:r>
      <w:proofErr w:type="gramStart"/>
      <w:r w:rsidRPr="0031124D">
        <w:rPr>
          <w:rFonts w:ascii="Arial" w:hAnsi="Arial" w:cs="Arial"/>
          <w:szCs w:val="24"/>
        </w:rPr>
        <w:t>2000)</w:t>
      </w:r>
      <w:r w:rsidRPr="0031124D">
        <w:rPr>
          <w:rFonts w:ascii="MS Gothic" w:eastAsia="MS Gothic" w:hAnsi="MS Gothic" w:cs="MS Gothic" w:hint="eastAsia"/>
          <w:szCs w:val="24"/>
        </w:rPr>
        <w:t>․</w:t>
      </w:r>
      <w:proofErr w:type="gramEnd"/>
      <w:r w:rsidRPr="0031124D">
        <w:rPr>
          <w:rFonts w:ascii="Arial" w:hAnsi="Arial" w:cs="Arial"/>
          <w:szCs w:val="24"/>
        </w:rPr>
        <w:t xml:space="preserve"> Innovation relies on </w:t>
      </w:r>
      <w:proofErr w:type="spellStart"/>
      <w:r w:rsidRPr="0031124D">
        <w:rPr>
          <w:rFonts w:ascii="Arial" w:hAnsi="Arial" w:cs="Arial"/>
          <w:szCs w:val="24"/>
        </w:rPr>
        <w:t>interaction</w:t>
      </w:r>
      <w:r w:rsidRPr="0031124D">
        <w:rPr>
          <w:rFonts w:ascii="MS Gothic" w:eastAsia="MS Gothic" w:hAnsi="MS Gothic" w:cs="MS Gothic" w:hint="eastAsia"/>
          <w:szCs w:val="24"/>
        </w:rPr>
        <w:t>․</w:t>
      </w:r>
      <w:r w:rsidR="4DA01685" w:rsidRPr="1D0CA0E3">
        <w:rPr>
          <w:rFonts w:ascii="Arial" w:hAnsi="Arial" w:cs="Arial"/>
          <w:szCs w:val="24"/>
        </w:rPr>
        <w:t>These</w:t>
      </w:r>
      <w:proofErr w:type="spellEnd"/>
      <w:r w:rsidR="4DA01685" w:rsidRPr="1D0CA0E3">
        <w:rPr>
          <w:rFonts w:ascii="Arial" w:hAnsi="Arial" w:cs="Arial"/>
          <w:szCs w:val="24"/>
        </w:rPr>
        <w:t xml:space="preserve"> tensions have been summarised as 5 recommendations specific to NHSX in Table 1.</w:t>
      </w:r>
    </w:p>
    <w:p w14:paraId="3D344341" w14:textId="77777777" w:rsidR="002F0C2E" w:rsidRDefault="00000000">
      <w:pPr>
        <w:pStyle w:val="Caption"/>
        <w:keepNext/>
        <w:spacing w:after="40"/>
        <w:jc w:val="center"/>
      </w:pPr>
      <w:r>
        <w:rPr>
          <w:rFonts w:ascii="Arial" w:hAnsi="Arial"/>
          <w:i/>
          <w:sz w:val="19"/>
        </w:rPr>
        <w:t>Table 1: Recommended working-practice design for NHSX</w:t>
      </w:r>
    </w:p>
    <w:tbl>
      <w:tblPr>
        <w:tblStyle w:val="TableGrid"/>
        <w:tblW w:w="0" w:type="auto"/>
        <w:jc w:val="center"/>
        <w:tblLook w:val="04A0" w:firstRow="1" w:lastRow="0" w:firstColumn="1" w:lastColumn="0" w:noHBand="0" w:noVBand="1"/>
      </w:tblPr>
      <w:tblGrid>
        <w:gridCol w:w="2880"/>
        <w:gridCol w:w="2880"/>
        <w:gridCol w:w="2880"/>
      </w:tblGrid>
      <w:tr w:rsidR="002F0C2E" w14:paraId="2AA40CBC" w14:textId="77777777" w:rsidTr="1D0CA0E3">
        <w:trPr>
          <w:cantSplit/>
          <w:tblHeader/>
          <w:jc w:val="center"/>
        </w:trPr>
        <w:tc>
          <w:tcPr>
            <w:tcW w:w="2880" w:type="dxa"/>
            <w:shd w:val="clear" w:color="auto" w:fill="183653"/>
            <w:tcMar>
              <w:top w:w="100" w:type="dxa"/>
              <w:left w:w="110" w:type="dxa"/>
              <w:bottom w:w="100" w:type="dxa"/>
              <w:right w:w="110" w:type="dxa"/>
            </w:tcMar>
            <w:vAlign w:val="center"/>
          </w:tcPr>
          <w:p w14:paraId="1904DFFE" w14:textId="77777777" w:rsidR="002F0C2E" w:rsidRDefault="00000000">
            <w:pPr>
              <w:spacing w:before="80" w:after="80"/>
            </w:pPr>
            <w:r>
              <w:rPr>
                <w:rFonts w:ascii="Arial" w:hAnsi="Arial" w:cs="Arial"/>
                <w:b/>
                <w:color w:val="FFFFFF"/>
                <w:szCs w:val="24"/>
              </w:rPr>
              <w:t>Design element</w:t>
            </w:r>
          </w:p>
        </w:tc>
        <w:tc>
          <w:tcPr>
            <w:tcW w:w="2880" w:type="dxa"/>
            <w:shd w:val="clear" w:color="auto" w:fill="183653"/>
            <w:tcMar>
              <w:top w:w="100" w:type="dxa"/>
              <w:left w:w="110" w:type="dxa"/>
              <w:bottom w:w="100" w:type="dxa"/>
              <w:right w:w="110" w:type="dxa"/>
            </w:tcMar>
            <w:vAlign w:val="center"/>
          </w:tcPr>
          <w:p w14:paraId="6B11E2C5" w14:textId="77777777" w:rsidR="002F0C2E" w:rsidRDefault="00000000">
            <w:pPr>
              <w:spacing w:before="80" w:after="80"/>
            </w:pPr>
            <w:r>
              <w:rPr>
                <w:rFonts w:ascii="Arial" w:hAnsi="Arial" w:cs="Arial"/>
                <w:b/>
                <w:color w:val="FFFFFF"/>
                <w:szCs w:val="24"/>
              </w:rPr>
              <w:t>NHSX design choice</w:t>
            </w:r>
          </w:p>
        </w:tc>
        <w:tc>
          <w:tcPr>
            <w:tcW w:w="2880" w:type="dxa"/>
            <w:shd w:val="clear" w:color="auto" w:fill="183653"/>
            <w:tcMar>
              <w:top w:w="100" w:type="dxa"/>
              <w:left w:w="110" w:type="dxa"/>
              <w:bottom w:w="100" w:type="dxa"/>
              <w:right w:w="110" w:type="dxa"/>
            </w:tcMar>
            <w:vAlign w:val="center"/>
          </w:tcPr>
          <w:p w14:paraId="2835950E" w14:textId="77777777" w:rsidR="002F0C2E" w:rsidRDefault="00000000">
            <w:pPr>
              <w:spacing w:before="80" w:after="80"/>
            </w:pPr>
            <w:r>
              <w:rPr>
                <w:rFonts w:ascii="Arial" w:hAnsi="Arial" w:cs="Arial"/>
                <w:b/>
                <w:color w:val="FFFFFF"/>
                <w:szCs w:val="24"/>
              </w:rPr>
              <w:t>Theoretical justification</w:t>
            </w:r>
          </w:p>
        </w:tc>
      </w:tr>
      <w:tr w:rsidR="002F0C2E" w14:paraId="241F0AA3" w14:textId="77777777" w:rsidTr="1D0CA0E3">
        <w:trPr>
          <w:cantSplit/>
          <w:jc w:val="center"/>
        </w:trPr>
        <w:tc>
          <w:tcPr>
            <w:tcW w:w="2880" w:type="dxa"/>
            <w:tcMar>
              <w:top w:w="100" w:type="dxa"/>
              <w:left w:w="110" w:type="dxa"/>
              <w:bottom w:w="100" w:type="dxa"/>
              <w:right w:w="110" w:type="dxa"/>
            </w:tcMar>
            <w:vAlign w:val="center"/>
          </w:tcPr>
          <w:p w14:paraId="7289492F" w14:textId="77777777" w:rsidR="002F0C2E" w:rsidRDefault="00000000">
            <w:pPr>
              <w:spacing w:before="80" w:after="80"/>
            </w:pPr>
            <w:r>
              <w:rPr>
                <w:rFonts w:ascii="Arial" w:hAnsi="Arial" w:cs="Arial"/>
                <w:szCs w:val="24"/>
              </w:rPr>
              <w:t>Team charters</w:t>
            </w:r>
          </w:p>
        </w:tc>
        <w:tc>
          <w:tcPr>
            <w:tcW w:w="2880" w:type="dxa"/>
            <w:tcMar>
              <w:top w:w="100" w:type="dxa"/>
              <w:left w:w="110" w:type="dxa"/>
              <w:bottom w:w="100" w:type="dxa"/>
              <w:right w:w="110" w:type="dxa"/>
            </w:tcMar>
            <w:vAlign w:val="center"/>
          </w:tcPr>
          <w:p w14:paraId="17C97574" w14:textId="77777777" w:rsidR="002F0C2E" w:rsidRDefault="00000000">
            <w:r>
              <w:rPr>
                <w:rFonts w:ascii="Arial" w:hAnsi="Arial" w:cs="Arial"/>
                <w:szCs w:val="24"/>
              </w:rPr>
              <w:t>Secure shared workspace and decision log; outcomes (safety, delivery, learning) specified; methods chosen by cross-functional teams and reviewed quarterly</w:t>
            </w:r>
          </w:p>
        </w:tc>
        <w:tc>
          <w:tcPr>
            <w:tcW w:w="2880" w:type="dxa"/>
            <w:tcMar>
              <w:top w:w="100" w:type="dxa"/>
              <w:left w:w="110" w:type="dxa"/>
              <w:bottom w:w="100" w:type="dxa"/>
              <w:right w:w="110" w:type="dxa"/>
            </w:tcMar>
            <w:vAlign w:val="center"/>
          </w:tcPr>
          <w:p w14:paraId="26ABB3D7" w14:textId="77777777" w:rsidR="002F0C2E" w:rsidRDefault="00000000">
            <w:pPr>
              <w:spacing w:before="80" w:after="80"/>
            </w:pPr>
            <w:r>
              <w:rPr>
                <w:rFonts w:ascii="Arial" w:hAnsi="Arial" w:cs="Arial"/>
                <w:szCs w:val="24"/>
              </w:rPr>
              <w:t>Minimal critical specification (Cherns, 1976)</w:t>
            </w:r>
          </w:p>
        </w:tc>
      </w:tr>
      <w:tr w:rsidR="002F0C2E" w14:paraId="76005AC9" w14:textId="77777777" w:rsidTr="1D0CA0E3">
        <w:trPr>
          <w:cantSplit/>
          <w:jc w:val="center"/>
        </w:trPr>
        <w:tc>
          <w:tcPr>
            <w:tcW w:w="2880" w:type="dxa"/>
            <w:shd w:val="clear" w:color="auto" w:fill="F1F6F7"/>
            <w:tcMar>
              <w:top w:w="100" w:type="dxa"/>
              <w:left w:w="110" w:type="dxa"/>
              <w:bottom w:w="100" w:type="dxa"/>
              <w:right w:w="110" w:type="dxa"/>
            </w:tcMar>
            <w:vAlign w:val="center"/>
          </w:tcPr>
          <w:p w14:paraId="55E7C649" w14:textId="77777777" w:rsidR="002F0C2E" w:rsidRDefault="00000000">
            <w:pPr>
              <w:spacing w:before="80" w:after="80"/>
            </w:pPr>
            <w:r>
              <w:rPr>
                <w:rFonts w:ascii="Arial" w:hAnsi="Arial" w:cs="Arial"/>
                <w:szCs w:val="24"/>
              </w:rPr>
              <w:t>Working pattern</w:t>
            </w:r>
          </w:p>
        </w:tc>
        <w:tc>
          <w:tcPr>
            <w:tcW w:w="2880" w:type="dxa"/>
            <w:shd w:val="clear" w:color="auto" w:fill="F1F6F7"/>
            <w:tcMar>
              <w:top w:w="100" w:type="dxa"/>
              <w:left w:w="110" w:type="dxa"/>
              <w:bottom w:w="100" w:type="dxa"/>
              <w:right w:w="110" w:type="dxa"/>
            </w:tcMar>
            <w:vAlign w:val="center"/>
          </w:tcPr>
          <w:p w14:paraId="37AECBC4" w14:textId="77777777" w:rsidR="002F0C2E" w:rsidRDefault="6198BE94" w:rsidP="1D0CA0E3">
            <w:pPr>
              <w:rPr>
                <w:rFonts w:cs="Arial"/>
                <w:szCs w:val="24"/>
              </w:rPr>
            </w:pPr>
            <w:r w:rsidRPr="1D0CA0E3">
              <w:rPr>
                <w:rFonts w:ascii="Arial" w:hAnsi="Arial" w:cs="Arial"/>
                <w:szCs w:val="24"/>
              </w:rPr>
              <w:t>Team agreed anchor windows for cross team and mentoring work, plus local flexibility outside of these windows.</w:t>
            </w:r>
          </w:p>
        </w:tc>
        <w:tc>
          <w:tcPr>
            <w:tcW w:w="2880" w:type="dxa"/>
            <w:shd w:val="clear" w:color="auto" w:fill="F1F6F7"/>
            <w:tcMar>
              <w:top w:w="100" w:type="dxa"/>
              <w:left w:w="110" w:type="dxa"/>
              <w:bottom w:w="100" w:type="dxa"/>
              <w:right w:w="110" w:type="dxa"/>
            </w:tcMar>
            <w:vAlign w:val="center"/>
          </w:tcPr>
          <w:p w14:paraId="47CBF199" w14:textId="77777777" w:rsidR="002F0C2E" w:rsidRDefault="00000000">
            <w:pPr>
              <w:spacing w:before="80" w:after="80"/>
            </w:pPr>
            <w:r>
              <w:rPr>
                <w:rFonts w:ascii="Arial" w:hAnsi="Arial" w:cs="Arial"/>
                <w:szCs w:val="24"/>
              </w:rPr>
              <w:t>Preserving bridging ties (Yang et al., 2022)</w:t>
            </w:r>
          </w:p>
        </w:tc>
      </w:tr>
      <w:tr w:rsidR="002F0C2E" w14:paraId="1DBE9B21" w14:textId="77777777" w:rsidTr="1D0CA0E3">
        <w:trPr>
          <w:cantSplit/>
          <w:jc w:val="center"/>
        </w:trPr>
        <w:tc>
          <w:tcPr>
            <w:tcW w:w="2880" w:type="dxa"/>
            <w:tcMar>
              <w:top w:w="100" w:type="dxa"/>
              <w:left w:w="110" w:type="dxa"/>
              <w:bottom w:w="100" w:type="dxa"/>
              <w:right w:w="110" w:type="dxa"/>
            </w:tcMar>
            <w:vAlign w:val="center"/>
          </w:tcPr>
          <w:p w14:paraId="06A7D9EB" w14:textId="77777777" w:rsidR="002F0C2E" w:rsidRDefault="00000000">
            <w:pPr>
              <w:spacing w:before="80" w:after="80"/>
            </w:pPr>
            <w:r>
              <w:rPr>
                <w:rFonts w:ascii="Arial" w:hAnsi="Arial" w:cs="Arial"/>
                <w:szCs w:val="24"/>
              </w:rPr>
              <w:lastRenderedPageBreak/>
              <w:t>Delivery model</w:t>
            </w:r>
          </w:p>
        </w:tc>
        <w:tc>
          <w:tcPr>
            <w:tcW w:w="2880" w:type="dxa"/>
            <w:tcMar>
              <w:top w:w="100" w:type="dxa"/>
              <w:left w:w="110" w:type="dxa"/>
              <w:bottom w:w="100" w:type="dxa"/>
              <w:right w:w="110" w:type="dxa"/>
            </w:tcMar>
            <w:vAlign w:val="center"/>
          </w:tcPr>
          <w:p w14:paraId="705FBA73" w14:textId="77777777" w:rsidR="002F0C2E" w:rsidRDefault="7EA800AB" w:rsidP="1D0CA0E3">
            <w:pPr>
              <w:spacing w:before="80" w:after="80"/>
              <w:rPr>
                <w:rFonts w:cs="Arial"/>
                <w:szCs w:val="24"/>
              </w:rPr>
            </w:pPr>
            <w:r w:rsidRPr="1D0CA0E3">
              <w:rPr>
                <w:rFonts w:ascii="Arial" w:hAnsi="Arial" w:cs="Arial"/>
                <w:szCs w:val="24"/>
              </w:rPr>
              <w:t>Agile discovery, stage-gated clinical delivery is the two speed model.</w:t>
            </w:r>
          </w:p>
        </w:tc>
        <w:tc>
          <w:tcPr>
            <w:tcW w:w="2880" w:type="dxa"/>
            <w:tcMar>
              <w:top w:w="100" w:type="dxa"/>
              <w:left w:w="110" w:type="dxa"/>
              <w:bottom w:w="100" w:type="dxa"/>
              <w:right w:w="110" w:type="dxa"/>
            </w:tcMar>
            <w:vAlign w:val="center"/>
          </w:tcPr>
          <w:p w14:paraId="2380C2D1" w14:textId="77777777" w:rsidR="002F0C2E" w:rsidRDefault="00000000">
            <w:r>
              <w:rPr>
                <w:rFonts w:ascii="Arial" w:hAnsi="Arial" w:cs="Arial"/>
                <w:szCs w:val="24"/>
              </w:rPr>
              <w:t>Agile discovery separated from relevant DCB0129/DCB0160 assurance for clinical deployment (NHS England, 2026)</w:t>
            </w:r>
          </w:p>
        </w:tc>
      </w:tr>
      <w:tr w:rsidR="002F0C2E" w14:paraId="6AF40950" w14:textId="77777777" w:rsidTr="1D0CA0E3">
        <w:trPr>
          <w:cantSplit/>
          <w:jc w:val="center"/>
        </w:trPr>
        <w:tc>
          <w:tcPr>
            <w:tcW w:w="2880" w:type="dxa"/>
            <w:shd w:val="clear" w:color="auto" w:fill="F1F6F7"/>
            <w:tcMar>
              <w:top w:w="100" w:type="dxa"/>
              <w:left w:w="110" w:type="dxa"/>
              <w:bottom w:w="100" w:type="dxa"/>
              <w:right w:w="110" w:type="dxa"/>
            </w:tcMar>
            <w:vAlign w:val="center"/>
          </w:tcPr>
          <w:p w14:paraId="3451F43E" w14:textId="77777777" w:rsidR="002F0C2E" w:rsidRDefault="00000000">
            <w:pPr>
              <w:spacing w:before="80" w:after="80"/>
            </w:pPr>
            <w:r>
              <w:rPr>
                <w:rFonts w:ascii="Arial" w:hAnsi="Arial" w:cs="Arial"/>
                <w:szCs w:val="24"/>
              </w:rPr>
              <w:t>Global operating model</w:t>
            </w:r>
          </w:p>
        </w:tc>
        <w:tc>
          <w:tcPr>
            <w:tcW w:w="2880" w:type="dxa"/>
            <w:shd w:val="clear" w:color="auto" w:fill="F1F6F7"/>
            <w:tcMar>
              <w:top w:w="100" w:type="dxa"/>
              <w:left w:w="110" w:type="dxa"/>
              <w:bottom w:w="100" w:type="dxa"/>
              <w:right w:w="110" w:type="dxa"/>
            </w:tcMar>
            <w:vAlign w:val="center"/>
          </w:tcPr>
          <w:p w14:paraId="4713AB4A" w14:textId="77777777" w:rsidR="002F0C2E" w:rsidRDefault="1D0CA0E3">
            <w:pPr>
              <w:spacing w:before="80" w:after="80"/>
            </w:pPr>
            <w:r w:rsidRPr="1D0CA0E3">
              <w:rPr>
                <w:rFonts w:ascii="Arial" w:hAnsi="Arial" w:cs="Arial"/>
                <w:szCs w:val="24"/>
              </w:rPr>
              <w:t>Follow-the-sun support; rotating core hours; appointed boundary spanners</w:t>
            </w:r>
          </w:p>
        </w:tc>
        <w:tc>
          <w:tcPr>
            <w:tcW w:w="2880" w:type="dxa"/>
            <w:shd w:val="clear" w:color="auto" w:fill="F1F6F7"/>
            <w:tcMar>
              <w:top w:w="100" w:type="dxa"/>
              <w:left w:w="110" w:type="dxa"/>
              <w:bottom w:w="100" w:type="dxa"/>
              <w:right w:w="110" w:type="dxa"/>
            </w:tcMar>
            <w:vAlign w:val="center"/>
          </w:tcPr>
          <w:p w14:paraId="589F1BA2" w14:textId="77777777" w:rsidR="002F0C2E" w:rsidRDefault="00000000">
            <w:pPr>
              <w:spacing w:before="80" w:after="80"/>
            </w:pPr>
            <w:r>
              <w:rPr>
                <w:rFonts w:ascii="Arial" w:hAnsi="Arial" w:cs="Arial"/>
                <w:szCs w:val="24"/>
              </w:rPr>
              <w:t>Boundary management (Cherns, 1987; Hofstede, 2001)</w:t>
            </w:r>
          </w:p>
        </w:tc>
      </w:tr>
      <w:tr w:rsidR="002F0C2E" w14:paraId="586AED66" w14:textId="77777777" w:rsidTr="1D0CA0E3">
        <w:trPr>
          <w:cantSplit/>
          <w:jc w:val="center"/>
        </w:trPr>
        <w:tc>
          <w:tcPr>
            <w:tcW w:w="2880" w:type="dxa"/>
            <w:tcMar>
              <w:top w:w="100" w:type="dxa"/>
              <w:left w:w="110" w:type="dxa"/>
              <w:bottom w:w="100" w:type="dxa"/>
              <w:right w:w="110" w:type="dxa"/>
            </w:tcMar>
            <w:vAlign w:val="center"/>
          </w:tcPr>
          <w:p w14:paraId="2F163EBF" w14:textId="77777777" w:rsidR="002F0C2E" w:rsidRDefault="00000000">
            <w:pPr>
              <w:spacing w:before="80" w:after="80"/>
            </w:pPr>
            <w:r>
              <w:rPr>
                <w:rFonts w:ascii="Arial" w:hAnsi="Arial" w:cs="Arial"/>
                <w:szCs w:val="24"/>
              </w:rPr>
              <w:t>HR architecture</w:t>
            </w:r>
          </w:p>
        </w:tc>
        <w:tc>
          <w:tcPr>
            <w:tcW w:w="2880" w:type="dxa"/>
            <w:tcMar>
              <w:top w:w="100" w:type="dxa"/>
              <w:left w:w="110" w:type="dxa"/>
              <w:bottom w:w="100" w:type="dxa"/>
              <w:right w:w="110" w:type="dxa"/>
            </w:tcMar>
            <w:vAlign w:val="center"/>
          </w:tcPr>
          <w:p w14:paraId="0371E275" w14:textId="77777777" w:rsidR="002F0C2E" w:rsidRDefault="00000000">
            <w:pPr>
              <w:spacing w:before="80" w:after="80"/>
            </w:pPr>
            <w:r>
              <w:rPr>
                <w:rFonts w:ascii="Arial" w:hAnsi="Arial" w:cs="Arial"/>
                <w:szCs w:val="24"/>
              </w:rPr>
              <w:t>HPWS bundle fitted to NHSX's regulated context</w:t>
            </w:r>
          </w:p>
        </w:tc>
        <w:tc>
          <w:tcPr>
            <w:tcW w:w="2880" w:type="dxa"/>
            <w:tcMar>
              <w:top w:w="100" w:type="dxa"/>
              <w:left w:w="110" w:type="dxa"/>
              <w:bottom w:w="100" w:type="dxa"/>
              <w:right w:w="110" w:type="dxa"/>
            </w:tcMar>
            <w:vAlign w:val="center"/>
          </w:tcPr>
          <w:p w14:paraId="43095767" w14:textId="77777777" w:rsidR="002F0C2E" w:rsidRDefault="00000000">
            <w:pPr>
              <w:spacing w:before="80" w:after="80"/>
            </w:pPr>
            <w:r>
              <w:rPr>
                <w:rFonts w:ascii="Arial" w:hAnsi="Arial" w:cs="Arial"/>
                <w:szCs w:val="24"/>
              </w:rPr>
              <w:t>Best fit over best practice (Boxall and Purcell, 2016)</w:t>
            </w:r>
          </w:p>
        </w:tc>
      </w:tr>
    </w:tbl>
    <w:p w14:paraId="192239E0" w14:textId="77777777" w:rsidR="002F0C2E" w:rsidRDefault="00000000">
      <w:pPr>
        <w:keepNext/>
        <w:jc w:val="center"/>
      </w:pPr>
      <w:r>
        <w:rPr>
          <w:noProof/>
        </w:rPr>
        <w:lastRenderedPageBreak/>
        <w:drawing>
          <wp:inline distT="0" distB="0" distL="0" distR="0" wp14:anchorId="3F91D4DA" wp14:editId="07777777">
            <wp:extent cx="5715000" cy="3189767"/>
            <wp:effectExtent l="0" t="0" r="0" b="0"/>
            <wp:docPr id="2" name="Picture 2" descr="Diagram of the submitted NHSX work-practice recommendations and intended outcomes." title="Diagram of the submitted NHSX work-practice recommendations and intended outco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hsx_work_practice_framework.png"/>
                    <pic:cNvPicPr/>
                  </pic:nvPicPr>
                  <pic:blipFill>
                    <a:blip r:embed="rId9"/>
                    <a:stretch>
                      <a:fillRect/>
                    </a:stretch>
                  </pic:blipFill>
                  <pic:spPr>
                    <a:xfrm>
                      <a:off x="0" y="0"/>
                      <a:ext cx="5715000" cy="3189767"/>
                    </a:xfrm>
                    <a:prstGeom prst="rect">
                      <a:avLst/>
                    </a:prstGeom>
                  </pic:spPr>
                </pic:pic>
              </a:graphicData>
            </a:graphic>
          </wp:inline>
        </w:drawing>
      </w:r>
    </w:p>
    <w:p w14:paraId="5112F55B" w14:textId="77777777" w:rsidR="002F0C2E" w:rsidRDefault="00000000">
      <w:pPr>
        <w:pStyle w:val="Caption"/>
        <w:keepNext/>
        <w:spacing w:after="40"/>
        <w:jc w:val="center"/>
      </w:pPr>
      <w:r>
        <w:t>Figure 1. Integrated working-practice framework for NHSX.</w:t>
      </w:r>
    </w:p>
    <w:p w14:paraId="5F5B79A0" w14:textId="77777777" w:rsidR="002F0C2E" w:rsidRDefault="1D0CA0E3">
      <w:pPr>
        <w:pStyle w:val="Caption"/>
        <w:keepNext/>
        <w:spacing w:after="40"/>
        <w:jc w:val="center"/>
      </w:pPr>
      <w:r>
        <w:t>Source: Author-created diagram generated with Gemini; conceptual synthesis informed by Trist and Bamforth (1951), Cherns (1976; 1987) and the Task A analysis.</w:t>
      </w:r>
    </w:p>
    <w:p w14:paraId="5355D999" w14:textId="77777777" w:rsidR="002F0C2E" w:rsidRDefault="006D5135" w:rsidP="008F2252">
      <w:r w:rsidRPr="006D5135">
        <w:rPr>
          <w:rFonts w:ascii="Arial" w:hAnsi="Arial" w:cs="Arial"/>
          <w:szCs w:val="24"/>
        </w:rPr>
        <w:t xml:space="preserve"> Baselining idea-to-test time‚ safety exceptions‚ along with collaboration signals from cross-functional teams should scale up for learning in a 90-day pilot if there is no safety degradation</w:t>
      </w:r>
      <w:r w:rsidRPr="006D5135">
        <w:rPr>
          <w:rFonts w:ascii="Arial" w:hAnsi="Arial" w:cs="Arial" w:hint="eastAsia"/>
          <w:szCs w:val="24"/>
        </w:rPr>
        <w:t>․</w:t>
      </w:r>
      <w:r w:rsidRPr="006D5135">
        <w:rPr>
          <w:rFonts w:ascii="Arial" w:hAnsi="Arial" w:cs="Arial"/>
          <w:szCs w:val="24"/>
        </w:rPr>
        <w:t xml:space="preserve"> If possible‚ compare pilot trends with a similar non-pilot team</w:t>
      </w:r>
      <w:r w:rsidRPr="006D5135">
        <w:rPr>
          <w:rFonts w:ascii="Arial" w:hAnsi="Arial" w:cs="Arial" w:hint="eastAsia"/>
          <w:szCs w:val="24"/>
        </w:rPr>
        <w:t>․</w:t>
      </w:r>
      <w:r w:rsidRPr="006D5135">
        <w:rPr>
          <w:rFonts w:ascii="Arial" w:hAnsi="Arial" w:cs="Arial"/>
          <w:szCs w:val="24"/>
        </w:rPr>
        <w:t xml:space="preserve"> This will help to identify the effect of the intervention and the larger change</w:t>
      </w:r>
      <w:r w:rsidRPr="006D5135">
        <w:rPr>
          <w:rFonts w:ascii="Arial" w:hAnsi="Arial" w:cs="Arial" w:hint="eastAsia"/>
          <w:szCs w:val="24"/>
        </w:rPr>
        <w:t>․</w:t>
      </w:r>
      <w:r>
        <w:rPr>
          <w:rFonts w:ascii="Arial" w:hAnsi="Arial" w:cs="Arial"/>
          <w:szCs w:val="24"/>
        </w:rPr>
        <w:br w:type="page"/>
      </w:r>
    </w:p>
    <w:p w14:paraId="1F89A0B2" w14:textId="77777777" w:rsidR="00873BC9" w:rsidRDefault="1D0CA0E3" w:rsidP="00873BC9">
      <w:pPr>
        <w:pStyle w:val="Heading1"/>
      </w:pPr>
      <w:bookmarkStart w:id="5" w:name="_Toc243425676"/>
      <w:r>
        <w:lastRenderedPageBreak/>
        <w:t>Task B: Breeding an Environment Where Talent May Grow</w:t>
      </w:r>
      <w:bookmarkEnd w:id="5"/>
    </w:p>
    <w:p w14:paraId="7DE68588" w14:textId="77777777" w:rsidR="00873BC9" w:rsidRDefault="00873BC9" w:rsidP="00873BC9"/>
    <w:p w14:paraId="0F9DAD71" w14:textId="77777777" w:rsidR="00C74548" w:rsidRDefault="00000000">
      <w:pPr>
        <w:rPr>
          <w:rFonts w:eastAsia="Times New Roman"/>
        </w:rPr>
      </w:pPr>
      <w:r w:rsidRPr="0006021A">
        <w:rPr>
          <w:rFonts w:ascii="Arial" w:hAnsi="Arial" w:cs="Arial"/>
          <w:szCs w:val="24"/>
        </w:rPr>
        <w:t>One of the reasons for the case regarding a number of high performers leaving is due to limited opportunities for career growth as well as learning</w:t>
      </w:r>
      <w:r w:rsidRPr="0006021A">
        <w:rPr>
          <w:rFonts w:ascii="Arial" w:hAnsi="Arial" w:cs="Arial" w:hint="eastAsia"/>
          <w:szCs w:val="24"/>
        </w:rPr>
        <w:t>․</w:t>
      </w:r>
      <w:r w:rsidRPr="0006021A">
        <w:rPr>
          <w:rFonts w:ascii="Arial" w:hAnsi="Arial" w:cs="Arial"/>
          <w:szCs w:val="24"/>
        </w:rPr>
        <w:t xml:space="preserve"> It does not provide any information regarding the attrition rate‚ the duration of vacancies‚ or data on replacement costs</w:t>
      </w:r>
      <w:r w:rsidRPr="0006021A">
        <w:rPr>
          <w:rFonts w:ascii="Arial" w:hAnsi="Arial" w:cs="Arial" w:hint="eastAsia"/>
          <w:szCs w:val="24"/>
        </w:rPr>
        <w:t>․</w:t>
      </w:r>
      <w:r w:rsidRPr="0006021A">
        <w:rPr>
          <w:rFonts w:ascii="Arial" w:hAnsi="Arial" w:cs="Arial"/>
          <w:szCs w:val="24"/>
        </w:rPr>
        <w:t xml:space="preserve"> Therefore‚ one should not assume the financial scale of the matter and should expect NHSX to provide it as a benchmark before one assesses the impact</w:t>
      </w:r>
      <w:r w:rsidRPr="0006021A">
        <w:rPr>
          <w:rFonts w:ascii="Arial" w:hAnsi="Arial" w:cs="Arial" w:hint="eastAsia"/>
          <w:szCs w:val="24"/>
        </w:rPr>
        <w:t>․</w:t>
      </w:r>
      <w:r w:rsidRPr="0006021A">
        <w:rPr>
          <w:rFonts w:ascii="Arial" w:hAnsi="Arial" w:cs="Arial"/>
          <w:szCs w:val="24"/>
        </w:rPr>
        <w:t xml:space="preserve"> </w:t>
      </w:r>
    </w:p>
    <w:p w14:paraId="2F138545" w14:textId="77777777" w:rsidR="00C74548" w:rsidRDefault="00000000">
      <w:pPr>
        <w:pStyle w:val="Heading2"/>
      </w:pPr>
      <w:bookmarkStart w:id="6" w:name="_Toc243425677"/>
      <w:r w:rsidRPr="008F2252">
        <w:rPr>
          <w:rStyle w:val="Heading2Char"/>
          <w:rFonts w:ascii="Arial" w:eastAsia="Arial" w:hAnsi="Arial" w:cs="Arial"/>
          <w:b/>
          <w:bCs/>
          <w:color w:val="167F83"/>
        </w:rPr>
        <w:t xml:space="preserve">Psychological safety within </w:t>
      </w:r>
      <w:proofErr w:type="spellStart"/>
      <w:r w:rsidRPr="008F2252">
        <w:rPr>
          <w:rStyle w:val="Heading2Char"/>
          <w:rFonts w:ascii="Arial" w:eastAsia="Arial" w:hAnsi="Arial" w:cs="Arial"/>
          <w:b/>
          <w:bCs/>
          <w:color w:val="167F83"/>
        </w:rPr>
        <w:t>organisational</w:t>
      </w:r>
      <w:proofErr w:type="spellEnd"/>
      <w:r w:rsidRPr="008F2252">
        <w:rPr>
          <w:rStyle w:val="Heading2Char"/>
          <w:rFonts w:ascii="Arial" w:eastAsia="Arial" w:hAnsi="Arial" w:cs="Arial"/>
          <w:b/>
          <w:bCs/>
          <w:color w:val="167F83"/>
        </w:rPr>
        <w:t xml:space="preserve"> learning</w:t>
      </w:r>
      <w:bookmarkEnd w:id="6"/>
    </w:p>
    <w:p w14:paraId="1AEC6AE8" w14:textId="53D65D79" w:rsidR="00C74548" w:rsidRDefault="00000000">
      <w:pPr>
        <w:rPr>
          <w:rFonts w:eastAsia="Times New Roman"/>
        </w:rPr>
      </w:pPr>
      <w:r>
        <w:rPr>
          <w:rFonts w:ascii="Arial" w:hAnsi="Arial" w:cs="Arial"/>
          <w:szCs w:val="24"/>
        </w:rPr>
        <w:t xml:space="preserve">The early work of Edmondson (1999) connects team psychological safety to learning </w:t>
      </w:r>
      <w:proofErr w:type="spellStart"/>
      <w:r>
        <w:rPr>
          <w:rFonts w:ascii="Arial" w:hAnsi="Arial" w:cs="Arial"/>
          <w:szCs w:val="24"/>
        </w:rPr>
        <w:t>behaviour</w:t>
      </w:r>
      <w:proofErr w:type="spellEnd"/>
      <w:r>
        <w:rPr>
          <w:rFonts w:ascii="Arial" w:hAnsi="Arial" w:cs="Arial"/>
          <w:szCs w:val="24"/>
        </w:rPr>
        <w:t>‚ whilst a more recent review brings together a considerable body of literature but highlights the role of context in conjunction with leadership (Edmondson and Bransby‚ 2023)</w:t>
      </w:r>
      <w:r>
        <w:rPr>
          <w:rFonts w:ascii="Arial" w:hAnsi="Arial" w:cs="Arial" w:hint="eastAsia"/>
          <w:szCs w:val="24"/>
        </w:rPr>
        <w:t>․</w:t>
      </w:r>
      <w:r>
        <w:rPr>
          <w:rFonts w:ascii="Arial" w:hAnsi="Arial" w:cs="Arial"/>
          <w:szCs w:val="24"/>
        </w:rPr>
        <w:t xml:space="preserve"> Safety concerns undeniably take priority over comfort</w:t>
      </w:r>
      <w:r>
        <w:rPr>
          <w:rFonts w:ascii="Arial" w:hAnsi="Arial" w:cs="Arial" w:hint="eastAsia"/>
          <w:szCs w:val="24"/>
        </w:rPr>
        <w:t>․</w:t>
      </w:r>
      <w:r>
        <w:rPr>
          <w:rFonts w:ascii="Arial" w:hAnsi="Arial" w:cs="Arial"/>
          <w:szCs w:val="24"/>
        </w:rPr>
        <w:t xml:space="preserve"> For NHSX‚ the team climate establishes this priority‚ which leaders show through framing‚ investigating alongside responding to failures</w:t>
      </w:r>
      <w:r>
        <w:rPr>
          <w:rFonts w:ascii="Arial" w:hAnsi="Arial" w:cs="Arial" w:hint="eastAsia"/>
          <w:szCs w:val="24"/>
        </w:rPr>
        <w:t>․</w:t>
      </w:r>
      <w:r>
        <w:rPr>
          <w:rFonts w:ascii="Arial" w:hAnsi="Arial" w:cs="Arial"/>
          <w:szCs w:val="24"/>
        </w:rPr>
        <w:t xml:space="preserve"> NHSX must guarantee that there are established blameless reviews following algorithm incidents‚ and must lead by example in showing openness</w:t>
      </w:r>
      <w:r>
        <w:rPr>
          <w:rFonts w:ascii="Arial" w:hAnsi="Arial" w:cs="Arial" w:hint="eastAsia"/>
          <w:szCs w:val="24"/>
        </w:rPr>
        <w:t>․</w:t>
      </w:r>
      <w:r>
        <w:rPr>
          <w:rFonts w:ascii="Arial" w:hAnsi="Arial" w:cs="Arial"/>
          <w:szCs w:val="24"/>
        </w:rPr>
        <w:t xml:space="preserve"> There must also be clear accountability for clinical teams during reviews</w:t>
      </w:r>
      <w:r>
        <w:rPr>
          <w:rFonts w:ascii="Arial" w:hAnsi="Arial" w:cs="Arial" w:hint="eastAsia"/>
          <w:szCs w:val="24"/>
        </w:rPr>
        <w:t>․</w:t>
      </w:r>
      <w:r>
        <w:rPr>
          <w:rFonts w:ascii="Arial" w:hAnsi="Arial" w:cs="Arial"/>
          <w:szCs w:val="24"/>
        </w:rPr>
        <w:t xml:space="preserve"> This transformation makes caution serve as an active learning experience</w:t>
      </w:r>
      <w:r>
        <w:rPr>
          <w:rFonts w:ascii="Arial" w:hAnsi="Arial" w:cs="Arial" w:hint="eastAsia"/>
          <w:szCs w:val="24"/>
        </w:rPr>
        <w:t>․</w:t>
      </w:r>
      <w:r>
        <w:rPr>
          <w:rFonts w:ascii="Arial" w:hAnsi="Arial" w:cs="Arial"/>
          <w:szCs w:val="24"/>
        </w:rPr>
        <w:t xml:space="preserve"> It also decreases the chances of silence about safety issues</w:t>
      </w:r>
      <w:r>
        <w:rPr>
          <w:rFonts w:ascii="Arial" w:hAnsi="Arial" w:cs="Arial" w:hint="eastAsia"/>
          <w:szCs w:val="24"/>
        </w:rPr>
        <w:t>․</w:t>
      </w:r>
      <w:r>
        <w:rPr>
          <w:rFonts w:ascii="Arial" w:hAnsi="Arial" w:cs="Arial"/>
          <w:szCs w:val="24"/>
        </w:rPr>
        <w:t xml:space="preserve"> Senge (1990) outlines five disciplines that comprise personal mastery‚ mental models‚ shared vision‚ team learning‚ and systems thinking</w:t>
      </w:r>
      <w:r>
        <w:rPr>
          <w:rFonts w:ascii="Arial" w:hAnsi="Arial" w:cs="Arial" w:hint="eastAsia"/>
          <w:szCs w:val="24"/>
        </w:rPr>
        <w:t>․</w:t>
      </w:r>
      <w:r>
        <w:rPr>
          <w:rFonts w:ascii="Arial" w:hAnsi="Arial" w:cs="Arial"/>
          <w:szCs w:val="24"/>
        </w:rPr>
        <w:t xml:space="preserve"> However‚ these concepts remain too broad to implement alongside the measure easily</w:t>
      </w:r>
      <w:r>
        <w:rPr>
          <w:rFonts w:ascii="Arial" w:hAnsi="Arial" w:cs="Arial" w:hint="eastAsia"/>
          <w:szCs w:val="24"/>
        </w:rPr>
        <w:t>․</w:t>
      </w:r>
      <w:r>
        <w:rPr>
          <w:rFonts w:ascii="Arial" w:hAnsi="Arial" w:cs="Arial"/>
          <w:szCs w:val="24"/>
        </w:rPr>
        <w:t xml:space="preserve"> If people do not change their habits‚ the learning </w:t>
      </w:r>
      <w:proofErr w:type="spellStart"/>
      <w:r>
        <w:rPr>
          <w:rFonts w:ascii="Arial" w:hAnsi="Arial" w:cs="Arial"/>
          <w:szCs w:val="24"/>
        </w:rPr>
        <w:t>organisation</w:t>
      </w:r>
      <w:proofErr w:type="spellEnd"/>
      <w:r>
        <w:rPr>
          <w:rFonts w:ascii="Arial" w:hAnsi="Arial" w:cs="Arial"/>
          <w:szCs w:val="24"/>
        </w:rPr>
        <w:t xml:space="preserve"> can transform into a training calendar</w:t>
      </w:r>
      <w:r>
        <w:rPr>
          <w:rFonts w:ascii="Arial" w:hAnsi="Arial" w:cs="Arial" w:hint="eastAsia"/>
          <w:szCs w:val="24"/>
        </w:rPr>
        <w:t>․</w:t>
      </w:r>
      <w:r>
        <w:rPr>
          <w:rFonts w:ascii="Arial" w:hAnsi="Arial" w:cs="Arial"/>
          <w:szCs w:val="24"/>
        </w:rPr>
        <w:t xml:space="preserve">  </w:t>
      </w:r>
      <w:r w:rsidR="002727ED" w:rsidRPr="002727ED">
        <w:rPr>
          <w:rFonts w:ascii="Arial" w:hAnsi="Arial" w:cs="Arial"/>
        </w:rPr>
        <w:t>Protected learning</w:t>
      </w:r>
      <w:r w:rsidR="002727ED">
        <w:t xml:space="preserve"> time</w:t>
      </w:r>
      <w:r>
        <w:rPr>
          <w:rFonts w:ascii="Arial" w:hAnsi="Arial" w:cs="Arial"/>
          <w:szCs w:val="24"/>
        </w:rPr>
        <w:t xml:space="preserve"> should feature in delivery plans for NHSX‚ alongside communities of practice and post-incident reviews that contribute to creating a searchable knowledge base with named owners</w:t>
      </w:r>
      <w:r>
        <w:rPr>
          <w:rFonts w:ascii="Arial" w:hAnsi="Arial" w:cs="Arial" w:hint="eastAsia"/>
          <w:szCs w:val="24"/>
        </w:rPr>
        <w:t>․</w:t>
      </w:r>
      <w:r>
        <w:rPr>
          <w:rFonts w:ascii="Arial" w:hAnsi="Arial" w:cs="Arial"/>
          <w:szCs w:val="24"/>
        </w:rPr>
        <w:t xml:space="preserve"> It should effectively track whether these specific mechanisms influence overall capability alongside various work outcomes‚ rather than merely training activity itself</w:t>
      </w:r>
      <w:r>
        <w:rPr>
          <w:rFonts w:ascii="Arial" w:hAnsi="Arial" w:cs="Arial" w:hint="eastAsia"/>
          <w:szCs w:val="24"/>
        </w:rPr>
        <w:t>․</w:t>
      </w:r>
      <w:r>
        <w:rPr>
          <w:rFonts w:ascii="Arial" w:hAnsi="Arial" w:cs="Arial"/>
          <w:szCs w:val="24"/>
        </w:rPr>
        <w:t xml:space="preserve"> Protected learning and mentoring also use up delivery capacity</w:t>
      </w:r>
      <w:r>
        <w:rPr>
          <w:rFonts w:ascii="Arial" w:hAnsi="Arial" w:cs="Arial" w:hint="eastAsia"/>
          <w:szCs w:val="24"/>
        </w:rPr>
        <w:t>․</w:t>
      </w:r>
      <w:r>
        <w:rPr>
          <w:rFonts w:ascii="Arial" w:hAnsi="Arial" w:cs="Arial"/>
          <w:szCs w:val="24"/>
        </w:rPr>
        <w:t xml:space="preserve"> They lead in important roles‚ fill essential work‚ and assess </w:t>
      </w:r>
      <w:r>
        <w:rPr>
          <w:rFonts w:ascii="Arial" w:hAnsi="Arial" w:cs="Arial"/>
          <w:szCs w:val="24"/>
        </w:rPr>
        <w:lastRenderedPageBreak/>
        <w:t>capability‚ wellbeing‚ and internal-mobility results prior to scaling‚ with regard to time and cost</w:t>
      </w:r>
      <w:r>
        <w:rPr>
          <w:rFonts w:ascii="Arial" w:hAnsi="Arial" w:cs="Arial" w:hint="eastAsia"/>
          <w:szCs w:val="24"/>
        </w:rPr>
        <w:t>․</w:t>
      </w:r>
    </w:p>
    <w:p w14:paraId="7ACDFAA7" w14:textId="77777777" w:rsidR="00C74548" w:rsidRDefault="00000000">
      <w:pPr>
        <w:pStyle w:val="Heading2"/>
      </w:pPr>
      <w:bookmarkStart w:id="7" w:name="_Toc243425678"/>
      <w:r w:rsidRPr="008F2252">
        <w:rPr>
          <w:rStyle w:val="Heading2Char"/>
          <w:rFonts w:ascii="Arial" w:eastAsia="Arial" w:hAnsi="Arial" w:cs="Arial"/>
          <w:b/>
          <w:bCs/>
          <w:color w:val="167F83"/>
        </w:rPr>
        <w:t>Talent systems improve the employee experience</w:t>
      </w:r>
      <w:r w:rsidRPr="008F2252">
        <w:rPr>
          <w:rStyle w:val="Heading2Char"/>
          <w:rFonts w:ascii="Arial" w:eastAsia="Arial" w:hAnsi="Arial" w:cs="Arial" w:hint="eastAsia"/>
          <w:b/>
          <w:bCs/>
          <w:color w:val="167F83"/>
        </w:rPr>
        <w:t>․</w:t>
      </w:r>
      <w:bookmarkEnd w:id="7"/>
    </w:p>
    <w:p w14:paraId="4B15D799" w14:textId="77777777" w:rsidR="00C74548" w:rsidRDefault="00000000">
      <w:pPr>
        <w:rPr>
          <w:rFonts w:eastAsia="Times New Roman"/>
        </w:rPr>
      </w:pPr>
      <w:r w:rsidRPr="000E1F46">
        <w:rPr>
          <w:rFonts w:ascii="Arial" w:hAnsi="Arial" w:cs="Arial"/>
          <w:szCs w:val="24"/>
        </w:rPr>
        <w:t>The evidence from the intervention shows that careful transfer in this context is necessary</w:t>
      </w:r>
      <w:r w:rsidRPr="000E1F46">
        <w:rPr>
          <w:rFonts w:ascii="Arial" w:hAnsi="Arial" w:cs="Arial" w:hint="eastAsia"/>
          <w:szCs w:val="24"/>
        </w:rPr>
        <w:t>․</w:t>
      </w:r>
      <w:r w:rsidRPr="000E1F46">
        <w:rPr>
          <w:rFonts w:ascii="Arial" w:hAnsi="Arial" w:cs="Arial"/>
          <w:szCs w:val="24"/>
        </w:rPr>
        <w:t xml:space="preserve"> This need arises within the context of Dweck's (2006) growth-mindset</w:t>
      </w:r>
      <w:r w:rsidRPr="000E1F46">
        <w:rPr>
          <w:rFonts w:ascii="Arial" w:hAnsi="Arial" w:cs="Arial" w:hint="eastAsia"/>
          <w:szCs w:val="24"/>
        </w:rPr>
        <w:t>․</w:t>
      </w:r>
      <w:r w:rsidRPr="000E1F46">
        <w:rPr>
          <w:rFonts w:ascii="Arial" w:hAnsi="Arial" w:cs="Arial"/>
          <w:szCs w:val="24"/>
        </w:rPr>
        <w:t xml:space="preserve"> An important U</w:t>
      </w:r>
      <w:r w:rsidRPr="000E1F46">
        <w:rPr>
          <w:rFonts w:ascii="Arial" w:hAnsi="Arial" w:cs="Arial" w:hint="eastAsia"/>
          <w:szCs w:val="24"/>
        </w:rPr>
        <w:t>․</w:t>
      </w:r>
      <w:r w:rsidRPr="000E1F46">
        <w:rPr>
          <w:rFonts w:ascii="Arial" w:hAnsi="Arial" w:cs="Arial"/>
          <w:szCs w:val="24"/>
        </w:rPr>
        <w:t>S</w:t>
      </w:r>
      <w:r w:rsidRPr="000E1F46">
        <w:rPr>
          <w:rFonts w:ascii="Arial" w:hAnsi="Arial" w:cs="Arial" w:hint="eastAsia"/>
          <w:szCs w:val="24"/>
        </w:rPr>
        <w:t>․</w:t>
      </w:r>
      <w:r w:rsidRPr="000E1F46">
        <w:rPr>
          <w:rFonts w:ascii="Arial" w:hAnsi="Arial" w:cs="Arial"/>
          <w:szCs w:val="24"/>
        </w:rPr>
        <w:t xml:space="preserve"> school trial revealed </w:t>
      </w:r>
      <w:proofErr w:type="spellStart"/>
      <w:r w:rsidRPr="000E1F46">
        <w:rPr>
          <w:rFonts w:ascii="Arial" w:hAnsi="Arial" w:cs="Arial"/>
          <w:szCs w:val="24"/>
        </w:rPr>
        <w:t>favourable</w:t>
      </w:r>
      <w:proofErr w:type="spellEnd"/>
      <w:r w:rsidRPr="000E1F46">
        <w:rPr>
          <w:rFonts w:ascii="Arial" w:hAnsi="Arial" w:cs="Arial"/>
          <w:szCs w:val="24"/>
        </w:rPr>
        <w:t xml:space="preserve"> outcomes for students with lower achievement levels and for the increase in advanced mathematics enrolment‚ which differed according to context (Yeager et al</w:t>
      </w:r>
      <w:r w:rsidRPr="000E1F46">
        <w:rPr>
          <w:rFonts w:ascii="Arial" w:hAnsi="Arial" w:cs="Arial" w:hint="eastAsia"/>
          <w:szCs w:val="24"/>
        </w:rPr>
        <w:t>․</w:t>
      </w:r>
      <w:r w:rsidRPr="000E1F46">
        <w:rPr>
          <w:rFonts w:ascii="Arial" w:hAnsi="Arial" w:cs="Arial"/>
          <w:szCs w:val="24"/>
        </w:rPr>
        <w:t>‚ 2019)</w:t>
      </w:r>
      <w:r w:rsidRPr="000E1F46">
        <w:rPr>
          <w:rFonts w:ascii="Arial" w:hAnsi="Arial" w:cs="Arial" w:hint="eastAsia"/>
          <w:szCs w:val="24"/>
        </w:rPr>
        <w:t>․</w:t>
      </w:r>
      <w:r w:rsidRPr="000E1F46">
        <w:rPr>
          <w:rFonts w:ascii="Arial" w:hAnsi="Arial" w:cs="Arial"/>
          <w:szCs w:val="24"/>
        </w:rPr>
        <w:t xml:space="preserve"> This is not evidence pertaining to the workplace</w:t>
      </w:r>
      <w:r w:rsidRPr="000E1F46">
        <w:rPr>
          <w:rFonts w:ascii="Arial" w:hAnsi="Arial" w:cs="Arial" w:hint="eastAsia"/>
          <w:szCs w:val="24"/>
        </w:rPr>
        <w:t>․</w:t>
      </w:r>
      <w:r w:rsidRPr="000E1F46">
        <w:rPr>
          <w:rFonts w:ascii="Arial" w:hAnsi="Arial" w:cs="Arial"/>
          <w:szCs w:val="24"/>
        </w:rPr>
        <w:t xml:space="preserve"> It does not validate against an individual NHSX workshop</w:t>
      </w:r>
      <w:r w:rsidRPr="000E1F46">
        <w:rPr>
          <w:rFonts w:ascii="Arial" w:hAnsi="Arial" w:cs="Arial" w:hint="eastAsia"/>
          <w:szCs w:val="24"/>
        </w:rPr>
        <w:t>․</w:t>
      </w:r>
      <w:r w:rsidRPr="000E1F46">
        <w:rPr>
          <w:rFonts w:ascii="Arial" w:hAnsi="Arial" w:cs="Arial"/>
          <w:szCs w:val="24"/>
        </w:rPr>
        <w:t xml:space="preserve"> NHSX must include stretch and growth-focused feedback and stretch </w:t>
      </w:r>
      <w:r w:rsidRPr="00873BC9">
        <w:rPr>
          <w:rFonts w:ascii="Arial" w:hAnsi="Arial" w:cs="Arial"/>
          <w:szCs w:val="24"/>
        </w:rPr>
        <w:t xml:space="preserve">assignments in their daily work‚ and instead of slogans‚ measure the progress of skills and internal mobility within the </w:t>
      </w:r>
      <w:proofErr w:type="spellStart"/>
      <w:r w:rsidRPr="00873BC9">
        <w:rPr>
          <w:rFonts w:ascii="Arial" w:hAnsi="Arial" w:cs="Arial"/>
          <w:szCs w:val="24"/>
        </w:rPr>
        <w:t>organisation</w:t>
      </w:r>
      <w:proofErr w:type="spellEnd"/>
      <w:r w:rsidRPr="00873BC9">
        <w:rPr>
          <w:rFonts w:ascii="Arial" w:hAnsi="Arial" w:cs="Arial" w:hint="eastAsia"/>
          <w:szCs w:val="24"/>
        </w:rPr>
        <w:t>․</w:t>
      </w:r>
      <w:r w:rsidRPr="00873BC9">
        <w:rPr>
          <w:rFonts w:ascii="Arial" w:hAnsi="Arial" w:cs="Arial"/>
          <w:szCs w:val="24"/>
        </w:rPr>
        <w:t xml:space="preserve"> in the </w:t>
      </w:r>
      <w:proofErr w:type="spellStart"/>
      <w:r w:rsidRPr="00873BC9">
        <w:rPr>
          <w:rFonts w:ascii="Arial" w:hAnsi="Arial" w:cs="Arial"/>
          <w:szCs w:val="24"/>
        </w:rPr>
        <w:t>organisation</w:t>
      </w:r>
      <w:proofErr w:type="spellEnd"/>
      <w:r w:rsidRPr="00873BC9">
        <w:rPr>
          <w:rFonts w:ascii="Arial" w:hAnsi="Arial" w:cs="Arial" w:hint="eastAsia"/>
          <w:szCs w:val="24"/>
        </w:rPr>
        <w:t>․</w:t>
      </w:r>
      <w:r w:rsidRPr="00873BC9">
        <w:rPr>
          <w:rFonts w:ascii="Arial" w:hAnsi="Arial" w:cs="Arial"/>
          <w:szCs w:val="24"/>
        </w:rPr>
        <w:t xml:space="preserve"> Strategic talent management requires </w:t>
      </w:r>
      <w:proofErr w:type="spellStart"/>
      <w:r w:rsidRPr="00873BC9">
        <w:rPr>
          <w:rFonts w:ascii="Arial" w:hAnsi="Arial" w:cs="Arial"/>
          <w:szCs w:val="24"/>
        </w:rPr>
        <w:t>organisations</w:t>
      </w:r>
      <w:proofErr w:type="spellEnd"/>
      <w:r w:rsidRPr="00873BC9">
        <w:rPr>
          <w:rFonts w:ascii="Arial" w:hAnsi="Arial" w:cs="Arial"/>
          <w:szCs w:val="24"/>
        </w:rPr>
        <w:t xml:space="preserve"> to identify key jobs and to invest in those differently (Collings and </w:t>
      </w:r>
      <w:proofErr w:type="spellStart"/>
      <w:r w:rsidRPr="00873BC9">
        <w:rPr>
          <w:rFonts w:ascii="Arial" w:hAnsi="Arial" w:cs="Arial"/>
          <w:szCs w:val="24"/>
        </w:rPr>
        <w:t>Mellahi</w:t>
      </w:r>
      <w:proofErr w:type="spellEnd"/>
      <w:r w:rsidRPr="00873BC9">
        <w:rPr>
          <w:rFonts w:ascii="Arial" w:hAnsi="Arial" w:cs="Arial"/>
          <w:szCs w:val="24"/>
        </w:rPr>
        <w:t>‚ 2009)</w:t>
      </w:r>
      <w:r w:rsidRPr="00873BC9">
        <w:rPr>
          <w:rFonts w:ascii="Arial" w:hAnsi="Arial" w:cs="Arial" w:hint="eastAsia"/>
          <w:szCs w:val="24"/>
        </w:rPr>
        <w:t>․</w:t>
      </w:r>
      <w:r w:rsidRPr="00873BC9">
        <w:rPr>
          <w:rFonts w:ascii="Arial" w:hAnsi="Arial" w:cs="Arial"/>
          <w:szCs w:val="24"/>
        </w:rPr>
        <w:t xml:space="preserve"> The orthodox ‘war for talent' approach </w:t>
      </w:r>
      <w:proofErr w:type="spellStart"/>
      <w:r w:rsidRPr="00873BC9">
        <w:rPr>
          <w:rFonts w:ascii="Arial" w:hAnsi="Arial" w:cs="Arial"/>
          <w:szCs w:val="24"/>
        </w:rPr>
        <w:t>emphasises</w:t>
      </w:r>
      <w:proofErr w:type="spellEnd"/>
      <w:r w:rsidRPr="00873BC9">
        <w:rPr>
          <w:rFonts w:ascii="Arial" w:hAnsi="Arial" w:cs="Arial"/>
          <w:szCs w:val="24"/>
        </w:rPr>
        <w:t xml:space="preserve"> the attraction of a star-elite (Michaels‚ Handfield-Jones and Axelrod‚ 2001); this argument discourages the majority‚ fosters resentment concerning retention‚ while the networks create value in innovation‚ not just one star (Gallardo-Gallardo‚ </w:t>
      </w:r>
      <w:proofErr w:type="spellStart"/>
      <w:r w:rsidRPr="00873BC9">
        <w:rPr>
          <w:rFonts w:ascii="Arial" w:hAnsi="Arial" w:cs="Arial"/>
          <w:szCs w:val="24"/>
        </w:rPr>
        <w:t>Thunnissen</w:t>
      </w:r>
      <w:proofErr w:type="spellEnd"/>
      <w:r w:rsidRPr="00873BC9">
        <w:rPr>
          <w:rFonts w:ascii="Arial" w:hAnsi="Arial" w:cs="Arial"/>
          <w:szCs w:val="24"/>
        </w:rPr>
        <w:t xml:space="preserve"> and Scullion‚ 2020)</w:t>
      </w:r>
      <w:r w:rsidRPr="00873BC9">
        <w:rPr>
          <w:rFonts w:ascii="Arial" w:hAnsi="Arial" w:cs="Arial" w:hint="eastAsia"/>
          <w:szCs w:val="24"/>
        </w:rPr>
        <w:t>․</w:t>
      </w:r>
      <w:r w:rsidRPr="00873BC9">
        <w:rPr>
          <w:rFonts w:ascii="Arial" w:hAnsi="Arial" w:cs="Arial"/>
          <w:szCs w:val="24"/>
        </w:rPr>
        <w:t xml:space="preserve"> NHSX must apply inclusive talent management</w:t>
      </w:r>
      <w:r w:rsidRPr="00873BC9">
        <w:rPr>
          <w:rFonts w:ascii="Arial" w:hAnsi="Arial" w:cs="Arial" w:hint="eastAsia"/>
          <w:szCs w:val="24"/>
        </w:rPr>
        <w:t>․</w:t>
      </w:r>
      <w:r w:rsidRPr="00873BC9">
        <w:rPr>
          <w:rFonts w:ascii="Arial" w:hAnsi="Arial" w:cs="Arial"/>
          <w:szCs w:val="24"/>
        </w:rPr>
        <w:t xml:space="preserve"> They require internal talent marketplaces that </w:t>
      </w:r>
      <w:proofErr w:type="spellStart"/>
      <w:r w:rsidRPr="00873BC9">
        <w:rPr>
          <w:rFonts w:ascii="Arial" w:hAnsi="Arial" w:cs="Arial"/>
          <w:szCs w:val="24"/>
        </w:rPr>
        <w:t>publicise</w:t>
      </w:r>
      <w:proofErr w:type="spellEnd"/>
      <w:r w:rsidRPr="00873BC9">
        <w:rPr>
          <w:rFonts w:ascii="Arial" w:hAnsi="Arial" w:cs="Arial"/>
          <w:szCs w:val="24"/>
        </w:rPr>
        <w:t xml:space="preserve"> projects before the process of external recruitment</w:t>
      </w:r>
      <w:r w:rsidRPr="00873BC9">
        <w:rPr>
          <w:rFonts w:ascii="Arial" w:hAnsi="Arial" w:cs="Arial" w:hint="eastAsia"/>
          <w:szCs w:val="24"/>
        </w:rPr>
        <w:t>․</w:t>
      </w:r>
      <w:r w:rsidRPr="00873BC9">
        <w:rPr>
          <w:rFonts w:ascii="Arial" w:hAnsi="Arial" w:cs="Arial"/>
          <w:szCs w:val="24"/>
        </w:rPr>
        <w:t xml:space="preserve"> Career lattices that value and encourage sideways moves instead of ladders are also necessary</w:t>
      </w:r>
      <w:r w:rsidRPr="00873BC9">
        <w:rPr>
          <w:rFonts w:ascii="Arial" w:hAnsi="Arial" w:cs="Arial" w:hint="eastAsia"/>
          <w:szCs w:val="24"/>
        </w:rPr>
        <w:t>․</w:t>
      </w:r>
      <w:r w:rsidRPr="00873BC9">
        <w:rPr>
          <w:rFonts w:ascii="Arial" w:hAnsi="Arial" w:cs="Arial"/>
          <w:szCs w:val="24"/>
        </w:rPr>
        <w:t xml:space="preserve"> Furthermore‚ mentoring among UK clinical-AI specialists alongside Indian and UAE engineers is essential</w:t>
      </w:r>
      <w:r w:rsidRPr="00873BC9">
        <w:rPr>
          <w:rFonts w:ascii="Arial" w:hAnsi="Arial" w:cs="Arial" w:hint="eastAsia"/>
          <w:szCs w:val="24"/>
        </w:rPr>
        <w:t>․</w:t>
      </w:r>
      <w:r w:rsidRPr="00873BC9">
        <w:rPr>
          <w:rFonts w:ascii="Arial" w:hAnsi="Arial" w:cs="Arial"/>
          <w:szCs w:val="24"/>
        </w:rPr>
        <w:t xml:space="preserve">  Two of the notable ideas that can indeed be mentioned in this particular regard are job creating‚ which specifically refers to the active reshaping of their specific role by employees</w:t>
      </w:r>
      <w:r w:rsidRPr="00873BC9">
        <w:rPr>
          <w:rFonts w:ascii="Arial" w:hAnsi="Arial" w:cs="Arial" w:hint="eastAsia"/>
          <w:szCs w:val="24"/>
        </w:rPr>
        <w:t>․</w:t>
      </w:r>
      <w:r w:rsidRPr="00873BC9">
        <w:rPr>
          <w:rFonts w:ascii="Arial" w:hAnsi="Arial" w:cs="Arial"/>
          <w:szCs w:val="24"/>
        </w:rPr>
        <w:t xml:space="preserve"> Another idea is based on self-determination theory‚ which includes autonomy‚ competence‚ and relatedness (Deci and Ryan‚ 2000)</w:t>
      </w:r>
      <w:r w:rsidRPr="00873BC9">
        <w:rPr>
          <w:rFonts w:ascii="Arial" w:hAnsi="Arial" w:cs="Arial" w:hint="eastAsia"/>
          <w:szCs w:val="24"/>
        </w:rPr>
        <w:t>․</w:t>
      </w:r>
      <w:r w:rsidRPr="00873BC9">
        <w:rPr>
          <w:rFonts w:ascii="Arial" w:hAnsi="Arial" w:cs="Arial"/>
          <w:szCs w:val="24"/>
        </w:rPr>
        <w:t xml:space="preserve"> Job creating workshops that incorporate an employee-experience lens and include culture‚ technology‚ and workspace (Morgan‚ 2017) can effectively bridge the ecosystem with everyday working</w:t>
      </w:r>
      <w:r w:rsidRPr="00873BC9">
        <w:rPr>
          <w:rFonts w:ascii="Arial" w:hAnsi="Arial" w:cs="Arial" w:hint="eastAsia"/>
          <w:szCs w:val="24"/>
        </w:rPr>
        <w:t>․</w:t>
      </w:r>
      <w:r w:rsidRPr="00873BC9">
        <w:rPr>
          <w:rFonts w:ascii="Arial" w:hAnsi="Arial" w:cs="Arial"/>
          <w:szCs w:val="24"/>
        </w:rPr>
        <w:t xml:space="preserve"> </w:t>
      </w:r>
    </w:p>
    <w:p w14:paraId="1FFCD6E2" w14:textId="77777777" w:rsidR="00C74548" w:rsidRDefault="00000000">
      <w:pPr>
        <w:pStyle w:val="Heading2"/>
      </w:pPr>
      <w:bookmarkStart w:id="8" w:name="_Toc243425679"/>
      <w:r w:rsidRPr="008F2252">
        <w:rPr>
          <w:rStyle w:val="Heading2Char"/>
          <w:rFonts w:ascii="Arial" w:eastAsia="Arial" w:hAnsi="Arial" w:cs="Arial"/>
          <w:b/>
          <w:bCs/>
          <w:color w:val="167F83"/>
        </w:rPr>
        <w:lastRenderedPageBreak/>
        <w:t>Sustainable performance and evaluation</w:t>
      </w:r>
      <w:bookmarkEnd w:id="8"/>
    </w:p>
    <w:p w14:paraId="41CC6ED3" w14:textId="77777777" w:rsidR="00C74548" w:rsidRDefault="00000000">
      <w:pPr>
        <w:rPr>
          <w:rFonts w:eastAsia="Times New Roman"/>
        </w:rPr>
      </w:pPr>
      <w:r>
        <w:rPr>
          <w:rFonts w:ascii="Arial" w:hAnsi="Arial" w:cs="Arial"/>
          <w:szCs w:val="24"/>
        </w:rPr>
        <w:t>NHSX must undertake to resolve the continuing conflict that exists between wellbeing and performance</w:t>
      </w:r>
      <w:r>
        <w:rPr>
          <w:rFonts w:ascii="Arial" w:hAnsi="Arial" w:cs="Arial" w:hint="eastAsia"/>
          <w:szCs w:val="24"/>
        </w:rPr>
        <w:t>․</w:t>
      </w:r>
      <w:r>
        <w:rPr>
          <w:rFonts w:ascii="Arial" w:hAnsi="Arial" w:cs="Arial"/>
          <w:szCs w:val="24"/>
        </w:rPr>
        <w:t xml:space="preserve"> Flexibility can lead to workers facing increased work demands if workers sense they must compensate for the flexibility with more work (Kelliher &amp; Anderson‚ 2010)</w:t>
      </w:r>
      <w:r>
        <w:rPr>
          <w:rFonts w:ascii="Arial" w:hAnsi="Arial" w:cs="Arial" w:hint="eastAsia"/>
          <w:szCs w:val="24"/>
        </w:rPr>
        <w:t>․</w:t>
      </w:r>
      <w:r>
        <w:rPr>
          <w:rFonts w:ascii="Arial" w:hAnsi="Arial" w:cs="Arial"/>
          <w:szCs w:val="24"/>
        </w:rPr>
        <w:t xml:space="preserve"> A global calendar might also cause colleagues in India along with the UAE to face late calls multiple times‚ exposing them to the risk of burnout</w:t>
      </w:r>
      <w:r>
        <w:rPr>
          <w:rFonts w:ascii="Arial" w:hAnsi="Arial" w:cs="Arial" w:hint="eastAsia"/>
          <w:szCs w:val="24"/>
        </w:rPr>
        <w:t>․</w:t>
      </w:r>
      <w:r>
        <w:rPr>
          <w:rFonts w:ascii="Arial" w:hAnsi="Arial" w:cs="Arial"/>
          <w:szCs w:val="24"/>
        </w:rPr>
        <w:t xml:space="preserve"> To ensure that the </w:t>
      </w:r>
      <w:proofErr w:type="spellStart"/>
      <w:r>
        <w:rPr>
          <w:rFonts w:ascii="Arial" w:hAnsi="Arial" w:cs="Arial"/>
          <w:szCs w:val="24"/>
        </w:rPr>
        <w:t>organisation</w:t>
      </w:r>
      <w:proofErr w:type="spellEnd"/>
      <w:r>
        <w:rPr>
          <w:rFonts w:ascii="Arial" w:hAnsi="Arial" w:cs="Arial"/>
          <w:szCs w:val="24"/>
        </w:rPr>
        <w:t xml:space="preserve"> achieves sustainable performances‚ NHSX should adopt an approach that grants everyone the right to disconnect‚ schedule meetings at various times‚ and monitor workloads‚ all while ensuring that leaders exemplify admirable </w:t>
      </w:r>
      <w:proofErr w:type="spellStart"/>
      <w:r>
        <w:rPr>
          <w:rFonts w:ascii="Arial" w:hAnsi="Arial" w:cs="Arial"/>
          <w:szCs w:val="24"/>
        </w:rPr>
        <w:t>behaviours</w:t>
      </w:r>
      <w:proofErr w:type="spellEnd"/>
      <w:r>
        <w:rPr>
          <w:rFonts w:ascii="Arial" w:hAnsi="Arial" w:cs="Arial"/>
          <w:szCs w:val="24"/>
        </w:rPr>
        <w:t xml:space="preserve"> in maintaining healthy boundaries</w:t>
      </w:r>
      <w:r>
        <w:rPr>
          <w:rFonts w:ascii="Arial" w:hAnsi="Arial" w:cs="Arial" w:hint="eastAsia"/>
          <w:szCs w:val="24"/>
        </w:rPr>
        <w:t>․</w:t>
      </w:r>
      <w:r>
        <w:rPr>
          <w:rFonts w:ascii="Arial" w:hAnsi="Arial" w:cs="Arial"/>
          <w:szCs w:val="24"/>
        </w:rPr>
        <w:t xml:space="preserve">  Quarterly assessed: retention rates in important roles within the domain of AI</w:t>
      </w:r>
      <w:r>
        <w:rPr>
          <w:rFonts w:ascii="Arial" w:hAnsi="Arial" w:cs="Arial" w:hint="eastAsia"/>
          <w:szCs w:val="24"/>
        </w:rPr>
        <w:t>․</w:t>
      </w:r>
      <w:r>
        <w:rPr>
          <w:rFonts w:ascii="Arial" w:hAnsi="Arial" w:cs="Arial"/>
          <w:szCs w:val="24"/>
        </w:rPr>
        <w:t xml:space="preserve"> This includes internal fill rate‚ involvement in cross-border mentoring‚ and psychological safety pulses within the </w:t>
      </w:r>
      <w:proofErr w:type="spellStart"/>
      <w:r>
        <w:rPr>
          <w:rFonts w:ascii="Arial" w:hAnsi="Arial" w:cs="Arial"/>
          <w:szCs w:val="24"/>
        </w:rPr>
        <w:t>organisation</w:t>
      </w:r>
      <w:proofErr w:type="spellEnd"/>
      <w:r>
        <w:rPr>
          <w:rFonts w:ascii="Arial" w:hAnsi="Arial" w:cs="Arial" w:hint="eastAsia"/>
          <w:szCs w:val="24"/>
        </w:rPr>
        <w:t>․</w:t>
      </w:r>
      <w:r>
        <w:rPr>
          <w:rFonts w:ascii="Arial" w:hAnsi="Arial" w:cs="Arial"/>
          <w:szCs w:val="24"/>
        </w:rPr>
        <w:t xml:space="preserve"> Because there is a lack of a baseline‚ HR should establish definitions and values</w:t>
      </w:r>
      <w:r>
        <w:rPr>
          <w:rFonts w:ascii="Arial" w:hAnsi="Arial" w:cs="Arial" w:hint="eastAsia"/>
          <w:szCs w:val="24"/>
        </w:rPr>
        <w:t>․</w:t>
      </w:r>
      <w:r>
        <w:rPr>
          <w:rFonts w:ascii="Arial" w:hAnsi="Arial" w:cs="Arial"/>
          <w:szCs w:val="24"/>
        </w:rPr>
        <w:t xml:space="preserve"> They should break down by team and location‚ along with discussing targets with employees and safety leads at each site</w:t>
      </w:r>
      <w:r>
        <w:rPr>
          <w:rFonts w:ascii="Arial" w:hAnsi="Arial" w:cs="Arial" w:hint="eastAsia"/>
          <w:szCs w:val="24"/>
        </w:rPr>
        <w:t>․</w:t>
      </w:r>
      <w:r>
        <w:rPr>
          <w:rFonts w:ascii="Arial" w:hAnsi="Arial" w:cs="Arial"/>
          <w:szCs w:val="24"/>
        </w:rPr>
        <w:t xml:space="preserve"> </w:t>
      </w:r>
      <w:proofErr w:type="spellStart"/>
      <w:r>
        <w:rPr>
          <w:rFonts w:ascii="Arial" w:hAnsi="Arial" w:cs="Arial"/>
          <w:szCs w:val="24"/>
        </w:rPr>
        <w:t>Analyse</w:t>
      </w:r>
      <w:proofErr w:type="spellEnd"/>
      <w:r>
        <w:rPr>
          <w:rFonts w:ascii="Arial" w:hAnsi="Arial" w:cs="Arial"/>
          <w:szCs w:val="24"/>
        </w:rPr>
        <w:t xml:space="preserve"> the trends in relation to clinical safety and workload measures in order to avoid depending on activity or the number of hires as a means of assessing capability or wellbeing</w:t>
      </w:r>
      <w:r>
        <w:rPr>
          <w:rFonts w:ascii="Arial" w:hAnsi="Arial" w:cs="Arial" w:hint="eastAsia"/>
          <w:szCs w:val="24"/>
        </w:rPr>
        <w:t>․</w:t>
      </w:r>
      <w:r>
        <w:rPr>
          <w:rFonts w:ascii="Arial" w:hAnsi="Arial" w:cs="Arial"/>
          <w:szCs w:val="24"/>
        </w:rPr>
        <w:t xml:space="preserve"> These measures connect talent practice with </w:t>
      </w:r>
      <w:proofErr w:type="spellStart"/>
      <w:r>
        <w:rPr>
          <w:rFonts w:ascii="Arial" w:hAnsi="Arial" w:cs="Arial"/>
          <w:szCs w:val="24"/>
        </w:rPr>
        <w:t>organisational</w:t>
      </w:r>
      <w:proofErr w:type="spellEnd"/>
      <w:r>
        <w:rPr>
          <w:rFonts w:ascii="Arial" w:hAnsi="Arial" w:cs="Arial"/>
          <w:szCs w:val="24"/>
        </w:rPr>
        <w:t xml:space="preserve"> strategy (Collings as well as </w:t>
      </w:r>
      <w:proofErr w:type="spellStart"/>
      <w:r>
        <w:rPr>
          <w:rFonts w:ascii="Arial" w:hAnsi="Arial" w:cs="Arial"/>
          <w:szCs w:val="24"/>
        </w:rPr>
        <w:t>Mellahi</w:t>
      </w:r>
      <w:proofErr w:type="spellEnd"/>
      <w:r>
        <w:rPr>
          <w:rFonts w:ascii="Arial" w:hAnsi="Arial" w:cs="Arial"/>
          <w:szCs w:val="24"/>
        </w:rPr>
        <w:t>‚ 2009) while presenting areas for adjustment</w:t>
      </w:r>
      <w:r>
        <w:rPr>
          <w:rFonts w:ascii="Arial" w:hAnsi="Arial" w:cs="Arial" w:hint="eastAsia"/>
          <w:szCs w:val="24"/>
        </w:rPr>
        <w:t>․</w:t>
      </w:r>
      <w:r>
        <w:rPr>
          <w:rFonts w:ascii="Arial" w:hAnsi="Arial" w:cs="Arial"/>
          <w:szCs w:val="24"/>
        </w:rPr>
        <w:t xml:space="preserve"> This quarterly review dashboard template appears in Figure 3</w:t>
      </w:r>
      <w:r>
        <w:rPr>
          <w:rFonts w:ascii="Arial" w:hAnsi="Arial" w:cs="Arial" w:hint="eastAsia"/>
          <w:szCs w:val="24"/>
        </w:rPr>
        <w:t>․</w:t>
      </w:r>
      <w:r>
        <w:rPr>
          <w:rFonts w:ascii="Arial" w:hAnsi="Arial" w:cs="Arial"/>
          <w:szCs w:val="24"/>
        </w:rPr>
        <w:t xml:space="preserve"> </w:t>
      </w:r>
    </w:p>
    <w:p w14:paraId="5AC45C82" w14:textId="77777777" w:rsidR="00873BC9" w:rsidRPr="00873BC9" w:rsidRDefault="00873BC9" w:rsidP="00873BC9"/>
    <w:p w14:paraId="3A1DC87C" w14:textId="77777777" w:rsidR="00873BC9" w:rsidRPr="00873BC9" w:rsidRDefault="00873BC9" w:rsidP="00873BC9"/>
    <w:p w14:paraId="23A10E0C" w14:textId="77777777" w:rsidR="002F0C2E" w:rsidRDefault="00000000">
      <w:pPr>
        <w:pStyle w:val="Caption"/>
        <w:keepNext/>
        <w:spacing w:after="40"/>
        <w:jc w:val="center"/>
      </w:pPr>
      <w:r>
        <w:rPr>
          <w:rFonts w:ascii="Arial" w:hAnsi="Arial"/>
          <w:i/>
          <w:sz w:val="19"/>
        </w:rPr>
        <w:t>Table 2: NHSX talent-growth ecosystem</w:t>
      </w:r>
    </w:p>
    <w:tbl>
      <w:tblPr>
        <w:tblStyle w:val="TableGrid"/>
        <w:tblW w:w="0" w:type="auto"/>
        <w:jc w:val="center"/>
        <w:tblLook w:val="04A0" w:firstRow="1" w:lastRow="0" w:firstColumn="1" w:lastColumn="0" w:noHBand="0" w:noVBand="1"/>
      </w:tblPr>
      <w:tblGrid>
        <w:gridCol w:w="2880"/>
        <w:gridCol w:w="2880"/>
        <w:gridCol w:w="2880"/>
      </w:tblGrid>
      <w:tr w:rsidR="002F0C2E" w14:paraId="0ECCED6E" w14:textId="77777777" w:rsidTr="1D0CA0E3">
        <w:trPr>
          <w:cantSplit/>
          <w:tblHeader/>
          <w:jc w:val="center"/>
        </w:trPr>
        <w:tc>
          <w:tcPr>
            <w:tcW w:w="2880" w:type="dxa"/>
            <w:shd w:val="clear" w:color="auto" w:fill="183653"/>
            <w:tcMar>
              <w:top w:w="100" w:type="dxa"/>
              <w:left w:w="110" w:type="dxa"/>
              <w:bottom w:w="100" w:type="dxa"/>
              <w:right w:w="110" w:type="dxa"/>
            </w:tcMar>
            <w:vAlign w:val="center"/>
          </w:tcPr>
          <w:p w14:paraId="74A4A365" w14:textId="77777777" w:rsidR="002F0C2E" w:rsidRDefault="00000000">
            <w:pPr>
              <w:spacing w:before="80" w:after="80"/>
            </w:pPr>
            <w:r>
              <w:rPr>
                <w:rFonts w:ascii="Arial" w:hAnsi="Arial" w:cs="Arial"/>
                <w:b/>
                <w:color w:val="FFFFFF"/>
                <w:szCs w:val="24"/>
              </w:rPr>
              <w:t>Ecosystem element</w:t>
            </w:r>
          </w:p>
        </w:tc>
        <w:tc>
          <w:tcPr>
            <w:tcW w:w="2880" w:type="dxa"/>
            <w:shd w:val="clear" w:color="auto" w:fill="183653"/>
            <w:tcMar>
              <w:top w:w="100" w:type="dxa"/>
              <w:left w:w="110" w:type="dxa"/>
              <w:bottom w:w="100" w:type="dxa"/>
              <w:right w:w="110" w:type="dxa"/>
            </w:tcMar>
            <w:vAlign w:val="center"/>
          </w:tcPr>
          <w:p w14:paraId="6B1D4D01" w14:textId="77777777" w:rsidR="002F0C2E" w:rsidRDefault="00000000">
            <w:pPr>
              <w:spacing w:before="80" w:after="80"/>
            </w:pPr>
            <w:r>
              <w:rPr>
                <w:rFonts w:ascii="Arial" w:hAnsi="Arial" w:cs="Arial"/>
                <w:b/>
                <w:color w:val="FFFFFF"/>
                <w:szCs w:val="24"/>
              </w:rPr>
              <w:t>NHSX design</w:t>
            </w:r>
          </w:p>
        </w:tc>
        <w:tc>
          <w:tcPr>
            <w:tcW w:w="2880" w:type="dxa"/>
            <w:shd w:val="clear" w:color="auto" w:fill="183653"/>
            <w:tcMar>
              <w:top w:w="100" w:type="dxa"/>
              <w:left w:w="110" w:type="dxa"/>
              <w:bottom w:w="100" w:type="dxa"/>
              <w:right w:w="110" w:type="dxa"/>
            </w:tcMar>
            <w:vAlign w:val="center"/>
          </w:tcPr>
          <w:p w14:paraId="5E200E2E" w14:textId="77777777" w:rsidR="002F0C2E" w:rsidRDefault="00000000">
            <w:pPr>
              <w:spacing w:before="80" w:after="80"/>
            </w:pPr>
            <w:r>
              <w:rPr>
                <w:rFonts w:ascii="Arial" w:hAnsi="Arial" w:cs="Arial"/>
                <w:b/>
                <w:color w:val="FFFFFF"/>
                <w:szCs w:val="24"/>
              </w:rPr>
              <w:t>Justification and link</w:t>
            </w:r>
          </w:p>
        </w:tc>
      </w:tr>
      <w:tr w:rsidR="002F0C2E" w14:paraId="47C9DF51" w14:textId="77777777" w:rsidTr="1D0CA0E3">
        <w:trPr>
          <w:cantSplit/>
          <w:jc w:val="center"/>
        </w:trPr>
        <w:tc>
          <w:tcPr>
            <w:tcW w:w="2880" w:type="dxa"/>
            <w:tcMar>
              <w:top w:w="100" w:type="dxa"/>
              <w:left w:w="110" w:type="dxa"/>
              <w:bottom w:w="100" w:type="dxa"/>
              <w:right w:w="110" w:type="dxa"/>
            </w:tcMar>
            <w:vAlign w:val="center"/>
          </w:tcPr>
          <w:p w14:paraId="66BD4BF5" w14:textId="77777777" w:rsidR="002F0C2E" w:rsidRDefault="00000000">
            <w:pPr>
              <w:spacing w:before="80" w:after="80"/>
            </w:pPr>
            <w:r>
              <w:rPr>
                <w:rFonts w:ascii="Arial" w:hAnsi="Arial" w:cs="Arial"/>
                <w:szCs w:val="24"/>
              </w:rPr>
              <w:t>Base layer: psychological safety</w:t>
            </w:r>
          </w:p>
        </w:tc>
        <w:tc>
          <w:tcPr>
            <w:tcW w:w="2880" w:type="dxa"/>
            <w:tcMar>
              <w:top w:w="100" w:type="dxa"/>
              <w:left w:w="110" w:type="dxa"/>
              <w:bottom w:w="100" w:type="dxa"/>
              <w:right w:w="110" w:type="dxa"/>
            </w:tcMar>
            <w:vAlign w:val="center"/>
          </w:tcPr>
          <w:p w14:paraId="0717DC49" w14:textId="4BDD4A16" w:rsidR="002F0C2E" w:rsidRDefault="00B539B7" w:rsidP="1D0CA0E3">
            <w:pPr>
              <w:spacing w:before="80" w:after="80"/>
              <w:rPr>
                <w:rFonts w:cs="Arial"/>
                <w:szCs w:val="24"/>
              </w:rPr>
            </w:pPr>
            <w:r w:rsidRPr="00B539B7">
              <w:rPr>
                <w:rFonts w:cs="Arial"/>
                <w:szCs w:val="24"/>
              </w:rPr>
              <w:t xml:space="preserve">Blameless </w:t>
            </w:r>
            <w:proofErr w:type="gramStart"/>
            <w:r w:rsidRPr="00B539B7">
              <w:rPr>
                <w:rFonts w:cs="Arial"/>
                <w:szCs w:val="24"/>
              </w:rPr>
              <w:t>post mortems</w:t>
            </w:r>
            <w:proofErr w:type="gramEnd"/>
            <w:r w:rsidRPr="00B539B7">
              <w:rPr>
                <w:rFonts w:cs="Arial"/>
                <w:szCs w:val="24"/>
              </w:rPr>
              <w:t>; leaders in their vulnerability show․</w:t>
            </w:r>
          </w:p>
        </w:tc>
        <w:tc>
          <w:tcPr>
            <w:tcW w:w="2880" w:type="dxa"/>
            <w:tcMar>
              <w:top w:w="100" w:type="dxa"/>
              <w:left w:w="110" w:type="dxa"/>
              <w:bottom w:w="100" w:type="dxa"/>
              <w:right w:w="110" w:type="dxa"/>
            </w:tcMar>
            <w:vAlign w:val="center"/>
          </w:tcPr>
          <w:p w14:paraId="396A8DAC" w14:textId="77777777" w:rsidR="002F0C2E" w:rsidRDefault="00000000">
            <w:pPr>
              <w:spacing w:before="80" w:after="80"/>
            </w:pPr>
            <w:r>
              <w:rPr>
                <w:rFonts w:ascii="Arial" w:hAnsi="Arial" w:cs="Arial"/>
                <w:szCs w:val="24"/>
              </w:rPr>
              <w:t>Safety enables learning behaviour (Edmondson, 1999)</w:t>
            </w:r>
          </w:p>
        </w:tc>
      </w:tr>
      <w:tr w:rsidR="002F0C2E" w14:paraId="20B26DFB" w14:textId="77777777" w:rsidTr="1D0CA0E3">
        <w:trPr>
          <w:cantSplit/>
          <w:jc w:val="center"/>
        </w:trPr>
        <w:tc>
          <w:tcPr>
            <w:tcW w:w="2880" w:type="dxa"/>
            <w:shd w:val="clear" w:color="auto" w:fill="F1F6F7"/>
            <w:tcMar>
              <w:top w:w="100" w:type="dxa"/>
              <w:left w:w="110" w:type="dxa"/>
              <w:bottom w:w="100" w:type="dxa"/>
              <w:right w:w="110" w:type="dxa"/>
            </w:tcMar>
            <w:vAlign w:val="center"/>
          </w:tcPr>
          <w:p w14:paraId="26890C7B" w14:textId="77777777" w:rsidR="002F0C2E" w:rsidRDefault="00000000">
            <w:pPr>
              <w:spacing w:before="80" w:after="80"/>
            </w:pPr>
            <w:r>
              <w:rPr>
                <w:rFonts w:ascii="Arial" w:hAnsi="Arial" w:cs="Arial"/>
                <w:szCs w:val="24"/>
              </w:rPr>
              <w:lastRenderedPageBreak/>
              <w:t>Learning organisation</w:t>
            </w:r>
          </w:p>
        </w:tc>
        <w:tc>
          <w:tcPr>
            <w:tcW w:w="2880" w:type="dxa"/>
            <w:shd w:val="clear" w:color="auto" w:fill="F1F6F7"/>
            <w:tcMar>
              <w:top w:w="100" w:type="dxa"/>
              <w:left w:w="110" w:type="dxa"/>
              <w:bottom w:w="100" w:type="dxa"/>
              <w:right w:w="110" w:type="dxa"/>
            </w:tcMar>
            <w:vAlign w:val="center"/>
          </w:tcPr>
          <w:p w14:paraId="72B08D4B" w14:textId="77777777" w:rsidR="002F0C2E" w:rsidRDefault="6A9BA401" w:rsidP="1D0CA0E3">
            <w:pPr>
              <w:spacing w:before="80" w:after="80"/>
              <w:rPr>
                <w:rFonts w:cs="Arial"/>
                <w:szCs w:val="24"/>
              </w:rPr>
            </w:pPr>
            <w:r w:rsidRPr="1D0CA0E3">
              <w:rPr>
                <w:rFonts w:ascii="Arial" w:hAnsi="Arial" w:cs="Arial"/>
                <w:szCs w:val="24"/>
              </w:rPr>
              <w:t>On one hand, 10% learning time, and on the other hand, communities of practice across the borders, a shared knowledge base.</w:t>
            </w:r>
          </w:p>
        </w:tc>
        <w:tc>
          <w:tcPr>
            <w:tcW w:w="2880" w:type="dxa"/>
            <w:shd w:val="clear" w:color="auto" w:fill="F1F6F7"/>
            <w:tcMar>
              <w:top w:w="100" w:type="dxa"/>
              <w:left w:w="110" w:type="dxa"/>
              <w:bottom w:w="100" w:type="dxa"/>
              <w:right w:w="110" w:type="dxa"/>
            </w:tcMar>
            <w:vAlign w:val="center"/>
          </w:tcPr>
          <w:p w14:paraId="7A296270" w14:textId="77777777" w:rsidR="002F0C2E" w:rsidRDefault="00000000">
            <w:pPr>
              <w:spacing w:before="80" w:after="80"/>
            </w:pPr>
            <w:r>
              <w:rPr>
                <w:rFonts w:ascii="Arial" w:hAnsi="Arial" w:cs="Arial"/>
                <w:szCs w:val="24"/>
              </w:rPr>
              <w:t>Senge made concrete (Senge, 1990)</w:t>
            </w:r>
          </w:p>
        </w:tc>
      </w:tr>
      <w:tr w:rsidR="002F0C2E" w14:paraId="1E8999A8" w14:textId="77777777" w:rsidTr="1D0CA0E3">
        <w:trPr>
          <w:cantSplit/>
          <w:jc w:val="center"/>
        </w:trPr>
        <w:tc>
          <w:tcPr>
            <w:tcW w:w="2880" w:type="dxa"/>
            <w:tcMar>
              <w:top w:w="100" w:type="dxa"/>
              <w:left w:w="110" w:type="dxa"/>
              <w:bottom w:w="100" w:type="dxa"/>
              <w:right w:w="110" w:type="dxa"/>
            </w:tcMar>
            <w:vAlign w:val="center"/>
          </w:tcPr>
          <w:p w14:paraId="7832036E" w14:textId="77777777" w:rsidR="002F0C2E" w:rsidRDefault="00000000">
            <w:pPr>
              <w:spacing w:before="80" w:after="80"/>
            </w:pPr>
            <w:r>
              <w:rPr>
                <w:rFonts w:ascii="Arial" w:hAnsi="Arial" w:cs="Arial"/>
                <w:szCs w:val="24"/>
              </w:rPr>
              <w:t>Careers</w:t>
            </w:r>
          </w:p>
        </w:tc>
        <w:tc>
          <w:tcPr>
            <w:tcW w:w="2880" w:type="dxa"/>
            <w:tcMar>
              <w:top w:w="100" w:type="dxa"/>
              <w:left w:w="110" w:type="dxa"/>
              <w:bottom w:w="100" w:type="dxa"/>
              <w:right w:w="110" w:type="dxa"/>
            </w:tcMar>
            <w:vAlign w:val="center"/>
          </w:tcPr>
          <w:p w14:paraId="31BA9D94" w14:textId="77777777" w:rsidR="002F0C2E" w:rsidRDefault="4C87F518" w:rsidP="1D0CA0E3">
            <w:pPr>
              <w:spacing w:before="80" w:after="80"/>
              <w:rPr>
                <w:rFonts w:cs="Arial"/>
                <w:szCs w:val="24"/>
              </w:rPr>
            </w:pPr>
            <w:r w:rsidRPr="1D0CA0E3">
              <w:rPr>
                <w:rFonts w:ascii="Arial" w:hAnsi="Arial" w:cs="Arial"/>
                <w:szCs w:val="24"/>
              </w:rPr>
              <w:t>Career lattice, internal talent marketplace and mentoring between the UK and India, and the UAE.</w:t>
            </w:r>
          </w:p>
        </w:tc>
        <w:tc>
          <w:tcPr>
            <w:tcW w:w="2880" w:type="dxa"/>
            <w:tcMar>
              <w:top w:w="100" w:type="dxa"/>
              <w:left w:w="110" w:type="dxa"/>
              <w:bottom w:w="100" w:type="dxa"/>
              <w:right w:w="110" w:type="dxa"/>
            </w:tcMar>
            <w:vAlign w:val="center"/>
          </w:tcPr>
          <w:p w14:paraId="5F3C11F4" w14:textId="77777777" w:rsidR="002F0C2E" w:rsidRDefault="00000000">
            <w:pPr>
              <w:spacing w:before="80" w:after="80"/>
            </w:pPr>
            <w:r>
              <w:rPr>
                <w:rFonts w:ascii="Arial" w:hAnsi="Arial" w:cs="Arial"/>
                <w:szCs w:val="24"/>
              </w:rPr>
              <w:t>Inclusive strategic TM (Collings and Mellahi, 2009)</w:t>
            </w:r>
          </w:p>
        </w:tc>
      </w:tr>
      <w:tr w:rsidR="002F0C2E" w14:paraId="5FB3DCD1" w14:textId="77777777" w:rsidTr="1D0CA0E3">
        <w:trPr>
          <w:cantSplit/>
          <w:jc w:val="center"/>
        </w:trPr>
        <w:tc>
          <w:tcPr>
            <w:tcW w:w="2880" w:type="dxa"/>
            <w:shd w:val="clear" w:color="auto" w:fill="F1F6F7"/>
            <w:tcMar>
              <w:top w:w="100" w:type="dxa"/>
              <w:left w:w="110" w:type="dxa"/>
              <w:bottom w:w="100" w:type="dxa"/>
              <w:right w:w="110" w:type="dxa"/>
            </w:tcMar>
            <w:vAlign w:val="center"/>
          </w:tcPr>
          <w:p w14:paraId="1FD8779B" w14:textId="77777777" w:rsidR="002F0C2E" w:rsidRDefault="00000000">
            <w:pPr>
              <w:spacing w:before="80" w:after="80"/>
            </w:pPr>
            <w:r>
              <w:rPr>
                <w:rFonts w:ascii="Arial" w:hAnsi="Arial" w:cs="Arial"/>
                <w:szCs w:val="24"/>
              </w:rPr>
              <w:t>Motivation</w:t>
            </w:r>
          </w:p>
        </w:tc>
        <w:tc>
          <w:tcPr>
            <w:tcW w:w="2880" w:type="dxa"/>
            <w:shd w:val="clear" w:color="auto" w:fill="F1F6F7"/>
            <w:tcMar>
              <w:top w:w="100" w:type="dxa"/>
              <w:left w:w="110" w:type="dxa"/>
              <w:bottom w:w="100" w:type="dxa"/>
              <w:right w:w="110" w:type="dxa"/>
            </w:tcMar>
            <w:vAlign w:val="center"/>
          </w:tcPr>
          <w:p w14:paraId="4E714A47" w14:textId="311C4E6A" w:rsidR="002F0C2E" w:rsidRDefault="00B539B7" w:rsidP="1D0CA0E3">
            <w:pPr>
              <w:spacing w:before="80" w:after="80"/>
              <w:rPr>
                <w:rFonts w:cs="Arial"/>
                <w:szCs w:val="24"/>
              </w:rPr>
            </w:pPr>
            <w:r w:rsidRPr="00B539B7">
              <w:rPr>
                <w:rFonts w:cs="Arial"/>
                <w:szCs w:val="24"/>
              </w:rPr>
              <w:t>Workshops are designed for participants to create their own jobs; they provide freedom alongside clear goals;</w:t>
            </w:r>
          </w:p>
        </w:tc>
        <w:tc>
          <w:tcPr>
            <w:tcW w:w="2880" w:type="dxa"/>
            <w:shd w:val="clear" w:color="auto" w:fill="F1F6F7"/>
            <w:tcMar>
              <w:top w:w="100" w:type="dxa"/>
              <w:left w:w="110" w:type="dxa"/>
              <w:bottom w:w="100" w:type="dxa"/>
              <w:right w:w="110" w:type="dxa"/>
            </w:tcMar>
            <w:vAlign w:val="center"/>
          </w:tcPr>
          <w:p w14:paraId="6B3B5EE1" w14:textId="77777777" w:rsidR="002F0C2E" w:rsidRDefault="00000000">
            <w:pPr>
              <w:spacing w:before="80" w:after="80"/>
            </w:pPr>
            <w:r>
              <w:rPr>
                <w:rFonts w:ascii="Arial" w:hAnsi="Arial" w:cs="Arial"/>
                <w:szCs w:val="24"/>
              </w:rPr>
              <w:t>SDT and JD-R (Deci and Ryan, 2000; Tims and Bakker, 2010)</w:t>
            </w:r>
          </w:p>
        </w:tc>
      </w:tr>
      <w:tr w:rsidR="002F0C2E" w14:paraId="0BABD8EC" w14:textId="77777777" w:rsidTr="1D0CA0E3">
        <w:trPr>
          <w:cantSplit/>
          <w:jc w:val="center"/>
        </w:trPr>
        <w:tc>
          <w:tcPr>
            <w:tcW w:w="2880" w:type="dxa"/>
            <w:tcMar>
              <w:top w:w="100" w:type="dxa"/>
              <w:left w:w="110" w:type="dxa"/>
              <w:bottom w:w="100" w:type="dxa"/>
              <w:right w:w="110" w:type="dxa"/>
            </w:tcMar>
            <w:vAlign w:val="center"/>
          </w:tcPr>
          <w:p w14:paraId="122B1A2A" w14:textId="77777777" w:rsidR="002F0C2E" w:rsidRDefault="00000000">
            <w:pPr>
              <w:spacing w:before="80" w:after="80"/>
            </w:pPr>
            <w:r>
              <w:rPr>
                <w:rFonts w:ascii="Arial" w:hAnsi="Arial" w:cs="Arial"/>
                <w:szCs w:val="24"/>
              </w:rPr>
              <w:t>Sustainability</w:t>
            </w:r>
          </w:p>
        </w:tc>
        <w:tc>
          <w:tcPr>
            <w:tcW w:w="2880" w:type="dxa"/>
            <w:tcMar>
              <w:top w:w="100" w:type="dxa"/>
              <w:left w:w="110" w:type="dxa"/>
              <w:bottom w:w="100" w:type="dxa"/>
              <w:right w:w="110" w:type="dxa"/>
            </w:tcMar>
            <w:vAlign w:val="center"/>
          </w:tcPr>
          <w:p w14:paraId="1A9787BD" w14:textId="0D0871E2" w:rsidR="002F0C2E" w:rsidRDefault="00B539B7">
            <w:pPr>
              <w:spacing w:before="80" w:after="80"/>
            </w:pPr>
            <w:r w:rsidRPr="00B539B7">
              <w:t>Right-to-disconnect norms‌ are essential․ Rotating core hours‌ and workload monitoring also play a meaningful role․</w:t>
            </w:r>
          </w:p>
        </w:tc>
        <w:tc>
          <w:tcPr>
            <w:tcW w:w="2880" w:type="dxa"/>
            <w:tcMar>
              <w:top w:w="100" w:type="dxa"/>
              <w:left w:w="110" w:type="dxa"/>
              <w:bottom w:w="100" w:type="dxa"/>
              <w:right w:w="110" w:type="dxa"/>
            </w:tcMar>
            <w:vAlign w:val="center"/>
          </w:tcPr>
          <w:p w14:paraId="423F2644" w14:textId="77777777" w:rsidR="002F0C2E" w:rsidRDefault="00000000">
            <w:pPr>
              <w:spacing w:before="80" w:after="80"/>
            </w:pPr>
            <w:r>
              <w:rPr>
                <w:rFonts w:ascii="Arial" w:hAnsi="Arial" w:cs="Arial"/>
                <w:szCs w:val="24"/>
              </w:rPr>
              <w:t>Sustainable performance (Kelliher and Anderson, 2010)</w:t>
            </w:r>
          </w:p>
        </w:tc>
      </w:tr>
      <w:tr w:rsidR="002F0C2E" w14:paraId="4BC43A06" w14:textId="77777777" w:rsidTr="1D0CA0E3">
        <w:trPr>
          <w:cantSplit/>
          <w:jc w:val="center"/>
        </w:trPr>
        <w:tc>
          <w:tcPr>
            <w:tcW w:w="2880" w:type="dxa"/>
            <w:shd w:val="clear" w:color="auto" w:fill="F1F6F7"/>
            <w:tcMar>
              <w:top w:w="100" w:type="dxa"/>
              <w:left w:w="110" w:type="dxa"/>
              <w:bottom w:w="100" w:type="dxa"/>
              <w:right w:w="110" w:type="dxa"/>
            </w:tcMar>
            <w:vAlign w:val="center"/>
          </w:tcPr>
          <w:p w14:paraId="5AAD7D85" w14:textId="77777777" w:rsidR="002F0C2E" w:rsidRDefault="00000000">
            <w:pPr>
              <w:spacing w:before="80" w:after="80"/>
            </w:pPr>
            <w:r>
              <w:rPr>
                <w:rFonts w:ascii="Arial" w:hAnsi="Arial" w:cs="Arial"/>
                <w:szCs w:val="24"/>
              </w:rPr>
              <w:t>Selection and development</w:t>
            </w:r>
          </w:p>
        </w:tc>
        <w:tc>
          <w:tcPr>
            <w:tcW w:w="2880" w:type="dxa"/>
            <w:shd w:val="clear" w:color="auto" w:fill="F1F6F7"/>
            <w:tcMar>
              <w:top w:w="100" w:type="dxa"/>
              <w:left w:w="110" w:type="dxa"/>
              <w:bottom w:w="100" w:type="dxa"/>
              <w:right w:w="110" w:type="dxa"/>
            </w:tcMar>
            <w:vAlign w:val="center"/>
          </w:tcPr>
          <w:p w14:paraId="4CB54277" w14:textId="4CE43BCA" w:rsidR="002F0C2E" w:rsidRDefault="00B539B7">
            <w:pPr>
              <w:spacing w:before="80" w:after="80"/>
            </w:pPr>
            <w:r w:rsidRPr="00B539B7">
              <w:t>Hire for‌ learning agility․ Provide‌ growth-oriented feedback and stretch moves․</w:t>
            </w:r>
          </w:p>
        </w:tc>
        <w:tc>
          <w:tcPr>
            <w:tcW w:w="2880" w:type="dxa"/>
            <w:shd w:val="clear" w:color="auto" w:fill="F1F6F7"/>
            <w:tcMar>
              <w:top w:w="100" w:type="dxa"/>
              <w:left w:w="110" w:type="dxa"/>
              <w:bottom w:w="100" w:type="dxa"/>
              <w:right w:w="110" w:type="dxa"/>
            </w:tcMar>
            <w:vAlign w:val="center"/>
          </w:tcPr>
          <w:p w14:paraId="60C39F54" w14:textId="77777777" w:rsidR="002F0C2E" w:rsidRDefault="00000000">
            <w:pPr>
              <w:spacing w:before="80" w:after="80"/>
            </w:pPr>
            <w:r>
              <w:rPr>
                <w:rFonts w:ascii="Arial" w:hAnsi="Arial" w:cs="Arial"/>
                <w:szCs w:val="24"/>
              </w:rPr>
              <w:t>Mindset in practice (Dweck, 2006; Yeager et al., 2019)</w:t>
            </w:r>
          </w:p>
        </w:tc>
      </w:tr>
    </w:tbl>
    <w:p w14:paraId="41F2D038" w14:textId="77777777" w:rsidR="002F0C2E" w:rsidRDefault="00000000">
      <w:pPr>
        <w:keepNext/>
        <w:jc w:val="center"/>
      </w:pPr>
      <w:r>
        <w:rPr>
          <w:noProof/>
        </w:rPr>
        <w:lastRenderedPageBreak/>
        <w:drawing>
          <wp:inline distT="0" distB="0" distL="0" distR="0" wp14:anchorId="4BB1AD1C" wp14:editId="07777777">
            <wp:extent cx="5715000" cy="3189767"/>
            <wp:effectExtent l="0" t="0" r="0" b="0"/>
            <wp:docPr id="3" name="Picture 3" descr="Diagram of the talent-growth system and review cycle described in Task B." title="Diagram of the talent-growth system and review cycle described in Task 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hsx_talent_growth_ecosystem.png"/>
                    <pic:cNvPicPr/>
                  </pic:nvPicPr>
                  <pic:blipFill>
                    <a:blip r:embed="rId10"/>
                    <a:stretch>
                      <a:fillRect/>
                    </a:stretch>
                  </pic:blipFill>
                  <pic:spPr>
                    <a:xfrm>
                      <a:off x="0" y="0"/>
                      <a:ext cx="5715000" cy="3189767"/>
                    </a:xfrm>
                    <a:prstGeom prst="rect">
                      <a:avLst/>
                    </a:prstGeom>
                  </pic:spPr>
                </pic:pic>
              </a:graphicData>
            </a:graphic>
          </wp:inline>
        </w:drawing>
      </w:r>
    </w:p>
    <w:p w14:paraId="1B2ADE98" w14:textId="77777777" w:rsidR="002F0C2E" w:rsidRDefault="00000000">
      <w:pPr>
        <w:pStyle w:val="Caption"/>
        <w:keepNext/>
        <w:spacing w:after="40"/>
        <w:jc w:val="center"/>
      </w:pPr>
      <w:r>
        <w:t>Figure 2. NHSX talent-growth ecosystem and feedback cycle.</w:t>
      </w:r>
    </w:p>
    <w:p w14:paraId="56AA366C" w14:textId="77777777" w:rsidR="002F0C2E" w:rsidRDefault="00000000">
      <w:pPr>
        <w:pStyle w:val="Caption"/>
        <w:spacing w:after="40"/>
        <w:jc w:val="center"/>
      </w:pPr>
      <w:r>
        <w:t>Source: Author-created diagram generated with Gemini; conceptual synthesis informed by sources cited in Task B.</w:t>
      </w:r>
    </w:p>
    <w:p w14:paraId="5AF6B8D5" w14:textId="77777777" w:rsidR="002F0C2E" w:rsidRDefault="00000000">
      <w:r>
        <w:rPr>
          <w:rFonts w:ascii="Arial" w:hAnsi="Arial" w:cs="Arial"/>
          <w:szCs w:val="24"/>
        </w:rPr>
        <w:br w:type="page"/>
      </w:r>
    </w:p>
    <w:p w14:paraId="461D96ED" w14:textId="77777777" w:rsidR="002F0C2E" w:rsidRDefault="00000000">
      <w:pPr>
        <w:keepNext/>
        <w:jc w:val="center"/>
      </w:pPr>
      <w:r>
        <w:rPr>
          <w:noProof/>
        </w:rPr>
        <w:lastRenderedPageBreak/>
        <w:drawing>
          <wp:inline distT="0" distB="0" distL="0" distR="0" wp14:anchorId="1947DF50" wp14:editId="07777777">
            <wp:extent cx="5715000" cy="32146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HSX_Quarterly_Dashboard_Template.png"/>
                    <pic:cNvPicPr/>
                  </pic:nvPicPr>
                  <pic:blipFill>
                    <a:blip r:embed="rId11"/>
                    <a:stretch>
                      <a:fillRect/>
                    </a:stretch>
                  </pic:blipFill>
                  <pic:spPr>
                    <a:xfrm>
                      <a:off x="0" y="0"/>
                      <a:ext cx="5715000" cy="3214688"/>
                    </a:xfrm>
                    <a:prstGeom prst="rect">
                      <a:avLst/>
                    </a:prstGeom>
                  </pic:spPr>
                </pic:pic>
              </a:graphicData>
            </a:graphic>
          </wp:inline>
        </w:drawing>
      </w:r>
    </w:p>
    <w:p w14:paraId="7833C9E0" w14:textId="77777777" w:rsidR="002F0C2E" w:rsidRDefault="00000000">
      <w:pPr>
        <w:pStyle w:val="Caption"/>
        <w:keepNext/>
      </w:pPr>
      <w:r>
        <w:t>Figure 3. Quarterly people-strategy review dashboard template.</w:t>
      </w:r>
    </w:p>
    <w:p w14:paraId="75D49706" w14:textId="77777777" w:rsidR="002F0C2E" w:rsidRDefault="00000000">
      <w:pPr>
        <w:pStyle w:val="Caption"/>
      </w:pPr>
      <w:r>
        <w:t>Source: Author-created no-data template based on the indicators proposed in Task B. All values and trends must be entered from verified NHSX records; none are supplied in the assessment scenario.</w:t>
      </w:r>
    </w:p>
    <w:p w14:paraId="77B2BCBC" w14:textId="77777777" w:rsidR="008F2252" w:rsidRDefault="008F2252" w:rsidP="008F2252"/>
    <w:p w14:paraId="1EFF665E" w14:textId="77777777" w:rsidR="008F2252" w:rsidRDefault="008F2252" w:rsidP="008F2252">
      <w:pPr>
        <w:pStyle w:val="Heading1"/>
      </w:pPr>
      <w:bookmarkStart w:id="9" w:name="_Toc243425680"/>
      <w:r>
        <w:t>Task C: Reflection</w:t>
      </w:r>
      <w:bookmarkEnd w:id="9"/>
    </w:p>
    <w:p w14:paraId="4706F78B" w14:textId="77777777" w:rsidR="008F2252" w:rsidRDefault="008F2252" w:rsidP="008F2252">
      <w:r>
        <w:rPr>
          <w:rFonts w:ascii="Arial" w:hAnsi="Arial" w:cs="Arial"/>
          <w:szCs w:val="24"/>
        </w:rPr>
        <w:t>This reflection applies Gibbs' (1988) reflective cycle to examine my own use of AI at work‚ the ethical questions it raises‚ and how I will behave differently</w:t>
      </w:r>
      <w:r>
        <w:rPr>
          <w:rFonts w:ascii="Arial" w:hAnsi="Arial" w:cs="Arial" w:hint="eastAsia"/>
          <w:szCs w:val="24"/>
        </w:rPr>
        <w:t>․</w:t>
      </w:r>
      <w:r>
        <w:rPr>
          <w:rFonts w:ascii="Arial" w:hAnsi="Arial" w:cs="Arial"/>
          <w:szCs w:val="24"/>
        </w:rPr>
        <w:t xml:space="preserve"> </w:t>
      </w:r>
    </w:p>
    <w:p w14:paraId="71536FB4" w14:textId="77777777" w:rsidR="008F2252" w:rsidRDefault="008F2252" w:rsidP="008F2252">
      <w:pPr>
        <w:pStyle w:val="Heading2"/>
      </w:pPr>
      <w:bookmarkStart w:id="10" w:name="_Toc243425681"/>
      <w:r>
        <w:t>Description</w:t>
      </w:r>
      <w:bookmarkEnd w:id="10"/>
    </w:p>
    <w:p w14:paraId="28F12EEC" w14:textId="77777777" w:rsidR="008F2252" w:rsidRDefault="008F2252" w:rsidP="008F2252">
      <w:r>
        <w:rPr>
          <w:rFonts w:ascii="Arial" w:hAnsi="Arial" w:cs="Arial"/>
          <w:szCs w:val="24"/>
        </w:rPr>
        <w:t>Over the past year I used generative AI‚ ChatGPT along with Microsoft Copilot‚ for three tasks: drafting job descriptions together with person specifications; researching hybrid-working policies; in addition to building a candidate FAQ chatbot for our careers page</w:t>
      </w:r>
      <w:r>
        <w:rPr>
          <w:rFonts w:ascii="Arial" w:hAnsi="Arial" w:cs="Arial" w:hint="eastAsia"/>
          <w:szCs w:val="24"/>
        </w:rPr>
        <w:t>․</w:t>
      </w:r>
      <w:r>
        <w:rPr>
          <w:rFonts w:ascii="Arial" w:hAnsi="Arial" w:cs="Arial"/>
          <w:szCs w:val="24"/>
        </w:rPr>
        <w:t xml:space="preserve"> </w:t>
      </w:r>
    </w:p>
    <w:p w14:paraId="47A1E82E" w14:textId="77777777" w:rsidR="008F2252" w:rsidRDefault="008F2252" w:rsidP="008F2252">
      <w:pPr>
        <w:pStyle w:val="Heading2"/>
      </w:pPr>
      <w:bookmarkStart w:id="11" w:name="_Toc243425682"/>
      <w:r>
        <w:t>Evaluation and analysis</w:t>
      </w:r>
      <w:bookmarkEnd w:id="11"/>
    </w:p>
    <w:p w14:paraId="2954FB63" w14:textId="77777777" w:rsidR="008F2252" w:rsidRDefault="008F2252" w:rsidP="008F2252">
      <w:r>
        <w:rPr>
          <w:rFonts w:ascii="Arial" w:hAnsi="Arial" w:cs="Arial"/>
          <w:szCs w:val="24"/>
        </w:rPr>
        <w:t>First‚ regarding job descriptions: AI generated well-structured drafts that exhibited legal literacy in minutes</w:t>
      </w:r>
      <w:r>
        <w:rPr>
          <w:rFonts w:ascii="Arial" w:hAnsi="Arial" w:cs="Arial" w:hint="eastAsia"/>
          <w:szCs w:val="24"/>
        </w:rPr>
        <w:t>․</w:t>
      </w:r>
      <w:r>
        <w:rPr>
          <w:rFonts w:ascii="Arial" w:hAnsi="Arial" w:cs="Arial"/>
          <w:szCs w:val="24"/>
        </w:rPr>
        <w:t xml:space="preserve"> However‚ it defaulted to the use of phrases such as 'digital native' and 'energetic self-starter'‚ which intrinsically carry age and gender bias</w:t>
      </w:r>
      <w:r>
        <w:rPr>
          <w:rFonts w:ascii="Arial" w:hAnsi="Arial" w:cs="Arial" w:hint="eastAsia"/>
          <w:szCs w:val="24"/>
        </w:rPr>
        <w:t>․</w:t>
      </w:r>
      <w:r>
        <w:rPr>
          <w:rFonts w:ascii="Arial" w:hAnsi="Arial" w:cs="Arial"/>
          <w:szCs w:val="24"/>
        </w:rPr>
        <w:t xml:space="preserve"> Published without edits‚ they would have breached our own standards of inclusion</w:t>
      </w:r>
      <w:r>
        <w:rPr>
          <w:rFonts w:ascii="Arial" w:hAnsi="Arial" w:cs="Arial" w:hint="eastAsia"/>
          <w:szCs w:val="24"/>
        </w:rPr>
        <w:t>․</w:t>
      </w:r>
      <w:r>
        <w:rPr>
          <w:rFonts w:ascii="Arial" w:hAnsi="Arial" w:cs="Arial"/>
          <w:szCs w:val="24"/>
        </w:rPr>
        <w:t xml:space="preserve"> However‚ every AI draft at this point passes through an audit of inclusive language</w:t>
      </w:r>
      <w:r>
        <w:rPr>
          <w:rFonts w:ascii="Arial" w:hAnsi="Arial" w:cs="Arial" w:hint="eastAsia"/>
          <w:szCs w:val="24"/>
        </w:rPr>
        <w:t>․</w:t>
      </w:r>
      <w:r>
        <w:rPr>
          <w:rFonts w:ascii="Arial" w:hAnsi="Arial" w:cs="Arial"/>
          <w:szCs w:val="24"/>
        </w:rPr>
        <w:t xml:space="preserve"> </w:t>
      </w:r>
      <w:r>
        <w:rPr>
          <w:rFonts w:ascii="Arial" w:hAnsi="Arial" w:cs="Arial"/>
          <w:szCs w:val="24"/>
        </w:rPr>
        <w:lastRenderedPageBreak/>
        <w:t xml:space="preserve">Second‚ policy research: the tool effectively </w:t>
      </w:r>
      <w:proofErr w:type="spellStart"/>
      <w:r>
        <w:rPr>
          <w:rFonts w:ascii="Arial" w:hAnsi="Arial" w:cs="Arial"/>
          <w:szCs w:val="24"/>
        </w:rPr>
        <w:t>summarised</w:t>
      </w:r>
      <w:proofErr w:type="spellEnd"/>
      <w:r>
        <w:rPr>
          <w:rFonts w:ascii="Arial" w:hAnsi="Arial" w:cs="Arial"/>
          <w:szCs w:val="24"/>
        </w:rPr>
        <w:t xml:space="preserve"> hybrid-working evidence‚ and cited a credible author‚ journal‚ and statistic that were absent from it</w:t>
      </w:r>
      <w:r>
        <w:rPr>
          <w:rFonts w:ascii="Arial" w:hAnsi="Arial" w:cs="Arial" w:hint="eastAsia"/>
          <w:szCs w:val="24"/>
        </w:rPr>
        <w:t>․</w:t>
      </w:r>
      <w:r>
        <w:rPr>
          <w:rFonts w:ascii="Arial" w:hAnsi="Arial" w:cs="Arial"/>
          <w:szCs w:val="24"/>
        </w:rPr>
        <w:t xml:space="preserve"> Fluency is not evidence</w:t>
      </w:r>
      <w:r>
        <w:rPr>
          <w:rFonts w:ascii="Arial" w:hAnsi="Arial" w:cs="Arial" w:hint="eastAsia"/>
          <w:szCs w:val="24"/>
        </w:rPr>
        <w:t>․</w:t>
      </w:r>
      <w:r>
        <w:rPr>
          <w:rFonts w:ascii="Arial" w:hAnsi="Arial" w:cs="Arial"/>
          <w:szCs w:val="24"/>
        </w:rPr>
        <w:t xml:space="preserve"> It is essential that every reference sourced from AI be thoroughly verified prior to its use</w:t>
      </w:r>
      <w:r>
        <w:rPr>
          <w:rFonts w:ascii="Arial" w:hAnsi="Arial" w:cs="Arial" w:hint="eastAsia"/>
          <w:szCs w:val="24"/>
        </w:rPr>
        <w:t>․</w:t>
      </w:r>
      <w:r>
        <w:rPr>
          <w:rFonts w:ascii="Arial" w:hAnsi="Arial" w:cs="Arial"/>
          <w:szCs w:val="24"/>
        </w:rPr>
        <w:t xml:space="preserve">  Third‚ the chatbot: it handled routine queries correctly approximately 80-90 per cent of the time‚ which allowed me to tackle complex cases‚ yet once it gave an outdated right-to-work answer that could have misled an applicant</w:t>
      </w:r>
      <w:r>
        <w:rPr>
          <w:rFonts w:ascii="Arial" w:hAnsi="Arial" w:cs="Arial" w:hint="eastAsia"/>
          <w:szCs w:val="24"/>
        </w:rPr>
        <w:t>․</w:t>
      </w:r>
      <w:r>
        <w:rPr>
          <w:rFonts w:ascii="Arial" w:hAnsi="Arial" w:cs="Arial"/>
          <w:szCs w:val="24"/>
        </w:rPr>
        <w:t xml:space="preserve"> We have implemented the rules concerning human escalation</w:t>
      </w:r>
      <w:r>
        <w:rPr>
          <w:rFonts w:ascii="Arial" w:hAnsi="Arial" w:cs="Arial" w:hint="eastAsia"/>
          <w:szCs w:val="24"/>
        </w:rPr>
        <w:t>․</w:t>
      </w:r>
      <w:r>
        <w:rPr>
          <w:rFonts w:ascii="Arial" w:hAnsi="Arial" w:cs="Arial"/>
          <w:szCs w:val="24"/>
        </w:rPr>
        <w:t xml:space="preserve"> We restricted its topics</w:t>
      </w:r>
      <w:r>
        <w:rPr>
          <w:rFonts w:ascii="Arial" w:hAnsi="Arial" w:cs="Arial" w:hint="eastAsia"/>
          <w:szCs w:val="24"/>
        </w:rPr>
        <w:t>․</w:t>
      </w:r>
    </w:p>
    <w:p w14:paraId="3C3CD42A" w14:textId="77777777" w:rsidR="008F2252" w:rsidRDefault="008F2252" w:rsidP="008F2252">
      <w:pPr>
        <w:pStyle w:val="Heading2"/>
      </w:pPr>
      <w:bookmarkStart w:id="12" w:name="_Toc243425683"/>
      <w:r>
        <w:t>Reflection on the experience</w:t>
      </w:r>
      <w:bookmarkEnd w:id="12"/>
    </w:p>
    <w:p w14:paraId="04A428E0" w14:textId="77777777" w:rsidR="008F2252" w:rsidRDefault="008F2252" w:rsidP="008F2252">
      <w:r>
        <w:rPr>
          <w:rFonts w:ascii="Arial" w:hAnsi="Arial" w:cs="Arial"/>
          <w:szCs w:val="24"/>
        </w:rPr>
        <w:t xml:space="preserve">At first‚ I felt a sense of excitement regarding saving time‚ but I became uneasy when I </w:t>
      </w:r>
      <w:proofErr w:type="spellStart"/>
      <w:r>
        <w:rPr>
          <w:rFonts w:ascii="Arial" w:hAnsi="Arial" w:cs="Arial"/>
          <w:szCs w:val="24"/>
        </w:rPr>
        <w:t>realised</w:t>
      </w:r>
      <w:proofErr w:type="spellEnd"/>
      <w:r>
        <w:rPr>
          <w:rFonts w:ascii="Arial" w:hAnsi="Arial" w:cs="Arial"/>
          <w:szCs w:val="24"/>
        </w:rPr>
        <w:t xml:space="preserve"> that I might miss potential errors in fluent output that I had not written</w:t>
      </w:r>
      <w:r>
        <w:rPr>
          <w:rFonts w:ascii="Arial" w:hAnsi="Arial" w:cs="Arial" w:hint="eastAsia"/>
          <w:szCs w:val="24"/>
        </w:rPr>
        <w:t>․</w:t>
      </w:r>
      <w:r>
        <w:rPr>
          <w:rFonts w:ascii="Arial" w:hAnsi="Arial" w:cs="Arial"/>
          <w:szCs w:val="24"/>
        </w:rPr>
        <w:t xml:space="preserve"> I discovered that AI is the most helpful tool for drafting‚ structuring‚ and </w:t>
      </w:r>
      <w:proofErr w:type="spellStart"/>
      <w:r>
        <w:rPr>
          <w:rFonts w:ascii="Arial" w:hAnsi="Arial" w:cs="Arial"/>
          <w:szCs w:val="24"/>
        </w:rPr>
        <w:t>summarising</w:t>
      </w:r>
      <w:proofErr w:type="spellEnd"/>
      <w:r>
        <w:rPr>
          <w:rFonts w:ascii="Arial" w:hAnsi="Arial" w:cs="Arial"/>
          <w:szCs w:val="24"/>
        </w:rPr>
        <w:t xml:space="preserve"> various tasks</w:t>
      </w:r>
      <w:r>
        <w:rPr>
          <w:rFonts w:ascii="Arial" w:hAnsi="Arial" w:cs="Arial" w:hint="eastAsia"/>
          <w:szCs w:val="24"/>
        </w:rPr>
        <w:t>․</w:t>
      </w:r>
      <w:r>
        <w:rPr>
          <w:rFonts w:ascii="Arial" w:hAnsi="Arial" w:cs="Arial"/>
          <w:szCs w:val="24"/>
        </w:rPr>
        <w:t xml:space="preserve"> These outputs serve as important points of initiation rather than being regarded merely as final decisions</w:t>
      </w:r>
      <w:r>
        <w:rPr>
          <w:rFonts w:ascii="Arial" w:hAnsi="Arial" w:cs="Arial" w:hint="eastAsia"/>
          <w:szCs w:val="24"/>
        </w:rPr>
        <w:t>․</w:t>
      </w:r>
      <w:r>
        <w:rPr>
          <w:rFonts w:ascii="Arial" w:hAnsi="Arial" w:cs="Arial"/>
          <w:szCs w:val="24"/>
        </w:rPr>
        <w:t xml:space="preserve"> It was most untrustworthy in situations where accuracy‚ context or fairness was essential</w:t>
      </w:r>
      <w:r>
        <w:rPr>
          <w:rFonts w:ascii="Arial" w:hAnsi="Arial" w:cs="Arial" w:hint="eastAsia"/>
          <w:szCs w:val="24"/>
        </w:rPr>
        <w:t>․</w:t>
      </w:r>
    </w:p>
    <w:p w14:paraId="28C0D625" w14:textId="77777777" w:rsidR="008F2252" w:rsidRDefault="008F2252" w:rsidP="008F2252">
      <w:pPr>
        <w:pStyle w:val="Heading2"/>
      </w:pPr>
      <w:bookmarkStart w:id="13" w:name="_Toc243425684"/>
      <w:r>
        <w:t>Ethical and professional implications</w:t>
      </w:r>
      <w:bookmarkEnd w:id="13"/>
    </w:p>
    <w:p w14:paraId="08E408D6" w14:textId="77777777" w:rsidR="008F2252" w:rsidRDefault="008F2252" w:rsidP="008F2252">
      <w:r>
        <w:rPr>
          <w:rFonts w:ascii="Arial" w:hAnsi="Arial" w:cs="Arial"/>
          <w:szCs w:val="24"/>
        </w:rPr>
        <w:t>These experiences serve to highlight four ethical risks: bias present in hiring tools (Raghavan et al</w:t>
      </w:r>
      <w:r>
        <w:rPr>
          <w:rFonts w:ascii="Arial" w:hAnsi="Arial" w:cs="Arial" w:hint="eastAsia"/>
          <w:szCs w:val="24"/>
        </w:rPr>
        <w:t>․</w:t>
      </w:r>
      <w:r>
        <w:rPr>
          <w:rFonts w:ascii="Arial" w:hAnsi="Arial" w:cs="Arial"/>
          <w:szCs w:val="24"/>
        </w:rPr>
        <w:t>‚ 2020); algorithmic management alongside surveillance of remote staff (Kellogg‚ Valentine and Christin‚ 2020); privacy risks that arise when employers enter employee information into public models (Tambe‚ Cappelli and Yakubovich‚ 2019); and the resultant loss of professional judgement when routine decisions are delegated to machines</w:t>
      </w:r>
      <w:r>
        <w:rPr>
          <w:rFonts w:ascii="Arial" w:hAnsi="Arial" w:cs="Arial" w:hint="eastAsia"/>
          <w:szCs w:val="24"/>
        </w:rPr>
        <w:t>․</w:t>
      </w:r>
      <w:r>
        <w:rPr>
          <w:rFonts w:ascii="Arial" w:hAnsi="Arial" w:cs="Arial"/>
          <w:szCs w:val="24"/>
        </w:rPr>
        <w:t xml:space="preserve">  When used with care‚ AI can assist HR in identifying skills gaps‚ examining retention patterns whilst comparing various workforce scenarios‚ thereby informing learning alongside recruitment decisions (Tambe‚ Cappelli and Yakubovich‚ 2019)</w:t>
      </w:r>
      <w:r>
        <w:rPr>
          <w:rFonts w:ascii="Arial" w:hAnsi="Arial" w:cs="Arial" w:hint="eastAsia"/>
          <w:szCs w:val="24"/>
        </w:rPr>
        <w:t>․</w:t>
      </w:r>
      <w:r>
        <w:rPr>
          <w:rFonts w:ascii="Arial" w:hAnsi="Arial" w:cs="Arial"/>
          <w:szCs w:val="24"/>
        </w:rPr>
        <w:t xml:space="preserve"> However‚ biased or incomplete data can create inequity‚ and correlations alone do not establish a cause of effect</w:t>
      </w:r>
      <w:r>
        <w:rPr>
          <w:rFonts w:ascii="Arial" w:hAnsi="Arial" w:cs="Arial" w:hint="eastAsia"/>
          <w:szCs w:val="24"/>
        </w:rPr>
        <w:t>․</w:t>
      </w:r>
      <w:r>
        <w:rPr>
          <w:rFonts w:ascii="Arial" w:hAnsi="Arial" w:cs="Arial"/>
          <w:szCs w:val="24"/>
        </w:rPr>
        <w:t xml:space="preserve"> HR should check the data quality and assess subgroup effects‚ explain uncertainty‚ protect privacy and maintain accountable human reviews for decisions that affect people</w:t>
      </w:r>
      <w:r>
        <w:rPr>
          <w:rFonts w:ascii="Arial" w:hAnsi="Arial" w:cs="Arial" w:hint="eastAsia"/>
          <w:szCs w:val="24"/>
        </w:rPr>
        <w:t>․</w:t>
      </w:r>
    </w:p>
    <w:p w14:paraId="2F33A07B" w14:textId="77777777" w:rsidR="008F2252" w:rsidRDefault="008F2252" w:rsidP="008F2252">
      <w:pPr>
        <w:pStyle w:val="Heading2"/>
      </w:pPr>
      <w:bookmarkStart w:id="14" w:name="_Toc243425685"/>
      <w:r>
        <w:lastRenderedPageBreak/>
        <w:t>Concluding along with planning for the personal capability of individuals</w:t>
      </w:r>
      <w:bookmarkEnd w:id="14"/>
    </w:p>
    <w:p w14:paraId="6AA06500" w14:textId="77777777" w:rsidR="008F2252" w:rsidRDefault="008F2252" w:rsidP="008F2252">
      <w:r>
        <w:rPr>
          <w:rFonts w:ascii="Arial" w:hAnsi="Arial" w:cs="Arial"/>
          <w:szCs w:val="24"/>
        </w:rPr>
        <w:t xml:space="preserve"> (1) By June 2027‚ complete a CIPD-accredited module on AI in HR‚ evidenced by certification and together with an applied project</w:t>
      </w:r>
      <w:r>
        <w:rPr>
          <w:rFonts w:ascii="Arial" w:hAnsi="Arial" w:cs="Arial" w:hint="eastAsia"/>
          <w:szCs w:val="24"/>
        </w:rPr>
        <w:t>․</w:t>
      </w:r>
      <w:r>
        <w:rPr>
          <w:rFonts w:ascii="Arial" w:hAnsi="Arial" w:cs="Arial"/>
          <w:szCs w:val="24"/>
        </w:rPr>
        <w:t xml:space="preserve"> (2) Within three months‚ implement an AI-output audit checklist for all AI-assisted people documents‚ evaluated with 100 per cent audit coverage alongside zero unresolved bias findings at the quarterly review</w:t>
      </w:r>
      <w:r>
        <w:rPr>
          <w:rFonts w:ascii="Arial" w:hAnsi="Arial" w:cs="Arial" w:hint="eastAsia"/>
          <w:szCs w:val="24"/>
        </w:rPr>
        <w:t>․</w:t>
      </w:r>
      <w:r>
        <w:rPr>
          <w:rFonts w:ascii="Arial" w:hAnsi="Arial" w:cs="Arial"/>
          <w:szCs w:val="24"/>
        </w:rPr>
        <w:t xml:space="preserve"> (3) By April 2027‚ shadow our AI product team for one day per month‚ evidenced by a reflective log together with one co-designed HR use-case</w:t>
      </w:r>
      <w:r>
        <w:rPr>
          <w:rFonts w:ascii="Arial" w:hAnsi="Arial" w:cs="Arial" w:hint="eastAsia"/>
          <w:szCs w:val="24"/>
        </w:rPr>
        <w:t>․</w:t>
      </w:r>
      <w:r>
        <w:rPr>
          <w:rFonts w:ascii="Arial" w:hAnsi="Arial" w:cs="Arial"/>
          <w:szCs w:val="24"/>
        </w:rPr>
        <w:t xml:space="preserve"> (4) By March 2027‚ prepare a policy concerning AI usage for people processes‚ supported by senior leadership endorsement</w:t>
      </w:r>
      <w:r>
        <w:rPr>
          <w:rFonts w:ascii="Arial" w:hAnsi="Arial" w:cs="Arial" w:hint="eastAsia"/>
          <w:szCs w:val="24"/>
        </w:rPr>
        <w:t>․</w:t>
      </w:r>
    </w:p>
    <w:p w14:paraId="264F946F" w14:textId="77777777" w:rsidR="008F2252" w:rsidRDefault="008F2252" w:rsidP="008F2252"/>
    <w:p w14:paraId="55FE1B39" w14:textId="77777777" w:rsidR="008F2252" w:rsidRDefault="008F2252" w:rsidP="008F2252">
      <w:pPr>
        <w:pStyle w:val="Heading1"/>
      </w:pPr>
      <w:bookmarkStart w:id="15" w:name="_Toc243425686"/>
      <w:r>
        <w:t>Conclusion</w:t>
      </w:r>
      <w:bookmarkEnd w:id="15"/>
    </w:p>
    <w:p w14:paraId="10673CB1" w14:textId="77777777" w:rsidR="008F2252" w:rsidRDefault="008F2252" w:rsidP="008F2252">
      <w:r>
        <w:rPr>
          <w:rFonts w:ascii="Arial" w:hAnsi="Arial" w:cs="Arial"/>
          <w:szCs w:val="24"/>
        </w:rPr>
        <w:t>The analysis clearly supports and promotes an approach that is integrated</w:t>
      </w:r>
      <w:r>
        <w:rPr>
          <w:rFonts w:ascii="Arial" w:hAnsi="Arial" w:cs="Arial" w:hint="eastAsia"/>
          <w:szCs w:val="24"/>
        </w:rPr>
        <w:t>․</w:t>
      </w:r>
      <w:r>
        <w:rPr>
          <w:rFonts w:ascii="Arial" w:hAnsi="Arial" w:cs="Arial"/>
          <w:szCs w:val="24"/>
        </w:rPr>
        <w:t xml:space="preserve"> NHSX should successfully pair the elements of team autonomy and agile discovery with the requisite clinical-safety controls‚ along with the vital cross-border coordination and structured learning</w:t>
      </w:r>
      <w:r>
        <w:rPr>
          <w:rFonts w:ascii="Arial" w:hAnsi="Arial" w:cs="Arial" w:hint="eastAsia"/>
          <w:szCs w:val="24"/>
        </w:rPr>
        <w:t>․</w:t>
      </w:r>
      <w:r>
        <w:rPr>
          <w:rFonts w:ascii="Arial" w:hAnsi="Arial" w:cs="Arial"/>
          <w:szCs w:val="24"/>
        </w:rPr>
        <w:t xml:space="preserve"> Psychological safety‚ defined career pathways‚ and manageable workloads within </w:t>
      </w:r>
      <w:proofErr w:type="spellStart"/>
      <w:r>
        <w:rPr>
          <w:rFonts w:ascii="Arial" w:hAnsi="Arial" w:cs="Arial"/>
          <w:szCs w:val="24"/>
        </w:rPr>
        <w:t>organisations</w:t>
      </w:r>
      <w:proofErr w:type="spellEnd"/>
      <w:r>
        <w:rPr>
          <w:rFonts w:ascii="Arial" w:hAnsi="Arial" w:cs="Arial"/>
          <w:szCs w:val="24"/>
        </w:rPr>
        <w:t xml:space="preserve"> can reduce learning and retention risks</w:t>
      </w:r>
      <w:r>
        <w:rPr>
          <w:rFonts w:ascii="Arial" w:hAnsi="Arial" w:cs="Arial" w:hint="eastAsia"/>
          <w:szCs w:val="24"/>
        </w:rPr>
        <w:t>․</w:t>
      </w:r>
      <w:r>
        <w:rPr>
          <w:rFonts w:ascii="Arial" w:hAnsi="Arial" w:cs="Arial"/>
          <w:szCs w:val="24"/>
        </w:rPr>
        <w:t xml:space="preserve"> Implementing in phases‚ sharing ownership among the three locations‚ together with reviewing workforce measures quarterly‚ would aid the Board in assessing progress while maintaining clinical accountability</w:t>
      </w:r>
      <w:r>
        <w:rPr>
          <w:rFonts w:ascii="Arial" w:hAnsi="Arial" w:cs="Arial" w:hint="eastAsia"/>
          <w:szCs w:val="24"/>
        </w:rPr>
        <w:t>․</w:t>
      </w:r>
    </w:p>
    <w:p w14:paraId="639003C0" w14:textId="3887AB54" w:rsidR="008F2252" w:rsidRDefault="008F2252" w:rsidP="008F2252">
      <w:r>
        <w:rPr>
          <w:rFonts w:ascii="Arial" w:hAnsi="Arial" w:cs="Arial"/>
          <w:szCs w:val="24"/>
        </w:rPr>
        <w:t>AI usage acknowledgement: ChatGPT helped in the planning</w:t>
      </w:r>
      <w:r w:rsidR="0031124D">
        <w:rPr>
          <w:rFonts w:ascii="Arial" w:hAnsi="Arial" w:cs="Arial"/>
          <w:szCs w:val="24"/>
        </w:rPr>
        <w:t xml:space="preserve"> and brainstorming idea. </w:t>
      </w:r>
    </w:p>
    <w:p w14:paraId="26ECD875" w14:textId="77777777" w:rsidR="008F2252" w:rsidRDefault="008F2252">
      <w:pPr>
        <w:pStyle w:val="Heading1"/>
      </w:pPr>
    </w:p>
    <w:p w14:paraId="71C01D5D" w14:textId="77777777" w:rsidR="0031124D" w:rsidRDefault="0031124D" w:rsidP="0031124D"/>
    <w:p w14:paraId="391A71A9" w14:textId="77777777" w:rsidR="0031124D" w:rsidRDefault="0031124D" w:rsidP="0031124D"/>
    <w:p w14:paraId="15F83141" w14:textId="77777777" w:rsidR="0031124D" w:rsidRDefault="0031124D" w:rsidP="0031124D"/>
    <w:p w14:paraId="6F50C952" w14:textId="77777777" w:rsidR="0031124D" w:rsidRDefault="0031124D" w:rsidP="0031124D"/>
    <w:p w14:paraId="63EDA611" w14:textId="77777777" w:rsidR="0031124D" w:rsidRPr="0031124D" w:rsidRDefault="0031124D" w:rsidP="0031124D"/>
    <w:p w14:paraId="6738D612" w14:textId="77777777" w:rsidR="002F0C2E" w:rsidRDefault="00000000">
      <w:pPr>
        <w:pStyle w:val="Heading1"/>
      </w:pPr>
      <w:bookmarkStart w:id="16" w:name="_Toc243425687"/>
      <w:r>
        <w:lastRenderedPageBreak/>
        <w:t>References</w:t>
      </w:r>
      <w:bookmarkEnd w:id="16"/>
    </w:p>
    <w:p w14:paraId="0A795B04" w14:textId="77777777" w:rsidR="002F0C2E" w:rsidRDefault="00000000">
      <w:pPr>
        <w:keepLines/>
        <w:spacing w:after="80"/>
        <w:ind w:left="720" w:hanging="720"/>
      </w:pPr>
      <w:r>
        <w:rPr>
          <w:rFonts w:ascii="Arial" w:hAnsi="Arial" w:cs="Arial"/>
          <w:szCs w:val="24"/>
        </w:rPr>
        <w:t>Aksoy, C.G., Barrero, J.M., Bloom, N., Davis, S.J., Dolls, M. and Zarate, P. (2022) '</w:t>
      </w:r>
      <w:r>
        <w:rPr>
          <w:rFonts w:ascii="Arial" w:hAnsi="Arial" w:cs="Arial"/>
          <w:i/>
          <w:szCs w:val="24"/>
        </w:rPr>
        <w:t>Working from home around the world</w:t>
      </w:r>
      <w:r>
        <w:rPr>
          <w:rFonts w:ascii="Arial" w:hAnsi="Arial" w:cs="Arial"/>
          <w:szCs w:val="24"/>
        </w:rPr>
        <w:t>', NBER Working Paper No. 30446. Cambridge, MA: National Bureau of Economic Research.</w:t>
      </w:r>
    </w:p>
    <w:p w14:paraId="6CA56033" w14:textId="77777777" w:rsidR="002F0C2E" w:rsidRDefault="00000000">
      <w:pPr>
        <w:keepLines/>
        <w:spacing w:after="80"/>
        <w:ind w:left="720" w:hanging="720"/>
      </w:pPr>
      <w:r>
        <w:rPr>
          <w:rFonts w:ascii="Arial" w:hAnsi="Arial" w:cs="Arial"/>
          <w:szCs w:val="24"/>
        </w:rPr>
        <w:t xml:space="preserve">Appelbaum, E., Bailey, T., Berg, P. and Kalleberg, A. (2000) </w:t>
      </w:r>
      <w:r>
        <w:rPr>
          <w:rFonts w:ascii="Arial" w:hAnsi="Arial" w:cs="Arial"/>
          <w:i/>
          <w:szCs w:val="24"/>
        </w:rPr>
        <w:t>Manufacturing advantage: why high-performance work systems pay off</w:t>
      </w:r>
      <w:r>
        <w:rPr>
          <w:rFonts w:ascii="Arial" w:hAnsi="Arial" w:cs="Arial"/>
          <w:szCs w:val="24"/>
        </w:rPr>
        <w:t>. Ithaca, NY: ILR Press.</w:t>
      </w:r>
    </w:p>
    <w:p w14:paraId="1F6863C3" w14:textId="77777777" w:rsidR="002F0C2E" w:rsidRDefault="00000000">
      <w:pPr>
        <w:keepLines/>
        <w:spacing w:after="80"/>
        <w:ind w:left="720" w:hanging="720"/>
      </w:pPr>
      <w:r>
        <w:rPr>
          <w:rFonts w:ascii="Arial" w:hAnsi="Arial" w:cs="Arial"/>
          <w:szCs w:val="24"/>
        </w:rPr>
        <w:t>Barrero, J.M., Bloom, N. and Davis, S.J. (2021) '</w:t>
      </w:r>
      <w:r>
        <w:rPr>
          <w:rFonts w:ascii="Arial" w:hAnsi="Arial" w:cs="Arial"/>
          <w:i/>
          <w:szCs w:val="24"/>
        </w:rPr>
        <w:t>Why working from home will stick</w:t>
      </w:r>
      <w:r>
        <w:rPr>
          <w:rFonts w:ascii="Arial" w:hAnsi="Arial" w:cs="Arial"/>
          <w:szCs w:val="24"/>
        </w:rPr>
        <w:t>', NBER Working Paper No. 28731. Cambridge, MA: National Bureau of Economic Research.</w:t>
      </w:r>
    </w:p>
    <w:p w14:paraId="02C80496" w14:textId="77777777" w:rsidR="002F0C2E" w:rsidRDefault="00000000">
      <w:pPr>
        <w:keepLines/>
        <w:spacing w:after="80"/>
        <w:ind w:left="720" w:hanging="720"/>
      </w:pPr>
      <w:r>
        <w:rPr>
          <w:rFonts w:ascii="Arial" w:hAnsi="Arial" w:cs="Arial"/>
          <w:szCs w:val="24"/>
        </w:rPr>
        <w:t xml:space="preserve">Barrero, J.M., Bloom, N. and Davis, S.J. (2023) 'The evolution of work from home', </w:t>
      </w:r>
      <w:r>
        <w:rPr>
          <w:rFonts w:ascii="Arial" w:hAnsi="Arial" w:cs="Arial"/>
          <w:i/>
          <w:szCs w:val="24"/>
        </w:rPr>
        <w:t>Journal of Economic Perspectives</w:t>
      </w:r>
      <w:r>
        <w:rPr>
          <w:rFonts w:ascii="Arial" w:hAnsi="Arial" w:cs="Arial"/>
          <w:szCs w:val="24"/>
        </w:rPr>
        <w:t>, 37(4), pp. 23–49.</w:t>
      </w:r>
    </w:p>
    <w:p w14:paraId="4E64B2AD" w14:textId="77777777" w:rsidR="002F0C2E" w:rsidRDefault="00000000">
      <w:pPr>
        <w:keepLines/>
        <w:spacing w:after="80"/>
        <w:ind w:left="720" w:hanging="720"/>
      </w:pPr>
      <w:r>
        <w:rPr>
          <w:rFonts w:ascii="Arial" w:hAnsi="Arial" w:cs="Arial"/>
          <w:szCs w:val="24"/>
        </w:rPr>
        <w:t xml:space="preserve">Benson, G.S. and Lawler, E.E. (2003) ‘Employee involvement: utilization, impacts, and </w:t>
      </w:r>
      <w:proofErr w:type="gramStart"/>
      <w:r>
        <w:rPr>
          <w:rFonts w:ascii="Arial" w:hAnsi="Arial" w:cs="Arial"/>
          <w:szCs w:val="24"/>
        </w:rPr>
        <w:t>future prospects</w:t>
      </w:r>
      <w:proofErr w:type="gramEnd"/>
      <w:r>
        <w:rPr>
          <w:rFonts w:ascii="Arial" w:hAnsi="Arial" w:cs="Arial"/>
          <w:szCs w:val="24"/>
        </w:rPr>
        <w:t xml:space="preserve">’, in Holman, D., Wall, T.D., Clegg, C.W., Sparrow, P. and Howard, A. (eds.) </w:t>
      </w:r>
      <w:r>
        <w:rPr>
          <w:rFonts w:ascii="Arial" w:hAnsi="Arial" w:cs="Arial"/>
          <w:i/>
          <w:szCs w:val="24"/>
        </w:rPr>
        <w:t>The new workplace: a guide to the human impact of modern working practices</w:t>
      </w:r>
      <w:r>
        <w:rPr>
          <w:rFonts w:ascii="Arial" w:hAnsi="Arial" w:cs="Arial"/>
          <w:szCs w:val="24"/>
        </w:rPr>
        <w:t>. Chichester: Wiley, pp. 155–173. https://doi.org/10.1002/9780470713365.ch9</w:t>
      </w:r>
    </w:p>
    <w:p w14:paraId="08277BEF" w14:textId="77777777" w:rsidR="002F0C2E" w:rsidRDefault="00000000">
      <w:pPr>
        <w:keepLines/>
        <w:spacing w:after="80"/>
        <w:ind w:left="720" w:hanging="720"/>
      </w:pPr>
      <w:r>
        <w:rPr>
          <w:rFonts w:ascii="Arial" w:hAnsi="Arial" w:cs="Arial"/>
          <w:szCs w:val="24"/>
        </w:rPr>
        <w:t xml:space="preserve">Bloom, N., Liang, J., Roberts, J. and Ying, Z.J. (2015) 'Does working from </w:t>
      </w:r>
      <w:proofErr w:type="gramStart"/>
      <w:r>
        <w:rPr>
          <w:rFonts w:ascii="Arial" w:hAnsi="Arial" w:cs="Arial"/>
          <w:szCs w:val="24"/>
        </w:rPr>
        <w:t>home work</w:t>
      </w:r>
      <w:proofErr w:type="gramEnd"/>
      <w:r>
        <w:rPr>
          <w:rFonts w:ascii="Arial" w:hAnsi="Arial" w:cs="Arial"/>
          <w:szCs w:val="24"/>
        </w:rPr>
        <w:t xml:space="preserve">? Evidence from a Chinese experiment', </w:t>
      </w:r>
      <w:r>
        <w:rPr>
          <w:rFonts w:ascii="Arial" w:hAnsi="Arial" w:cs="Arial"/>
          <w:i/>
          <w:szCs w:val="24"/>
        </w:rPr>
        <w:t>The Quarterly Journal of Economics</w:t>
      </w:r>
      <w:r>
        <w:rPr>
          <w:rFonts w:ascii="Arial" w:hAnsi="Arial" w:cs="Arial"/>
          <w:szCs w:val="24"/>
        </w:rPr>
        <w:t>, 130(1), pp. 165–218.</w:t>
      </w:r>
    </w:p>
    <w:p w14:paraId="6DCA2536" w14:textId="77777777" w:rsidR="002F0C2E" w:rsidRDefault="00000000">
      <w:pPr>
        <w:keepLines/>
        <w:spacing w:after="80"/>
        <w:ind w:left="720" w:hanging="720"/>
      </w:pPr>
      <w:r>
        <w:rPr>
          <w:rFonts w:ascii="Arial" w:hAnsi="Arial" w:cs="Arial"/>
          <w:szCs w:val="24"/>
        </w:rPr>
        <w:t xml:space="preserve">Boxall, P. and Purcell, J. (2016) </w:t>
      </w:r>
      <w:r>
        <w:rPr>
          <w:rFonts w:ascii="Arial" w:hAnsi="Arial" w:cs="Arial"/>
          <w:i/>
          <w:szCs w:val="24"/>
        </w:rPr>
        <w:t>Strategy and human resource management</w:t>
      </w:r>
      <w:r>
        <w:rPr>
          <w:rFonts w:ascii="Arial" w:hAnsi="Arial" w:cs="Arial"/>
          <w:szCs w:val="24"/>
        </w:rPr>
        <w:t>. 4th edn. London: Palgrave Macmillan.</w:t>
      </w:r>
    </w:p>
    <w:p w14:paraId="7F027AF4" w14:textId="77777777" w:rsidR="002F0C2E" w:rsidRDefault="00000000">
      <w:pPr>
        <w:keepLines/>
        <w:spacing w:after="80"/>
        <w:ind w:left="720" w:hanging="720"/>
      </w:pPr>
      <w:r>
        <w:rPr>
          <w:rFonts w:ascii="Arial" w:hAnsi="Arial" w:cs="Arial"/>
          <w:szCs w:val="24"/>
        </w:rPr>
        <w:t xml:space="preserve">Cherns, A. (1976) 'The principles of sociotechnical design', </w:t>
      </w:r>
      <w:r>
        <w:rPr>
          <w:rFonts w:ascii="Arial" w:hAnsi="Arial" w:cs="Arial"/>
          <w:i/>
          <w:szCs w:val="24"/>
        </w:rPr>
        <w:t>Human Relations</w:t>
      </w:r>
      <w:r>
        <w:rPr>
          <w:rFonts w:ascii="Arial" w:hAnsi="Arial" w:cs="Arial"/>
          <w:szCs w:val="24"/>
        </w:rPr>
        <w:t>, 29(8), pp. 783–799.</w:t>
      </w:r>
    </w:p>
    <w:p w14:paraId="1D33E9E3" w14:textId="77777777" w:rsidR="002F0C2E" w:rsidRDefault="00000000">
      <w:pPr>
        <w:keepLines/>
        <w:spacing w:after="80"/>
        <w:ind w:left="720" w:hanging="720"/>
      </w:pPr>
      <w:r>
        <w:rPr>
          <w:rFonts w:ascii="Arial" w:hAnsi="Arial" w:cs="Arial"/>
          <w:szCs w:val="24"/>
        </w:rPr>
        <w:t xml:space="preserve">Cherns, A. (1987) 'Principles of sociotechnical design revisited', </w:t>
      </w:r>
      <w:r>
        <w:rPr>
          <w:rFonts w:ascii="Arial" w:hAnsi="Arial" w:cs="Arial"/>
          <w:i/>
          <w:szCs w:val="24"/>
        </w:rPr>
        <w:t>Human Relations</w:t>
      </w:r>
      <w:r>
        <w:rPr>
          <w:rFonts w:ascii="Arial" w:hAnsi="Arial" w:cs="Arial"/>
          <w:szCs w:val="24"/>
        </w:rPr>
        <w:t>, 40(3), pp. 153–162.</w:t>
      </w:r>
    </w:p>
    <w:p w14:paraId="6BA07E0E" w14:textId="77777777" w:rsidR="002F0C2E" w:rsidRDefault="00000000">
      <w:pPr>
        <w:keepLines/>
        <w:spacing w:after="80"/>
        <w:ind w:left="720" w:hanging="720"/>
      </w:pPr>
      <w:r>
        <w:rPr>
          <w:rFonts w:ascii="Arial" w:hAnsi="Arial" w:cs="Arial"/>
          <w:szCs w:val="24"/>
        </w:rPr>
        <w:t xml:space="preserve">Choudhury, P., Foroughi, C. and Larson, B. (2020) 'Our work-from-anywhere future', </w:t>
      </w:r>
      <w:r>
        <w:rPr>
          <w:rFonts w:ascii="Arial" w:hAnsi="Arial" w:cs="Arial"/>
          <w:i/>
          <w:szCs w:val="24"/>
        </w:rPr>
        <w:t>Harvard Business Review</w:t>
      </w:r>
      <w:r>
        <w:rPr>
          <w:rFonts w:ascii="Arial" w:hAnsi="Arial" w:cs="Arial"/>
          <w:szCs w:val="24"/>
        </w:rPr>
        <w:t>, 98(6), pp. 58–67.</w:t>
      </w:r>
    </w:p>
    <w:p w14:paraId="0710E210" w14:textId="77777777" w:rsidR="002F0C2E" w:rsidRDefault="00000000">
      <w:pPr>
        <w:keepLines/>
        <w:spacing w:after="80"/>
        <w:ind w:left="720" w:hanging="720"/>
      </w:pPr>
      <w:r>
        <w:rPr>
          <w:rFonts w:ascii="Arial" w:hAnsi="Arial" w:cs="Arial"/>
          <w:szCs w:val="24"/>
        </w:rPr>
        <w:t xml:space="preserve">Choudhury, P., Foroughi, C. and Larson, B.Z. (2021) 'Work-from-anywhere: the productivity effects of geographic flexibility', </w:t>
      </w:r>
      <w:r>
        <w:rPr>
          <w:rFonts w:ascii="Arial" w:hAnsi="Arial" w:cs="Arial"/>
          <w:i/>
          <w:szCs w:val="24"/>
        </w:rPr>
        <w:t>Strategic Management Journal</w:t>
      </w:r>
      <w:r>
        <w:rPr>
          <w:rFonts w:ascii="Arial" w:hAnsi="Arial" w:cs="Arial"/>
          <w:szCs w:val="24"/>
        </w:rPr>
        <w:t>, 42(4), pp. 655–683.</w:t>
      </w:r>
    </w:p>
    <w:p w14:paraId="2DBD46C5" w14:textId="77777777" w:rsidR="002F0C2E" w:rsidRDefault="00000000">
      <w:pPr>
        <w:keepLines/>
        <w:spacing w:after="80"/>
        <w:ind w:left="720" w:hanging="720"/>
      </w:pPr>
      <w:r>
        <w:rPr>
          <w:rFonts w:ascii="Arial" w:hAnsi="Arial" w:cs="Arial"/>
          <w:szCs w:val="24"/>
        </w:rPr>
        <w:lastRenderedPageBreak/>
        <w:t xml:space="preserve">Collings, D.G. and Mellahi, K. (2009) 'Strategic talent management: a review and research agenda', </w:t>
      </w:r>
      <w:r>
        <w:rPr>
          <w:rFonts w:ascii="Arial" w:hAnsi="Arial" w:cs="Arial"/>
          <w:i/>
          <w:szCs w:val="24"/>
        </w:rPr>
        <w:t>Human Resource Management Review</w:t>
      </w:r>
      <w:r>
        <w:rPr>
          <w:rFonts w:ascii="Arial" w:hAnsi="Arial" w:cs="Arial"/>
          <w:szCs w:val="24"/>
        </w:rPr>
        <w:t>, 19(4), pp. 304–313.</w:t>
      </w:r>
    </w:p>
    <w:p w14:paraId="5150CDEE" w14:textId="77777777" w:rsidR="002F0C2E" w:rsidRDefault="00000000">
      <w:pPr>
        <w:keepLines/>
        <w:spacing w:after="80"/>
        <w:ind w:left="720" w:hanging="720"/>
      </w:pPr>
      <w:r>
        <w:rPr>
          <w:rFonts w:ascii="Arial" w:hAnsi="Arial" w:cs="Arial"/>
          <w:szCs w:val="24"/>
        </w:rPr>
        <w:t xml:space="preserve">Deci, E.L. and Ryan, R.M. (2000) 'The "what" and "why" of goal pursuits: human needs and the self-determination of behavior', </w:t>
      </w:r>
      <w:r>
        <w:rPr>
          <w:rFonts w:ascii="Arial" w:hAnsi="Arial" w:cs="Arial"/>
          <w:i/>
          <w:szCs w:val="24"/>
        </w:rPr>
        <w:t>Psychological Inquiry</w:t>
      </w:r>
      <w:r>
        <w:rPr>
          <w:rFonts w:ascii="Arial" w:hAnsi="Arial" w:cs="Arial"/>
          <w:szCs w:val="24"/>
        </w:rPr>
        <w:t>, 11(4), pp. 227–268.</w:t>
      </w:r>
    </w:p>
    <w:p w14:paraId="23F8FF8D" w14:textId="77777777" w:rsidR="002F0C2E" w:rsidRDefault="00000000">
      <w:pPr>
        <w:keepLines/>
        <w:spacing w:after="80"/>
        <w:ind w:left="720" w:hanging="720"/>
      </w:pPr>
      <w:r>
        <w:rPr>
          <w:rFonts w:ascii="Arial" w:hAnsi="Arial" w:cs="Arial"/>
          <w:szCs w:val="24"/>
        </w:rPr>
        <w:t xml:space="preserve">Dweck, C.S. (2006) </w:t>
      </w:r>
      <w:r>
        <w:rPr>
          <w:rFonts w:ascii="Arial" w:hAnsi="Arial" w:cs="Arial"/>
          <w:i/>
          <w:szCs w:val="24"/>
        </w:rPr>
        <w:t>Mindset: the new psychology of success</w:t>
      </w:r>
      <w:r>
        <w:rPr>
          <w:rFonts w:ascii="Arial" w:hAnsi="Arial" w:cs="Arial"/>
          <w:szCs w:val="24"/>
        </w:rPr>
        <w:t>. New York: Random House.</w:t>
      </w:r>
    </w:p>
    <w:p w14:paraId="227080C4" w14:textId="77777777" w:rsidR="002F0C2E" w:rsidRDefault="00000000">
      <w:pPr>
        <w:keepLines/>
        <w:spacing w:after="80"/>
        <w:ind w:left="720" w:hanging="720"/>
      </w:pPr>
      <w:r>
        <w:rPr>
          <w:rFonts w:ascii="Arial" w:hAnsi="Arial" w:cs="Arial"/>
          <w:szCs w:val="24"/>
        </w:rPr>
        <w:t xml:space="preserve">Edmondson, A. (1999) 'Psychological safety and learning behavior in work teams', </w:t>
      </w:r>
      <w:r>
        <w:rPr>
          <w:rFonts w:ascii="Arial" w:hAnsi="Arial" w:cs="Arial"/>
          <w:i/>
          <w:szCs w:val="24"/>
        </w:rPr>
        <w:t>Administrative Science Quarterly</w:t>
      </w:r>
      <w:r>
        <w:rPr>
          <w:rFonts w:ascii="Arial" w:hAnsi="Arial" w:cs="Arial"/>
          <w:szCs w:val="24"/>
        </w:rPr>
        <w:t>, 44(2), pp. 350–383.</w:t>
      </w:r>
    </w:p>
    <w:p w14:paraId="5108B00D" w14:textId="77777777" w:rsidR="002F0C2E" w:rsidRDefault="00000000">
      <w:pPr>
        <w:keepLines/>
        <w:spacing w:after="80"/>
        <w:ind w:left="720" w:hanging="720"/>
      </w:pPr>
      <w:r>
        <w:rPr>
          <w:rFonts w:ascii="Arial" w:hAnsi="Arial" w:cs="Arial"/>
          <w:szCs w:val="24"/>
        </w:rPr>
        <w:t xml:space="preserve">Edmondson, A. and Bransby, D.P. (2023) 'Psychological safety comes of age: observed themes in an established literature', </w:t>
      </w:r>
      <w:r>
        <w:rPr>
          <w:rFonts w:ascii="Arial" w:hAnsi="Arial" w:cs="Arial"/>
          <w:i/>
          <w:szCs w:val="24"/>
        </w:rPr>
        <w:t>Annual Review of Organizational Psychology and Organizational Behavior</w:t>
      </w:r>
      <w:r>
        <w:rPr>
          <w:rFonts w:ascii="Arial" w:hAnsi="Arial" w:cs="Arial"/>
          <w:szCs w:val="24"/>
        </w:rPr>
        <w:t>, 10, pp. 55–78.</w:t>
      </w:r>
    </w:p>
    <w:p w14:paraId="5556BC30" w14:textId="77777777" w:rsidR="002F0C2E" w:rsidRDefault="00000000">
      <w:pPr>
        <w:keepLines/>
        <w:spacing w:after="80"/>
        <w:ind w:left="720" w:hanging="720"/>
      </w:pPr>
      <w:r>
        <w:rPr>
          <w:rFonts w:ascii="Arial" w:hAnsi="Arial" w:cs="Arial"/>
          <w:szCs w:val="24"/>
        </w:rPr>
        <w:t xml:space="preserve">Gallardo-Gallardo, E., Thunnissen, M. and Scullion, H. (2020) 'Talent management: context matters', </w:t>
      </w:r>
      <w:r>
        <w:rPr>
          <w:rFonts w:ascii="Arial" w:hAnsi="Arial" w:cs="Arial"/>
          <w:i/>
          <w:szCs w:val="24"/>
        </w:rPr>
        <w:t>The International Journal of Human Resource Management</w:t>
      </w:r>
      <w:r>
        <w:rPr>
          <w:rFonts w:ascii="Arial" w:hAnsi="Arial" w:cs="Arial"/>
          <w:szCs w:val="24"/>
        </w:rPr>
        <w:t>, 31(4), pp. 457–473.</w:t>
      </w:r>
    </w:p>
    <w:p w14:paraId="7B7E52A1" w14:textId="77777777" w:rsidR="002F0C2E" w:rsidRDefault="00000000">
      <w:pPr>
        <w:keepLines/>
        <w:spacing w:after="80"/>
        <w:ind w:left="720" w:hanging="720"/>
      </w:pPr>
      <w:r>
        <w:rPr>
          <w:rFonts w:ascii="Arial" w:hAnsi="Arial" w:cs="Arial"/>
          <w:szCs w:val="24"/>
        </w:rPr>
        <w:t xml:space="preserve">Gibbs, G. (1988) </w:t>
      </w:r>
      <w:r>
        <w:rPr>
          <w:rFonts w:ascii="Arial" w:hAnsi="Arial" w:cs="Arial"/>
          <w:i/>
          <w:szCs w:val="24"/>
        </w:rPr>
        <w:t>Learning by doing: a guide to teaching and learning methods</w:t>
      </w:r>
      <w:r>
        <w:rPr>
          <w:rFonts w:ascii="Arial" w:hAnsi="Arial" w:cs="Arial"/>
          <w:szCs w:val="24"/>
        </w:rPr>
        <w:t>. Oxford: Oxford Further Education Unit.</w:t>
      </w:r>
    </w:p>
    <w:p w14:paraId="3834D87C" w14:textId="77777777" w:rsidR="002F0C2E" w:rsidRDefault="00000000">
      <w:pPr>
        <w:keepLines/>
        <w:spacing w:after="80"/>
        <w:ind w:left="720" w:hanging="720"/>
      </w:pPr>
      <w:r>
        <w:rPr>
          <w:rFonts w:ascii="Arial" w:hAnsi="Arial" w:cs="Arial"/>
          <w:szCs w:val="24"/>
        </w:rPr>
        <w:t>Hofstede, G. (2001) Culture's Consequences: Comparing Values, Behaviors, Institutions and Organizations Across Nations. 2nd edn. Thousand Oaks, CA: Sage.</w:t>
      </w:r>
    </w:p>
    <w:p w14:paraId="5E61D966" w14:textId="77777777" w:rsidR="002F0C2E" w:rsidRDefault="00000000">
      <w:pPr>
        <w:keepLines/>
        <w:spacing w:after="80"/>
        <w:ind w:left="720" w:hanging="720"/>
      </w:pPr>
      <w:r>
        <w:rPr>
          <w:rFonts w:ascii="Arial" w:hAnsi="Arial" w:cs="Arial"/>
          <w:szCs w:val="24"/>
        </w:rPr>
        <w:t xml:space="preserve">Ipsen, C., van Veldhoven, M., Kirchner, K. and Hansen, J.P. (2021) 'Six key advantages and disadvantages of working from home in Europe during COVID-19', </w:t>
      </w:r>
      <w:r>
        <w:rPr>
          <w:rFonts w:ascii="Arial" w:hAnsi="Arial" w:cs="Arial"/>
          <w:i/>
          <w:szCs w:val="24"/>
        </w:rPr>
        <w:t>International Journal of Environmental Research and Public Health</w:t>
      </w:r>
      <w:r>
        <w:rPr>
          <w:rFonts w:ascii="Arial" w:hAnsi="Arial" w:cs="Arial"/>
          <w:szCs w:val="24"/>
        </w:rPr>
        <w:t>, 18(4), 1826.</w:t>
      </w:r>
    </w:p>
    <w:p w14:paraId="6ADDFB6A" w14:textId="77777777" w:rsidR="002F0C2E" w:rsidRDefault="00000000">
      <w:pPr>
        <w:keepLines/>
        <w:spacing w:after="80"/>
        <w:ind w:left="720" w:hanging="720"/>
      </w:pPr>
      <w:r>
        <w:rPr>
          <w:rFonts w:ascii="Arial" w:hAnsi="Arial" w:cs="Arial"/>
          <w:szCs w:val="24"/>
        </w:rPr>
        <w:t xml:space="preserve">Kelliher, C. and Anderson, D. (2010) '"Doing more with less?" Flexible working practices and the intensification of work', </w:t>
      </w:r>
      <w:r>
        <w:rPr>
          <w:rFonts w:ascii="Arial" w:hAnsi="Arial" w:cs="Arial"/>
          <w:i/>
          <w:szCs w:val="24"/>
        </w:rPr>
        <w:t>Human Relations</w:t>
      </w:r>
      <w:r>
        <w:rPr>
          <w:rFonts w:ascii="Arial" w:hAnsi="Arial" w:cs="Arial"/>
          <w:szCs w:val="24"/>
        </w:rPr>
        <w:t>, 63(1), pp. 83–106.</w:t>
      </w:r>
    </w:p>
    <w:p w14:paraId="6102F7C9" w14:textId="77777777" w:rsidR="002F0C2E" w:rsidRDefault="00000000">
      <w:pPr>
        <w:keepLines/>
        <w:spacing w:after="80"/>
        <w:ind w:left="720" w:hanging="720"/>
      </w:pPr>
      <w:r>
        <w:rPr>
          <w:rFonts w:ascii="Arial" w:hAnsi="Arial" w:cs="Arial"/>
          <w:szCs w:val="24"/>
        </w:rPr>
        <w:t xml:space="preserve">Kellogg, K.C., Valentine, M.A. and Christin, A. (2020) 'Algorithms at work: the new contested terrain of control', </w:t>
      </w:r>
      <w:r>
        <w:rPr>
          <w:rFonts w:ascii="Arial" w:hAnsi="Arial" w:cs="Arial"/>
          <w:i/>
          <w:szCs w:val="24"/>
        </w:rPr>
        <w:t>Academy of Management Annals</w:t>
      </w:r>
      <w:r>
        <w:rPr>
          <w:rFonts w:ascii="Arial" w:hAnsi="Arial" w:cs="Arial"/>
          <w:szCs w:val="24"/>
        </w:rPr>
        <w:t>, 14(1), pp. 366–410.</w:t>
      </w:r>
    </w:p>
    <w:p w14:paraId="49E8B19C" w14:textId="77777777" w:rsidR="002F0C2E" w:rsidRDefault="00000000">
      <w:pPr>
        <w:keepLines/>
        <w:spacing w:after="80"/>
        <w:ind w:left="720" w:hanging="720"/>
      </w:pPr>
      <w:r>
        <w:rPr>
          <w:rFonts w:ascii="Arial" w:hAnsi="Arial" w:cs="Arial"/>
          <w:szCs w:val="24"/>
        </w:rPr>
        <w:t xml:space="preserve">Lawler, E.E. (1986) </w:t>
      </w:r>
      <w:r>
        <w:rPr>
          <w:rFonts w:ascii="Arial" w:hAnsi="Arial" w:cs="Arial"/>
          <w:i/>
          <w:szCs w:val="24"/>
        </w:rPr>
        <w:t>High-involvement management</w:t>
      </w:r>
      <w:r>
        <w:rPr>
          <w:rFonts w:ascii="Arial" w:hAnsi="Arial" w:cs="Arial"/>
          <w:szCs w:val="24"/>
        </w:rPr>
        <w:t>. San Francisco: Jossey-Bass.</w:t>
      </w:r>
    </w:p>
    <w:p w14:paraId="7EF29478" w14:textId="77777777" w:rsidR="002F0C2E" w:rsidRDefault="00000000">
      <w:pPr>
        <w:keepLines/>
        <w:spacing w:after="80"/>
        <w:ind w:left="720" w:hanging="720"/>
      </w:pPr>
      <w:r>
        <w:rPr>
          <w:rFonts w:ascii="Arial" w:hAnsi="Arial" w:cs="Arial"/>
          <w:szCs w:val="24"/>
        </w:rPr>
        <w:lastRenderedPageBreak/>
        <w:t xml:space="preserve">Michaels, E., Handfield-Jones, H. and Axelrod, B. (2001) </w:t>
      </w:r>
      <w:r>
        <w:rPr>
          <w:rFonts w:ascii="Arial" w:hAnsi="Arial" w:cs="Arial"/>
          <w:i/>
          <w:szCs w:val="24"/>
        </w:rPr>
        <w:t>The war for talent</w:t>
      </w:r>
      <w:r>
        <w:rPr>
          <w:rFonts w:ascii="Arial" w:hAnsi="Arial" w:cs="Arial"/>
          <w:szCs w:val="24"/>
        </w:rPr>
        <w:t>. Boston, MA: Harvard Business School Press.</w:t>
      </w:r>
    </w:p>
    <w:p w14:paraId="3B36C7E4" w14:textId="77777777" w:rsidR="002F0C2E" w:rsidRDefault="00000000">
      <w:pPr>
        <w:keepLines/>
        <w:spacing w:after="80"/>
        <w:ind w:left="720" w:hanging="720"/>
      </w:pPr>
      <w:r>
        <w:rPr>
          <w:rFonts w:ascii="Arial" w:hAnsi="Arial" w:cs="Arial"/>
          <w:szCs w:val="24"/>
        </w:rPr>
        <w:t xml:space="preserve">Morgan, J. (2017) </w:t>
      </w:r>
      <w:r>
        <w:rPr>
          <w:rFonts w:ascii="Arial" w:hAnsi="Arial" w:cs="Arial"/>
          <w:i/>
          <w:szCs w:val="24"/>
        </w:rPr>
        <w:t>The employee experience advantage: how to win the war for talent by giving employees the workspaces they want, the tools they need, and a culture they can celebrate</w:t>
      </w:r>
      <w:r>
        <w:rPr>
          <w:rFonts w:ascii="Arial" w:hAnsi="Arial" w:cs="Arial"/>
          <w:szCs w:val="24"/>
        </w:rPr>
        <w:t>. Hoboken, NJ: Wiley.</w:t>
      </w:r>
    </w:p>
    <w:p w14:paraId="3F9F38E4" w14:textId="77777777" w:rsidR="002F0C2E" w:rsidRDefault="00000000">
      <w:pPr>
        <w:keepLines/>
        <w:spacing w:after="80"/>
        <w:ind w:left="720" w:hanging="720"/>
      </w:pPr>
      <w:r>
        <w:rPr>
          <w:rFonts w:ascii="Arial" w:hAnsi="Arial" w:cs="Arial"/>
          <w:szCs w:val="24"/>
        </w:rPr>
        <w:t xml:space="preserve">NHS England (2026) </w:t>
      </w:r>
      <w:r>
        <w:rPr>
          <w:rFonts w:ascii="Arial" w:hAnsi="Arial" w:cs="Arial"/>
          <w:i/>
          <w:szCs w:val="24"/>
        </w:rPr>
        <w:t>National review of clinical risk management standards DCB0129 and DCB0160: supporting information</w:t>
      </w:r>
      <w:r>
        <w:rPr>
          <w:rFonts w:ascii="Arial" w:hAnsi="Arial" w:cs="Arial"/>
          <w:szCs w:val="24"/>
        </w:rPr>
        <w:t>. Available at: https://www.england.nhs.uk/long-read/national-review-of-clinical-risk-management-standardsdcb0129-and-dcb0160-supporting-information/ (Accessed: 15 October 2026).</w:t>
      </w:r>
    </w:p>
    <w:p w14:paraId="5A564C1B" w14:textId="77777777" w:rsidR="002F0C2E" w:rsidRDefault="00000000">
      <w:pPr>
        <w:keepLines/>
        <w:spacing w:after="80"/>
        <w:ind w:left="720" w:hanging="720"/>
      </w:pPr>
      <w:r>
        <w:rPr>
          <w:rFonts w:ascii="Arial" w:hAnsi="Arial" w:cs="Arial"/>
          <w:szCs w:val="24"/>
        </w:rPr>
        <w:t>Raghavan, M., Barocas, S., Kleinberg, J. and Levy, K. (2020) 'Mitigating bias in algorithmic hiring: evaluating claims and practices', Proceedings of the 2020 Conference on Fairness, Accountability, and Transparency (FAT* '20), pp. 469–481.</w:t>
      </w:r>
    </w:p>
    <w:p w14:paraId="3BB29A60" w14:textId="77777777" w:rsidR="002F0C2E" w:rsidRDefault="00000000">
      <w:pPr>
        <w:keepLines/>
        <w:spacing w:after="80"/>
        <w:ind w:left="720" w:hanging="720"/>
      </w:pPr>
      <w:r>
        <w:rPr>
          <w:rFonts w:ascii="Arial" w:hAnsi="Arial" w:cs="Arial"/>
          <w:szCs w:val="24"/>
        </w:rPr>
        <w:t xml:space="preserve">Rigby, D.K., Sutherland, J. and Takeuchi, H. (2016) 'Embracing agile', </w:t>
      </w:r>
      <w:r>
        <w:rPr>
          <w:rFonts w:ascii="Arial" w:hAnsi="Arial" w:cs="Arial"/>
          <w:i/>
          <w:szCs w:val="24"/>
        </w:rPr>
        <w:t>Harvard Business Review</w:t>
      </w:r>
      <w:r>
        <w:rPr>
          <w:rFonts w:ascii="Arial" w:hAnsi="Arial" w:cs="Arial"/>
          <w:szCs w:val="24"/>
        </w:rPr>
        <w:t>, 94(5), pp. 40–50.</w:t>
      </w:r>
    </w:p>
    <w:p w14:paraId="4DD9244C" w14:textId="77777777" w:rsidR="002F0C2E" w:rsidRDefault="00000000">
      <w:pPr>
        <w:keepLines/>
        <w:spacing w:after="80"/>
        <w:ind w:left="720" w:hanging="720"/>
      </w:pPr>
      <w:r>
        <w:rPr>
          <w:rFonts w:ascii="Arial" w:hAnsi="Arial" w:cs="Arial"/>
          <w:szCs w:val="24"/>
        </w:rPr>
        <w:t xml:space="preserve">Senge, P.M. (1990) </w:t>
      </w:r>
      <w:r>
        <w:rPr>
          <w:rFonts w:ascii="Arial" w:hAnsi="Arial" w:cs="Arial"/>
          <w:i/>
          <w:szCs w:val="24"/>
        </w:rPr>
        <w:t>The fifth discipline: the art and practice of the learning organization</w:t>
      </w:r>
      <w:r>
        <w:rPr>
          <w:rFonts w:ascii="Arial" w:hAnsi="Arial" w:cs="Arial"/>
          <w:szCs w:val="24"/>
        </w:rPr>
        <w:t>. New York: Doubleday.</w:t>
      </w:r>
    </w:p>
    <w:p w14:paraId="1E526622" w14:textId="77777777" w:rsidR="002F0C2E" w:rsidRDefault="00000000">
      <w:pPr>
        <w:keepLines/>
        <w:spacing w:after="80"/>
        <w:ind w:left="720" w:hanging="720"/>
      </w:pPr>
      <w:r>
        <w:rPr>
          <w:rFonts w:ascii="Arial" w:hAnsi="Arial" w:cs="Arial"/>
          <w:szCs w:val="24"/>
        </w:rPr>
        <w:t xml:space="preserve">Tambe, P., Cappelli, P. and Yakubovich, V. (2019) 'Artificial intelligence in human resources management: challenges and a path forward', </w:t>
      </w:r>
      <w:r>
        <w:rPr>
          <w:rFonts w:ascii="Arial" w:hAnsi="Arial" w:cs="Arial"/>
          <w:i/>
          <w:szCs w:val="24"/>
        </w:rPr>
        <w:t>California Management Review</w:t>
      </w:r>
      <w:r>
        <w:rPr>
          <w:rFonts w:ascii="Arial" w:hAnsi="Arial" w:cs="Arial"/>
          <w:szCs w:val="24"/>
        </w:rPr>
        <w:t>, 61(4), pp. 15–42.</w:t>
      </w:r>
    </w:p>
    <w:p w14:paraId="5A24D6C1" w14:textId="77777777" w:rsidR="002F0C2E" w:rsidRDefault="00000000">
      <w:pPr>
        <w:keepLines/>
        <w:spacing w:after="80"/>
        <w:ind w:left="720" w:hanging="720"/>
      </w:pPr>
      <w:r>
        <w:rPr>
          <w:rFonts w:ascii="Arial" w:hAnsi="Arial" w:cs="Arial"/>
          <w:szCs w:val="24"/>
        </w:rPr>
        <w:t xml:space="preserve">Tims, M. and Bakker, A.B. (2010) 'Job crafting: towards a new model of individual job redesign', </w:t>
      </w:r>
      <w:r>
        <w:rPr>
          <w:rFonts w:ascii="Arial" w:hAnsi="Arial" w:cs="Arial"/>
          <w:i/>
          <w:szCs w:val="24"/>
        </w:rPr>
        <w:t>SA Journal of Industrial Psychology</w:t>
      </w:r>
      <w:r>
        <w:rPr>
          <w:rFonts w:ascii="Arial" w:hAnsi="Arial" w:cs="Arial"/>
          <w:szCs w:val="24"/>
        </w:rPr>
        <w:t>, 36(2), Art. 837.</w:t>
      </w:r>
    </w:p>
    <w:p w14:paraId="524F90FD" w14:textId="77777777" w:rsidR="002F0C2E" w:rsidRDefault="00000000">
      <w:pPr>
        <w:keepLines/>
        <w:spacing w:after="80"/>
        <w:ind w:left="720" w:hanging="720"/>
      </w:pPr>
      <w:r>
        <w:rPr>
          <w:rFonts w:ascii="Arial" w:hAnsi="Arial" w:cs="Arial"/>
          <w:szCs w:val="24"/>
        </w:rPr>
        <w:t xml:space="preserve">Trist, E.L. and Bamforth, K.W. (1951) 'Some social and psychological consequences of the longwall method of coal-getting', </w:t>
      </w:r>
      <w:r>
        <w:rPr>
          <w:rFonts w:ascii="Arial" w:hAnsi="Arial" w:cs="Arial"/>
          <w:i/>
          <w:szCs w:val="24"/>
        </w:rPr>
        <w:t>Human Relations</w:t>
      </w:r>
      <w:r>
        <w:rPr>
          <w:rFonts w:ascii="Arial" w:hAnsi="Arial" w:cs="Arial"/>
          <w:szCs w:val="24"/>
        </w:rPr>
        <w:t>, 4(1), pp. 3–38.</w:t>
      </w:r>
    </w:p>
    <w:p w14:paraId="517A22CF" w14:textId="77777777" w:rsidR="002F0C2E" w:rsidRDefault="00000000">
      <w:pPr>
        <w:keepLines/>
        <w:spacing w:after="80"/>
        <w:ind w:left="720" w:hanging="720"/>
      </w:pPr>
      <w:r>
        <w:rPr>
          <w:rFonts w:ascii="Arial" w:hAnsi="Arial" w:cs="Arial"/>
          <w:szCs w:val="24"/>
        </w:rPr>
        <w:t xml:space="preserve">Wang, B., Liu, Y., Qian, J. and Parker, S.K. (2021) 'Achieving effective remote working during the COVID-19 pandemic: a work design perspective', </w:t>
      </w:r>
      <w:r>
        <w:rPr>
          <w:rFonts w:ascii="Arial" w:hAnsi="Arial" w:cs="Arial"/>
          <w:i/>
          <w:szCs w:val="24"/>
        </w:rPr>
        <w:t>Applied Psychology</w:t>
      </w:r>
      <w:r>
        <w:rPr>
          <w:rFonts w:ascii="Arial" w:hAnsi="Arial" w:cs="Arial"/>
          <w:szCs w:val="24"/>
        </w:rPr>
        <w:t>, 70(1), pp. 16–59.</w:t>
      </w:r>
    </w:p>
    <w:p w14:paraId="5596446D" w14:textId="77777777" w:rsidR="002F0C2E" w:rsidRDefault="00000000">
      <w:pPr>
        <w:keepLines/>
        <w:spacing w:after="80"/>
        <w:ind w:left="720" w:hanging="720"/>
      </w:pPr>
      <w:r>
        <w:rPr>
          <w:rFonts w:ascii="Arial" w:hAnsi="Arial" w:cs="Arial"/>
          <w:szCs w:val="24"/>
        </w:rPr>
        <w:t xml:space="preserve">Yang, L., Holtz, D., Jaffe, S., Suri, S., Sinha, S., Weston, J., Joyce, C., Hecht, T. and Teevan, J. (2022) 'The effects of remote work on collaboration among information workers', </w:t>
      </w:r>
      <w:r>
        <w:rPr>
          <w:rFonts w:ascii="Arial" w:hAnsi="Arial" w:cs="Arial"/>
          <w:i/>
          <w:szCs w:val="24"/>
        </w:rPr>
        <w:t>Nature Human Behaviour</w:t>
      </w:r>
      <w:r>
        <w:rPr>
          <w:rFonts w:ascii="Arial" w:hAnsi="Arial" w:cs="Arial"/>
          <w:szCs w:val="24"/>
        </w:rPr>
        <w:t>, 6, pp. 43–54.</w:t>
      </w:r>
    </w:p>
    <w:p w14:paraId="00CBF2A7" w14:textId="77777777" w:rsidR="002F0C2E" w:rsidRDefault="00000000">
      <w:pPr>
        <w:keepLines/>
        <w:spacing w:after="80"/>
        <w:ind w:left="720" w:hanging="720"/>
      </w:pPr>
      <w:r>
        <w:rPr>
          <w:rFonts w:ascii="Arial" w:hAnsi="Arial" w:cs="Arial"/>
          <w:szCs w:val="24"/>
        </w:rPr>
        <w:lastRenderedPageBreak/>
        <w:t xml:space="preserve">Yeager, D.S., Hanselman, P., Walton, G.M. et al. (2019) 'A national experiment reveals where a growth mindset improves achievement', </w:t>
      </w:r>
      <w:r>
        <w:rPr>
          <w:rFonts w:ascii="Arial" w:hAnsi="Arial" w:cs="Arial"/>
          <w:i/>
          <w:szCs w:val="24"/>
        </w:rPr>
        <w:t>Nature</w:t>
      </w:r>
      <w:r>
        <w:rPr>
          <w:rFonts w:ascii="Arial" w:hAnsi="Arial" w:cs="Arial"/>
          <w:szCs w:val="24"/>
        </w:rPr>
        <w:t>, 573, pp. 364–369.</w:t>
      </w:r>
    </w:p>
    <w:sectPr w:rsidR="002F0C2E" w:rsidSect="00034616">
      <w:footerReference w:type="default" r:id="rId12"/>
      <w:pgSz w:w="11906" w:h="16838"/>
      <w:pgMar w:top="1361" w:right="1417" w:bottom="1304"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3304BFD" w14:textId="77777777" w:rsidR="00635479" w:rsidRDefault="00635479">
      <w:pPr>
        <w:spacing w:after="0" w:line="240" w:lineRule="auto"/>
      </w:pPr>
      <w:r>
        <w:separator/>
      </w:r>
    </w:p>
  </w:endnote>
  <w:endnote w:type="continuationSeparator" w:id="0">
    <w:p w14:paraId="3E7B039A" w14:textId="77777777" w:rsidR="00635479" w:rsidRDefault="006354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CF07CB" w14:textId="77777777" w:rsidR="002F0C2E" w:rsidRDefault="00000000">
    <w:pPr>
      <w:pStyle w:val="Footer"/>
      <w:jc w:val="center"/>
    </w:pPr>
    <w:r>
      <w:fldChar w:fldCharType="begin"/>
    </w:r>
    <w:r>
      <w:instrText>PAGE</w:instrText>
    </w:r>
    <w:r>
      <w:fldChar w:fldCharType="separate"/>
    </w:r>
    <w:r w:rsidR="006D513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F371478" w14:textId="77777777" w:rsidR="00635479" w:rsidRDefault="00635479">
      <w:pPr>
        <w:spacing w:after="0" w:line="240" w:lineRule="auto"/>
      </w:pPr>
      <w:r>
        <w:separator/>
      </w:r>
    </w:p>
  </w:footnote>
  <w:footnote w:type="continuationSeparator" w:id="0">
    <w:p w14:paraId="65E25017" w14:textId="77777777" w:rsidR="00635479" w:rsidRDefault="006354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7652435">
    <w:abstractNumId w:val="8"/>
  </w:num>
  <w:num w:numId="2" w16cid:durableId="1955091606">
    <w:abstractNumId w:val="6"/>
  </w:num>
  <w:num w:numId="3" w16cid:durableId="2032877634">
    <w:abstractNumId w:val="5"/>
  </w:num>
  <w:num w:numId="4" w16cid:durableId="2040276346">
    <w:abstractNumId w:val="4"/>
  </w:num>
  <w:num w:numId="5" w16cid:durableId="793017237">
    <w:abstractNumId w:val="7"/>
  </w:num>
  <w:num w:numId="6" w16cid:durableId="451486125">
    <w:abstractNumId w:val="3"/>
  </w:num>
  <w:num w:numId="7" w16cid:durableId="383332864">
    <w:abstractNumId w:val="2"/>
  </w:num>
  <w:num w:numId="8" w16cid:durableId="1064837501">
    <w:abstractNumId w:val="1"/>
  </w:num>
  <w:num w:numId="9" w16cid:durableId="365259488">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21A"/>
    <w:rsid w:val="0006063C"/>
    <w:rsid w:val="000E1F46"/>
    <w:rsid w:val="0015074B"/>
    <w:rsid w:val="001A0EA0"/>
    <w:rsid w:val="002727ED"/>
    <w:rsid w:val="0029639D"/>
    <w:rsid w:val="002F0C2E"/>
    <w:rsid w:val="0031124D"/>
    <w:rsid w:val="00326F90"/>
    <w:rsid w:val="00635479"/>
    <w:rsid w:val="006D5135"/>
    <w:rsid w:val="00873BC9"/>
    <w:rsid w:val="008F2252"/>
    <w:rsid w:val="00AA1D8D"/>
    <w:rsid w:val="00B47730"/>
    <w:rsid w:val="00B539B7"/>
    <w:rsid w:val="00BC6469"/>
    <w:rsid w:val="00C629AB"/>
    <w:rsid w:val="00C74548"/>
    <w:rsid w:val="00CB0664"/>
    <w:rsid w:val="00DD6686"/>
    <w:rsid w:val="00F1196A"/>
    <w:rsid w:val="00FC693F"/>
    <w:rsid w:val="0163A23F"/>
    <w:rsid w:val="02F55BF5"/>
    <w:rsid w:val="057FA97A"/>
    <w:rsid w:val="10D05A19"/>
    <w:rsid w:val="15A2E96C"/>
    <w:rsid w:val="1BE7FE01"/>
    <w:rsid w:val="1D0CA0E3"/>
    <w:rsid w:val="1E97DB23"/>
    <w:rsid w:val="23242A9F"/>
    <w:rsid w:val="2545045B"/>
    <w:rsid w:val="2C506293"/>
    <w:rsid w:val="2C5CADC1"/>
    <w:rsid w:val="2FDEAA0A"/>
    <w:rsid w:val="30CE30F8"/>
    <w:rsid w:val="330B4DFF"/>
    <w:rsid w:val="3964CBA4"/>
    <w:rsid w:val="3A4D6DE0"/>
    <w:rsid w:val="3A66D5B1"/>
    <w:rsid w:val="3A7FAF3E"/>
    <w:rsid w:val="3BDD471E"/>
    <w:rsid w:val="3C2C78BF"/>
    <w:rsid w:val="3E7F52C8"/>
    <w:rsid w:val="3FFD97CC"/>
    <w:rsid w:val="4548C7E1"/>
    <w:rsid w:val="4C87F518"/>
    <w:rsid w:val="4D386958"/>
    <w:rsid w:val="4DA01685"/>
    <w:rsid w:val="542ABF12"/>
    <w:rsid w:val="54DE7260"/>
    <w:rsid w:val="54EAC421"/>
    <w:rsid w:val="561A80DC"/>
    <w:rsid w:val="5B171991"/>
    <w:rsid w:val="6198BE94"/>
    <w:rsid w:val="65FD4236"/>
    <w:rsid w:val="6A9BA401"/>
    <w:rsid w:val="6B0A15D0"/>
    <w:rsid w:val="7A253BD1"/>
    <w:rsid w:val="7A704648"/>
    <w:rsid w:val="7EA800A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BE14EA8"/>
  <w14:defaultImageDpi w14:val="300"/>
  <w15:docId w15:val="{B6F2367A-080F-44BB-8A5B-AEC102190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2252"/>
    <w:pPr>
      <w:spacing w:after="140" w:line="360" w:lineRule="auto"/>
    </w:pPr>
    <w:rPr>
      <w:rFonts w:ascii="Times New Roman" w:eastAsia="Arial" w:hAnsi="Times New Roman"/>
      <w:sz w:val="24"/>
    </w:rPr>
  </w:style>
  <w:style w:type="paragraph" w:styleId="Heading1">
    <w:name w:val="heading 1"/>
    <w:basedOn w:val="Normal"/>
    <w:next w:val="Normal"/>
    <w:link w:val="Heading1Char"/>
    <w:uiPriority w:val="9"/>
    <w:qFormat/>
    <w:rsid w:val="00FC693F"/>
    <w:pPr>
      <w:keepNext/>
      <w:keepLines/>
      <w:spacing w:before="240" w:after="100"/>
      <w:outlineLvl w:val="0"/>
    </w:pPr>
    <w:rPr>
      <w:rFonts w:ascii="Arial" w:hAnsi="Arial" w:cs="Arial"/>
      <w:b/>
      <w:bCs/>
      <w:color w:val="183653"/>
      <w:sz w:val="30"/>
      <w:szCs w:val="28"/>
    </w:rPr>
  </w:style>
  <w:style w:type="paragraph" w:styleId="Heading2">
    <w:name w:val="heading 2"/>
    <w:basedOn w:val="Normal"/>
    <w:next w:val="Normal"/>
    <w:link w:val="Heading2Char"/>
    <w:uiPriority w:val="9"/>
    <w:unhideWhenUsed/>
    <w:qFormat/>
    <w:rsid w:val="00FC693F"/>
    <w:pPr>
      <w:keepNext/>
      <w:keepLines/>
      <w:spacing w:before="240" w:after="100"/>
      <w:outlineLvl w:val="1"/>
    </w:pPr>
    <w:rPr>
      <w:rFonts w:ascii="Arial" w:hAnsi="Arial" w:cs="Arial"/>
      <w:b/>
      <w:bCs/>
      <w:color w:val="167F83"/>
      <w:sz w:val="26"/>
      <w:szCs w:val="26"/>
    </w:rPr>
  </w:style>
  <w:style w:type="paragraph" w:styleId="Heading3">
    <w:name w:val="heading 3"/>
    <w:basedOn w:val="Normal"/>
    <w:next w:val="Normal"/>
    <w:link w:val="Heading3Char"/>
    <w:uiPriority w:val="9"/>
    <w:unhideWhenUsed/>
    <w:qFormat/>
    <w:rsid w:val="00FC693F"/>
    <w:pPr>
      <w:keepNext/>
      <w:keepLines/>
      <w:spacing w:before="240" w:after="100"/>
      <w:outlineLvl w:val="2"/>
    </w:pPr>
    <w:rPr>
      <w:rFonts w:asciiTheme="majorHAnsi" w:eastAsiaTheme="majorEastAsia" w:hAnsiTheme="majorHAnsi" w:cstheme="majorBidi"/>
      <w:b/>
      <w:bCs/>
      <w:color w:val="18365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000000"/>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rPr>
      <w:rFonts w:ascii="Arial" w:hAnsi="Arial"/>
    </w:r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6D5135"/>
    <w:pPr>
      <w:spacing w:after="100"/>
    </w:pPr>
  </w:style>
  <w:style w:type="paragraph" w:styleId="TOC2">
    <w:name w:val="toc 2"/>
    <w:basedOn w:val="Normal"/>
    <w:next w:val="Normal"/>
    <w:autoRedefine/>
    <w:uiPriority w:val="39"/>
    <w:unhideWhenUsed/>
    <w:rsid w:val="006D5135"/>
    <w:pPr>
      <w:spacing w:after="100"/>
      <w:ind w:left="240"/>
    </w:pPr>
  </w:style>
  <w:style w:type="character" w:styleId="Hyperlink">
    <w:name w:val="Hyperlink"/>
    <w:basedOn w:val="DefaultParagraphFont"/>
    <w:uiPriority w:val="99"/>
    <w:unhideWhenUsed/>
    <w:rsid w:val="006D5135"/>
    <w:rPr>
      <w:color w:val="0000FF" w:themeColor="hyperlink"/>
      <w:u w:val="single"/>
    </w:rPr>
  </w:style>
  <w:style w:type="paragraph" w:styleId="NormalWeb">
    <w:name w:val="Normal (Web)"/>
    <w:basedOn w:val="Normal"/>
    <w:uiPriority w:val="99"/>
    <w:semiHidden/>
    <w:unhideWhenUsed/>
    <w:rsid w:val="008F2252"/>
    <w:pPr>
      <w:spacing w:before="100" w:beforeAutospacing="1" w:after="100" w:afterAutospacing="1" w:line="240" w:lineRule="auto"/>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19</Pages>
  <Words>3706</Words>
  <Characters>23168</Characters>
  <Application>Microsoft Office Word</Application>
  <DocSecurity>0</DocSecurity>
  <Lines>356</Lines>
  <Paragraphs>129</Paragraphs>
  <ScaleCrop>false</ScaleCrop>
  <Manager/>
  <Company/>
  <LinksUpToDate>false</LinksUpToDate>
  <CharactersWithSpaces>26745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Kunj Vimalkumar Patel</cp:lastModifiedBy>
  <cp:revision>25</cp:revision>
  <dcterms:created xsi:type="dcterms:W3CDTF">2013-12-23T23:15:00Z</dcterms:created>
  <dcterms:modified xsi:type="dcterms:W3CDTF">2026-10-20T22:23:00Z</dcterms:modified>
  <cp:category/>
</cp:coreProperties>
</file>