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AF12B" w14:textId="77777777" w:rsidR="00765111" w:rsidRDefault="00765111" w:rsidP="00765111">
      <w:pPr>
        <w:spacing w:after="240"/>
        <w:jc w:val="center"/>
      </w:pPr>
      <w:r>
        <w:rPr>
          <w:rFonts w:asciiTheme="minorBidi" w:hAnsiTheme="minorBidi"/>
          <w:noProof/>
        </w:rPr>
        <w:drawing>
          <wp:inline distT="0" distB="0" distL="0" distR="0" wp14:anchorId="77758271" wp14:editId="721A32FE">
            <wp:extent cx="3638550" cy="1819275"/>
            <wp:effectExtent l="0" t="0" r="6350" b="9525"/>
            <wp:docPr id="527614896" name="Picture 527614896" descr="A close-up of a sign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  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sdt>
      <w:sdtPr>
        <w:rPr>
          <w:rFonts w:ascii="Times New Roman" w:eastAsia="Times New Roman" w:hAnsi="Times New Roman" w:cs="Times New Roman"/>
          <w:b/>
          <w:bCs/>
          <w:sz w:val="36"/>
          <w:szCs w:val="36"/>
          <w:lang w:eastAsia="en-GB"/>
        </w:rPr>
        <w:alias w:val="Title"/>
        <w:tag w:val=""/>
        <w:id w:val="1735040861"/>
        <w:placeholder>
          <w:docPart w:val="8E5FC9DDCB4D4781A7D4941E2E9E397C"/>
        </w:placeholder>
        <w:dataBinding w:prefixMappings="xmlns:ns0='http://purl.org/dc/elements/1.1/' xmlns:ns1='http://schemas.openxmlformats.org/package/2006/metadata/core-properties' " w:xpath="/ns1:coreProperties[1]/ns0:title[1]" w:storeItemID="{6C3C8BC8-F283-45AE-878A-BAB7291924A1}"/>
        <w:text/>
      </w:sdtPr>
      <w:sdtContent>
        <w:p w14:paraId="1DC2A4E9" w14:textId="429FC78B" w:rsidR="00765111" w:rsidRPr="00B662ED" w:rsidRDefault="00765111" w:rsidP="00765111">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40"/>
              <w:szCs w:val="40"/>
            </w:rPr>
          </w:pPr>
          <w:r>
            <w:rPr>
              <w:rFonts w:ascii="Times New Roman" w:eastAsia="Times New Roman" w:hAnsi="Times New Roman" w:cs="Times New Roman"/>
              <w:b/>
              <w:bCs/>
              <w:sz w:val="36"/>
              <w:szCs w:val="36"/>
              <w:lang w:eastAsia="en-GB"/>
            </w:rPr>
            <w:t>HSBC Global Business Environment Essay</w:t>
          </w:r>
        </w:p>
      </w:sdtContent>
    </w:sdt>
    <w:p w14:paraId="4F3D5184" w14:textId="77777777" w:rsidR="00765111" w:rsidRDefault="00765111" w:rsidP="00765111">
      <w:pPr>
        <w:pStyle w:val="NoSpacing"/>
        <w:rPr>
          <w:color w:val="156082" w:themeColor="accent1"/>
          <w:sz w:val="28"/>
          <w:szCs w:val="28"/>
        </w:rPr>
      </w:pPr>
    </w:p>
    <w:p w14:paraId="7E6D0ABE" w14:textId="77777777" w:rsidR="00765111" w:rsidRDefault="00765111" w:rsidP="00765111">
      <w:pPr>
        <w:pStyle w:val="NoSpacing"/>
        <w:rPr>
          <w:color w:val="156082" w:themeColor="accent1"/>
          <w:sz w:val="28"/>
          <w:szCs w:val="28"/>
        </w:rPr>
      </w:pPr>
    </w:p>
    <w:p w14:paraId="38421A67" w14:textId="77777777" w:rsidR="00765111" w:rsidRDefault="00765111" w:rsidP="00765111">
      <w:pPr>
        <w:pStyle w:val="NoSpacing"/>
        <w:rPr>
          <w:color w:val="156082" w:themeColor="accent1"/>
          <w:sz w:val="28"/>
          <w:szCs w:val="28"/>
        </w:rPr>
      </w:pPr>
    </w:p>
    <w:p w14:paraId="5AFBB32A" w14:textId="77777777" w:rsidR="00765111" w:rsidRDefault="00765111" w:rsidP="00765111">
      <w:pPr>
        <w:pStyle w:val="NoSpacing"/>
        <w:rPr>
          <w:color w:val="156082" w:themeColor="accent1"/>
          <w:sz w:val="28"/>
          <w:szCs w:val="28"/>
        </w:rPr>
      </w:pPr>
    </w:p>
    <w:p w14:paraId="0515329F" w14:textId="77777777" w:rsidR="00765111" w:rsidRPr="009027C7" w:rsidRDefault="00765111" w:rsidP="00765111">
      <w:pPr>
        <w:pStyle w:val="NoSpacing"/>
        <w:rPr>
          <w:sz w:val="28"/>
          <w:szCs w:val="28"/>
        </w:rPr>
      </w:pPr>
      <w:r>
        <w:rPr>
          <w:sz w:val="28"/>
          <w:szCs w:val="28"/>
        </w:rPr>
        <w:t>Name: Monika Kitova</w:t>
      </w:r>
    </w:p>
    <w:p w14:paraId="1943A181" w14:textId="77777777" w:rsidR="00765111" w:rsidRPr="009027C7" w:rsidRDefault="00765111" w:rsidP="00765111">
      <w:pPr>
        <w:pStyle w:val="NoSpacing"/>
        <w:rPr>
          <w:sz w:val="28"/>
          <w:szCs w:val="28"/>
        </w:rPr>
      </w:pPr>
      <w:r>
        <w:rPr>
          <w:sz w:val="28"/>
          <w:szCs w:val="28"/>
        </w:rPr>
        <w:t>Student ID: 2429802</w:t>
      </w:r>
    </w:p>
    <w:p w14:paraId="52979DFD" w14:textId="2ECB3A97" w:rsidR="00765111" w:rsidRPr="009027C7" w:rsidRDefault="00765111" w:rsidP="00765111">
      <w:pPr>
        <w:pStyle w:val="NoSpacing"/>
        <w:rPr>
          <w:sz w:val="28"/>
          <w:szCs w:val="28"/>
        </w:rPr>
      </w:pPr>
      <w:r>
        <w:rPr>
          <w:sz w:val="28"/>
          <w:szCs w:val="28"/>
        </w:rPr>
        <w:t xml:space="preserve">Module Code: </w:t>
      </w:r>
      <w:r w:rsidRPr="00765111">
        <w:rPr>
          <w:rFonts w:cs="Arial"/>
          <w:bCs/>
          <w:sz w:val="28"/>
          <w:szCs w:val="28"/>
        </w:rPr>
        <w:t>LCBB4016</w:t>
      </w:r>
    </w:p>
    <w:p w14:paraId="1D94E1BB" w14:textId="5FACC824" w:rsidR="00765111" w:rsidRPr="009027C7" w:rsidRDefault="00765111" w:rsidP="00765111">
      <w:pPr>
        <w:pStyle w:val="NoSpacing"/>
        <w:rPr>
          <w:sz w:val="28"/>
          <w:szCs w:val="28"/>
        </w:rPr>
      </w:pPr>
      <w:r>
        <w:rPr>
          <w:sz w:val="28"/>
          <w:szCs w:val="28"/>
        </w:rPr>
        <w:t xml:space="preserve">Module name: </w:t>
      </w:r>
      <w:r w:rsidRPr="00765111">
        <w:rPr>
          <w:rFonts w:cs="Arial"/>
          <w:bCs/>
          <w:sz w:val="28"/>
          <w:szCs w:val="28"/>
        </w:rPr>
        <w:t>Global Business Environment</w:t>
      </w:r>
    </w:p>
    <w:p w14:paraId="73A48F35" w14:textId="75661FC5" w:rsidR="00765111" w:rsidRDefault="00765111" w:rsidP="00765111">
      <w:pPr>
        <w:pStyle w:val="NoSpacing"/>
        <w:rPr>
          <w:bCs/>
          <w:spacing w:val="-4"/>
          <w:sz w:val="28"/>
          <w:szCs w:val="28"/>
        </w:rPr>
      </w:pPr>
      <w:r>
        <w:rPr>
          <w:sz w:val="28"/>
          <w:szCs w:val="28"/>
        </w:rPr>
        <w:t xml:space="preserve">Lecturer: </w:t>
      </w:r>
      <w:r w:rsidRPr="00765111">
        <w:rPr>
          <w:rFonts w:cs="Arial"/>
          <w:b/>
          <w:bCs/>
          <w:sz w:val="28"/>
          <w:szCs w:val="28"/>
        </w:rPr>
        <w:t>Said Usman</w:t>
      </w:r>
    </w:p>
    <w:p w14:paraId="0B16E103" w14:textId="351B07E8" w:rsidR="00765111" w:rsidRPr="009027C7" w:rsidRDefault="00765111" w:rsidP="00765111">
      <w:pPr>
        <w:spacing w:after="480"/>
        <w:rPr>
          <w:rFonts w:asciiTheme="minorHAnsi" w:hAnsiTheme="minorHAnsi"/>
          <w:sz w:val="28"/>
          <w:szCs w:val="28"/>
        </w:rPr>
      </w:pPr>
      <w:r>
        <w:rPr>
          <w:rFonts w:asciiTheme="minorHAnsi" w:hAnsiTheme="minorHAnsi"/>
          <w:sz w:val="28"/>
          <w:szCs w:val="28"/>
        </w:rPr>
        <w:t xml:space="preserve">Word count: </w:t>
      </w:r>
      <w:r w:rsidR="002D19C8">
        <w:rPr>
          <w:rFonts w:asciiTheme="minorHAnsi" w:hAnsiTheme="minorHAnsi"/>
          <w:sz w:val="28"/>
          <w:szCs w:val="28"/>
        </w:rPr>
        <w:t>1911</w:t>
      </w:r>
    </w:p>
    <w:p w14:paraId="07C2F434" w14:textId="77777777" w:rsidR="00765111" w:rsidRPr="009027C7" w:rsidRDefault="00765111" w:rsidP="00765111">
      <w:pPr>
        <w:pStyle w:val="NoSpacing"/>
        <w:rPr>
          <w:sz w:val="28"/>
          <w:szCs w:val="28"/>
        </w:rPr>
      </w:pPr>
    </w:p>
    <w:p w14:paraId="5D1F26A3" w14:textId="77777777" w:rsidR="00765111" w:rsidRDefault="00765111" w:rsidP="00765111">
      <w:pPr>
        <w:pStyle w:val="NoSpacing"/>
        <w:spacing w:before="480"/>
        <w:jc w:val="center"/>
        <w:rPr>
          <w:color w:val="156082" w:themeColor="accent1"/>
        </w:rPr>
      </w:pPr>
    </w:p>
    <w:p w14:paraId="7F0C3DFD" w14:textId="0F1A1A74" w:rsidR="00765111" w:rsidRDefault="00765111" w:rsidP="00765111">
      <w:pPr>
        <w:spacing w:after="240"/>
        <w:jc w:val="center"/>
        <w:rPr>
          <w:b/>
          <w:bCs/>
          <w:sz w:val="28"/>
          <w:szCs w:val="28"/>
        </w:rPr>
      </w:pPr>
      <w:r>
        <w:rPr>
          <w:color w:val="FFFFFF" w:themeColor="background1"/>
        </w:rPr>
        <w:br w:type="page"/>
      </w:r>
    </w:p>
    <w:sdt>
      <w:sdtPr>
        <w:id w:val="183107926"/>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2401EBF2" w14:textId="3BE2C390" w:rsidR="00765111" w:rsidRDefault="00765111">
          <w:pPr>
            <w:pStyle w:val="TOCHeading"/>
          </w:pPr>
          <w:r>
            <w:t>Table of Contents</w:t>
          </w:r>
        </w:p>
        <w:p w14:paraId="7819DCEE" w14:textId="6BAB6224" w:rsidR="00765111" w:rsidRDefault="00765111">
          <w:pPr>
            <w:pStyle w:val="TOC2"/>
            <w:tabs>
              <w:tab w:val="right" w:leader="dot" w:pos="9016"/>
            </w:tabs>
            <w:rPr>
              <w:noProof/>
            </w:rPr>
          </w:pPr>
          <w:r>
            <w:fldChar w:fldCharType="begin"/>
          </w:r>
          <w:r>
            <w:instrText xml:space="preserve"> TOC \o "1-3" \h \z \u </w:instrText>
          </w:r>
          <w:r>
            <w:fldChar w:fldCharType="separate"/>
          </w:r>
          <w:hyperlink w:anchor="_Toc237472772" w:history="1">
            <w:r w:rsidRPr="00242854">
              <w:rPr>
                <w:rStyle w:val="Hyperlink"/>
                <w:b/>
                <w:bCs/>
                <w:noProof/>
              </w:rPr>
              <w:t>Introduction</w:t>
            </w:r>
            <w:r>
              <w:rPr>
                <w:noProof/>
                <w:webHidden/>
              </w:rPr>
              <w:tab/>
            </w:r>
            <w:r>
              <w:rPr>
                <w:noProof/>
                <w:webHidden/>
              </w:rPr>
              <w:fldChar w:fldCharType="begin"/>
            </w:r>
            <w:r>
              <w:rPr>
                <w:noProof/>
                <w:webHidden/>
              </w:rPr>
              <w:instrText xml:space="preserve"> PAGEREF _Toc237472772 \h </w:instrText>
            </w:r>
            <w:r>
              <w:rPr>
                <w:noProof/>
                <w:webHidden/>
              </w:rPr>
            </w:r>
            <w:r>
              <w:rPr>
                <w:noProof/>
                <w:webHidden/>
              </w:rPr>
              <w:fldChar w:fldCharType="separate"/>
            </w:r>
            <w:r w:rsidR="002D19C8">
              <w:rPr>
                <w:noProof/>
                <w:webHidden/>
              </w:rPr>
              <w:t>3</w:t>
            </w:r>
            <w:r>
              <w:rPr>
                <w:noProof/>
                <w:webHidden/>
              </w:rPr>
              <w:fldChar w:fldCharType="end"/>
            </w:r>
          </w:hyperlink>
        </w:p>
        <w:p w14:paraId="133D9CE3" w14:textId="55C3378C" w:rsidR="00765111" w:rsidRDefault="00765111">
          <w:pPr>
            <w:pStyle w:val="TOC2"/>
            <w:tabs>
              <w:tab w:val="right" w:leader="dot" w:pos="9016"/>
            </w:tabs>
            <w:rPr>
              <w:noProof/>
            </w:rPr>
          </w:pPr>
          <w:hyperlink w:anchor="_Toc237472773" w:history="1">
            <w:r w:rsidRPr="00242854">
              <w:rPr>
                <w:rStyle w:val="Hyperlink"/>
                <w:b/>
                <w:bCs/>
                <w:noProof/>
              </w:rPr>
              <w:t>Opportunities and Challenges</w:t>
            </w:r>
            <w:r>
              <w:rPr>
                <w:noProof/>
                <w:webHidden/>
              </w:rPr>
              <w:tab/>
            </w:r>
            <w:r>
              <w:rPr>
                <w:noProof/>
                <w:webHidden/>
              </w:rPr>
              <w:fldChar w:fldCharType="begin"/>
            </w:r>
            <w:r>
              <w:rPr>
                <w:noProof/>
                <w:webHidden/>
              </w:rPr>
              <w:instrText xml:space="preserve"> PAGEREF _Toc237472773 \h </w:instrText>
            </w:r>
            <w:r>
              <w:rPr>
                <w:noProof/>
                <w:webHidden/>
              </w:rPr>
            </w:r>
            <w:r>
              <w:rPr>
                <w:noProof/>
                <w:webHidden/>
              </w:rPr>
              <w:fldChar w:fldCharType="separate"/>
            </w:r>
            <w:r w:rsidR="002D19C8">
              <w:rPr>
                <w:noProof/>
                <w:webHidden/>
              </w:rPr>
              <w:t>3</w:t>
            </w:r>
            <w:r>
              <w:rPr>
                <w:noProof/>
                <w:webHidden/>
              </w:rPr>
              <w:fldChar w:fldCharType="end"/>
            </w:r>
          </w:hyperlink>
        </w:p>
        <w:p w14:paraId="3DB85ED9" w14:textId="7C0FA915" w:rsidR="00765111" w:rsidRDefault="00765111">
          <w:pPr>
            <w:pStyle w:val="TOC2"/>
            <w:tabs>
              <w:tab w:val="right" w:leader="dot" w:pos="9016"/>
            </w:tabs>
            <w:rPr>
              <w:noProof/>
            </w:rPr>
          </w:pPr>
          <w:hyperlink w:anchor="_Toc237472774" w:history="1">
            <w:r w:rsidRPr="00242854">
              <w:rPr>
                <w:rStyle w:val="Hyperlink"/>
                <w:b/>
                <w:bCs/>
                <w:noProof/>
              </w:rPr>
              <w:t>Impact on the Organisation</w:t>
            </w:r>
            <w:r>
              <w:rPr>
                <w:noProof/>
                <w:webHidden/>
              </w:rPr>
              <w:tab/>
            </w:r>
            <w:r>
              <w:rPr>
                <w:noProof/>
                <w:webHidden/>
              </w:rPr>
              <w:fldChar w:fldCharType="begin"/>
            </w:r>
            <w:r>
              <w:rPr>
                <w:noProof/>
                <w:webHidden/>
              </w:rPr>
              <w:instrText xml:space="preserve"> PAGEREF _Toc237472774 \h </w:instrText>
            </w:r>
            <w:r>
              <w:rPr>
                <w:noProof/>
                <w:webHidden/>
              </w:rPr>
            </w:r>
            <w:r>
              <w:rPr>
                <w:noProof/>
                <w:webHidden/>
              </w:rPr>
              <w:fldChar w:fldCharType="separate"/>
            </w:r>
            <w:r w:rsidR="002D19C8">
              <w:rPr>
                <w:noProof/>
                <w:webHidden/>
              </w:rPr>
              <w:t>4</w:t>
            </w:r>
            <w:r>
              <w:rPr>
                <w:noProof/>
                <w:webHidden/>
              </w:rPr>
              <w:fldChar w:fldCharType="end"/>
            </w:r>
          </w:hyperlink>
        </w:p>
        <w:p w14:paraId="651B6F04" w14:textId="63BB8928" w:rsidR="00765111" w:rsidRDefault="00765111">
          <w:pPr>
            <w:pStyle w:val="TOC2"/>
            <w:tabs>
              <w:tab w:val="right" w:leader="dot" w:pos="9016"/>
            </w:tabs>
            <w:rPr>
              <w:noProof/>
            </w:rPr>
          </w:pPr>
          <w:hyperlink w:anchor="_Toc237472775" w:history="1">
            <w:r w:rsidRPr="00242854">
              <w:rPr>
                <w:rStyle w:val="Hyperlink"/>
                <w:b/>
                <w:bCs/>
                <w:noProof/>
              </w:rPr>
              <w:t>Strategic Recommendations</w:t>
            </w:r>
            <w:r>
              <w:rPr>
                <w:noProof/>
                <w:webHidden/>
              </w:rPr>
              <w:tab/>
            </w:r>
            <w:r>
              <w:rPr>
                <w:noProof/>
                <w:webHidden/>
              </w:rPr>
              <w:fldChar w:fldCharType="begin"/>
            </w:r>
            <w:r>
              <w:rPr>
                <w:noProof/>
                <w:webHidden/>
              </w:rPr>
              <w:instrText xml:space="preserve"> PAGEREF _Toc237472775 \h </w:instrText>
            </w:r>
            <w:r>
              <w:rPr>
                <w:noProof/>
                <w:webHidden/>
              </w:rPr>
            </w:r>
            <w:r>
              <w:rPr>
                <w:noProof/>
                <w:webHidden/>
              </w:rPr>
              <w:fldChar w:fldCharType="separate"/>
            </w:r>
            <w:r w:rsidR="002D19C8">
              <w:rPr>
                <w:noProof/>
                <w:webHidden/>
              </w:rPr>
              <w:t>5</w:t>
            </w:r>
            <w:r>
              <w:rPr>
                <w:noProof/>
                <w:webHidden/>
              </w:rPr>
              <w:fldChar w:fldCharType="end"/>
            </w:r>
          </w:hyperlink>
        </w:p>
        <w:p w14:paraId="687ED187" w14:textId="39FEEDCD" w:rsidR="00765111" w:rsidRDefault="00765111">
          <w:pPr>
            <w:pStyle w:val="TOC2"/>
            <w:tabs>
              <w:tab w:val="right" w:leader="dot" w:pos="9016"/>
            </w:tabs>
            <w:rPr>
              <w:noProof/>
            </w:rPr>
          </w:pPr>
          <w:hyperlink w:anchor="_Toc237472776" w:history="1">
            <w:r w:rsidRPr="00242854">
              <w:rPr>
                <w:rStyle w:val="Hyperlink"/>
                <w:b/>
                <w:bCs/>
                <w:noProof/>
              </w:rPr>
              <w:t>Conclusion</w:t>
            </w:r>
            <w:r>
              <w:rPr>
                <w:noProof/>
                <w:webHidden/>
              </w:rPr>
              <w:tab/>
            </w:r>
            <w:r>
              <w:rPr>
                <w:noProof/>
                <w:webHidden/>
              </w:rPr>
              <w:fldChar w:fldCharType="begin"/>
            </w:r>
            <w:r>
              <w:rPr>
                <w:noProof/>
                <w:webHidden/>
              </w:rPr>
              <w:instrText xml:space="preserve"> PAGEREF _Toc237472776 \h </w:instrText>
            </w:r>
            <w:r>
              <w:rPr>
                <w:noProof/>
                <w:webHidden/>
              </w:rPr>
            </w:r>
            <w:r>
              <w:rPr>
                <w:noProof/>
                <w:webHidden/>
              </w:rPr>
              <w:fldChar w:fldCharType="separate"/>
            </w:r>
            <w:r w:rsidR="002D19C8">
              <w:rPr>
                <w:noProof/>
                <w:webHidden/>
              </w:rPr>
              <w:t>6</w:t>
            </w:r>
            <w:r>
              <w:rPr>
                <w:noProof/>
                <w:webHidden/>
              </w:rPr>
              <w:fldChar w:fldCharType="end"/>
            </w:r>
          </w:hyperlink>
        </w:p>
        <w:p w14:paraId="64392984" w14:textId="0080C758" w:rsidR="00765111" w:rsidRDefault="00765111">
          <w:pPr>
            <w:pStyle w:val="TOC2"/>
            <w:tabs>
              <w:tab w:val="right" w:leader="dot" w:pos="9016"/>
            </w:tabs>
            <w:rPr>
              <w:noProof/>
            </w:rPr>
          </w:pPr>
          <w:hyperlink w:anchor="_Toc237472777" w:history="1">
            <w:r w:rsidRPr="00242854">
              <w:rPr>
                <w:rStyle w:val="Hyperlink"/>
                <w:b/>
                <w:bCs/>
                <w:noProof/>
              </w:rPr>
              <w:t>References</w:t>
            </w:r>
            <w:r>
              <w:rPr>
                <w:noProof/>
                <w:webHidden/>
              </w:rPr>
              <w:tab/>
            </w:r>
            <w:r>
              <w:rPr>
                <w:noProof/>
                <w:webHidden/>
              </w:rPr>
              <w:fldChar w:fldCharType="begin"/>
            </w:r>
            <w:r>
              <w:rPr>
                <w:noProof/>
                <w:webHidden/>
              </w:rPr>
              <w:instrText xml:space="preserve"> PAGEREF _Toc237472777 \h </w:instrText>
            </w:r>
            <w:r>
              <w:rPr>
                <w:noProof/>
                <w:webHidden/>
              </w:rPr>
            </w:r>
            <w:r>
              <w:rPr>
                <w:noProof/>
                <w:webHidden/>
              </w:rPr>
              <w:fldChar w:fldCharType="separate"/>
            </w:r>
            <w:r w:rsidR="002D19C8">
              <w:rPr>
                <w:noProof/>
                <w:webHidden/>
              </w:rPr>
              <w:t>7</w:t>
            </w:r>
            <w:r>
              <w:rPr>
                <w:noProof/>
                <w:webHidden/>
              </w:rPr>
              <w:fldChar w:fldCharType="end"/>
            </w:r>
          </w:hyperlink>
        </w:p>
        <w:p w14:paraId="78C55663" w14:textId="6480CA6E" w:rsidR="00765111" w:rsidRDefault="00765111">
          <w:r>
            <w:rPr>
              <w:b/>
              <w:bCs/>
              <w:noProof/>
            </w:rPr>
            <w:fldChar w:fldCharType="end"/>
          </w:r>
        </w:p>
      </w:sdtContent>
    </w:sdt>
    <w:p w14:paraId="55B7EAE3" w14:textId="77777777" w:rsidR="00765111" w:rsidRDefault="00765111">
      <w:pPr>
        <w:spacing w:after="240"/>
        <w:jc w:val="center"/>
        <w:rPr>
          <w:b/>
          <w:bCs/>
          <w:sz w:val="28"/>
          <w:szCs w:val="28"/>
        </w:rPr>
      </w:pPr>
    </w:p>
    <w:p w14:paraId="6523ECFE" w14:textId="77777777" w:rsidR="00765111" w:rsidRDefault="00765111">
      <w:pPr>
        <w:spacing w:after="240"/>
        <w:jc w:val="center"/>
        <w:rPr>
          <w:b/>
          <w:bCs/>
          <w:sz w:val="28"/>
          <w:szCs w:val="28"/>
        </w:rPr>
      </w:pPr>
    </w:p>
    <w:p w14:paraId="11402FBB" w14:textId="77777777" w:rsidR="00765111" w:rsidRDefault="00765111">
      <w:pPr>
        <w:spacing w:after="240"/>
        <w:jc w:val="center"/>
        <w:rPr>
          <w:b/>
          <w:bCs/>
          <w:sz w:val="28"/>
          <w:szCs w:val="28"/>
        </w:rPr>
      </w:pPr>
    </w:p>
    <w:p w14:paraId="058F31A3" w14:textId="77777777" w:rsidR="00765111" w:rsidRDefault="00765111">
      <w:pPr>
        <w:spacing w:after="240"/>
        <w:jc w:val="center"/>
        <w:rPr>
          <w:b/>
          <w:bCs/>
          <w:sz w:val="28"/>
          <w:szCs w:val="28"/>
        </w:rPr>
      </w:pPr>
    </w:p>
    <w:p w14:paraId="1D6BD792" w14:textId="77777777" w:rsidR="00765111" w:rsidRDefault="00765111">
      <w:pPr>
        <w:spacing w:after="240"/>
        <w:jc w:val="center"/>
        <w:rPr>
          <w:b/>
          <w:bCs/>
          <w:sz w:val="28"/>
          <w:szCs w:val="28"/>
        </w:rPr>
      </w:pPr>
    </w:p>
    <w:p w14:paraId="3BBE2DB7" w14:textId="77777777" w:rsidR="00765111" w:rsidRDefault="00765111">
      <w:pPr>
        <w:spacing w:after="240"/>
        <w:jc w:val="center"/>
        <w:rPr>
          <w:b/>
          <w:bCs/>
          <w:sz w:val="28"/>
          <w:szCs w:val="28"/>
        </w:rPr>
      </w:pPr>
    </w:p>
    <w:p w14:paraId="5777A9A3" w14:textId="77777777" w:rsidR="00765111" w:rsidRDefault="00765111">
      <w:pPr>
        <w:spacing w:after="240"/>
        <w:jc w:val="center"/>
        <w:rPr>
          <w:b/>
          <w:bCs/>
          <w:sz w:val="28"/>
          <w:szCs w:val="28"/>
        </w:rPr>
      </w:pPr>
    </w:p>
    <w:p w14:paraId="1FD8D8D9" w14:textId="77777777" w:rsidR="00765111" w:rsidRDefault="00765111">
      <w:pPr>
        <w:spacing w:after="240"/>
        <w:jc w:val="center"/>
        <w:rPr>
          <w:b/>
          <w:bCs/>
          <w:sz w:val="28"/>
          <w:szCs w:val="28"/>
        </w:rPr>
      </w:pPr>
    </w:p>
    <w:p w14:paraId="7677BFDA" w14:textId="77777777" w:rsidR="00765111" w:rsidRDefault="00765111">
      <w:pPr>
        <w:spacing w:after="240"/>
        <w:jc w:val="center"/>
        <w:rPr>
          <w:b/>
          <w:bCs/>
          <w:sz w:val="28"/>
          <w:szCs w:val="28"/>
        </w:rPr>
      </w:pPr>
    </w:p>
    <w:p w14:paraId="2F5F4DE7" w14:textId="77777777" w:rsidR="00765111" w:rsidRDefault="00765111">
      <w:pPr>
        <w:spacing w:after="240"/>
        <w:jc w:val="center"/>
        <w:rPr>
          <w:b/>
          <w:bCs/>
          <w:sz w:val="28"/>
          <w:szCs w:val="28"/>
        </w:rPr>
      </w:pPr>
    </w:p>
    <w:p w14:paraId="07121BE9" w14:textId="77777777" w:rsidR="00765111" w:rsidRDefault="00765111">
      <w:pPr>
        <w:spacing w:after="240"/>
        <w:jc w:val="center"/>
        <w:rPr>
          <w:b/>
          <w:bCs/>
          <w:sz w:val="28"/>
          <w:szCs w:val="28"/>
        </w:rPr>
      </w:pPr>
    </w:p>
    <w:p w14:paraId="1F7BF2F8" w14:textId="77777777" w:rsidR="00765111" w:rsidRDefault="00765111">
      <w:pPr>
        <w:spacing w:after="240"/>
        <w:jc w:val="center"/>
        <w:rPr>
          <w:b/>
          <w:bCs/>
          <w:sz w:val="28"/>
          <w:szCs w:val="28"/>
        </w:rPr>
      </w:pPr>
    </w:p>
    <w:p w14:paraId="2A9BC2A0" w14:textId="77777777" w:rsidR="00765111" w:rsidRDefault="00765111">
      <w:pPr>
        <w:spacing w:after="240"/>
        <w:jc w:val="center"/>
        <w:rPr>
          <w:b/>
          <w:bCs/>
          <w:sz w:val="28"/>
          <w:szCs w:val="28"/>
        </w:rPr>
      </w:pPr>
    </w:p>
    <w:p w14:paraId="1FD149C0" w14:textId="77777777" w:rsidR="00765111" w:rsidRDefault="00765111">
      <w:pPr>
        <w:spacing w:after="240"/>
        <w:jc w:val="center"/>
        <w:rPr>
          <w:b/>
          <w:bCs/>
          <w:sz w:val="28"/>
          <w:szCs w:val="28"/>
        </w:rPr>
      </w:pPr>
    </w:p>
    <w:p w14:paraId="170600BA" w14:textId="77777777" w:rsidR="00765111" w:rsidRDefault="00765111">
      <w:pPr>
        <w:spacing w:after="240"/>
        <w:jc w:val="center"/>
        <w:rPr>
          <w:b/>
          <w:bCs/>
          <w:sz w:val="28"/>
          <w:szCs w:val="28"/>
        </w:rPr>
      </w:pPr>
    </w:p>
    <w:p w14:paraId="0236EF4F" w14:textId="77777777" w:rsidR="00765111" w:rsidRDefault="00765111">
      <w:pPr>
        <w:spacing w:after="240"/>
        <w:jc w:val="center"/>
        <w:rPr>
          <w:b/>
          <w:bCs/>
          <w:sz w:val="28"/>
          <w:szCs w:val="28"/>
        </w:rPr>
      </w:pPr>
    </w:p>
    <w:p w14:paraId="33B81CE7" w14:textId="77777777" w:rsidR="00765111" w:rsidRDefault="00765111">
      <w:pPr>
        <w:spacing w:after="240"/>
        <w:jc w:val="center"/>
        <w:rPr>
          <w:b/>
          <w:bCs/>
          <w:sz w:val="28"/>
          <w:szCs w:val="28"/>
        </w:rPr>
      </w:pPr>
    </w:p>
    <w:p w14:paraId="723547B1" w14:textId="77777777" w:rsidR="00765111" w:rsidRDefault="00765111">
      <w:pPr>
        <w:spacing w:after="240"/>
        <w:jc w:val="center"/>
        <w:rPr>
          <w:b/>
          <w:bCs/>
          <w:sz w:val="28"/>
          <w:szCs w:val="28"/>
        </w:rPr>
      </w:pPr>
    </w:p>
    <w:p w14:paraId="4D389AB8" w14:textId="77777777" w:rsidR="00765111" w:rsidRDefault="00765111">
      <w:pPr>
        <w:spacing w:after="240"/>
        <w:jc w:val="center"/>
        <w:rPr>
          <w:b/>
          <w:bCs/>
          <w:sz w:val="28"/>
          <w:szCs w:val="28"/>
        </w:rPr>
      </w:pPr>
    </w:p>
    <w:p w14:paraId="4D17B925" w14:textId="77777777" w:rsidR="00765111" w:rsidRDefault="00765111">
      <w:pPr>
        <w:spacing w:after="240"/>
        <w:jc w:val="center"/>
        <w:rPr>
          <w:b/>
          <w:bCs/>
          <w:sz w:val="28"/>
          <w:szCs w:val="28"/>
        </w:rPr>
      </w:pPr>
    </w:p>
    <w:p w14:paraId="2DDF3EB8" w14:textId="13B30448" w:rsidR="00B06402" w:rsidRDefault="00AA73F3">
      <w:pPr>
        <w:spacing w:after="240"/>
        <w:jc w:val="center"/>
      </w:pPr>
      <w:r>
        <w:rPr>
          <w:b/>
          <w:bCs/>
          <w:sz w:val="28"/>
          <w:szCs w:val="28"/>
        </w:rPr>
        <w:lastRenderedPageBreak/>
        <w:t>Navigating a Turbulent Global Environment: HSBC Holdings plc in the Age of AI, Geopolitical Realignment and Sustainability Reform</w:t>
      </w:r>
    </w:p>
    <w:p w14:paraId="6875ECB0" w14:textId="0DE7EF6B" w:rsidR="00B06402" w:rsidRDefault="00AA73F3">
      <w:pPr>
        <w:spacing w:after="360"/>
        <w:jc w:val="center"/>
      </w:pPr>
      <w:r>
        <w:rPr>
          <w:i/>
          <w:iCs/>
          <w:sz w:val="22"/>
          <w:szCs w:val="22"/>
        </w:rPr>
        <w:t xml:space="preserve">Module: LCBB4016 – Global Business Environment | Component 2: Individual Essay </w:t>
      </w:r>
    </w:p>
    <w:p w14:paraId="0F05FF98" w14:textId="77777777" w:rsidR="00B06402" w:rsidRDefault="00AA73F3">
      <w:pPr>
        <w:pStyle w:val="Heading2"/>
        <w:spacing w:before="240" w:after="120"/>
      </w:pPr>
      <w:bookmarkStart w:id="0" w:name="_Toc237472772"/>
      <w:r>
        <w:rPr>
          <w:b/>
          <w:bCs/>
        </w:rPr>
        <w:t>Introduction</w:t>
      </w:r>
      <w:bookmarkEnd w:id="0"/>
    </w:p>
    <w:p w14:paraId="65845F31" w14:textId="7303A613" w:rsidR="00A438F6" w:rsidRDefault="00A438F6" w:rsidP="00A438F6">
      <w:pPr>
        <w:spacing w:after="200" w:line="360" w:lineRule="auto"/>
        <w:jc w:val="both"/>
      </w:pPr>
      <w:r>
        <w:t xml:space="preserve">Globalization is often defined as the gradual integration of economies‚ cultures and institutions across international borders (Hill and Hult‚ 2023)․ Thus‚ it creates new market‚ input and talent opportunities for international companies․ However‚ it also creates dependencies and vulnerabilities for companies exposed to sudden changes of the international environment․ The years 2024-2025 have illustrated this </w:t>
      </w:r>
      <w:proofErr w:type="spellStart"/>
      <w:r>
        <w:t>point․The</w:t>
      </w:r>
      <w:proofErr w:type="spellEnd"/>
      <w:r>
        <w:t xml:space="preserve"> spread of artificial intelligence (AI)‚ the disruption of major trade lanes such as through the Red Sea‚ geopolitical tensions between China and Taiwan and the introduction of the European Union's Corporate Sustainability Reporting Directive (CSRD) have all changed the environment in which multinationals operate (UNCTAD‚ 2024)․ Instead of global integration‚ globalization is arguably tending to regionalisation‚ politicization‚ or a combination of both․ The term '</w:t>
      </w:r>
      <w:proofErr w:type="spellStart"/>
      <w:r>
        <w:t>slowbalisation</w:t>
      </w:r>
      <w:proofErr w:type="spellEnd"/>
      <w:r>
        <w:t>' was coined in The Economist magazine in 2023․</w:t>
      </w:r>
    </w:p>
    <w:p w14:paraId="3877A0CC" w14:textId="15658749" w:rsidR="00B06402" w:rsidRDefault="00A438F6" w:rsidP="00A438F6">
      <w:pPr>
        <w:spacing w:after="200" w:line="360" w:lineRule="auto"/>
        <w:jc w:val="both"/>
      </w:pPr>
      <w:r>
        <w:t xml:space="preserve">This essay will focus on HSBC Holdings plc‚ a multinational bank from the United Kingdom‚ with the largest Asian operations in the world and presence in over sixty countries (HSBC‚ 2024)․ It is one of Europe's largest banking </w:t>
      </w:r>
      <w:proofErr w:type="spellStart"/>
      <w:r>
        <w:t>groups‚with</w:t>
      </w:r>
      <w:proofErr w:type="spellEnd"/>
      <w:r>
        <w:t xml:space="preserve"> a unique East-West footprint․ For this reason‚ HSBC is a very useful lens through which to consider the opportunities and threats of contemporary globalization․ The essay seeks to </w:t>
      </w:r>
      <w:proofErr w:type="spellStart"/>
      <w:r>
        <w:t>analyze</w:t>
      </w:r>
      <w:proofErr w:type="spellEnd"/>
      <w:r>
        <w:t xml:space="preserve"> the impact of these forces on HSBC's international strategy and operations․ It will preview the main opportunities and threats the bank faces and will critically </w:t>
      </w:r>
      <w:proofErr w:type="spellStart"/>
      <w:r>
        <w:t>analyze</w:t>
      </w:r>
      <w:proofErr w:type="spellEnd"/>
      <w:r>
        <w:t xml:space="preserve"> their implications for HSBC's positioning‚ innovation‚ talent management and competitiveness․ The essay concludes with recommendations․</w:t>
      </w:r>
    </w:p>
    <w:p w14:paraId="60608B0C" w14:textId="77777777" w:rsidR="00B06402" w:rsidRDefault="00AA73F3">
      <w:pPr>
        <w:pStyle w:val="Heading2"/>
        <w:spacing w:before="240" w:after="120"/>
      </w:pPr>
      <w:bookmarkStart w:id="1" w:name="_Toc237472773"/>
      <w:r>
        <w:rPr>
          <w:b/>
          <w:bCs/>
        </w:rPr>
        <w:t>Opportunities and Challenges</w:t>
      </w:r>
      <w:bookmarkEnd w:id="1"/>
    </w:p>
    <w:p w14:paraId="44C75938" w14:textId="676C3855" w:rsidR="00A438F6" w:rsidRDefault="00A438F6" w:rsidP="00A438F6">
      <w:pPr>
        <w:spacing w:after="200" w:line="360" w:lineRule="auto"/>
        <w:jc w:val="both"/>
      </w:pPr>
      <w:r>
        <w:t xml:space="preserve">Various opportunities exist for HSBC in the current environment․ Firstly‚ the banking value chain has become further automated as a result of AI‚ opening up new avenues․ HSBC short term investments included an extension of its long-standing partnership with Google Cloud and its first investment into French generative AI firm Mistral‚ with both focused on fraud detection‚ customer service and internal business productivity tools (CIO Dive 2025; IT Pro 2025)․ This and other such investments have been put to use in HSBC's Dynamic Risk Assessment‚ which uses machine learning to detect suspicious transactions with greater accuracy than previous rule based systems‚ and has cut false positive alerts by as much as sixty </w:t>
      </w:r>
      <w:r>
        <w:lastRenderedPageBreak/>
        <w:t>per cent (</w:t>
      </w:r>
      <w:proofErr w:type="spellStart"/>
      <w:r>
        <w:t>Aldasoro</w:t>
      </w:r>
      <w:proofErr w:type="spellEnd"/>
      <w:r>
        <w:t xml:space="preserve"> et al․‚ 2024)․ Second‚ global trade flows are slowly re-centring towards Asia and the Middle East‚ which plays to HSBC's </w:t>
      </w:r>
      <w:proofErr w:type="spellStart"/>
      <w:r>
        <w:t>strengths․Most</w:t>
      </w:r>
      <w:proofErr w:type="spellEnd"/>
      <w:r>
        <w:t xml:space="preserve"> of HSBC's profits in 2024 were generated in Asia‚ and the group's unique network in Hong Kong‚ mainland China and ASEAN is a competitive advantage that Western-only banks do not possess (HSBC‚ 2024)․ Third‚ sustainable finance is set to grow rapidly‚ driven by investors‚ corporates and regulators as the global economy moves towards a low-carbon </w:t>
      </w:r>
      <w:proofErr w:type="spellStart"/>
      <w:r>
        <w:t>economy․HSBC's</w:t>
      </w:r>
      <w:proofErr w:type="spellEnd"/>
      <w:r>
        <w:t xml:space="preserve"> goal of easing up to $1 trillion of sustainable finance by 2030 would make it one of the big market intermediaries in this global economic transition (HSBC‚ 2025)․</w:t>
      </w:r>
    </w:p>
    <w:p w14:paraId="2EB69AC0" w14:textId="13534C39" w:rsidR="00A438F6" w:rsidRDefault="00A438F6" w:rsidP="00A438F6">
      <w:pPr>
        <w:spacing w:after="200" w:line="360" w:lineRule="auto"/>
        <w:jc w:val="both"/>
      </w:pPr>
      <w:r>
        <w:t xml:space="preserve">The Red Sea shipping crisis caused by Houthi attacks on cargo ships resulting in around 70% of container traffic around the Cape of Good Hope in 2024 and shipping times of around 2 weeks was compounded by war-risk insurance increases of more than 200% in 2024 (International Transport Forum‚ 2024)․ Maritime insurance underwriters increased the price of war-risk insurance further increasing the cost of trade to the clientele of HSBC․ This has immediate impacts on HSBC's trade finance </w:t>
      </w:r>
      <w:proofErr w:type="spellStart"/>
      <w:r>
        <w:t>business‚since</w:t>
      </w:r>
      <w:proofErr w:type="spellEnd"/>
      <w:r>
        <w:t xml:space="preserve"> delays to shipments typically increase the working-capital cycle and credit risk‚ particularly in emerging markets where trade participants have low margins․</w:t>
      </w:r>
    </w:p>
    <w:p w14:paraId="3B1B0CFD" w14:textId="2E5B96B0" w:rsidR="00B06402" w:rsidRDefault="00A438F6" w:rsidP="00A438F6">
      <w:pPr>
        <w:spacing w:after="200" w:line="360" w:lineRule="auto"/>
        <w:jc w:val="both"/>
      </w:pPr>
      <w:r>
        <w:t>China and Taiwan also pose a more serious geopolitical risk․ HSBC has its largest geographic exposure to Hong Kong‚ and recently started to increase its stake in the local Hang Seng Bank (Reuters‚ 2025)․ A military conflict would halt trade payments and custody chains‚ trigger a wave of sanctions‚ and generate dual-loyalty stress considered similar to what HSBC has faced from Hong Kong's national security law․ Meanwhile‚ the CSRD sets new and wide-ranging requirements for reporting sustainability information (including up to date and audited information) compared to previous regulations‚ such as the NFRD‚ including on Scope 3 emissions‚ and the principle of double materiality (EFRAG‚ 2023; European Commission‚ 2024)․ The compliance costs are expected to be tens of millions of euros per year for large multinational groups and they face reputational risk if they fail to hit their targets (KPMG‚ 2024)․</w:t>
      </w:r>
    </w:p>
    <w:p w14:paraId="17CE1C88" w14:textId="77777777" w:rsidR="00B06402" w:rsidRDefault="00AA73F3">
      <w:pPr>
        <w:pStyle w:val="Heading2"/>
        <w:spacing w:before="240" w:after="120"/>
      </w:pPr>
      <w:bookmarkStart w:id="2" w:name="_Toc237472774"/>
      <w:r>
        <w:rPr>
          <w:b/>
          <w:bCs/>
        </w:rPr>
        <w:t>Impact on the Organisation</w:t>
      </w:r>
      <w:bookmarkEnd w:id="2"/>
    </w:p>
    <w:p w14:paraId="677CE790" w14:textId="762E1BB6" w:rsidR="002D19C8" w:rsidRDefault="002D19C8" w:rsidP="002D19C8">
      <w:pPr>
        <w:spacing w:after="200" w:line="360" w:lineRule="auto"/>
        <w:jc w:val="both"/>
      </w:pPr>
      <w:r>
        <w:t xml:space="preserve">These drivers are changing HSBC's business positioning․ After taking over in September 2024‚ CEO Georges Elhedery announced HSBC's largest restructuring in over 10 years‚ with all businesses organized into four units: Hong Kong‚ UK‚ Corporate and Institutional Banking and Wealth Banking (Bloomberg‚ 2024; </w:t>
      </w:r>
      <w:proofErr w:type="spellStart"/>
      <w:r>
        <w:t>FinanceAsia</w:t>
      </w:r>
      <w:proofErr w:type="spellEnd"/>
      <w:r>
        <w:t xml:space="preserve">‚ 2024)․ At the same time‚ the bank has </w:t>
      </w:r>
      <w:r>
        <w:lastRenderedPageBreak/>
        <w:t xml:space="preserve">exited non-core Western markets like US retail and business banking and the French retail arm‚ and is understood to be reviewing further disposals (S&amp;P Global‚ 2025)․ The direction of travel is clear: a deliberate concentration on Asia and wealth </w:t>
      </w:r>
      <w:proofErr w:type="spellStart"/>
      <w:r>
        <w:t>management‚in</w:t>
      </w:r>
      <w:proofErr w:type="spellEnd"/>
      <w:r>
        <w:t xml:space="preserve"> the belief that regional growth and rising wealth creation will outweigh the reputational and political risks associated with proximity to Beijing․ Critics suggested this would have the effect of narrowing HSBC's customary 'global bank' identity‚ leaving it more exposed in one geopolitical scenario (Naked Capitalism‚ 2021)․</w:t>
      </w:r>
    </w:p>
    <w:p w14:paraId="3DCC5E06" w14:textId="77777777" w:rsidR="002D19C8" w:rsidRDefault="002D19C8" w:rsidP="002D19C8">
      <w:pPr>
        <w:spacing w:after="200" w:line="360" w:lineRule="auto"/>
        <w:jc w:val="both"/>
      </w:pPr>
      <w:r>
        <w:t>Though innovation is a related but separate area of impact‚ HSBC has moved from 'small test and learn' to generative AI being a 'leading investment area' and providing internal training and copilots for coders and relationship managers (Yahoo Finance‚ 2025)․ Innovation in banking is not just about a set of tools to adopt․ It also requires a culture change and governance framework to reduce model risk owing to AI․ Issues include bias in training data‚ hallucinated responses and a reluctance to share the logic of machine-learning responses with regulators (</w:t>
      </w:r>
      <w:proofErr w:type="spellStart"/>
      <w:r>
        <w:t>Aldasoro</w:t>
      </w:r>
      <w:proofErr w:type="spellEnd"/>
      <w:r>
        <w:t xml:space="preserve"> et al․‚ 2024)․ This is a problem that HSBC shares with peers such as JPMorgan and Barclays but competitive advantage can easily tip into reputational risk․</w:t>
      </w:r>
    </w:p>
    <w:p w14:paraId="737061A1" w14:textId="61EA0CC7" w:rsidR="00B06402" w:rsidRDefault="002D19C8" w:rsidP="002D19C8">
      <w:pPr>
        <w:spacing w:after="200" w:line="360" w:lineRule="auto"/>
        <w:jc w:val="both"/>
      </w:pPr>
      <w:r>
        <w:t xml:space="preserve">Talent management is changing too․ Artificial intelligence-augmented workflow is changing the skill profile of the bank․ There is increased demand for data engineers‚ model risk professionals and prompt engineers․ Meanwhile‚ some back office roles have been consolidated or eliminated (World Economic Forum‚ 2024)․ The Asia pivot also means competing for the best staff with banks in Hong Kong and </w:t>
      </w:r>
      <w:proofErr w:type="spellStart"/>
      <w:r>
        <w:t>Singapore․Local</w:t>
      </w:r>
      <w:proofErr w:type="spellEnd"/>
      <w:r>
        <w:t xml:space="preserve"> banks‚ like DBS and Standard Chartered‚ are aggressively hiring for these roles․ There is another opportunity and a threat on competitiveness․ HSBC's leadership in sustainable finance is a competitive advantage for its corporate banking business․ Its decision to move its target year to achieve net-zero operations from 2030 to 2050 has drawn criticism from investors and civil society organizations (ESG Dive‚ 2025)‚ and whether this prudential move will ultimately improve brand loyalty or be a reputational liability remains to be seen․</w:t>
      </w:r>
    </w:p>
    <w:p w14:paraId="395E4D95" w14:textId="77777777" w:rsidR="00B06402" w:rsidRDefault="00AA73F3">
      <w:pPr>
        <w:pStyle w:val="Heading2"/>
        <w:spacing w:before="240" w:after="120"/>
      </w:pPr>
      <w:bookmarkStart w:id="3" w:name="_Toc237472775"/>
      <w:r>
        <w:rPr>
          <w:b/>
          <w:bCs/>
        </w:rPr>
        <w:t>Strategic Recommendations</w:t>
      </w:r>
      <w:bookmarkEnd w:id="3"/>
    </w:p>
    <w:p w14:paraId="3D2208E8" w14:textId="77777777" w:rsidR="002D19C8" w:rsidRDefault="002D19C8" w:rsidP="002D19C8">
      <w:pPr>
        <w:spacing w:after="200" w:line="360" w:lineRule="auto"/>
        <w:jc w:val="both"/>
      </w:pPr>
      <w:r>
        <w:t>A number of practical responses follow․ HSBC should continue to invest in AI but with clear governance and explainability requirements from the outset‚ given‚ for example‚ that regulators (</w:t>
      </w:r>
      <w:proofErr w:type="spellStart"/>
      <w:r>
        <w:t>e․g</w:t>
      </w:r>
      <w:proofErr w:type="spellEnd"/>
      <w:r>
        <w:t xml:space="preserve">․‚ the UK Financial Conduct Authority) are moving to a principles-based approach to AI regulation (FCA‚ 2024)․ Focusing on smaller numbers of use cases that provide </w:t>
      </w:r>
      <w:r>
        <w:lastRenderedPageBreak/>
        <w:t>measurable return on investment rather than 'AI everywhere' might yield more sustainable outcomes and retain consumer trust․</w:t>
      </w:r>
    </w:p>
    <w:p w14:paraId="5DBC879E" w14:textId="6937D03D" w:rsidR="002D19C8" w:rsidRDefault="002D19C8" w:rsidP="002D19C8">
      <w:pPr>
        <w:spacing w:after="200" w:line="360" w:lineRule="auto"/>
        <w:jc w:val="both"/>
      </w:pPr>
      <w:proofErr w:type="spellStart"/>
      <w:r>
        <w:t>Second‚it</w:t>
      </w:r>
      <w:proofErr w:type="spellEnd"/>
      <w:r>
        <w:t xml:space="preserve"> should continue to selectively diversify geographically within its Asia focus by building out the ASEAN and Middle East corridors (less strictly tied to any one China/Taiwan outcome)․ In this regard‚ the bank's recent expansion of investment banking to Saudi Arabia and the UAE is a step in the right direction‚ as are potential alliances with domestic banks in Vietnam‚ Indonesia and India (</w:t>
      </w:r>
      <w:proofErr w:type="spellStart"/>
      <w:r>
        <w:t>Barchart</w:t>
      </w:r>
      <w:proofErr w:type="spellEnd"/>
      <w:r>
        <w:t>‚ 2025)․</w:t>
      </w:r>
    </w:p>
    <w:p w14:paraId="6E02FC9C" w14:textId="3D92D54A" w:rsidR="00B06402" w:rsidRDefault="002D19C8" w:rsidP="002D19C8">
      <w:pPr>
        <w:spacing w:after="200" w:line="360" w:lineRule="auto"/>
        <w:jc w:val="both"/>
      </w:pPr>
      <w:r>
        <w:t xml:space="preserve">Third‚ on sustainability‚ HSBC should use the CSRD not just as a compliance requirement but a competitive </w:t>
      </w:r>
      <w:proofErr w:type="spellStart"/>
      <w:r>
        <w:t>opportunity․By</w:t>
      </w:r>
      <w:proofErr w:type="spellEnd"/>
      <w:r>
        <w:t xml:space="preserve"> investing ahead of time in high-quality Scope 3 data infrastructure and by working with its corporate clients to create credible transition plans‚ HSBC could become the preferred partner in the global net-zero economy (KPMG‚ 2024)․And finally it can use its position to develop insurance and hedging products to offer to clients‚ which could turn the operational risk of Red Sea-type disruption into a money-making service for the bank‚ as well as strengthen relationships with mid-sized exporters‚ who are currently underserved by banks in this area․</w:t>
      </w:r>
    </w:p>
    <w:p w14:paraId="03A1E29D" w14:textId="77777777" w:rsidR="00B06402" w:rsidRDefault="00AA73F3">
      <w:pPr>
        <w:pStyle w:val="Heading2"/>
        <w:spacing w:before="240" w:after="120"/>
      </w:pPr>
      <w:bookmarkStart w:id="4" w:name="_Toc237472776"/>
      <w:r>
        <w:rPr>
          <w:b/>
          <w:bCs/>
        </w:rPr>
        <w:t>Conclusion</w:t>
      </w:r>
      <w:bookmarkEnd w:id="4"/>
    </w:p>
    <w:p w14:paraId="747F50E9" w14:textId="56031F40" w:rsidR="00B06402" w:rsidRDefault="002D19C8">
      <w:pPr>
        <w:spacing w:after="200" w:line="360" w:lineRule="auto"/>
        <w:jc w:val="both"/>
      </w:pPr>
      <w:r w:rsidRPr="002D19C8">
        <w:t xml:space="preserve">In summary‚ the rise of AI‚ geopolitics and sustainability transformation are reshaping the business models of global corporations and HSBC is well placed to benefit from the shift in global economic power to Asia‚ and the growth in demand for sustainable finance․ HSBC is also making serious investment in AI․ Its concentration in Hong Kong and mainland China makes it more vulnerable to geopolitical disruption‚ and any backtracking from interim climate targets could pose a potential reputational </w:t>
      </w:r>
      <w:proofErr w:type="spellStart"/>
      <w:r w:rsidRPr="002D19C8">
        <w:t>risk․This</w:t>
      </w:r>
      <w:proofErr w:type="spellEnd"/>
      <w:r w:rsidRPr="002D19C8">
        <w:t xml:space="preserve"> kind of understanding‚ therefore‚ is not only important to HSBC itself‚ but to any international company operating in the present global environment․ The ability to combine flexible strategy with the management of interrelated forms of risk has arguably become the essence of successful global competition․</w:t>
      </w:r>
    </w:p>
    <w:p w14:paraId="40984DE7" w14:textId="77777777" w:rsidR="002D19C8" w:rsidRDefault="002D19C8">
      <w:pPr>
        <w:spacing w:after="200" w:line="360" w:lineRule="auto"/>
        <w:jc w:val="both"/>
      </w:pPr>
    </w:p>
    <w:p w14:paraId="24290103" w14:textId="77777777" w:rsidR="002D19C8" w:rsidRDefault="002D19C8">
      <w:pPr>
        <w:spacing w:after="200" w:line="360" w:lineRule="auto"/>
        <w:jc w:val="both"/>
      </w:pPr>
    </w:p>
    <w:p w14:paraId="614F3FB6" w14:textId="77777777" w:rsidR="002D19C8" w:rsidRDefault="002D19C8">
      <w:pPr>
        <w:spacing w:after="200" w:line="360" w:lineRule="auto"/>
        <w:jc w:val="both"/>
      </w:pPr>
    </w:p>
    <w:p w14:paraId="485FC5AC" w14:textId="77777777" w:rsidR="002D19C8" w:rsidRDefault="002D19C8">
      <w:pPr>
        <w:spacing w:after="200" w:line="360" w:lineRule="auto"/>
        <w:jc w:val="both"/>
      </w:pPr>
    </w:p>
    <w:p w14:paraId="534FFD78" w14:textId="77777777" w:rsidR="00B06402" w:rsidRDefault="00AA73F3">
      <w:pPr>
        <w:pStyle w:val="Heading2"/>
        <w:spacing w:before="240" w:after="120"/>
      </w:pPr>
      <w:bookmarkStart w:id="5" w:name="_Toc237472777"/>
      <w:r>
        <w:rPr>
          <w:b/>
          <w:bCs/>
        </w:rPr>
        <w:lastRenderedPageBreak/>
        <w:t>References</w:t>
      </w:r>
      <w:bookmarkEnd w:id="5"/>
    </w:p>
    <w:p w14:paraId="3EBBC421" w14:textId="77777777" w:rsidR="00B06402" w:rsidRDefault="00AA73F3">
      <w:pPr>
        <w:spacing w:after="160" w:line="360" w:lineRule="auto"/>
        <w:ind w:left="720" w:hanging="720"/>
      </w:pPr>
      <w:proofErr w:type="spellStart"/>
      <w:r>
        <w:t>Aldasoro</w:t>
      </w:r>
      <w:proofErr w:type="spellEnd"/>
      <w:r>
        <w:t>, I., Gambacorta, L., Korinek, A., Shreeti, V. and Stein, M. (2024) 'Intelligent financial system: how AI is transforming finance', BIS Working Papers, No. 1194. Basel: Bank for International Settlements.</w:t>
      </w:r>
    </w:p>
    <w:p w14:paraId="445FF02B" w14:textId="77777777" w:rsidR="00B06402" w:rsidRDefault="00AA73F3">
      <w:pPr>
        <w:spacing w:after="160" w:line="360" w:lineRule="auto"/>
        <w:ind w:left="720" w:hanging="720"/>
      </w:pPr>
      <w:proofErr w:type="spellStart"/>
      <w:r>
        <w:t>Barchart</w:t>
      </w:r>
      <w:proofErr w:type="spellEnd"/>
      <w:r>
        <w:t xml:space="preserve"> (2025) HSBC intends to expand IB operations in Middle East, Asia amid revamp. Available at: https://www.barchart.com (Accessed: 20 July 2026).</w:t>
      </w:r>
    </w:p>
    <w:p w14:paraId="2F8D74B8" w14:textId="77777777" w:rsidR="00B06402" w:rsidRDefault="00AA73F3">
      <w:pPr>
        <w:spacing w:after="160" w:line="360" w:lineRule="auto"/>
        <w:ind w:left="720" w:hanging="720"/>
      </w:pPr>
      <w:r>
        <w:t>Bloomberg (2024) HSBC kicks off biggest restructuring in a decade under new CEO. Available at: https://www.bloomberg.com (Accessed: 22 October 2024).</w:t>
      </w:r>
    </w:p>
    <w:p w14:paraId="60C37B2D" w14:textId="77777777" w:rsidR="00B06402" w:rsidRDefault="00AA73F3">
      <w:pPr>
        <w:spacing w:after="160" w:line="360" w:lineRule="auto"/>
        <w:ind w:left="720" w:hanging="720"/>
      </w:pPr>
      <w:r>
        <w:t>CIO Dive (2025) HSBC names generative AI a leading investment area. Available at: https://www.ciodive.com (Accessed: 4 March 2025).</w:t>
      </w:r>
    </w:p>
    <w:p w14:paraId="4659605D" w14:textId="77777777" w:rsidR="00B06402" w:rsidRDefault="00AA73F3">
      <w:pPr>
        <w:spacing w:after="160" w:line="360" w:lineRule="auto"/>
        <w:ind w:left="720" w:hanging="720"/>
      </w:pPr>
      <w:r>
        <w:t>EFRAG (2023) European Sustainability Reporting Standards. Brussels: European Financial Reporting Advisory Group.</w:t>
      </w:r>
    </w:p>
    <w:p w14:paraId="6DD2A2A7" w14:textId="77777777" w:rsidR="00B06402" w:rsidRDefault="00AA73F3">
      <w:pPr>
        <w:spacing w:after="160" w:line="360" w:lineRule="auto"/>
        <w:ind w:left="720" w:hanging="720"/>
      </w:pPr>
      <w:r>
        <w:t>ESG Dive (2025) HSBC waters down interim targets in updated net-zero transition plan. Available at: https://www.esgdive.com (Accessed: 6 November 2025).</w:t>
      </w:r>
    </w:p>
    <w:p w14:paraId="44B6DCD3" w14:textId="77777777" w:rsidR="00B06402" w:rsidRDefault="00AA73F3">
      <w:pPr>
        <w:spacing w:after="160" w:line="360" w:lineRule="auto"/>
        <w:ind w:left="720" w:hanging="720"/>
      </w:pPr>
      <w:r>
        <w:t>European Commission (2024) Corporate Sustainability Reporting Directive: Implementation Guidance. Brussels: European Commission.</w:t>
      </w:r>
    </w:p>
    <w:p w14:paraId="364263BE" w14:textId="77777777" w:rsidR="00B06402" w:rsidRDefault="00AA73F3">
      <w:pPr>
        <w:spacing w:after="160" w:line="360" w:lineRule="auto"/>
        <w:ind w:left="720" w:hanging="720"/>
      </w:pPr>
      <w:r>
        <w:t>FCA (2024) AI Update. London: Financial Conduct Authority.</w:t>
      </w:r>
    </w:p>
    <w:p w14:paraId="2BF948BD" w14:textId="77777777" w:rsidR="00B06402" w:rsidRDefault="00AA73F3">
      <w:pPr>
        <w:spacing w:after="160" w:line="360" w:lineRule="auto"/>
        <w:ind w:left="720" w:hanging="720"/>
      </w:pPr>
      <w:proofErr w:type="spellStart"/>
      <w:r>
        <w:t>FinanceAsia</w:t>
      </w:r>
      <w:proofErr w:type="spellEnd"/>
      <w:r>
        <w:t xml:space="preserve"> (2024) HSBC to restructure into four units; appoints CFO. Available at: https://www.financeasia.com (Accessed: 23 October 2024).</w:t>
      </w:r>
    </w:p>
    <w:p w14:paraId="156856E6" w14:textId="77777777" w:rsidR="00B06402" w:rsidRDefault="00AA73F3">
      <w:pPr>
        <w:spacing w:after="160" w:line="360" w:lineRule="auto"/>
        <w:ind w:left="720" w:hanging="720"/>
      </w:pPr>
      <w:r>
        <w:t xml:space="preserve">Hill, C.W.L. and Hult, G.T.M. (2023) Global Business Today. 12th </w:t>
      </w:r>
      <w:proofErr w:type="spellStart"/>
      <w:r>
        <w:t>edn</w:t>
      </w:r>
      <w:proofErr w:type="spellEnd"/>
      <w:r>
        <w:t>. New York: McGraw-Hill.</w:t>
      </w:r>
    </w:p>
    <w:p w14:paraId="5EDA8008" w14:textId="77777777" w:rsidR="00B06402" w:rsidRDefault="00AA73F3">
      <w:pPr>
        <w:spacing w:after="160" w:line="360" w:lineRule="auto"/>
        <w:ind w:left="720" w:hanging="720"/>
      </w:pPr>
      <w:r>
        <w:t>The Economist (2023) The steam has gone out of globalisation. Available at: https://www.economist.com (Accessed: 24 January 2023).</w:t>
      </w:r>
    </w:p>
    <w:p w14:paraId="7F6EA1DF" w14:textId="77777777" w:rsidR="00B06402" w:rsidRDefault="00AA73F3">
      <w:pPr>
        <w:spacing w:after="160" w:line="360" w:lineRule="auto"/>
        <w:ind w:left="720" w:hanging="720"/>
      </w:pPr>
      <w:r>
        <w:t>HSBC (2024) Annual Report and Accounts 2024. London: HSBC Holdings plc.</w:t>
      </w:r>
    </w:p>
    <w:p w14:paraId="5244E896" w14:textId="77777777" w:rsidR="00B06402" w:rsidRDefault="00AA73F3">
      <w:pPr>
        <w:spacing w:after="160" w:line="360" w:lineRule="auto"/>
        <w:ind w:left="720" w:hanging="720"/>
      </w:pPr>
      <w:r>
        <w:t>HSBC (2025) Net Zero Transition Plan 2025. London: HSBC Holdings plc.</w:t>
      </w:r>
    </w:p>
    <w:p w14:paraId="389BB702" w14:textId="77777777" w:rsidR="00B06402" w:rsidRDefault="00AA73F3">
      <w:pPr>
        <w:spacing w:after="160" w:line="360" w:lineRule="auto"/>
        <w:ind w:left="720" w:hanging="720"/>
      </w:pPr>
      <w:r>
        <w:t>International Transport Forum (2024) The Red Sea Crisis: Impacts on Global Shipping. Paris: OECD/ITF.</w:t>
      </w:r>
    </w:p>
    <w:p w14:paraId="48C88C83" w14:textId="77777777" w:rsidR="00B06402" w:rsidRDefault="00AA73F3">
      <w:pPr>
        <w:spacing w:after="160" w:line="360" w:lineRule="auto"/>
        <w:ind w:left="720" w:hanging="720"/>
      </w:pPr>
      <w:r>
        <w:lastRenderedPageBreak/>
        <w:t>IT Pro (2025) HSBC partners with Mistral to fuel bank-wide generative AI adoption. Available at: https://www.itpro.com (Accessed: 12 May 2025).</w:t>
      </w:r>
    </w:p>
    <w:p w14:paraId="50C34DB0" w14:textId="77777777" w:rsidR="00B06402" w:rsidRDefault="00AA73F3">
      <w:pPr>
        <w:spacing w:after="160" w:line="360" w:lineRule="auto"/>
        <w:ind w:left="720" w:hanging="720"/>
      </w:pPr>
      <w:r>
        <w:t>KPMG (2024) Getting Ready for CSRD: A Guide for International Groups. Amsterdam: KPMG International.</w:t>
      </w:r>
    </w:p>
    <w:p w14:paraId="6F883971" w14:textId="77777777" w:rsidR="00B06402" w:rsidRDefault="00AA73F3">
      <w:pPr>
        <w:spacing w:after="160" w:line="360" w:lineRule="auto"/>
        <w:ind w:left="720" w:hanging="720"/>
      </w:pPr>
      <w:r>
        <w:t>Naked Capitalism (2021) HSBC bet the bank on China, now it's paying the price. Available at: https://www.nakedcapitalism.com (Accessed: 30 September 2021).</w:t>
      </w:r>
    </w:p>
    <w:p w14:paraId="5810A274" w14:textId="77777777" w:rsidR="00B06402" w:rsidRDefault="00AA73F3">
      <w:pPr>
        <w:spacing w:after="160" w:line="360" w:lineRule="auto"/>
        <w:ind w:left="720" w:hanging="720"/>
      </w:pPr>
      <w:r>
        <w:t>Reuters (2025) HSBC's global brand in the balance as it doubles down on Asia bet. Available at: https://www.reuters.com (Accessed: 10 January 2025).</w:t>
      </w:r>
    </w:p>
    <w:p w14:paraId="11352678" w14:textId="77777777" w:rsidR="00B06402" w:rsidRDefault="00AA73F3">
      <w:pPr>
        <w:spacing w:after="160" w:line="360" w:lineRule="auto"/>
        <w:ind w:left="720" w:hanging="720"/>
      </w:pPr>
      <w:r>
        <w:t>S&amp;P Global (2025) HSBC's revamp affirms pivot to Asia, aids future growth in wealth management. Available at: https://www.spglobal.com (Accessed: 8 April 2025).</w:t>
      </w:r>
    </w:p>
    <w:p w14:paraId="3F117367" w14:textId="77777777" w:rsidR="00B06402" w:rsidRDefault="00AA73F3">
      <w:pPr>
        <w:spacing w:after="160" w:line="360" w:lineRule="auto"/>
        <w:ind w:left="720" w:hanging="720"/>
      </w:pPr>
      <w:r>
        <w:t>UNCTAD (2024) World Investment Report 2024. Geneva: United Nations Conference on Trade and Development.</w:t>
      </w:r>
    </w:p>
    <w:p w14:paraId="1B851DE6" w14:textId="77777777" w:rsidR="00B06402" w:rsidRDefault="00AA73F3">
      <w:pPr>
        <w:spacing w:after="160" w:line="360" w:lineRule="auto"/>
        <w:ind w:left="720" w:hanging="720"/>
      </w:pPr>
      <w:r>
        <w:t>World Economic Forum (2024) Future of Jobs Report 2024. Geneva: World Economic Forum.</w:t>
      </w:r>
    </w:p>
    <w:p w14:paraId="5CD8AE1C" w14:textId="77777777" w:rsidR="00B06402" w:rsidRDefault="00AA73F3">
      <w:pPr>
        <w:spacing w:after="160" w:line="360" w:lineRule="auto"/>
        <w:ind w:left="720" w:hanging="720"/>
      </w:pPr>
      <w:r>
        <w:t>Yahoo Finance (2025) HSBC names generative AI a leading investment area. Available at: https://finance.yahoo.com (Accessed: 4 March 2025).</w:t>
      </w:r>
    </w:p>
    <w:sectPr w:rsidR="00B06402">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87B53" w14:textId="77777777" w:rsidR="00AB490F" w:rsidRDefault="00AB490F">
      <w:r>
        <w:separator/>
      </w:r>
    </w:p>
  </w:endnote>
  <w:endnote w:type="continuationSeparator" w:id="0">
    <w:p w14:paraId="50754375" w14:textId="77777777" w:rsidR="00AB490F" w:rsidRDefault="00AB49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F9C7B" w14:textId="77777777" w:rsidR="00B06402" w:rsidRDefault="00AA73F3">
    <w:pPr>
      <w:jc w:val="center"/>
    </w:pPr>
    <w:r>
      <w:rPr>
        <w:sz w:val="20"/>
        <w:szCs w:val="20"/>
      </w:rPr>
      <w:fldChar w:fldCharType="begin"/>
    </w:r>
    <w:r>
      <w:rPr>
        <w:sz w:val="20"/>
        <w:szCs w:val="20"/>
      </w:rPr>
      <w:instrText>PAGE</w:instrText>
    </w:r>
    <w:r>
      <w:rPr>
        <w:sz w:val="20"/>
        <w:szCs w:val="20"/>
      </w:rPr>
      <w:fldChar w:fldCharType="separate"/>
    </w:r>
    <w:r w:rsidR="00F07E0B">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6C581F" w14:textId="77777777" w:rsidR="00AB490F" w:rsidRDefault="00AB490F">
      <w:r>
        <w:separator/>
      </w:r>
    </w:p>
  </w:footnote>
  <w:footnote w:type="continuationSeparator" w:id="0">
    <w:p w14:paraId="51DDFDAF" w14:textId="77777777" w:rsidR="00AB490F" w:rsidRDefault="00AB49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6E06E3"/>
    <w:multiLevelType w:val="hybridMultilevel"/>
    <w:tmpl w:val="A5F8B0CA"/>
    <w:lvl w:ilvl="0" w:tplc="C712A88A">
      <w:start w:val="1"/>
      <w:numFmt w:val="bullet"/>
      <w:lvlText w:val="●"/>
      <w:lvlJc w:val="left"/>
      <w:pPr>
        <w:ind w:left="720" w:hanging="360"/>
      </w:pPr>
    </w:lvl>
    <w:lvl w:ilvl="1" w:tplc="3A1A6A66">
      <w:start w:val="1"/>
      <w:numFmt w:val="bullet"/>
      <w:lvlText w:val="○"/>
      <w:lvlJc w:val="left"/>
      <w:pPr>
        <w:ind w:left="1440" w:hanging="360"/>
      </w:pPr>
    </w:lvl>
    <w:lvl w:ilvl="2" w:tplc="442CD4C2">
      <w:start w:val="1"/>
      <w:numFmt w:val="bullet"/>
      <w:lvlText w:val="■"/>
      <w:lvlJc w:val="left"/>
      <w:pPr>
        <w:ind w:left="2160" w:hanging="360"/>
      </w:pPr>
    </w:lvl>
    <w:lvl w:ilvl="3" w:tplc="C2BC26FE">
      <w:start w:val="1"/>
      <w:numFmt w:val="bullet"/>
      <w:lvlText w:val="●"/>
      <w:lvlJc w:val="left"/>
      <w:pPr>
        <w:ind w:left="2880" w:hanging="360"/>
      </w:pPr>
    </w:lvl>
    <w:lvl w:ilvl="4" w:tplc="6944E402">
      <w:start w:val="1"/>
      <w:numFmt w:val="bullet"/>
      <w:lvlText w:val="○"/>
      <w:lvlJc w:val="left"/>
      <w:pPr>
        <w:ind w:left="3600" w:hanging="360"/>
      </w:pPr>
    </w:lvl>
    <w:lvl w:ilvl="5" w:tplc="E3DE3ADA">
      <w:start w:val="1"/>
      <w:numFmt w:val="bullet"/>
      <w:lvlText w:val="■"/>
      <w:lvlJc w:val="left"/>
      <w:pPr>
        <w:ind w:left="4320" w:hanging="360"/>
      </w:pPr>
    </w:lvl>
    <w:lvl w:ilvl="6" w:tplc="4F642AB8">
      <w:start w:val="1"/>
      <w:numFmt w:val="bullet"/>
      <w:lvlText w:val="●"/>
      <w:lvlJc w:val="left"/>
      <w:pPr>
        <w:ind w:left="5040" w:hanging="360"/>
      </w:pPr>
    </w:lvl>
    <w:lvl w:ilvl="7" w:tplc="594C1E7E">
      <w:start w:val="1"/>
      <w:numFmt w:val="bullet"/>
      <w:lvlText w:val="●"/>
      <w:lvlJc w:val="left"/>
      <w:pPr>
        <w:ind w:left="5760" w:hanging="360"/>
      </w:pPr>
    </w:lvl>
    <w:lvl w:ilvl="8" w:tplc="136EB144">
      <w:start w:val="1"/>
      <w:numFmt w:val="bullet"/>
      <w:lvlText w:val="●"/>
      <w:lvlJc w:val="left"/>
      <w:pPr>
        <w:ind w:left="6480" w:hanging="360"/>
      </w:pPr>
    </w:lvl>
  </w:abstractNum>
  <w:num w:numId="1" w16cid:durableId="47946691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402"/>
    <w:rsid w:val="002D19C8"/>
    <w:rsid w:val="00741A11"/>
    <w:rsid w:val="00765111"/>
    <w:rsid w:val="00A438F6"/>
    <w:rsid w:val="00AA73F3"/>
    <w:rsid w:val="00AB490F"/>
    <w:rsid w:val="00B06402"/>
    <w:rsid w:val="00F07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1C59B"/>
  <w15:docId w15:val="{AC4E3082-3A16-4DDF-96E5-AF7BAC74C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765111"/>
    <w:rPr>
      <w:rFonts w:asciiTheme="minorHAnsi" w:eastAsiaTheme="minorEastAsia" w:hAnsiTheme="minorHAnsi" w:cstheme="minorBidi"/>
      <w:sz w:val="20"/>
      <w:szCs w:val="20"/>
      <w:lang w:eastAsia="en-US"/>
    </w:rPr>
  </w:style>
  <w:style w:type="character" w:customStyle="1" w:styleId="NoSpacingChar">
    <w:name w:val="No Spacing Char"/>
    <w:basedOn w:val="DefaultParagraphFont"/>
    <w:link w:val="NoSpacing"/>
    <w:uiPriority w:val="1"/>
    <w:rsid w:val="00765111"/>
    <w:rPr>
      <w:rFonts w:asciiTheme="minorHAnsi" w:eastAsiaTheme="minorEastAsia" w:hAnsiTheme="minorHAnsi" w:cstheme="minorBidi"/>
      <w:sz w:val="20"/>
      <w:szCs w:val="20"/>
      <w:lang w:eastAsia="en-US"/>
    </w:rPr>
  </w:style>
  <w:style w:type="paragraph" w:styleId="TOCHeading">
    <w:name w:val="TOC Heading"/>
    <w:basedOn w:val="Heading1"/>
    <w:next w:val="Normal"/>
    <w:uiPriority w:val="39"/>
    <w:unhideWhenUsed/>
    <w:qFormat/>
    <w:rsid w:val="00765111"/>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2">
    <w:name w:val="toc 2"/>
    <w:basedOn w:val="Normal"/>
    <w:next w:val="Normal"/>
    <w:autoRedefine/>
    <w:uiPriority w:val="39"/>
    <w:unhideWhenUsed/>
    <w:rsid w:val="007651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E5FC9DDCB4D4781A7D4941E2E9E397C"/>
        <w:category>
          <w:name w:val="General"/>
          <w:gallery w:val="placeholder"/>
        </w:category>
        <w:types>
          <w:type w:val="bbPlcHdr"/>
        </w:types>
        <w:behaviors>
          <w:behavior w:val="content"/>
        </w:behaviors>
        <w:guid w:val="{F1711D9C-3BD7-4610-A8BA-D4C0AEB48FB5}"/>
      </w:docPartPr>
      <w:docPartBody>
        <w:p w:rsidR="00AE613D" w:rsidRDefault="00A95272" w:rsidP="00A95272">
          <w:pPr>
            <w:pStyle w:val="8E5FC9DDCB4D4781A7D4941E2E9E397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272"/>
    <w:rsid w:val="00741A11"/>
    <w:rsid w:val="00A95272"/>
    <w:rsid w:val="00AE6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5FC9DDCB4D4781A7D4941E2E9E397C">
    <w:name w:val="8E5FC9DDCB4D4781A7D4941E2E9E397C"/>
    <w:rsid w:val="00A952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BF594E-2029-4BB8-9C35-72D9CCC5B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TotalTime>
  <Pages>8</Pages>
  <Words>2019</Words>
  <Characters>11509</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HSBC Global Business Environment Essay</vt:lpstr>
    </vt:vector>
  </TitlesOfParts>
  <Company/>
  <LinksUpToDate>false</LinksUpToDate>
  <CharactersWithSpaces>13501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HSBC Global Business Environment Essay</dc:title>
  <dc:creator>Monika Kitova</dc:creator>
  <cp:lastModifiedBy>Cex Worksop</cp:lastModifiedBy>
  <cp:revision>3</cp:revision>
  <dcterms:created xsi:type="dcterms:W3CDTF">2026-08-12T23:11:00Z</dcterms:created>
  <dcterms:modified xsi:type="dcterms:W3CDTF">2026-08-13T09:36:00Z</dcterms:modified>
</cp:coreProperties>
</file>