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9641629"/>
        <w:docPartObj>
          <w:docPartGallery w:val="Cover Pages"/>
          <w:docPartUnique/>
        </w:docPartObj>
      </w:sdtPr>
      <w:sdtEndPr>
        <w:rPr>
          <w:b/>
          <w:bCs/>
          <w:sz w:val="28"/>
          <w:szCs w:val="28"/>
        </w:rPr>
      </w:sdtEndPr>
      <w:sdtContent>
        <w:p w14:paraId="18D3CFCA" w14:textId="5D8A4C36" w:rsidR="00D0619D" w:rsidRDefault="00404F0F">
          <w:r>
            <w:rPr>
              <w:noProof/>
            </w:rPr>
            <mc:AlternateContent>
              <mc:Choice Requires="wps">
                <w:drawing>
                  <wp:anchor distT="0" distB="0" distL="114300" distR="114300" simplePos="0" relativeHeight="251659264" behindDoc="0" locked="0" layoutInCell="1" allowOverlap="1" wp14:anchorId="75990F5B" wp14:editId="2FA8D8CF">
                    <wp:simplePos x="0" y="0"/>
                    <wp:positionH relativeFrom="page">
                      <wp:posOffset>3326765</wp:posOffset>
                    </wp:positionH>
                    <wp:positionV relativeFrom="page">
                      <wp:posOffset>320675</wp:posOffset>
                    </wp:positionV>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144C5DA" id="Rectangle 261" o:spid="_x0000_s1026" style="position:absolute;margin-left:261.95pt;margin-top:25.2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89959BF" wp14:editId="053DCB5C">
                    <wp:simplePos x="0" y="0"/>
                    <wp:positionH relativeFrom="page">
                      <wp:posOffset>3439795</wp:posOffset>
                    </wp:positionH>
                    <wp:positionV relativeFrom="page">
                      <wp:posOffset>366395</wp:posOffset>
                    </wp:positionV>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14C97D" w14:textId="0A31CA46" w:rsidR="00D0619D" w:rsidRPr="00D0619D" w:rsidRDefault="00000000" w:rsidP="00D0619D">
                                <w:pPr>
                                  <w:spacing w:before="240"/>
                                  <w:jc w:val="center"/>
                                  <w:rPr>
                                    <w:rFonts w:ascii="Agency FB" w:hAnsi="Agency FB"/>
                                    <w:color w:val="D9E2F3" w:themeColor="accent1" w:themeTint="33"/>
                                    <w:sz w:val="24"/>
                                    <w:szCs w:val="24"/>
                                  </w:rPr>
                                </w:pPr>
                                <w:sdt>
                                  <w:sdtPr>
                                    <w:rPr>
                                      <w:rFonts w:ascii="Bell MT" w:hAnsi="Bell MT"/>
                                      <w:color w:val="D9E2F3" w:themeColor="accent1" w:themeTint="33"/>
                                      <w:sz w:val="24"/>
                                      <w:szCs w:val="24"/>
                                    </w:rPr>
                                    <w:alias w:val="Abstract"/>
                                    <w:id w:val="8276291"/>
                                    <w:dataBinding w:prefixMappings="xmlns:ns0='http://schemas.microsoft.com/office/2006/coverPageProps'" w:xpath="/ns0:CoverPageProperties[1]/ns0:Abstract[1]" w:storeItemID="{55AF091B-3C7A-41E3-B477-F2FDAA23CFDA}"/>
                                    <w:text/>
                                  </w:sdtPr>
                                  <w:sdtContent>
                                    <w:r w:rsidR="00D0619D" w:rsidRPr="00E55BE9">
                                      <w:rPr>
                                        <w:rFonts w:ascii="Bell MT" w:hAnsi="Bell MT"/>
                                        <w:color w:val="D9E2F3" w:themeColor="accent1" w:themeTint="33"/>
                                        <w:sz w:val="24"/>
                                        <w:szCs w:val="24"/>
                                      </w:rPr>
                                      <w:t xml:space="preserve">Lecturer: Tomy Adattu Chacko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89959BF" id="Rectangle 259" o:spid="_x0000_s1026" style="position:absolute;margin-left:270.85pt;margin-top:28.8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" fillcolor="#44546a [3215]" stroked="f" strokeweight="1pt">
                    <v:textbox inset="14.4pt,14.4pt,14.4pt,28.8pt">
                      <w:txbxContent>
                        <w:p w14:paraId="2E14C97D" w14:textId="0A31CA46" w:rsidR="00D0619D" w:rsidRPr="00D0619D" w:rsidRDefault="00000000" w:rsidP="00D0619D">
                          <w:pPr>
                            <w:spacing w:before="240"/>
                            <w:jc w:val="center"/>
                            <w:rPr>
                              <w:rFonts w:ascii="Agency FB" w:hAnsi="Agency FB"/>
                              <w:color w:val="D9E2F3" w:themeColor="accent1" w:themeTint="33"/>
                              <w:sz w:val="24"/>
                              <w:szCs w:val="24"/>
                            </w:rPr>
                          </w:pPr>
                          <w:sdt>
                            <w:sdtPr>
                              <w:rPr>
                                <w:rFonts w:ascii="Bell MT" w:hAnsi="Bell MT"/>
                                <w:color w:val="D9E2F3" w:themeColor="accent1" w:themeTint="33"/>
                                <w:sz w:val="24"/>
                                <w:szCs w:val="24"/>
                              </w:rPr>
                              <w:alias w:val="Abstract"/>
                              <w:id w:val="8276291"/>
                              <w:dataBinding w:prefixMappings="xmlns:ns0='http://schemas.microsoft.com/office/2006/coverPageProps'" w:xpath="/ns0:CoverPageProperties[1]/ns0:Abstract[1]" w:storeItemID="{55AF091B-3C7A-41E3-B477-F2FDAA23CFDA}"/>
                              <w:text/>
                            </w:sdtPr>
                            <w:sdtContent>
                              <w:r w:rsidR="00D0619D" w:rsidRPr="00E55BE9">
                                <w:rPr>
                                  <w:rFonts w:ascii="Bell MT" w:hAnsi="Bell MT"/>
                                  <w:color w:val="D9E2F3" w:themeColor="accent1" w:themeTint="33"/>
                                  <w:sz w:val="24"/>
                                  <w:szCs w:val="24"/>
                                </w:rPr>
                                <w:t xml:space="preserve">Lecturer: Tomy Adattu Chacko </w:t>
                              </w:r>
                            </w:sdtContent>
                          </w:sdt>
                        </w:p>
                      </w:txbxContent>
                    </v:textbox>
                    <w10:wrap anchorx="page" anchory="page"/>
                  </v:rect>
                </w:pict>
              </mc:Fallback>
            </mc:AlternateContent>
          </w:r>
          <w:r w:rsidR="00D0619D">
            <w:rPr>
              <w:noProof/>
            </w:rPr>
            <mc:AlternateContent>
              <mc:Choice Requires="wps">
                <w:drawing>
                  <wp:anchor distT="0" distB="0" distL="114300" distR="114300" simplePos="0" relativeHeight="251663360" behindDoc="1" locked="0" layoutInCell="1" allowOverlap="1" wp14:anchorId="64B0EE53" wp14:editId="60E56626">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5E8C685" w14:textId="77777777" w:rsidR="00D0619D" w:rsidRDefault="00D0619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B0EE53"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5E8C685" w14:textId="77777777" w:rsidR="00D0619D" w:rsidRDefault="00D0619D"/>
                      </w:txbxContent>
                    </v:textbox>
                    <w10:wrap anchorx="page" anchory="page"/>
                  </v:rect>
                </w:pict>
              </mc:Fallback>
            </mc:AlternateContent>
          </w:r>
          <w:r w:rsidR="00D0619D">
            <w:rPr>
              <w:noProof/>
            </w:rPr>
            <mc:AlternateContent>
              <mc:Choice Requires="wps">
                <w:drawing>
                  <wp:anchor distT="0" distB="0" distL="114300" distR="114300" simplePos="0" relativeHeight="251661312" behindDoc="0" locked="0" layoutInCell="1" allowOverlap="1" wp14:anchorId="398F96DC" wp14:editId="0CD7CF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Garamond" w:eastAsiaTheme="majorEastAsia" w:hAnsi="Garamond" w:cstheme="majorBidi"/>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161D213" w14:textId="5D395675" w:rsidR="00D0619D" w:rsidRPr="00D0619D" w:rsidRDefault="00D0619D" w:rsidP="00D0619D">
                                    <w:pPr>
                                      <w:jc w:val="center"/>
                                      <w:rPr>
                                        <w:rFonts w:ascii="Garamond" w:eastAsiaTheme="majorEastAsia" w:hAnsi="Garamond" w:cstheme="majorBidi"/>
                                        <w:color w:val="4472C4" w:themeColor="accent1"/>
                                        <w:sz w:val="56"/>
                                        <w:szCs w:val="56"/>
                                      </w:rPr>
                                    </w:pPr>
                                    <w:r w:rsidRPr="00D0619D">
                                      <w:rPr>
                                        <w:rFonts w:ascii="Garamond" w:eastAsiaTheme="majorEastAsia" w:hAnsi="Garamond" w:cstheme="majorBidi"/>
                                        <w:color w:val="4472C4" w:themeColor="accent1"/>
                                        <w:sz w:val="56"/>
                                        <w:szCs w:val="56"/>
                                      </w:rPr>
                                      <w:t>Component 1: Written Report</w:t>
                                    </w:r>
                                  </w:p>
                                </w:sdtContent>
                              </w:sdt>
                              <w:p w14:paraId="40C4DEC5" w14:textId="5B6C7949" w:rsidR="00D0619D" w:rsidRPr="00D0619D" w:rsidRDefault="00000000" w:rsidP="00D0619D">
                                <w:pPr>
                                  <w:jc w:val="center"/>
                                  <w:rPr>
                                    <w:rFonts w:asciiTheme="majorHAnsi" w:eastAsiaTheme="majorEastAsia" w:hAnsiTheme="majorHAnsi" w:cstheme="majorBidi"/>
                                    <w:color w:val="44546A" w:themeColor="text2"/>
                                    <w:sz w:val="28"/>
                                    <w:szCs w:val="28"/>
                                  </w:rPr>
                                </w:pPr>
                                <w:sdt>
                                  <w:sdtPr>
                                    <w:rPr>
                                      <w:rFonts w:asciiTheme="majorHAnsi" w:eastAsiaTheme="majorEastAsia" w:hAnsiTheme="majorHAnsi" w:cstheme="majorBidi"/>
                                      <w:color w:val="44546A"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D0619D" w:rsidRPr="00D0619D">
                                      <w:rPr>
                                        <w:rFonts w:asciiTheme="majorHAnsi" w:eastAsiaTheme="majorEastAsia" w:hAnsiTheme="majorHAnsi" w:cstheme="majorBidi"/>
                                        <w:color w:val="44546A" w:themeColor="text2"/>
                                        <w:sz w:val="28"/>
                                        <w:szCs w:val="28"/>
                                      </w:rPr>
                                      <w:t>Digital Transformation in the Health and Care</w:t>
                                    </w:r>
                                  </w:sdtContent>
                                </w:sdt>
                                <w:r w:rsidR="00D0619D" w:rsidRPr="00D0619D">
                                  <w:rPr>
                                    <w:rFonts w:asciiTheme="majorHAnsi" w:eastAsiaTheme="majorEastAsia" w:hAnsiTheme="majorHAnsi" w:cstheme="majorBidi"/>
                                    <w:color w:val="44546A" w:themeColor="text2"/>
                                    <w:sz w:val="28"/>
                                    <w:szCs w:val="28"/>
                                  </w:rPr>
                                  <w:t xml:space="preserve"> Professions</w:t>
                                </w:r>
                                <w:r w:rsidR="00D0619D">
                                  <w:rPr>
                                    <w:rFonts w:asciiTheme="majorHAnsi" w:eastAsiaTheme="majorEastAsia" w:hAnsiTheme="majorHAnsi" w:cstheme="majorBidi"/>
                                    <w:color w:val="44546A" w:themeColor="text2"/>
                                    <w:sz w:val="28"/>
                                    <w:szCs w:val="28"/>
                                  </w:rPr>
                                  <w:t xml:space="preserve"> </w:t>
                                </w:r>
                                <w:r w:rsidR="00D0619D" w:rsidRPr="00D0619D">
                                  <w:rPr>
                                    <w:rFonts w:asciiTheme="majorHAnsi" w:eastAsiaTheme="majorEastAsia" w:hAnsiTheme="majorHAnsi" w:cstheme="majorBidi"/>
                                    <w:color w:val="44546A" w:themeColor="text2"/>
                                    <w:sz w:val="28"/>
                                    <w:szCs w:val="28"/>
                                  </w:rPr>
                                  <w:t>(BMHP6026)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98F96DC" id="_x0000_t202" coordsize="21600,21600" o:spt="202" path="m,l,21600r21600,l21600,xe">
                    <v:stroke joinstyle="miter"/>
                    <v:path gradientshapeok="t" o:connecttype="rect"/>
                  </v:shapetype>
                  <v:shape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Garamond" w:eastAsiaTheme="majorEastAsia" w:hAnsi="Garamond" w:cstheme="majorBidi"/>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161D213" w14:textId="5D395675" w:rsidR="00D0619D" w:rsidRPr="00D0619D" w:rsidRDefault="00D0619D" w:rsidP="00D0619D">
                              <w:pPr>
                                <w:jc w:val="center"/>
                                <w:rPr>
                                  <w:rFonts w:ascii="Garamond" w:eastAsiaTheme="majorEastAsia" w:hAnsi="Garamond" w:cstheme="majorBidi"/>
                                  <w:color w:val="4472C4" w:themeColor="accent1"/>
                                  <w:sz w:val="56"/>
                                  <w:szCs w:val="56"/>
                                </w:rPr>
                              </w:pPr>
                              <w:r w:rsidRPr="00D0619D">
                                <w:rPr>
                                  <w:rFonts w:ascii="Garamond" w:eastAsiaTheme="majorEastAsia" w:hAnsi="Garamond" w:cstheme="majorBidi"/>
                                  <w:color w:val="4472C4" w:themeColor="accent1"/>
                                  <w:sz w:val="56"/>
                                  <w:szCs w:val="56"/>
                                </w:rPr>
                                <w:t>Component 1: Written Report</w:t>
                              </w:r>
                            </w:p>
                          </w:sdtContent>
                        </w:sdt>
                        <w:p w14:paraId="40C4DEC5" w14:textId="5B6C7949" w:rsidR="00D0619D" w:rsidRPr="00D0619D" w:rsidRDefault="00D0619D" w:rsidP="00D0619D">
                          <w:pPr>
                            <w:jc w:val="center"/>
                            <w:rPr>
                              <w:rFonts w:asciiTheme="majorHAnsi" w:eastAsiaTheme="majorEastAsia" w:hAnsiTheme="majorHAnsi" w:cstheme="majorBidi"/>
                              <w:color w:val="44546A" w:themeColor="text2"/>
                              <w:sz w:val="28"/>
                              <w:szCs w:val="28"/>
                            </w:rPr>
                          </w:pPr>
                          <w:sdt>
                            <w:sdtPr>
                              <w:rPr>
                                <w:rFonts w:asciiTheme="majorHAnsi" w:eastAsiaTheme="majorEastAsia" w:hAnsiTheme="majorHAnsi" w:cstheme="majorBidi"/>
                                <w:color w:val="44546A" w:themeColor="text2"/>
                                <w:sz w:val="28"/>
                                <w:szCs w:val="28"/>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D0619D">
                                <w:rPr>
                                  <w:rFonts w:asciiTheme="majorHAnsi" w:eastAsiaTheme="majorEastAsia" w:hAnsiTheme="majorHAnsi" w:cstheme="majorBidi"/>
                                  <w:color w:val="44546A" w:themeColor="text2"/>
                                  <w:sz w:val="28"/>
                                  <w:szCs w:val="28"/>
                                </w:rPr>
                                <w:t>Digital Transformation in the Health and Care</w:t>
                              </w:r>
                            </w:sdtContent>
                          </w:sdt>
                          <w:r w:rsidRPr="00D0619D">
                            <w:rPr>
                              <w:rFonts w:asciiTheme="majorHAnsi" w:eastAsiaTheme="majorEastAsia" w:hAnsiTheme="majorHAnsi" w:cstheme="majorBidi"/>
                              <w:color w:val="44546A" w:themeColor="text2"/>
                              <w:sz w:val="28"/>
                              <w:szCs w:val="28"/>
                            </w:rPr>
                            <w:t xml:space="preserve"> Professions</w:t>
                          </w:r>
                          <w:r>
                            <w:rPr>
                              <w:rFonts w:asciiTheme="majorHAnsi" w:eastAsiaTheme="majorEastAsia" w:hAnsiTheme="majorHAnsi" w:cstheme="majorBidi"/>
                              <w:color w:val="44546A" w:themeColor="text2"/>
                              <w:sz w:val="28"/>
                              <w:szCs w:val="28"/>
                            </w:rPr>
                            <w:t xml:space="preserve"> </w:t>
                          </w:r>
                          <w:r w:rsidRPr="00D0619D">
                            <w:rPr>
                              <w:rFonts w:asciiTheme="majorHAnsi" w:eastAsiaTheme="majorEastAsia" w:hAnsiTheme="majorHAnsi" w:cstheme="majorBidi"/>
                              <w:color w:val="44546A" w:themeColor="text2"/>
                              <w:sz w:val="28"/>
                              <w:szCs w:val="28"/>
                            </w:rPr>
                            <w:t>(BMHP6026)</w:t>
                          </w:r>
                        </w:p>
                      </w:txbxContent>
                    </v:textbox>
                    <w10:wrap type="square" anchorx="page" anchory="page"/>
                  </v:shape>
                </w:pict>
              </mc:Fallback>
            </mc:AlternateContent>
          </w:r>
        </w:p>
        <w:p w14:paraId="1B021424" w14:textId="1D9AA224" w:rsidR="00D0619D" w:rsidRDefault="00404F0F">
          <w:pPr>
            <w:rPr>
              <w:b/>
              <w:bCs/>
              <w:sz w:val="28"/>
              <w:szCs w:val="28"/>
            </w:rPr>
          </w:pPr>
          <w:r>
            <w:rPr>
              <w:noProof/>
            </w:rPr>
            <mc:AlternateContent>
              <mc:Choice Requires="wps">
                <w:drawing>
                  <wp:anchor distT="0" distB="0" distL="114300" distR="114300" simplePos="0" relativeHeight="251664384" behindDoc="0" locked="0" layoutInCell="1" allowOverlap="1" wp14:anchorId="10D74A35" wp14:editId="7A3F3061">
                    <wp:simplePos x="0" y="0"/>
                    <wp:positionH relativeFrom="page">
                      <wp:posOffset>3515360</wp:posOffset>
                    </wp:positionH>
                    <wp:positionV relativeFrom="page">
                      <wp:posOffset>6936740</wp:posOffset>
                    </wp:positionV>
                    <wp:extent cx="2797810" cy="701040"/>
                    <wp:effectExtent l="0" t="0" r="0" b="381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701040"/>
                            </a:xfrm>
                            <a:prstGeom prst="rect">
                              <a:avLst/>
                            </a:prstGeom>
                            <a:noFill/>
                            <a:ln w="6350">
                              <a:noFill/>
                            </a:ln>
                            <a:effectLst/>
                          </wps:spPr>
                          <wps:txbx>
                            <w:txbxContent>
                              <w:p w14:paraId="57DA1F1F" w14:textId="5EC88DB5" w:rsidR="00D0619D" w:rsidRDefault="00E55BE9">
                                <w:pPr>
                                  <w:pStyle w:val="NoSpacing"/>
                                  <w:rPr>
                                    <w:color w:val="44546A" w:themeColor="text2"/>
                                  </w:rPr>
                                </w:pPr>
                                <w:r>
                                  <w:rPr>
                                    <w:color w:val="44546A" w:themeColor="text2"/>
                                  </w:rPr>
                                  <w:t xml:space="preserve">                             Submitted by: Nafeesa Bibi </w:t>
                                </w:r>
                              </w:p>
                              <w:p w14:paraId="664B03EC" w14:textId="1DD7118A" w:rsidR="00E55BE9" w:rsidRDefault="00E55BE9">
                                <w:pPr>
                                  <w:pStyle w:val="NoSpacing"/>
                                  <w:rPr>
                                    <w:color w:val="44546A" w:themeColor="text2"/>
                                  </w:rPr>
                                </w:pPr>
                                <w:r>
                                  <w:rPr>
                                    <w:color w:val="44546A" w:themeColor="text2"/>
                                  </w:rPr>
                                  <w:t xml:space="preserve">                             Student Id: 2331120</w:t>
                                </w:r>
                              </w:p>
                              <w:p w14:paraId="6EE77C18" w14:textId="77777777" w:rsidR="00E55BE9" w:rsidRDefault="00E55BE9">
                                <w:pPr>
                                  <w:pStyle w:val="NoSpacing"/>
                                  <w:rPr>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10D74A35" id="Text Box 255" o:spid="_x0000_s1029" type="#_x0000_t202" style="position:absolute;margin-left:276.8pt;margin-top:546.2pt;width:220.3pt;height:55.2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" filled="f" stroked="f" strokeweight=".5pt">
                    <v:textbox>
                      <w:txbxContent>
                        <w:p w14:paraId="57DA1F1F" w14:textId="5EC88DB5" w:rsidR="00D0619D" w:rsidRDefault="00E55BE9">
                          <w:pPr>
                            <w:pStyle w:val="NoSpacing"/>
                            <w:rPr>
                              <w:color w:val="44546A" w:themeColor="text2"/>
                            </w:rPr>
                          </w:pPr>
                          <w:r>
                            <w:rPr>
                              <w:color w:val="44546A" w:themeColor="text2"/>
                            </w:rPr>
                            <w:t xml:space="preserve">                             Submitted by: Nafeesa Bibi </w:t>
                          </w:r>
                        </w:p>
                        <w:p w14:paraId="664B03EC" w14:textId="1DD7118A" w:rsidR="00E55BE9" w:rsidRDefault="00E55BE9">
                          <w:pPr>
                            <w:pStyle w:val="NoSpacing"/>
                            <w:rPr>
                              <w:color w:val="44546A" w:themeColor="text2"/>
                            </w:rPr>
                          </w:pPr>
                          <w:r>
                            <w:rPr>
                              <w:color w:val="44546A" w:themeColor="text2"/>
                            </w:rPr>
                            <w:t xml:space="preserve">                             Student Id: 2331120</w:t>
                          </w:r>
                        </w:p>
                        <w:p w14:paraId="6EE77C18" w14:textId="77777777" w:rsidR="00E55BE9" w:rsidRDefault="00E55BE9">
                          <w:pPr>
                            <w:pStyle w:val="NoSpacing"/>
                            <w:rPr>
                              <w:color w:val="44546A" w:themeColor="text2"/>
                            </w:rPr>
                          </w:pPr>
                        </w:p>
                      </w:txbxContent>
                    </v:textbox>
                    <w10:wrap type="square" anchorx="page" anchory="page"/>
                  </v:shape>
                </w:pict>
              </mc:Fallback>
            </mc:AlternateContent>
          </w:r>
          <w:r w:rsidR="00E55BE9">
            <w:rPr>
              <w:noProof/>
            </w:rPr>
            <mc:AlternateContent>
              <mc:Choice Requires="wps">
                <w:drawing>
                  <wp:anchor distT="0" distB="0" distL="114300" distR="114300" simplePos="0" relativeHeight="251662336" behindDoc="0" locked="0" layoutInCell="1" allowOverlap="1" wp14:anchorId="6F18EFF1" wp14:editId="313BF1F0">
                    <wp:simplePos x="0" y="0"/>
                    <wp:positionH relativeFrom="page">
                      <wp:posOffset>3439795</wp:posOffset>
                    </wp:positionH>
                    <wp:positionV relativeFrom="page">
                      <wp:posOffset>7583170</wp:posOffset>
                    </wp:positionV>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63259AD" id="Rectangle 263" o:spid="_x0000_s1026" style="position:absolute;margin-left:270.85pt;margin-top:597.1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" fillcolor="#4472c4 [3204]" stroked="f" strokeweight="1pt">
                    <w10:wrap anchorx="page" anchory="page"/>
                  </v:rect>
                </w:pict>
              </mc:Fallback>
            </mc:AlternateContent>
          </w:r>
          <w:r w:rsidR="00D0619D">
            <w:rPr>
              <w:b/>
              <w:bCs/>
              <w:sz w:val="28"/>
              <w:szCs w:val="28"/>
            </w:rPr>
            <w:br w:type="page"/>
          </w:r>
        </w:p>
      </w:sdtContent>
    </w:sdt>
    <w:p w14:paraId="351092BD" w14:textId="77777777" w:rsidR="00932B48" w:rsidRDefault="00932B48" w:rsidP="00C67279">
      <w:pPr>
        <w:pageBreakBefore/>
        <w:spacing w:line="360" w:lineRule="auto"/>
        <w:jc w:val="both"/>
      </w:pPr>
    </w:p>
    <w:p w14:paraId="39CB6B64" w14:textId="77777777" w:rsidR="00932B48" w:rsidRPr="00351E55" w:rsidRDefault="00000000" w:rsidP="00C67279">
      <w:pPr>
        <w:pStyle w:val="Heading1"/>
        <w:spacing w:line="360" w:lineRule="auto"/>
        <w:jc w:val="both"/>
        <w:rPr>
          <w:sz w:val="28"/>
          <w:szCs w:val="28"/>
        </w:rPr>
      </w:pPr>
      <w:r w:rsidRPr="00351E55">
        <w:rPr>
          <w:sz w:val="28"/>
          <w:szCs w:val="28"/>
        </w:rPr>
        <w:t>1. Introduction</w:t>
      </w:r>
    </w:p>
    <w:p w14:paraId="6F4B6148" w14:textId="324AD8F6" w:rsidR="00052DCC" w:rsidRPr="00351E55" w:rsidRDefault="00052DCC" w:rsidP="00C67279">
      <w:pPr>
        <w:spacing w:after="200" w:line="360" w:lineRule="auto"/>
        <w:jc w:val="both"/>
      </w:pPr>
      <w:r w:rsidRPr="00351E55">
        <w:t>Over the last decade, there has been a significant shift in the way patient information is recorded, accessed, and shared within the NHS. One of the most important changes in this process has been the shift from paper-based notes to Electronic Patient Records (EPRs). An EPR is fundamentally a patient’s hospital record in digital form, pulling together things like diagnoses, medications, test results and care plans into one place that staff can access quickly and securely (NHS England, 2024a). Much of the other tech change the NHS wants to make simply wouldn't happen without this kind of digital foundation being in place.</w:t>
      </w:r>
    </w:p>
    <w:p w14:paraId="2C55C4C4" w14:textId="2E4F68A0" w:rsidR="0010524B" w:rsidRPr="00351E55" w:rsidRDefault="00052DCC" w:rsidP="00C67279">
      <w:pPr>
        <w:spacing w:after="200" w:line="360" w:lineRule="auto"/>
        <w:jc w:val="both"/>
      </w:pPr>
      <w:r w:rsidRPr="00351E55">
        <w:t xml:space="preserve">Implementing EPRs across every NHS trust has been a government priority for several years. The Frontline Digitisation Programme, which started in 2021, committed nearly £2 billion to make this happen (NHS England, 2024a). </w:t>
      </w:r>
      <w:r w:rsidR="0010524B" w:rsidRPr="00351E55">
        <w:t>By November 2023, NHS England reported that 90% of hospital trust</w:t>
      </w:r>
      <w:r w:rsidR="00C67279">
        <w:t>s</w:t>
      </w:r>
      <w:r w:rsidR="00031D27" w:rsidRPr="00351E55">
        <w:t xml:space="preserve">: </w:t>
      </w:r>
      <w:r w:rsidR="0010524B" w:rsidRPr="00351E55">
        <w:t>189 in total</w:t>
      </w:r>
      <w:r w:rsidR="00031D27" w:rsidRPr="00351E55">
        <w:t xml:space="preserve">, </w:t>
      </w:r>
      <w:r w:rsidR="0010524B" w:rsidRPr="00351E55">
        <w:t>had an EPR system in operation, ahead of the December 2023 deadline that had been set (Computer Weekly, 2023). The 2024 Spring Budget further boosted the effort by adding £2 billion, aiming to bring the remaining trusts into the fold by March 2026 (Pharmaceutical Journal, 2024). It is worth asking honestly, given the amount of money and political will that has been put into this, if the reality has lived up to the ambition.</w:t>
      </w:r>
    </w:p>
    <w:p w14:paraId="0878949B" w14:textId="39B5DC15" w:rsidR="0010524B" w:rsidRPr="00351E55" w:rsidRDefault="0010524B" w:rsidP="00C67279">
      <w:pPr>
        <w:pStyle w:val="Heading1"/>
        <w:spacing w:line="360" w:lineRule="auto"/>
        <w:jc w:val="both"/>
        <w:rPr>
          <w:b w:val="0"/>
          <w:bCs w:val="0"/>
          <w:sz w:val="22"/>
          <w:szCs w:val="22"/>
        </w:rPr>
      </w:pPr>
      <w:r w:rsidRPr="00351E55">
        <w:rPr>
          <w:b w:val="0"/>
          <w:bCs w:val="0"/>
          <w:sz w:val="22"/>
          <w:szCs w:val="22"/>
        </w:rPr>
        <w:t xml:space="preserve">This report </w:t>
      </w:r>
      <w:r w:rsidR="00031D27" w:rsidRPr="00351E55">
        <w:rPr>
          <w:b w:val="0"/>
          <w:bCs w:val="0"/>
          <w:sz w:val="22"/>
          <w:szCs w:val="22"/>
        </w:rPr>
        <w:t>analyses</w:t>
      </w:r>
      <w:r w:rsidRPr="00351E55">
        <w:rPr>
          <w:b w:val="0"/>
          <w:bCs w:val="0"/>
          <w:sz w:val="22"/>
          <w:szCs w:val="22"/>
        </w:rPr>
        <w:t xml:space="preserve"> the implementation of EPRs in secondary care in the NHS in England and their impact on four key areas:  the workforce, service delivery, patients and service users, and the wider community. It draws on peer-reviewed research, NHS publications, parliamentary debates and reports by health policy organisations. The positive and negative aspects are analysed along the way.</w:t>
      </w:r>
    </w:p>
    <w:p w14:paraId="6ABE93D6" w14:textId="4EC220FE" w:rsidR="00932B48" w:rsidRPr="00351E55" w:rsidRDefault="00000000" w:rsidP="00C67279">
      <w:pPr>
        <w:pStyle w:val="Heading1"/>
        <w:spacing w:line="360" w:lineRule="auto"/>
        <w:jc w:val="both"/>
        <w:rPr>
          <w:sz w:val="28"/>
          <w:szCs w:val="28"/>
        </w:rPr>
      </w:pPr>
      <w:r w:rsidRPr="00351E55">
        <w:rPr>
          <w:sz w:val="28"/>
          <w:szCs w:val="28"/>
        </w:rPr>
        <w:t>2. Impact on the Workforce</w:t>
      </w:r>
    </w:p>
    <w:p w14:paraId="025D6331" w14:textId="77777777" w:rsidR="00031D27" w:rsidRPr="00351E55" w:rsidRDefault="00031D27" w:rsidP="00C67279">
      <w:pPr>
        <w:spacing w:after="200" w:line="360" w:lineRule="auto"/>
        <w:jc w:val="both"/>
      </w:pPr>
      <w:r w:rsidRPr="00351E55">
        <w:t>The implementation of EPRs has significantly altered the nature of working in the NHS. Everyone who works with patient records, including physicians, nurses, allied health professionals, and administrators, must now operate in a digital system. This has given some employees new career opportunities. Recent years have seen the emergence of positions such as Chief Nursing Information Officers (CNIOs), Digital Nurses, EPR Programme Managers, and Information Governance Leads, all of which are concerned with ensuring that digital systems genuinely benefit the people who use them. The fact that these positions are now available throughout the NHS is evidence of how commonplace digital skills have become in the healthcare industry.</w:t>
      </w:r>
    </w:p>
    <w:p w14:paraId="6633D096" w14:textId="77777777" w:rsidR="00243994" w:rsidRPr="00351E55" w:rsidRDefault="00031D27" w:rsidP="00C67279">
      <w:pPr>
        <w:spacing w:after="200" w:line="360" w:lineRule="auto"/>
        <w:jc w:val="both"/>
      </w:pPr>
      <w:r w:rsidRPr="00351E55">
        <w:lastRenderedPageBreak/>
        <w:t xml:space="preserve">Nevertheless, the evidence consistently points to a problem: employees are merely not receiving adequate training. According to the largest survey of its kind, the 2024 NHS England EPR Usability Survey, which collected responses from 23,622 clinical staff, 60% of doctors and 70% of nurses said they would welcome additional EPR training. Even more concerning, 44% of respondents claimed they had not received any additional training since joining their company (NHS England, 2024b). According to the same survey, employees who do receive regular training regain between 50 and 60 minutes of productive clinical time per week, making this a serious issue (NHS England, 2024b). </w:t>
      </w:r>
      <w:r w:rsidR="00243994" w:rsidRPr="00351E55">
        <w:t>In other words, almost half of NHS employees are having difficulty using a system that they were never properly trained to use.</w:t>
      </w:r>
    </w:p>
    <w:p w14:paraId="7CF9BD36" w14:textId="77777777" w:rsidR="00243994" w:rsidRPr="00351E55" w:rsidRDefault="00243994" w:rsidP="00C67279">
      <w:pPr>
        <w:spacing w:after="200" w:line="360" w:lineRule="auto"/>
        <w:jc w:val="both"/>
      </w:pPr>
      <w:r w:rsidRPr="00351E55">
        <w:t>Similar findings were found in the Health Foundation's (2026) survey of 1,725 NHS employees in England: only 49% had received any training tailored to their position on the EPR, and less than a third (28%) had been instructed on how to handle issues when they arose. Getting clinicians on board was one of the most difficult aspects of any EPR rollout, according to Clarke et al. (2015), whose mixed-methods study examined EPR implementation across NHS acute, mental health, and community trusts. Many staff members were reluctant to switch from paper processes they were accustomed to. Additionally, their research revealed a visible decline in productivity both during and after go-live, which makes sense but worsens when training is inadequate. Furthermore, compared to their counterparts in other nations, NHS clinicians are three times more likely to report burnout related to EPR use, according to the 2024 Usability Survey (NHS England, 2024b). This raises serious concerns about training as well as whether employees will remain in positions where they feel so unsupported.</w:t>
      </w:r>
    </w:p>
    <w:p w14:paraId="47A3F25D" w14:textId="77777777" w:rsidR="00243994" w:rsidRPr="00351E55" w:rsidRDefault="00243994" w:rsidP="00C67279">
      <w:pPr>
        <w:pStyle w:val="Heading1"/>
        <w:spacing w:line="360" w:lineRule="auto"/>
        <w:jc w:val="both"/>
        <w:rPr>
          <w:b w:val="0"/>
          <w:bCs w:val="0"/>
          <w:sz w:val="22"/>
          <w:szCs w:val="22"/>
        </w:rPr>
      </w:pPr>
      <w:r w:rsidRPr="00351E55">
        <w:rPr>
          <w:b w:val="0"/>
          <w:bCs w:val="0"/>
          <w:sz w:val="22"/>
          <w:szCs w:val="22"/>
        </w:rPr>
        <w:t>There are indications that things are getting better. With an emphasis on reducing the estimated 5% of clinical time currently lost to low-value documentation tasks, NHS England's Frontline Productivity Programme (2026a) aims to bridge the gap between having an EPR and actually using it well. This demonstrates a more sincere understanding that purchasing technology is only the beginning rather than the end.</w:t>
      </w:r>
    </w:p>
    <w:p w14:paraId="6716B8E2" w14:textId="6DBF9CD3" w:rsidR="00CB45B4" w:rsidRPr="00351E55" w:rsidRDefault="00000000" w:rsidP="00C67279">
      <w:pPr>
        <w:pStyle w:val="Heading1"/>
        <w:spacing w:line="360" w:lineRule="auto"/>
        <w:jc w:val="both"/>
        <w:rPr>
          <w:sz w:val="28"/>
          <w:szCs w:val="28"/>
        </w:rPr>
      </w:pPr>
      <w:r w:rsidRPr="00351E55">
        <w:rPr>
          <w:sz w:val="28"/>
          <w:szCs w:val="28"/>
        </w:rPr>
        <w:t>3. Impact on Service Delivery</w:t>
      </w:r>
    </w:p>
    <w:p w14:paraId="4DF10A85" w14:textId="1EAAFC68" w:rsidR="00CB45B4" w:rsidRPr="00351E55" w:rsidRDefault="00CB45B4" w:rsidP="00C67279">
      <w:pPr>
        <w:spacing w:after="200" w:line="360" w:lineRule="auto"/>
        <w:jc w:val="both"/>
      </w:pPr>
      <w:r w:rsidRPr="00351E55">
        <w:t xml:space="preserve">EPRs have transformed how patient data is shared and utilised throughout NHS hospitals in terms of daily care delivery. Prior to EPRs, a patient's notes could be dispersed throughout various departmental systems, paper files, and wards. With a more complete picture of the patient in front of them, clinicians can now make decisions more quickly because all that information is in one location. Hospitals can also incorporate decision support tools into EPR systems, such as automatic alerts when a prescribed medication may interact dangerously with another medication or flags when a patient's observations indicate they are deteriorating </w:t>
      </w:r>
      <w:r w:rsidRPr="00351E55">
        <w:lastRenderedPageBreak/>
        <w:t xml:space="preserve">(Clarke et al. 2015). These features can significantly impact patient safety in environments such as emergency </w:t>
      </w:r>
      <w:r w:rsidR="00470983" w:rsidRPr="00351E55">
        <w:t>departments</w:t>
      </w:r>
      <w:r w:rsidRPr="00351E55">
        <w:t xml:space="preserve"> where speed is crucial.</w:t>
      </w:r>
    </w:p>
    <w:p w14:paraId="3B7CA477" w14:textId="77777777" w:rsidR="00470983" w:rsidRPr="00351E55" w:rsidRDefault="00470983" w:rsidP="00C67279">
      <w:pPr>
        <w:spacing w:after="200" w:line="360" w:lineRule="auto"/>
        <w:jc w:val="both"/>
      </w:pPr>
      <w:r w:rsidRPr="00351E55">
        <w:t>Additionally, EPRs have contributed to the widespread use of Electronic Prescribing and Medicines Administration (EPMA), which reduces prescribing errors caused by gaps in medication records or illegible handwriting. Ahmed and Rizvi (2025) contend that the NHS would save time and money by moving toward a single, unified electronic health record, which would further eliminate miscommunication and needless duplicate testing that arise when clinicians must switch between multiple systems.</w:t>
      </w:r>
    </w:p>
    <w:p w14:paraId="5D37CF0B" w14:textId="77777777" w:rsidR="00470983" w:rsidRPr="00351E55" w:rsidRDefault="00470983" w:rsidP="00C67279">
      <w:pPr>
        <w:spacing w:after="200" w:line="360" w:lineRule="auto"/>
        <w:jc w:val="both"/>
      </w:pPr>
      <w:r w:rsidRPr="00351E55">
        <w:t>Despite these advantages, there are enduring and significant issues that the data prevents us from ignoring. According to a survey conducted by the Health Foundation in 2026, 70% of NHS employees stated they had to use multiple EPR systems on a daily basis, and 37% of them felt their EPR was not functioning effectively in their company. 32% of employees cited the challenge of transferring data between various EPR systems across organisations as the largest obstacle to making EPRs function. In a study of NHS doctors that was published in BMJ Open, Li et al. (2025) discovered that this lack of interoperability had a direct impact on patient safety because it caused records to become fragmented and compelled doctors to use laborious workarounds in order to obtain basic information about a patient who had been seen somewhere else. A similar pattern was discovered by the HFMA (2025), which noted that although the majority of trusts currently have an EPR, only 10 to 30 percent are utilising more sophisticated features like integrated prescribing or population health tools.</w:t>
      </w:r>
    </w:p>
    <w:p w14:paraId="5250247C" w14:textId="13A1FEAF" w:rsidR="00470983" w:rsidRPr="00351E55" w:rsidRDefault="00470983" w:rsidP="00C67279">
      <w:pPr>
        <w:pStyle w:val="Heading1"/>
        <w:spacing w:line="360" w:lineRule="auto"/>
        <w:jc w:val="both"/>
        <w:rPr>
          <w:b w:val="0"/>
          <w:bCs w:val="0"/>
          <w:sz w:val="22"/>
          <w:szCs w:val="22"/>
        </w:rPr>
      </w:pPr>
      <w:r w:rsidRPr="00351E55">
        <w:rPr>
          <w:b w:val="0"/>
          <w:bCs w:val="0"/>
          <w:sz w:val="22"/>
          <w:szCs w:val="22"/>
        </w:rPr>
        <w:t>According to the 2024 Usability Survey, 43% of nurses and 48% of clinicians spend three or more hours a week on "unproductive charting," or filling out digital forms that don't really improve the care they provide (NHS England, 2024b). Having an EPR is one thing; but hav</w:t>
      </w:r>
      <w:r w:rsidR="00A1753F" w:rsidRPr="00351E55">
        <w:rPr>
          <w:b w:val="0"/>
          <w:bCs w:val="0"/>
          <w:sz w:val="22"/>
          <w:szCs w:val="22"/>
        </w:rPr>
        <w:t>ing</w:t>
      </w:r>
      <w:r w:rsidRPr="00351E55">
        <w:rPr>
          <w:b w:val="0"/>
          <w:bCs w:val="0"/>
          <w:sz w:val="22"/>
          <w:szCs w:val="22"/>
        </w:rPr>
        <w:t xml:space="preserve"> one that is effective for those who use it on a daily basis</w:t>
      </w:r>
      <w:r w:rsidR="00A1753F" w:rsidRPr="00351E55">
        <w:rPr>
          <w:b w:val="0"/>
          <w:bCs w:val="0"/>
          <w:sz w:val="22"/>
          <w:szCs w:val="22"/>
        </w:rPr>
        <w:t xml:space="preserve"> is another thing</w:t>
      </w:r>
      <w:r w:rsidRPr="00351E55">
        <w:rPr>
          <w:b w:val="0"/>
          <w:bCs w:val="0"/>
          <w:sz w:val="22"/>
          <w:szCs w:val="22"/>
        </w:rPr>
        <w:t>. An inadequately optimised system runs the risk of merely transferring outdated paper issues into a digital format rather than genuinely enhancing care.</w:t>
      </w:r>
    </w:p>
    <w:p w14:paraId="4C67AD02" w14:textId="7878EE05" w:rsidR="00932B48" w:rsidRPr="00351E55" w:rsidRDefault="00000000" w:rsidP="00C67279">
      <w:pPr>
        <w:pStyle w:val="Heading1"/>
        <w:spacing w:line="360" w:lineRule="auto"/>
        <w:jc w:val="both"/>
        <w:rPr>
          <w:sz w:val="28"/>
          <w:szCs w:val="28"/>
        </w:rPr>
      </w:pPr>
      <w:r w:rsidRPr="00351E55">
        <w:rPr>
          <w:sz w:val="28"/>
          <w:szCs w:val="28"/>
        </w:rPr>
        <w:t>4. Impact on Patients and Service Users</w:t>
      </w:r>
    </w:p>
    <w:p w14:paraId="4064F946" w14:textId="66790C80" w:rsidR="00932B48" w:rsidRPr="00351E55" w:rsidRDefault="006C67A8" w:rsidP="00C67279">
      <w:pPr>
        <w:spacing w:after="200" w:line="360" w:lineRule="auto"/>
        <w:jc w:val="both"/>
      </w:pPr>
      <w:r w:rsidRPr="00351E55">
        <w:t xml:space="preserve">From the patient’s perspective, well-executed EPRs significantly improve the safety and efficiency of their care. According to a survey conducted by the Health Foundation in 2026, 75% of NHS employees thought EPRs were enhancing patient care, and 73% thought they were making care safer. These are not merely positive emotions; they are real shifts in behaviour. Instead of waiting for paper records to arrive or depending on the patient's memory, clinicians can now immediately access a patient's complete medical history, current </w:t>
      </w:r>
      <w:r w:rsidRPr="00351E55">
        <w:lastRenderedPageBreak/>
        <w:t>medications, allergies, and recent test results when they arrive at the hospital. When the 90% goal was achieved, Victoria Atkins, the Secretary of State for Health and Social Care at the time, stated: "Electronic records give clinicians access to vital patient information when and where they need it, alerting them to immediate risks and giving them more time to care for their patients" (Computer Weekly, 2023).</w:t>
      </w:r>
    </w:p>
    <w:p w14:paraId="45708DB2" w14:textId="77777777" w:rsidR="006F7A66" w:rsidRPr="00351E55" w:rsidRDefault="006F7A66" w:rsidP="00C67279">
      <w:pPr>
        <w:spacing w:after="200" w:line="360" w:lineRule="auto"/>
        <w:jc w:val="both"/>
      </w:pPr>
      <w:r w:rsidRPr="00351E55">
        <w:t>Connected EPRs are especially useful for patients who are managing multiple long-term conditions and switching between various NHS services. Clinicians in various organisations can view the same patient record through NHS England's (2024a) Connecting Care Records Programme, which makes use of resources like the National Record Locator Service. This makes it easier to plan care around the individual rather than the system they are currently in, and it eliminates the need for patients to repeat the same information each time they see someone new.</w:t>
      </w:r>
    </w:p>
    <w:p w14:paraId="22C53DA2" w14:textId="77777777" w:rsidR="006F7A66" w:rsidRPr="00351E55" w:rsidRDefault="006F7A66" w:rsidP="00C67279">
      <w:pPr>
        <w:spacing w:after="200" w:line="360" w:lineRule="auto"/>
        <w:jc w:val="both"/>
      </w:pPr>
      <w:r w:rsidRPr="00351E55">
        <w:t>Nonetheless, the shift to digital-first healthcare poses significant challenges for certain patient groups. According to Digital Health News (2024), Foxglove, a legal advocacy group, expressed concern that many patients, especially those who are elderly, do not have access to digital consent portals or health records via the NHS App because they are not online. Age UK has reported that one in three adults over 65 do not use smartphones, and the National Pensioners' Convention raised similar concerns regarding digital exclusion (Health and Social Care Committee, 2023). The NHS runs the risk of abandoning the very patients who depend on its care the most if it does not maintain adequate non-digital alternatives.</w:t>
      </w:r>
    </w:p>
    <w:p w14:paraId="4B437B18" w14:textId="77777777" w:rsidR="006F7A66" w:rsidRPr="00351E55" w:rsidRDefault="006F7A66" w:rsidP="00C67279">
      <w:pPr>
        <w:pStyle w:val="Heading1"/>
        <w:spacing w:line="360" w:lineRule="auto"/>
        <w:jc w:val="both"/>
        <w:rPr>
          <w:b w:val="0"/>
          <w:bCs w:val="0"/>
          <w:sz w:val="22"/>
          <w:szCs w:val="22"/>
        </w:rPr>
      </w:pPr>
      <w:r w:rsidRPr="00351E55">
        <w:rPr>
          <w:b w:val="0"/>
          <w:bCs w:val="0"/>
          <w:sz w:val="22"/>
          <w:szCs w:val="22"/>
        </w:rPr>
        <w:t>Additionally, Clarke et al. (2015) highlight a more nuanced problem. EPRs increase the amount of paperwork that clinicians must complete; according to the 2024 Usability Survey, low-value digital charting now accounts for 5.2% of all clinical working time, which reduces the amount of time that can be spent actually speaking with and examining patients. This has an impact on patients' experiences receiving care, even if it is not mentioned in incident reports.</w:t>
      </w:r>
    </w:p>
    <w:p w14:paraId="7B787FF3" w14:textId="4A12B8AC" w:rsidR="00932B48" w:rsidRPr="00351E55" w:rsidRDefault="00000000" w:rsidP="00C67279">
      <w:pPr>
        <w:pStyle w:val="Heading1"/>
        <w:spacing w:line="360" w:lineRule="auto"/>
        <w:jc w:val="both"/>
        <w:rPr>
          <w:sz w:val="28"/>
          <w:szCs w:val="28"/>
        </w:rPr>
      </w:pPr>
      <w:r w:rsidRPr="00351E55">
        <w:rPr>
          <w:sz w:val="28"/>
          <w:szCs w:val="28"/>
        </w:rPr>
        <w:t>5. Impact on Communities and Public Health</w:t>
      </w:r>
    </w:p>
    <w:p w14:paraId="236BB0FD" w14:textId="7571A92E" w:rsidR="006F7A66" w:rsidRPr="00351E55" w:rsidRDefault="006F7A66" w:rsidP="00C67279">
      <w:pPr>
        <w:spacing w:after="200" w:line="360" w:lineRule="auto"/>
        <w:jc w:val="both"/>
      </w:pPr>
      <w:r w:rsidRPr="00351E55">
        <w:t xml:space="preserve">Beyond what occurs in individual appointments, the rollout of EPR raises broader concerns about public health, equity, and the degree to which communities trust the NHS with their data. Large volumes of structured clinical data are produced at the population level by EPR systems across NHS trusts, which could be very helpful for research, monitoring disease trends, and developing preventive services. In a House of Lords discussion on NHS EPR systems, it was brought up that once the NHS reaches full digital maturity, the data could be used to advance health research and preventive medicine in ways that were never feasible on paper, in addition </w:t>
      </w:r>
      <w:r w:rsidRPr="00351E55">
        <w:lastRenderedPageBreak/>
        <w:t>to being used for treating individual patients (Hansard, 2025). However, in order to preserve public trust, the NHS must be transparent about how it uses this data.</w:t>
      </w:r>
    </w:p>
    <w:p w14:paraId="5D395F35" w14:textId="77777777" w:rsidR="001C13E4" w:rsidRPr="00351E55" w:rsidRDefault="001C13E4" w:rsidP="00C67279">
      <w:pPr>
        <w:spacing w:after="200" w:line="360" w:lineRule="auto"/>
        <w:jc w:val="both"/>
      </w:pPr>
      <w:r w:rsidRPr="00351E55">
        <w:t>The uneven implementation of EPRs throughout England raises issues with fairness. According to Asthana et al. (2019), who reviewed the obstacles to NHS eHealth adoption in BMC Health Services Research, the largest barrier to consistent digital progress was the fragmented structure of NHS organisations, with actual variations between regions and types of trust. This was amply demonstrated by the Health Foundation's (2026) survey, which found that 25% of employees in the West Midlands and only 13% of employees in London were not using an EPR. The advantages of EPRs, such as faster test results, safer prescribing, and real-time alerts, are either unavailable or underutilised in communities with less robust digital infrastructure.</w:t>
      </w:r>
    </w:p>
    <w:p w14:paraId="130BFC25" w14:textId="77777777" w:rsidR="001C13E4" w:rsidRPr="00351E55" w:rsidRDefault="001C13E4" w:rsidP="00C67279">
      <w:pPr>
        <w:spacing w:after="200" w:line="360" w:lineRule="auto"/>
        <w:jc w:val="both"/>
      </w:pPr>
      <w:r w:rsidRPr="00351E55">
        <w:t>Rural and underprivileged communities are frequently the most severely affected. Local residents are more likely to lack dependable internet access, appropriate devices, or the digital skills required to interact with online health tools, and NHS organisations in these regions typically have less digital capacity. When various services operate separate EPR systems that do not communicate with one another, informal carers and family members may also encounter difficulties. In order to ensure that new systems lessen rather than exacerbate health disparities, the Health and Social Care Committee (2023) emphasised that NHS digital programmes must be co-designed with communities, especially those who are least connected.</w:t>
      </w:r>
    </w:p>
    <w:p w14:paraId="45CC1C8C" w14:textId="512BCCF8" w:rsidR="00932B48" w:rsidRPr="00351E55" w:rsidRDefault="001C13E4" w:rsidP="00C67279">
      <w:pPr>
        <w:spacing w:after="200" w:line="360" w:lineRule="auto"/>
        <w:jc w:val="both"/>
      </w:pPr>
      <w:r w:rsidRPr="00351E55">
        <w:t>Another issue that has increased along with EPR coverage is cybersecurity. Large volumes of sensitive patient data are centralised in digital systems, which makes them appealing targets. The NHS has already been the target of significant cyberattacks. According to Ahmed and Rizvi (2025), cybersecurity must be integrated into all large-scale EHR(Electronic Health Record) systems from the start rather than being added on later. In addition to exposing patients' private information, a significant breach could significantly reduce people's willingness to use NHS digital services at all, which would undermine the agenda for digital transformation as a whole.</w:t>
      </w:r>
    </w:p>
    <w:p w14:paraId="426FEEA4" w14:textId="77777777" w:rsidR="00932B48" w:rsidRPr="00351E55" w:rsidRDefault="00000000" w:rsidP="00C67279">
      <w:pPr>
        <w:pStyle w:val="Heading1"/>
        <w:spacing w:line="360" w:lineRule="auto"/>
        <w:jc w:val="both"/>
        <w:rPr>
          <w:sz w:val="28"/>
          <w:szCs w:val="28"/>
        </w:rPr>
      </w:pPr>
      <w:r w:rsidRPr="00351E55">
        <w:rPr>
          <w:sz w:val="28"/>
          <w:szCs w:val="28"/>
        </w:rPr>
        <w:t>6. Conclusion</w:t>
      </w:r>
    </w:p>
    <w:p w14:paraId="3CCE9E61" w14:textId="77777777" w:rsidR="001C13E4" w:rsidRPr="00351E55" w:rsidRDefault="001C13E4" w:rsidP="00C67279">
      <w:pPr>
        <w:spacing w:after="200" w:line="360" w:lineRule="auto"/>
        <w:jc w:val="both"/>
      </w:pPr>
      <w:r w:rsidRPr="00351E55">
        <w:t xml:space="preserve">The introduction of Electronic Patient Records in NHS secondary care in England has been examined in this report, along with the impact they have had on staff, services, patients, and communities. Overall, the data indicates that EPRs have significantly improved health and social care in the United Kingdom. Nothing on this scale has ever been attempted in NHS history, with nearly £2 billion invested through the Frontline Digitisation Programme and 90% </w:t>
      </w:r>
      <w:r w:rsidRPr="00351E55">
        <w:lastRenderedPageBreak/>
        <w:t>of NHS hospital trusts currently operating an EPR (NHS England, 2024a; Computer Weekly, 2023).</w:t>
      </w:r>
    </w:p>
    <w:p w14:paraId="31BD731E" w14:textId="77777777" w:rsidR="00B17E1D" w:rsidRPr="00351E55" w:rsidRDefault="00B17E1D" w:rsidP="00C67279">
      <w:pPr>
        <w:spacing w:after="200" w:line="360" w:lineRule="auto"/>
        <w:jc w:val="both"/>
      </w:pPr>
      <w:r w:rsidRPr="00351E55">
        <w:t>The advantages are obvious: patients are safer, prescription errors have decreased, and patients with complex needs are receiving more coordinated care. However, having an EPR and truly benefiting from it are quite different. Not insignificant issues include inadequate training, systems that are unable to exchange information, time lost on pointless paperwork, an uneven rollout, and the possibility of excluding patients who are not online. These are deeply ingrained problems that won't go away without significant, ongoing care. Only 10 to 30 percent of trusts with EPRs are utilising the more sophisticated features, according to the Health Foundation (2026), indicating that the NHS is still a long way from reaping the full rewards of its investments.</w:t>
      </w:r>
    </w:p>
    <w:p w14:paraId="688225E8" w14:textId="127B7239" w:rsidR="00932B48" w:rsidRPr="00351E55" w:rsidRDefault="00B17E1D" w:rsidP="00C67279">
      <w:pPr>
        <w:spacing w:after="100" w:line="360" w:lineRule="auto"/>
        <w:jc w:val="both"/>
      </w:pPr>
      <w:r w:rsidRPr="00351E55">
        <w:t>A number of things must happen in order for EPRs to fulfil their potential: adequate continuing training for employees, significant advancements in integrating systems across organisations, accessible options for patients who are unable or unwilling to use digital services, and truthful, transparent data governance. Digital transformation is at the heart of the NHS 10 Year Health Plan's future vision. The success of that vision should be determined by how well it serves all patients, professionals, and communities, not just those who have access to the internet.</w:t>
      </w:r>
    </w:p>
    <w:p w14:paraId="4BD0643E" w14:textId="769914F4" w:rsidR="00932B48" w:rsidRDefault="00000000" w:rsidP="00C67279">
      <w:pPr>
        <w:pStyle w:val="Heading1"/>
        <w:spacing w:line="360" w:lineRule="auto"/>
        <w:jc w:val="both"/>
        <w:rPr>
          <w:i/>
          <w:iCs/>
          <w:sz w:val="28"/>
          <w:szCs w:val="28"/>
        </w:rPr>
      </w:pPr>
      <w:r w:rsidRPr="00351E55">
        <w:rPr>
          <w:i/>
          <w:iCs/>
          <w:sz w:val="28"/>
          <w:szCs w:val="28"/>
        </w:rPr>
        <w:t>References</w:t>
      </w:r>
      <w:r w:rsidR="00351E55">
        <w:rPr>
          <w:i/>
          <w:iCs/>
          <w:sz w:val="28"/>
          <w:szCs w:val="28"/>
        </w:rPr>
        <w:t>:</w:t>
      </w:r>
    </w:p>
    <w:p w14:paraId="65A5B2A9" w14:textId="77777777" w:rsidR="00351E55" w:rsidRPr="00351E55" w:rsidRDefault="00351E55" w:rsidP="00C67279">
      <w:pPr>
        <w:pStyle w:val="Heading1"/>
        <w:spacing w:line="360" w:lineRule="auto"/>
        <w:jc w:val="both"/>
        <w:rPr>
          <w:i/>
          <w:iCs/>
          <w:sz w:val="28"/>
          <w:szCs w:val="28"/>
        </w:rPr>
      </w:pPr>
    </w:p>
    <w:p w14:paraId="596B9B98" w14:textId="77777777" w:rsidR="00351E55" w:rsidRPr="00351E55" w:rsidRDefault="00351E55" w:rsidP="00C67279">
      <w:pPr>
        <w:spacing w:after="160" w:line="360" w:lineRule="auto"/>
        <w:ind w:left="720" w:hanging="720"/>
        <w:jc w:val="both"/>
      </w:pPr>
      <w:r w:rsidRPr="00351E55">
        <w:t xml:space="preserve">Ahmed, H. and Rizvi, S.A. (2025) 'Unifying NHS electronic prescribing and health records: bridging the digital divide', </w:t>
      </w:r>
      <w:r w:rsidRPr="00351E55">
        <w:rPr>
          <w:i/>
          <w:iCs/>
        </w:rPr>
        <w:t>Cureus</w:t>
      </w:r>
      <w:r w:rsidRPr="00351E55">
        <w:t>, 17(6), p.e86055. doi:10.7759/cureus.86055.</w:t>
      </w:r>
    </w:p>
    <w:p w14:paraId="103CFB00" w14:textId="77777777" w:rsidR="00351E55" w:rsidRPr="00351E55" w:rsidRDefault="00351E55" w:rsidP="00C67279">
      <w:pPr>
        <w:spacing w:after="160" w:line="360" w:lineRule="auto"/>
        <w:ind w:left="720" w:hanging="720"/>
        <w:jc w:val="both"/>
      </w:pPr>
      <w:r w:rsidRPr="00351E55">
        <w:t xml:space="preserve">Asthana, S., Jones, R. and Sheaff, R. (2019) 'Why does the NHS struggle to adopt eHealth innovations? A review of macro, meso and micro factors', </w:t>
      </w:r>
      <w:r w:rsidRPr="00351E55">
        <w:rPr>
          <w:i/>
          <w:iCs/>
        </w:rPr>
        <w:t>BMC Health Services Research</w:t>
      </w:r>
      <w:r w:rsidRPr="00351E55">
        <w:t>, 19(1), p.984. doi:10.1186/s12913-019-4790-x.</w:t>
      </w:r>
    </w:p>
    <w:p w14:paraId="0E75EE3E" w14:textId="77777777" w:rsidR="00351E55" w:rsidRPr="00351E55" w:rsidRDefault="00351E55" w:rsidP="00C67279">
      <w:pPr>
        <w:spacing w:after="160" w:line="360" w:lineRule="auto"/>
        <w:ind w:left="720" w:hanging="720"/>
        <w:jc w:val="both"/>
      </w:pPr>
      <w:r w:rsidRPr="00351E55">
        <w:t xml:space="preserve">Clarke, A., Adamson, J., Sheard, L., Cairns, P., Watt, I. and Wright, J. (2015) 'Implementing electronic patient record systems (EPRs) into England's acute, mental health and community care trusts: a mixed methods study', </w:t>
      </w:r>
      <w:r w:rsidRPr="00351E55">
        <w:rPr>
          <w:i/>
          <w:iCs/>
        </w:rPr>
        <w:t>BMC Medical Informatics and Decision Making</w:t>
      </w:r>
      <w:r w:rsidRPr="00351E55">
        <w:t>, 15(1), p.85. doi:10.1186/s12911-015-0204-0.</w:t>
      </w:r>
    </w:p>
    <w:p w14:paraId="5D417FB0" w14:textId="77777777" w:rsidR="00351E55" w:rsidRPr="00351E55" w:rsidRDefault="00351E55" w:rsidP="00C67279">
      <w:pPr>
        <w:spacing w:after="160" w:line="360" w:lineRule="auto"/>
        <w:ind w:left="720" w:hanging="720"/>
        <w:jc w:val="both"/>
      </w:pPr>
      <w:r w:rsidRPr="00351E55">
        <w:t xml:space="preserve">Computer Weekly (2023) 'NHS England hits 90% target for electronic patient records', </w:t>
      </w:r>
      <w:r w:rsidRPr="00351E55">
        <w:rPr>
          <w:i/>
          <w:iCs/>
        </w:rPr>
        <w:t>Computer Weekly</w:t>
      </w:r>
      <w:r w:rsidRPr="00351E55">
        <w:t xml:space="preserve">, 20 November [Online]. Available at: </w:t>
      </w:r>
      <w:hyperlink r:id="rId9" w:history="1">
        <w:r w:rsidRPr="00351E55">
          <w:rPr>
            <w:rStyle w:val="Hyperlink"/>
          </w:rPr>
          <w:t>https://www.computerweekly.com/news/366560172/NHS-England-hits-90-target-for-electronic-patient-records</w:t>
        </w:r>
      </w:hyperlink>
      <w:r w:rsidRPr="00351E55">
        <w:t xml:space="preserve"> (Accessed: 14 June 2026).</w:t>
      </w:r>
    </w:p>
    <w:p w14:paraId="34CC617F" w14:textId="77777777" w:rsidR="00351E55" w:rsidRPr="00351E55" w:rsidRDefault="00351E55" w:rsidP="00C67279">
      <w:pPr>
        <w:spacing w:after="160" w:line="360" w:lineRule="auto"/>
        <w:ind w:left="720" w:hanging="720"/>
        <w:jc w:val="both"/>
      </w:pPr>
      <w:r w:rsidRPr="00351E55">
        <w:lastRenderedPageBreak/>
        <w:t xml:space="preserve">Digital Health News (2024) 'Concerns raised that NHS digital plans could exclude older adults', </w:t>
      </w:r>
      <w:r w:rsidRPr="00351E55">
        <w:rPr>
          <w:i/>
          <w:iCs/>
        </w:rPr>
        <w:t>Digital Health News</w:t>
      </w:r>
      <w:r w:rsidRPr="00351E55">
        <w:t xml:space="preserve">, 5 November [Online]. Available at: </w:t>
      </w:r>
      <w:hyperlink r:id="rId10" w:history="1">
        <w:r w:rsidRPr="00351E55">
          <w:rPr>
            <w:rStyle w:val="Hyperlink"/>
          </w:rPr>
          <w:t>https://www.digitalhealth.net/2024/11/concerns-raised-that-nhs-digital-plans-could-exclude-older-adults/</w:t>
        </w:r>
      </w:hyperlink>
      <w:r w:rsidRPr="00351E55">
        <w:t xml:space="preserve"> (Accessed: 14 June 2026).</w:t>
      </w:r>
    </w:p>
    <w:p w14:paraId="1FC527D2" w14:textId="77777777" w:rsidR="00351E55" w:rsidRPr="00351E55" w:rsidRDefault="00351E55" w:rsidP="00C67279">
      <w:pPr>
        <w:spacing w:after="160" w:line="360" w:lineRule="auto"/>
        <w:ind w:left="720" w:hanging="720"/>
        <w:jc w:val="both"/>
      </w:pPr>
      <w:r w:rsidRPr="00351E55">
        <w:t xml:space="preserve">Hansard (2025) </w:t>
      </w:r>
      <w:r w:rsidRPr="00351E55">
        <w:rPr>
          <w:i/>
          <w:iCs/>
        </w:rPr>
        <w:t>NHS: Electronic Patient Record Systems</w:t>
      </w:r>
      <w:r w:rsidRPr="00351E55">
        <w:t xml:space="preserve">. House of Lords Debate, 12 February [Online]. Available at: </w:t>
      </w:r>
      <w:hyperlink r:id="rId11" w:history="1">
        <w:r w:rsidRPr="00351E55">
          <w:rPr>
            <w:rStyle w:val="Hyperlink"/>
          </w:rPr>
          <w:t>https://hansard.parliament.uk/lords/2025-02-12</w:t>
        </w:r>
      </w:hyperlink>
      <w:r w:rsidRPr="00351E55">
        <w:t xml:space="preserve"> (Accessed: 14 June 2026).</w:t>
      </w:r>
    </w:p>
    <w:p w14:paraId="69955F3B" w14:textId="77777777" w:rsidR="00351E55" w:rsidRPr="00351E55" w:rsidRDefault="00351E55" w:rsidP="00C67279">
      <w:pPr>
        <w:spacing w:after="160" w:line="360" w:lineRule="auto"/>
        <w:ind w:left="720" w:hanging="720"/>
        <w:jc w:val="both"/>
      </w:pPr>
      <w:r w:rsidRPr="00351E55">
        <w:t xml:space="preserve">Health and Social Care Committee (2023) </w:t>
      </w:r>
      <w:r w:rsidRPr="00351E55">
        <w:rPr>
          <w:i/>
          <w:iCs/>
        </w:rPr>
        <w:t>Digital Transformation in the NHS</w:t>
      </w:r>
      <w:r w:rsidRPr="00351E55">
        <w:t xml:space="preserve">. London: House of Commons [Online]. Available at: </w:t>
      </w:r>
      <w:hyperlink r:id="rId12" w:history="1">
        <w:r w:rsidRPr="00351E55">
          <w:rPr>
            <w:rStyle w:val="Hyperlink"/>
          </w:rPr>
          <w:t>https://publications.parliament.uk/pa/cm5803/cmselect/cmhealth/223/report.html</w:t>
        </w:r>
      </w:hyperlink>
      <w:r w:rsidRPr="00351E55">
        <w:t xml:space="preserve"> (Accessed: 14 June 2026).</w:t>
      </w:r>
    </w:p>
    <w:p w14:paraId="22734043" w14:textId="77777777" w:rsidR="00351E55" w:rsidRPr="00351E55" w:rsidRDefault="00351E55" w:rsidP="00C67279">
      <w:pPr>
        <w:spacing w:after="160" w:line="360" w:lineRule="auto"/>
        <w:ind w:left="720" w:hanging="720"/>
        <w:jc w:val="both"/>
      </w:pPr>
      <w:r w:rsidRPr="00351E55">
        <w:t xml:space="preserve">Health Foundation, The (2026) </w:t>
      </w:r>
      <w:r w:rsidRPr="00351E55">
        <w:rPr>
          <w:i/>
          <w:iCs/>
        </w:rPr>
        <w:t>Electronic Patient Record Systems in England: What Do NHS Staff Think?</w:t>
      </w:r>
      <w:r w:rsidRPr="00351E55">
        <w:t xml:space="preserve"> London: The Health Foundation [Online]. Available at: </w:t>
      </w:r>
      <w:hyperlink r:id="rId13" w:history="1">
        <w:r w:rsidRPr="00351E55">
          <w:rPr>
            <w:rStyle w:val="Hyperlink"/>
          </w:rPr>
          <w:t>https://www.health.org.uk/reports-and-analysis/analysis/electronic-patient-record-systems-in-england-what-do-nhs-staff-think</w:t>
        </w:r>
      </w:hyperlink>
      <w:r w:rsidRPr="00351E55">
        <w:t xml:space="preserve"> (Accessed: 14 June 2026).</w:t>
      </w:r>
    </w:p>
    <w:p w14:paraId="3A751E69" w14:textId="77777777" w:rsidR="00351E55" w:rsidRPr="00351E55" w:rsidRDefault="00351E55" w:rsidP="00C67279">
      <w:pPr>
        <w:spacing w:after="160" w:line="360" w:lineRule="auto"/>
        <w:ind w:left="720" w:hanging="720"/>
        <w:jc w:val="both"/>
      </w:pPr>
      <w:r w:rsidRPr="00351E55">
        <w:t xml:space="preserve">HFMA (2025) </w:t>
      </w:r>
      <w:r w:rsidRPr="00351E55">
        <w:rPr>
          <w:i/>
          <w:iCs/>
        </w:rPr>
        <w:t>Implementing an Electronic Patient Record</w:t>
      </w:r>
      <w:r w:rsidRPr="00351E55">
        <w:t xml:space="preserve">. London: Healthcare Financial Management Association [Online]. Available at: </w:t>
      </w:r>
      <w:hyperlink r:id="rId14" w:history="1">
        <w:r w:rsidRPr="00351E55">
          <w:rPr>
            <w:rStyle w:val="Hyperlink"/>
          </w:rPr>
          <w:t>https://www.hfma.org.uk/publications/implementing-electronic-patient-record</w:t>
        </w:r>
      </w:hyperlink>
      <w:r w:rsidRPr="00351E55">
        <w:t xml:space="preserve"> (Accessed: 14 June 2026).</w:t>
      </w:r>
    </w:p>
    <w:p w14:paraId="3A1C7457" w14:textId="77777777" w:rsidR="00351E55" w:rsidRPr="00351E55" w:rsidRDefault="00351E55" w:rsidP="00C67279">
      <w:pPr>
        <w:spacing w:after="160" w:line="360" w:lineRule="auto"/>
        <w:ind w:left="720" w:hanging="720"/>
        <w:jc w:val="both"/>
      </w:pPr>
      <w:r w:rsidRPr="00351E55">
        <w:t xml:space="preserve">Li, E., Lounsbury, O., Hasnain, M., Ashrafian, H., Darzi, A., Neves, A.L. and Clarke, J. (2025) 'Physician experiences of electronic health record interoperability and its practical impact on care delivery in the English NHS: a cross-sectional survey study', </w:t>
      </w:r>
      <w:r w:rsidRPr="00351E55">
        <w:rPr>
          <w:i/>
          <w:iCs/>
        </w:rPr>
        <w:t>BMJ Open</w:t>
      </w:r>
      <w:r w:rsidRPr="00351E55">
        <w:t>, 15(6), p.e096669. doi:10.1136/bmjopen-2024-096669.</w:t>
      </w:r>
    </w:p>
    <w:p w14:paraId="70A81168" w14:textId="77777777" w:rsidR="00351E55" w:rsidRPr="00351E55" w:rsidRDefault="00351E55" w:rsidP="00C67279">
      <w:pPr>
        <w:spacing w:after="160" w:line="360" w:lineRule="auto"/>
        <w:ind w:left="720" w:hanging="720"/>
        <w:jc w:val="both"/>
      </w:pPr>
      <w:r w:rsidRPr="00351E55">
        <w:t xml:space="preserve">NHS England (2024a) </w:t>
      </w:r>
      <w:r w:rsidRPr="00351E55">
        <w:rPr>
          <w:i/>
          <w:iCs/>
        </w:rPr>
        <w:t>Digitising the Frontline</w:t>
      </w:r>
      <w:r w:rsidRPr="00351E55">
        <w:t xml:space="preserve">. London: NHS England [Online]. Available at: </w:t>
      </w:r>
      <w:hyperlink r:id="rId15" w:history="1">
        <w:r w:rsidRPr="00351E55">
          <w:rPr>
            <w:rStyle w:val="Hyperlink"/>
          </w:rPr>
          <w:t>https://www.england.nhs.uk/digitaltechnology/digitising-the-frontline/</w:t>
        </w:r>
      </w:hyperlink>
      <w:r w:rsidRPr="00351E55">
        <w:t xml:space="preserve"> (Accessed: 14 June 2026).</w:t>
      </w:r>
    </w:p>
    <w:p w14:paraId="7AB0C0E2" w14:textId="77777777" w:rsidR="00351E55" w:rsidRPr="00351E55" w:rsidRDefault="00351E55" w:rsidP="00C67279">
      <w:pPr>
        <w:spacing w:after="160" w:line="360" w:lineRule="auto"/>
        <w:ind w:left="720" w:hanging="720"/>
        <w:jc w:val="both"/>
      </w:pPr>
      <w:r w:rsidRPr="00351E55">
        <w:t xml:space="preserve">NHS England (2024b) </w:t>
      </w:r>
      <w:r w:rsidRPr="00351E55">
        <w:rPr>
          <w:i/>
          <w:iCs/>
        </w:rPr>
        <w:t>2024 Electronic Patient Record (EPR) Usability Survey for Secondary Care: Key Findings</w:t>
      </w:r>
      <w:r w:rsidRPr="00351E55">
        <w:t xml:space="preserve">. London: NHS England [Online]. Available at: </w:t>
      </w:r>
      <w:hyperlink r:id="rId16" w:history="1">
        <w:r w:rsidRPr="00351E55">
          <w:rPr>
            <w:rStyle w:val="Hyperlink"/>
          </w:rPr>
          <w:t>https://www.england.nhs.uk/digitaltechnology/digitising-the-frontline/2024-electronic-patient-record-epr-usability-survey-for-secondary-care-key-findings/</w:t>
        </w:r>
      </w:hyperlink>
      <w:r w:rsidRPr="00351E55">
        <w:t xml:space="preserve"> (Accessed: 14 June 2026).</w:t>
      </w:r>
    </w:p>
    <w:p w14:paraId="69E492EA" w14:textId="77777777" w:rsidR="00351E55" w:rsidRPr="00351E55" w:rsidRDefault="00351E55" w:rsidP="00C67279">
      <w:pPr>
        <w:spacing w:after="160" w:line="360" w:lineRule="auto"/>
        <w:ind w:left="720" w:hanging="720"/>
        <w:jc w:val="both"/>
      </w:pPr>
      <w:r w:rsidRPr="00351E55">
        <w:lastRenderedPageBreak/>
        <w:t xml:space="preserve">NHS England (2026a) </w:t>
      </w:r>
      <w:r w:rsidRPr="00351E55">
        <w:rPr>
          <w:i/>
          <w:iCs/>
        </w:rPr>
        <w:t>Preparing the NHS for Digital-by-Default</w:t>
      </w:r>
      <w:r w:rsidRPr="00351E55">
        <w:t xml:space="preserve">. London: NHS England [Online]. Available at: </w:t>
      </w:r>
      <w:hyperlink r:id="rId17" w:history="1">
        <w:r w:rsidRPr="00351E55">
          <w:rPr>
            <w:rStyle w:val="Hyperlink"/>
          </w:rPr>
          <w:t>https://www.england.nhs.uk/digitaltechnology/digitising-the-frontline/preparing-the-nhs-for-digital-by-default/</w:t>
        </w:r>
      </w:hyperlink>
      <w:r w:rsidRPr="00351E55">
        <w:t xml:space="preserve"> (Accessed: 14 June 2026).</w:t>
      </w:r>
    </w:p>
    <w:p w14:paraId="00E4FBBF" w14:textId="77777777" w:rsidR="00351E55" w:rsidRPr="00351E55" w:rsidRDefault="00351E55" w:rsidP="00C67279">
      <w:pPr>
        <w:spacing w:after="160" w:line="360" w:lineRule="auto"/>
        <w:ind w:left="720" w:hanging="720"/>
        <w:jc w:val="both"/>
      </w:pPr>
      <w:r w:rsidRPr="00351E55">
        <w:t xml:space="preserve">Pharmaceutical Journal, The (2024) 'Chancellor promises electronic patient records for all NHS trusts by March 2026', </w:t>
      </w:r>
      <w:r w:rsidRPr="00351E55">
        <w:rPr>
          <w:i/>
          <w:iCs/>
        </w:rPr>
        <w:t>The Pharmaceutical Journal</w:t>
      </w:r>
      <w:r w:rsidRPr="00351E55">
        <w:t xml:space="preserve">, 13 March [Online]. Available at: </w:t>
      </w:r>
      <w:hyperlink r:id="rId18" w:history="1">
        <w:r w:rsidRPr="00351E55">
          <w:rPr>
            <w:rStyle w:val="Hyperlink"/>
          </w:rPr>
          <w:t>https://pharmaceutical-journal.com/article/news/chancellor-promises-electronic-patient-records-for-all-nhs-trusts-by-march-2026</w:t>
        </w:r>
      </w:hyperlink>
      <w:r w:rsidRPr="00351E55">
        <w:t xml:space="preserve"> (Accessed: 14 June 2026).</w:t>
      </w:r>
    </w:p>
    <w:p w14:paraId="449E4F89" w14:textId="625B08C0" w:rsidR="00932B48" w:rsidRDefault="00932B48" w:rsidP="00C67279">
      <w:pPr>
        <w:spacing w:after="160" w:line="360" w:lineRule="auto"/>
        <w:ind w:left="720" w:hanging="720"/>
        <w:jc w:val="both"/>
      </w:pPr>
    </w:p>
    <w:sectPr w:rsidR="00932B48" w:rsidSect="00D0619D">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993BA" w14:textId="77777777" w:rsidR="00AF31A1" w:rsidRDefault="00AF31A1">
      <w:r>
        <w:separator/>
      </w:r>
    </w:p>
  </w:endnote>
  <w:endnote w:type="continuationSeparator" w:id="0">
    <w:p w14:paraId="3293DE3A" w14:textId="77777777" w:rsidR="00AF31A1" w:rsidRDefault="00AF3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902427"/>
      <w:docPartObj>
        <w:docPartGallery w:val="Page Numbers (Bottom of Page)"/>
        <w:docPartUnique/>
      </w:docPartObj>
    </w:sdtPr>
    <w:sdtContent>
      <w:p w14:paraId="6130F629" w14:textId="720B6CF7" w:rsidR="00D0619D" w:rsidRDefault="00D0619D">
        <w:pPr>
          <w:pStyle w:val="Footer"/>
        </w:pPr>
        <w:r>
          <w:fldChar w:fldCharType="begin"/>
        </w:r>
        <w:r>
          <w:instrText>PAGE   \* MERGEFORMAT</w:instrText>
        </w:r>
        <w:r>
          <w:fldChar w:fldCharType="separate"/>
        </w:r>
        <w:r>
          <w:t>2</w:t>
        </w:r>
        <w:r>
          <w:fldChar w:fldCharType="end"/>
        </w:r>
      </w:p>
    </w:sdtContent>
  </w:sdt>
  <w:p w14:paraId="25B574DD" w14:textId="410468B0" w:rsidR="00932B48" w:rsidRDefault="00932B4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31A8B" w14:textId="77777777" w:rsidR="00AF31A1" w:rsidRDefault="00AF31A1">
      <w:r>
        <w:separator/>
      </w:r>
    </w:p>
  </w:footnote>
  <w:footnote w:type="continuationSeparator" w:id="0">
    <w:p w14:paraId="1DD12536" w14:textId="77777777" w:rsidR="00AF31A1" w:rsidRDefault="00AF31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3821"/>
    <w:multiLevelType w:val="hybridMultilevel"/>
    <w:tmpl w:val="2B887220"/>
    <w:lvl w:ilvl="0" w:tplc="984E6E32">
      <w:start w:val="1"/>
      <w:numFmt w:val="bullet"/>
      <w:lvlText w:val="●"/>
      <w:lvlJc w:val="left"/>
      <w:pPr>
        <w:ind w:left="720" w:hanging="360"/>
      </w:pPr>
    </w:lvl>
    <w:lvl w:ilvl="1" w:tplc="16C4CBC0">
      <w:start w:val="1"/>
      <w:numFmt w:val="bullet"/>
      <w:lvlText w:val="○"/>
      <w:lvlJc w:val="left"/>
      <w:pPr>
        <w:ind w:left="1440" w:hanging="360"/>
      </w:pPr>
    </w:lvl>
    <w:lvl w:ilvl="2" w:tplc="3538052E">
      <w:start w:val="1"/>
      <w:numFmt w:val="bullet"/>
      <w:lvlText w:val="■"/>
      <w:lvlJc w:val="left"/>
      <w:pPr>
        <w:ind w:left="2160" w:hanging="360"/>
      </w:pPr>
    </w:lvl>
    <w:lvl w:ilvl="3" w:tplc="EE72110A">
      <w:start w:val="1"/>
      <w:numFmt w:val="bullet"/>
      <w:lvlText w:val="●"/>
      <w:lvlJc w:val="left"/>
      <w:pPr>
        <w:ind w:left="2880" w:hanging="360"/>
      </w:pPr>
    </w:lvl>
    <w:lvl w:ilvl="4" w:tplc="0C0C7A9E">
      <w:start w:val="1"/>
      <w:numFmt w:val="bullet"/>
      <w:lvlText w:val="○"/>
      <w:lvlJc w:val="left"/>
      <w:pPr>
        <w:ind w:left="3600" w:hanging="360"/>
      </w:pPr>
    </w:lvl>
    <w:lvl w:ilvl="5" w:tplc="689A79B2">
      <w:start w:val="1"/>
      <w:numFmt w:val="bullet"/>
      <w:lvlText w:val="■"/>
      <w:lvlJc w:val="left"/>
      <w:pPr>
        <w:ind w:left="4320" w:hanging="360"/>
      </w:pPr>
    </w:lvl>
    <w:lvl w:ilvl="6" w:tplc="27FEC9D6">
      <w:start w:val="1"/>
      <w:numFmt w:val="bullet"/>
      <w:lvlText w:val="●"/>
      <w:lvlJc w:val="left"/>
      <w:pPr>
        <w:ind w:left="5040" w:hanging="360"/>
      </w:pPr>
    </w:lvl>
    <w:lvl w:ilvl="7" w:tplc="C9A67A2C">
      <w:start w:val="1"/>
      <w:numFmt w:val="bullet"/>
      <w:lvlText w:val="●"/>
      <w:lvlJc w:val="left"/>
      <w:pPr>
        <w:ind w:left="5760" w:hanging="360"/>
      </w:pPr>
    </w:lvl>
    <w:lvl w:ilvl="8" w:tplc="563CA754">
      <w:start w:val="1"/>
      <w:numFmt w:val="bullet"/>
      <w:lvlText w:val="●"/>
      <w:lvlJc w:val="left"/>
      <w:pPr>
        <w:ind w:left="6480" w:hanging="360"/>
      </w:pPr>
    </w:lvl>
  </w:abstractNum>
  <w:num w:numId="1" w16cid:durableId="390610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48"/>
    <w:rsid w:val="00031D27"/>
    <w:rsid w:val="00052DCC"/>
    <w:rsid w:val="000F3BF4"/>
    <w:rsid w:val="0010524B"/>
    <w:rsid w:val="001748A5"/>
    <w:rsid w:val="001C13E4"/>
    <w:rsid w:val="00243994"/>
    <w:rsid w:val="00351E55"/>
    <w:rsid w:val="00404F0F"/>
    <w:rsid w:val="00470983"/>
    <w:rsid w:val="006C67A8"/>
    <w:rsid w:val="006F7A66"/>
    <w:rsid w:val="00932B48"/>
    <w:rsid w:val="009C736A"/>
    <w:rsid w:val="00A1753F"/>
    <w:rsid w:val="00AC0492"/>
    <w:rsid w:val="00AF31A1"/>
    <w:rsid w:val="00B17E1D"/>
    <w:rsid w:val="00B3138F"/>
    <w:rsid w:val="00C50A92"/>
    <w:rsid w:val="00C67279"/>
    <w:rsid w:val="00C7224E"/>
    <w:rsid w:val="00CB45B4"/>
    <w:rsid w:val="00D0619D"/>
    <w:rsid w:val="00E55BE9"/>
    <w:rsid w:val="00FC1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0E21B"/>
  <w15:docId w15:val="{F1C11BB2-9078-4A82-9123-646985FB8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40"/>
      <w:outlineLvl w:val="0"/>
    </w:pPr>
    <w:rPr>
      <w:b/>
      <w:bCs/>
      <w:sz w:val="26"/>
      <w:szCs w:val="2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351E55"/>
    <w:rPr>
      <w:color w:val="605E5C"/>
      <w:shd w:val="clear" w:color="auto" w:fill="E1DFDD"/>
    </w:rPr>
  </w:style>
  <w:style w:type="paragraph" w:styleId="Header">
    <w:name w:val="header"/>
    <w:basedOn w:val="Normal"/>
    <w:link w:val="HeaderChar"/>
    <w:uiPriority w:val="99"/>
    <w:unhideWhenUsed/>
    <w:rsid w:val="00D0619D"/>
    <w:pPr>
      <w:tabs>
        <w:tab w:val="center" w:pos="4513"/>
        <w:tab w:val="right" w:pos="9026"/>
      </w:tabs>
    </w:pPr>
  </w:style>
  <w:style w:type="character" w:customStyle="1" w:styleId="HeaderChar">
    <w:name w:val="Header Char"/>
    <w:basedOn w:val="DefaultParagraphFont"/>
    <w:link w:val="Header"/>
    <w:uiPriority w:val="99"/>
    <w:rsid w:val="00D0619D"/>
  </w:style>
  <w:style w:type="paragraph" w:styleId="Footer">
    <w:name w:val="footer"/>
    <w:basedOn w:val="Normal"/>
    <w:link w:val="FooterChar"/>
    <w:uiPriority w:val="99"/>
    <w:unhideWhenUsed/>
    <w:rsid w:val="00D0619D"/>
    <w:pPr>
      <w:tabs>
        <w:tab w:val="center" w:pos="4513"/>
        <w:tab w:val="right" w:pos="9026"/>
      </w:tabs>
    </w:pPr>
  </w:style>
  <w:style w:type="character" w:customStyle="1" w:styleId="FooterChar">
    <w:name w:val="Footer Char"/>
    <w:basedOn w:val="DefaultParagraphFont"/>
    <w:link w:val="Footer"/>
    <w:uiPriority w:val="99"/>
    <w:rsid w:val="00D0619D"/>
  </w:style>
  <w:style w:type="paragraph" w:styleId="NoSpacing">
    <w:name w:val="No Spacing"/>
    <w:link w:val="NoSpacingChar"/>
    <w:uiPriority w:val="1"/>
    <w:qFormat/>
    <w:rsid w:val="00D0619D"/>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D0619D"/>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alth.org.uk/reports-and-analysis/analysis/electronic-patient-record-systems-in-england-what-do-nhs-staff-think" TargetMode="External"/><Relationship Id="rId18" Type="http://schemas.openxmlformats.org/officeDocument/2006/relationships/hyperlink" Target="https://pharmaceutical-journal.com/article/news/chancellor-promises-electronic-patient-records-for-all-nhs-trusts-by-march-2026"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publications.parliament.uk/pa/cm5803/cmselect/cmhealth/223/report.html" TargetMode="External"/><Relationship Id="rId17" Type="http://schemas.openxmlformats.org/officeDocument/2006/relationships/hyperlink" Target="https://www.england.nhs.uk/digitaltechnology/digitising-the-frontline/preparing-the-nhs-for-digital-by-default/" TargetMode="External"/><Relationship Id="rId2" Type="http://schemas.openxmlformats.org/officeDocument/2006/relationships/customXml" Target="../customXml/item2.xml"/><Relationship Id="rId16" Type="http://schemas.openxmlformats.org/officeDocument/2006/relationships/hyperlink" Target="https://www.england.nhs.uk/digitaltechnology/digitising-the-frontline/2024-electronic-patient-record-epr-usability-survey-for-secondary-care-key-finding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ansard.parliament.uk/lords/2025-02-12" TargetMode="External"/><Relationship Id="rId5" Type="http://schemas.openxmlformats.org/officeDocument/2006/relationships/settings" Target="settings.xml"/><Relationship Id="rId15" Type="http://schemas.openxmlformats.org/officeDocument/2006/relationships/hyperlink" Target="https://www.england.nhs.uk/digitaltechnology/digitising-the-frontline/" TargetMode="External"/><Relationship Id="rId10" Type="http://schemas.openxmlformats.org/officeDocument/2006/relationships/hyperlink" Target="https://www.digitalhealth.net/2024/11/concerns-raised-that-nhs-digital-plans-could-exclude-older-adult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computerweekly.com/news/366560172/NHS-England-hits-90-target-for-electronic-patient-records" TargetMode="External"/><Relationship Id="rId14" Type="http://schemas.openxmlformats.org/officeDocument/2006/relationships/hyperlink" Target="https://www.hfma.org.uk/publications/implementing-electronic-patient-reco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Tomy Adattu Chacko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6D4865-8842-436A-807D-DED26C9F6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3004</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Written Report</dc:title>
  <dc:subject>Digital Transformation in the Health and Care</dc:subject>
  <dc:creator>Un-named</dc:creator>
  <cp:lastModifiedBy>Nafeesa Bibi (2331120)</cp:lastModifiedBy>
  <cp:revision>3</cp:revision>
  <dcterms:created xsi:type="dcterms:W3CDTF">2026-06-27T10:20:00Z</dcterms:created>
  <dcterms:modified xsi:type="dcterms:W3CDTF">2026-06-27T10:34:00Z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1b67b4e1-ae33-46ae-9ca5-3088bffe6e59</vt:lpwstr>
  </property>
</Properties>
</file>