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5511B0" w14:textId="5324CDBF" w:rsidR="00540319" w:rsidRPr="00AC7398" w:rsidRDefault="00540319">
      <w:pPr>
        <w:rPr>
          <w:b/>
          <w:bCs/>
          <w:sz w:val="28"/>
          <w:szCs w:val="28"/>
        </w:rPr>
      </w:pPr>
      <w:r w:rsidRPr="00AC7398">
        <w:rPr>
          <w:b/>
          <w:bCs/>
          <w:sz w:val="28"/>
          <w:szCs w:val="28"/>
        </w:rPr>
        <w:t>Specialist Employment Law (BMPD5022)</w:t>
      </w:r>
    </w:p>
    <w:p w14:paraId="45F5F7C5" w14:textId="64D6259D" w:rsidR="00540319" w:rsidRPr="00AC7398" w:rsidRDefault="00540319">
      <w:pPr>
        <w:rPr>
          <w:sz w:val="24"/>
          <w:szCs w:val="24"/>
          <w:u w:val="single"/>
        </w:rPr>
      </w:pPr>
      <w:r w:rsidRPr="00AC7398">
        <w:rPr>
          <w:sz w:val="24"/>
          <w:szCs w:val="24"/>
          <w:u w:val="single"/>
        </w:rPr>
        <w:t>Task 1</w:t>
      </w:r>
    </w:p>
    <w:p w14:paraId="077B7FB3" w14:textId="5A51EC88" w:rsidR="00957739" w:rsidRDefault="00957739">
      <w:pPr>
        <w:rPr>
          <w:i/>
          <w:iCs/>
        </w:rPr>
      </w:pPr>
      <w:r>
        <w:t>Employment Law is an essential element in the relationship between an employee and their employer. The Chartered Institute of Professional Development (CIPD) says ‘</w:t>
      </w:r>
      <w:r>
        <w:rPr>
          <w:i/>
          <w:iCs/>
        </w:rPr>
        <w:t xml:space="preserve">Employment Law </w:t>
      </w:r>
      <w:r w:rsidRPr="00957739">
        <w:rPr>
          <w:i/>
          <w:iCs/>
        </w:rPr>
        <w:t>governs what employers can expect from employees, what employers can ask employees to do, and employees’ rights at work</w:t>
      </w:r>
      <w:r>
        <w:rPr>
          <w:i/>
          <w:iCs/>
        </w:rPr>
        <w:t xml:space="preserve">’. </w:t>
      </w:r>
      <w:sdt>
        <w:sdtPr>
          <w:rPr>
            <w:i/>
            <w:iCs/>
          </w:rPr>
          <w:id w:val="606015367"/>
          <w:citation/>
        </w:sdtPr>
        <w:sdtContent>
          <w:r>
            <w:rPr>
              <w:i/>
              <w:iCs/>
            </w:rPr>
            <w:fldChar w:fldCharType="begin"/>
          </w:r>
          <w:r>
            <w:rPr>
              <w:i/>
              <w:iCs/>
            </w:rPr>
            <w:instrText xml:space="preserve"> CITATION CIP222 \l 2057 </w:instrText>
          </w:r>
          <w:r>
            <w:rPr>
              <w:i/>
              <w:iCs/>
            </w:rPr>
            <w:fldChar w:fldCharType="separate"/>
          </w:r>
          <w:r>
            <w:rPr>
              <w:noProof/>
            </w:rPr>
            <w:t>(CIPD, 2022)</w:t>
          </w:r>
          <w:r>
            <w:rPr>
              <w:i/>
              <w:iCs/>
            </w:rPr>
            <w:fldChar w:fldCharType="end"/>
          </w:r>
        </w:sdtContent>
      </w:sdt>
    </w:p>
    <w:p w14:paraId="13EC0110" w14:textId="18C3AB93" w:rsidR="00957739" w:rsidRPr="00AC7398" w:rsidRDefault="00957739" w:rsidP="00957739">
      <w:pPr>
        <w:pStyle w:val="ListParagraph"/>
        <w:numPr>
          <w:ilvl w:val="1"/>
          <w:numId w:val="1"/>
        </w:numPr>
        <w:rPr>
          <w:b/>
          <w:bCs/>
        </w:rPr>
      </w:pPr>
      <w:r w:rsidRPr="00AC7398">
        <w:rPr>
          <w:b/>
          <w:bCs/>
        </w:rPr>
        <w:t>Aims and Objectives of Employment Regulation</w:t>
      </w:r>
    </w:p>
    <w:p w14:paraId="39A56294" w14:textId="37C1AFDF" w:rsidR="00957739" w:rsidRDefault="00957739" w:rsidP="00957739">
      <w:r>
        <w:t xml:space="preserve">Employee protection </w:t>
      </w:r>
      <w:r w:rsidR="005918EB">
        <w:t>–</w:t>
      </w:r>
      <w:r>
        <w:t xml:space="preserve"> </w:t>
      </w:r>
      <w:r w:rsidR="005918EB">
        <w:t xml:space="preserve">The Employment Law has been introduced to provide a minimum level of what is to be provided and expected by an employee. The standards that are to be provided to an employee and the protection from exploitation – whether this be through age, protected characteristics, environment in which they are expected to work under as well as working hours, leave allowance and periods of breaks during working hours. It also provides the employee with a minimum amount that they are to be paid in return for the work that they undertake. </w:t>
      </w:r>
    </w:p>
    <w:p w14:paraId="5A91999D" w14:textId="4A38323D" w:rsidR="005918EB" w:rsidRDefault="005918EB" w:rsidP="00957739">
      <w:r>
        <w:t xml:space="preserve">Fairness, </w:t>
      </w:r>
      <w:proofErr w:type="gramStart"/>
      <w:r>
        <w:t>equality</w:t>
      </w:r>
      <w:proofErr w:type="gramEnd"/>
      <w:r>
        <w:t xml:space="preserve"> and inclusion – Employment Law has incorporated the requirement of the Equality Act in order to impose fairness and equality across the spectrum of employment. There have been tighter control measurements introduced and implemented to raise the </w:t>
      </w:r>
      <w:r w:rsidR="00EC56CD">
        <w:t>equality of minority populations as well as females in the workplace. This has included fair and equal pay and changes to policy to ensure that all employees are treated in equitable terms for the work that they undertake. By introducing these measures, it has raised the retention rates within the workplace and the wellbeing of staff.</w:t>
      </w:r>
    </w:p>
    <w:p w14:paraId="68EC2227" w14:textId="48040922" w:rsidR="00EC56CD" w:rsidRDefault="00EC56CD" w:rsidP="00957739">
      <w:r>
        <w:t xml:space="preserve">Social justice – All employees should have the right to equal and fair treatment and as such should be protected from discrimination, </w:t>
      </w:r>
      <w:proofErr w:type="gramStart"/>
      <w:r>
        <w:t>harassment</w:t>
      </w:r>
      <w:proofErr w:type="gramEnd"/>
      <w:r>
        <w:t xml:space="preserve"> and bullying. Although leadership and management are core to every organisation, it is paramount that those individuals in roles such as this, do not become enthralled with the position they are in and use it against employees for their own gain.  </w:t>
      </w:r>
      <w:sdt>
        <w:sdtPr>
          <w:id w:val="985510611"/>
          <w:citation/>
        </w:sdtPr>
        <w:sdtContent>
          <w:r>
            <w:fldChar w:fldCharType="begin"/>
          </w:r>
          <w:r>
            <w:instrText xml:space="preserve"> CITATION CIP212 \l 2057 </w:instrText>
          </w:r>
          <w:r>
            <w:fldChar w:fldCharType="separate"/>
          </w:r>
          <w:r>
            <w:rPr>
              <w:noProof/>
            </w:rPr>
            <w:t>(CIPD, 2021)</w:t>
          </w:r>
          <w:r>
            <w:fldChar w:fldCharType="end"/>
          </w:r>
        </w:sdtContent>
      </w:sdt>
      <w:r w:rsidR="00A0647A">
        <w:t xml:space="preserve"> Within this, employees are entitled to their rights even if they are on the national minimum wage or otherwise; in relation to leave, maternity and others. </w:t>
      </w:r>
    </w:p>
    <w:p w14:paraId="7E2F6ED6" w14:textId="20E8D50A" w:rsidR="00EC56CD" w:rsidRDefault="00EC56CD" w:rsidP="00957739">
      <w:r>
        <w:t xml:space="preserve">There are two sides to the argument with regards to the implementation of tighter regulations around employee relations. </w:t>
      </w:r>
      <w:r w:rsidR="009627E0">
        <w:t xml:space="preserve">Those in favour will say that there are benefits in the alignment between employees and employers and that this builds more trust and empowerment in an organisation where there are no power struggles or overarching exploitation from positions of authority. Minority groups are protected and therefore will maintain their employment with organisations that are ethical and equitable rather than leave and result in higher turnover of staff as well as reputation damage. On the other hand, those who are against the extensive regulations will say that the imposed rules will provide slower economic growth and will raise the costs of business as well as reducing the employment opportunities for those from ethnic backgrounds or protected characteristics. From the viewpoint of the organisation where I am currently working, the regulations provide great opportunity to open up opportunities across the whole of the organisation in order to fulfil the requirements of the regulations. By being such a diverse organisation with a vast </w:t>
      </w:r>
      <w:proofErr w:type="gramStart"/>
      <w:r w:rsidR="009627E0">
        <w:t>amount</w:t>
      </w:r>
      <w:proofErr w:type="gramEnd"/>
      <w:r w:rsidR="009627E0">
        <w:t xml:space="preserve"> of different roles and responsibilities it has been an opportune achievement to hold positive action workshops in all areas to try and raise the awareness of our communities as to the roles that are available – this then being a more diverse, inclusive workforce.</w:t>
      </w:r>
    </w:p>
    <w:p w14:paraId="1F419A54" w14:textId="31E8D246" w:rsidR="009627E0" w:rsidRDefault="009627E0" w:rsidP="00957739">
      <w:r>
        <w:lastRenderedPageBreak/>
        <w:t xml:space="preserve">It has also been included within the equality, </w:t>
      </w:r>
      <w:proofErr w:type="gramStart"/>
      <w:r>
        <w:t>diversity</w:t>
      </w:r>
      <w:proofErr w:type="gramEnd"/>
      <w:r>
        <w:t xml:space="preserve"> and inclusion policies that the roles will be allocate the ‘</w:t>
      </w:r>
      <w:proofErr w:type="spellStart"/>
      <w:r>
        <w:t>payscale</w:t>
      </w:r>
      <w:proofErr w:type="spellEnd"/>
      <w:r>
        <w:t>’ and not the individual that carries out the role so that there are elements of fair pay across the whole organisation.</w:t>
      </w:r>
    </w:p>
    <w:p w14:paraId="4BD7A610" w14:textId="572DA16A" w:rsidR="009627E0" w:rsidRPr="00AC7398" w:rsidRDefault="009627E0" w:rsidP="009627E0">
      <w:pPr>
        <w:pStyle w:val="ListParagraph"/>
        <w:numPr>
          <w:ilvl w:val="1"/>
          <w:numId w:val="1"/>
        </w:numPr>
        <w:rPr>
          <w:b/>
          <w:bCs/>
        </w:rPr>
      </w:pPr>
      <w:r w:rsidRPr="00AC7398">
        <w:rPr>
          <w:b/>
          <w:bCs/>
        </w:rPr>
        <w:t>Role played by the tribunal and courts system in enforcing employment law</w:t>
      </w:r>
    </w:p>
    <w:p w14:paraId="0FD0C54C" w14:textId="17E74808" w:rsidR="009627E0" w:rsidRPr="00957739" w:rsidRDefault="00A0647A" w:rsidP="009627E0">
      <w:r>
        <w:t xml:space="preserve">Employment tribunals will deal with claims that are raised as a result of malpractice within the employment law statutes. This is usually brought to the court by the aggrieved who is or has been an employee of a company and this can relate to unfair, wrongful dismissals, unequal pay, </w:t>
      </w:r>
      <w:proofErr w:type="gramStart"/>
      <w:r>
        <w:t>discrimination</w:t>
      </w:r>
      <w:proofErr w:type="gramEnd"/>
      <w:r>
        <w:t xml:space="preserve"> or wage disputes. There are two types of Employment Law in the </w:t>
      </w:r>
      <w:proofErr w:type="gramStart"/>
      <w:r>
        <w:t>UK;</w:t>
      </w:r>
      <w:proofErr w:type="gramEnd"/>
      <w:r>
        <w:t xml:space="preserve"> private and civil law. Depending on the issue that is being brought before the Court will depend on the route that it will take. Claims such as discrimination and unequal pay will be heard through the employment tribunal route whereas the cases that include accidents in the workplace will be dealt with in the civil court. </w:t>
      </w:r>
    </w:p>
    <w:p w14:paraId="22398122" w14:textId="3721C0E4" w:rsidR="00957739" w:rsidRDefault="00A0647A">
      <w:pPr>
        <w:rPr>
          <w:i/>
          <w:iCs/>
        </w:rPr>
      </w:pPr>
      <w:r>
        <w:rPr>
          <w:i/>
          <w:iCs/>
          <w:noProof/>
        </w:rPr>
        <w:drawing>
          <wp:inline distT="0" distB="0" distL="0" distR="0" wp14:anchorId="024A06C6" wp14:editId="72108FD9">
            <wp:extent cx="5731510" cy="3864610"/>
            <wp:effectExtent l="0" t="0" r="2540" b="2540"/>
            <wp:docPr id="1" name="Picture 1" descr="Diagram&#10;&#10;CIPD Employment Court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CIPD Employment Court Hierarchy"/>
                    <pic:cNvPicPr/>
                  </pic:nvPicPr>
                  <pic:blipFill>
                    <a:blip r:embed="rId8">
                      <a:extLst>
                        <a:ext uri="{28A0092B-C50C-407E-A947-70E740481C1C}">
                          <a14:useLocalDpi xmlns:a14="http://schemas.microsoft.com/office/drawing/2010/main" val="0"/>
                        </a:ext>
                      </a:extLst>
                    </a:blip>
                    <a:stretch>
                      <a:fillRect/>
                    </a:stretch>
                  </pic:blipFill>
                  <pic:spPr>
                    <a:xfrm>
                      <a:off x="0" y="0"/>
                      <a:ext cx="5731510" cy="3864610"/>
                    </a:xfrm>
                    <a:prstGeom prst="rect">
                      <a:avLst/>
                    </a:prstGeom>
                  </pic:spPr>
                </pic:pic>
              </a:graphicData>
            </a:graphic>
          </wp:inline>
        </w:drawing>
      </w:r>
    </w:p>
    <w:p w14:paraId="24F1C92A" w14:textId="06E45560" w:rsidR="00A0647A" w:rsidRDefault="00B42DAB" w:rsidP="00A0647A">
      <w:pPr>
        <w:jc w:val="right"/>
        <w:rPr>
          <w:i/>
          <w:iCs/>
        </w:rPr>
      </w:pPr>
      <w:sdt>
        <w:sdtPr>
          <w:rPr>
            <w:i/>
            <w:iCs/>
          </w:rPr>
          <w:id w:val="-1497489198"/>
          <w:citation/>
        </w:sdtPr>
        <w:sdtContent>
          <w:r w:rsidR="00A0647A">
            <w:rPr>
              <w:i/>
              <w:iCs/>
            </w:rPr>
            <w:fldChar w:fldCharType="begin"/>
          </w:r>
          <w:r w:rsidR="00A0647A">
            <w:rPr>
              <w:i/>
              <w:iCs/>
            </w:rPr>
            <w:instrText xml:space="preserve"> CITATION CIP222 \l 2057 </w:instrText>
          </w:r>
          <w:r w:rsidR="00A0647A">
            <w:rPr>
              <w:i/>
              <w:iCs/>
            </w:rPr>
            <w:fldChar w:fldCharType="separate"/>
          </w:r>
          <w:r w:rsidR="00A0647A">
            <w:rPr>
              <w:noProof/>
            </w:rPr>
            <w:t>(CIPD, 2022)</w:t>
          </w:r>
          <w:r w:rsidR="00A0647A">
            <w:rPr>
              <w:i/>
              <w:iCs/>
            </w:rPr>
            <w:fldChar w:fldCharType="end"/>
          </w:r>
        </w:sdtContent>
      </w:sdt>
    </w:p>
    <w:p w14:paraId="00ABEC31" w14:textId="25081121" w:rsidR="00A0647A" w:rsidRDefault="009C64B0" w:rsidP="00A0647A">
      <w:r>
        <w:t>An employee can bring their case after termination and the claim must be made within three months, the tribunal will review the case to ensure compliance with the rules and regulations set by ACAS (Advisory, Conciliation and Arbitration Service) by both employee and employer. The tribunal will follow the advice of the Employment Appeals Tribunal (EAT), Supreme Court and Court of Appeal to consider any new case. If no decision can be made in the tribunal, it can move to the appeal court where a decision will be made purely on the legislation and compliance of that law.</w:t>
      </w:r>
    </w:p>
    <w:p w14:paraId="4185F5FB" w14:textId="5747B934" w:rsidR="009C64B0" w:rsidRDefault="009C64B0" w:rsidP="00A0647A"/>
    <w:p w14:paraId="7598E5DD" w14:textId="05B757A9" w:rsidR="00AC7398" w:rsidRDefault="00AC7398" w:rsidP="00A0647A"/>
    <w:p w14:paraId="65AA91FC" w14:textId="77777777" w:rsidR="00AC7398" w:rsidRDefault="00AC7398" w:rsidP="00A0647A"/>
    <w:p w14:paraId="1C71B77C" w14:textId="7062CA93" w:rsidR="009C64B0" w:rsidRPr="00AC7398" w:rsidRDefault="009C64B0" w:rsidP="009C64B0">
      <w:pPr>
        <w:pStyle w:val="ListParagraph"/>
        <w:numPr>
          <w:ilvl w:val="1"/>
          <w:numId w:val="1"/>
        </w:numPr>
        <w:rPr>
          <w:b/>
          <w:bCs/>
        </w:rPr>
      </w:pPr>
      <w:r w:rsidRPr="00AC7398">
        <w:rPr>
          <w:b/>
          <w:bCs/>
        </w:rPr>
        <w:lastRenderedPageBreak/>
        <w:t>How cases are settled before and during formal legal procedures</w:t>
      </w:r>
    </w:p>
    <w:p w14:paraId="2169BC20" w14:textId="2DFE5D49" w:rsidR="009C64B0" w:rsidRDefault="009C64B0" w:rsidP="009C64B0">
      <w:r>
        <w:t xml:space="preserve">There are a number of ways that cases can be settled prior to entering into the costly court process. These can include consultation with the ACAS, although this is not part of the tribunal system, forms have to be completed and submitted to ACAS prior to any case being heard at a Court. ACAS suggests a number of ways to attempt resolving issues that have been raised such </w:t>
      </w:r>
      <w:proofErr w:type="gramStart"/>
      <w:r>
        <w:t>as;</w:t>
      </w:r>
      <w:proofErr w:type="gramEnd"/>
    </w:p>
    <w:p w14:paraId="124D73E4" w14:textId="072CC5F5" w:rsidR="009C64B0" w:rsidRDefault="009C64B0" w:rsidP="009C64B0">
      <w:r>
        <w:t xml:space="preserve">Mediation </w:t>
      </w:r>
      <w:r w:rsidR="00675654">
        <w:t>–</w:t>
      </w:r>
      <w:r>
        <w:t xml:space="preserve"> </w:t>
      </w:r>
      <w:r w:rsidR="00675654">
        <w:t>this is normally a voluntary action on both parts (employee and employer) so that issues can be raised, discussed with the outlook that resolution can be applied in an informal manner. An advantage of doing this is that both parties are involved and can participate equally. A disadvantage may be that there are no witnesses and can be challenging to obtain all relevant evidence at this stage of the case being raised.</w:t>
      </w:r>
    </w:p>
    <w:p w14:paraId="5BB2F5EF" w14:textId="2877A10C" w:rsidR="00675654" w:rsidRDefault="00675654" w:rsidP="009C64B0">
      <w:r>
        <w:t>Conciliation – this again is normally undertaken on a voluntary basis, and both parties will be involved with a conciliator to resolve the issues amicably. An advantage of this is that it is relatively cheap in comparison to the costs of raising this at the Court. A disadvantage may be that there is no appeals process and can leave the claimant feeling isolated if there is no relative settlement on both parts.</w:t>
      </w:r>
    </w:p>
    <w:p w14:paraId="106A04EE" w14:textId="5360425C" w:rsidR="00675654" w:rsidRDefault="00675654" w:rsidP="009C64B0">
      <w:r>
        <w:t xml:space="preserve">Arbitration – this will have the involvement of an independent third party who will ultimately make the decision on the outcome of the case that has been raised. An advantage of this process is that it is much quicker and effective than that of a court </w:t>
      </w:r>
      <w:proofErr w:type="gramStart"/>
      <w:r>
        <w:t>hearing</w:t>
      </w:r>
      <w:proofErr w:type="gramEnd"/>
      <w:r>
        <w:t xml:space="preserve"> but a disadvantage may be that all parties waive their rights and give the full power to the judge to decide the case when the arbitration is binding. </w:t>
      </w:r>
      <w:sdt>
        <w:sdtPr>
          <w:id w:val="746302090"/>
          <w:citation/>
        </w:sdtPr>
        <w:sdtContent>
          <w:r w:rsidR="00AC7398">
            <w:fldChar w:fldCharType="begin"/>
          </w:r>
          <w:r w:rsidR="00AC7398">
            <w:instrText xml:space="preserve"> CITATION ACA22 \l 2057 </w:instrText>
          </w:r>
          <w:r w:rsidR="00AC7398">
            <w:fldChar w:fldCharType="separate"/>
          </w:r>
          <w:r w:rsidR="00AC7398">
            <w:rPr>
              <w:noProof/>
            </w:rPr>
            <w:t>(ACAS, 2022)</w:t>
          </w:r>
          <w:r w:rsidR="00AC7398">
            <w:fldChar w:fldCharType="end"/>
          </w:r>
        </w:sdtContent>
      </w:sdt>
    </w:p>
    <w:p w14:paraId="2EDEB41E" w14:textId="5BAF5519" w:rsidR="00AC7398" w:rsidRDefault="00AC7398" w:rsidP="009C64B0">
      <w:r>
        <w:t>ACAS allow for this process to be undertaken so that the claimant and the respondent can come to an agreement without having to go to an employment tribunal. If the parties reach an amicable agreement through this process, the results are documented on a COT3 form and the case can be closed.</w:t>
      </w:r>
    </w:p>
    <w:p w14:paraId="70609724" w14:textId="77777777" w:rsidR="00AC7398" w:rsidRDefault="00AC7398" w:rsidP="009C64B0"/>
    <w:p w14:paraId="5ADB1BE5" w14:textId="19F6EBDF" w:rsidR="00AC7398" w:rsidRDefault="00082A7F" w:rsidP="009C64B0">
      <w:r>
        <w:rPr>
          <w:b/>
          <w:bCs/>
        </w:rPr>
        <w:t xml:space="preserve">AC </w:t>
      </w:r>
      <w:r w:rsidR="00AC7398" w:rsidRPr="00AC7398">
        <w:rPr>
          <w:b/>
          <w:bCs/>
        </w:rPr>
        <w:t>4.1 Major statutory rights employees have in relation to pay</w:t>
      </w:r>
    </w:p>
    <w:p w14:paraId="15374586" w14:textId="05ABD573" w:rsidR="006955BB" w:rsidRPr="006955BB" w:rsidRDefault="006955BB" w:rsidP="009C64B0">
      <w:pPr>
        <w:rPr>
          <w:i/>
          <w:iCs/>
        </w:rPr>
      </w:pPr>
      <w:r>
        <w:rPr>
          <w:i/>
          <w:iCs/>
        </w:rPr>
        <w:t>If a person</w:t>
      </w:r>
      <w:r w:rsidRPr="006955BB">
        <w:rPr>
          <w:i/>
          <w:iCs/>
        </w:rPr>
        <w:t xml:space="preserve"> has a contract (either verbal or written) and broadly speaking, they are performing a task in exchange for something in return, they are classed as a worker and all workers have employment rights</w:t>
      </w:r>
      <w:r>
        <w:rPr>
          <w:i/>
          <w:iCs/>
        </w:rPr>
        <w:t xml:space="preserve">. </w:t>
      </w:r>
      <w:sdt>
        <w:sdtPr>
          <w:rPr>
            <w:i/>
            <w:iCs/>
          </w:rPr>
          <w:id w:val="779141605"/>
          <w:citation/>
        </w:sdtPr>
        <w:sdtContent>
          <w:r>
            <w:rPr>
              <w:i/>
              <w:iCs/>
            </w:rPr>
            <w:fldChar w:fldCharType="begin"/>
          </w:r>
          <w:r>
            <w:rPr>
              <w:i/>
              <w:iCs/>
            </w:rPr>
            <w:instrText xml:space="preserve"> CITATION Gov22 \l 2057 </w:instrText>
          </w:r>
          <w:r>
            <w:rPr>
              <w:i/>
              <w:iCs/>
            </w:rPr>
            <w:fldChar w:fldCharType="separate"/>
          </w:r>
          <w:r>
            <w:rPr>
              <w:noProof/>
            </w:rPr>
            <w:t>(Gov.uk, 2022)</w:t>
          </w:r>
          <w:r>
            <w:rPr>
              <w:i/>
              <w:iCs/>
            </w:rPr>
            <w:fldChar w:fldCharType="end"/>
          </w:r>
        </w:sdtContent>
      </w:sdt>
    </w:p>
    <w:p w14:paraId="5DF0D487" w14:textId="36D685C3" w:rsidR="00AC7398" w:rsidRDefault="00963048" w:rsidP="009C64B0">
      <w:r>
        <w:t>There are a number of statutory rights that an employee has in relation to pay, there are Laws regulating the payment of wages and salaries; national minimum wages</w:t>
      </w:r>
      <w:r w:rsidR="00363ED6">
        <w:t xml:space="preserve"> as well as s</w:t>
      </w:r>
      <w:r>
        <w:t>tatutory rates of pay; rights to itemised pay statements</w:t>
      </w:r>
      <w:r w:rsidR="00613F8A">
        <w:t xml:space="preserve"> at the time of receiving their pay as well as protection against unlawful deductions from wages</w:t>
      </w:r>
      <w:r>
        <w:t xml:space="preserve">. </w:t>
      </w:r>
    </w:p>
    <w:p w14:paraId="0EBA41ED" w14:textId="77777777" w:rsidR="00363ED6" w:rsidRPr="00AC7398" w:rsidRDefault="00363ED6" w:rsidP="009C64B0"/>
    <w:tbl>
      <w:tblPr>
        <w:tblStyle w:val="TableGrid"/>
        <w:tblW w:w="9209" w:type="dxa"/>
        <w:tblLook w:val="04A0" w:firstRow="1" w:lastRow="0" w:firstColumn="1" w:lastColumn="0" w:noHBand="0" w:noVBand="1"/>
      </w:tblPr>
      <w:tblGrid>
        <w:gridCol w:w="2972"/>
        <w:gridCol w:w="6237"/>
      </w:tblGrid>
      <w:tr w:rsidR="00613F8A" w14:paraId="567F0C30" w14:textId="77777777" w:rsidTr="00613F8A">
        <w:tc>
          <w:tcPr>
            <w:tcW w:w="2972" w:type="dxa"/>
          </w:tcPr>
          <w:p w14:paraId="05F67518" w14:textId="6DFCC79C" w:rsidR="00613F8A" w:rsidRPr="00613F8A" w:rsidRDefault="00613F8A" w:rsidP="00A0647A">
            <w:pPr>
              <w:rPr>
                <w:b/>
                <w:bCs/>
              </w:rPr>
            </w:pPr>
            <w:r w:rsidRPr="00613F8A">
              <w:rPr>
                <w:b/>
                <w:bCs/>
              </w:rPr>
              <w:t>Statutory Right:</w:t>
            </w:r>
          </w:p>
        </w:tc>
        <w:tc>
          <w:tcPr>
            <w:tcW w:w="6237" w:type="dxa"/>
          </w:tcPr>
          <w:p w14:paraId="5AF6C181" w14:textId="50412387" w:rsidR="00613F8A" w:rsidRPr="00613F8A" w:rsidRDefault="00613F8A" w:rsidP="00A0647A">
            <w:pPr>
              <w:rPr>
                <w:b/>
                <w:bCs/>
              </w:rPr>
            </w:pPr>
            <w:r w:rsidRPr="00613F8A">
              <w:rPr>
                <w:b/>
                <w:bCs/>
              </w:rPr>
              <w:t>Explanation:</w:t>
            </w:r>
          </w:p>
        </w:tc>
      </w:tr>
      <w:tr w:rsidR="00613F8A" w14:paraId="06FA9A09" w14:textId="77777777" w:rsidTr="00613F8A">
        <w:tc>
          <w:tcPr>
            <w:tcW w:w="2972" w:type="dxa"/>
          </w:tcPr>
          <w:p w14:paraId="63036DF1" w14:textId="7C5A8E78" w:rsidR="00613F8A" w:rsidRDefault="0021740D" w:rsidP="00A0647A">
            <w:r>
              <w:t>Payment of wages and salaries</w:t>
            </w:r>
          </w:p>
        </w:tc>
        <w:tc>
          <w:tcPr>
            <w:tcW w:w="6237" w:type="dxa"/>
          </w:tcPr>
          <w:p w14:paraId="159DB4F5" w14:textId="7D883709" w:rsidR="00613F8A" w:rsidRDefault="00EB3F4E" w:rsidP="00A0647A">
            <w:r>
              <w:t xml:space="preserve">Under the contract law and Employment Rights Act 1996 (ERA 1996) both employer and worker are provided with certain rights when it comes to pay. There is an implied duty that an employer will pay a wage or salary in exchange for the work that has been undertaken by the worker to compensate for the activity and time taken. </w:t>
            </w:r>
          </w:p>
        </w:tc>
      </w:tr>
      <w:tr w:rsidR="00613F8A" w14:paraId="2109AD8A" w14:textId="77777777" w:rsidTr="00613F8A">
        <w:tc>
          <w:tcPr>
            <w:tcW w:w="2972" w:type="dxa"/>
          </w:tcPr>
          <w:p w14:paraId="56F41081" w14:textId="2E22997A" w:rsidR="00613F8A" w:rsidRDefault="0021740D" w:rsidP="00A0647A">
            <w:r>
              <w:lastRenderedPageBreak/>
              <w:t>National minimum wages</w:t>
            </w:r>
          </w:p>
        </w:tc>
        <w:tc>
          <w:tcPr>
            <w:tcW w:w="6237" w:type="dxa"/>
          </w:tcPr>
          <w:p w14:paraId="6C29F868" w14:textId="79014314" w:rsidR="00613F8A" w:rsidRDefault="006955BB" w:rsidP="00A0647A">
            <w:r>
              <w:t>This law was introduced to reduce the risk of exploitation and is dependent on age however, anyone over the age of 25 will be paid the National Living Wage. These rates are reviewed every year and companies that exploit this law will be named as this practice is not acceptable.</w:t>
            </w:r>
          </w:p>
        </w:tc>
      </w:tr>
      <w:tr w:rsidR="0021740D" w14:paraId="63CA4459" w14:textId="77777777" w:rsidTr="00613F8A">
        <w:tc>
          <w:tcPr>
            <w:tcW w:w="2972" w:type="dxa"/>
          </w:tcPr>
          <w:p w14:paraId="14825594" w14:textId="06A17ADB" w:rsidR="0021740D" w:rsidRDefault="0021740D" w:rsidP="00A0647A">
            <w:r>
              <w:t xml:space="preserve">Rights to itemised pay statements </w:t>
            </w:r>
          </w:p>
        </w:tc>
        <w:tc>
          <w:tcPr>
            <w:tcW w:w="6237" w:type="dxa"/>
          </w:tcPr>
          <w:p w14:paraId="6719CC94" w14:textId="427290E3" w:rsidR="0021740D" w:rsidRDefault="00A93928" w:rsidP="00A0647A">
            <w:r>
              <w:t>Section 8 ERA 1996 introduced the right for an employee to receive an itemised pay statement either before or at the time that they receive the pay that they are due for the hours that they have worked</w:t>
            </w:r>
            <w:r w:rsidR="00EB3F4E">
              <w:t xml:space="preserve"> along with how much has been deducted for National Insurance and tax</w:t>
            </w:r>
            <w:r>
              <w:t xml:space="preserve">. Within this legislation, employees are also protected from unlawful deductions being taken from their wages (unless covered by authorised due to legislation, by contract or there is an agreement in writing). </w:t>
            </w:r>
          </w:p>
        </w:tc>
      </w:tr>
      <w:tr w:rsidR="0021740D" w14:paraId="6EEFD173" w14:textId="77777777" w:rsidTr="00613F8A">
        <w:tc>
          <w:tcPr>
            <w:tcW w:w="2972" w:type="dxa"/>
          </w:tcPr>
          <w:p w14:paraId="405D0376" w14:textId="64949A19" w:rsidR="0021740D" w:rsidRDefault="0021740D" w:rsidP="00A0647A">
            <w:r>
              <w:t>Equal pay</w:t>
            </w:r>
          </w:p>
        </w:tc>
        <w:tc>
          <w:tcPr>
            <w:tcW w:w="6237" w:type="dxa"/>
          </w:tcPr>
          <w:p w14:paraId="4B5AA16E" w14:textId="3F06FBFE" w:rsidR="0021740D" w:rsidRDefault="006955BB" w:rsidP="00A0647A">
            <w:r>
              <w:t>This legislation was introduced in 1970 to provide women and men the right to be paid the same salary as another for carrying out the work of the same or similar job</w:t>
            </w:r>
          </w:p>
        </w:tc>
      </w:tr>
    </w:tbl>
    <w:p w14:paraId="42D29E1A" w14:textId="1F1A91B6" w:rsidR="009C64B0" w:rsidRDefault="009C64B0" w:rsidP="00A0647A"/>
    <w:p w14:paraId="5954C610" w14:textId="311514AB" w:rsidR="00FF1D93" w:rsidRDefault="00082A7F" w:rsidP="00A0647A">
      <w:r>
        <w:rPr>
          <w:b/>
          <w:bCs/>
        </w:rPr>
        <w:t xml:space="preserve">AC </w:t>
      </w:r>
      <w:r w:rsidR="00AD0C6D">
        <w:rPr>
          <w:b/>
          <w:bCs/>
        </w:rPr>
        <w:t>4.2 Major statutory rights employees have in relation to leave and working time</w:t>
      </w:r>
    </w:p>
    <w:p w14:paraId="38D5C8D7" w14:textId="7C86AE67" w:rsidR="00AD0C6D" w:rsidRPr="00AD0C6D" w:rsidRDefault="00AD0C6D" w:rsidP="00A0647A">
      <w:r>
        <w:t>This is also aligned to the entitlements of equal pay, protection under the working time directive and absence payments, whether this is through sickness, maternity, paternity adoption, special leave or otherwise.</w:t>
      </w:r>
    </w:p>
    <w:tbl>
      <w:tblPr>
        <w:tblStyle w:val="TableGrid"/>
        <w:tblW w:w="9209" w:type="dxa"/>
        <w:tblLook w:val="04A0" w:firstRow="1" w:lastRow="0" w:firstColumn="1" w:lastColumn="0" w:noHBand="0" w:noVBand="1"/>
      </w:tblPr>
      <w:tblGrid>
        <w:gridCol w:w="2972"/>
        <w:gridCol w:w="6237"/>
      </w:tblGrid>
      <w:tr w:rsidR="00AD0C6D" w14:paraId="05A89EF2" w14:textId="77777777" w:rsidTr="00B42DAB">
        <w:tc>
          <w:tcPr>
            <w:tcW w:w="2972" w:type="dxa"/>
          </w:tcPr>
          <w:p w14:paraId="0C2BAC46" w14:textId="77777777" w:rsidR="00AD0C6D" w:rsidRPr="00613F8A" w:rsidRDefault="00AD0C6D" w:rsidP="00B42DAB">
            <w:pPr>
              <w:rPr>
                <w:b/>
                <w:bCs/>
              </w:rPr>
            </w:pPr>
            <w:r w:rsidRPr="00613F8A">
              <w:rPr>
                <w:b/>
                <w:bCs/>
              </w:rPr>
              <w:t>Statutory Right:</w:t>
            </w:r>
          </w:p>
        </w:tc>
        <w:tc>
          <w:tcPr>
            <w:tcW w:w="6237" w:type="dxa"/>
          </w:tcPr>
          <w:p w14:paraId="027CB7ED" w14:textId="77777777" w:rsidR="00AD0C6D" w:rsidRPr="00613F8A" w:rsidRDefault="00AD0C6D" w:rsidP="00B42DAB">
            <w:pPr>
              <w:rPr>
                <w:b/>
                <w:bCs/>
              </w:rPr>
            </w:pPr>
            <w:r w:rsidRPr="00613F8A">
              <w:rPr>
                <w:b/>
                <w:bCs/>
              </w:rPr>
              <w:t>Explanation:</w:t>
            </w:r>
          </w:p>
        </w:tc>
      </w:tr>
      <w:tr w:rsidR="00AD0C6D" w14:paraId="641456D6" w14:textId="77777777" w:rsidTr="00B42DAB">
        <w:tc>
          <w:tcPr>
            <w:tcW w:w="2972" w:type="dxa"/>
          </w:tcPr>
          <w:p w14:paraId="798FAB87" w14:textId="77777777" w:rsidR="00AD0C6D" w:rsidRDefault="00AD0C6D" w:rsidP="00B42DAB">
            <w:r>
              <w:t>Working Time Regulations</w:t>
            </w:r>
          </w:p>
        </w:tc>
        <w:tc>
          <w:tcPr>
            <w:tcW w:w="6237" w:type="dxa"/>
          </w:tcPr>
          <w:p w14:paraId="504EAB1B" w14:textId="3818AD1E" w:rsidR="00AD0C6D" w:rsidRDefault="00AD0C6D" w:rsidP="00B42DAB">
            <w:r>
              <w:t>This legislation was introduced to cover all workers, not just employees. The law was introduced to protect workers from working excessive</w:t>
            </w:r>
            <w:r w:rsidR="00184F72">
              <w:t xml:space="preserve">ly long hours or working long periods of time without a break or holiday. There are regulations in relation to weekly hours worked, annual leave allowance, rest breaks and daily breaks. </w:t>
            </w:r>
          </w:p>
          <w:p w14:paraId="17B45D3F" w14:textId="1EE638F1" w:rsidR="00AD0C6D" w:rsidRDefault="00AD0C6D" w:rsidP="00B42DAB">
            <w:pPr>
              <w:rPr>
                <w:rFonts w:eastAsiaTheme="minorEastAsia"/>
              </w:rPr>
            </w:pPr>
            <w:r>
              <w:t xml:space="preserve">Within this legislation, workers are entitled to a minimum of 5.6 weeks paid leave annually, at least a </w:t>
            </w:r>
            <w:r w:rsidR="00184F72">
              <w:t>20-minute</w:t>
            </w:r>
            <w:r>
              <w:t xml:space="preserve"> unpaid break during the duty day that exceeds 6 hours (and young adults aged 16 – 18 are entitled to an enhancement of 30 minutes during a duty of anything over 4</w:t>
            </w:r>
            <m:oMath>
              <m:f>
                <m:fPr>
                  <m:ctrlPr>
                    <w:rPr>
                      <w:rFonts w:ascii="Cambria Math" w:hAnsi="Cambria Math"/>
                      <w:i/>
                    </w:rPr>
                  </m:ctrlPr>
                </m:fPr>
                <m:num>
                  <m:r>
                    <w:rPr>
                      <w:rFonts w:ascii="Cambria Math" w:hAnsi="Cambria Math"/>
                    </w:rPr>
                    <m:t>1</m:t>
                  </m:r>
                </m:num>
                <m:den>
                  <m:r>
                    <w:rPr>
                      <w:rFonts w:ascii="Cambria Math" w:hAnsi="Cambria Math"/>
                    </w:rPr>
                    <m:t>2</m:t>
                  </m:r>
                </m:den>
              </m:f>
            </m:oMath>
            <w:r>
              <w:rPr>
                <w:rFonts w:eastAsiaTheme="minorEastAsia"/>
              </w:rPr>
              <w:t xml:space="preserve"> hours).</w:t>
            </w:r>
          </w:p>
          <w:p w14:paraId="7D69EF75" w14:textId="77777777" w:rsidR="00AD0C6D" w:rsidRDefault="00AD0C6D" w:rsidP="00B42DAB"/>
        </w:tc>
      </w:tr>
      <w:tr w:rsidR="00AD0C6D" w14:paraId="26C0B1A2" w14:textId="77777777" w:rsidTr="00B42DAB">
        <w:tc>
          <w:tcPr>
            <w:tcW w:w="2972" w:type="dxa"/>
          </w:tcPr>
          <w:p w14:paraId="7B5428FA" w14:textId="77777777" w:rsidR="00AD0C6D" w:rsidRDefault="00AD0C6D" w:rsidP="00B42DAB">
            <w:r>
              <w:t>Absence payments</w:t>
            </w:r>
          </w:p>
        </w:tc>
        <w:tc>
          <w:tcPr>
            <w:tcW w:w="6237" w:type="dxa"/>
          </w:tcPr>
          <w:p w14:paraId="66B50BD5" w14:textId="77777777" w:rsidR="00AD0C6D" w:rsidRDefault="00AD0C6D" w:rsidP="00B42DAB">
            <w:r>
              <w:t xml:space="preserve">This legislation covers payments for incidents of sickness, annual leave (holidays), maternity, paternity, </w:t>
            </w:r>
            <w:proofErr w:type="gramStart"/>
            <w:r>
              <w:t>adoption</w:t>
            </w:r>
            <w:proofErr w:type="gramEnd"/>
            <w:r>
              <w:t xml:space="preserve"> and special leave. </w:t>
            </w:r>
          </w:p>
          <w:p w14:paraId="56D051AA" w14:textId="77777777" w:rsidR="00AD0C6D" w:rsidRDefault="00AD0C6D" w:rsidP="00B42DAB">
            <w:r>
              <w:t>Statutory Sick Pay provides protection for sickness where average earnings of at least equal to the lower earnings limit will be paid to an employee who is unable to attend the workplace during this period of ill health. The pay will be made on the day that the employee would normally work and be paid for a maximum of 28 weeks per 12-month period.</w:t>
            </w:r>
          </w:p>
          <w:p w14:paraId="4A93E4E3" w14:textId="053C7CE1" w:rsidR="00184F72" w:rsidRDefault="00184F72" w:rsidP="00B42DAB">
            <w:r>
              <w:t>Holiday pay will still build up during a break in working period due to these examples and are entitled to take it on returning to duty or be paid for it.</w:t>
            </w:r>
          </w:p>
        </w:tc>
      </w:tr>
    </w:tbl>
    <w:p w14:paraId="6FC38B89" w14:textId="3032795E" w:rsidR="00EB3F4E" w:rsidRDefault="00EB3F4E" w:rsidP="00A0647A"/>
    <w:p w14:paraId="61F68E6D" w14:textId="77777777" w:rsidR="00184F72" w:rsidRDefault="00184F72" w:rsidP="00A0647A">
      <w:pPr>
        <w:rPr>
          <w:b/>
          <w:bCs/>
        </w:rPr>
      </w:pPr>
    </w:p>
    <w:p w14:paraId="15B23A32" w14:textId="3B91B2D7" w:rsidR="00F04C98" w:rsidRDefault="00082A7F" w:rsidP="00F04C98">
      <w:pPr>
        <w:rPr>
          <w:b/>
          <w:bCs/>
        </w:rPr>
      </w:pPr>
      <w:r>
        <w:rPr>
          <w:b/>
          <w:bCs/>
        </w:rPr>
        <w:lastRenderedPageBreak/>
        <w:t xml:space="preserve">AC </w:t>
      </w:r>
      <w:r w:rsidR="00184F72">
        <w:rPr>
          <w:b/>
          <w:bCs/>
        </w:rPr>
        <w:t>4.3 The main principles of maternity, paternity, and adoption rights in the context of employment rights</w:t>
      </w:r>
      <w:r>
        <w:rPr>
          <w:b/>
          <w:bCs/>
        </w:rPr>
        <w:t xml:space="preserve"> and</w:t>
      </w:r>
      <w:r w:rsidR="00F04C98">
        <w:rPr>
          <w:b/>
          <w:bCs/>
        </w:rPr>
        <w:t xml:space="preserve"> (AC </w:t>
      </w:r>
      <w:r w:rsidR="00F04C98" w:rsidRPr="00F164D2">
        <w:rPr>
          <w:b/>
          <w:bCs/>
        </w:rPr>
        <w:t>4.4</w:t>
      </w:r>
      <w:r w:rsidR="00F04C98">
        <w:rPr>
          <w:b/>
          <w:bCs/>
        </w:rPr>
        <w:t>)</w:t>
      </w:r>
      <w:r w:rsidR="00F04C98" w:rsidRPr="00F164D2">
        <w:rPr>
          <w:b/>
          <w:bCs/>
        </w:rPr>
        <w:t xml:space="preserve"> </w:t>
      </w:r>
      <w:r w:rsidR="00F04C98">
        <w:rPr>
          <w:b/>
          <w:bCs/>
        </w:rPr>
        <w:t>Other employment rights relating to flexible working</w:t>
      </w:r>
    </w:p>
    <w:p w14:paraId="1B66E956" w14:textId="716F3BEB" w:rsidR="00184F72" w:rsidRPr="00184F72" w:rsidRDefault="00184F72" w:rsidP="00A0647A">
      <w:pPr>
        <w:rPr>
          <w:b/>
          <w:bCs/>
        </w:rPr>
      </w:pPr>
    </w:p>
    <w:p w14:paraId="264C2C27" w14:textId="31C88DCF" w:rsidR="00184F72" w:rsidRDefault="00184F72" w:rsidP="00184F72">
      <w:r>
        <w:t xml:space="preserve">There are a number of rights for employees in relation to family friendly employment rights; and example of this include rights to leave and pay during maternity, time off for antenatal care, paternity, or adoption leave; shared parental leave and pay; keeping in touch days (KIT and SPLIT); qualifying periods of service. </w:t>
      </w:r>
    </w:p>
    <w:p w14:paraId="75F511AB" w14:textId="52245D3B" w:rsidR="001A7A7D" w:rsidRDefault="001A7A7D" w:rsidP="00184F72">
      <w:r>
        <w:t>As society has changed over the years and traditional expectations have changed – for example, women are not alone in wanting to have leave from the workplace with the new addition to families during maternity periods of leave. Therefore, legislation has been updated to incorporate the rights of all workers to be entitled to leave when a child is introduced to the family, through natural birth or through adoption processes.</w:t>
      </w:r>
    </w:p>
    <w:p w14:paraId="581994A5" w14:textId="2C4D0EA4" w:rsidR="001A7A7D" w:rsidRDefault="001A7A7D" w:rsidP="00184F72"/>
    <w:tbl>
      <w:tblPr>
        <w:tblStyle w:val="TableGrid"/>
        <w:tblW w:w="9209" w:type="dxa"/>
        <w:tblLook w:val="04A0" w:firstRow="1" w:lastRow="0" w:firstColumn="1" w:lastColumn="0" w:noHBand="0" w:noVBand="1"/>
      </w:tblPr>
      <w:tblGrid>
        <w:gridCol w:w="2972"/>
        <w:gridCol w:w="6237"/>
      </w:tblGrid>
      <w:tr w:rsidR="00184F72" w14:paraId="472537F0" w14:textId="77777777" w:rsidTr="00B42DAB">
        <w:tc>
          <w:tcPr>
            <w:tcW w:w="2972" w:type="dxa"/>
          </w:tcPr>
          <w:p w14:paraId="373A635E" w14:textId="77777777" w:rsidR="00184F72" w:rsidRPr="00613F8A" w:rsidRDefault="00184F72" w:rsidP="00B42DAB">
            <w:pPr>
              <w:rPr>
                <w:b/>
                <w:bCs/>
              </w:rPr>
            </w:pPr>
            <w:r w:rsidRPr="00613F8A">
              <w:rPr>
                <w:b/>
                <w:bCs/>
              </w:rPr>
              <w:t>Statutory Right:</w:t>
            </w:r>
          </w:p>
        </w:tc>
        <w:tc>
          <w:tcPr>
            <w:tcW w:w="6237" w:type="dxa"/>
          </w:tcPr>
          <w:p w14:paraId="5602DEAB" w14:textId="77777777" w:rsidR="00184F72" w:rsidRPr="00613F8A" w:rsidRDefault="00184F72" w:rsidP="00B42DAB">
            <w:pPr>
              <w:rPr>
                <w:b/>
                <w:bCs/>
              </w:rPr>
            </w:pPr>
            <w:r w:rsidRPr="00613F8A">
              <w:rPr>
                <w:b/>
                <w:bCs/>
              </w:rPr>
              <w:t>Explanation:</w:t>
            </w:r>
          </w:p>
        </w:tc>
      </w:tr>
      <w:tr w:rsidR="001A7A7D" w14:paraId="5C411240" w14:textId="77777777" w:rsidTr="00B42DAB">
        <w:tc>
          <w:tcPr>
            <w:tcW w:w="2972" w:type="dxa"/>
          </w:tcPr>
          <w:p w14:paraId="67D3A732" w14:textId="1172ED36" w:rsidR="001A7A7D" w:rsidRDefault="001A7A7D" w:rsidP="00B42DAB">
            <w:r>
              <w:t>Antenatal Care</w:t>
            </w:r>
          </w:p>
        </w:tc>
        <w:tc>
          <w:tcPr>
            <w:tcW w:w="6237" w:type="dxa"/>
          </w:tcPr>
          <w:p w14:paraId="3DC22638" w14:textId="0756D1BE" w:rsidR="001A7A7D" w:rsidRDefault="001A7A7D" w:rsidP="001A7A7D">
            <w:r>
              <w:t xml:space="preserve">All pregnant employees are entitled to attend antenatal care appointments during working time and to receive their normal rate of pay during the attendance at such appointments. </w:t>
            </w:r>
          </w:p>
        </w:tc>
      </w:tr>
      <w:tr w:rsidR="00184F72" w14:paraId="1B813FB3" w14:textId="77777777" w:rsidTr="00B42DAB">
        <w:tc>
          <w:tcPr>
            <w:tcW w:w="2972" w:type="dxa"/>
          </w:tcPr>
          <w:p w14:paraId="79DFC8A7" w14:textId="0FA3907F" w:rsidR="00184F72" w:rsidRDefault="00184F72" w:rsidP="00B42DAB">
            <w:r>
              <w:t>Maternity Leave</w:t>
            </w:r>
          </w:p>
        </w:tc>
        <w:tc>
          <w:tcPr>
            <w:tcW w:w="6237" w:type="dxa"/>
          </w:tcPr>
          <w:p w14:paraId="39896A3E" w14:textId="77777777" w:rsidR="00184F72" w:rsidRDefault="001A7A7D" w:rsidP="001A7A7D">
            <w:r>
              <w:t>There are three elements of maternity leave that has been covered by the legislation, and not all workers are entitled to all aspects of this leave. There is a total allowance entitlement of 52 weeks leave.</w:t>
            </w:r>
          </w:p>
          <w:p w14:paraId="46E967F7" w14:textId="77777777" w:rsidR="001A7A7D" w:rsidRDefault="001A7A7D" w:rsidP="001A7A7D">
            <w:r>
              <w:t xml:space="preserve">The first part is Compulsory Maternity Leave which was introduced so that where a mother has given birth, she </w:t>
            </w:r>
            <w:r>
              <w:rPr>
                <w:b/>
                <w:bCs/>
              </w:rPr>
              <w:t>must</w:t>
            </w:r>
            <w:r>
              <w:t xml:space="preserve"> take leave for the first two weeks following the birth (this is extended to four weeks for factory workers).</w:t>
            </w:r>
          </w:p>
          <w:p w14:paraId="5C96782C" w14:textId="2975FF02" w:rsidR="001A7A7D" w:rsidRDefault="001A7A7D" w:rsidP="001A7A7D">
            <w:r>
              <w:t>The second part is Ordinary Maternity Leave which provides a six-month period entitlement for birth mothers (and has no pre-requisite service prior to this allowance). The mother can decide when this leave starts.</w:t>
            </w:r>
          </w:p>
          <w:p w14:paraId="0A5D5A52" w14:textId="77777777" w:rsidR="001A7A7D" w:rsidRDefault="001A7A7D" w:rsidP="001A7A7D">
            <w:r>
              <w:t xml:space="preserve">Additional Maternity Leave is an entitlement to a mother who is in permanent employment </w:t>
            </w:r>
          </w:p>
          <w:p w14:paraId="784F767B" w14:textId="345FF774" w:rsidR="00F164D2" w:rsidRPr="001A7A7D" w:rsidRDefault="00F164D2" w:rsidP="001A7A7D">
            <w:r>
              <w:t>For maternity pay to be paid to a mother, there must be 26 weeks of employment prior to the birth of the baby. Statutory Maternity Pay will be paid for a maximum of 39 weeks.</w:t>
            </w:r>
          </w:p>
        </w:tc>
      </w:tr>
      <w:tr w:rsidR="00184F72" w14:paraId="6E23AEFD" w14:textId="77777777" w:rsidTr="00B42DAB">
        <w:tc>
          <w:tcPr>
            <w:tcW w:w="2972" w:type="dxa"/>
          </w:tcPr>
          <w:p w14:paraId="487588F9" w14:textId="686C3504" w:rsidR="00184F72" w:rsidRDefault="001A7A7D" w:rsidP="00B42DAB">
            <w:r>
              <w:t xml:space="preserve">Paternity Leave </w:t>
            </w:r>
          </w:p>
        </w:tc>
        <w:tc>
          <w:tcPr>
            <w:tcW w:w="6237" w:type="dxa"/>
          </w:tcPr>
          <w:p w14:paraId="0F915B80" w14:textId="77777777" w:rsidR="00184F72" w:rsidRDefault="00F164D2" w:rsidP="00B42DAB">
            <w:r>
              <w:t xml:space="preserve">This leave is covered by legislation for the person who will take the role of ‘father’ in traditional methods – this could be in the natural or adoptive process, same sex relationships or surrogacy. </w:t>
            </w:r>
          </w:p>
          <w:p w14:paraId="7D9EE27E" w14:textId="77777777" w:rsidR="00F164D2" w:rsidRDefault="00F164D2" w:rsidP="00B42DAB">
            <w:r>
              <w:t xml:space="preserve">The person receiving this entitlement must be employed as an employee of the same company for a period of at least 26 weeks. </w:t>
            </w:r>
          </w:p>
          <w:p w14:paraId="656BA848" w14:textId="46856EEB" w:rsidR="00F164D2" w:rsidRDefault="00F164D2" w:rsidP="00B42DAB">
            <w:r>
              <w:t xml:space="preserve">The time allowance in this leave is for a period of 1 or 2 weeks from day 1 (of birth) up until day 56. </w:t>
            </w:r>
          </w:p>
        </w:tc>
      </w:tr>
      <w:tr w:rsidR="00F164D2" w14:paraId="2E20B874" w14:textId="77777777" w:rsidTr="00B42DAB">
        <w:tc>
          <w:tcPr>
            <w:tcW w:w="2972" w:type="dxa"/>
          </w:tcPr>
          <w:p w14:paraId="3C6DEE07" w14:textId="4FC88BA1" w:rsidR="00F164D2" w:rsidRDefault="00F164D2" w:rsidP="00B42DAB">
            <w:r>
              <w:t>Parental Leave</w:t>
            </w:r>
          </w:p>
        </w:tc>
        <w:tc>
          <w:tcPr>
            <w:tcW w:w="6237" w:type="dxa"/>
          </w:tcPr>
          <w:p w14:paraId="60516872" w14:textId="41CEFCD1" w:rsidR="00F164D2" w:rsidRDefault="00F164D2" w:rsidP="00B42DAB">
            <w:r>
              <w:t>This is a form of unpaid leave that is allocated to a working parent and they can take up to 18 weeks (per child) in no more than a 4-week block at any one time. This is a provision for each child up until their 18</w:t>
            </w:r>
            <w:r w:rsidRPr="00F164D2">
              <w:rPr>
                <w:vertAlign w:val="superscript"/>
              </w:rPr>
              <w:t>th</w:t>
            </w:r>
            <w:r>
              <w:t xml:space="preserve"> birthday and the employee must have been employed continuously for no less than a year. </w:t>
            </w:r>
          </w:p>
        </w:tc>
      </w:tr>
    </w:tbl>
    <w:p w14:paraId="25626576" w14:textId="6AEAA0EA" w:rsidR="00184F72" w:rsidRDefault="00184F72" w:rsidP="00184F72"/>
    <w:p w14:paraId="1A76662D" w14:textId="77777777" w:rsidR="00F164D2" w:rsidRDefault="00F164D2" w:rsidP="00184F72">
      <w:pPr>
        <w:rPr>
          <w:b/>
          <w:bCs/>
        </w:rPr>
      </w:pPr>
    </w:p>
    <w:p w14:paraId="78BE7D37" w14:textId="6AB7860A" w:rsidR="00BE1AE7" w:rsidRDefault="00BE1AE7" w:rsidP="00184F72">
      <w:r>
        <w:t xml:space="preserve">Flexible working is a way of working outside of the realms of normal business practices in order to provide a more stable work-life balance for an employee. This can include flexible start and finish times or working from home. All employees have the right to </w:t>
      </w:r>
      <w:proofErr w:type="gramStart"/>
      <w:r>
        <w:t>submit an application</w:t>
      </w:r>
      <w:proofErr w:type="gramEnd"/>
      <w:r>
        <w:t xml:space="preserve"> for flexible working, not just parents and carers.</w:t>
      </w:r>
    </w:p>
    <w:p w14:paraId="1D9E0FA4" w14:textId="30C38D13" w:rsidR="00BE1AE7" w:rsidRDefault="00BE1AE7" w:rsidP="00184F72">
      <w:r>
        <w:t xml:space="preserve">This is known as making a ‘statutory application’ and a pre-requisite to this entitlement is that the employee has been employed by the same employer for at least 26 weeks. There are mandate requirements that the employer must undertake once an application has been received – this will include dealing with the request in a ‘reasonable manner’ which includes assessing both the advantages and disadvantages of the application, holding a meeting to discuss the </w:t>
      </w:r>
      <w:proofErr w:type="gramStart"/>
      <w:r>
        <w:t>application</w:t>
      </w:r>
      <w:proofErr w:type="gramEnd"/>
      <w:r>
        <w:t xml:space="preserve"> and offering an appeals process should the application be declined or refused. </w:t>
      </w:r>
    </w:p>
    <w:p w14:paraId="20B96313" w14:textId="77777777" w:rsidR="00082A7F" w:rsidRDefault="00082A7F" w:rsidP="00184F72">
      <w:pPr>
        <w:rPr>
          <w:b/>
          <w:bCs/>
        </w:rPr>
      </w:pPr>
    </w:p>
    <w:p w14:paraId="5907DB2E" w14:textId="0C011619" w:rsidR="00082A7F" w:rsidRDefault="00082A7F" w:rsidP="00184F72">
      <w:r w:rsidRPr="00082A7F">
        <w:rPr>
          <w:b/>
          <w:bCs/>
        </w:rPr>
        <w:t>AC 2.1 Evaluate the principles of discrimination law in recruitment, selection and employment</w:t>
      </w:r>
    </w:p>
    <w:p w14:paraId="696CFD8F" w14:textId="0FF18D61" w:rsidR="007353E5" w:rsidRDefault="007353E5" w:rsidP="00082A7F">
      <w:r w:rsidRPr="007353E5">
        <w:t xml:space="preserve">The </w:t>
      </w:r>
      <w:r>
        <w:t xml:space="preserve">Equality Act 2010 was introduced in order to offer protection from discrimination, whether this is direct or indirect. Direct discrimination can include cases of an individual being treated differently to another due to one of the protected characteristics – this can be age, gender, sex, sexual orientation, pregnancy, </w:t>
      </w:r>
      <w:proofErr w:type="gramStart"/>
      <w:r>
        <w:t>marriage</w:t>
      </w:r>
      <w:proofErr w:type="gramEnd"/>
      <w:r>
        <w:t xml:space="preserve"> and disability. Indirect discrimination can include examples of </w:t>
      </w:r>
      <w:proofErr w:type="gramStart"/>
      <w:r>
        <w:t>peoples</w:t>
      </w:r>
      <w:proofErr w:type="gramEnd"/>
      <w:r>
        <w:t xml:space="preserve"> actions or appearances. An example could be that of prohibiting people with tattoos to apply for positions within the company. </w:t>
      </w:r>
    </w:p>
    <w:p w14:paraId="40C98034" w14:textId="439F9C2D" w:rsidR="007353E5" w:rsidRDefault="007353E5" w:rsidP="00082A7F">
      <w:r>
        <w:t xml:space="preserve">The legislation makes it unlawful for a candidate to be ‘sifted’ from the recruitment process purely on the grounds of a protected characteristic. </w:t>
      </w:r>
    </w:p>
    <w:p w14:paraId="5D373427" w14:textId="6F81FC5F" w:rsidR="007353E5" w:rsidRDefault="007353E5" w:rsidP="00082A7F">
      <w:r>
        <w:t>Within the selection process of a recruitment campaign, it is unlawful for a company to select a candidate based on any of the protected characteristics. Questions can be asked during the application stage whether there are any disabilities present, but this information can only be used in order to provide any additional support or reasonable adjustment to the candidate during the recruitment process.</w:t>
      </w:r>
    </w:p>
    <w:p w14:paraId="68BBCC3C" w14:textId="04CEFA5E" w:rsidR="007353E5" w:rsidRDefault="007353E5" w:rsidP="00082A7F">
      <w:r>
        <w:t xml:space="preserve">During the employment phase, the Equality Act 2010 states that the company shall not discriminate, </w:t>
      </w:r>
      <w:proofErr w:type="gramStart"/>
      <w:r>
        <w:t>harass</w:t>
      </w:r>
      <w:proofErr w:type="gramEnd"/>
      <w:r>
        <w:t xml:space="preserve"> or victimise an applicant at any stage. </w:t>
      </w:r>
      <w:r w:rsidR="00CF3141">
        <w:t xml:space="preserve">This will also be in place for any </w:t>
      </w:r>
      <w:r w:rsidR="00960004">
        <w:t xml:space="preserve">processes relating to promotion, benefits, </w:t>
      </w:r>
      <w:proofErr w:type="gramStart"/>
      <w:r w:rsidR="00960004">
        <w:t>training</w:t>
      </w:r>
      <w:proofErr w:type="gramEnd"/>
      <w:r w:rsidR="00960004">
        <w:t xml:space="preserve"> or services. If there are elements of disobedience to this legislation, the consequences could include employment tribunal where remedies will include compensation to the affected individual.  </w:t>
      </w:r>
      <w:sdt>
        <w:sdtPr>
          <w:id w:val="950207669"/>
          <w:citation/>
        </w:sdtPr>
        <w:sdtContent>
          <w:r w:rsidR="00960004">
            <w:fldChar w:fldCharType="begin"/>
          </w:r>
          <w:r w:rsidR="00960004">
            <w:instrText xml:space="preserve"> CITATION Gov221 \l 2057 </w:instrText>
          </w:r>
          <w:r w:rsidR="00960004">
            <w:fldChar w:fldCharType="separate"/>
          </w:r>
          <w:r w:rsidR="00960004">
            <w:rPr>
              <w:noProof/>
            </w:rPr>
            <w:t>(Gov.uk, 2022)</w:t>
          </w:r>
          <w:r w:rsidR="00960004">
            <w:fldChar w:fldCharType="end"/>
          </w:r>
        </w:sdtContent>
      </w:sdt>
    </w:p>
    <w:p w14:paraId="13679363" w14:textId="14363E91" w:rsidR="00121B45" w:rsidRDefault="00121B45" w:rsidP="00082A7F">
      <w:r>
        <w:t xml:space="preserve">Positive action is </w:t>
      </w:r>
      <w:r w:rsidR="00B14C26">
        <w:t xml:space="preserve">lawful when providing awareness to the role that is being advertised as long as it does not state only that ‘particular’ person can apply. </w:t>
      </w:r>
    </w:p>
    <w:p w14:paraId="000B05EA" w14:textId="253F8BAE" w:rsidR="00B14C26" w:rsidRDefault="00B14C26" w:rsidP="00082A7F">
      <w:r>
        <w:t xml:space="preserve">Legislation also covers areas of liability for sexual harassment or differing treatment towards a member of staff who negates to follow any offers of benefit. This can also include events and incidents that occur away from the normal place of work if it is still in connection with that employment, for example at a Christmas party. </w:t>
      </w:r>
    </w:p>
    <w:p w14:paraId="5D463921" w14:textId="6C0016AA" w:rsidR="00B14C26" w:rsidRPr="007353E5" w:rsidRDefault="00B14C26" w:rsidP="00082A7F">
      <w:r>
        <w:t>There are defences allowed in legislation that covers particular needs of an individual – such as where there is an occupational requirement with objective justification. An example of this would be where an elderly lady in care is recruiting a carer and is requesting that the successful candidate in this position is a female. This can be justified due to the nature of the work that is expected to be undertaken.</w:t>
      </w:r>
    </w:p>
    <w:p w14:paraId="0044A4A7" w14:textId="77777777" w:rsidR="00121B45" w:rsidRDefault="00121B45" w:rsidP="00082A7F">
      <w:pPr>
        <w:rPr>
          <w:b/>
          <w:bCs/>
        </w:rPr>
      </w:pPr>
    </w:p>
    <w:p w14:paraId="54BD9365" w14:textId="51854213" w:rsidR="00082A7F" w:rsidRDefault="00082A7F" w:rsidP="00082A7F">
      <w:pPr>
        <w:rPr>
          <w:b/>
          <w:bCs/>
        </w:rPr>
      </w:pPr>
      <w:r>
        <w:rPr>
          <w:b/>
          <w:bCs/>
        </w:rPr>
        <w:t>AC 2.2 Discuss the legal requirements of equal pay.</w:t>
      </w:r>
    </w:p>
    <w:p w14:paraId="6CE2E41A" w14:textId="7BFEC104" w:rsidR="00F164D2" w:rsidRDefault="00960004" w:rsidP="00184F72">
      <w:r>
        <w:t xml:space="preserve">Equal pay is the compensation for the equal work that has been carried out by an employee. This can apply to employees, workers, apprentices, agency workers, full-time, </w:t>
      </w:r>
      <w:proofErr w:type="gramStart"/>
      <w:r>
        <w:t>part-time</w:t>
      </w:r>
      <w:proofErr w:type="gramEnd"/>
      <w:r>
        <w:t xml:space="preserve"> or temporary contracts and also self-employed people who are hired to personally do the work for another. By law, men and women must get equal pay for </w:t>
      </w:r>
      <w:r w:rsidR="00615DEB">
        <w:t xml:space="preserve">undertaking work that is similar in nature, this means that it is unlawful to pay differing rates of pay to an individual who is doing the equal work and employed by the same employer. </w:t>
      </w:r>
      <w:sdt>
        <w:sdtPr>
          <w:id w:val="-220289592"/>
          <w:citation/>
        </w:sdtPr>
        <w:sdtContent>
          <w:r w:rsidR="00615DEB">
            <w:fldChar w:fldCharType="begin"/>
          </w:r>
          <w:r w:rsidR="00615DEB">
            <w:instrText xml:space="preserve"> CITATION ACA22 \l 2057 </w:instrText>
          </w:r>
          <w:r w:rsidR="00615DEB">
            <w:fldChar w:fldCharType="separate"/>
          </w:r>
          <w:r w:rsidR="00615DEB">
            <w:rPr>
              <w:noProof/>
            </w:rPr>
            <w:t>(ACAS, 2022)</w:t>
          </w:r>
          <w:r w:rsidR="00615DEB">
            <w:fldChar w:fldCharType="end"/>
          </w:r>
        </w:sdtContent>
      </w:sdt>
    </w:p>
    <w:p w14:paraId="773F9F6D" w14:textId="259519A5" w:rsidR="00615DEB" w:rsidRDefault="00615DEB" w:rsidP="00184F72">
      <w:r>
        <w:t xml:space="preserve">Employment tribunals and claims have seen that defences that have been evident are due to the fact that the female and the comparison employee are not doing the same ‘equal’ work, or that the comparison employee has not been in the same employment, as well as the fact that the pay difference has been down to the fact that it is a material factor and not related to the sex of the employees. There are 2 remedies that can be in place for an employment tribunal relating to equal pay – </w:t>
      </w:r>
      <w:r>
        <w:rPr>
          <w:i/>
          <w:iCs/>
        </w:rPr>
        <w:t xml:space="preserve">Declaration </w:t>
      </w:r>
      <w:r>
        <w:t xml:space="preserve">Where the rights of the complainant </w:t>
      </w:r>
      <w:proofErr w:type="gramStart"/>
      <w:r>
        <w:t>is</w:t>
      </w:r>
      <w:proofErr w:type="gramEnd"/>
      <w:r>
        <w:t xml:space="preserve"> to be given a pay rise to that of the comparison employee by the employer. The second is that of </w:t>
      </w:r>
      <w:r>
        <w:rPr>
          <w:i/>
          <w:iCs/>
        </w:rPr>
        <w:t>Compensation</w:t>
      </w:r>
      <w:r>
        <w:t xml:space="preserve"> where the claimant is </w:t>
      </w:r>
      <w:proofErr w:type="gramStart"/>
      <w:r>
        <w:t>to</w:t>
      </w:r>
      <w:proofErr w:type="gramEnd"/>
      <w:r>
        <w:t xml:space="preserve"> paid back any </w:t>
      </w:r>
      <w:r w:rsidR="00121B45">
        <w:t>retrospective</w:t>
      </w:r>
      <w:r>
        <w:t xml:space="preserve"> losses in pay, such as</w:t>
      </w:r>
      <w:r w:rsidR="00121B45">
        <w:t xml:space="preserve"> wages or other benefits, and that their contract will be changed to incorporate the difference in pay going forward.</w:t>
      </w:r>
      <w:r>
        <w:t xml:space="preserve">   </w:t>
      </w:r>
      <w:sdt>
        <w:sdtPr>
          <w:id w:val="277069291"/>
          <w:citation/>
        </w:sdtPr>
        <w:sdtContent>
          <w:r>
            <w:fldChar w:fldCharType="begin"/>
          </w:r>
          <w:r>
            <w:instrText xml:space="preserve"> CITATION Tho22 \l 2057 </w:instrText>
          </w:r>
          <w:r>
            <w:fldChar w:fldCharType="separate"/>
          </w:r>
          <w:r>
            <w:rPr>
              <w:noProof/>
            </w:rPr>
            <w:t>(Thompson Trade Union, 2022)</w:t>
          </w:r>
          <w:r>
            <w:fldChar w:fldCharType="end"/>
          </w:r>
        </w:sdtContent>
      </w:sdt>
    </w:p>
    <w:p w14:paraId="0CE5B415" w14:textId="77777777" w:rsidR="00615DEB" w:rsidRDefault="00615DEB" w:rsidP="00184F72"/>
    <w:p w14:paraId="768855E7" w14:textId="77777777" w:rsidR="00957739" w:rsidRPr="000F529C" w:rsidRDefault="00957739" w:rsidP="00957739">
      <w:pPr>
        <w:rPr>
          <w:b/>
          <w:bCs/>
          <w:sz w:val="28"/>
          <w:szCs w:val="28"/>
        </w:rPr>
      </w:pPr>
      <w:r w:rsidRPr="000F529C">
        <w:rPr>
          <w:b/>
          <w:bCs/>
          <w:sz w:val="28"/>
          <w:szCs w:val="28"/>
        </w:rPr>
        <w:t>Bibl</w:t>
      </w:r>
      <w:r>
        <w:rPr>
          <w:b/>
          <w:bCs/>
          <w:sz w:val="28"/>
          <w:szCs w:val="28"/>
        </w:rPr>
        <w:t>i</w:t>
      </w:r>
      <w:r w:rsidRPr="000F529C">
        <w:rPr>
          <w:b/>
          <w:bCs/>
          <w:sz w:val="28"/>
          <w:szCs w:val="28"/>
        </w:rPr>
        <w:t>ography:</w:t>
      </w:r>
    </w:p>
    <w:p w14:paraId="64CD4331" w14:textId="5A856616" w:rsidR="00675654" w:rsidRPr="006955BB" w:rsidRDefault="00675654" w:rsidP="00957739">
      <w:pPr>
        <w:rPr>
          <w:rFonts w:cstheme="minorHAnsi"/>
        </w:rPr>
      </w:pPr>
      <w:r w:rsidRPr="006955BB">
        <w:rPr>
          <w:rFonts w:cstheme="minorHAnsi"/>
          <w:color w:val="000000"/>
          <w:shd w:val="clear" w:color="auto" w:fill="FFFFFF"/>
        </w:rPr>
        <w:t xml:space="preserve">Acas.org.uk. (2022) </w:t>
      </w:r>
      <w:r w:rsidRPr="006955BB">
        <w:rPr>
          <w:rStyle w:val="Emphasis"/>
          <w:rFonts w:cstheme="minorHAnsi"/>
          <w:color w:val="000000"/>
          <w:shd w:val="clear" w:color="auto" w:fill="FFFFFF"/>
        </w:rPr>
        <w:t>Arbitration advice and guidance | ACAS.</w:t>
      </w:r>
      <w:r w:rsidRPr="006955BB">
        <w:rPr>
          <w:rFonts w:cstheme="minorHAnsi"/>
          <w:color w:val="000000"/>
          <w:shd w:val="clear" w:color="auto" w:fill="FFFFFF"/>
        </w:rPr>
        <w:t xml:space="preserve"> [online] Available at: </w:t>
      </w:r>
      <w:hyperlink r:id="rId9" w:history="1">
        <w:r w:rsidRPr="006955BB">
          <w:rPr>
            <w:rStyle w:val="Hyperlink"/>
            <w:rFonts w:cstheme="minorHAnsi"/>
            <w:shd w:val="clear" w:color="auto" w:fill="FFFFFF"/>
          </w:rPr>
          <w:t>https://www.acas.org.uk/index.aspx?articleid=1711</w:t>
        </w:r>
      </w:hyperlink>
      <w:r w:rsidRPr="006955BB">
        <w:rPr>
          <w:rFonts w:cstheme="minorHAnsi"/>
          <w:color w:val="000000"/>
          <w:shd w:val="clear" w:color="auto" w:fill="FFFFFF"/>
        </w:rPr>
        <w:t xml:space="preserve">  [Accessed 14/03/2022].</w:t>
      </w:r>
    </w:p>
    <w:p w14:paraId="1B66B66C" w14:textId="45841036" w:rsidR="00957739" w:rsidRDefault="00957739" w:rsidP="00957739">
      <w:r>
        <w:t xml:space="preserve">CIPD (2022) </w:t>
      </w:r>
      <w:r>
        <w:rPr>
          <w:i/>
          <w:iCs/>
        </w:rPr>
        <w:t xml:space="preserve">Employment Law. </w:t>
      </w:r>
      <w:r>
        <w:t>Factsheet. London: Chartered Institute of Personnel and Development</w:t>
      </w:r>
      <w:r w:rsidR="00EC56CD">
        <w:t xml:space="preserve"> </w:t>
      </w:r>
    </w:p>
    <w:p w14:paraId="42459B47" w14:textId="6D31EE76" w:rsidR="00EB3F4E" w:rsidRPr="00EB3F4E" w:rsidRDefault="00EB3F4E" w:rsidP="00EB3F4E">
      <w:pPr>
        <w:shd w:val="clear" w:color="auto" w:fill="FFFFFF"/>
        <w:spacing w:before="100" w:beforeAutospacing="1" w:after="100" w:afterAutospacing="1" w:line="240" w:lineRule="auto"/>
      </w:pPr>
      <w:r w:rsidRPr="00EB3F4E">
        <w:t>CIPD. (20</w:t>
      </w:r>
      <w:r>
        <w:t>21</w:t>
      </w:r>
      <w:r w:rsidRPr="00EB3F4E">
        <w:t>)</w:t>
      </w:r>
      <w:r w:rsidRPr="00EB3F4E">
        <w:rPr>
          <w:i/>
          <w:iCs/>
        </w:rPr>
        <w:t> Equal Pay</w:t>
      </w:r>
      <w:r w:rsidRPr="00EB3F4E">
        <w:t xml:space="preserve"> | Factsheets | CIPD. [online] Available at: </w:t>
      </w:r>
      <w:hyperlink r:id="rId10" w:anchor="6584" w:history="1">
        <w:r w:rsidRPr="00EB3F4E">
          <w:rPr>
            <w:rStyle w:val="Hyperlink"/>
          </w:rPr>
          <w:t>https://www.cipd.co.uk/knowledge/strategy/reward/pay-fairness-reporting-factsheet#6584</w:t>
        </w:r>
      </w:hyperlink>
      <w:r>
        <w:t xml:space="preserve"> </w:t>
      </w:r>
      <w:r w:rsidRPr="00EB3F4E">
        <w:t xml:space="preserve"> [Accessed </w:t>
      </w:r>
      <w:r>
        <w:t>20/03</w:t>
      </w:r>
      <w:r w:rsidR="007353E5">
        <w:t>/</w:t>
      </w:r>
      <w:r>
        <w:t>2022</w:t>
      </w:r>
      <w:r w:rsidRPr="00EB3F4E">
        <w:t>]. </w:t>
      </w:r>
    </w:p>
    <w:p w14:paraId="60966A90" w14:textId="72C5BFAC" w:rsidR="00EC56CD" w:rsidRDefault="00EC56CD" w:rsidP="00EC56CD">
      <w:r>
        <w:t xml:space="preserve">CIPD (2021) </w:t>
      </w:r>
      <w:r>
        <w:rPr>
          <w:i/>
          <w:iCs/>
        </w:rPr>
        <w:t xml:space="preserve">Inclusion and Diversity in the workplace. </w:t>
      </w:r>
      <w:r>
        <w:t>Factsheet. London: Chartered Institute of Personnel and Development</w:t>
      </w:r>
    </w:p>
    <w:p w14:paraId="2757141C" w14:textId="74D62576" w:rsidR="00AD0C6D" w:rsidRPr="00AD0C6D" w:rsidRDefault="00AD0C6D" w:rsidP="00EC56CD">
      <w:pPr>
        <w:rPr>
          <w:rFonts w:cstheme="minorHAnsi"/>
        </w:rPr>
      </w:pPr>
      <w:r w:rsidRPr="00AD0C6D">
        <w:rPr>
          <w:rFonts w:cstheme="minorHAnsi"/>
          <w:color w:val="1A1A1A"/>
          <w:shd w:val="clear" w:color="auto" w:fill="FFFFFF"/>
        </w:rPr>
        <w:t>CIPD. (20</w:t>
      </w:r>
      <w:r>
        <w:rPr>
          <w:rFonts w:cstheme="minorHAnsi"/>
          <w:color w:val="1A1A1A"/>
          <w:shd w:val="clear" w:color="auto" w:fill="FFFFFF"/>
        </w:rPr>
        <w:t>20</w:t>
      </w:r>
      <w:r w:rsidRPr="00AD0C6D">
        <w:rPr>
          <w:rFonts w:cstheme="minorHAnsi"/>
          <w:color w:val="1A1A1A"/>
          <w:shd w:val="clear" w:color="auto" w:fill="FFFFFF"/>
        </w:rPr>
        <w:t>). </w:t>
      </w:r>
      <w:r w:rsidRPr="00AD0C6D">
        <w:rPr>
          <w:rFonts w:cstheme="minorHAnsi"/>
          <w:i/>
          <w:iCs/>
          <w:color w:val="1A1A1A"/>
          <w:shd w:val="clear" w:color="auto" w:fill="FFFFFF"/>
        </w:rPr>
        <w:t>Working Time Regulations Q&amp;As | CIPD</w:t>
      </w:r>
      <w:r w:rsidRPr="00AD0C6D">
        <w:rPr>
          <w:rFonts w:cstheme="minorHAnsi"/>
          <w:color w:val="1A1A1A"/>
          <w:shd w:val="clear" w:color="auto" w:fill="FFFFFF"/>
        </w:rPr>
        <w:t xml:space="preserve">. [online] Available at: </w:t>
      </w:r>
      <w:hyperlink r:id="rId11" w:history="1">
        <w:r w:rsidRPr="006B07F5">
          <w:rPr>
            <w:rStyle w:val="Hyperlink"/>
            <w:rFonts w:cstheme="minorHAnsi"/>
            <w:shd w:val="clear" w:color="auto" w:fill="FFFFFF"/>
          </w:rPr>
          <w:t>https://www.cipd.co.uk/knowledge/fundamentals/emp-law/working-time/questions</w:t>
        </w:r>
      </w:hyperlink>
      <w:r>
        <w:rPr>
          <w:rFonts w:cstheme="minorHAnsi"/>
          <w:color w:val="1A1A1A"/>
          <w:shd w:val="clear" w:color="auto" w:fill="FFFFFF"/>
        </w:rPr>
        <w:t xml:space="preserve"> </w:t>
      </w:r>
      <w:r w:rsidRPr="00AD0C6D">
        <w:rPr>
          <w:rFonts w:cstheme="minorHAnsi"/>
          <w:color w:val="1A1A1A"/>
          <w:shd w:val="clear" w:color="auto" w:fill="FFFFFF"/>
        </w:rPr>
        <w:t xml:space="preserve"> [Accessed 16</w:t>
      </w:r>
      <w:r>
        <w:rPr>
          <w:rFonts w:cstheme="minorHAnsi"/>
          <w:color w:val="1A1A1A"/>
          <w:shd w:val="clear" w:color="auto" w:fill="FFFFFF"/>
        </w:rPr>
        <w:t>/03/2022</w:t>
      </w:r>
      <w:r w:rsidRPr="00AD0C6D">
        <w:rPr>
          <w:rFonts w:cstheme="minorHAnsi"/>
          <w:color w:val="1A1A1A"/>
          <w:shd w:val="clear" w:color="auto" w:fill="FFFFFF"/>
        </w:rPr>
        <w:t>].</w:t>
      </w:r>
    </w:p>
    <w:p w14:paraId="20065186" w14:textId="0CCE1D2B" w:rsidR="006955BB" w:rsidRDefault="006955BB" w:rsidP="00EC56CD">
      <w:pPr>
        <w:rPr>
          <w:rFonts w:cstheme="minorHAnsi"/>
          <w:color w:val="1A1A1A"/>
          <w:shd w:val="clear" w:color="auto" w:fill="FFFFFF"/>
        </w:rPr>
      </w:pPr>
      <w:r w:rsidRPr="006955BB">
        <w:rPr>
          <w:rFonts w:cstheme="minorHAnsi"/>
          <w:color w:val="1A1A1A"/>
          <w:shd w:val="clear" w:color="auto" w:fill="FFFFFF"/>
        </w:rPr>
        <w:t>GOV.UK. (20</w:t>
      </w:r>
      <w:r>
        <w:rPr>
          <w:rFonts w:cstheme="minorHAnsi"/>
          <w:color w:val="1A1A1A"/>
          <w:shd w:val="clear" w:color="auto" w:fill="FFFFFF"/>
        </w:rPr>
        <w:t>22</w:t>
      </w:r>
      <w:r w:rsidRPr="006955BB">
        <w:rPr>
          <w:rFonts w:cstheme="minorHAnsi"/>
          <w:color w:val="1A1A1A"/>
          <w:shd w:val="clear" w:color="auto" w:fill="FFFFFF"/>
        </w:rPr>
        <w:t>). </w:t>
      </w:r>
      <w:r w:rsidRPr="006955BB">
        <w:rPr>
          <w:rFonts w:cstheme="minorHAnsi"/>
          <w:i/>
          <w:iCs/>
          <w:color w:val="1A1A1A"/>
          <w:shd w:val="clear" w:color="auto" w:fill="FFFFFF"/>
        </w:rPr>
        <w:t>Employment status</w:t>
      </w:r>
      <w:r w:rsidRPr="006955BB">
        <w:rPr>
          <w:rFonts w:cstheme="minorHAnsi"/>
          <w:color w:val="1A1A1A"/>
          <w:shd w:val="clear" w:color="auto" w:fill="FFFFFF"/>
        </w:rPr>
        <w:t xml:space="preserve">. [online] Available at: </w:t>
      </w:r>
      <w:hyperlink r:id="rId12" w:history="1">
        <w:r w:rsidRPr="00BB0B8F">
          <w:rPr>
            <w:rStyle w:val="Hyperlink"/>
            <w:rFonts w:cstheme="minorHAnsi"/>
            <w:shd w:val="clear" w:color="auto" w:fill="FFFFFF"/>
          </w:rPr>
          <w:t>https://www.gov.uk/employment-status/worker</w:t>
        </w:r>
      </w:hyperlink>
      <w:r>
        <w:rPr>
          <w:rFonts w:cstheme="minorHAnsi"/>
          <w:color w:val="1A1A1A"/>
          <w:shd w:val="clear" w:color="auto" w:fill="FFFFFF"/>
        </w:rPr>
        <w:t xml:space="preserve"> </w:t>
      </w:r>
      <w:r w:rsidRPr="006955BB">
        <w:rPr>
          <w:rFonts w:cstheme="minorHAnsi"/>
          <w:color w:val="1A1A1A"/>
          <w:shd w:val="clear" w:color="auto" w:fill="FFFFFF"/>
        </w:rPr>
        <w:t xml:space="preserve"> [Accessed 1</w:t>
      </w:r>
      <w:r>
        <w:rPr>
          <w:rFonts w:cstheme="minorHAnsi"/>
          <w:color w:val="1A1A1A"/>
          <w:shd w:val="clear" w:color="auto" w:fill="FFFFFF"/>
        </w:rPr>
        <w:t>1/03/2022</w:t>
      </w:r>
      <w:r w:rsidRPr="006955BB">
        <w:rPr>
          <w:rFonts w:cstheme="minorHAnsi"/>
          <w:color w:val="1A1A1A"/>
          <w:shd w:val="clear" w:color="auto" w:fill="FFFFFF"/>
        </w:rPr>
        <w:t>]</w:t>
      </w:r>
      <w:r>
        <w:rPr>
          <w:rFonts w:cstheme="minorHAnsi"/>
          <w:color w:val="1A1A1A"/>
          <w:shd w:val="clear" w:color="auto" w:fill="FFFFFF"/>
        </w:rPr>
        <w:t>.</w:t>
      </w:r>
    </w:p>
    <w:p w14:paraId="5A41BD88" w14:textId="2C845D06" w:rsidR="00960004" w:rsidRDefault="00960004" w:rsidP="00EC56CD">
      <w:pPr>
        <w:rPr>
          <w:rFonts w:cstheme="minorHAnsi"/>
          <w:color w:val="1A1A1A"/>
          <w:shd w:val="clear" w:color="auto" w:fill="FFFFFF"/>
        </w:rPr>
      </w:pPr>
      <w:r w:rsidRPr="006955BB">
        <w:rPr>
          <w:rFonts w:cstheme="minorHAnsi"/>
          <w:color w:val="1A1A1A"/>
          <w:shd w:val="clear" w:color="auto" w:fill="FFFFFF"/>
        </w:rPr>
        <w:t>GOV.UK. (20</w:t>
      </w:r>
      <w:r>
        <w:rPr>
          <w:rFonts w:cstheme="minorHAnsi"/>
          <w:color w:val="1A1A1A"/>
          <w:shd w:val="clear" w:color="auto" w:fill="FFFFFF"/>
        </w:rPr>
        <w:t>22</w:t>
      </w:r>
      <w:r w:rsidRPr="006955BB">
        <w:rPr>
          <w:rFonts w:cstheme="minorHAnsi"/>
          <w:color w:val="1A1A1A"/>
          <w:shd w:val="clear" w:color="auto" w:fill="FFFFFF"/>
        </w:rPr>
        <w:t>).</w:t>
      </w:r>
      <w:r>
        <w:rPr>
          <w:rFonts w:cstheme="minorHAnsi"/>
          <w:color w:val="1A1A1A"/>
          <w:shd w:val="clear" w:color="auto" w:fill="FFFFFF"/>
        </w:rPr>
        <w:t xml:space="preserve"> </w:t>
      </w:r>
      <w:r w:rsidRPr="00960004">
        <w:rPr>
          <w:rFonts w:cstheme="minorHAnsi"/>
          <w:i/>
          <w:iCs/>
          <w:color w:val="1A1A1A"/>
          <w:shd w:val="clear" w:color="auto" w:fill="FFFFFF"/>
        </w:rPr>
        <w:t>Equality Act 2010</w:t>
      </w:r>
      <w:r w:rsidRPr="006955BB">
        <w:rPr>
          <w:rFonts w:cstheme="minorHAnsi"/>
          <w:color w:val="1A1A1A"/>
          <w:shd w:val="clear" w:color="auto" w:fill="FFFFFF"/>
        </w:rPr>
        <w:t xml:space="preserve">. [online] Available at: </w:t>
      </w:r>
      <w:hyperlink r:id="rId13" w:history="1">
        <w:r>
          <w:rPr>
            <w:rStyle w:val="Hyperlink"/>
          </w:rPr>
          <w:t>Equality Act 2010: guidance - GOV.UK (www.gov.uk)</w:t>
        </w:r>
      </w:hyperlink>
      <w:r>
        <w:t xml:space="preserve"> </w:t>
      </w:r>
      <w:r w:rsidRPr="006955BB">
        <w:rPr>
          <w:rFonts w:cstheme="minorHAnsi"/>
          <w:color w:val="1A1A1A"/>
          <w:shd w:val="clear" w:color="auto" w:fill="FFFFFF"/>
        </w:rPr>
        <w:t xml:space="preserve">[Accessed </w:t>
      </w:r>
      <w:r>
        <w:rPr>
          <w:rFonts w:cstheme="minorHAnsi"/>
          <w:color w:val="1A1A1A"/>
          <w:shd w:val="clear" w:color="auto" w:fill="FFFFFF"/>
        </w:rPr>
        <w:t>25/03/2022</w:t>
      </w:r>
      <w:r w:rsidRPr="006955BB">
        <w:rPr>
          <w:rFonts w:cstheme="minorHAnsi"/>
          <w:color w:val="1A1A1A"/>
          <w:shd w:val="clear" w:color="auto" w:fill="FFFFFF"/>
        </w:rPr>
        <w:t>]</w:t>
      </w:r>
      <w:r>
        <w:rPr>
          <w:rFonts w:cstheme="minorHAnsi"/>
          <w:color w:val="1A1A1A"/>
          <w:shd w:val="clear" w:color="auto" w:fill="FFFFFF"/>
        </w:rPr>
        <w:t>.</w:t>
      </w:r>
    </w:p>
    <w:p w14:paraId="6CF189B1" w14:textId="1E32E86C" w:rsidR="00615DEB" w:rsidRPr="006955BB" w:rsidRDefault="00615DEB" w:rsidP="00EC56CD">
      <w:pPr>
        <w:rPr>
          <w:rFonts w:cstheme="minorHAnsi"/>
        </w:rPr>
      </w:pPr>
      <w:r>
        <w:rPr>
          <w:rFonts w:cstheme="minorHAnsi"/>
        </w:rPr>
        <w:t xml:space="preserve">Thompson Trade Union (2022). </w:t>
      </w:r>
      <w:r w:rsidRPr="00615DEB">
        <w:rPr>
          <w:rFonts w:cstheme="minorHAnsi"/>
          <w:i/>
          <w:iCs/>
        </w:rPr>
        <w:t>Equal Pay</w:t>
      </w:r>
      <w:r>
        <w:rPr>
          <w:rFonts w:cstheme="minorHAnsi"/>
        </w:rPr>
        <w:t xml:space="preserve"> [</w:t>
      </w:r>
      <w:proofErr w:type="gramStart"/>
      <w:r>
        <w:rPr>
          <w:rFonts w:cstheme="minorHAnsi"/>
        </w:rPr>
        <w:t>online]  Available</w:t>
      </w:r>
      <w:proofErr w:type="gramEnd"/>
      <w:r>
        <w:rPr>
          <w:rFonts w:cstheme="minorHAnsi"/>
        </w:rPr>
        <w:t xml:space="preserve"> at:  </w:t>
      </w:r>
      <w:hyperlink r:id="rId14" w:history="1">
        <w:r w:rsidRPr="00BB0B8F">
          <w:rPr>
            <w:rStyle w:val="Hyperlink"/>
            <w:rFonts w:cstheme="minorHAnsi"/>
          </w:rPr>
          <w:t>https://www.thompsonstradeunion.law/media/1165/equal-pay-a-summary-of-the-law-thompsons-solicitors.pdf</w:t>
        </w:r>
      </w:hyperlink>
      <w:r>
        <w:rPr>
          <w:rFonts w:cstheme="minorHAnsi"/>
        </w:rPr>
        <w:t xml:space="preserve"> [Accessed 24/03/2022]. </w:t>
      </w:r>
    </w:p>
    <w:p w14:paraId="71F86061" w14:textId="77777777" w:rsidR="00EC56CD" w:rsidRDefault="00EC56CD" w:rsidP="00957739"/>
    <w:p w14:paraId="066DF53F" w14:textId="646D54A9" w:rsidR="00540319" w:rsidRDefault="00957739">
      <w:pPr>
        <w:rPr>
          <w:i/>
          <w:iCs/>
        </w:rPr>
      </w:pPr>
      <w:r>
        <w:rPr>
          <w:i/>
          <w:iCs/>
        </w:rPr>
        <w:t xml:space="preserve"> </w:t>
      </w:r>
    </w:p>
    <w:p w14:paraId="7C8E7E5D" w14:textId="784E754D" w:rsidR="00121B45" w:rsidRDefault="00121B45" w:rsidP="00121B45">
      <w:pPr>
        <w:rPr>
          <w:sz w:val="24"/>
          <w:szCs w:val="24"/>
        </w:rPr>
      </w:pPr>
      <w:r w:rsidRPr="00AC7398">
        <w:rPr>
          <w:sz w:val="24"/>
          <w:szCs w:val="24"/>
          <w:u w:val="single"/>
        </w:rPr>
        <w:lastRenderedPageBreak/>
        <w:t xml:space="preserve">Task </w:t>
      </w:r>
      <w:r>
        <w:rPr>
          <w:sz w:val="24"/>
          <w:szCs w:val="24"/>
          <w:u w:val="single"/>
        </w:rPr>
        <w:t>2.</w:t>
      </w:r>
    </w:p>
    <w:p w14:paraId="74F705B4" w14:textId="43A2B89C" w:rsidR="00121B45" w:rsidRDefault="00121B45" w:rsidP="00121B45">
      <w:pPr>
        <w:rPr>
          <w:sz w:val="24"/>
          <w:szCs w:val="24"/>
        </w:rPr>
      </w:pPr>
    </w:p>
    <w:p w14:paraId="5E556332" w14:textId="5C14FA2E" w:rsidR="00121B45" w:rsidRDefault="00121B45" w:rsidP="00121B45">
      <w:pPr>
        <w:jc w:val="right"/>
        <w:rPr>
          <w:rFonts w:cstheme="minorHAnsi"/>
        </w:rPr>
      </w:pPr>
      <w:r>
        <w:rPr>
          <w:rFonts w:cstheme="minorHAnsi"/>
        </w:rPr>
        <w:t xml:space="preserve">From: </w:t>
      </w:r>
      <w:hyperlink r:id="rId15" w:history="1">
        <w:r w:rsidRPr="00BB0B8F">
          <w:rPr>
            <w:rStyle w:val="Hyperlink"/>
            <w:rFonts w:cstheme="minorHAnsi"/>
          </w:rPr>
          <w:t>angela.williams@ABCLimited.co.uk</w:t>
        </w:r>
      </w:hyperlink>
      <w:r>
        <w:rPr>
          <w:rFonts w:cstheme="minorHAnsi"/>
        </w:rPr>
        <w:t xml:space="preserve"> </w:t>
      </w:r>
    </w:p>
    <w:p w14:paraId="0CCB67CF" w14:textId="4C8E87D1" w:rsidR="00121B45" w:rsidRDefault="00121B45" w:rsidP="00121B45">
      <w:pPr>
        <w:jc w:val="right"/>
        <w:rPr>
          <w:rFonts w:cstheme="minorHAnsi"/>
        </w:rPr>
      </w:pPr>
      <w:r>
        <w:rPr>
          <w:rFonts w:cstheme="minorHAnsi"/>
        </w:rPr>
        <w:t xml:space="preserve">To: </w:t>
      </w:r>
      <w:hyperlink r:id="rId16" w:history="1">
        <w:r w:rsidRPr="00BB0B8F">
          <w:rPr>
            <w:rStyle w:val="Hyperlink"/>
            <w:rFonts w:cstheme="minorHAnsi"/>
          </w:rPr>
          <w:t>managing.director@ABCLimited.co.uk</w:t>
        </w:r>
      </w:hyperlink>
      <w:r>
        <w:rPr>
          <w:rFonts w:cstheme="minorHAnsi"/>
        </w:rPr>
        <w:t xml:space="preserve"> </w:t>
      </w:r>
    </w:p>
    <w:p w14:paraId="725A203A" w14:textId="3EB139A4" w:rsidR="00121B45" w:rsidRDefault="00121B45" w:rsidP="00121B45">
      <w:pPr>
        <w:jc w:val="right"/>
        <w:rPr>
          <w:rFonts w:cstheme="minorHAnsi"/>
        </w:rPr>
      </w:pPr>
      <w:r>
        <w:rPr>
          <w:rFonts w:cstheme="minorHAnsi"/>
        </w:rPr>
        <w:t>Date: 05/03/2022</w:t>
      </w:r>
    </w:p>
    <w:p w14:paraId="06933B79" w14:textId="0BC58C3B" w:rsidR="00121B45" w:rsidRDefault="00121B45" w:rsidP="00121B45">
      <w:pPr>
        <w:jc w:val="right"/>
        <w:rPr>
          <w:rFonts w:cstheme="minorHAnsi"/>
        </w:rPr>
      </w:pPr>
      <w:r>
        <w:rPr>
          <w:rFonts w:cstheme="minorHAnsi"/>
        </w:rPr>
        <w:t>Subject: Relocation of staff due to closure of site</w:t>
      </w:r>
    </w:p>
    <w:p w14:paraId="592A57C9" w14:textId="77777777" w:rsidR="00121B45" w:rsidRDefault="00121B45" w:rsidP="00121B45">
      <w:pPr>
        <w:rPr>
          <w:rFonts w:cstheme="minorHAnsi"/>
        </w:rPr>
      </w:pPr>
    </w:p>
    <w:p w14:paraId="2E12B489" w14:textId="2554F774" w:rsidR="00121B45" w:rsidRDefault="00121B45" w:rsidP="00121B45">
      <w:pPr>
        <w:rPr>
          <w:rFonts w:cstheme="minorHAnsi"/>
        </w:rPr>
      </w:pPr>
      <w:r>
        <w:rPr>
          <w:rFonts w:cstheme="minorHAnsi"/>
        </w:rPr>
        <w:t>Good afternoon ‘Managing Director</w:t>
      </w:r>
      <w:r w:rsidR="00B14C26">
        <w:rPr>
          <w:rFonts w:cstheme="minorHAnsi"/>
        </w:rPr>
        <w:t>’</w:t>
      </w:r>
      <w:r>
        <w:rPr>
          <w:rFonts w:cstheme="minorHAnsi"/>
        </w:rPr>
        <w:t>,</w:t>
      </w:r>
    </w:p>
    <w:p w14:paraId="3B003C88" w14:textId="47B38BF0" w:rsidR="00121B45" w:rsidRDefault="00121B45" w:rsidP="00121B45">
      <w:pPr>
        <w:rPr>
          <w:rFonts w:cstheme="minorHAnsi"/>
        </w:rPr>
      </w:pPr>
      <w:r>
        <w:rPr>
          <w:rFonts w:cstheme="minorHAnsi"/>
        </w:rPr>
        <w:t xml:space="preserve">Thank you for your email requesting advice in the next steps of the process in relation to the staff who are affected by the site closure at XYZ. </w:t>
      </w:r>
    </w:p>
    <w:p w14:paraId="4E0C618F" w14:textId="779B3442" w:rsidR="00121B45" w:rsidRDefault="0042522C" w:rsidP="00121B45">
      <w:r>
        <w:rPr>
          <w:rFonts w:cstheme="minorHAnsi"/>
        </w:rPr>
        <w:t>I have reviewed the requirements that are to be considered in this case and I attach the link here for your perusal. (</w:t>
      </w:r>
      <w:hyperlink r:id="rId17" w:history="1">
        <w:r>
          <w:rPr>
            <w:rStyle w:val="Hyperlink"/>
          </w:rPr>
          <w:t xml:space="preserve">Changing an employment contract | </w:t>
        </w:r>
        <w:proofErr w:type="spellStart"/>
        <w:r>
          <w:rPr>
            <w:rStyle w:val="Hyperlink"/>
          </w:rPr>
          <w:t>Acas</w:t>
        </w:r>
        <w:proofErr w:type="spellEnd"/>
      </w:hyperlink>
      <w:r>
        <w:t>)</w:t>
      </w:r>
    </w:p>
    <w:p w14:paraId="1830CD5A" w14:textId="674BD29C" w:rsidR="0042522C" w:rsidRDefault="0042522C" w:rsidP="00121B45">
      <w:pPr>
        <w:rPr>
          <w:rFonts w:cstheme="minorHAnsi"/>
        </w:rPr>
      </w:pPr>
      <w:r>
        <w:rPr>
          <w:rFonts w:cstheme="minorHAnsi"/>
        </w:rPr>
        <w:t xml:space="preserve">What the legislation outlines is that the contract of employment must be reviewed to identify whether there is a requirement to change the contract. </w:t>
      </w:r>
      <w:r w:rsidR="00B42DAB">
        <w:rPr>
          <w:rFonts w:cstheme="minorHAnsi"/>
        </w:rPr>
        <w:t xml:space="preserve">ACAS advises that an employer can change a contract if there is a flexibility clause contained within it. </w:t>
      </w:r>
      <w:r>
        <w:rPr>
          <w:rFonts w:cstheme="minorHAnsi"/>
        </w:rPr>
        <w:t>If the existing terms of the contract are broad enough to accommodate the changes, then this would not need to be amended. There may also be express contractual rights for the employer to vary the contract and also its terms.</w:t>
      </w:r>
    </w:p>
    <w:p w14:paraId="5869645E" w14:textId="2C9EA89B" w:rsidR="0042522C" w:rsidRDefault="0042522C" w:rsidP="00121B45">
      <w:pPr>
        <w:rPr>
          <w:rFonts w:cstheme="minorHAnsi"/>
        </w:rPr>
      </w:pPr>
      <w:r>
        <w:rPr>
          <w:rFonts w:cstheme="minorHAnsi"/>
        </w:rPr>
        <w:t xml:space="preserve">In order to undertake this process, there must be a provision of consultation and consent. </w:t>
      </w:r>
      <w:r w:rsidR="00B42DAB">
        <w:rPr>
          <w:rFonts w:cstheme="minorHAnsi"/>
        </w:rPr>
        <w:t xml:space="preserve">A contract of employment cannot be changed without the agreement of the employee. </w:t>
      </w:r>
      <w:r>
        <w:rPr>
          <w:rFonts w:cstheme="minorHAnsi"/>
        </w:rPr>
        <w:t xml:space="preserve">As the number of affected employees is 5, there is no minimum time that must be utilised for this consultation to take place, although legislation advises that it is reasonable in nature. If this process is not followed, the organisation may face </w:t>
      </w:r>
      <w:r w:rsidR="00EA723C">
        <w:rPr>
          <w:rFonts w:cstheme="minorHAnsi"/>
        </w:rPr>
        <w:t>consequences such as compensation payments to the affected employees which currently stands as up to 90 days of pay for each employee that has been affected by this change. Due to the nature of this consideration, due to the location of work is under review, there may be a risk of legal claims in relation to breach of contract or constructive dismissal (this is where the employee feels that they have no choice but to resign) if this process if not followed correctly.</w:t>
      </w:r>
    </w:p>
    <w:p w14:paraId="39D1EBF7" w14:textId="1869CDAB" w:rsidR="00EA723C" w:rsidRDefault="00EA723C" w:rsidP="00121B45">
      <w:pPr>
        <w:rPr>
          <w:rFonts w:cstheme="minorHAnsi"/>
        </w:rPr>
      </w:pPr>
      <w:r>
        <w:rPr>
          <w:rFonts w:cstheme="minorHAnsi"/>
        </w:rPr>
        <w:t xml:space="preserve">There is a requirement for a HR1 form to be completed and submitted to the Secretary of State to inform the Jobcentre of potential redundancies. This is a process that I will complete should it be necessary through the process of relocation. </w:t>
      </w:r>
    </w:p>
    <w:p w14:paraId="655C3DC4" w14:textId="77777777" w:rsidR="00DE47FF" w:rsidRDefault="00DE47FF" w:rsidP="00DE47FF">
      <w:pPr>
        <w:rPr>
          <w:rFonts w:cstheme="minorHAnsi"/>
        </w:rPr>
      </w:pPr>
      <w:r>
        <w:rPr>
          <w:rFonts w:cstheme="minorHAnsi"/>
        </w:rPr>
        <w:t xml:space="preserve">If a communication strategy can be aligned to this process in order to consult with the affected employees, this would be beneficial to the delivery of change. </w:t>
      </w:r>
    </w:p>
    <w:p w14:paraId="1EBA7514" w14:textId="3CF62F79" w:rsidR="00DE47FF" w:rsidRDefault="00DE47FF" w:rsidP="00DE47FF">
      <w:pPr>
        <w:rPr>
          <w:rFonts w:cstheme="minorHAnsi"/>
        </w:rPr>
      </w:pPr>
      <w:sdt>
        <w:sdtPr>
          <w:rPr>
            <w:rFonts w:cstheme="minorHAnsi"/>
          </w:rPr>
          <w:id w:val="331797474"/>
          <w:citation/>
        </w:sdtPr>
        <w:sdtContent>
          <w:r>
            <w:rPr>
              <w:rFonts w:cstheme="minorHAnsi"/>
            </w:rPr>
            <w:fldChar w:fldCharType="begin"/>
          </w:r>
          <w:r>
            <w:rPr>
              <w:rFonts w:cstheme="minorHAnsi"/>
            </w:rPr>
            <w:instrText xml:space="preserve"> CITATION Bov20 \l 2057 </w:instrText>
          </w:r>
          <w:r>
            <w:rPr>
              <w:rFonts w:cstheme="minorHAnsi"/>
            </w:rPr>
            <w:fldChar w:fldCharType="separate"/>
          </w:r>
          <w:r w:rsidRPr="00DE47FF">
            <w:rPr>
              <w:rFonts w:cstheme="minorHAnsi"/>
              <w:noProof/>
            </w:rPr>
            <w:t>(Bovee, C. and Thill, J, 2020)</w:t>
          </w:r>
          <w:r>
            <w:rPr>
              <w:rFonts w:cstheme="minorHAnsi"/>
            </w:rPr>
            <w:fldChar w:fldCharType="end"/>
          </w:r>
        </w:sdtContent>
      </w:sdt>
      <w:r>
        <w:rPr>
          <w:rFonts w:cstheme="minorHAnsi"/>
        </w:rPr>
        <w:t xml:space="preserve"> </w:t>
      </w:r>
      <w:r w:rsidRPr="00DE47FF">
        <w:rPr>
          <w:rFonts w:cstheme="minorHAnsi"/>
          <w:i/>
          <w:iCs/>
        </w:rPr>
        <w:t>believe that effective communication only takes place when participants “achieve a shared understanding, stimulate others to take actions and encourage people to think in new ways”.</w:t>
      </w:r>
      <w:r w:rsidRPr="00D00BBC">
        <w:rPr>
          <w:rFonts w:cstheme="minorHAnsi"/>
        </w:rPr>
        <w:t> </w:t>
      </w:r>
      <w:r>
        <w:rPr>
          <w:rFonts w:cstheme="minorHAnsi"/>
        </w:rPr>
        <w:t xml:space="preserve">Where the employees have no objection to this change, the contract can be </w:t>
      </w:r>
      <w:r w:rsidR="00B42DAB">
        <w:rPr>
          <w:rFonts w:cstheme="minorHAnsi"/>
        </w:rPr>
        <w:t>amended,</w:t>
      </w:r>
      <w:r>
        <w:rPr>
          <w:rFonts w:cstheme="minorHAnsi"/>
        </w:rPr>
        <w:t xml:space="preserve"> and the relocation can take place once the consultation phase has concluded. </w:t>
      </w:r>
    </w:p>
    <w:p w14:paraId="3AC6DB26" w14:textId="791C16CA" w:rsidR="00B42DAB" w:rsidRDefault="00EA723C" w:rsidP="00121B45">
      <w:pPr>
        <w:rPr>
          <w:rFonts w:cstheme="minorHAnsi"/>
        </w:rPr>
      </w:pPr>
      <w:r>
        <w:rPr>
          <w:rFonts w:cstheme="minorHAnsi"/>
        </w:rPr>
        <w:t>If there was to be a change in ownership</w:t>
      </w:r>
      <w:r w:rsidR="00B42DAB">
        <w:rPr>
          <w:rFonts w:cstheme="minorHAnsi"/>
        </w:rPr>
        <w:t xml:space="preserve"> and identity but</w:t>
      </w:r>
      <w:r>
        <w:rPr>
          <w:rFonts w:cstheme="minorHAnsi"/>
        </w:rPr>
        <w:t xml:space="preserve"> the company provision remained the same and a Transfer of Undertakings (Protection of Employment) (TUPE) transfer was to be undertaken, there are further considerations to think about. The regulations would protect the rights of the employees </w:t>
      </w:r>
      <w:r w:rsidR="00D00BBC">
        <w:rPr>
          <w:rFonts w:cstheme="minorHAnsi"/>
        </w:rPr>
        <w:t xml:space="preserve">however, changes to the contract would only be lawful if they benefitted the employee </w:t>
      </w:r>
      <w:r w:rsidR="00D00BBC">
        <w:rPr>
          <w:rFonts w:cstheme="minorHAnsi"/>
        </w:rPr>
        <w:lastRenderedPageBreak/>
        <w:t>(for example, this could be an increase in the allowance of annual leave</w:t>
      </w:r>
      <w:r w:rsidR="0028286B">
        <w:rPr>
          <w:rFonts w:cstheme="minorHAnsi"/>
        </w:rPr>
        <w:t xml:space="preserve"> entitlement</w:t>
      </w:r>
      <w:r w:rsidR="00D00BBC">
        <w:rPr>
          <w:rFonts w:cstheme="minorHAnsi"/>
        </w:rPr>
        <w:t xml:space="preserve">) or if there was an economical, </w:t>
      </w:r>
      <w:proofErr w:type="gramStart"/>
      <w:r w:rsidR="00D00BBC">
        <w:rPr>
          <w:rFonts w:cstheme="minorHAnsi"/>
        </w:rPr>
        <w:t>technical</w:t>
      </w:r>
      <w:proofErr w:type="gramEnd"/>
      <w:r w:rsidR="00D00BBC">
        <w:rPr>
          <w:rFonts w:cstheme="minorHAnsi"/>
        </w:rPr>
        <w:t xml:space="preserve"> or organisational reason involving change in the workforce (this could be where the organisation needs restructuring). </w:t>
      </w:r>
    </w:p>
    <w:p w14:paraId="5589A138" w14:textId="7738DC25" w:rsidR="00EA723C" w:rsidRDefault="00DE47FF" w:rsidP="00121B45">
      <w:pPr>
        <w:rPr>
          <w:rFonts w:cstheme="minorHAnsi"/>
        </w:rPr>
      </w:pPr>
      <w:r>
        <w:rPr>
          <w:rFonts w:cstheme="minorHAnsi"/>
        </w:rPr>
        <w:t xml:space="preserve">Redundancy is also a consideration, however, should be a last resort. </w:t>
      </w:r>
      <w:r w:rsidR="00B42DAB">
        <w:rPr>
          <w:rFonts w:cstheme="minorHAnsi"/>
        </w:rPr>
        <w:t xml:space="preserve">Redundancy would be classed as </w:t>
      </w:r>
      <w:r w:rsidR="00083F6D">
        <w:rPr>
          <w:rFonts w:cstheme="minorHAnsi"/>
        </w:rPr>
        <w:t xml:space="preserve">a special form of dismissal – where the organisation is looking to have a reduction in number of employees across the board. </w:t>
      </w:r>
      <w:r>
        <w:rPr>
          <w:rFonts w:cstheme="minorHAnsi"/>
        </w:rPr>
        <w:t xml:space="preserve">ACAS advises on this topic in great </w:t>
      </w:r>
      <w:r w:rsidR="00B42DAB">
        <w:rPr>
          <w:rFonts w:cstheme="minorHAnsi"/>
        </w:rPr>
        <w:t>detail;</w:t>
      </w:r>
      <w:r>
        <w:rPr>
          <w:rFonts w:cstheme="minorHAnsi"/>
        </w:rPr>
        <w:t xml:space="preserve"> however, the main requirements are that the minimum notice period </w:t>
      </w:r>
      <w:r w:rsidR="00B42DAB">
        <w:rPr>
          <w:rFonts w:cstheme="minorHAnsi"/>
        </w:rPr>
        <w:t xml:space="preserve">(dependant on length of service) is 12 weeks for 12 years’ service, but a weeks’ notice for a month to 2 years of employment (plus one weeks’ notice for each year thereafter up until 12 years). </w:t>
      </w:r>
      <w:r w:rsidR="00083F6D">
        <w:rPr>
          <w:rFonts w:cstheme="minorHAnsi"/>
        </w:rPr>
        <w:t xml:space="preserve">Again, consultation plays its part in this process as well as the selection criteria as to who is identified as a ‘potential’ to be entered into the redundancy pool. </w:t>
      </w:r>
    </w:p>
    <w:p w14:paraId="5B627F23" w14:textId="7C15B805" w:rsidR="00083F6D" w:rsidRDefault="00083F6D" w:rsidP="00121B45">
      <w:pPr>
        <w:rPr>
          <w:rFonts w:cstheme="minorHAnsi"/>
        </w:rPr>
      </w:pPr>
      <w:r>
        <w:rPr>
          <w:rFonts w:cstheme="minorHAnsi"/>
        </w:rPr>
        <w:t xml:space="preserve">There are also costs that come with redundancies, both direct and indirect. Direct costs would include the statutory redundancy payments that are mandated for employees with two or more years’ service. Indirect costs would also include time taken to complete the required tasks for this process, higher labour turnover as well as efficiency reductions. </w:t>
      </w:r>
      <w:sdt>
        <w:sdtPr>
          <w:rPr>
            <w:rFonts w:cstheme="minorHAnsi"/>
          </w:rPr>
          <w:id w:val="179474813"/>
          <w:citation/>
        </w:sdtPr>
        <w:sdtContent>
          <w:r>
            <w:rPr>
              <w:rFonts w:cstheme="minorHAnsi"/>
            </w:rPr>
            <w:fldChar w:fldCharType="begin"/>
          </w:r>
          <w:r>
            <w:rPr>
              <w:rFonts w:cstheme="minorHAnsi"/>
            </w:rPr>
            <w:instrText xml:space="preserve"> CITATION CIP223 \l 2057 </w:instrText>
          </w:r>
          <w:r>
            <w:rPr>
              <w:rFonts w:cstheme="minorHAnsi"/>
            </w:rPr>
            <w:fldChar w:fldCharType="separate"/>
          </w:r>
          <w:r w:rsidRPr="00083F6D">
            <w:rPr>
              <w:rFonts w:cstheme="minorHAnsi"/>
              <w:noProof/>
            </w:rPr>
            <w:t>(CIPD, 2022)</w:t>
          </w:r>
          <w:r>
            <w:rPr>
              <w:rFonts w:cstheme="minorHAnsi"/>
            </w:rPr>
            <w:fldChar w:fldCharType="end"/>
          </w:r>
        </w:sdtContent>
      </w:sdt>
    </w:p>
    <w:p w14:paraId="48065564" w14:textId="573BA3B9" w:rsidR="00B42DAB" w:rsidRDefault="00B42DAB" w:rsidP="00121B45">
      <w:pPr>
        <w:rPr>
          <w:rFonts w:cstheme="minorHAnsi"/>
        </w:rPr>
      </w:pPr>
      <w:r>
        <w:rPr>
          <w:rFonts w:cstheme="minorHAnsi"/>
        </w:rPr>
        <w:t xml:space="preserve">Trade unions should also be consulted with aligned to that of the employee. The trade union can agree on behalf of the employee following this process if it is included within the original contract. This can also present an implied term if there have been agreements for everything for the employees previously. </w:t>
      </w:r>
    </w:p>
    <w:p w14:paraId="0706DC3B" w14:textId="77777777" w:rsidR="00083F6D" w:rsidRDefault="00083F6D" w:rsidP="00121B45">
      <w:pPr>
        <w:rPr>
          <w:rFonts w:cstheme="minorHAnsi"/>
        </w:rPr>
      </w:pPr>
    </w:p>
    <w:p w14:paraId="2604C8A0" w14:textId="7DDF9FEA" w:rsidR="00083F6D" w:rsidRDefault="00083F6D" w:rsidP="00121B45">
      <w:pPr>
        <w:rPr>
          <w:rFonts w:cstheme="minorHAnsi"/>
        </w:rPr>
      </w:pPr>
      <w:r>
        <w:rPr>
          <w:rFonts w:cstheme="minorHAnsi"/>
        </w:rPr>
        <w:t>Kind regards,</w:t>
      </w:r>
    </w:p>
    <w:p w14:paraId="232C1B33" w14:textId="14CAEB35" w:rsidR="00083F6D" w:rsidRDefault="00083F6D" w:rsidP="00121B45">
      <w:pPr>
        <w:rPr>
          <w:rFonts w:cstheme="minorHAnsi"/>
        </w:rPr>
      </w:pPr>
      <w:r>
        <w:rPr>
          <w:noProof/>
        </w:rPr>
        <w:drawing>
          <wp:inline distT="0" distB="0" distL="0" distR="0" wp14:anchorId="6FA65E56" wp14:editId="5C7E0BD7">
            <wp:extent cx="1036320" cy="495300"/>
            <wp:effectExtent l="0" t="0" r="0" b="0"/>
            <wp:docPr id="2" name="Picture 7"/>
            <wp:cNvGraphicFramePr/>
            <a:graphic xmlns:a="http://schemas.openxmlformats.org/drawingml/2006/main">
              <a:graphicData uri="http://schemas.openxmlformats.org/drawingml/2006/picture">
                <pic:pic xmlns:pic="http://schemas.openxmlformats.org/drawingml/2006/picture">
                  <pic:nvPicPr>
                    <pic:cNvPr id="1" name="Picture 7"/>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36320" cy="495300"/>
                    </a:xfrm>
                    <a:prstGeom prst="rect">
                      <a:avLst/>
                    </a:prstGeom>
                    <a:noFill/>
                    <a:ln>
                      <a:noFill/>
                    </a:ln>
                  </pic:spPr>
                </pic:pic>
              </a:graphicData>
            </a:graphic>
          </wp:inline>
        </w:drawing>
      </w:r>
    </w:p>
    <w:p w14:paraId="4D4FB226" w14:textId="251DC2A9" w:rsidR="00083F6D" w:rsidRPr="00083F6D" w:rsidRDefault="00083F6D" w:rsidP="00121B45">
      <w:pPr>
        <w:rPr>
          <w:rFonts w:ascii="Century Gothic" w:hAnsi="Century Gothic" w:cstheme="minorHAnsi"/>
          <w:color w:val="0070C0"/>
        </w:rPr>
      </w:pPr>
      <w:r w:rsidRPr="00083F6D">
        <w:rPr>
          <w:rFonts w:ascii="Century Gothic" w:hAnsi="Century Gothic" w:cstheme="minorHAnsi"/>
          <w:color w:val="0070C0"/>
        </w:rPr>
        <w:t>Angela Williams</w:t>
      </w:r>
    </w:p>
    <w:p w14:paraId="72269F7D" w14:textId="09CBB783" w:rsidR="00083F6D" w:rsidRPr="00083F6D" w:rsidRDefault="00083F6D" w:rsidP="00121B45">
      <w:pPr>
        <w:rPr>
          <w:rFonts w:ascii="Century Gothic" w:hAnsi="Century Gothic" w:cstheme="minorHAnsi"/>
          <w:color w:val="0070C0"/>
        </w:rPr>
      </w:pPr>
      <w:r w:rsidRPr="00083F6D">
        <w:rPr>
          <w:rFonts w:ascii="Century Gothic" w:hAnsi="Century Gothic" w:cstheme="minorHAnsi"/>
          <w:color w:val="0070C0"/>
        </w:rPr>
        <w:t>HR Officer</w:t>
      </w:r>
      <w:r w:rsidR="0028286B">
        <w:rPr>
          <w:rFonts w:ascii="Century Gothic" w:hAnsi="Century Gothic" w:cstheme="minorHAnsi"/>
          <w:color w:val="0070C0"/>
        </w:rPr>
        <w:t xml:space="preserve"> | </w:t>
      </w:r>
      <w:r w:rsidRPr="00083F6D">
        <w:rPr>
          <w:rFonts w:ascii="Century Gothic" w:hAnsi="Century Gothic" w:cstheme="minorHAnsi"/>
          <w:color w:val="0070C0"/>
        </w:rPr>
        <w:t>ABC Limited</w:t>
      </w:r>
      <w:r w:rsidR="0028286B">
        <w:rPr>
          <w:rFonts w:ascii="Century Gothic" w:hAnsi="Century Gothic" w:cstheme="minorHAnsi"/>
          <w:color w:val="0070C0"/>
        </w:rPr>
        <w:t xml:space="preserve"> </w:t>
      </w:r>
    </w:p>
    <w:p w14:paraId="05C45F13" w14:textId="77777777" w:rsidR="00083F6D" w:rsidRDefault="00083F6D" w:rsidP="00121B45">
      <w:pPr>
        <w:rPr>
          <w:rFonts w:cstheme="minorHAnsi"/>
        </w:rPr>
      </w:pPr>
    </w:p>
    <w:p w14:paraId="71FA7AD3" w14:textId="77777777" w:rsidR="00083F6D" w:rsidRDefault="00083F6D" w:rsidP="00121B45">
      <w:pPr>
        <w:rPr>
          <w:rFonts w:cstheme="minorHAnsi"/>
        </w:rPr>
      </w:pPr>
    </w:p>
    <w:p w14:paraId="06CFC4D9" w14:textId="77777777" w:rsidR="00121B45" w:rsidRPr="00121B45" w:rsidRDefault="00121B45" w:rsidP="00121B45">
      <w:pPr>
        <w:rPr>
          <w:rFonts w:cstheme="minorHAnsi"/>
        </w:rPr>
      </w:pPr>
    </w:p>
    <w:p w14:paraId="2F388622" w14:textId="77777777" w:rsidR="00121B45" w:rsidRDefault="00121B45" w:rsidP="00121B45">
      <w:pPr>
        <w:rPr>
          <w:rFonts w:cstheme="minorHAnsi"/>
          <w:i/>
          <w:iCs/>
        </w:rPr>
      </w:pPr>
    </w:p>
    <w:p w14:paraId="622AB11A" w14:textId="77777777" w:rsidR="00121B45" w:rsidRDefault="00121B45" w:rsidP="00121B45">
      <w:pPr>
        <w:rPr>
          <w:rFonts w:cstheme="minorHAnsi"/>
          <w:i/>
          <w:iCs/>
        </w:rPr>
      </w:pPr>
    </w:p>
    <w:p w14:paraId="15992899" w14:textId="77777777" w:rsidR="00121B45" w:rsidRDefault="00121B45" w:rsidP="00121B45">
      <w:pPr>
        <w:rPr>
          <w:rFonts w:cstheme="minorHAnsi"/>
          <w:i/>
          <w:iCs/>
        </w:rPr>
      </w:pPr>
    </w:p>
    <w:p w14:paraId="7E8EE69E" w14:textId="77777777" w:rsidR="0042522C" w:rsidRPr="000F529C" w:rsidRDefault="0042522C" w:rsidP="0042522C">
      <w:pPr>
        <w:rPr>
          <w:b/>
          <w:bCs/>
          <w:sz w:val="28"/>
          <w:szCs w:val="28"/>
        </w:rPr>
      </w:pPr>
      <w:r w:rsidRPr="000F529C">
        <w:rPr>
          <w:b/>
          <w:bCs/>
          <w:sz w:val="28"/>
          <w:szCs w:val="28"/>
        </w:rPr>
        <w:t>Bibl</w:t>
      </w:r>
      <w:r>
        <w:rPr>
          <w:b/>
          <w:bCs/>
          <w:sz w:val="28"/>
          <w:szCs w:val="28"/>
        </w:rPr>
        <w:t>i</w:t>
      </w:r>
      <w:r w:rsidRPr="000F529C">
        <w:rPr>
          <w:b/>
          <w:bCs/>
          <w:sz w:val="28"/>
          <w:szCs w:val="28"/>
        </w:rPr>
        <w:t>ography:</w:t>
      </w:r>
    </w:p>
    <w:p w14:paraId="4B323070" w14:textId="6059C9E1" w:rsidR="0042522C" w:rsidRDefault="0042522C" w:rsidP="0042522C">
      <w:pPr>
        <w:rPr>
          <w:rFonts w:cstheme="minorHAnsi"/>
          <w:color w:val="000000"/>
          <w:shd w:val="clear" w:color="auto" w:fill="FFFFFF"/>
        </w:rPr>
      </w:pPr>
      <w:r w:rsidRPr="006955BB">
        <w:rPr>
          <w:rFonts w:cstheme="minorHAnsi"/>
          <w:color w:val="000000"/>
          <w:shd w:val="clear" w:color="auto" w:fill="FFFFFF"/>
        </w:rPr>
        <w:t xml:space="preserve">Acas.org.uk. (2022) </w:t>
      </w:r>
      <w:r>
        <w:rPr>
          <w:rStyle w:val="Emphasis"/>
          <w:rFonts w:cstheme="minorHAnsi"/>
          <w:color w:val="000000"/>
          <w:shd w:val="clear" w:color="auto" w:fill="FFFFFF"/>
        </w:rPr>
        <w:t>Changing an employment contract</w:t>
      </w:r>
      <w:r w:rsidRPr="006955BB">
        <w:rPr>
          <w:rStyle w:val="Emphasis"/>
          <w:rFonts w:cstheme="minorHAnsi"/>
          <w:color w:val="000000"/>
          <w:shd w:val="clear" w:color="auto" w:fill="FFFFFF"/>
        </w:rPr>
        <w:t xml:space="preserve"> | ACAS.</w:t>
      </w:r>
      <w:r w:rsidRPr="006955BB">
        <w:rPr>
          <w:rFonts w:cstheme="minorHAnsi"/>
          <w:color w:val="000000"/>
          <w:shd w:val="clear" w:color="auto" w:fill="FFFFFF"/>
        </w:rPr>
        <w:t xml:space="preserve"> [online] Available at: </w:t>
      </w:r>
      <w:hyperlink r:id="rId19" w:history="1">
        <w:r>
          <w:rPr>
            <w:rStyle w:val="Hyperlink"/>
          </w:rPr>
          <w:t xml:space="preserve">Changing an employment contract | </w:t>
        </w:r>
        <w:proofErr w:type="spellStart"/>
        <w:r>
          <w:rPr>
            <w:rStyle w:val="Hyperlink"/>
          </w:rPr>
          <w:t>Acas</w:t>
        </w:r>
        <w:proofErr w:type="spellEnd"/>
      </w:hyperlink>
      <w:r>
        <w:t xml:space="preserve"> </w:t>
      </w:r>
      <w:r w:rsidRPr="006955BB">
        <w:rPr>
          <w:rFonts w:cstheme="minorHAnsi"/>
          <w:color w:val="000000"/>
          <w:shd w:val="clear" w:color="auto" w:fill="FFFFFF"/>
        </w:rPr>
        <w:t xml:space="preserve">[Accessed </w:t>
      </w:r>
      <w:r>
        <w:rPr>
          <w:rFonts w:cstheme="minorHAnsi"/>
          <w:color w:val="000000"/>
          <w:shd w:val="clear" w:color="auto" w:fill="FFFFFF"/>
        </w:rPr>
        <w:t>0</w:t>
      </w:r>
      <w:r w:rsidRPr="006955BB">
        <w:rPr>
          <w:rFonts w:cstheme="minorHAnsi"/>
          <w:color w:val="000000"/>
          <w:shd w:val="clear" w:color="auto" w:fill="FFFFFF"/>
        </w:rPr>
        <w:t>4/03/2022].</w:t>
      </w:r>
    </w:p>
    <w:p w14:paraId="6FA29BE5" w14:textId="68418E33" w:rsidR="00D00BBC" w:rsidRDefault="00D00BBC" w:rsidP="0042522C">
      <w:pPr>
        <w:rPr>
          <w:rFonts w:cstheme="minorHAnsi"/>
        </w:rPr>
      </w:pPr>
      <w:proofErr w:type="spellStart"/>
      <w:r w:rsidRPr="00D00BBC">
        <w:rPr>
          <w:rFonts w:cstheme="minorHAnsi"/>
        </w:rPr>
        <w:t>Bovee</w:t>
      </w:r>
      <w:proofErr w:type="spellEnd"/>
      <w:r w:rsidRPr="00D00BBC">
        <w:rPr>
          <w:rFonts w:cstheme="minorHAnsi"/>
        </w:rPr>
        <w:t>, C., Thill, J. (2020). Business Communication Today, Global Edition. United Kingdom: Pearson Education Limited.</w:t>
      </w:r>
    </w:p>
    <w:p w14:paraId="35F93A6E" w14:textId="0F70034F" w:rsidR="00083F6D" w:rsidRPr="00083F6D" w:rsidRDefault="00083F6D" w:rsidP="00083F6D">
      <w:pPr>
        <w:shd w:val="clear" w:color="auto" w:fill="FFFFFF"/>
        <w:spacing w:before="100" w:beforeAutospacing="1" w:after="100" w:afterAutospacing="1" w:line="240" w:lineRule="auto"/>
      </w:pPr>
      <w:r w:rsidRPr="00EB3F4E">
        <w:lastRenderedPageBreak/>
        <w:t>CIPD. (20</w:t>
      </w:r>
      <w:r>
        <w:t>21</w:t>
      </w:r>
      <w:r w:rsidRPr="00EB3F4E">
        <w:t>)</w:t>
      </w:r>
      <w:r>
        <w:rPr>
          <w:i/>
          <w:iCs/>
        </w:rPr>
        <w:t xml:space="preserve"> Redundancy</w:t>
      </w:r>
      <w:r w:rsidRPr="00EB3F4E">
        <w:t xml:space="preserve"> | Factsheets | CIPD. [online] Available at:</w:t>
      </w:r>
      <w:r>
        <w:t xml:space="preserve"> </w:t>
      </w:r>
      <w:r w:rsidRPr="00EB3F4E">
        <w:t xml:space="preserve"> </w:t>
      </w:r>
      <w:hyperlink r:id="rId20" w:history="1">
        <w:r>
          <w:rPr>
            <w:rStyle w:val="Hyperlink"/>
          </w:rPr>
          <w:t>Redundancy | Factsheets | CIPD</w:t>
        </w:r>
      </w:hyperlink>
      <w:r>
        <w:t xml:space="preserve"> </w:t>
      </w:r>
      <w:r w:rsidRPr="00EB3F4E">
        <w:t xml:space="preserve">[Accessed </w:t>
      </w:r>
      <w:r>
        <w:t>14</w:t>
      </w:r>
      <w:r>
        <w:t>/03/2022</w:t>
      </w:r>
      <w:r w:rsidRPr="00EB3F4E">
        <w:t>]. </w:t>
      </w:r>
    </w:p>
    <w:p w14:paraId="4046F0BE" w14:textId="77777777" w:rsidR="00121B45" w:rsidRPr="00121B45" w:rsidRDefault="00121B45"/>
    <w:sectPr w:rsidR="00121B45" w:rsidRPr="00121B45">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EF4FC3" w14:textId="77777777" w:rsidR="00B42DAB" w:rsidRDefault="00B42DAB" w:rsidP="00540319">
      <w:pPr>
        <w:spacing w:after="0" w:line="240" w:lineRule="auto"/>
      </w:pPr>
      <w:r>
        <w:separator/>
      </w:r>
    </w:p>
  </w:endnote>
  <w:endnote w:type="continuationSeparator" w:id="0">
    <w:p w14:paraId="3DF8F719" w14:textId="77777777" w:rsidR="00B42DAB" w:rsidRDefault="00B42DAB" w:rsidP="00540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Math">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F2BBD" w14:textId="77777777" w:rsidR="00B42DAB" w:rsidRDefault="00B42D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3D4E3C" w14:textId="77777777" w:rsidR="00B42DAB" w:rsidRDefault="00B42D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67973F" w14:textId="77777777" w:rsidR="00B42DAB" w:rsidRDefault="00B42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7EBA63" w14:textId="77777777" w:rsidR="00B42DAB" w:rsidRDefault="00B42DAB" w:rsidP="00540319">
      <w:pPr>
        <w:spacing w:after="0" w:line="240" w:lineRule="auto"/>
      </w:pPr>
      <w:r>
        <w:separator/>
      </w:r>
    </w:p>
  </w:footnote>
  <w:footnote w:type="continuationSeparator" w:id="0">
    <w:p w14:paraId="297C80C6" w14:textId="77777777" w:rsidR="00B42DAB" w:rsidRDefault="00B42DAB" w:rsidP="005403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DCFD06" w14:textId="77777777" w:rsidR="00B42DAB" w:rsidRDefault="00B42D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07E39D" w14:textId="7315A4B6" w:rsidR="00B42DAB" w:rsidRDefault="00B42DAB">
    <w:pPr>
      <w:pStyle w:val="Header"/>
    </w:pPr>
    <w:r>
      <w:rPr>
        <w:noProof/>
      </w:rPr>
      <mc:AlternateContent>
        <mc:Choice Requires="wps">
          <w:drawing>
            <wp:anchor distT="0" distB="0" distL="114300" distR="114300" simplePos="0" relativeHeight="251660288" behindDoc="0" locked="0" layoutInCell="0" allowOverlap="1" wp14:anchorId="205CCEDC" wp14:editId="23788166">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54EFD8" w14:textId="64CAAF93" w:rsidR="00B42DAB" w:rsidRDefault="00B42DAB">
                          <w:pPr>
                            <w:spacing w:after="0" w:line="240" w:lineRule="auto"/>
                            <w:jc w:val="right"/>
                            <w:rPr>
                              <w:noProof/>
                            </w:rPr>
                          </w:pPr>
                          <w:r>
                            <w:rPr>
                              <w:noProof/>
                              <w:color w:val="002060"/>
                            </w:rPr>
                            <w:t>Angela Williams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205CCEDC" id="_x0000_t202" coordsize="21600,21600" o:spt="202" path="m,l,21600r21600,l21600,xe">
              <v:stroke joinstyle="miter"/>
              <v:path gradientshapeok="t" o:connecttype="rect"/>
            </v:shapetype>
            <v:shape id="Text Box 220" o:spid="_x0000_s1026"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1954EFD8" w14:textId="64CAAF93" w:rsidR="00540319" w:rsidRDefault="00540319">
                    <w:pPr>
                      <w:spacing w:after="0" w:line="240" w:lineRule="auto"/>
                      <w:jc w:val="right"/>
                      <w:rPr>
                        <w:noProof/>
                      </w:rPr>
                    </w:pPr>
                    <w:r>
                      <w:rPr>
                        <w:noProof/>
                        <w:color w:val="002060"/>
                      </w:rPr>
                      <w:t>Angela Williams</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6108F7BA" wp14:editId="301473F6">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135B938C" w14:textId="77777777" w:rsidR="00B42DAB" w:rsidRDefault="00B42DAB">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108F7BA" id="Text Box 221" o:spid="_x0000_s1027"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135B938C" w14:textId="77777777" w:rsidR="00540319" w:rsidRDefault="00540319">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7B3FAB" w14:textId="77777777" w:rsidR="00B42DAB" w:rsidRDefault="00B42D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F22440"/>
    <w:multiLevelType w:val="multilevel"/>
    <w:tmpl w:val="AE08F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9919F7"/>
    <w:multiLevelType w:val="multilevel"/>
    <w:tmpl w:val="AB4C11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319"/>
    <w:rsid w:val="00066DDE"/>
    <w:rsid w:val="00082A7F"/>
    <w:rsid w:val="00083F6D"/>
    <w:rsid w:val="00121B45"/>
    <w:rsid w:val="00184F72"/>
    <w:rsid w:val="001A7A7D"/>
    <w:rsid w:val="0021740D"/>
    <w:rsid w:val="0028286B"/>
    <w:rsid w:val="003412A2"/>
    <w:rsid w:val="00363ED6"/>
    <w:rsid w:val="0042522C"/>
    <w:rsid w:val="00540319"/>
    <w:rsid w:val="005918EB"/>
    <w:rsid w:val="00613F8A"/>
    <w:rsid w:val="00615DEB"/>
    <w:rsid w:val="00675654"/>
    <w:rsid w:val="006955BB"/>
    <w:rsid w:val="007353E5"/>
    <w:rsid w:val="00957739"/>
    <w:rsid w:val="00960004"/>
    <w:rsid w:val="009627E0"/>
    <w:rsid w:val="00963048"/>
    <w:rsid w:val="009C64B0"/>
    <w:rsid w:val="00A0647A"/>
    <w:rsid w:val="00A93928"/>
    <w:rsid w:val="00AC7398"/>
    <w:rsid w:val="00AD0C6D"/>
    <w:rsid w:val="00B14C26"/>
    <w:rsid w:val="00B42DAB"/>
    <w:rsid w:val="00BE1AE7"/>
    <w:rsid w:val="00CF3141"/>
    <w:rsid w:val="00D00BBC"/>
    <w:rsid w:val="00D63A70"/>
    <w:rsid w:val="00DE47FF"/>
    <w:rsid w:val="00EA723C"/>
    <w:rsid w:val="00EB3F4E"/>
    <w:rsid w:val="00EC56CD"/>
    <w:rsid w:val="00F04C98"/>
    <w:rsid w:val="00F164D2"/>
    <w:rsid w:val="00FF1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414857B"/>
  <w15:chartTrackingRefBased/>
  <w15:docId w15:val="{E2CB2338-8ADF-4F6A-9C89-BBBCFB0E6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3F6D"/>
  </w:style>
  <w:style w:type="paragraph" w:styleId="Heading2">
    <w:name w:val="heading 2"/>
    <w:basedOn w:val="Normal"/>
    <w:link w:val="Heading2Char"/>
    <w:uiPriority w:val="9"/>
    <w:qFormat/>
    <w:rsid w:val="003412A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03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319"/>
  </w:style>
  <w:style w:type="paragraph" w:styleId="Footer">
    <w:name w:val="footer"/>
    <w:basedOn w:val="Normal"/>
    <w:link w:val="FooterChar"/>
    <w:uiPriority w:val="99"/>
    <w:unhideWhenUsed/>
    <w:rsid w:val="005403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319"/>
  </w:style>
  <w:style w:type="paragraph" w:styleId="ListParagraph">
    <w:name w:val="List Paragraph"/>
    <w:basedOn w:val="Normal"/>
    <w:uiPriority w:val="34"/>
    <w:qFormat/>
    <w:rsid w:val="00957739"/>
    <w:pPr>
      <w:ind w:left="720"/>
      <w:contextualSpacing/>
    </w:pPr>
  </w:style>
  <w:style w:type="character" w:styleId="Emphasis">
    <w:name w:val="Emphasis"/>
    <w:basedOn w:val="DefaultParagraphFont"/>
    <w:uiPriority w:val="20"/>
    <w:qFormat/>
    <w:rsid w:val="00675654"/>
    <w:rPr>
      <w:i/>
      <w:iCs/>
    </w:rPr>
  </w:style>
  <w:style w:type="character" w:styleId="Hyperlink">
    <w:name w:val="Hyperlink"/>
    <w:basedOn w:val="DefaultParagraphFont"/>
    <w:uiPriority w:val="99"/>
    <w:unhideWhenUsed/>
    <w:rsid w:val="00675654"/>
    <w:rPr>
      <w:color w:val="0563C1" w:themeColor="hyperlink"/>
      <w:u w:val="single"/>
    </w:rPr>
  </w:style>
  <w:style w:type="character" w:styleId="UnresolvedMention">
    <w:name w:val="Unresolved Mention"/>
    <w:basedOn w:val="DefaultParagraphFont"/>
    <w:uiPriority w:val="99"/>
    <w:semiHidden/>
    <w:unhideWhenUsed/>
    <w:rsid w:val="00675654"/>
    <w:rPr>
      <w:color w:val="605E5C"/>
      <w:shd w:val="clear" w:color="auto" w:fill="E1DFDD"/>
    </w:rPr>
  </w:style>
  <w:style w:type="table" w:styleId="TableGrid">
    <w:name w:val="Table Grid"/>
    <w:basedOn w:val="TableNormal"/>
    <w:uiPriority w:val="39"/>
    <w:rsid w:val="009630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955BB"/>
    <w:rPr>
      <w:color w:val="954F72" w:themeColor="followedHyperlink"/>
      <w:u w:val="single"/>
    </w:rPr>
  </w:style>
  <w:style w:type="character" w:styleId="PlaceholderText">
    <w:name w:val="Placeholder Text"/>
    <w:basedOn w:val="DefaultParagraphFont"/>
    <w:uiPriority w:val="99"/>
    <w:semiHidden/>
    <w:rsid w:val="00A93928"/>
    <w:rPr>
      <w:color w:val="808080"/>
    </w:rPr>
  </w:style>
  <w:style w:type="character" w:customStyle="1" w:styleId="Heading2Char">
    <w:name w:val="Heading 2 Char"/>
    <w:basedOn w:val="DefaultParagraphFont"/>
    <w:link w:val="Heading2"/>
    <w:uiPriority w:val="9"/>
    <w:rsid w:val="003412A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412A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509004">
      <w:bodyDiv w:val="1"/>
      <w:marLeft w:val="0"/>
      <w:marRight w:val="0"/>
      <w:marTop w:val="0"/>
      <w:marBottom w:val="0"/>
      <w:divBdr>
        <w:top w:val="none" w:sz="0" w:space="0" w:color="auto"/>
        <w:left w:val="none" w:sz="0" w:space="0" w:color="auto"/>
        <w:bottom w:val="none" w:sz="0" w:space="0" w:color="auto"/>
        <w:right w:val="none" w:sz="0" w:space="0" w:color="auto"/>
      </w:divBdr>
    </w:div>
    <w:div w:id="54622699">
      <w:bodyDiv w:val="1"/>
      <w:marLeft w:val="0"/>
      <w:marRight w:val="0"/>
      <w:marTop w:val="0"/>
      <w:marBottom w:val="0"/>
      <w:divBdr>
        <w:top w:val="none" w:sz="0" w:space="0" w:color="auto"/>
        <w:left w:val="none" w:sz="0" w:space="0" w:color="auto"/>
        <w:bottom w:val="none" w:sz="0" w:space="0" w:color="auto"/>
        <w:right w:val="none" w:sz="0" w:space="0" w:color="auto"/>
      </w:divBdr>
    </w:div>
    <w:div w:id="60636288">
      <w:bodyDiv w:val="1"/>
      <w:marLeft w:val="0"/>
      <w:marRight w:val="0"/>
      <w:marTop w:val="0"/>
      <w:marBottom w:val="0"/>
      <w:divBdr>
        <w:top w:val="none" w:sz="0" w:space="0" w:color="auto"/>
        <w:left w:val="none" w:sz="0" w:space="0" w:color="auto"/>
        <w:bottom w:val="none" w:sz="0" w:space="0" w:color="auto"/>
        <w:right w:val="none" w:sz="0" w:space="0" w:color="auto"/>
      </w:divBdr>
    </w:div>
    <w:div w:id="235362975">
      <w:bodyDiv w:val="1"/>
      <w:marLeft w:val="0"/>
      <w:marRight w:val="0"/>
      <w:marTop w:val="0"/>
      <w:marBottom w:val="0"/>
      <w:divBdr>
        <w:top w:val="none" w:sz="0" w:space="0" w:color="auto"/>
        <w:left w:val="none" w:sz="0" w:space="0" w:color="auto"/>
        <w:bottom w:val="none" w:sz="0" w:space="0" w:color="auto"/>
        <w:right w:val="none" w:sz="0" w:space="0" w:color="auto"/>
      </w:divBdr>
    </w:div>
    <w:div w:id="253364810">
      <w:bodyDiv w:val="1"/>
      <w:marLeft w:val="0"/>
      <w:marRight w:val="0"/>
      <w:marTop w:val="0"/>
      <w:marBottom w:val="0"/>
      <w:divBdr>
        <w:top w:val="none" w:sz="0" w:space="0" w:color="auto"/>
        <w:left w:val="none" w:sz="0" w:space="0" w:color="auto"/>
        <w:bottom w:val="none" w:sz="0" w:space="0" w:color="auto"/>
        <w:right w:val="none" w:sz="0" w:space="0" w:color="auto"/>
      </w:divBdr>
    </w:div>
    <w:div w:id="434831467">
      <w:bodyDiv w:val="1"/>
      <w:marLeft w:val="0"/>
      <w:marRight w:val="0"/>
      <w:marTop w:val="0"/>
      <w:marBottom w:val="0"/>
      <w:divBdr>
        <w:top w:val="none" w:sz="0" w:space="0" w:color="auto"/>
        <w:left w:val="none" w:sz="0" w:space="0" w:color="auto"/>
        <w:bottom w:val="none" w:sz="0" w:space="0" w:color="auto"/>
        <w:right w:val="none" w:sz="0" w:space="0" w:color="auto"/>
      </w:divBdr>
    </w:div>
    <w:div w:id="618149117">
      <w:bodyDiv w:val="1"/>
      <w:marLeft w:val="0"/>
      <w:marRight w:val="0"/>
      <w:marTop w:val="0"/>
      <w:marBottom w:val="0"/>
      <w:divBdr>
        <w:top w:val="none" w:sz="0" w:space="0" w:color="auto"/>
        <w:left w:val="none" w:sz="0" w:space="0" w:color="auto"/>
        <w:bottom w:val="none" w:sz="0" w:space="0" w:color="auto"/>
        <w:right w:val="none" w:sz="0" w:space="0" w:color="auto"/>
      </w:divBdr>
    </w:div>
    <w:div w:id="668217377">
      <w:bodyDiv w:val="1"/>
      <w:marLeft w:val="0"/>
      <w:marRight w:val="0"/>
      <w:marTop w:val="0"/>
      <w:marBottom w:val="0"/>
      <w:divBdr>
        <w:top w:val="none" w:sz="0" w:space="0" w:color="auto"/>
        <w:left w:val="none" w:sz="0" w:space="0" w:color="auto"/>
        <w:bottom w:val="none" w:sz="0" w:space="0" w:color="auto"/>
        <w:right w:val="none" w:sz="0" w:space="0" w:color="auto"/>
      </w:divBdr>
    </w:div>
    <w:div w:id="950429062">
      <w:bodyDiv w:val="1"/>
      <w:marLeft w:val="0"/>
      <w:marRight w:val="0"/>
      <w:marTop w:val="0"/>
      <w:marBottom w:val="0"/>
      <w:divBdr>
        <w:top w:val="none" w:sz="0" w:space="0" w:color="auto"/>
        <w:left w:val="none" w:sz="0" w:space="0" w:color="auto"/>
        <w:bottom w:val="none" w:sz="0" w:space="0" w:color="auto"/>
        <w:right w:val="none" w:sz="0" w:space="0" w:color="auto"/>
      </w:divBdr>
    </w:div>
    <w:div w:id="1102342882">
      <w:bodyDiv w:val="1"/>
      <w:marLeft w:val="0"/>
      <w:marRight w:val="0"/>
      <w:marTop w:val="0"/>
      <w:marBottom w:val="0"/>
      <w:divBdr>
        <w:top w:val="none" w:sz="0" w:space="0" w:color="auto"/>
        <w:left w:val="none" w:sz="0" w:space="0" w:color="auto"/>
        <w:bottom w:val="none" w:sz="0" w:space="0" w:color="auto"/>
        <w:right w:val="none" w:sz="0" w:space="0" w:color="auto"/>
      </w:divBdr>
    </w:div>
    <w:div w:id="1173178456">
      <w:bodyDiv w:val="1"/>
      <w:marLeft w:val="0"/>
      <w:marRight w:val="0"/>
      <w:marTop w:val="0"/>
      <w:marBottom w:val="0"/>
      <w:divBdr>
        <w:top w:val="none" w:sz="0" w:space="0" w:color="auto"/>
        <w:left w:val="none" w:sz="0" w:space="0" w:color="auto"/>
        <w:bottom w:val="none" w:sz="0" w:space="0" w:color="auto"/>
        <w:right w:val="none" w:sz="0" w:space="0" w:color="auto"/>
      </w:divBdr>
    </w:div>
    <w:div w:id="1267230398">
      <w:bodyDiv w:val="1"/>
      <w:marLeft w:val="0"/>
      <w:marRight w:val="0"/>
      <w:marTop w:val="0"/>
      <w:marBottom w:val="0"/>
      <w:divBdr>
        <w:top w:val="none" w:sz="0" w:space="0" w:color="auto"/>
        <w:left w:val="none" w:sz="0" w:space="0" w:color="auto"/>
        <w:bottom w:val="none" w:sz="0" w:space="0" w:color="auto"/>
        <w:right w:val="none" w:sz="0" w:space="0" w:color="auto"/>
      </w:divBdr>
    </w:div>
    <w:div w:id="1524050244">
      <w:bodyDiv w:val="1"/>
      <w:marLeft w:val="0"/>
      <w:marRight w:val="0"/>
      <w:marTop w:val="0"/>
      <w:marBottom w:val="0"/>
      <w:divBdr>
        <w:top w:val="none" w:sz="0" w:space="0" w:color="auto"/>
        <w:left w:val="none" w:sz="0" w:space="0" w:color="auto"/>
        <w:bottom w:val="none" w:sz="0" w:space="0" w:color="auto"/>
        <w:right w:val="none" w:sz="0" w:space="0" w:color="auto"/>
      </w:divBdr>
    </w:div>
    <w:div w:id="1573127168">
      <w:bodyDiv w:val="1"/>
      <w:marLeft w:val="0"/>
      <w:marRight w:val="0"/>
      <w:marTop w:val="0"/>
      <w:marBottom w:val="0"/>
      <w:divBdr>
        <w:top w:val="none" w:sz="0" w:space="0" w:color="auto"/>
        <w:left w:val="none" w:sz="0" w:space="0" w:color="auto"/>
        <w:bottom w:val="none" w:sz="0" w:space="0" w:color="auto"/>
        <w:right w:val="none" w:sz="0" w:space="0" w:color="auto"/>
      </w:divBdr>
    </w:div>
    <w:div w:id="1864975359">
      <w:bodyDiv w:val="1"/>
      <w:marLeft w:val="0"/>
      <w:marRight w:val="0"/>
      <w:marTop w:val="0"/>
      <w:marBottom w:val="0"/>
      <w:divBdr>
        <w:top w:val="none" w:sz="0" w:space="0" w:color="auto"/>
        <w:left w:val="none" w:sz="0" w:space="0" w:color="auto"/>
        <w:bottom w:val="none" w:sz="0" w:space="0" w:color="auto"/>
        <w:right w:val="none" w:sz="0" w:space="0" w:color="auto"/>
      </w:divBdr>
    </w:div>
    <w:div w:id="2067799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yperlink" Target="https://www.gov.uk/guidance/equality-act-2010-guidance" TargetMode="External"/><Relationship Id="rId18" Type="http://schemas.openxmlformats.org/officeDocument/2006/relationships/image" Target="media/image2.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gov.uk/employment-status/worker" TargetMode="External"/><Relationship Id="rId17" Type="http://schemas.openxmlformats.org/officeDocument/2006/relationships/hyperlink" Target="https://www.acas.org.uk/changing-an-employment-contract"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mailto:managing.director@ABCLimited.co.uk" TargetMode="External"/><Relationship Id="rId20" Type="http://schemas.openxmlformats.org/officeDocument/2006/relationships/hyperlink" Target="https://www.cipd.co.uk/knowledge/fundamentals/emp-law/redundancy/factshe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emp-law/working-time/questions"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mailto:angela.williams@ABCLimited.co.uk"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cipd.co.uk/knowledge/strategy/reward/pay-fairness-reporting-factsheet" TargetMode="External"/><Relationship Id="rId19" Type="http://schemas.openxmlformats.org/officeDocument/2006/relationships/hyperlink" Target="https://www.acas.org.uk/changing-an-employment-contract" TargetMode="External"/><Relationship Id="rId4" Type="http://schemas.openxmlformats.org/officeDocument/2006/relationships/settings" Target="settings.xml"/><Relationship Id="rId9" Type="http://schemas.openxmlformats.org/officeDocument/2006/relationships/hyperlink" Target="https://www.acas.org.uk/index.aspx?articleid=1711" TargetMode="External"/><Relationship Id="rId14" Type="http://schemas.openxmlformats.org/officeDocument/2006/relationships/hyperlink" Target="https://www.thompsonstradeunion.law/media/1165/equal-pay-a-summary-of-the-law-thompsons-solicitors.pdf"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CIP222</b:Tag>
    <b:SourceType>DocumentFromInternetSite</b:SourceType>
    <b:Guid>{3391F723-4203-4A86-920A-6B3278BEF5DB}</b:Guid>
    <b:Title>employment law</b:Title>
    <b:Year>2022</b:Year>
    <b:Author>
      <b:Author>
        <b:NameList>
          <b:Person>
            <b:Last>CIPD</b:Last>
          </b:Person>
        </b:NameList>
      </b:Author>
    </b:Author>
    <b:InternetSiteTitle>CIPD</b:InternetSiteTitle>
    <b:Month>03</b:Month>
    <b:Day>04</b:Day>
    <b:URL>https://www.cipd.co.uk/knowledge/fundamentals/emp-law</b:URL>
    <b:RefOrder>1</b:RefOrder>
  </b:Source>
  <b:Source>
    <b:Tag>CIP212</b:Tag>
    <b:SourceType>JournalArticle</b:SourceType>
    <b:Guid>{38CEFA8F-0A02-493F-8AEC-0C7CB544D4B8}</b:Guid>
    <b:Title>Inclusion and diversity in the workplace</b:Title>
    <b:Year>2021</b:Year>
    <b:Author>
      <b:Author>
        <b:Corporate>CIPD</b:Corporate>
      </b:Author>
    </b:Author>
    <b:JournalName>CIPD</b:JournalName>
    <b:Pages>5</b:Pages>
    <b:RefOrder>2</b:RefOrder>
  </b:Source>
  <b:Source>
    <b:Tag>ACA22</b:Tag>
    <b:SourceType>InternetSite</b:SourceType>
    <b:Guid>{DB9FA947-F236-4540-A54A-7C4883608804}</b:Guid>
    <b:InternetSiteTitle>ACAS</b:InternetSiteTitle>
    <b:Year>2022</b:Year>
    <b:Month>03</b:Month>
    <b:Day>14</b:Day>
    <b:URL>https://www.acas.org.uk/arbitration</b:URL>
    <b:RefOrder>3</b:RefOrder>
  </b:Source>
  <b:Source>
    <b:Tag>Gov22</b:Tag>
    <b:SourceType>InternetSite</b:SourceType>
    <b:Guid>{D941B697-FB25-48D4-B9C4-4DED400E01C7}</b:Guid>
    <b:Title>Gov.uk</b:Title>
    <b:InternetSiteTitle>Gov.uk</b:InternetSiteTitle>
    <b:Year>2022</b:Year>
    <b:Month>03</b:Month>
    <b:Day>11</b:Day>
    <b:URL>https://www.gov.uk/</b:URL>
    <b:RefOrder>4</b:RefOrder>
  </b:Source>
  <b:Source>
    <b:Tag>Gov221</b:Tag>
    <b:SourceType>InternetSite</b:SourceType>
    <b:Guid>{AEBAD649-226A-4FFB-B87D-D16EEFF665BA}</b:Guid>
    <b:Title>Gov.uk</b:Title>
    <b:InternetSiteTitle>Equality Act 2010</b:InternetSiteTitle>
    <b:Year>2022</b:Year>
    <b:Month>03</b:Month>
    <b:Day>25</b:Day>
    <b:URL>https://www.gov.uk/guidance/equality-act-2010-guidance</b:URL>
    <b:RefOrder>5</b:RefOrder>
  </b:Source>
  <b:Source>
    <b:Tag>Tho22</b:Tag>
    <b:SourceType>InternetSite</b:SourceType>
    <b:Guid>{1A636B27-F778-4661-9B60-C661FF18DB68}</b:Guid>
    <b:InternetSiteTitle>Thompson Trade Union</b:InternetSiteTitle>
    <b:Year>2022</b:Year>
    <b:Month>03</b:Month>
    <b:Day>24</b:Day>
    <b:URL>https://www.thompsonstradeunion.law/media/1165/equal-pay-a-summary-of-the-law-thompsons-solicitors.pdf</b:URL>
    <b:RefOrder>6</b:RefOrder>
  </b:Source>
  <b:Source>
    <b:Tag>Bov20</b:Tag>
    <b:SourceType>Book</b:SourceType>
    <b:Guid>{F8586095-A486-402F-A44B-E72B26D1B81B}</b:Guid>
    <b:Title>Business Communication Today</b:Title>
    <b:Year>2020</b:Year>
    <b:City>United Kingdom</b:City>
    <b:Publisher>Pearson Education Limited</b:Publisher>
    <b:Author>
      <b:Author>
        <b:Corporate>Bovee, C. and Thill, J</b:Corporate>
      </b:Author>
    </b:Author>
    <b:RefOrder>7</b:RefOrder>
  </b:Source>
  <b:Source>
    <b:Tag>CIP223</b:Tag>
    <b:SourceType>DocumentFromInternetSite</b:SourceType>
    <b:Guid>{9B018D79-9AB3-4989-9E3C-E1889551E568}</b:Guid>
    <b:Year>2022</b:Year>
    <b:InternetSiteTitle>CIPD</b:InternetSiteTitle>
    <b:Month>03</b:Month>
    <b:Day>14</b:Day>
    <b:URL>https://www.cipd.co.uk/knowledge/fundamentals/emp-law/redundancy/factsheet</b:URL>
    <b:RefOrder>8</b:RefOrder>
  </b:Source>
</b:Sources>
</file>

<file path=customXml/itemProps1.xml><?xml version="1.0" encoding="utf-8"?>
<ds:datastoreItem xmlns:ds="http://schemas.openxmlformats.org/officeDocument/2006/customXml" ds:itemID="{84A41272-0172-46D8-AD6E-D9E6AF32F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TotalTime>
  <Pages>10</Pages>
  <Words>3880</Words>
  <Characters>22120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Angela PC 962</dc:creator>
  <cp:keywords/>
  <dc:description/>
  <cp:lastModifiedBy>Williams Angela PC 962</cp:lastModifiedBy>
  <cp:revision>7</cp:revision>
  <dcterms:created xsi:type="dcterms:W3CDTF">2022-03-22T12:05:00Z</dcterms:created>
  <dcterms:modified xsi:type="dcterms:W3CDTF">2022-03-26T13:51:00Z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2022-03-22T16:26:22Z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f62c05fd-6d17-4a6e-b541-f86c6256a708</vt:lpwstr>
  </property>
  <property fmtid="{D5CDD505-2E9C-101B-9397-08002B2CF9AE}" pid="8" name="MSIP_Label_7beefdff-6834-454f-be00-a68b5bc5f471_ContentBits">
    <vt:lpwstr>0</vt:lpwstr>
  </property>
</Properties>
</file>