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b w:val="1"/>
          <w:rtl w:val="0"/>
        </w:rPr>
        <w:t xml:space="preserve">MODULE CODE:LCBB4001</w:t>
      </w:r>
    </w:p>
    <w:p w:rsidR="00000000" w:rsidDel="00000000" w:rsidP="00000000" w:rsidRDefault="00000000" w:rsidRPr="00000000" w14:paraId="00000004">
      <w:pPr>
        <w:jc w:val="center"/>
        <w:rPr>
          <w:b w:val="1"/>
        </w:rPr>
      </w:pPr>
      <w:r w:rsidDel="00000000" w:rsidR="00000000" w:rsidRPr="00000000">
        <w:rPr>
          <w:b w:val="1"/>
          <w:rtl w:val="0"/>
        </w:rPr>
        <w:t xml:space="preserve">ACCOUNTING FUNDAMENTALS </w:t>
      </w:r>
    </w:p>
    <w:p w:rsidR="00000000" w:rsidDel="00000000" w:rsidP="00000000" w:rsidRDefault="00000000" w:rsidRPr="00000000" w14:paraId="00000005">
      <w:pPr>
        <w:jc w:val="center"/>
        <w:rPr>
          <w:b w:val="1"/>
        </w:rPr>
      </w:pPr>
      <w:r w:rsidDel="00000000" w:rsidR="00000000" w:rsidRPr="00000000">
        <w:rPr>
          <w:rtl w:val="0"/>
        </w:rPr>
      </w:r>
    </w:p>
    <w:p w:rsidR="00000000" w:rsidDel="00000000" w:rsidP="00000000" w:rsidRDefault="00000000" w:rsidRPr="00000000" w14:paraId="00000006">
      <w:pPr>
        <w:rPr>
          <w:b w:val="1"/>
        </w:rPr>
      </w:pPr>
      <w:r w:rsidDel="00000000" w:rsidR="00000000" w:rsidRPr="00000000">
        <w:rPr>
          <w:b w:val="1"/>
          <w:rtl w:val="0"/>
        </w:rPr>
        <w:t xml:space="preserve">Name:Daniel Florescu</w:t>
      </w:r>
    </w:p>
    <w:p w:rsidR="00000000" w:rsidDel="00000000" w:rsidP="00000000" w:rsidRDefault="00000000" w:rsidRPr="00000000" w14:paraId="00000007">
      <w:pPr>
        <w:rPr>
          <w:b w:val="1"/>
        </w:rPr>
      </w:pPr>
      <w:r w:rsidDel="00000000" w:rsidR="00000000" w:rsidRPr="00000000">
        <w:rPr>
          <w:b w:val="1"/>
          <w:rtl w:val="0"/>
        </w:rPr>
        <w:t xml:space="preserve">Student ID:2028164</w:t>
      </w:r>
    </w:p>
    <w:p w:rsidR="00000000" w:rsidDel="00000000" w:rsidP="00000000" w:rsidRDefault="00000000" w:rsidRPr="00000000" w14:paraId="00000008">
      <w:pPr>
        <w:rPr>
          <w:b w:val="1"/>
        </w:rPr>
      </w:pPr>
      <w:r w:rsidDel="00000000" w:rsidR="00000000" w:rsidRPr="00000000">
        <w:rPr>
          <w:b w:val="1"/>
          <w:rtl w:val="0"/>
        </w:rPr>
        <w:t xml:space="preserve">Date &amp; time:27/08/2020 &amp; 15:52</w:t>
      </w:r>
      <w:r w:rsidDel="00000000" w:rsidR="00000000" w:rsidRPr="00000000">
        <w:rPr>
          <w:rtl w:val="0"/>
        </w:rPr>
      </w:r>
    </w:p>
    <w:p w:rsidR="00000000" w:rsidDel="00000000" w:rsidP="00000000" w:rsidRDefault="00000000" w:rsidRPr="00000000" w14:paraId="00000009">
      <w:pPr>
        <w:jc w:val="center"/>
        <w:rPr>
          <w:b w:val="1"/>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0A">
      <w:pPr>
        <w:rPr>
          <w:sz w:val="28"/>
          <w:szCs w:val="28"/>
        </w:rPr>
      </w:pPr>
      <w:r w:rsidDel="00000000" w:rsidR="00000000" w:rsidRPr="00000000">
        <w:rPr>
          <w:sz w:val="28"/>
          <w:szCs w:val="28"/>
          <w:rtl w:val="0"/>
        </w:rPr>
        <w:t xml:space="preserve">Chosen Question: </w:t>
      </w:r>
      <w:r w:rsidDel="00000000" w:rsidR="00000000" w:rsidRPr="00000000">
        <w:rPr>
          <w:b w:val="1"/>
          <w:sz w:val="28"/>
          <w:szCs w:val="28"/>
          <w:rtl w:val="0"/>
        </w:rPr>
        <w:t xml:space="preserve">#1</w:t>
      </w:r>
      <w:r w:rsidDel="00000000" w:rsidR="00000000" w:rsidRPr="00000000">
        <w:rPr>
          <w:sz w:val="28"/>
          <w:szCs w:val="28"/>
          <w:rtl w:val="0"/>
        </w:rPr>
        <w:t xml:space="preserve"> </w:t>
      </w:r>
    </w:p>
    <w:p w:rsidR="00000000" w:rsidDel="00000000" w:rsidP="00000000" w:rsidRDefault="00000000" w:rsidRPr="00000000" w14:paraId="0000000B">
      <w:pPr>
        <w:rPr>
          <w:sz w:val="28"/>
          <w:szCs w:val="28"/>
        </w:rPr>
      </w:pPr>
      <w:r w:rsidDel="00000000" w:rsidR="00000000" w:rsidRPr="00000000">
        <w:rPr>
          <w:sz w:val="28"/>
          <w:szCs w:val="28"/>
          <w:rtl w:val="0"/>
        </w:rPr>
        <w:t xml:space="preserve">Following are the details in the question:</w:t>
      </w:r>
    </w:p>
    <w:tbl>
      <w:tblPr>
        <w:tblStyle w:val="Table1"/>
        <w:tblW w:w="4340.0" w:type="dxa"/>
        <w:jc w:val="center"/>
        <w:tblLayout w:type="fixed"/>
        <w:tblLook w:val="0400"/>
      </w:tblPr>
      <w:tblGrid>
        <w:gridCol w:w="3002"/>
        <w:gridCol w:w="1338"/>
        <w:tblGridChange w:id="0">
          <w:tblGrid>
            <w:gridCol w:w="3002"/>
            <w:gridCol w:w="1338"/>
          </w:tblGrid>
        </w:tblGridChange>
      </w:tblGrid>
      <w:tr>
        <w:trPr>
          <w:cantSplit w:val="0"/>
          <w:trHeight w:val="420" w:hRule="atLeast"/>
          <w:tblHeader w:val="0"/>
        </w:trPr>
        <w:tc>
          <w:tcPr>
            <w:gridSpan w:val="2"/>
            <w:tcBorders>
              <w:top w:color="000000" w:space="0" w:sz="0" w:val="nil"/>
              <w:left w:color="000000" w:space="0" w:sz="0" w:val="nil"/>
              <w:bottom w:color="000000" w:space="0" w:sz="8" w:val="single"/>
              <w:right w:color="000000" w:space="0" w:sz="0" w:val="nil"/>
            </w:tcBorders>
            <w:shd w:fill="ddebf7" w:val="clear"/>
            <w:vAlign w:val="center"/>
          </w:tcPr>
          <w:p w:rsidR="00000000" w:rsidDel="00000000" w:rsidP="00000000" w:rsidRDefault="00000000" w:rsidRPr="00000000" w14:paraId="0000000C">
            <w:pPr>
              <w:spacing w:after="0" w:line="240" w:lineRule="auto"/>
              <w:jc w:val="center"/>
              <w:rPr>
                <w:rFonts w:ascii="Calibri" w:cs="Calibri" w:eastAsia="Calibri" w:hAnsi="Calibri"/>
                <w:b w:val="1"/>
                <w:color w:val="000000"/>
              </w:rPr>
            </w:pPr>
            <w:r w:rsidDel="00000000" w:rsidR="00000000" w:rsidRPr="00000000">
              <w:rPr>
                <w:rFonts w:ascii="Calibri" w:cs="Calibri" w:eastAsia="Calibri" w:hAnsi="Calibri"/>
                <w:b w:val="1"/>
                <w:color w:val="000000"/>
                <w:sz w:val="28"/>
                <w:szCs w:val="28"/>
                <w:rtl w:val="0"/>
              </w:rPr>
              <w:t xml:space="preserve">Kerrigan Ltd.</w:t>
            </w:r>
            <w:r w:rsidDel="00000000" w:rsidR="00000000" w:rsidRPr="00000000">
              <w:rPr>
                <w:rtl w:val="0"/>
              </w:rPr>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0E">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Current Selling Price</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0F">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£11</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10">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Variable cost per unit</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11">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12">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Total Fixed Costs</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13">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£350,000</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14">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Units being sold</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15">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75,000 </w:t>
            </w:r>
          </w:p>
        </w:tc>
      </w:tr>
    </w:tbl>
    <w:p w:rsidR="00000000" w:rsidDel="00000000" w:rsidP="00000000" w:rsidRDefault="00000000" w:rsidRPr="00000000" w14:paraId="00000016">
      <w:pPr>
        <w:rPr>
          <w:sz w:val="28"/>
          <w:szCs w:val="28"/>
        </w:rPr>
      </w:pPr>
      <w:r w:rsidDel="00000000" w:rsidR="00000000" w:rsidRPr="00000000">
        <w:rPr>
          <w:rtl w:val="0"/>
        </w:rPr>
      </w:r>
    </w:p>
    <w:p w:rsidR="00000000" w:rsidDel="00000000" w:rsidP="00000000" w:rsidRDefault="00000000" w:rsidRPr="00000000" w14:paraId="00000017">
      <w:pPr>
        <w:rPr>
          <w:b w:val="1"/>
          <w:i w:val="1"/>
          <w:sz w:val="28"/>
          <w:szCs w:val="28"/>
        </w:rPr>
      </w:pPr>
      <w:r w:rsidDel="00000000" w:rsidR="00000000" w:rsidRPr="00000000">
        <w:rPr>
          <w:b w:val="1"/>
          <w:i w:val="1"/>
          <w:sz w:val="28"/>
          <w:szCs w:val="28"/>
          <w:rtl w:val="0"/>
        </w:rPr>
        <w:t xml:space="preserve">Part (a)</w:t>
      </w:r>
    </w:p>
    <w:p w:rsidR="00000000" w:rsidDel="00000000" w:rsidP="00000000" w:rsidRDefault="00000000" w:rsidRPr="00000000" w14:paraId="00000018">
      <w:pPr>
        <w:rPr/>
      </w:pPr>
      <w:r w:rsidDel="00000000" w:rsidR="00000000" w:rsidRPr="00000000">
        <w:rPr>
          <w:rtl w:val="0"/>
        </w:rPr>
        <w:t xml:space="preserve">Break-even point in units is calculated through the formula: FC / (Contribution per unit). Company makes profit if it sells more than 70,000 units. As follows:</w:t>
      </w:r>
    </w:p>
    <w:tbl>
      <w:tblPr>
        <w:tblStyle w:val="Table2"/>
        <w:tblW w:w="4340.0" w:type="dxa"/>
        <w:jc w:val="center"/>
        <w:tblLayout w:type="fixed"/>
        <w:tblLook w:val="0400"/>
      </w:tblPr>
      <w:tblGrid>
        <w:gridCol w:w="3160"/>
        <w:gridCol w:w="1180"/>
        <w:tblGridChange w:id="0">
          <w:tblGrid>
            <w:gridCol w:w="3160"/>
            <w:gridCol w:w="1180"/>
          </w:tblGrid>
        </w:tblGridChange>
      </w:tblGrid>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19">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Fixed Costs</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1A">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£350,000</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1B">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(Selling Price - Variable Cost)</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1C">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1D">
            <w:pPr>
              <w:spacing w:after="0" w:line="240" w:lineRule="auto"/>
              <w:rPr>
                <w:rFonts w:ascii="Calibri" w:cs="Calibri" w:eastAsia="Calibri" w:hAnsi="Calibri"/>
                <w:b w:val="1"/>
                <w:i w:val="1"/>
                <w:color w:val="000000"/>
              </w:rPr>
            </w:pPr>
            <w:r w:rsidDel="00000000" w:rsidR="00000000" w:rsidRPr="00000000">
              <w:rPr>
                <w:rFonts w:ascii="Calibri" w:cs="Calibri" w:eastAsia="Calibri" w:hAnsi="Calibri"/>
                <w:b w:val="1"/>
                <w:i w:val="1"/>
                <w:color w:val="000000"/>
                <w:rtl w:val="0"/>
              </w:rPr>
              <w:t xml:space="preserve">Break-even point (units)</w:t>
            </w:r>
          </w:p>
        </w:tc>
        <w:tc>
          <w:tcPr>
            <w:tcBorders>
              <w:top w:color="000000" w:space="0" w:sz="0" w:val="nil"/>
              <w:left w:color="000000" w:space="0" w:sz="4" w:val="single"/>
              <w:bottom w:color="000000" w:space="0" w:sz="0" w:val="nil"/>
              <w:right w:color="000000" w:space="0" w:sz="0" w:val="nil"/>
            </w:tcBorders>
            <w:shd w:fill="ffd966" w:val="clear"/>
            <w:vAlign w:val="bottom"/>
          </w:tcPr>
          <w:p w:rsidR="00000000" w:rsidDel="00000000" w:rsidP="00000000" w:rsidRDefault="00000000" w:rsidRPr="00000000" w14:paraId="0000001E">
            <w:pPr>
              <w:spacing w:after="0" w:line="240" w:lineRule="auto"/>
              <w:jc w:val="center"/>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70,000 </w:t>
            </w:r>
          </w:p>
        </w:tc>
      </w:tr>
    </w:tbl>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Break-even point in revenue is calculated using contribution margin as denominator to the fixed costs. Contribution margin = (Selling Price – Variable Costs) / Selling Price. Company makes a profit if it makes more revenue than GBP 770,000. As follows:</w:t>
      </w:r>
    </w:p>
    <w:tbl>
      <w:tblPr>
        <w:tblStyle w:val="Table3"/>
        <w:tblW w:w="4340.0" w:type="dxa"/>
        <w:jc w:val="center"/>
        <w:tblLayout w:type="fixed"/>
        <w:tblLook w:val="0400"/>
      </w:tblPr>
      <w:tblGrid>
        <w:gridCol w:w="3160"/>
        <w:gridCol w:w="1180"/>
        <w:tblGridChange w:id="0">
          <w:tblGrid>
            <w:gridCol w:w="3160"/>
            <w:gridCol w:w="1180"/>
          </w:tblGrid>
        </w:tblGridChange>
      </w:tblGrid>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21">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Fixed Costs</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22">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£350,000</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23">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(Selling Price - Variable Cost)</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24">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25">
            <w:pPr>
              <w:spacing w:after="0" w:line="240" w:lineRule="auto"/>
              <w:rPr>
                <w:rFonts w:ascii="Calibri" w:cs="Calibri" w:eastAsia="Calibri" w:hAnsi="Calibri"/>
                <w:b w:val="1"/>
                <w:i w:val="1"/>
                <w:color w:val="000000"/>
              </w:rPr>
            </w:pPr>
            <w:r w:rsidDel="00000000" w:rsidR="00000000" w:rsidRPr="00000000">
              <w:rPr>
                <w:rFonts w:ascii="Calibri" w:cs="Calibri" w:eastAsia="Calibri" w:hAnsi="Calibri"/>
                <w:b w:val="1"/>
                <w:i w:val="1"/>
                <w:color w:val="000000"/>
                <w:rtl w:val="0"/>
              </w:rPr>
              <w:t xml:space="preserve">Contribution margin (S-V)/S</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26">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0.45 </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27">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28">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29">
            <w:pPr>
              <w:spacing w:after="0" w:line="240" w:lineRule="auto"/>
              <w:rPr>
                <w:rFonts w:ascii="Calibri" w:cs="Calibri" w:eastAsia="Calibri" w:hAnsi="Calibri"/>
                <w:b w:val="1"/>
                <w:i w:val="1"/>
                <w:color w:val="000000"/>
              </w:rPr>
            </w:pPr>
            <w:r w:rsidDel="00000000" w:rsidR="00000000" w:rsidRPr="00000000">
              <w:rPr>
                <w:rFonts w:ascii="Calibri" w:cs="Calibri" w:eastAsia="Calibri" w:hAnsi="Calibri"/>
                <w:b w:val="1"/>
                <w:i w:val="1"/>
                <w:color w:val="000000"/>
                <w:rtl w:val="0"/>
              </w:rPr>
              <w:t xml:space="preserve">Break-even point in Revenue</w:t>
            </w:r>
          </w:p>
        </w:tc>
        <w:tc>
          <w:tcPr>
            <w:tcBorders>
              <w:top w:color="000000" w:space="0" w:sz="0" w:val="nil"/>
              <w:left w:color="000000" w:space="0" w:sz="4" w:val="single"/>
              <w:bottom w:color="000000" w:space="0" w:sz="0" w:val="nil"/>
              <w:right w:color="000000" w:space="0" w:sz="0" w:val="nil"/>
            </w:tcBorders>
            <w:shd w:fill="ffd966" w:val="clear"/>
            <w:vAlign w:val="bottom"/>
          </w:tcPr>
          <w:p w:rsidR="00000000" w:rsidDel="00000000" w:rsidP="00000000" w:rsidRDefault="00000000" w:rsidRPr="00000000" w14:paraId="0000002A">
            <w:pPr>
              <w:spacing w:after="0" w:line="240" w:lineRule="auto"/>
              <w:jc w:val="center"/>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£770,000</w:t>
            </w:r>
          </w:p>
        </w:tc>
      </w:tr>
    </w:tbl>
    <w:p w:rsidR="00000000" w:rsidDel="00000000" w:rsidP="00000000" w:rsidRDefault="00000000" w:rsidRPr="00000000" w14:paraId="0000002B">
      <w:pPr>
        <w:rPr>
          <w:b w:val="1"/>
          <w:i w:val="1"/>
          <w:sz w:val="28"/>
          <w:szCs w:val="28"/>
        </w:rPr>
      </w:pPr>
      <w:r w:rsidDel="00000000" w:rsidR="00000000" w:rsidRPr="00000000">
        <w:rPr>
          <w:rtl w:val="0"/>
        </w:rPr>
      </w:r>
    </w:p>
    <w:p w:rsidR="00000000" w:rsidDel="00000000" w:rsidP="00000000" w:rsidRDefault="00000000" w:rsidRPr="00000000" w14:paraId="0000002C">
      <w:pPr>
        <w:rPr>
          <w:b w:val="1"/>
          <w:i w:val="1"/>
          <w:sz w:val="28"/>
          <w:szCs w:val="28"/>
        </w:rPr>
      </w:pPr>
      <w:r w:rsidDel="00000000" w:rsidR="00000000" w:rsidRPr="00000000">
        <w:rPr>
          <w:b w:val="1"/>
          <w:i w:val="1"/>
          <w:sz w:val="28"/>
          <w:szCs w:val="28"/>
          <w:rtl w:val="0"/>
        </w:rPr>
        <w:t xml:space="preserve">Part (b)</w:t>
      </w:r>
    </w:p>
    <w:p w:rsidR="00000000" w:rsidDel="00000000" w:rsidP="00000000" w:rsidRDefault="00000000" w:rsidRPr="00000000" w14:paraId="0000002D">
      <w:pPr>
        <w:rPr/>
      </w:pPr>
      <w:r w:rsidDel="00000000" w:rsidR="00000000" w:rsidRPr="00000000">
        <w:rPr>
          <w:rtl w:val="0"/>
        </w:rPr>
        <w:t xml:space="preserve">The profit made from selling 75,000 units is as follows:</w:t>
      </w:r>
    </w:p>
    <w:tbl>
      <w:tblPr>
        <w:tblStyle w:val="Table4"/>
        <w:tblW w:w="3392.0" w:type="dxa"/>
        <w:jc w:val="left"/>
        <w:tblInd w:w="0.0" w:type="dxa"/>
        <w:tblLayout w:type="fixed"/>
        <w:tblLook w:val="0400"/>
      </w:tblPr>
      <w:tblGrid>
        <w:gridCol w:w="2340"/>
        <w:gridCol w:w="1052"/>
        <w:tblGridChange w:id="0">
          <w:tblGrid>
            <w:gridCol w:w="2340"/>
            <w:gridCol w:w="1052"/>
          </w:tblGrid>
        </w:tblGridChange>
      </w:tblGrid>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2E">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Units</w:t>
            </w:r>
          </w:p>
        </w:tc>
        <w:tc>
          <w:tcPr>
            <w:tcBorders>
              <w:top w:color="000000" w:space="0" w:sz="8" w:val="single"/>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2F">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75,000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30">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Contribution per unit</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31">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£5</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32">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33">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 </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34">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Total Contribution</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35">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£375,000</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36">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Fixed Costs</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37">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£350,000</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38">
            <w:pPr>
              <w:spacing w:after="0" w:line="240" w:lineRule="auto"/>
              <w:rPr>
                <w:rFonts w:ascii="Calibri" w:cs="Calibri" w:eastAsia="Calibri" w:hAnsi="Calibri"/>
                <w:b w:val="1"/>
                <w:i w:val="1"/>
                <w:color w:val="000000"/>
              </w:rPr>
            </w:pPr>
            <w:r w:rsidDel="00000000" w:rsidR="00000000" w:rsidRPr="00000000">
              <w:rPr>
                <w:rFonts w:ascii="Calibri" w:cs="Calibri" w:eastAsia="Calibri" w:hAnsi="Calibri"/>
                <w:b w:val="1"/>
                <w:i w:val="1"/>
                <w:color w:val="000000"/>
                <w:rtl w:val="0"/>
              </w:rPr>
              <w:t xml:space="preserve">PROFIT</w:t>
            </w:r>
          </w:p>
        </w:tc>
        <w:tc>
          <w:tcPr>
            <w:tcBorders>
              <w:top w:color="000000" w:space="0" w:sz="4" w:val="single"/>
              <w:left w:color="000000" w:space="0" w:sz="4" w:val="single"/>
              <w:bottom w:color="000000" w:space="0" w:sz="6" w:val="single"/>
              <w:right w:color="000000" w:space="0" w:sz="0" w:val="nil"/>
            </w:tcBorders>
            <w:shd w:fill="ffd966" w:val="clear"/>
            <w:vAlign w:val="bottom"/>
          </w:tcPr>
          <w:p w:rsidR="00000000" w:rsidDel="00000000" w:rsidP="00000000" w:rsidRDefault="00000000" w:rsidRPr="00000000" w14:paraId="00000039">
            <w:pPr>
              <w:spacing w:after="0" w:line="240" w:lineRule="auto"/>
              <w:jc w:val="center"/>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£25,000</w:t>
            </w:r>
          </w:p>
        </w:tc>
      </w:tr>
    </w:tbl>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b w:val="1"/>
          <w:i w:val="1"/>
          <w:sz w:val="28"/>
          <w:szCs w:val="28"/>
        </w:rPr>
      </w:pPr>
      <w:r w:rsidDel="00000000" w:rsidR="00000000" w:rsidRPr="00000000">
        <w:rPr>
          <w:rtl w:val="0"/>
        </w:rPr>
      </w:r>
    </w:p>
    <w:p w:rsidR="00000000" w:rsidDel="00000000" w:rsidP="00000000" w:rsidRDefault="00000000" w:rsidRPr="00000000" w14:paraId="0000003C">
      <w:pPr>
        <w:rPr>
          <w:b w:val="1"/>
          <w:i w:val="1"/>
          <w:sz w:val="28"/>
          <w:szCs w:val="28"/>
        </w:rPr>
      </w:pPr>
      <w:r w:rsidDel="00000000" w:rsidR="00000000" w:rsidRPr="00000000">
        <w:rPr>
          <w:rtl w:val="0"/>
        </w:rPr>
      </w:r>
    </w:p>
    <w:p w:rsidR="00000000" w:rsidDel="00000000" w:rsidP="00000000" w:rsidRDefault="00000000" w:rsidRPr="00000000" w14:paraId="0000003D">
      <w:pPr>
        <w:rPr>
          <w:b w:val="1"/>
          <w:i w:val="1"/>
          <w:sz w:val="28"/>
          <w:szCs w:val="28"/>
        </w:rPr>
      </w:pPr>
      <w:r w:rsidDel="00000000" w:rsidR="00000000" w:rsidRPr="00000000">
        <w:rPr>
          <w:b w:val="1"/>
          <w:i w:val="1"/>
          <w:sz w:val="28"/>
          <w:szCs w:val="28"/>
          <w:rtl w:val="0"/>
        </w:rPr>
        <w:t xml:space="preserve">Part (c)</w:t>
      </w:r>
    </w:p>
    <w:p w:rsidR="00000000" w:rsidDel="00000000" w:rsidP="00000000" w:rsidRDefault="00000000" w:rsidRPr="00000000" w14:paraId="0000003E">
      <w:pPr>
        <w:rPr/>
      </w:pPr>
      <w:r w:rsidDel="00000000" w:rsidR="00000000" w:rsidRPr="00000000">
        <w:rPr>
          <w:rtl w:val="0"/>
        </w:rPr>
        <w:t xml:space="preserve">The variable cost is increased by 1 and selling price is increased by 2, raising the contribution resulting in higher profits, given fixed costs are unchanged. As follows:</w:t>
      </w:r>
    </w:p>
    <w:tbl>
      <w:tblPr>
        <w:tblStyle w:val="Table5"/>
        <w:tblW w:w="3664.0" w:type="dxa"/>
        <w:jc w:val="center"/>
        <w:tblLayout w:type="fixed"/>
        <w:tblLook w:val="0400"/>
      </w:tblPr>
      <w:tblGrid>
        <w:gridCol w:w="2610"/>
        <w:gridCol w:w="1054"/>
        <w:tblGridChange w:id="0">
          <w:tblGrid>
            <w:gridCol w:w="2610"/>
            <w:gridCol w:w="1054"/>
          </w:tblGrid>
        </w:tblGridChange>
      </w:tblGrid>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3F">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Units (+5,000)</w:t>
            </w:r>
          </w:p>
        </w:tc>
        <w:tc>
          <w:tcPr>
            <w:tcBorders>
              <w:top w:color="000000" w:space="0" w:sz="8" w:val="single"/>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0">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80,000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41">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Selling Price (new)</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2">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£13</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43">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Variable Cost (new)</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4">
            <w:pPr>
              <w:spacing w:after="0" w:line="240" w:lineRule="auto"/>
              <w:jc w:val="center"/>
              <w:rPr>
                <w:rFonts w:ascii="Calibri" w:cs="Calibri" w:eastAsia="Calibri" w:hAnsi="Calibri"/>
                <w:color w:val="000000"/>
              </w:rPr>
            </w:pPr>
            <w:r w:rsidDel="00000000" w:rsidR="00000000" w:rsidRPr="00000000">
              <w:rPr>
                <w:rFonts w:ascii="Calibri" w:cs="Calibri" w:eastAsia="Calibri" w:hAnsi="Calibri"/>
                <w:color w:val="000000"/>
                <w:rtl w:val="0"/>
              </w:rPr>
              <w:t xml:space="preserve">£7</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45">
            <w:pPr>
              <w:spacing w:after="0" w:line="240" w:lineRule="auto"/>
              <w:jc w:val="center"/>
              <w:rPr>
                <w:rFonts w:ascii="Calibri" w:cs="Calibri" w:eastAsia="Calibri" w:hAnsi="Calibri"/>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6">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 </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47">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Contribution per unit</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8">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£6</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49">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Total Contribution</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A">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£480,000</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4B">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Fixed Costs (no change)</w:t>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C">
            <w:pPr>
              <w:spacing w:after="0" w:line="240" w:lineRule="auto"/>
              <w:jc w:val="right"/>
              <w:rPr>
                <w:rFonts w:ascii="Calibri" w:cs="Calibri" w:eastAsia="Calibri" w:hAnsi="Calibri"/>
                <w:color w:val="000000"/>
              </w:rPr>
            </w:pPr>
            <w:r w:rsidDel="00000000" w:rsidR="00000000" w:rsidRPr="00000000">
              <w:rPr>
                <w:rFonts w:ascii="Calibri" w:cs="Calibri" w:eastAsia="Calibri" w:hAnsi="Calibri"/>
                <w:color w:val="000000"/>
                <w:rtl w:val="0"/>
              </w:rPr>
              <w:t xml:space="preserve">£350,000</w:t>
            </w:r>
          </w:p>
        </w:tc>
      </w:tr>
      <w:tr>
        <w:trPr>
          <w:cantSplit w:val="0"/>
          <w:trHeight w:val="300"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4D">
            <w:pPr>
              <w:spacing w:after="0" w:line="240" w:lineRule="auto"/>
              <w:jc w:val="right"/>
              <w:rPr>
                <w:rFonts w:ascii="Calibri" w:cs="Calibri" w:eastAsia="Calibri" w:hAnsi="Calibri"/>
                <w:color w:val="000000"/>
              </w:rPr>
            </w:pPr>
            <w:r w:rsidDel="00000000" w:rsidR="00000000" w:rsidRPr="00000000">
              <w:rPr>
                <w:rtl w:val="0"/>
              </w:rPr>
            </w:r>
          </w:p>
        </w:tc>
        <w:tc>
          <w:tcPr>
            <w:tcBorders>
              <w:top w:color="000000" w:space="0" w:sz="0" w:val="nil"/>
              <w:left w:color="000000" w:space="0" w:sz="4" w:val="single"/>
              <w:bottom w:color="000000" w:space="0" w:sz="0" w:val="nil"/>
              <w:right w:color="000000" w:space="0" w:sz="0" w:val="nil"/>
            </w:tcBorders>
            <w:shd w:fill="auto" w:val="clear"/>
            <w:vAlign w:val="bottom"/>
          </w:tcPr>
          <w:p w:rsidR="00000000" w:rsidDel="00000000" w:rsidP="00000000" w:rsidRDefault="00000000" w:rsidRPr="00000000" w14:paraId="0000004E">
            <w:pPr>
              <w:spacing w:after="0" w:line="240" w:lineRule="auto"/>
              <w:rPr>
                <w:rFonts w:ascii="Calibri" w:cs="Calibri" w:eastAsia="Calibri" w:hAnsi="Calibri"/>
                <w:color w:val="000000"/>
              </w:rPr>
            </w:pPr>
            <w:r w:rsidDel="00000000" w:rsidR="00000000" w:rsidRPr="00000000">
              <w:rPr>
                <w:rFonts w:ascii="Calibri" w:cs="Calibri" w:eastAsia="Calibri" w:hAnsi="Calibri"/>
                <w:color w:val="000000"/>
                <w:rtl w:val="0"/>
              </w:rPr>
              <w:t xml:space="preserve"> </w:t>
            </w:r>
          </w:p>
        </w:tc>
      </w:tr>
      <w:tr>
        <w:trPr>
          <w:cantSplit w:val="0"/>
          <w:trHeight w:val="315" w:hRule="atLeast"/>
          <w:tblHeader w:val="0"/>
        </w:trPr>
        <w:tc>
          <w:tcPr>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4F">
            <w:pPr>
              <w:spacing w:after="0" w:line="240" w:lineRule="auto"/>
              <w:rPr>
                <w:rFonts w:ascii="Calibri" w:cs="Calibri" w:eastAsia="Calibri" w:hAnsi="Calibri"/>
                <w:b w:val="1"/>
                <w:i w:val="1"/>
                <w:color w:val="000000"/>
              </w:rPr>
            </w:pPr>
            <w:r w:rsidDel="00000000" w:rsidR="00000000" w:rsidRPr="00000000">
              <w:rPr>
                <w:rFonts w:ascii="Calibri" w:cs="Calibri" w:eastAsia="Calibri" w:hAnsi="Calibri"/>
                <w:b w:val="1"/>
                <w:i w:val="1"/>
                <w:color w:val="000000"/>
                <w:rtl w:val="0"/>
              </w:rPr>
              <w:t xml:space="preserve">New PROFIT</w:t>
            </w:r>
          </w:p>
        </w:tc>
        <w:tc>
          <w:tcPr>
            <w:tcBorders>
              <w:top w:color="000000" w:space="0" w:sz="4" w:val="single"/>
              <w:left w:color="000000" w:space="0" w:sz="4" w:val="single"/>
              <w:bottom w:color="000000" w:space="0" w:sz="6" w:val="single"/>
              <w:right w:color="000000" w:space="0" w:sz="0" w:val="nil"/>
            </w:tcBorders>
            <w:shd w:fill="ffd966" w:val="clear"/>
            <w:vAlign w:val="bottom"/>
          </w:tcPr>
          <w:p w:rsidR="00000000" w:rsidDel="00000000" w:rsidP="00000000" w:rsidRDefault="00000000" w:rsidRPr="00000000" w14:paraId="00000050">
            <w:pPr>
              <w:spacing w:after="0" w:line="240" w:lineRule="auto"/>
              <w:jc w:val="right"/>
              <w:rPr>
                <w:rFonts w:ascii="Calibri" w:cs="Calibri" w:eastAsia="Calibri" w:hAnsi="Calibri"/>
                <w:b w:val="1"/>
                <w:color w:val="000000"/>
              </w:rPr>
            </w:pPr>
            <w:r w:rsidDel="00000000" w:rsidR="00000000" w:rsidRPr="00000000">
              <w:rPr>
                <w:rFonts w:ascii="Calibri" w:cs="Calibri" w:eastAsia="Calibri" w:hAnsi="Calibri"/>
                <w:b w:val="1"/>
                <w:color w:val="000000"/>
                <w:rtl w:val="0"/>
              </w:rPr>
              <w:t xml:space="preserve">£130,000</w:t>
            </w:r>
          </w:p>
        </w:tc>
      </w:tr>
    </w:tbl>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b w:val="1"/>
          <w:i w:val="1"/>
          <w:sz w:val="28"/>
          <w:szCs w:val="28"/>
        </w:rPr>
      </w:pPr>
      <w:r w:rsidDel="00000000" w:rsidR="00000000" w:rsidRPr="00000000">
        <w:rPr>
          <w:b w:val="1"/>
          <w:i w:val="1"/>
          <w:sz w:val="28"/>
          <w:szCs w:val="28"/>
          <w:rtl w:val="0"/>
        </w:rPr>
        <w:t xml:space="preserve">Part (d)</w:t>
      </w:r>
    </w:p>
    <w:p w:rsidR="00000000" w:rsidDel="00000000" w:rsidP="00000000" w:rsidRDefault="00000000" w:rsidRPr="00000000" w14:paraId="0000005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model fails to consider certain semi-variable costs that are also part of the business</w:t>
      </w:r>
    </w:p>
    <w:p w:rsidR="00000000" w:rsidDel="00000000" w:rsidP="00000000" w:rsidRDefault="00000000" w:rsidRPr="00000000" w14:paraId="0000005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At higher levels of unit sales, impact on sales and variable cost is less proportionate. But Break-even calculations consider proportionate increase in both regardless of the magnitude of sales. Therefore, straight line curve is less realistic</w:t>
      </w:r>
    </w:p>
    <w:p w:rsidR="00000000" w:rsidDel="00000000" w:rsidP="00000000" w:rsidRDefault="00000000" w:rsidRPr="00000000" w14:paraId="0000005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chances of under and over costing as increases in costs are based on assumptions, which are not always accurate.</w:t>
      </w:r>
    </w:p>
    <w:p w:rsidR="00000000" w:rsidDel="00000000" w:rsidP="00000000" w:rsidRDefault="00000000" w:rsidRPr="00000000" w14:paraId="0000005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Does not account for time value of money as costs can change as time passes.</w:t>
      </w:r>
    </w:p>
    <w:p w:rsidR="00000000" w:rsidDel="00000000" w:rsidP="00000000" w:rsidRDefault="00000000" w:rsidRPr="00000000" w14:paraId="0000005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Competitors or any external factors are not accounted for in calculations, therefore these factors have to be considered separately to the model as they are important as competitors can affect a demand for business’ products.</w:t>
      </w:r>
    </w:p>
    <w:p w:rsidR="00000000" w:rsidDel="00000000" w:rsidP="00000000" w:rsidRDefault="00000000" w:rsidRPr="00000000" w14:paraId="0000005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assumption that all output is sold is also not always accurate, as some inventory is left unsold at times.</w:t>
      </w:r>
    </w:p>
    <w:p w:rsidR="00000000" w:rsidDel="00000000" w:rsidP="00000000" w:rsidRDefault="00000000" w:rsidRPr="00000000" w14:paraId="0000005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can be tricky, therefore at most times subjectivity is involved in separating fixed and variable costs for the calculation of BE.</w:t>
      </w:r>
    </w:p>
    <w:p w:rsidR="00000000" w:rsidDel="00000000" w:rsidP="00000000" w:rsidRDefault="00000000" w:rsidRPr="00000000" w14:paraId="0000005A">
      <w:pPr>
        <w:rPr>
          <w:b w:val="1"/>
          <w:sz w:val="28"/>
          <w:szCs w:val="28"/>
        </w:rPr>
      </w:pPr>
      <w:r w:rsidDel="00000000" w:rsidR="00000000" w:rsidRPr="00000000">
        <w:rPr>
          <w:sz w:val="28"/>
          <w:szCs w:val="28"/>
          <w:rtl w:val="0"/>
        </w:rPr>
        <w:t xml:space="preserve">Chosen Question: </w:t>
      </w:r>
      <w:r w:rsidDel="00000000" w:rsidR="00000000" w:rsidRPr="00000000">
        <w:rPr>
          <w:b w:val="1"/>
          <w:sz w:val="28"/>
          <w:szCs w:val="28"/>
          <w:rtl w:val="0"/>
        </w:rPr>
        <w:t xml:space="preserve">#2</w:t>
      </w:r>
    </w:p>
    <w:p w:rsidR="00000000" w:rsidDel="00000000" w:rsidP="00000000" w:rsidRDefault="00000000" w:rsidRPr="00000000" w14:paraId="0000005B">
      <w:pPr>
        <w:rPr>
          <w:b w:val="1"/>
          <w:i w:val="1"/>
          <w:sz w:val="28"/>
          <w:szCs w:val="28"/>
        </w:rPr>
      </w:pPr>
      <w:r w:rsidDel="00000000" w:rsidR="00000000" w:rsidRPr="00000000">
        <w:rPr>
          <w:b w:val="1"/>
          <w:i w:val="1"/>
          <w:sz w:val="28"/>
          <w:szCs w:val="28"/>
          <w:rtl w:val="0"/>
        </w:rPr>
        <w:t xml:space="preserve">Part (A)</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ffffff" w:val="clear"/>
        <w:spacing w:after="240" w:before="0" w:line="240" w:lineRule="auto"/>
        <w:ind w:left="0" w:right="0" w:firstLine="0"/>
        <w:jc w:val="left"/>
        <w:rPr>
          <w:rFonts w:ascii="Quattrocento Sans" w:cs="Quattrocento Sans" w:eastAsia="Quattrocento Sans" w:hAnsi="Quattrocento Sans"/>
          <w:b w:val="0"/>
          <w:i w:val="0"/>
          <w:smallCaps w:val="0"/>
          <w:strike w:val="0"/>
          <w:color w:val="515e6d"/>
          <w:sz w:val="24"/>
          <w:szCs w:val="24"/>
          <w:u w:val="none"/>
          <w:shd w:fill="auto" w:val="clear"/>
          <w:vertAlign w:val="baseline"/>
        </w:rPr>
      </w:pPr>
      <w:r w:rsidDel="00000000" w:rsidR="00000000" w:rsidRPr="00000000">
        <w:rPr>
          <w:rFonts w:ascii="Quattrocento Sans" w:cs="Quattrocento Sans" w:eastAsia="Quattrocento Sans" w:hAnsi="Quattrocento Sans"/>
          <w:b w:val="0"/>
          <w:i w:val="0"/>
          <w:smallCaps w:val="0"/>
          <w:strike w:val="0"/>
          <w:color w:val="515e6d"/>
          <w:sz w:val="24"/>
          <w:szCs w:val="24"/>
          <w:u w:val="none"/>
          <w:shd w:fill="auto" w:val="clear"/>
          <w:vertAlign w:val="baseline"/>
          <w:rtl w:val="0"/>
        </w:rPr>
        <w:t xml:space="preserve">If it’s not already clear, management accounting can be a valuable tool for your business. The reason that it’s important is that it helps you as a business owner make the right call on crucial decisions such as:</w:t>
      </w:r>
    </w:p>
    <w:p w:rsidR="00000000" w:rsidDel="00000000" w:rsidP="00000000" w:rsidRDefault="00000000" w:rsidRPr="00000000" w14:paraId="0000005D">
      <w:pPr>
        <w:pStyle w:val="Heading4"/>
        <w:numPr>
          <w:ilvl w:val="0"/>
          <w:numId w:val="2"/>
        </w:numPr>
        <w:shd w:fill="ffffff" w:val="clear"/>
        <w:spacing w:after="150" w:before="0" w:lineRule="auto"/>
        <w:ind w:left="720" w:hanging="360"/>
        <w:rPr>
          <w:rFonts w:ascii="Quattrocento Sans" w:cs="Quattrocento Sans" w:eastAsia="Quattrocento Sans" w:hAnsi="Quattrocento Sans"/>
          <w:b w:val="1"/>
          <w:color w:val="2e3e4f"/>
          <w:sz w:val="30"/>
          <w:szCs w:val="30"/>
        </w:rPr>
      </w:pPr>
      <w:r w:rsidDel="00000000" w:rsidR="00000000" w:rsidRPr="00000000">
        <w:rPr>
          <w:rFonts w:ascii="Quattrocento Sans" w:cs="Quattrocento Sans" w:eastAsia="Quattrocento Sans" w:hAnsi="Quattrocento Sans"/>
          <w:b w:val="1"/>
          <w:color w:val="2e3e4f"/>
          <w:sz w:val="30"/>
          <w:szCs w:val="30"/>
          <w:rtl w:val="0"/>
        </w:rPr>
        <w:t xml:space="preserve">Reviewing products</w:t>
      </w:r>
    </w:p>
    <w:p w:rsidR="00000000" w:rsidDel="00000000" w:rsidP="00000000" w:rsidRDefault="00000000" w:rsidRPr="00000000" w14:paraId="0000005E">
      <w:pPr>
        <w:rPr/>
      </w:pPr>
      <w:r w:rsidDel="00000000" w:rsidR="00000000" w:rsidRPr="00000000">
        <w:rPr>
          <w:rtl w:val="0"/>
        </w:rPr>
        <w:t xml:space="preserve">Higher authorities will provide the business and financial tools . help you decide exactly what products are profitable.for making a good decision it will help us for getting a good understanding getting the work done in appropriait  manner .</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4"/>
        <w:numPr>
          <w:ilvl w:val="0"/>
          <w:numId w:val="2"/>
        </w:numPr>
        <w:shd w:fill="ffffff" w:val="clear"/>
        <w:spacing w:after="150" w:before="0" w:lineRule="auto"/>
        <w:ind w:left="720" w:hanging="360"/>
        <w:rPr>
          <w:rFonts w:ascii="Quattrocento Sans" w:cs="Quattrocento Sans" w:eastAsia="Quattrocento Sans" w:hAnsi="Quattrocento Sans"/>
          <w:b w:val="1"/>
          <w:color w:val="2e3e4f"/>
          <w:sz w:val="30"/>
          <w:szCs w:val="30"/>
        </w:rPr>
      </w:pPr>
      <w:r w:rsidDel="00000000" w:rsidR="00000000" w:rsidRPr="00000000">
        <w:rPr>
          <w:rFonts w:ascii="Quattrocento Sans" w:cs="Quattrocento Sans" w:eastAsia="Quattrocento Sans" w:hAnsi="Quattrocento Sans"/>
          <w:b w:val="1"/>
          <w:color w:val="2e3e4f"/>
          <w:sz w:val="30"/>
          <w:szCs w:val="30"/>
          <w:rtl w:val="0"/>
        </w:rPr>
        <w:t xml:space="preserve">Launching new products</w:t>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Management accounting can help launching a new product , what it really requires from initial planning to Execution, by spliting the detail of production capabalities .as well the real scenario of whole market .this is quite unique for how much you will charge . </w:t>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3">
      <w:pPr>
        <w:pStyle w:val="Heading4"/>
        <w:numPr>
          <w:ilvl w:val="0"/>
          <w:numId w:val="2"/>
        </w:numPr>
        <w:shd w:fill="ffffff" w:val="clear"/>
        <w:spacing w:after="150" w:before="0" w:lineRule="auto"/>
        <w:ind w:left="720" w:hanging="360"/>
        <w:rPr>
          <w:rFonts w:ascii="Quattrocento Sans" w:cs="Quattrocento Sans" w:eastAsia="Quattrocento Sans" w:hAnsi="Quattrocento Sans"/>
          <w:b w:val="1"/>
          <w:color w:val="2e3e4f"/>
          <w:sz w:val="30"/>
          <w:szCs w:val="30"/>
        </w:rPr>
      </w:pPr>
      <w:r w:rsidDel="00000000" w:rsidR="00000000" w:rsidRPr="00000000">
        <w:rPr>
          <w:rFonts w:ascii="Quattrocento Sans" w:cs="Quattrocento Sans" w:eastAsia="Quattrocento Sans" w:hAnsi="Quattrocento Sans"/>
          <w:b w:val="1"/>
          <w:color w:val="2e3e4f"/>
          <w:sz w:val="30"/>
          <w:szCs w:val="30"/>
          <w:rtl w:val="0"/>
        </w:rPr>
        <w:t xml:space="preserve">Staffing</w:t>
      </w:r>
    </w:p>
    <w:p w:rsidR="00000000" w:rsidDel="00000000" w:rsidP="00000000" w:rsidRDefault="00000000" w:rsidRPr="00000000" w14:paraId="00000064">
      <w:pPr>
        <w:ind w:left="720" w:firstLine="0"/>
        <w:rPr/>
      </w:pPr>
      <w:r w:rsidDel="00000000" w:rsidR="00000000" w:rsidRPr="00000000">
        <w:rPr>
          <w:rtl w:val="0"/>
        </w:rPr>
        <w:t xml:space="preserve">This is different phase of how management accounting can be valuable . decision about hiring new staff and setting wages can be a real headache. Management accountants can help you make the right decision by letting you know exactly how much you can afford to spend on staffing, and the returns you can expect for your investment in personnel.</w:t>
      </w:r>
    </w:p>
    <w:p w:rsidR="00000000" w:rsidDel="00000000" w:rsidP="00000000" w:rsidRDefault="00000000" w:rsidRPr="00000000" w14:paraId="00000065">
      <w:pPr>
        <w:pStyle w:val="Heading1"/>
        <w:rPr/>
      </w:pPr>
      <w:r w:rsidDel="00000000" w:rsidR="00000000" w:rsidRPr="00000000">
        <w:rPr>
          <w:rtl w:val="0"/>
        </w:rPr>
      </w:r>
    </w:p>
    <w:p w:rsidR="00000000" w:rsidDel="00000000" w:rsidP="00000000" w:rsidRDefault="00000000" w:rsidRPr="00000000" w14:paraId="00000066">
      <w:pPr>
        <w:pStyle w:val="Heading1"/>
        <w:rPr/>
      </w:pPr>
      <w:r w:rsidDel="00000000" w:rsidR="00000000" w:rsidRPr="00000000">
        <w:rPr>
          <w:rtl w:val="0"/>
        </w:rPr>
        <w:t xml:space="preserve">Differences Between Financial Accounting vs. Managerial Accounting</w:t>
      </w:r>
    </w:p>
    <w:p w:rsidR="00000000" w:rsidDel="00000000" w:rsidP="00000000" w:rsidRDefault="00000000" w:rsidRPr="00000000" w14:paraId="00000067">
      <w:pPr>
        <w:keepNext w:val="0"/>
        <w:keepLines w:val="0"/>
        <w:pageBreakBefore w:val="0"/>
        <w:widowControl w:val="1"/>
        <w:pBdr>
          <w:top w:space="0" w:sz="0" w:val="nil"/>
          <w:left w:space="0" w:sz="0" w:val="nil"/>
          <w:bottom w:space="0" w:sz="0" w:val="nil"/>
          <w:right w:space="0" w:sz="0" w:val="nil"/>
          <w:between w:space="0" w:sz="0" w:val="nil"/>
        </w:pBdr>
        <w:shd w:fill="ffffff" w:val="clear"/>
        <w:spacing w:after="225" w:before="0" w:line="240" w:lineRule="auto"/>
        <w:ind w:left="0" w:right="0" w:firstLine="0"/>
        <w:jc w:val="left"/>
        <w:rPr>
          <w:rFonts w:ascii="Helvetica Neue" w:cs="Helvetica Neue" w:eastAsia="Helvetica Neue" w:hAnsi="Helvetica Neue"/>
          <w:b w:val="0"/>
          <w:i w:val="0"/>
          <w:smallCaps w:val="0"/>
          <w:strike w:val="0"/>
          <w:color w:val="000000"/>
          <w:sz w:val="24"/>
          <w:szCs w:val="24"/>
          <w:u w:val="none"/>
          <w:shd w:fill="auto" w:val="clear"/>
          <w:vertAlign w:val="baseline"/>
        </w:rPr>
      </w:pPr>
      <w:bookmarkStart w:colFirst="0" w:colLast="0" w:name="_heading=h.gjdgxs" w:id="0"/>
      <w:bookmarkEnd w:id="0"/>
      <w:r w:rsidDel="00000000" w:rsidR="00000000" w:rsidRPr="00000000">
        <w:rPr>
          <w:rFonts w:ascii="Helvetica Neue" w:cs="Helvetica Neue" w:eastAsia="Helvetica Neue" w:hAnsi="Helvetica Neue"/>
          <w:b w:val="0"/>
          <w:i w:val="0"/>
          <w:smallCaps w:val="0"/>
          <w:strike w:val="0"/>
          <w:color w:val="000000"/>
          <w:sz w:val="24"/>
          <w:szCs w:val="24"/>
          <w:u w:val="none"/>
          <w:shd w:fill="auto" w:val="clear"/>
          <w:vertAlign w:val="baseline"/>
          <w:rtl w:val="0"/>
        </w:rPr>
        <w:t xml:space="preserve">Although financial accounting and managerial accounting complement each other in an organization’s financial strategy, professionals considering one of these careers should understand the differences between the disciplines. Managerial accounting focuses on an organization’s internal financial processes, while financial accounting focuses on an organization’s external financial processes.</w:t>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ffffff" w:val="clear"/>
        <w:spacing w:after="225" w:before="0" w:line="240" w:lineRule="auto"/>
        <w:ind w:left="0" w:right="0" w:firstLine="0"/>
        <w:jc w:val="left"/>
        <w:rPr>
          <w:rFonts w:ascii="Helvetica Neue" w:cs="Helvetica Neue" w:eastAsia="Helvetica Neue" w:hAnsi="Helvetica Neue"/>
          <w:b w:val="0"/>
          <w:i w:val="0"/>
          <w:smallCaps w:val="0"/>
          <w:strike w:val="0"/>
          <w:color w:val="000000"/>
          <w:sz w:val="24"/>
          <w:szCs w:val="24"/>
          <w:u w:val="none"/>
          <w:shd w:fill="auto" w:val="clear"/>
          <w:vertAlign w:val="baseline"/>
        </w:rPr>
      </w:pPr>
      <w:r w:rsidDel="00000000" w:rsidR="00000000" w:rsidRPr="00000000">
        <w:rPr>
          <w:rFonts w:ascii="Helvetica Neue" w:cs="Helvetica Neue" w:eastAsia="Helvetica Neue" w:hAnsi="Helvetica Neue"/>
          <w:b w:val="0"/>
          <w:i w:val="0"/>
          <w:smallCaps w:val="0"/>
          <w:strike w:val="0"/>
          <w:color w:val="000000"/>
          <w:sz w:val="24"/>
          <w:szCs w:val="24"/>
          <w:u w:val="none"/>
          <w:shd w:fill="auto" w:val="clear"/>
          <w:vertAlign w:val="baseline"/>
          <w:rtl w:val="0"/>
        </w:rPr>
        <w:t xml:space="preserve">Managerial accountants focus on short-term growth strategies relating to economic maintenance. For example, managerial accountants can perform a make-or-buy analysis to determine the financial soundness of producing a part to help with manufacturing a product.</w:t>
      </w:r>
    </w:p>
    <w:p w:rsidR="00000000" w:rsidDel="00000000" w:rsidP="00000000" w:rsidRDefault="00000000" w:rsidRPr="00000000" w14:paraId="00000069">
      <w:pPr>
        <w:ind w:left="720" w:firstLine="0"/>
        <w:rPr/>
      </w:pPr>
      <w:r w:rsidDel="00000000" w:rsidR="00000000" w:rsidRPr="00000000">
        <w:rPr>
          <w:rtl w:val="0"/>
        </w:rPr>
      </w:r>
    </w:p>
    <w:p w:rsidR="00000000" w:rsidDel="00000000" w:rsidP="00000000" w:rsidRDefault="00000000" w:rsidRPr="00000000" w14:paraId="0000006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360" w:lineRule="auto"/>
        <w:ind w:left="72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6B">
      <w:pPr>
        <w:rPr>
          <w:b w:val="1"/>
          <w:i w:val="1"/>
          <w:sz w:val="28"/>
          <w:szCs w:val="28"/>
        </w:rPr>
      </w:pPr>
      <w:r w:rsidDel="00000000" w:rsidR="00000000" w:rsidRPr="00000000">
        <w:rPr>
          <w:rtl w:val="0"/>
        </w:rPr>
      </w:r>
    </w:p>
    <w:p w:rsidR="00000000" w:rsidDel="00000000" w:rsidP="00000000" w:rsidRDefault="00000000" w:rsidRPr="00000000" w14:paraId="0000006C">
      <w:pPr>
        <w:rPr>
          <w:b w:val="1"/>
          <w:i w:val="1"/>
          <w:sz w:val="28"/>
          <w:szCs w:val="28"/>
        </w:rPr>
      </w:pPr>
      <w:r w:rsidDel="00000000" w:rsidR="00000000" w:rsidRPr="00000000">
        <w:rPr>
          <w:rtl w:val="0"/>
        </w:rPr>
      </w:r>
    </w:p>
    <w:p w:rsidR="00000000" w:rsidDel="00000000" w:rsidP="00000000" w:rsidRDefault="00000000" w:rsidRPr="00000000" w14:paraId="0000006D">
      <w:pPr>
        <w:rPr>
          <w:b w:val="1"/>
          <w:i w:val="1"/>
          <w:sz w:val="28"/>
          <w:szCs w:val="28"/>
        </w:rPr>
      </w:pPr>
      <w:r w:rsidDel="00000000" w:rsidR="00000000" w:rsidRPr="00000000">
        <w:rPr>
          <w:rtl w:val="0"/>
        </w:rPr>
      </w:r>
    </w:p>
    <w:p w:rsidR="00000000" w:rsidDel="00000000" w:rsidP="00000000" w:rsidRDefault="00000000" w:rsidRPr="00000000" w14:paraId="0000006E">
      <w:pPr>
        <w:rPr>
          <w:b w:val="1"/>
          <w:i w:val="1"/>
          <w:sz w:val="28"/>
          <w:szCs w:val="28"/>
        </w:rPr>
      </w:pPr>
      <w:r w:rsidDel="00000000" w:rsidR="00000000" w:rsidRPr="00000000">
        <w:rPr>
          <w:rtl w:val="0"/>
        </w:rPr>
      </w:r>
    </w:p>
    <w:p w:rsidR="00000000" w:rsidDel="00000000" w:rsidP="00000000" w:rsidRDefault="00000000" w:rsidRPr="00000000" w14:paraId="0000006F">
      <w:pPr>
        <w:rPr>
          <w:b w:val="1"/>
          <w:i w:val="1"/>
          <w:sz w:val="28"/>
          <w:szCs w:val="28"/>
        </w:rPr>
      </w:pPr>
      <w:r w:rsidDel="00000000" w:rsidR="00000000" w:rsidRPr="00000000">
        <w:rPr>
          <w:rtl w:val="0"/>
        </w:rPr>
      </w:r>
    </w:p>
    <w:p w:rsidR="00000000" w:rsidDel="00000000" w:rsidP="00000000" w:rsidRDefault="00000000" w:rsidRPr="00000000" w14:paraId="00000070">
      <w:pPr>
        <w:rPr>
          <w:b w:val="1"/>
          <w:i w:val="1"/>
          <w:sz w:val="28"/>
          <w:szCs w:val="28"/>
        </w:rPr>
      </w:pPr>
      <w:r w:rsidDel="00000000" w:rsidR="00000000" w:rsidRPr="00000000">
        <w:rPr>
          <w:rtl w:val="0"/>
        </w:rPr>
      </w:r>
    </w:p>
    <w:p w:rsidR="00000000" w:rsidDel="00000000" w:rsidP="00000000" w:rsidRDefault="00000000" w:rsidRPr="00000000" w14:paraId="00000071">
      <w:pPr>
        <w:rPr>
          <w:b w:val="1"/>
          <w:i w:val="1"/>
          <w:sz w:val="28"/>
          <w:szCs w:val="28"/>
        </w:rPr>
      </w:pPr>
      <w:r w:rsidDel="00000000" w:rsidR="00000000" w:rsidRPr="00000000">
        <w:rPr>
          <w:rtl w:val="0"/>
        </w:rPr>
      </w:r>
    </w:p>
    <w:p w:rsidR="00000000" w:rsidDel="00000000" w:rsidP="00000000" w:rsidRDefault="00000000" w:rsidRPr="00000000" w14:paraId="00000072">
      <w:pPr>
        <w:rPr>
          <w:b w:val="1"/>
          <w:i w:val="1"/>
          <w:sz w:val="28"/>
          <w:szCs w:val="28"/>
        </w:rPr>
      </w:pPr>
      <w:r w:rsidDel="00000000" w:rsidR="00000000" w:rsidRPr="00000000">
        <w:rPr>
          <w:rtl w:val="0"/>
        </w:rPr>
      </w:r>
    </w:p>
    <w:p w:rsidR="00000000" w:rsidDel="00000000" w:rsidP="00000000" w:rsidRDefault="00000000" w:rsidRPr="00000000" w14:paraId="00000073">
      <w:pPr>
        <w:rPr>
          <w:b w:val="1"/>
          <w:i w:val="1"/>
          <w:sz w:val="28"/>
          <w:szCs w:val="28"/>
        </w:rPr>
      </w:pPr>
      <w:r w:rsidDel="00000000" w:rsidR="00000000" w:rsidRPr="00000000">
        <w:rPr>
          <w:rtl w:val="0"/>
        </w:rPr>
      </w:r>
    </w:p>
    <w:p w:rsidR="00000000" w:rsidDel="00000000" w:rsidP="00000000" w:rsidRDefault="00000000" w:rsidRPr="00000000" w14:paraId="00000074">
      <w:pPr>
        <w:rPr>
          <w:b w:val="1"/>
          <w:i w:val="1"/>
          <w:sz w:val="28"/>
          <w:szCs w:val="28"/>
        </w:rPr>
      </w:pPr>
      <w:r w:rsidDel="00000000" w:rsidR="00000000" w:rsidRPr="00000000">
        <w:rPr>
          <w:b w:val="1"/>
          <w:i w:val="1"/>
          <w:sz w:val="28"/>
          <w:szCs w:val="28"/>
          <w:rtl w:val="0"/>
        </w:rPr>
        <w:t xml:space="preserve">Part (b)</w:t>
      </w:r>
    </w:p>
    <w:p w:rsidR="00000000" w:rsidDel="00000000" w:rsidP="00000000" w:rsidRDefault="00000000" w:rsidRPr="00000000" w14:paraId="00000075">
      <w:pPr>
        <w:rPr>
          <w:b w:val="1"/>
          <w:i w:val="1"/>
          <w:sz w:val="28"/>
          <w:szCs w:val="28"/>
        </w:rPr>
      </w:pPr>
      <w:r w:rsidDel="00000000" w:rsidR="00000000" w:rsidRPr="00000000">
        <w:rPr>
          <w:rtl w:val="0"/>
        </w:rPr>
      </w:r>
    </w:p>
    <w:p w:rsidR="00000000" w:rsidDel="00000000" w:rsidP="00000000" w:rsidRDefault="00000000" w:rsidRPr="00000000" w14:paraId="00000076">
      <w:pPr>
        <w:pStyle w:val="Heading4"/>
        <w:shd w:fill="ffffff" w:val="clear"/>
        <w:spacing w:before="0" w:lineRule="auto"/>
        <w:rPr>
          <w:rFonts w:ascii="Georgia" w:cs="Georgia" w:eastAsia="Georgia" w:hAnsi="Georgia"/>
          <w:color w:val="000000"/>
          <w:sz w:val="30"/>
          <w:szCs w:val="30"/>
        </w:rPr>
      </w:pPr>
      <w:r w:rsidDel="00000000" w:rsidR="00000000" w:rsidRPr="00000000">
        <w:rPr>
          <w:rFonts w:ascii="Georgia" w:cs="Georgia" w:eastAsia="Georgia" w:hAnsi="Georgia"/>
          <w:color w:val="000000"/>
          <w:sz w:val="30"/>
          <w:szCs w:val="30"/>
          <w:rtl w:val="0"/>
        </w:rPr>
        <w:t xml:space="preserve">1. Financial Planning:</w:t>
      </w:r>
    </w:p>
    <w:p w:rsidR="00000000" w:rsidDel="00000000" w:rsidP="00000000" w:rsidRDefault="00000000" w:rsidRPr="00000000" w14:paraId="00000077">
      <w:pPr>
        <w:rPr/>
      </w:pPr>
      <w:r w:rsidDel="00000000" w:rsidR="00000000" w:rsidRPr="00000000">
        <w:rPr>
          <w:rtl w:val="0"/>
        </w:rPr>
        <w:t xml:space="preserve">Financial planning is the act of deciding in advance about the financial activities necessary for the concern to achieve its primary objectives. It includes determining both long term and short term financial objectives of the enterprise, formulating financial policies and developing the financial procedure to achieve the objectives.</w:t>
      </w:r>
    </w:p>
    <w:p w:rsidR="00000000" w:rsidDel="00000000" w:rsidP="00000000" w:rsidRDefault="00000000" w:rsidRPr="00000000" w14:paraId="00000078">
      <w:pPr>
        <w:rPr/>
      </w:pPr>
      <w:r w:rsidDel="00000000" w:rsidR="00000000" w:rsidRPr="00000000">
        <w:rPr>
          <w:rtl w:val="0"/>
        </w:rPr>
        <w:t xml:space="preserve">The role of financial policies cannot be emphasized to achieve the maximum return on the capital employed. Financial policies may relate to the determination of the amount of capital required, sources of funds, govern the determination and distribution of income, act as a guide in the use of debt and equity capital and determination of the optimum level of investment in various assets.</w:t>
      </w:r>
    </w:p>
    <w:p w:rsidR="00000000" w:rsidDel="00000000" w:rsidP="00000000" w:rsidRDefault="00000000" w:rsidRPr="00000000" w14:paraId="00000079">
      <w:pPr>
        <w:pStyle w:val="Heading4"/>
        <w:shd w:fill="ffffff" w:val="clear"/>
        <w:spacing w:before="0" w:lineRule="auto"/>
        <w:rPr>
          <w:rFonts w:ascii="Georgia" w:cs="Georgia" w:eastAsia="Georgia" w:hAnsi="Georgia"/>
          <w:color w:val="000000"/>
          <w:sz w:val="30"/>
          <w:szCs w:val="30"/>
        </w:rPr>
      </w:pPr>
      <w:r w:rsidDel="00000000" w:rsidR="00000000" w:rsidRPr="00000000">
        <w:rPr>
          <w:rFonts w:ascii="Georgia" w:cs="Georgia" w:eastAsia="Georgia" w:hAnsi="Georgia"/>
          <w:color w:val="000000"/>
          <w:sz w:val="30"/>
          <w:szCs w:val="30"/>
          <w:rtl w:val="0"/>
        </w:rPr>
        <w:t xml:space="preserve">2. Analysis of Financial Statements:</w:t>
      </w:r>
    </w:p>
    <w:p w:rsidR="00000000" w:rsidDel="00000000" w:rsidP="00000000" w:rsidRDefault="00000000" w:rsidRPr="00000000" w14:paraId="0000007A">
      <w:pPr>
        <w:rPr/>
      </w:pPr>
      <w:r w:rsidDel="00000000" w:rsidR="00000000" w:rsidRPr="00000000">
        <w:rPr>
          <w:rtl w:val="0"/>
        </w:rPr>
        <w:t xml:space="preserve">The analysis is an attempt to determine the significance and meaning of the financial statement data so that a forecast may be made of the prospects for future earnings, ability to pay interest and debt maturities and profitability of a sound dividend policy.</w:t>
      </w:r>
    </w:p>
    <w:p w:rsidR="00000000" w:rsidDel="00000000" w:rsidP="00000000" w:rsidRDefault="00000000" w:rsidRPr="00000000" w14:paraId="0000007B">
      <w:pPr>
        <w:rPr/>
      </w:pPr>
      <w:r w:rsidDel="00000000" w:rsidR="00000000" w:rsidRPr="00000000">
        <w:rPr>
          <w:rtl w:val="0"/>
        </w:rPr>
        <w:t xml:space="preserve">The techniques of such analysis are comparative financial statements, trend analysis, cash funds flow statements and ratio analysis. This analysis results in the presentation of information which will help the business executives, investors and creditors.</w:t>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pStyle w:val="Heading4"/>
        <w:shd w:fill="ffffff" w:val="clear"/>
        <w:spacing w:before="0" w:lineRule="auto"/>
        <w:rPr>
          <w:rFonts w:ascii="Georgia" w:cs="Georgia" w:eastAsia="Georgia" w:hAnsi="Georgia"/>
          <w:color w:val="000000"/>
          <w:sz w:val="30"/>
          <w:szCs w:val="30"/>
        </w:rPr>
      </w:pPr>
      <w:r w:rsidDel="00000000" w:rsidR="00000000" w:rsidRPr="00000000">
        <w:rPr>
          <w:rFonts w:ascii="Georgia" w:cs="Georgia" w:eastAsia="Georgia" w:hAnsi="Georgia"/>
          <w:color w:val="000000"/>
          <w:sz w:val="30"/>
          <w:szCs w:val="30"/>
          <w:rtl w:val="0"/>
        </w:rPr>
        <w:t xml:space="preserve">3. Historical Cost Accounting:</w:t>
      </w:r>
    </w:p>
    <w:p w:rsidR="00000000" w:rsidDel="00000000" w:rsidP="00000000" w:rsidRDefault="00000000" w:rsidRPr="00000000" w14:paraId="0000007E">
      <w:pPr>
        <w:rPr/>
      </w:pPr>
      <w:r w:rsidDel="00000000" w:rsidR="00000000" w:rsidRPr="00000000">
        <w:rPr>
          <w:highlight w:val="white"/>
          <w:rtl w:val="0"/>
        </w:rPr>
        <w:t xml:space="preserve">The historical cost accounting provides past data to the management relating to the cost of each job, process and department so that comparison may be made with the standard costs. Such comparison may be helpful to the management for cost control and for future planning.</w:t>
      </w:r>
      <w:r w:rsidDel="00000000" w:rsidR="00000000" w:rsidRPr="00000000">
        <w:rPr>
          <w:rtl w:val="0"/>
        </w:rPr>
      </w:r>
    </w:p>
    <w:p w:rsidR="00000000" w:rsidDel="00000000" w:rsidP="00000000" w:rsidRDefault="00000000" w:rsidRPr="00000000" w14:paraId="0000007F">
      <w:pPr>
        <w:rPr>
          <w:b w:val="1"/>
          <w:i w:val="1"/>
          <w:sz w:val="28"/>
          <w:szCs w:val="28"/>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ab/>
        <w:tab/>
      </w:r>
    </w:p>
    <w:p w:rsidR="00000000" w:rsidDel="00000000" w:rsidP="00000000" w:rsidRDefault="00000000" w:rsidRPr="00000000" w14:paraId="00000081">
      <w:pPr>
        <w:rPr/>
      </w:pPr>
      <w:r w:rsidDel="00000000" w:rsidR="00000000" w:rsidRPr="00000000">
        <w:rPr>
          <w:rtl w:val="0"/>
        </w:rPr>
        <w:tab/>
        <w:tab/>
        <w:tab/>
        <w:tab/>
        <w:t xml:space="preserve">Kerrigan Ltd.</w:t>
        <w:tab/>
      </w:r>
    </w:p>
    <w:p w:rsidR="00000000" w:rsidDel="00000000" w:rsidP="00000000" w:rsidRDefault="00000000" w:rsidRPr="00000000" w14:paraId="00000082">
      <w:pPr>
        <w:rPr/>
      </w:pPr>
      <w:r w:rsidDel="00000000" w:rsidR="00000000" w:rsidRPr="00000000">
        <w:rPr>
          <w:rtl w:val="0"/>
        </w:rPr>
        <w:t xml:space="preserve">Current Selling Price</w:t>
        <w:tab/>
        <w:t xml:space="preserve">£11</w:t>
      </w:r>
    </w:p>
    <w:p w:rsidR="00000000" w:rsidDel="00000000" w:rsidP="00000000" w:rsidRDefault="00000000" w:rsidRPr="00000000" w14:paraId="00000083">
      <w:pPr>
        <w:rPr/>
      </w:pPr>
      <w:r w:rsidDel="00000000" w:rsidR="00000000" w:rsidRPr="00000000">
        <w:rPr>
          <w:rtl w:val="0"/>
        </w:rPr>
        <w:t xml:space="preserve">Variable cost per unit</w:t>
        <w:tab/>
        <w:t xml:space="preserve">£6</w:t>
      </w:r>
    </w:p>
    <w:p w:rsidR="00000000" w:rsidDel="00000000" w:rsidP="00000000" w:rsidRDefault="00000000" w:rsidRPr="00000000" w14:paraId="00000084">
      <w:pPr>
        <w:rPr/>
      </w:pPr>
      <w:r w:rsidDel="00000000" w:rsidR="00000000" w:rsidRPr="00000000">
        <w:rPr>
          <w:rtl w:val="0"/>
        </w:rPr>
        <w:t xml:space="preserve">Total Fixed Costs</w:t>
        <w:tab/>
        <w:t xml:space="preserve">£350.000</w:t>
      </w:r>
    </w:p>
    <w:p w:rsidR="00000000" w:rsidDel="00000000" w:rsidP="00000000" w:rsidRDefault="00000000" w:rsidRPr="00000000" w14:paraId="00000085">
      <w:pPr>
        <w:rPr/>
      </w:pPr>
      <w:r w:rsidDel="00000000" w:rsidR="00000000" w:rsidRPr="00000000">
        <w:rPr>
          <w:rtl w:val="0"/>
        </w:rPr>
        <w:t xml:space="preserve">Units being sold</w:t>
        <w:tab/>
        <w:t xml:space="preserve"> 75.000 </w:t>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a</w:t>
        <w:tab/>
      </w:r>
    </w:p>
    <w:p w:rsidR="00000000" w:rsidDel="00000000" w:rsidP="00000000" w:rsidRDefault="00000000" w:rsidRPr="00000000" w14:paraId="00000089">
      <w:pPr>
        <w:rPr/>
      </w:pPr>
      <w:r w:rsidDel="00000000" w:rsidR="00000000" w:rsidRPr="00000000">
        <w:rPr>
          <w:rtl w:val="0"/>
        </w:rPr>
        <w:t xml:space="preserve">Fixed Costs</w:t>
        <w:tab/>
        <w:t xml:space="preserve">£350.000</w:t>
      </w:r>
    </w:p>
    <w:p w:rsidR="00000000" w:rsidDel="00000000" w:rsidP="00000000" w:rsidRDefault="00000000" w:rsidRPr="00000000" w14:paraId="0000008A">
      <w:pPr>
        <w:rPr/>
      </w:pPr>
      <w:r w:rsidDel="00000000" w:rsidR="00000000" w:rsidRPr="00000000">
        <w:rPr>
          <w:rtl w:val="0"/>
        </w:rPr>
        <w:t xml:space="preserve">(Selling Price - Variable Cost)</w:t>
        <w:tab/>
        <w:t xml:space="preserve">£5</w:t>
      </w:r>
    </w:p>
    <w:p w:rsidR="00000000" w:rsidDel="00000000" w:rsidP="00000000" w:rsidRDefault="00000000" w:rsidRPr="00000000" w14:paraId="0000008B">
      <w:pPr>
        <w:rPr/>
      </w:pPr>
      <w:r w:rsidDel="00000000" w:rsidR="00000000" w:rsidRPr="00000000">
        <w:rPr>
          <w:rtl w:val="0"/>
        </w:rPr>
        <w:t xml:space="preserve">Break-even point (units)</w:t>
        <w:tab/>
        <w:t xml:space="preserve"> 70.000 </w:t>
      </w:r>
    </w:p>
    <w:p w:rsidR="00000000" w:rsidDel="00000000" w:rsidP="00000000" w:rsidRDefault="00000000" w:rsidRPr="00000000" w14:paraId="0000008C">
      <w:pPr>
        <w:rPr/>
      </w:pPr>
      <w:r w:rsidDel="00000000" w:rsidR="00000000" w:rsidRPr="00000000">
        <w:rPr>
          <w:rtl w:val="0"/>
        </w:rPr>
        <w:tab/>
      </w:r>
    </w:p>
    <w:p w:rsidR="00000000" w:rsidDel="00000000" w:rsidP="00000000" w:rsidRDefault="00000000" w:rsidRPr="00000000" w14:paraId="0000008D">
      <w:pPr>
        <w:rPr/>
      </w:pPr>
      <w:r w:rsidDel="00000000" w:rsidR="00000000" w:rsidRPr="00000000">
        <w:rPr>
          <w:rtl w:val="0"/>
        </w:rPr>
        <w:t xml:space="preserve">Fixed Costs</w:t>
        <w:tab/>
        <w:t xml:space="preserve">£350.000</w:t>
      </w:r>
    </w:p>
    <w:p w:rsidR="00000000" w:rsidDel="00000000" w:rsidP="00000000" w:rsidRDefault="00000000" w:rsidRPr="00000000" w14:paraId="0000008E">
      <w:pPr>
        <w:rPr/>
      </w:pPr>
      <w:r w:rsidDel="00000000" w:rsidR="00000000" w:rsidRPr="00000000">
        <w:rPr>
          <w:rtl w:val="0"/>
        </w:rPr>
        <w:t xml:space="preserve">(Selling Price - Variable Cost)</w:t>
        <w:tab/>
        <w:t xml:space="preserve">£5</w:t>
      </w:r>
    </w:p>
    <w:p w:rsidR="00000000" w:rsidDel="00000000" w:rsidP="00000000" w:rsidRDefault="00000000" w:rsidRPr="00000000" w14:paraId="0000008F">
      <w:pPr>
        <w:rPr/>
      </w:pPr>
      <w:r w:rsidDel="00000000" w:rsidR="00000000" w:rsidRPr="00000000">
        <w:rPr>
          <w:rtl w:val="0"/>
        </w:rPr>
        <w:t xml:space="preserve">Contribution margin (S-V)/S</w:t>
        <w:tab/>
        <w:t xml:space="preserve"> 0,45 </w:t>
      </w:r>
    </w:p>
    <w:p w:rsidR="00000000" w:rsidDel="00000000" w:rsidP="00000000" w:rsidRDefault="00000000" w:rsidRPr="00000000" w14:paraId="00000090">
      <w:pPr>
        <w:rPr/>
      </w:pPr>
      <w:r w:rsidDel="00000000" w:rsidR="00000000" w:rsidRPr="00000000">
        <w:rPr>
          <w:rtl w:val="0"/>
        </w:rPr>
        <w:tab/>
      </w:r>
    </w:p>
    <w:p w:rsidR="00000000" w:rsidDel="00000000" w:rsidP="00000000" w:rsidRDefault="00000000" w:rsidRPr="00000000" w14:paraId="00000091">
      <w:pPr>
        <w:rPr/>
      </w:pPr>
      <w:r w:rsidDel="00000000" w:rsidR="00000000" w:rsidRPr="00000000">
        <w:rPr>
          <w:rtl w:val="0"/>
        </w:rPr>
        <w:t xml:space="preserve">Break-even point in Revenue</w:t>
        <w:tab/>
        <w:t xml:space="preserve">£770.000</w:t>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t xml:space="preserve">b</w:t>
        <w:tab/>
      </w:r>
    </w:p>
    <w:p w:rsidR="00000000" w:rsidDel="00000000" w:rsidP="00000000" w:rsidRDefault="00000000" w:rsidRPr="00000000" w14:paraId="00000094">
      <w:pPr>
        <w:rPr/>
      </w:pPr>
      <w:r w:rsidDel="00000000" w:rsidR="00000000" w:rsidRPr="00000000">
        <w:rPr>
          <w:rtl w:val="0"/>
        </w:rPr>
        <w:t xml:space="preserve">Units</w:t>
        <w:tab/>
        <w:t xml:space="preserve"> 75.000 </w:t>
      </w:r>
    </w:p>
    <w:p w:rsidR="00000000" w:rsidDel="00000000" w:rsidP="00000000" w:rsidRDefault="00000000" w:rsidRPr="00000000" w14:paraId="00000095">
      <w:pPr>
        <w:rPr/>
      </w:pPr>
      <w:r w:rsidDel="00000000" w:rsidR="00000000" w:rsidRPr="00000000">
        <w:rPr>
          <w:rtl w:val="0"/>
        </w:rPr>
        <w:t xml:space="preserve">Contribution per unit</w:t>
        <w:tab/>
        <w:t xml:space="preserve">£5</w:t>
      </w:r>
    </w:p>
    <w:p w:rsidR="00000000" w:rsidDel="00000000" w:rsidP="00000000" w:rsidRDefault="00000000" w:rsidRPr="00000000" w14:paraId="00000096">
      <w:pPr>
        <w:rPr/>
      </w:pPr>
      <w:r w:rsidDel="00000000" w:rsidR="00000000" w:rsidRPr="00000000">
        <w:rPr>
          <w:rtl w:val="0"/>
        </w:rPr>
        <w:tab/>
      </w:r>
    </w:p>
    <w:p w:rsidR="00000000" w:rsidDel="00000000" w:rsidP="00000000" w:rsidRDefault="00000000" w:rsidRPr="00000000" w14:paraId="00000097">
      <w:pPr>
        <w:rPr/>
      </w:pPr>
      <w:r w:rsidDel="00000000" w:rsidR="00000000" w:rsidRPr="00000000">
        <w:rPr>
          <w:rtl w:val="0"/>
        </w:rPr>
        <w:t xml:space="preserve">Total Contribution</w:t>
        <w:tab/>
        <w:t xml:space="preserve">£375.000</w:t>
      </w:r>
    </w:p>
    <w:p w:rsidR="00000000" w:rsidDel="00000000" w:rsidP="00000000" w:rsidRDefault="00000000" w:rsidRPr="00000000" w14:paraId="00000098">
      <w:pPr>
        <w:rPr/>
      </w:pPr>
      <w:r w:rsidDel="00000000" w:rsidR="00000000" w:rsidRPr="00000000">
        <w:rPr>
          <w:rtl w:val="0"/>
        </w:rPr>
        <w:t xml:space="preserve">Fixed Costs</w:t>
        <w:tab/>
        <w:t xml:space="preserve">£350.000</w:t>
      </w:r>
    </w:p>
    <w:p w:rsidR="00000000" w:rsidDel="00000000" w:rsidP="00000000" w:rsidRDefault="00000000" w:rsidRPr="00000000" w14:paraId="00000099">
      <w:pPr>
        <w:rPr/>
      </w:pPr>
      <w:r w:rsidDel="00000000" w:rsidR="00000000" w:rsidRPr="00000000">
        <w:rPr>
          <w:rtl w:val="0"/>
        </w:rPr>
        <w:t xml:space="preserve">PROFIT</w:t>
        <w:tab/>
        <w:t xml:space="preserve">£25.000</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pPr>
      <w:r w:rsidDel="00000000" w:rsidR="00000000" w:rsidRPr="00000000">
        <w:rPr>
          <w:rtl w:val="0"/>
        </w:rPr>
        <w:t xml:space="preserve">c</w:t>
        <w:tab/>
      </w:r>
    </w:p>
    <w:p w:rsidR="00000000" w:rsidDel="00000000" w:rsidP="00000000" w:rsidRDefault="00000000" w:rsidRPr="00000000" w14:paraId="0000009D">
      <w:pPr>
        <w:rPr/>
      </w:pPr>
      <w:r w:rsidDel="00000000" w:rsidR="00000000" w:rsidRPr="00000000">
        <w:rPr>
          <w:rtl w:val="0"/>
        </w:rPr>
        <w:t xml:space="preserve">Units (+5,000)</w:t>
        <w:tab/>
        <w:t xml:space="preserve"> 80.000 </w:t>
      </w:r>
    </w:p>
    <w:p w:rsidR="00000000" w:rsidDel="00000000" w:rsidP="00000000" w:rsidRDefault="00000000" w:rsidRPr="00000000" w14:paraId="0000009E">
      <w:pPr>
        <w:rPr/>
      </w:pPr>
      <w:r w:rsidDel="00000000" w:rsidR="00000000" w:rsidRPr="00000000">
        <w:rPr>
          <w:rtl w:val="0"/>
        </w:rPr>
        <w:t xml:space="preserve">Selling Price (new)</w:t>
        <w:tab/>
        <w:t xml:space="preserve">£13</w:t>
      </w:r>
    </w:p>
    <w:p w:rsidR="00000000" w:rsidDel="00000000" w:rsidP="00000000" w:rsidRDefault="00000000" w:rsidRPr="00000000" w14:paraId="0000009F">
      <w:pPr>
        <w:rPr/>
      </w:pPr>
      <w:r w:rsidDel="00000000" w:rsidR="00000000" w:rsidRPr="00000000">
        <w:rPr>
          <w:rtl w:val="0"/>
        </w:rPr>
        <w:t xml:space="preserve">Variable Cost (new)</w:t>
        <w:tab/>
        <w:t xml:space="preserve">£7</w:t>
      </w:r>
    </w:p>
    <w:p w:rsidR="00000000" w:rsidDel="00000000" w:rsidP="00000000" w:rsidRDefault="00000000" w:rsidRPr="00000000" w14:paraId="000000A0">
      <w:pPr>
        <w:rPr/>
      </w:pPr>
      <w:r w:rsidDel="00000000" w:rsidR="00000000" w:rsidRPr="00000000">
        <w:rPr>
          <w:rtl w:val="0"/>
        </w:rPr>
        <w:tab/>
      </w:r>
    </w:p>
    <w:p w:rsidR="00000000" w:rsidDel="00000000" w:rsidP="00000000" w:rsidRDefault="00000000" w:rsidRPr="00000000" w14:paraId="000000A1">
      <w:pPr>
        <w:rPr/>
      </w:pPr>
      <w:r w:rsidDel="00000000" w:rsidR="00000000" w:rsidRPr="00000000">
        <w:rPr>
          <w:rtl w:val="0"/>
        </w:rPr>
        <w:t xml:space="preserve">Contribution per unit</w:t>
        <w:tab/>
        <w:t xml:space="preserve">£6</w:t>
      </w:r>
    </w:p>
    <w:p w:rsidR="00000000" w:rsidDel="00000000" w:rsidP="00000000" w:rsidRDefault="00000000" w:rsidRPr="00000000" w14:paraId="000000A2">
      <w:pPr>
        <w:rPr/>
      </w:pPr>
      <w:r w:rsidDel="00000000" w:rsidR="00000000" w:rsidRPr="00000000">
        <w:rPr>
          <w:rtl w:val="0"/>
        </w:rPr>
        <w:t xml:space="preserve">Total Contribution</w:t>
        <w:tab/>
        <w:t xml:space="preserve">£480.000</w:t>
      </w:r>
    </w:p>
    <w:p w:rsidR="00000000" w:rsidDel="00000000" w:rsidP="00000000" w:rsidRDefault="00000000" w:rsidRPr="00000000" w14:paraId="000000A3">
      <w:pPr>
        <w:rPr/>
      </w:pPr>
      <w:r w:rsidDel="00000000" w:rsidR="00000000" w:rsidRPr="00000000">
        <w:rPr>
          <w:rtl w:val="0"/>
        </w:rPr>
        <w:t xml:space="preserve">Fixed Costs (no change)</w:t>
        <w:tab/>
        <w:t xml:space="preserve">£350.000</w:t>
      </w:r>
    </w:p>
    <w:p w:rsidR="00000000" w:rsidDel="00000000" w:rsidP="00000000" w:rsidRDefault="00000000" w:rsidRPr="00000000" w14:paraId="000000A4">
      <w:pPr>
        <w:rPr/>
      </w:pPr>
      <w:r w:rsidDel="00000000" w:rsidR="00000000" w:rsidRPr="00000000">
        <w:rPr>
          <w:rtl w:val="0"/>
        </w:rPr>
        <w:tab/>
      </w:r>
    </w:p>
    <w:p w:rsidR="00000000" w:rsidDel="00000000" w:rsidP="00000000" w:rsidRDefault="00000000" w:rsidRPr="00000000" w14:paraId="000000A5">
      <w:pPr>
        <w:rPr/>
      </w:pPr>
      <w:r w:rsidDel="00000000" w:rsidR="00000000" w:rsidRPr="00000000">
        <w:rPr>
          <w:rtl w:val="0"/>
        </w:rPr>
        <w:t xml:space="preserve">New PROFIT</w:t>
        <w:tab/>
        <w:t xml:space="preserve">£130.000</w:t>
      </w:r>
    </w:p>
    <w:p w:rsidR="00000000" w:rsidDel="00000000" w:rsidP="00000000" w:rsidRDefault="00000000" w:rsidRPr="00000000" w14:paraId="000000A6">
      <w:pPr>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Courier New"/>
  <w:font w:name="Quattrocento Sans">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Helvetica Neue">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Times New Roman" w:cs="Times New Roman" w:eastAsia="Times New Roman" w:hAnsi="Times New Roman"/>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fr-FR"/>
      </w:rPr>
    </w:rPrDefault>
    <w:pPrDefault>
      <w:pPr>
        <w:spacing w:after="160" w:line="36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center"/>
    </w:pPr>
    <w:rPr>
      <w:b w:val="1"/>
      <w:color w:val="000000"/>
      <w:sz w:val="36"/>
      <w:szCs w:val="36"/>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after="0" w:before="40" w:lineRule="auto"/>
    </w:pPr>
    <w:rPr>
      <w:rFonts w:ascii="Calibri" w:cs="Calibri" w:eastAsia="Calibri" w:hAnsi="Calibri"/>
      <w:i w:val="1"/>
      <w:color w:val="2f5496"/>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CA1643"/>
    <w:pPr>
      <w:spacing w:line="360" w:lineRule="auto"/>
    </w:pPr>
    <w:rPr>
      <w:rFonts w:ascii="Times New Roman" w:hAnsi="Times New Roman"/>
      <w:sz w:val="24"/>
    </w:rPr>
  </w:style>
  <w:style w:type="paragraph" w:styleId="Heading1">
    <w:name w:val="heading 1"/>
    <w:basedOn w:val="Normal"/>
    <w:next w:val="Normal"/>
    <w:link w:val="Heading1Char"/>
    <w:uiPriority w:val="9"/>
    <w:qFormat w:val="1"/>
    <w:rsid w:val="00CA1643"/>
    <w:pPr>
      <w:keepNext w:val="1"/>
      <w:keepLines w:val="1"/>
      <w:spacing w:after="0" w:before="240"/>
      <w:jc w:val="center"/>
      <w:outlineLvl w:val="0"/>
    </w:pPr>
    <w:rPr>
      <w:rFonts w:cstheme="majorBidi" w:eastAsiaTheme="majorEastAsia"/>
      <w:b w:val="1"/>
      <w:color w:val="000000" w:themeColor="text1"/>
      <w:sz w:val="36"/>
      <w:szCs w:val="32"/>
    </w:rPr>
  </w:style>
  <w:style w:type="paragraph" w:styleId="Heading2">
    <w:name w:val="heading 2"/>
    <w:basedOn w:val="Normal"/>
    <w:next w:val="Normal"/>
    <w:link w:val="Heading2Char"/>
    <w:uiPriority w:val="9"/>
    <w:semiHidden w:val="1"/>
    <w:unhideWhenUsed w:val="1"/>
    <w:qFormat w:val="1"/>
    <w:rsid w:val="00C10BD3"/>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paragraph" w:styleId="Heading4">
    <w:name w:val="heading 4"/>
    <w:basedOn w:val="Normal"/>
    <w:next w:val="Normal"/>
    <w:link w:val="Heading4Char"/>
    <w:uiPriority w:val="9"/>
    <w:semiHidden w:val="1"/>
    <w:unhideWhenUsed w:val="1"/>
    <w:qFormat w:val="1"/>
    <w:rsid w:val="000F508D"/>
    <w:pPr>
      <w:keepNext w:val="1"/>
      <w:keepLines w:val="1"/>
      <w:spacing w:after="0" w:before="40"/>
      <w:outlineLvl w:val="3"/>
    </w:pPr>
    <w:rPr>
      <w:rFonts w:asciiTheme="majorHAnsi" w:cstheme="majorBidi" w:eastAsiaTheme="majorEastAsia" w:hAnsiTheme="majorHAnsi"/>
      <w:i w:val="1"/>
      <w:iCs w:val="1"/>
      <w:color w:val="2f5496" w:themeColor="accent1" w:themeShade="0000BF"/>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CA1643"/>
    <w:rPr>
      <w:rFonts w:ascii="Times New Roman" w:hAnsi="Times New Roman" w:cstheme="majorBidi" w:eastAsiaTheme="majorEastAsia"/>
      <w:b w:val="1"/>
      <w:color w:val="000000" w:themeColor="text1"/>
      <w:sz w:val="36"/>
      <w:szCs w:val="32"/>
    </w:rPr>
  </w:style>
  <w:style w:type="paragraph" w:styleId="ListParagraph">
    <w:name w:val="List Paragraph"/>
    <w:basedOn w:val="Normal"/>
    <w:uiPriority w:val="34"/>
    <w:qFormat w:val="1"/>
    <w:rsid w:val="00DE5C89"/>
    <w:pPr>
      <w:ind w:left="720"/>
      <w:contextualSpacing w:val="1"/>
    </w:pPr>
  </w:style>
  <w:style w:type="character" w:styleId="Heading4Char" w:customStyle="1">
    <w:name w:val="Heading 4 Char"/>
    <w:basedOn w:val="DefaultParagraphFont"/>
    <w:link w:val="Heading4"/>
    <w:uiPriority w:val="9"/>
    <w:semiHidden w:val="1"/>
    <w:rsid w:val="000F508D"/>
    <w:rPr>
      <w:rFonts w:asciiTheme="majorHAnsi" w:cstheme="majorBidi" w:eastAsiaTheme="majorEastAsia" w:hAnsiTheme="majorHAnsi"/>
      <w:i w:val="1"/>
      <w:iCs w:val="1"/>
      <w:color w:val="2f5496" w:themeColor="accent1" w:themeShade="0000BF"/>
      <w:sz w:val="24"/>
    </w:rPr>
  </w:style>
  <w:style w:type="paragraph" w:styleId="NormalWeb">
    <w:name w:val="Normal (Web)"/>
    <w:basedOn w:val="Normal"/>
    <w:uiPriority w:val="99"/>
    <w:semiHidden w:val="1"/>
    <w:unhideWhenUsed w:val="1"/>
    <w:rsid w:val="000F508D"/>
    <w:pPr>
      <w:spacing w:after="100" w:afterAutospacing="1" w:before="100" w:beforeAutospacing="1" w:line="240" w:lineRule="auto"/>
    </w:pPr>
    <w:rPr>
      <w:rFonts w:cs="Times New Roman" w:eastAsia="Times New Roman"/>
      <w:szCs w:val="24"/>
      <w:lang w:val="en-US"/>
    </w:rPr>
  </w:style>
  <w:style w:type="character" w:styleId="Heading2Char" w:customStyle="1">
    <w:name w:val="Heading 2 Char"/>
    <w:basedOn w:val="DefaultParagraphFont"/>
    <w:link w:val="Heading2"/>
    <w:uiPriority w:val="9"/>
    <w:semiHidden w:val="1"/>
    <w:rsid w:val="00C10BD3"/>
    <w:rPr>
      <w:rFonts w:asciiTheme="majorHAnsi" w:cstheme="majorBidi" w:eastAsiaTheme="majorEastAsia" w:hAnsiTheme="majorHAnsi"/>
      <w:color w:val="2f5496" w:themeColor="accent1" w:themeShade="0000BF"/>
      <w:sz w:val="26"/>
      <w:szCs w:val="26"/>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70.0" w:type="dxa"/>
        <w:bottom w:w="0.0" w:type="dxa"/>
        <w:right w:w="70.0" w:type="dxa"/>
      </w:tblCellMar>
    </w:tblPr>
  </w:style>
  <w:style w:type="table" w:styleId="Table2">
    <w:basedOn w:val="TableNormal"/>
    <w:tblPr>
      <w:tblStyleRowBandSize w:val="1"/>
      <w:tblStyleColBandSize w:val="1"/>
      <w:tblCellMar>
        <w:top w:w="0.0" w:type="dxa"/>
        <w:left w:w="70.0" w:type="dxa"/>
        <w:bottom w:w="0.0" w:type="dxa"/>
        <w:right w:w="70.0" w:type="dxa"/>
      </w:tblCellMar>
    </w:tblPr>
  </w:style>
  <w:style w:type="table" w:styleId="Table3">
    <w:basedOn w:val="TableNormal"/>
    <w:tblPr>
      <w:tblStyleRowBandSize w:val="1"/>
      <w:tblStyleColBandSize w:val="1"/>
      <w:tblCellMar>
        <w:top w:w="0.0" w:type="dxa"/>
        <w:left w:w="70.0" w:type="dxa"/>
        <w:bottom w:w="0.0" w:type="dxa"/>
        <w:right w:w="70.0" w:type="dxa"/>
      </w:tblCellMar>
    </w:tblPr>
  </w:style>
  <w:style w:type="table" w:styleId="Table4">
    <w:basedOn w:val="TableNormal"/>
    <w:tblPr>
      <w:tblStyleRowBandSize w:val="1"/>
      <w:tblStyleColBandSize w:val="1"/>
      <w:tblCellMar>
        <w:top w:w="0.0" w:type="dxa"/>
        <w:left w:w="70.0" w:type="dxa"/>
        <w:bottom w:w="0.0" w:type="dxa"/>
        <w:right w:w="70.0" w:type="dxa"/>
      </w:tblCellMar>
    </w:tblPr>
  </w:style>
  <w:style w:type="table" w:styleId="Table5">
    <w:basedOn w:val="TableNormal"/>
    <w:tblPr>
      <w:tblStyleRowBandSize w:val="1"/>
      <w:tblStyleColBandSize w:val="1"/>
      <w:tblCellMar>
        <w:top w:w="0.0" w:type="dxa"/>
        <w:left w:w="70.0" w:type="dxa"/>
        <w:bottom w:w="0.0" w:type="dxa"/>
        <w:right w:w="7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QuattrocentoSans-regular.ttf"/><Relationship Id="rId2" Type="http://schemas.openxmlformats.org/officeDocument/2006/relationships/font" Target="fonts/QuattrocentoSans-bold.ttf"/><Relationship Id="rId3" Type="http://schemas.openxmlformats.org/officeDocument/2006/relationships/font" Target="fonts/QuattrocentoSans-italic.ttf"/><Relationship Id="rId4" Type="http://schemas.openxmlformats.org/officeDocument/2006/relationships/font" Target="fonts/QuattrocentoSans-boldItalic.ttf"/><Relationship Id="rId5" Type="http://schemas.openxmlformats.org/officeDocument/2006/relationships/font" Target="fonts/HelveticaNeue-regular.ttf"/><Relationship Id="rId6" Type="http://schemas.openxmlformats.org/officeDocument/2006/relationships/font" Target="fonts/HelveticaNeue-bold.ttf"/><Relationship Id="rId7" Type="http://schemas.openxmlformats.org/officeDocument/2006/relationships/font" Target="fonts/HelveticaNeue-italic.ttf"/><Relationship Id="rId8" Type="http://schemas.openxmlformats.org/officeDocument/2006/relationships/font" Target="fonts/HelveticaNeue-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wbwzeiqrBwQMvKjVV+LX2nunfyw==">AMUW2mVyI7j4eAZsKl7pHkDxDjsSfGu11BD3PfLSTsyAMq7mQ5dpZ01I/OlYAUnwGRu76uuS3AAcDi0tvYi5YRbWvlBlEucOZFY9o6/xVWHHAUpvrMZ4cCCZammBMeUxAaKAM2trlWnm</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2021-08-27T12:39:00Z</dcterms:created>
  <dc:creator>Shaheer Ahmed Siddiqui</dc:creator>
</cp:coreProperties>
</file>