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D89D10" w14:textId="77777777" w:rsidR="00076162" w:rsidRDefault="00000000">
      <w:r>
        <w:rPr>
          <w:rFonts w:ascii="Calibri" w:eastAsia="Calibri" w:hAnsi="Calibri" w:cs="Calibri"/>
          <w:noProof/>
          <w:color w:val="000000"/>
          <w:sz w:val="40"/>
          <w:szCs w:val="40"/>
          <w:lang w:eastAsia="en-GB"/>
        </w:rPr>
        <w:drawing>
          <wp:anchor distT="0" distB="0" distL="114300" distR="114300" simplePos="0" relativeHeight="251661312" behindDoc="0" locked="0" layoutInCell="1" allowOverlap="0" wp14:anchorId="75CC1AD7" wp14:editId="322E915C">
            <wp:simplePos x="0" y="0"/>
            <wp:positionH relativeFrom="page">
              <wp:posOffset>1885950</wp:posOffset>
            </wp:positionH>
            <wp:positionV relativeFrom="page">
              <wp:posOffset>57150</wp:posOffset>
            </wp:positionV>
            <wp:extent cx="4093467" cy="2926080"/>
            <wp:effectExtent l="0" t="0" r="2283" b="7620"/>
            <wp:wrapTopAndBottom/>
            <wp:docPr id="1007565679" name="Picture 3731" descr="A white rectangular sign with black text&#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tretch>
                      <a:fillRect/>
                    </a:stretch>
                  </pic:blipFill>
                  <pic:spPr>
                    <a:xfrm>
                      <a:off x="0" y="0"/>
                      <a:ext cx="4093467" cy="2926080"/>
                    </a:xfrm>
                    <a:prstGeom prst="rect">
                      <a:avLst/>
                    </a:prstGeom>
                    <a:noFill/>
                    <a:ln>
                      <a:noFill/>
                      <a:prstDash/>
                    </a:ln>
                  </pic:spPr>
                </pic:pic>
              </a:graphicData>
            </a:graphic>
          </wp:anchor>
        </w:drawing>
      </w:r>
    </w:p>
    <w:p w14:paraId="380E54A4" w14:textId="77777777" w:rsidR="00076162" w:rsidRDefault="00000000">
      <w:r>
        <w:rPr>
          <w:rFonts w:ascii="Century Gothic" w:hAnsi="Century Gothic"/>
          <w:b/>
          <w:bCs/>
          <w:color w:val="404040"/>
          <w:sz w:val="32"/>
          <w:szCs w:val="32"/>
          <w:lang w:val="en-US"/>
        </w:rPr>
        <w:t>Module Name</w:t>
      </w:r>
      <w:r>
        <w:rPr>
          <w:rFonts w:ascii="Century Gothic" w:hAnsi="Century Gothic"/>
          <w:color w:val="404040"/>
          <w:sz w:val="32"/>
          <w:szCs w:val="32"/>
          <w:lang w:val="en-US"/>
        </w:rPr>
        <w:t>: Enterprise and Entreprenerds</w:t>
      </w:r>
      <w:r>
        <w:rPr>
          <w:rFonts w:ascii="Century Gothic" w:hAnsi="Century Gothic"/>
          <w:color w:val="404040"/>
          <w:sz w:val="32"/>
          <w:szCs w:val="32"/>
          <w:lang w:val="en-US"/>
        </w:rPr>
        <w:br/>
      </w:r>
      <w:r>
        <w:rPr>
          <w:rFonts w:ascii="Century Gothic" w:hAnsi="Century Gothic"/>
          <w:color w:val="404040"/>
          <w:sz w:val="32"/>
          <w:szCs w:val="32"/>
          <w:lang w:val="en-US"/>
        </w:rPr>
        <w:br/>
      </w:r>
      <w:r>
        <w:rPr>
          <w:rFonts w:ascii="Century Gothic" w:hAnsi="Century Gothic"/>
          <w:b/>
          <w:bCs/>
          <w:color w:val="404040"/>
          <w:sz w:val="32"/>
          <w:szCs w:val="32"/>
          <w:lang w:val="en-US"/>
        </w:rPr>
        <w:t>Module Code</w:t>
      </w:r>
      <w:r>
        <w:rPr>
          <w:rFonts w:ascii="Century Gothic" w:hAnsi="Century Gothic"/>
          <w:color w:val="404040"/>
          <w:sz w:val="32"/>
          <w:szCs w:val="32"/>
          <w:lang w:val="en-US"/>
        </w:rPr>
        <w:t>:</w:t>
      </w:r>
      <w:r>
        <w:rPr>
          <w:sz w:val="32"/>
          <w:szCs w:val="32"/>
        </w:rPr>
        <w:t xml:space="preserve">  LCLM5002</w:t>
      </w:r>
      <w:r>
        <w:rPr>
          <w:color w:val="404040"/>
          <w:sz w:val="32"/>
          <w:szCs w:val="32"/>
        </w:rPr>
        <w:br/>
      </w:r>
      <w:r>
        <w:rPr>
          <w:rFonts w:ascii="Century Gothic" w:hAnsi="Century Gothic"/>
          <w:color w:val="404040"/>
          <w:sz w:val="32"/>
          <w:szCs w:val="32"/>
          <w:lang w:val="en-US"/>
        </w:rPr>
        <w:br/>
      </w:r>
      <w:r>
        <w:rPr>
          <w:rFonts w:ascii="Century Gothic" w:hAnsi="Century Gothic"/>
          <w:b/>
          <w:bCs/>
          <w:color w:val="404040"/>
          <w:sz w:val="32"/>
          <w:szCs w:val="32"/>
          <w:lang w:val="en-US"/>
        </w:rPr>
        <w:t>Student's Name</w:t>
      </w:r>
      <w:r>
        <w:rPr>
          <w:rFonts w:ascii="Century Gothic" w:hAnsi="Century Gothic"/>
          <w:color w:val="404040"/>
          <w:sz w:val="32"/>
          <w:szCs w:val="32"/>
          <w:lang w:val="en-US"/>
        </w:rPr>
        <w:t>: Goua E D Ogodon</w:t>
      </w:r>
      <w:r>
        <w:rPr>
          <w:rFonts w:ascii="Century Gothic" w:hAnsi="Century Gothic"/>
          <w:color w:val="404040"/>
          <w:sz w:val="32"/>
          <w:szCs w:val="32"/>
          <w:lang w:val="en-US"/>
        </w:rPr>
        <w:br/>
      </w:r>
      <w:r>
        <w:rPr>
          <w:rFonts w:ascii="Century Gothic" w:hAnsi="Century Gothic"/>
          <w:color w:val="404040"/>
          <w:sz w:val="32"/>
          <w:szCs w:val="32"/>
          <w:lang w:val="en-US"/>
        </w:rPr>
        <w:br/>
      </w:r>
      <w:r>
        <w:rPr>
          <w:rFonts w:ascii="Century Gothic" w:hAnsi="Century Gothic"/>
          <w:b/>
          <w:bCs/>
          <w:color w:val="404040"/>
          <w:sz w:val="32"/>
          <w:szCs w:val="32"/>
          <w:lang w:val="en-US"/>
        </w:rPr>
        <w:t>Student's ID</w:t>
      </w:r>
      <w:r>
        <w:rPr>
          <w:rFonts w:ascii="Century Gothic" w:hAnsi="Century Gothic"/>
          <w:color w:val="404040"/>
          <w:sz w:val="32"/>
          <w:szCs w:val="32"/>
          <w:lang w:val="en-US"/>
        </w:rPr>
        <w:t>: 2310612</w:t>
      </w:r>
    </w:p>
    <w:p w14:paraId="18D1EBA6" w14:textId="77777777" w:rsidR="00076162" w:rsidRDefault="00000000">
      <w:r>
        <w:rPr>
          <w:rFonts w:ascii="Century Gothic" w:hAnsi="Century Gothic"/>
          <w:b/>
          <w:bCs/>
          <w:color w:val="404040"/>
          <w:sz w:val="32"/>
          <w:szCs w:val="32"/>
          <w:lang w:val="en-US"/>
        </w:rPr>
        <w:t>Assignment title</w:t>
      </w:r>
      <w:r>
        <w:rPr>
          <w:rFonts w:ascii="Century Gothic" w:hAnsi="Century Gothic"/>
          <w:color w:val="404040"/>
          <w:sz w:val="32"/>
          <w:szCs w:val="32"/>
          <w:lang w:val="en-US"/>
        </w:rPr>
        <w:t xml:space="preserve">: </w:t>
      </w:r>
      <w:r>
        <w:rPr>
          <w:sz w:val="32"/>
          <w:szCs w:val="32"/>
        </w:rPr>
        <w:t>Component 2- Individual Report</w:t>
      </w:r>
      <w:r>
        <w:rPr>
          <w:rFonts w:ascii="Century Gothic" w:hAnsi="Century Gothic"/>
          <w:color w:val="404040"/>
          <w:sz w:val="32"/>
          <w:szCs w:val="32"/>
          <w:lang w:val="en-US"/>
        </w:rPr>
        <w:br/>
      </w:r>
      <w:r>
        <w:rPr>
          <w:rFonts w:ascii="Century Gothic" w:hAnsi="Century Gothic"/>
          <w:color w:val="404040"/>
          <w:sz w:val="32"/>
          <w:szCs w:val="32"/>
          <w:lang w:val="en-US"/>
        </w:rPr>
        <w:br/>
      </w:r>
      <w:r>
        <w:rPr>
          <w:rFonts w:ascii="Century Gothic" w:hAnsi="Century Gothic"/>
          <w:b/>
          <w:bCs/>
          <w:color w:val="404040"/>
          <w:sz w:val="32"/>
          <w:szCs w:val="32"/>
          <w:lang w:val="en-US"/>
        </w:rPr>
        <w:t>Lecturer's Name</w:t>
      </w:r>
      <w:r>
        <w:rPr>
          <w:rFonts w:ascii="Century Gothic" w:hAnsi="Century Gothic"/>
          <w:color w:val="404040"/>
          <w:sz w:val="32"/>
          <w:szCs w:val="32"/>
          <w:lang w:val="en-US"/>
        </w:rPr>
        <w:t xml:space="preserve">: </w:t>
      </w:r>
      <w:r>
        <w:rPr>
          <w:sz w:val="32"/>
          <w:szCs w:val="32"/>
        </w:rPr>
        <w:t>Nishi Ramsurrun</w:t>
      </w:r>
      <w:r>
        <w:rPr>
          <w:rFonts w:ascii="Century Gothic" w:hAnsi="Century Gothic"/>
          <w:color w:val="404040"/>
          <w:sz w:val="32"/>
          <w:szCs w:val="32"/>
          <w:lang w:val="en-US"/>
        </w:rPr>
        <w:br/>
      </w:r>
      <w:r>
        <w:rPr>
          <w:rFonts w:ascii="Century Gothic" w:hAnsi="Century Gothic"/>
          <w:color w:val="404040"/>
          <w:sz w:val="32"/>
          <w:szCs w:val="32"/>
          <w:lang w:val="en-US"/>
        </w:rPr>
        <w:br/>
        <w:t>Date: 01/05/2026</w:t>
      </w:r>
    </w:p>
    <w:p w14:paraId="484A1180" w14:textId="77777777" w:rsidR="00076162" w:rsidRDefault="00076162"/>
    <w:p w14:paraId="5C8E3F4E" w14:textId="77777777" w:rsidR="00076162" w:rsidRDefault="00076162"/>
    <w:p w14:paraId="581F6B13" w14:textId="77777777" w:rsidR="00076162" w:rsidRDefault="00076162"/>
    <w:p w14:paraId="485BACA4" w14:textId="77777777" w:rsidR="00076162" w:rsidRDefault="00076162"/>
    <w:p w14:paraId="7FFAE944" w14:textId="77777777" w:rsidR="00076162" w:rsidRDefault="00076162"/>
    <w:p w14:paraId="57D3BFCD" w14:textId="77777777" w:rsidR="00076162" w:rsidRDefault="00076162"/>
    <w:p w14:paraId="7171FD1A" w14:textId="77777777" w:rsidR="00076162" w:rsidRDefault="00076162"/>
    <w:p w14:paraId="098103E3" w14:textId="77777777" w:rsidR="006F7F60" w:rsidRDefault="006F7F60"/>
    <w:p w14:paraId="5DF2586B" w14:textId="77777777" w:rsidR="006F7F60" w:rsidRDefault="006F7F60"/>
    <w:p w14:paraId="16799262" w14:textId="77777777" w:rsidR="006F7F60" w:rsidRDefault="006F7F60"/>
    <w:p w14:paraId="3D07C249" w14:textId="77777777" w:rsidR="00076162" w:rsidRDefault="00076162"/>
    <w:p w14:paraId="6DB53D76" w14:textId="77777777" w:rsidR="00076162" w:rsidRDefault="00000000">
      <w:pPr>
        <w:rPr>
          <w:b/>
          <w:bCs/>
          <w:sz w:val="32"/>
          <w:szCs w:val="32"/>
        </w:rPr>
      </w:pPr>
      <w:r>
        <w:rPr>
          <w:b/>
          <w:bCs/>
          <w:sz w:val="32"/>
          <w:szCs w:val="32"/>
        </w:rPr>
        <w:lastRenderedPageBreak/>
        <w:t>Table of Contents</w:t>
      </w:r>
    </w:p>
    <w:p w14:paraId="5D03DAFE" w14:textId="77777777" w:rsidR="00076162" w:rsidRDefault="00076162">
      <w:pPr>
        <w:rPr>
          <w:b/>
          <w:bCs/>
          <w:sz w:val="40"/>
          <w:szCs w:val="40"/>
        </w:rPr>
      </w:pPr>
    </w:p>
    <w:p w14:paraId="77F51750" w14:textId="77777777" w:rsidR="00076162" w:rsidRDefault="00000000">
      <w:pPr>
        <w:rPr>
          <w:sz w:val="28"/>
          <w:szCs w:val="28"/>
        </w:rPr>
      </w:pPr>
      <w:r>
        <w:rPr>
          <w:sz w:val="28"/>
          <w:szCs w:val="28"/>
        </w:rPr>
        <w:t>1.Executive Summary</w:t>
      </w:r>
    </w:p>
    <w:p w14:paraId="108C5E7D" w14:textId="77777777" w:rsidR="00076162" w:rsidRDefault="00076162">
      <w:pPr>
        <w:rPr>
          <w:sz w:val="28"/>
          <w:szCs w:val="28"/>
        </w:rPr>
      </w:pPr>
    </w:p>
    <w:p w14:paraId="74118FCA" w14:textId="77777777" w:rsidR="00076162" w:rsidRDefault="00000000">
      <w:pPr>
        <w:rPr>
          <w:sz w:val="28"/>
          <w:szCs w:val="28"/>
        </w:rPr>
      </w:pPr>
      <w:r>
        <w:rPr>
          <w:sz w:val="28"/>
          <w:szCs w:val="28"/>
        </w:rPr>
        <w:t>2.Introduction</w:t>
      </w:r>
    </w:p>
    <w:p w14:paraId="60C622EE" w14:textId="77777777" w:rsidR="00076162" w:rsidRDefault="00076162">
      <w:pPr>
        <w:rPr>
          <w:sz w:val="28"/>
          <w:szCs w:val="28"/>
        </w:rPr>
      </w:pPr>
    </w:p>
    <w:p w14:paraId="2C36E9B1" w14:textId="77777777" w:rsidR="00076162" w:rsidRDefault="00000000">
      <w:pPr>
        <w:rPr>
          <w:sz w:val="28"/>
          <w:szCs w:val="28"/>
        </w:rPr>
      </w:pPr>
      <w:r>
        <w:rPr>
          <w:sz w:val="28"/>
          <w:szCs w:val="28"/>
        </w:rPr>
        <w:t xml:space="preserve">3.Section 1: Key HR Factors Affecting the Organisation  </w:t>
      </w:r>
    </w:p>
    <w:p w14:paraId="51AFEDFC" w14:textId="77777777" w:rsidR="00076162" w:rsidRDefault="00000000">
      <w:pPr>
        <w:rPr>
          <w:sz w:val="28"/>
          <w:szCs w:val="28"/>
        </w:rPr>
      </w:pPr>
      <w:r>
        <w:rPr>
          <w:sz w:val="28"/>
          <w:szCs w:val="28"/>
        </w:rPr>
        <w:t>3.1 Meeting Technological Advancement</w:t>
      </w:r>
    </w:p>
    <w:p w14:paraId="6549CFB6" w14:textId="77777777" w:rsidR="00076162" w:rsidRDefault="00000000">
      <w:pPr>
        <w:rPr>
          <w:sz w:val="28"/>
          <w:szCs w:val="28"/>
        </w:rPr>
      </w:pPr>
      <w:r>
        <w:rPr>
          <w:sz w:val="28"/>
          <w:szCs w:val="28"/>
        </w:rPr>
        <w:t>3.2 Talent Acquisition and Retention</w:t>
      </w:r>
    </w:p>
    <w:p w14:paraId="5BB259EC" w14:textId="77777777" w:rsidR="00076162" w:rsidRDefault="00000000">
      <w:pPr>
        <w:rPr>
          <w:sz w:val="28"/>
          <w:szCs w:val="28"/>
        </w:rPr>
      </w:pPr>
      <w:r>
        <w:rPr>
          <w:sz w:val="28"/>
          <w:szCs w:val="28"/>
        </w:rPr>
        <w:t>3.3 Diversity, Equity and Inclusion (DEI)</w:t>
      </w:r>
    </w:p>
    <w:p w14:paraId="6430A6A6" w14:textId="77777777" w:rsidR="00076162" w:rsidRDefault="00076162">
      <w:pPr>
        <w:rPr>
          <w:sz w:val="28"/>
          <w:szCs w:val="28"/>
        </w:rPr>
      </w:pPr>
    </w:p>
    <w:p w14:paraId="39760812" w14:textId="77777777" w:rsidR="00076162" w:rsidRDefault="00000000">
      <w:pPr>
        <w:rPr>
          <w:sz w:val="28"/>
          <w:szCs w:val="28"/>
        </w:rPr>
      </w:pPr>
      <w:r>
        <w:rPr>
          <w:sz w:val="28"/>
          <w:szCs w:val="28"/>
        </w:rPr>
        <w:t xml:space="preserve">4.Section 2: Evaluation of Contemporary HR Practices  </w:t>
      </w:r>
    </w:p>
    <w:p w14:paraId="0020653F" w14:textId="77777777" w:rsidR="00076162" w:rsidRDefault="00000000">
      <w:pPr>
        <w:rPr>
          <w:sz w:val="28"/>
          <w:szCs w:val="28"/>
        </w:rPr>
      </w:pPr>
      <w:r>
        <w:rPr>
          <w:sz w:val="28"/>
          <w:szCs w:val="28"/>
        </w:rPr>
        <w:t>4.1 HR Practices for Technological Advancement</w:t>
      </w:r>
    </w:p>
    <w:p w14:paraId="75D8D908" w14:textId="77777777" w:rsidR="00076162" w:rsidRDefault="00000000">
      <w:pPr>
        <w:rPr>
          <w:sz w:val="28"/>
          <w:szCs w:val="28"/>
        </w:rPr>
      </w:pPr>
      <w:r>
        <w:rPr>
          <w:sz w:val="28"/>
          <w:szCs w:val="28"/>
        </w:rPr>
        <w:t>4.2 HR Practices for Talent Acquisition and Retention</w:t>
      </w:r>
    </w:p>
    <w:p w14:paraId="1B0AFC20" w14:textId="77777777" w:rsidR="00076162" w:rsidRDefault="00000000">
      <w:pPr>
        <w:rPr>
          <w:sz w:val="28"/>
          <w:szCs w:val="28"/>
        </w:rPr>
      </w:pPr>
      <w:r>
        <w:rPr>
          <w:sz w:val="28"/>
          <w:szCs w:val="28"/>
        </w:rPr>
        <w:t>4.3 HR Practices for DEI</w:t>
      </w:r>
    </w:p>
    <w:p w14:paraId="0F770F00" w14:textId="77777777" w:rsidR="00076162" w:rsidRDefault="00076162">
      <w:pPr>
        <w:rPr>
          <w:sz w:val="28"/>
          <w:szCs w:val="28"/>
        </w:rPr>
      </w:pPr>
    </w:p>
    <w:p w14:paraId="65872F64" w14:textId="77777777" w:rsidR="00076162" w:rsidRDefault="00000000">
      <w:pPr>
        <w:rPr>
          <w:sz w:val="28"/>
          <w:szCs w:val="28"/>
        </w:rPr>
      </w:pPr>
      <w:r>
        <w:rPr>
          <w:sz w:val="28"/>
          <w:szCs w:val="28"/>
        </w:rPr>
        <w:t>5.Section 3: Critical Evaluation of Managerial Implementation</w:t>
      </w:r>
    </w:p>
    <w:p w14:paraId="0E31F89B" w14:textId="77777777" w:rsidR="00076162" w:rsidRDefault="00076162">
      <w:pPr>
        <w:rPr>
          <w:sz w:val="28"/>
          <w:szCs w:val="28"/>
        </w:rPr>
      </w:pPr>
    </w:p>
    <w:p w14:paraId="2E1B0DA7" w14:textId="77777777" w:rsidR="00076162" w:rsidRDefault="00000000">
      <w:pPr>
        <w:rPr>
          <w:sz w:val="28"/>
          <w:szCs w:val="28"/>
        </w:rPr>
      </w:pPr>
      <w:r>
        <w:rPr>
          <w:sz w:val="28"/>
          <w:szCs w:val="28"/>
        </w:rPr>
        <w:t>6. Recommendations</w:t>
      </w:r>
    </w:p>
    <w:p w14:paraId="5EE7941C" w14:textId="77777777" w:rsidR="00076162" w:rsidRDefault="00076162">
      <w:pPr>
        <w:rPr>
          <w:sz w:val="28"/>
          <w:szCs w:val="28"/>
        </w:rPr>
      </w:pPr>
    </w:p>
    <w:p w14:paraId="7529EB35" w14:textId="77777777" w:rsidR="00076162" w:rsidRDefault="00000000">
      <w:pPr>
        <w:rPr>
          <w:sz w:val="28"/>
          <w:szCs w:val="28"/>
        </w:rPr>
      </w:pPr>
      <w:r>
        <w:rPr>
          <w:sz w:val="28"/>
          <w:szCs w:val="28"/>
        </w:rPr>
        <w:t>7.Conclusion</w:t>
      </w:r>
    </w:p>
    <w:p w14:paraId="643145D1" w14:textId="77777777" w:rsidR="00076162" w:rsidRDefault="00076162">
      <w:pPr>
        <w:rPr>
          <w:sz w:val="28"/>
          <w:szCs w:val="28"/>
        </w:rPr>
      </w:pPr>
    </w:p>
    <w:p w14:paraId="51503C9D" w14:textId="77777777" w:rsidR="00076162" w:rsidRDefault="00000000">
      <w:pPr>
        <w:rPr>
          <w:sz w:val="28"/>
          <w:szCs w:val="28"/>
        </w:rPr>
      </w:pPr>
      <w:r>
        <w:rPr>
          <w:sz w:val="28"/>
          <w:szCs w:val="28"/>
        </w:rPr>
        <w:t>8.Reference List</w:t>
      </w:r>
    </w:p>
    <w:p w14:paraId="0E323D23" w14:textId="77777777" w:rsidR="00076162" w:rsidRDefault="00076162">
      <w:pPr>
        <w:rPr>
          <w:sz w:val="28"/>
          <w:szCs w:val="28"/>
        </w:rPr>
      </w:pPr>
    </w:p>
    <w:p w14:paraId="386022FC" w14:textId="77777777" w:rsidR="00076162" w:rsidRDefault="00076162">
      <w:pPr>
        <w:rPr>
          <w:sz w:val="28"/>
          <w:szCs w:val="28"/>
        </w:rPr>
      </w:pPr>
    </w:p>
    <w:p w14:paraId="5B2AEB05" w14:textId="77777777" w:rsidR="00076162" w:rsidRDefault="00076162">
      <w:pPr>
        <w:rPr>
          <w:sz w:val="28"/>
          <w:szCs w:val="28"/>
        </w:rPr>
      </w:pPr>
    </w:p>
    <w:p w14:paraId="188717FA" w14:textId="77777777" w:rsidR="00076162" w:rsidRDefault="00076162">
      <w:pPr>
        <w:rPr>
          <w:sz w:val="28"/>
          <w:szCs w:val="28"/>
        </w:rPr>
      </w:pPr>
    </w:p>
    <w:p w14:paraId="11AFA0A6" w14:textId="77777777" w:rsidR="00076162" w:rsidRDefault="00076162">
      <w:pPr>
        <w:rPr>
          <w:sz w:val="28"/>
          <w:szCs w:val="28"/>
        </w:rPr>
      </w:pPr>
    </w:p>
    <w:p w14:paraId="19B2B714" w14:textId="77777777" w:rsidR="00076162" w:rsidRDefault="00076162">
      <w:pPr>
        <w:rPr>
          <w:sz w:val="28"/>
          <w:szCs w:val="28"/>
        </w:rPr>
      </w:pPr>
    </w:p>
    <w:p w14:paraId="78264BA2" w14:textId="77777777" w:rsidR="00076162" w:rsidRDefault="00000000">
      <w:pPr>
        <w:rPr>
          <w:b/>
          <w:bCs/>
          <w:sz w:val="32"/>
          <w:szCs w:val="32"/>
        </w:rPr>
      </w:pPr>
      <w:r>
        <w:rPr>
          <w:b/>
          <w:bCs/>
          <w:sz w:val="32"/>
          <w:szCs w:val="32"/>
        </w:rPr>
        <w:t>Executive Summary</w:t>
      </w:r>
    </w:p>
    <w:p w14:paraId="70309017" w14:textId="77777777" w:rsidR="00076162" w:rsidRDefault="00076162">
      <w:pPr>
        <w:rPr>
          <w:sz w:val="40"/>
          <w:szCs w:val="40"/>
        </w:rPr>
      </w:pPr>
    </w:p>
    <w:p w14:paraId="1214C782" w14:textId="77777777" w:rsidR="00076162" w:rsidRDefault="00000000">
      <w:pPr>
        <w:rPr>
          <w:sz w:val="28"/>
          <w:szCs w:val="28"/>
        </w:rPr>
      </w:pPr>
      <w:r>
        <w:rPr>
          <w:sz w:val="28"/>
          <w:szCs w:val="28"/>
        </w:rPr>
        <w:t>This report examines key Human Resource (HR) challenges facing Four Seasons Hotel, focusing on technological advancement, talent acquisition and retention, and Diversity, Equity and Inclusion (DEI). These issues are increasingly significant in the hospitality sector due to digital transformation, labour shortages, and rising expectations for inclusive workplaces (CIPD, 2023). The report evaluates contemporary HR practices used to address these challenges and critically analyses the role of departmental managers in ensuring urgent and effective implementation. Recommendations are provided to strengthen HR strategy and support organisational performance.</w:t>
      </w:r>
    </w:p>
    <w:p w14:paraId="42367129" w14:textId="77777777" w:rsidR="00076162" w:rsidRDefault="00076162">
      <w:pPr>
        <w:rPr>
          <w:sz w:val="28"/>
          <w:szCs w:val="28"/>
        </w:rPr>
      </w:pPr>
    </w:p>
    <w:p w14:paraId="3DA00ECE" w14:textId="77777777" w:rsidR="00076162" w:rsidRDefault="00076162">
      <w:pPr>
        <w:rPr>
          <w:sz w:val="28"/>
          <w:szCs w:val="28"/>
        </w:rPr>
      </w:pPr>
    </w:p>
    <w:p w14:paraId="4064D7AB" w14:textId="77777777" w:rsidR="00076162" w:rsidRDefault="00076162">
      <w:pPr>
        <w:rPr>
          <w:sz w:val="28"/>
          <w:szCs w:val="28"/>
        </w:rPr>
      </w:pPr>
    </w:p>
    <w:p w14:paraId="77B284FF" w14:textId="77777777" w:rsidR="00076162" w:rsidRDefault="00076162">
      <w:pPr>
        <w:rPr>
          <w:sz w:val="28"/>
          <w:szCs w:val="28"/>
        </w:rPr>
      </w:pPr>
    </w:p>
    <w:p w14:paraId="16A52E97" w14:textId="77777777" w:rsidR="00076162" w:rsidRDefault="00076162">
      <w:pPr>
        <w:rPr>
          <w:sz w:val="28"/>
          <w:szCs w:val="28"/>
        </w:rPr>
      </w:pPr>
    </w:p>
    <w:p w14:paraId="59F90562" w14:textId="77777777" w:rsidR="00076162" w:rsidRDefault="00076162">
      <w:pPr>
        <w:rPr>
          <w:sz w:val="28"/>
          <w:szCs w:val="28"/>
        </w:rPr>
      </w:pPr>
    </w:p>
    <w:p w14:paraId="41507916" w14:textId="77777777" w:rsidR="00076162" w:rsidRDefault="00076162">
      <w:pPr>
        <w:rPr>
          <w:sz w:val="28"/>
          <w:szCs w:val="28"/>
        </w:rPr>
      </w:pPr>
    </w:p>
    <w:p w14:paraId="47421DD4" w14:textId="77777777" w:rsidR="00076162" w:rsidRDefault="00076162">
      <w:pPr>
        <w:rPr>
          <w:sz w:val="28"/>
          <w:szCs w:val="28"/>
        </w:rPr>
      </w:pPr>
    </w:p>
    <w:p w14:paraId="4E7F29E1" w14:textId="77777777" w:rsidR="00076162" w:rsidRDefault="00076162">
      <w:pPr>
        <w:rPr>
          <w:sz w:val="28"/>
          <w:szCs w:val="28"/>
        </w:rPr>
      </w:pPr>
    </w:p>
    <w:p w14:paraId="7F766ABC" w14:textId="77777777" w:rsidR="00076162" w:rsidRDefault="00076162">
      <w:pPr>
        <w:rPr>
          <w:sz w:val="28"/>
          <w:szCs w:val="28"/>
        </w:rPr>
      </w:pPr>
    </w:p>
    <w:p w14:paraId="7CE9B1DE" w14:textId="77777777" w:rsidR="00076162" w:rsidRDefault="00076162">
      <w:pPr>
        <w:rPr>
          <w:sz w:val="28"/>
          <w:szCs w:val="28"/>
        </w:rPr>
      </w:pPr>
    </w:p>
    <w:p w14:paraId="2C59905B" w14:textId="77777777" w:rsidR="00076162" w:rsidRDefault="00076162">
      <w:pPr>
        <w:rPr>
          <w:sz w:val="28"/>
          <w:szCs w:val="28"/>
        </w:rPr>
      </w:pPr>
    </w:p>
    <w:p w14:paraId="0303AC88" w14:textId="77777777" w:rsidR="00076162" w:rsidRDefault="00076162">
      <w:pPr>
        <w:rPr>
          <w:sz w:val="28"/>
          <w:szCs w:val="28"/>
        </w:rPr>
      </w:pPr>
    </w:p>
    <w:p w14:paraId="0AB095FA" w14:textId="77777777" w:rsidR="00076162" w:rsidRDefault="00076162">
      <w:pPr>
        <w:rPr>
          <w:sz w:val="28"/>
          <w:szCs w:val="28"/>
        </w:rPr>
      </w:pPr>
    </w:p>
    <w:p w14:paraId="3376418E" w14:textId="77777777" w:rsidR="00076162" w:rsidRDefault="00000000">
      <w:pPr>
        <w:rPr>
          <w:b/>
          <w:bCs/>
          <w:sz w:val="32"/>
          <w:szCs w:val="32"/>
        </w:rPr>
      </w:pPr>
      <w:r>
        <w:rPr>
          <w:b/>
          <w:bCs/>
          <w:sz w:val="32"/>
          <w:szCs w:val="32"/>
        </w:rPr>
        <w:lastRenderedPageBreak/>
        <w:t>Introduction</w:t>
      </w:r>
    </w:p>
    <w:p w14:paraId="5ABDC518" w14:textId="77777777" w:rsidR="00076162" w:rsidRDefault="00076162">
      <w:pPr>
        <w:rPr>
          <w:sz w:val="40"/>
          <w:szCs w:val="40"/>
        </w:rPr>
      </w:pPr>
    </w:p>
    <w:p w14:paraId="3D3F01C3" w14:textId="77777777" w:rsidR="00076162" w:rsidRDefault="00000000">
      <w:pPr>
        <w:rPr>
          <w:sz w:val="24"/>
          <w:szCs w:val="24"/>
        </w:rPr>
      </w:pPr>
      <w:r>
        <w:rPr>
          <w:sz w:val="24"/>
          <w:szCs w:val="24"/>
        </w:rPr>
        <w:t>The hospitality industry is experiencing rapid transformation driven by technological innovation, workforce shortages, and increasing expectations for inclusive organisational cultures. Luxury hotels such as Four Seasons London must adapt to these pressures while maintaining exceptional service standards that define their brand identity (Banalis &amp; Sinatra, 2019). Human Resource Management (HRM) plays a central role in enabling this adaptation by developing workforce capability, supporting digital change, and fostering an inclusive environment aligned with organisational values (Armstrong &amp; Taylor, 2020).</w:t>
      </w:r>
    </w:p>
    <w:p w14:paraId="353359BA" w14:textId="77777777" w:rsidR="00076162" w:rsidRDefault="00076162">
      <w:pPr>
        <w:rPr>
          <w:sz w:val="28"/>
          <w:szCs w:val="28"/>
        </w:rPr>
      </w:pPr>
    </w:p>
    <w:p w14:paraId="0E05FDC7" w14:textId="77777777" w:rsidR="00076162" w:rsidRDefault="00000000">
      <w:r>
        <w:rPr>
          <w:sz w:val="24"/>
          <w:szCs w:val="24"/>
        </w:rPr>
        <w:t>This report examines three critical HR factors affecting Four Seasons London: technological advancement, talent acquisition and retention, and Diversity, Equity and Inclusion (DEI). These factors are particularly relevant in the UK hospitality sector, which faces acute labour shortages, increasing digitalisation, and legal obligations under the Equality Act 2010 (CIPD, 2022). The report evaluates contemporary HR practices used to address these challenges, drawing on academic literature, industry research, and real</w:t>
      </w:r>
      <w:r>
        <w:rPr>
          <w:rFonts w:ascii="Cambria Math" w:hAnsi="Cambria Math" w:cs="Cambria Math"/>
          <w:sz w:val="24"/>
          <w:szCs w:val="24"/>
        </w:rPr>
        <w:noBreakHyphen/>
      </w:r>
      <w:r>
        <w:rPr>
          <w:sz w:val="24"/>
          <w:szCs w:val="24"/>
        </w:rPr>
        <w:t>world examples from the hospitality sector.</w:t>
      </w:r>
    </w:p>
    <w:p w14:paraId="16E58088" w14:textId="77777777" w:rsidR="00076162" w:rsidRDefault="00076162">
      <w:pPr>
        <w:rPr>
          <w:sz w:val="24"/>
          <w:szCs w:val="24"/>
        </w:rPr>
      </w:pPr>
    </w:p>
    <w:p w14:paraId="7D808E96" w14:textId="77777777" w:rsidR="00076162" w:rsidRDefault="00000000">
      <w:r>
        <w:rPr>
          <w:sz w:val="24"/>
          <w:szCs w:val="24"/>
        </w:rPr>
        <w:t>Furthermore, the report critically analyses how departmental managers can ensure these HR practices are implemented urgently and effectively. Managers are essential in translating HR strategy into operational reality, shaping employee experience, and driving organisational performance (Ulrich, 2016). The report concludes with recommendations to strengthen HR</w:t>
      </w:r>
      <w:r>
        <w:rPr>
          <w:rFonts w:ascii="Cambria Math" w:hAnsi="Cambria Math" w:cs="Cambria Math"/>
          <w:sz w:val="24"/>
          <w:szCs w:val="24"/>
        </w:rPr>
        <w:noBreakHyphen/>
      </w:r>
      <w:r>
        <w:rPr>
          <w:sz w:val="24"/>
          <w:szCs w:val="24"/>
        </w:rPr>
        <w:t>manager collaboration, enhance workforce capability, and support long</w:t>
      </w:r>
      <w:r>
        <w:rPr>
          <w:rFonts w:ascii="Cambria Math" w:hAnsi="Cambria Math" w:cs="Cambria Math"/>
          <w:sz w:val="24"/>
          <w:szCs w:val="24"/>
        </w:rPr>
        <w:noBreakHyphen/>
      </w:r>
      <w:r>
        <w:rPr>
          <w:sz w:val="24"/>
          <w:szCs w:val="24"/>
        </w:rPr>
        <w:t>term organisational success.</w:t>
      </w:r>
    </w:p>
    <w:p w14:paraId="47EAFEA3" w14:textId="77777777" w:rsidR="00076162" w:rsidRDefault="00076162">
      <w:pPr>
        <w:rPr>
          <w:sz w:val="24"/>
          <w:szCs w:val="24"/>
        </w:rPr>
      </w:pPr>
    </w:p>
    <w:p w14:paraId="1D378DA8" w14:textId="77777777" w:rsidR="00076162" w:rsidRDefault="00076162">
      <w:pPr>
        <w:rPr>
          <w:sz w:val="28"/>
          <w:szCs w:val="28"/>
        </w:rPr>
      </w:pPr>
    </w:p>
    <w:p w14:paraId="774222B8" w14:textId="77777777" w:rsidR="00076162" w:rsidRDefault="00076162">
      <w:pPr>
        <w:rPr>
          <w:sz w:val="28"/>
          <w:szCs w:val="28"/>
        </w:rPr>
      </w:pPr>
    </w:p>
    <w:p w14:paraId="3F3AF1FE" w14:textId="77777777" w:rsidR="00076162" w:rsidRDefault="00076162">
      <w:pPr>
        <w:rPr>
          <w:sz w:val="28"/>
          <w:szCs w:val="28"/>
        </w:rPr>
      </w:pPr>
    </w:p>
    <w:p w14:paraId="53626E92" w14:textId="77777777" w:rsidR="00076162" w:rsidRDefault="00076162">
      <w:pPr>
        <w:rPr>
          <w:sz w:val="28"/>
          <w:szCs w:val="28"/>
        </w:rPr>
      </w:pPr>
    </w:p>
    <w:p w14:paraId="0238B3F4" w14:textId="77777777" w:rsidR="00076162" w:rsidRDefault="00076162">
      <w:pPr>
        <w:rPr>
          <w:sz w:val="28"/>
          <w:szCs w:val="28"/>
        </w:rPr>
      </w:pPr>
    </w:p>
    <w:p w14:paraId="545C541B" w14:textId="77777777" w:rsidR="00076162" w:rsidRDefault="00076162">
      <w:pPr>
        <w:rPr>
          <w:sz w:val="28"/>
          <w:szCs w:val="28"/>
        </w:rPr>
      </w:pPr>
    </w:p>
    <w:p w14:paraId="7513800D" w14:textId="77777777" w:rsidR="00076162" w:rsidRDefault="00076162">
      <w:pPr>
        <w:rPr>
          <w:sz w:val="32"/>
          <w:szCs w:val="32"/>
        </w:rPr>
      </w:pPr>
    </w:p>
    <w:p w14:paraId="08246751" w14:textId="77777777" w:rsidR="00076162" w:rsidRDefault="00000000">
      <w:pPr>
        <w:rPr>
          <w:b/>
          <w:bCs/>
          <w:sz w:val="32"/>
          <w:szCs w:val="32"/>
        </w:rPr>
      </w:pPr>
      <w:r>
        <w:rPr>
          <w:b/>
          <w:bCs/>
          <w:sz w:val="32"/>
          <w:szCs w:val="32"/>
        </w:rPr>
        <w:lastRenderedPageBreak/>
        <w:t xml:space="preserve">1.Explanation of Key HR Factors Affecting Four Seasons Hotel London </w:t>
      </w:r>
    </w:p>
    <w:p w14:paraId="779C33D0" w14:textId="77777777" w:rsidR="00076162" w:rsidRDefault="00000000">
      <w:pPr>
        <w:rPr>
          <w:sz w:val="24"/>
          <w:szCs w:val="24"/>
        </w:rPr>
      </w:pPr>
      <w:r>
        <w:rPr>
          <w:sz w:val="24"/>
          <w:szCs w:val="24"/>
        </w:rPr>
        <w:t>The UK hospitality industry is undergoing rapid transformation driven by technological innovation, labour market shortages, and increasing expectations for inclusive workplaces. As a luxury hotel brand, Four Seasons Hotel London must address these HR challenges while maintaining its reputation for exceptional guest service. Three key HR factors—technological advancement, talent acquisition and retention, and Diversity, Equity and Inclusion (DEI)—significantly influence the organisation’s workforce strategy.</w:t>
      </w:r>
    </w:p>
    <w:p w14:paraId="3E7CA4E7" w14:textId="77777777" w:rsidR="00076162" w:rsidRDefault="00076162">
      <w:pPr>
        <w:rPr>
          <w:sz w:val="24"/>
          <w:szCs w:val="24"/>
        </w:rPr>
      </w:pPr>
    </w:p>
    <w:p w14:paraId="4ECF12F3" w14:textId="77777777" w:rsidR="00076162" w:rsidRDefault="00000000">
      <w:pPr>
        <w:rPr>
          <w:b/>
          <w:bCs/>
          <w:sz w:val="28"/>
          <w:szCs w:val="28"/>
        </w:rPr>
      </w:pPr>
      <w:r>
        <w:rPr>
          <w:b/>
          <w:bCs/>
          <w:sz w:val="28"/>
          <w:szCs w:val="28"/>
        </w:rPr>
        <w:t>1.1 Meeting Technological Advancement</w:t>
      </w:r>
    </w:p>
    <w:p w14:paraId="7916D6BB" w14:textId="77777777" w:rsidR="00076162" w:rsidRDefault="00000000">
      <w:r>
        <w:rPr>
          <w:sz w:val="24"/>
          <w:szCs w:val="24"/>
        </w:rPr>
        <w:t>Technological innovation is reshaping hospitality through digital check</w:t>
      </w:r>
      <w:r>
        <w:rPr>
          <w:rFonts w:ascii="Cambria Math" w:hAnsi="Cambria Math" w:cs="Cambria Math"/>
          <w:sz w:val="24"/>
          <w:szCs w:val="24"/>
        </w:rPr>
        <w:noBreakHyphen/>
      </w:r>
      <w:r>
        <w:rPr>
          <w:sz w:val="24"/>
          <w:szCs w:val="24"/>
        </w:rPr>
        <w:t>ins, mobile concierge services, AI</w:t>
      </w:r>
      <w:r>
        <w:rPr>
          <w:rFonts w:ascii="Cambria Math" w:hAnsi="Cambria Math" w:cs="Cambria Math"/>
          <w:sz w:val="24"/>
          <w:szCs w:val="24"/>
        </w:rPr>
        <w:noBreakHyphen/>
      </w:r>
      <w:r>
        <w:rPr>
          <w:sz w:val="24"/>
          <w:szCs w:val="24"/>
        </w:rPr>
        <w:t>driven personalisation, and automated back</w:t>
      </w:r>
      <w:r>
        <w:rPr>
          <w:rFonts w:ascii="Cambria Math" w:hAnsi="Cambria Math" w:cs="Cambria Math"/>
          <w:sz w:val="24"/>
          <w:szCs w:val="24"/>
        </w:rPr>
        <w:noBreakHyphen/>
      </w:r>
      <w:r>
        <w:rPr>
          <w:sz w:val="24"/>
          <w:szCs w:val="24"/>
        </w:rPr>
        <w:t>office systems (Bondar Ouk &amp; Brewster, 2016). Four Seasons London must ensure employees possess the digital skills required to operate these systems while maintaining personalised service. Digital transformation also impacts internal HR processes such as recruitment, training, and performance management (Davis, 1989). The challenge lies in balancing high</w:t>
      </w:r>
      <w:r>
        <w:rPr>
          <w:rFonts w:ascii="Cambria Math" w:hAnsi="Cambria Math" w:cs="Cambria Math"/>
          <w:sz w:val="24"/>
          <w:szCs w:val="24"/>
        </w:rPr>
        <w:noBreakHyphen/>
      </w:r>
      <w:r>
        <w:rPr>
          <w:sz w:val="24"/>
          <w:szCs w:val="24"/>
        </w:rPr>
        <w:t>touch luxury service with high</w:t>
      </w:r>
      <w:r>
        <w:rPr>
          <w:rFonts w:ascii="Cambria Math" w:hAnsi="Cambria Math" w:cs="Cambria Math"/>
          <w:sz w:val="24"/>
          <w:szCs w:val="24"/>
        </w:rPr>
        <w:noBreakHyphen/>
      </w:r>
      <w:r>
        <w:rPr>
          <w:sz w:val="24"/>
          <w:szCs w:val="24"/>
        </w:rPr>
        <w:t>tech operational efficiency.</w:t>
      </w:r>
    </w:p>
    <w:p w14:paraId="7C38B7B2" w14:textId="77777777" w:rsidR="00076162" w:rsidRDefault="00076162">
      <w:pPr>
        <w:rPr>
          <w:sz w:val="24"/>
          <w:szCs w:val="24"/>
        </w:rPr>
      </w:pPr>
    </w:p>
    <w:p w14:paraId="26EC19EE" w14:textId="77777777" w:rsidR="00076162" w:rsidRDefault="00000000">
      <w:pPr>
        <w:rPr>
          <w:b/>
          <w:bCs/>
          <w:sz w:val="32"/>
          <w:szCs w:val="32"/>
        </w:rPr>
      </w:pPr>
      <w:r>
        <w:rPr>
          <w:b/>
          <w:bCs/>
          <w:sz w:val="32"/>
          <w:szCs w:val="32"/>
        </w:rPr>
        <w:t>1.2 Talent Acquisition and Retention</w:t>
      </w:r>
    </w:p>
    <w:p w14:paraId="4AAB9973" w14:textId="77777777" w:rsidR="00076162" w:rsidRDefault="00000000">
      <w:pPr>
        <w:rPr>
          <w:sz w:val="24"/>
          <w:szCs w:val="24"/>
        </w:rPr>
      </w:pPr>
      <w:r>
        <w:rPr>
          <w:sz w:val="24"/>
          <w:szCs w:val="24"/>
        </w:rPr>
        <w:t>The hospitality sector faces persistent labour shortages and high turnover, making talent acquisition and retention critical (Shaw, 2021). Four Seasons must attract employees who can deliver luxury service while retaining experienced staff through competitive rewards, career development, and strong organisational culture. The psychological contract plays a key role, as unmet expectations can lead to disengagement and turnover (Rousseau, 1995).</w:t>
      </w:r>
    </w:p>
    <w:p w14:paraId="342AB063" w14:textId="77777777" w:rsidR="00076162" w:rsidRDefault="00000000">
      <w:pPr>
        <w:rPr>
          <w:b/>
          <w:bCs/>
          <w:sz w:val="32"/>
          <w:szCs w:val="32"/>
        </w:rPr>
      </w:pPr>
      <w:r>
        <w:rPr>
          <w:b/>
          <w:bCs/>
          <w:sz w:val="32"/>
          <w:szCs w:val="32"/>
        </w:rPr>
        <w:t>1.3 Diversity, Equity and Inclusion (DEI)</w:t>
      </w:r>
    </w:p>
    <w:p w14:paraId="64BD971C" w14:textId="77777777" w:rsidR="00076162" w:rsidRDefault="00000000">
      <w:pPr>
        <w:rPr>
          <w:sz w:val="24"/>
          <w:szCs w:val="24"/>
        </w:rPr>
      </w:pPr>
      <w:r>
        <w:rPr>
          <w:sz w:val="24"/>
          <w:szCs w:val="24"/>
        </w:rPr>
        <w:t>DEI is essential for global hospitality brands serving diverse guests. Four Seasons must ensure fair recruitment, equal progression opportunities, and an inclusive culture aligned with the Equality Act 2010 (CIPD, 2022). Inclusive leadership is particularly important, as leaders shape team climate and employee experience (Carmeli et al., 2010).</w:t>
      </w:r>
    </w:p>
    <w:p w14:paraId="585B0282" w14:textId="77777777" w:rsidR="00076162" w:rsidRDefault="00000000">
      <w:pPr>
        <w:rPr>
          <w:b/>
          <w:bCs/>
          <w:sz w:val="32"/>
          <w:szCs w:val="32"/>
        </w:rPr>
      </w:pPr>
      <w:r>
        <w:rPr>
          <w:b/>
          <w:bCs/>
          <w:sz w:val="32"/>
          <w:szCs w:val="32"/>
        </w:rPr>
        <w:t xml:space="preserve">2.Evaluation of Contemporary HR Practices </w:t>
      </w:r>
    </w:p>
    <w:p w14:paraId="367C204D" w14:textId="77777777" w:rsidR="00076162" w:rsidRDefault="00000000">
      <w:pPr>
        <w:rPr>
          <w:b/>
          <w:bCs/>
          <w:sz w:val="28"/>
          <w:szCs w:val="28"/>
        </w:rPr>
      </w:pPr>
      <w:r>
        <w:rPr>
          <w:b/>
          <w:bCs/>
          <w:sz w:val="28"/>
          <w:szCs w:val="28"/>
        </w:rPr>
        <w:t>2.1 HR Practices for Technological Advancement</w:t>
      </w:r>
    </w:p>
    <w:p w14:paraId="52EFF31A" w14:textId="77777777" w:rsidR="00076162" w:rsidRDefault="00000000">
      <w:pPr>
        <w:pStyle w:val="NormalWeb"/>
      </w:pPr>
      <w:r>
        <w:t xml:space="preserve">To address technological change, Four Seasons London can adopt several contemporary HR practices. Digital learning platforms are widely used in hospitality to deliver flexible, scalable training on new systems (Buhari’s &amp; Sinatra, 2019). These platforms allow employees to </w:t>
      </w:r>
      <w:r>
        <w:lastRenderedPageBreak/>
        <w:t>learn at their own pace and revisit content as needed. However, digital learning alone may not be sufficient for employees with low digital confidence. Blended learning—combining online modules with face</w:t>
      </w:r>
      <w:r>
        <w:noBreakHyphen/>
        <w:t>to</w:t>
      </w:r>
      <w:r>
        <w:noBreakHyphen/>
        <w:t>face coaching—has been shown to improve skill acquisition and reduce resistance to change (CIPD, 2023).</w:t>
      </w:r>
    </w:p>
    <w:p w14:paraId="5A4E1113" w14:textId="77777777" w:rsidR="00076162" w:rsidRDefault="00000000">
      <w:pPr>
        <w:pStyle w:val="NormalWeb"/>
      </w:pPr>
      <w:r>
        <w:t>Another effective practice is the use of HR analytics to identify skills gaps and forecast future workforce needs (Bondar Ouk &amp; Brewster, 2016). By analysing performance data, HR can design targeted training programmes and allocate resources more efficiently. Change</w:t>
      </w:r>
      <w:r>
        <w:noBreakHyphen/>
        <w:t>management frameworks, such as Kotter’s 8</w:t>
      </w:r>
      <w:r>
        <w:noBreakHyphen/>
        <w:t>Step Model, can also support technological adoption by providing structured communication, employee involvement, and reinforcement mechanisms.</w:t>
      </w:r>
    </w:p>
    <w:p w14:paraId="7FF1DD91" w14:textId="77777777" w:rsidR="00076162" w:rsidRDefault="00076162">
      <w:pPr>
        <w:rPr>
          <w:b/>
          <w:bCs/>
          <w:sz w:val="28"/>
          <w:szCs w:val="28"/>
        </w:rPr>
      </w:pPr>
    </w:p>
    <w:p w14:paraId="7CCDF171" w14:textId="77777777" w:rsidR="00076162" w:rsidRDefault="00076162">
      <w:pPr>
        <w:rPr>
          <w:b/>
          <w:bCs/>
          <w:sz w:val="28"/>
          <w:szCs w:val="28"/>
        </w:rPr>
      </w:pPr>
    </w:p>
    <w:p w14:paraId="03B4804E" w14:textId="77777777" w:rsidR="00076162" w:rsidRDefault="00000000">
      <w:r>
        <w:rPr>
          <w:sz w:val="24"/>
          <w:szCs w:val="24"/>
        </w:rPr>
        <w:t>Contemporary HR practices include digital learning platforms, blended training, and structured change</w:t>
      </w:r>
      <w:r>
        <w:rPr>
          <w:rFonts w:ascii="Cambria Math" w:hAnsi="Cambria Math" w:cs="Cambria Math"/>
          <w:sz w:val="24"/>
          <w:szCs w:val="24"/>
        </w:rPr>
        <w:noBreakHyphen/>
      </w:r>
      <w:r>
        <w:rPr>
          <w:sz w:val="24"/>
          <w:szCs w:val="24"/>
        </w:rPr>
        <w:t>management programmes. Digital learning supports scalable upskilling but may disadvantage employees with low digital confidence (CIPD, 2023). Blended learning</w:t>
      </w:r>
      <w:r>
        <w:rPr>
          <w:rFonts w:cs="Aptos"/>
          <w:sz w:val="24"/>
          <w:szCs w:val="24"/>
        </w:rPr>
        <w:t>—</w:t>
      </w:r>
      <w:r>
        <w:rPr>
          <w:sz w:val="24"/>
          <w:szCs w:val="24"/>
        </w:rPr>
        <w:t>combining online modules with face</w:t>
      </w:r>
      <w:r>
        <w:rPr>
          <w:rFonts w:ascii="Cambria Math" w:hAnsi="Cambria Math" w:cs="Cambria Math"/>
          <w:sz w:val="24"/>
          <w:szCs w:val="24"/>
        </w:rPr>
        <w:noBreakHyphen/>
      </w:r>
      <w:r>
        <w:rPr>
          <w:sz w:val="24"/>
          <w:szCs w:val="24"/>
        </w:rPr>
        <w:t>to</w:t>
      </w:r>
      <w:r>
        <w:rPr>
          <w:rFonts w:ascii="Cambria Math" w:hAnsi="Cambria Math" w:cs="Cambria Math"/>
          <w:sz w:val="24"/>
          <w:szCs w:val="24"/>
        </w:rPr>
        <w:noBreakHyphen/>
      </w:r>
      <w:r>
        <w:rPr>
          <w:sz w:val="24"/>
          <w:szCs w:val="24"/>
        </w:rPr>
        <w:t>face coaching</w:t>
      </w:r>
      <w:r>
        <w:rPr>
          <w:rFonts w:cs="Aptos"/>
          <w:sz w:val="24"/>
          <w:szCs w:val="24"/>
        </w:rPr>
        <w:t>—</w:t>
      </w:r>
      <w:r>
        <w:rPr>
          <w:sz w:val="24"/>
          <w:szCs w:val="24"/>
        </w:rPr>
        <w:t>can improve adoption (Buhari’s &amp; Sinatra, 2019). HR analytics also help identify skills gaps and forecast future workforce needs (Bondar Ouk &amp; Brewster, 2016).</w:t>
      </w:r>
    </w:p>
    <w:p w14:paraId="3EAAD460" w14:textId="77777777" w:rsidR="00076162" w:rsidRDefault="00076162">
      <w:pPr>
        <w:rPr>
          <w:b/>
          <w:bCs/>
          <w:sz w:val="28"/>
          <w:szCs w:val="28"/>
        </w:rPr>
      </w:pPr>
    </w:p>
    <w:p w14:paraId="3AA24EE0" w14:textId="77777777" w:rsidR="00076162" w:rsidRDefault="00000000">
      <w:pPr>
        <w:rPr>
          <w:b/>
          <w:bCs/>
          <w:sz w:val="28"/>
          <w:szCs w:val="28"/>
        </w:rPr>
      </w:pPr>
      <w:r>
        <w:rPr>
          <w:b/>
          <w:bCs/>
          <w:sz w:val="28"/>
          <w:szCs w:val="28"/>
        </w:rPr>
        <w:t>2.2 HR Practices for Talent Acquisition and Retention</w:t>
      </w:r>
    </w:p>
    <w:p w14:paraId="7FB8C5B5" w14:textId="77777777" w:rsidR="00076162" w:rsidRDefault="00000000">
      <w:r>
        <w:rPr>
          <w:sz w:val="24"/>
          <w:szCs w:val="24"/>
        </w:rPr>
        <w:t>Modern HR practices include employer branding, AI</w:t>
      </w:r>
      <w:r>
        <w:rPr>
          <w:rFonts w:ascii="Cambria Math" w:hAnsi="Cambria Math" w:cs="Cambria Math"/>
          <w:sz w:val="24"/>
          <w:szCs w:val="24"/>
        </w:rPr>
        <w:noBreakHyphen/>
      </w:r>
      <w:r>
        <w:rPr>
          <w:sz w:val="24"/>
          <w:szCs w:val="24"/>
        </w:rPr>
        <w:t>assisted recruitment, flexible working, wellbeing initiatives, and structured career pathways. Employer branding strengthens attraction by communicating organisational values (Backhaus &amp; Tikoo, 2004). Flexible working improves retention but requires operational adjustments in hospitality (Shaw, 2021). High</w:t>
      </w:r>
      <w:r>
        <w:rPr>
          <w:rFonts w:ascii="Cambria Math" w:hAnsi="Cambria Math" w:cs="Cambria Math"/>
          <w:sz w:val="24"/>
          <w:szCs w:val="24"/>
        </w:rPr>
        <w:noBreakHyphen/>
      </w:r>
      <w:r>
        <w:rPr>
          <w:sz w:val="24"/>
          <w:szCs w:val="24"/>
        </w:rPr>
        <w:t>performance work systems, such as development opportunities and employee involvement, enhance engagement and reduce turnover (Huse lid, 1995).</w:t>
      </w:r>
    </w:p>
    <w:p w14:paraId="6E85A4E4" w14:textId="77777777" w:rsidR="00076162" w:rsidRDefault="00076162">
      <w:pPr>
        <w:rPr>
          <w:sz w:val="24"/>
          <w:szCs w:val="24"/>
        </w:rPr>
      </w:pPr>
    </w:p>
    <w:p w14:paraId="1813ADA6" w14:textId="77777777" w:rsidR="00076162" w:rsidRDefault="00076162">
      <w:pPr>
        <w:rPr>
          <w:sz w:val="24"/>
          <w:szCs w:val="24"/>
        </w:rPr>
      </w:pPr>
    </w:p>
    <w:p w14:paraId="45F985A8" w14:textId="77777777" w:rsidR="00076162" w:rsidRDefault="00000000">
      <w:r>
        <w:rPr>
          <w:sz w:val="24"/>
          <w:szCs w:val="24"/>
        </w:rPr>
        <w:t>To begin with, managers must act as change leaders in the adoption of new technologies. Research shows that technological initiatives often fail due to poor communication, lack of training, and employee resistance (Bondar Ouk &amp; Brewster, 2016). Managers can accelerate adoption by modelling digital behaviours, providing hands</w:t>
      </w:r>
      <w:r>
        <w:rPr>
          <w:rFonts w:ascii="Cambria Math" w:hAnsi="Cambria Math" w:cs="Cambria Math"/>
          <w:sz w:val="24"/>
          <w:szCs w:val="24"/>
        </w:rPr>
        <w:noBreakHyphen/>
      </w:r>
      <w:r>
        <w:rPr>
          <w:sz w:val="24"/>
          <w:szCs w:val="24"/>
        </w:rPr>
        <w:t>on coaching, and ensuring employees understand the benefits of new systems. They must also identify digital skills gaps early and collaborate with HR to prioritise targeted training. Without managerial reinforcement, digital learning platforms and change</w:t>
      </w:r>
      <w:r>
        <w:rPr>
          <w:rFonts w:ascii="Cambria Math" w:hAnsi="Cambria Math" w:cs="Cambria Math"/>
          <w:sz w:val="24"/>
          <w:szCs w:val="24"/>
        </w:rPr>
        <w:noBreakHyphen/>
      </w:r>
      <w:r>
        <w:rPr>
          <w:sz w:val="24"/>
          <w:szCs w:val="24"/>
        </w:rPr>
        <w:t>management programmes risk becoming underutilised. Therefore, managers must integrate digital competencies into performance expectations and allocate protected time for staff to engage in training (CIPD, 2023). This creates urgency by linking technological adaptation directly to service quality and operational performance.</w:t>
      </w:r>
    </w:p>
    <w:p w14:paraId="10895B65" w14:textId="77777777" w:rsidR="00076162" w:rsidRDefault="00076162">
      <w:pPr>
        <w:rPr>
          <w:sz w:val="24"/>
          <w:szCs w:val="24"/>
        </w:rPr>
      </w:pPr>
    </w:p>
    <w:p w14:paraId="0083F19C" w14:textId="77777777" w:rsidR="00076162" w:rsidRDefault="00000000">
      <w:pPr>
        <w:rPr>
          <w:b/>
          <w:bCs/>
          <w:sz w:val="32"/>
          <w:szCs w:val="32"/>
        </w:rPr>
      </w:pPr>
      <w:r>
        <w:rPr>
          <w:b/>
          <w:bCs/>
          <w:sz w:val="32"/>
          <w:szCs w:val="32"/>
        </w:rPr>
        <w:t xml:space="preserve">3. Critical Evaluation of How Departmental Managers Can Ensure Contemporary HR Practices Are Implemented Urgently </w:t>
      </w:r>
    </w:p>
    <w:p w14:paraId="60D89ED3" w14:textId="77777777" w:rsidR="00076162" w:rsidRDefault="00076162">
      <w:pPr>
        <w:rPr>
          <w:sz w:val="24"/>
          <w:szCs w:val="24"/>
        </w:rPr>
      </w:pPr>
    </w:p>
    <w:p w14:paraId="7151E47C" w14:textId="77777777" w:rsidR="00076162" w:rsidRDefault="00000000">
      <w:r>
        <w:rPr>
          <w:sz w:val="24"/>
          <w:szCs w:val="24"/>
        </w:rPr>
        <w:t>To begin with, managers must act as change leaders in the adoption of new technologies. Research shows that technological initiatives often fail due to poor communication, lack of training, and employee resistance (Bondar Ouk &amp; Brewster, 2016). Managers can accelerate adoption by modelling digital behaviours, providing hands</w:t>
      </w:r>
      <w:r>
        <w:rPr>
          <w:rFonts w:ascii="Cambria Math" w:hAnsi="Cambria Math" w:cs="Cambria Math"/>
          <w:sz w:val="24"/>
          <w:szCs w:val="24"/>
        </w:rPr>
        <w:noBreakHyphen/>
      </w:r>
      <w:r>
        <w:rPr>
          <w:sz w:val="24"/>
          <w:szCs w:val="24"/>
        </w:rPr>
        <w:t>on coaching, and ensuring employees understand the benefits of new systems. They must also identify digital skills gaps early and collaborate with HR to prioritise targeted training. Without managerial reinforcement, digital learning platforms and change</w:t>
      </w:r>
      <w:r>
        <w:rPr>
          <w:rFonts w:ascii="Cambria Math" w:hAnsi="Cambria Math" w:cs="Cambria Math"/>
          <w:sz w:val="24"/>
          <w:szCs w:val="24"/>
        </w:rPr>
        <w:noBreakHyphen/>
      </w:r>
      <w:r>
        <w:rPr>
          <w:sz w:val="24"/>
          <w:szCs w:val="24"/>
        </w:rPr>
        <w:t>management programmes risk becoming underutilised. Therefore, managers must integrate digital competencies into performance expectations and allocate protected time for staff to engage in training (CIPD, 2023). This creates urgency by linking technological adaptation directly to service quality and operational performance.</w:t>
      </w:r>
    </w:p>
    <w:p w14:paraId="6DB75A90" w14:textId="77777777" w:rsidR="00076162" w:rsidRDefault="00000000">
      <w:r>
        <w:rPr>
          <w:sz w:val="24"/>
          <w:szCs w:val="24"/>
        </w:rPr>
        <w:t>In relation to talent acquisition and retention, departmental managers influence implementation through workplace culture, job design, and employee experience. Contemporary HR practices such as flexible working, wellbeing initiatives, and career development frameworks require managerial ownership to be effective. For example, flexible working policies only create impact when managers redesign rotas, redistribute workloads, and avoid penalising employees who use flexible options (Shaw, 2021). Similarly, retention strategies depend on managers conducting meaningful performance conversations, identifying development opportunities, and recognising achievements. If managers fail to prioritise these practices, HR initiatives remain superficial. To ensure urgency, organisations must embed retention</w:t>
      </w:r>
      <w:r>
        <w:rPr>
          <w:rFonts w:ascii="Cambria Math" w:hAnsi="Cambria Math" w:cs="Cambria Math"/>
          <w:sz w:val="24"/>
          <w:szCs w:val="24"/>
        </w:rPr>
        <w:noBreakHyphen/>
      </w:r>
      <w:r>
        <w:rPr>
          <w:sz w:val="24"/>
          <w:szCs w:val="24"/>
        </w:rPr>
        <w:t>related KPIs into managerial performance metrics, such as turnover rates, internal promotions, and engagement scores (Hustled, 1995). This creates a direct incentive for managers to implement HR practices consistently and promptly.</w:t>
      </w:r>
    </w:p>
    <w:p w14:paraId="2E1A2759" w14:textId="77777777" w:rsidR="00076162" w:rsidRDefault="00076162">
      <w:pPr>
        <w:rPr>
          <w:sz w:val="24"/>
          <w:szCs w:val="24"/>
        </w:rPr>
      </w:pPr>
    </w:p>
    <w:p w14:paraId="3C643D80" w14:textId="77777777" w:rsidR="00076162" w:rsidRDefault="00000000">
      <w:pPr>
        <w:rPr>
          <w:sz w:val="24"/>
          <w:szCs w:val="24"/>
        </w:rPr>
      </w:pPr>
      <w:r>
        <w:rPr>
          <w:sz w:val="24"/>
          <w:szCs w:val="24"/>
        </w:rPr>
        <w:t>Regarding DEI, departmental managers are the primary drivers of inclusive behaviour. While HR can provide training and policy frameworks, inclusion is enacted through everyday decisions—recruitment choices, task allocation, conflict resolution, and communication style. Managers must challenge bias, ensure fair access to opportunities, and create psychologically safe environments (Carmela et al., 2010). To ensure urgent implementation, Four Seasons should require managers to produce DEI action plans aligned with departmental needs, supported by regular reporting on diversity data, recruitment outcomes, and progression patterns. Mandatory DEI objectives within annual appraisals can further reinforce accountability. Managers must also engage with employee resource groups and encourage staff participation, signalling that DEI is not optional but integral to departmental success.</w:t>
      </w:r>
    </w:p>
    <w:p w14:paraId="6C982BDE" w14:textId="77777777" w:rsidR="00076162" w:rsidRDefault="00076162">
      <w:pPr>
        <w:rPr>
          <w:sz w:val="24"/>
          <w:szCs w:val="24"/>
        </w:rPr>
      </w:pPr>
    </w:p>
    <w:p w14:paraId="24D7D1B8" w14:textId="77777777" w:rsidR="00076162" w:rsidRDefault="00000000">
      <w:r>
        <w:rPr>
          <w:sz w:val="24"/>
          <w:szCs w:val="24"/>
        </w:rPr>
        <w:t>Ultimately, effective implementation requires strong collaboration between HR and departmental managers. Managers must escalate barriers quickly, provide feedback on policy effectiveness, and request additional support where needed. HR, in turn, must equip managers with practical tools, coaching, and real</w:t>
      </w:r>
      <w:r>
        <w:rPr>
          <w:rFonts w:ascii="Cambria Math" w:hAnsi="Cambria Math" w:cs="Cambria Math"/>
          <w:sz w:val="24"/>
          <w:szCs w:val="24"/>
        </w:rPr>
        <w:noBreakHyphen/>
      </w:r>
      <w:r>
        <w:rPr>
          <w:sz w:val="24"/>
          <w:szCs w:val="24"/>
        </w:rPr>
        <w:t>time data. Without this partnership, even well</w:t>
      </w:r>
      <w:r>
        <w:rPr>
          <w:rFonts w:ascii="Cambria Math" w:hAnsi="Cambria Math" w:cs="Cambria Math"/>
          <w:sz w:val="24"/>
          <w:szCs w:val="24"/>
        </w:rPr>
        <w:noBreakHyphen/>
      </w:r>
      <w:r>
        <w:rPr>
          <w:sz w:val="24"/>
          <w:szCs w:val="24"/>
        </w:rPr>
        <w:t>designed HR practices may fail to deliver meaningful impact. Therefore, managerial capability, accountability, and communication are essential for ensuring contemporary HR practices are implemented with urgency and consistency.</w:t>
      </w:r>
    </w:p>
    <w:p w14:paraId="0695533E" w14:textId="77777777" w:rsidR="00076162" w:rsidRDefault="00076162">
      <w:pPr>
        <w:rPr>
          <w:sz w:val="24"/>
          <w:szCs w:val="24"/>
        </w:rPr>
      </w:pPr>
    </w:p>
    <w:p w14:paraId="29A72B5F" w14:textId="77777777" w:rsidR="00076162" w:rsidRDefault="00076162">
      <w:pPr>
        <w:rPr>
          <w:sz w:val="24"/>
          <w:szCs w:val="24"/>
        </w:rPr>
      </w:pPr>
    </w:p>
    <w:p w14:paraId="0D3797AF" w14:textId="77777777" w:rsidR="00076162" w:rsidRDefault="00076162">
      <w:pPr>
        <w:rPr>
          <w:sz w:val="24"/>
          <w:szCs w:val="24"/>
        </w:rPr>
      </w:pPr>
    </w:p>
    <w:p w14:paraId="28C2C295" w14:textId="77777777" w:rsidR="00076162" w:rsidRDefault="00000000">
      <w:pPr>
        <w:rPr>
          <w:b/>
          <w:bCs/>
          <w:sz w:val="32"/>
          <w:szCs w:val="32"/>
        </w:rPr>
      </w:pPr>
      <w:r>
        <w:rPr>
          <w:b/>
          <w:bCs/>
          <w:sz w:val="32"/>
          <w:szCs w:val="32"/>
        </w:rPr>
        <w:t xml:space="preserve">Recommendations </w:t>
      </w:r>
    </w:p>
    <w:p w14:paraId="52AF95D6" w14:textId="77777777" w:rsidR="00076162" w:rsidRDefault="00000000">
      <w:r>
        <w:rPr>
          <w:sz w:val="24"/>
          <w:szCs w:val="24"/>
        </w:rPr>
        <w:t>To strengthen HR implementation and organisational performance, several recommendations are proposed. First, Four Seasons should enhance digital capability by providing blended learning programmes and allocating protected time for employees to complete training. This will support technological adoption and reduce resistance. Second, the organisation should strengthen employer branding through targeted recruitment campaigns, partnerships with hospitality schools, and showcasing career progression opportunities to attract high</w:t>
      </w:r>
      <w:r>
        <w:rPr>
          <w:rFonts w:ascii="Cambria Math" w:hAnsi="Cambria Math" w:cs="Cambria Math"/>
          <w:sz w:val="24"/>
          <w:szCs w:val="24"/>
        </w:rPr>
        <w:noBreakHyphen/>
      </w:r>
      <w:r>
        <w:rPr>
          <w:sz w:val="24"/>
          <w:szCs w:val="24"/>
        </w:rPr>
        <w:t>quality talent. Third, Four Seasons should implement inclusive leadership training to equip managers with the skills needed to foster diverse and psychologically safe teams. This training should be reinforced with DEI</w:t>
      </w:r>
      <w:r>
        <w:rPr>
          <w:rFonts w:ascii="Cambria Math" w:hAnsi="Cambria Math" w:cs="Cambria Math"/>
          <w:sz w:val="24"/>
          <w:szCs w:val="24"/>
        </w:rPr>
        <w:noBreakHyphen/>
      </w:r>
      <w:r>
        <w:rPr>
          <w:sz w:val="24"/>
          <w:szCs w:val="24"/>
        </w:rPr>
        <w:t>related KPIs to ensure accountability.</w:t>
      </w:r>
    </w:p>
    <w:p w14:paraId="35140610" w14:textId="77777777" w:rsidR="00076162" w:rsidRDefault="00076162">
      <w:pPr>
        <w:rPr>
          <w:sz w:val="24"/>
          <w:szCs w:val="24"/>
        </w:rPr>
      </w:pPr>
    </w:p>
    <w:p w14:paraId="5C396D0D" w14:textId="77777777" w:rsidR="00076162" w:rsidRDefault="00000000">
      <w:r>
        <w:rPr>
          <w:sz w:val="24"/>
          <w:szCs w:val="24"/>
        </w:rPr>
        <w:t>Fourth, the organisation should introduce managerial performance metrics linked to retention, digital adoption, and DEI outcomes. This will incentivise managers to prioritise HR initiatives and ensure consistent implementation. Fifth, HR and departmental managers should engage in regular collaboration, supported by shared dashboards, feedback loops, and joint problem</w:t>
      </w:r>
      <w:r>
        <w:rPr>
          <w:rFonts w:ascii="Cambria Math" w:hAnsi="Cambria Math" w:cs="Cambria Math"/>
          <w:sz w:val="24"/>
          <w:szCs w:val="24"/>
        </w:rPr>
        <w:noBreakHyphen/>
      </w:r>
      <w:r>
        <w:rPr>
          <w:sz w:val="24"/>
          <w:szCs w:val="24"/>
        </w:rPr>
        <w:t>solving sessions. Finally, Four Seasons should expand wellbeing initiatives, including mental health support and financial wellbeing programmes, to enhance employee engagement and reduce turnover. Collectively, these recommendations will strengthen HR</w:t>
      </w:r>
      <w:r>
        <w:rPr>
          <w:rFonts w:ascii="Cambria Math" w:hAnsi="Cambria Math" w:cs="Cambria Math"/>
          <w:sz w:val="24"/>
          <w:szCs w:val="24"/>
        </w:rPr>
        <w:noBreakHyphen/>
      </w:r>
      <w:r>
        <w:rPr>
          <w:sz w:val="24"/>
          <w:szCs w:val="24"/>
        </w:rPr>
        <w:t>manager alignment and support long</w:t>
      </w:r>
      <w:r>
        <w:rPr>
          <w:rFonts w:ascii="Cambria Math" w:hAnsi="Cambria Math" w:cs="Cambria Math"/>
          <w:sz w:val="24"/>
          <w:szCs w:val="24"/>
        </w:rPr>
        <w:noBreakHyphen/>
      </w:r>
      <w:r>
        <w:rPr>
          <w:sz w:val="24"/>
          <w:szCs w:val="24"/>
        </w:rPr>
        <w:t>term organisational success.</w:t>
      </w:r>
    </w:p>
    <w:p w14:paraId="22197260" w14:textId="77777777" w:rsidR="00076162" w:rsidRDefault="00076162">
      <w:pPr>
        <w:rPr>
          <w:sz w:val="24"/>
          <w:szCs w:val="24"/>
        </w:rPr>
      </w:pPr>
    </w:p>
    <w:p w14:paraId="2B9D1AB4" w14:textId="77777777" w:rsidR="00483011" w:rsidRDefault="00483011">
      <w:pPr>
        <w:rPr>
          <w:sz w:val="24"/>
          <w:szCs w:val="24"/>
        </w:rPr>
      </w:pPr>
    </w:p>
    <w:p w14:paraId="7DECEDD5" w14:textId="77777777" w:rsidR="00483011" w:rsidRDefault="00483011">
      <w:pPr>
        <w:rPr>
          <w:sz w:val="24"/>
          <w:szCs w:val="24"/>
        </w:rPr>
      </w:pPr>
    </w:p>
    <w:p w14:paraId="42165CB9" w14:textId="77777777" w:rsidR="00483011" w:rsidRDefault="00483011">
      <w:pPr>
        <w:rPr>
          <w:sz w:val="24"/>
          <w:szCs w:val="24"/>
        </w:rPr>
      </w:pPr>
    </w:p>
    <w:p w14:paraId="05693FF2" w14:textId="77777777" w:rsidR="00483011" w:rsidRDefault="00483011">
      <w:pPr>
        <w:rPr>
          <w:sz w:val="24"/>
          <w:szCs w:val="24"/>
        </w:rPr>
      </w:pPr>
    </w:p>
    <w:p w14:paraId="4545A0DF" w14:textId="77777777" w:rsidR="00076162" w:rsidRDefault="00000000">
      <w:pPr>
        <w:rPr>
          <w:b/>
          <w:bCs/>
          <w:sz w:val="32"/>
          <w:szCs w:val="32"/>
        </w:rPr>
      </w:pPr>
      <w:r>
        <w:rPr>
          <w:b/>
          <w:bCs/>
          <w:sz w:val="32"/>
          <w:szCs w:val="32"/>
        </w:rPr>
        <w:lastRenderedPageBreak/>
        <w:t xml:space="preserve">Conclusion </w:t>
      </w:r>
    </w:p>
    <w:p w14:paraId="1B39563E" w14:textId="77777777" w:rsidR="00076162" w:rsidRDefault="00076162">
      <w:pPr>
        <w:rPr>
          <w:sz w:val="24"/>
          <w:szCs w:val="24"/>
        </w:rPr>
      </w:pPr>
    </w:p>
    <w:p w14:paraId="01AE4A17" w14:textId="77777777" w:rsidR="00076162" w:rsidRDefault="00000000">
      <w:r>
        <w:rPr>
          <w:sz w:val="24"/>
          <w:szCs w:val="24"/>
        </w:rPr>
        <w:t>Four Seasons Hotel London faces significant HR challenges driven by rapid technological change, persistent labour shortages, and increasing expectations surrounding Diversity, Equity and Inclusion (DEI). These pressures require the organisation to adopt agile and forward</w:t>
      </w:r>
      <w:r>
        <w:rPr>
          <w:rFonts w:ascii="Cambria Math" w:hAnsi="Cambria Math" w:cs="Cambria Math"/>
          <w:sz w:val="24"/>
          <w:szCs w:val="24"/>
        </w:rPr>
        <w:noBreakHyphen/>
      </w:r>
      <w:r>
        <w:rPr>
          <w:sz w:val="24"/>
          <w:szCs w:val="24"/>
        </w:rPr>
        <w:t>thinking HR strategies that support both operational efficiency and service excellence. Contemporary HR practices</w:t>
      </w:r>
      <w:r>
        <w:rPr>
          <w:rFonts w:cs="Aptos"/>
          <w:sz w:val="24"/>
          <w:szCs w:val="24"/>
        </w:rPr>
        <w:t>—</w:t>
      </w:r>
      <w:r>
        <w:rPr>
          <w:sz w:val="24"/>
          <w:szCs w:val="24"/>
        </w:rPr>
        <w:t>such as digital learning platforms, employer branding initiatives, flexible working arrangements, wellbeing programmes, and inclusive leadership development—provide effective mechanisms for addressing these issues and enhancing workforce capability. However, the success of these practices is not guaranteed; it depends heavily on the commitment and competence of departmental managers, who serve as the critical link between HR strategy and employee experience.</w:t>
      </w:r>
    </w:p>
    <w:p w14:paraId="165D055D" w14:textId="77777777" w:rsidR="00076162" w:rsidRDefault="00076162">
      <w:pPr>
        <w:rPr>
          <w:sz w:val="24"/>
          <w:szCs w:val="24"/>
        </w:rPr>
      </w:pPr>
    </w:p>
    <w:p w14:paraId="09A36C53" w14:textId="77777777" w:rsidR="00076162" w:rsidRDefault="00000000">
      <w:r>
        <w:rPr>
          <w:sz w:val="24"/>
          <w:szCs w:val="24"/>
        </w:rPr>
        <w:t>Managers must champion organisational change, reinforce new behaviours, and ensure consistent application of HR policies across all departments. Their ability to communicate expectations, provide coaching, and model inclusive and digitally confident behaviours directly influences employee engagement and adoption of new practices. Without strong managerial leadership, even well</w:t>
      </w:r>
      <w:r>
        <w:rPr>
          <w:rFonts w:ascii="Cambria Math" w:hAnsi="Cambria Math" w:cs="Cambria Math"/>
          <w:sz w:val="24"/>
          <w:szCs w:val="24"/>
        </w:rPr>
        <w:noBreakHyphen/>
      </w:r>
      <w:r>
        <w:rPr>
          <w:sz w:val="24"/>
          <w:szCs w:val="24"/>
        </w:rPr>
        <w:t>designed HR initiatives risk becoming fragmented or symbolic rather than transformative.</w:t>
      </w:r>
    </w:p>
    <w:p w14:paraId="5D7F64B9" w14:textId="77777777" w:rsidR="00076162" w:rsidRDefault="00076162">
      <w:pPr>
        <w:rPr>
          <w:sz w:val="24"/>
          <w:szCs w:val="24"/>
        </w:rPr>
      </w:pPr>
    </w:p>
    <w:p w14:paraId="7B47EC5D" w14:textId="77777777" w:rsidR="00076162" w:rsidRDefault="00000000">
      <w:r>
        <w:rPr>
          <w:sz w:val="24"/>
          <w:szCs w:val="24"/>
        </w:rPr>
        <w:t>Addressing these HR challenges with urgency is essential for Four Seasons to maintain its reputation for exceptional service, strengthen employee retention, and sustain competitive advantage within the luxury hospitality sector. A coordinated approach between HR and departmental managers will be vital in achieving long</w:t>
      </w:r>
      <w:r>
        <w:rPr>
          <w:rFonts w:ascii="Cambria Math" w:hAnsi="Cambria Math" w:cs="Cambria Math"/>
          <w:sz w:val="24"/>
          <w:szCs w:val="24"/>
        </w:rPr>
        <w:noBreakHyphen/>
      </w:r>
      <w:r>
        <w:rPr>
          <w:sz w:val="24"/>
          <w:szCs w:val="24"/>
        </w:rPr>
        <w:t>term organisational success.</w:t>
      </w:r>
    </w:p>
    <w:p w14:paraId="11439FDA" w14:textId="77777777" w:rsidR="00076162" w:rsidRDefault="00076162">
      <w:pPr>
        <w:rPr>
          <w:sz w:val="24"/>
          <w:szCs w:val="24"/>
        </w:rPr>
      </w:pPr>
    </w:p>
    <w:p w14:paraId="6A582F9B" w14:textId="77777777" w:rsidR="00076162" w:rsidRDefault="00076162">
      <w:pPr>
        <w:rPr>
          <w:sz w:val="24"/>
          <w:szCs w:val="24"/>
        </w:rPr>
      </w:pPr>
    </w:p>
    <w:p w14:paraId="54273D1A" w14:textId="77777777" w:rsidR="00076162" w:rsidRDefault="00076162">
      <w:pPr>
        <w:rPr>
          <w:sz w:val="24"/>
          <w:szCs w:val="24"/>
        </w:rPr>
      </w:pPr>
    </w:p>
    <w:p w14:paraId="005FE897" w14:textId="77777777" w:rsidR="00076162" w:rsidRDefault="00076162">
      <w:pPr>
        <w:rPr>
          <w:sz w:val="24"/>
          <w:szCs w:val="24"/>
        </w:rPr>
      </w:pPr>
    </w:p>
    <w:p w14:paraId="7A6A89AC" w14:textId="77777777" w:rsidR="00076162" w:rsidRDefault="00076162">
      <w:pPr>
        <w:rPr>
          <w:sz w:val="24"/>
          <w:szCs w:val="24"/>
        </w:rPr>
      </w:pPr>
    </w:p>
    <w:p w14:paraId="64307AC1" w14:textId="77777777" w:rsidR="00076162" w:rsidRDefault="00076162">
      <w:pPr>
        <w:rPr>
          <w:sz w:val="24"/>
          <w:szCs w:val="24"/>
        </w:rPr>
      </w:pPr>
    </w:p>
    <w:p w14:paraId="32E21C4D" w14:textId="77777777" w:rsidR="00076162" w:rsidRDefault="00076162">
      <w:pPr>
        <w:rPr>
          <w:sz w:val="24"/>
          <w:szCs w:val="24"/>
        </w:rPr>
      </w:pPr>
    </w:p>
    <w:p w14:paraId="276475D0" w14:textId="77777777" w:rsidR="00076162" w:rsidRDefault="00076162">
      <w:pPr>
        <w:rPr>
          <w:sz w:val="24"/>
          <w:szCs w:val="24"/>
        </w:rPr>
      </w:pPr>
    </w:p>
    <w:p w14:paraId="54087D1C" w14:textId="77777777" w:rsidR="00076162" w:rsidRDefault="00076162">
      <w:pPr>
        <w:rPr>
          <w:sz w:val="24"/>
          <w:szCs w:val="24"/>
        </w:rPr>
      </w:pPr>
    </w:p>
    <w:p w14:paraId="588FE4E8" w14:textId="77777777" w:rsidR="00483011" w:rsidRDefault="00483011">
      <w:pPr>
        <w:rPr>
          <w:sz w:val="24"/>
          <w:szCs w:val="24"/>
        </w:rPr>
      </w:pPr>
    </w:p>
    <w:p w14:paraId="6D733D2E" w14:textId="77777777" w:rsidR="00483011" w:rsidRDefault="00483011">
      <w:pPr>
        <w:rPr>
          <w:sz w:val="24"/>
          <w:szCs w:val="24"/>
        </w:rPr>
      </w:pPr>
    </w:p>
    <w:p w14:paraId="6B0AC43C" w14:textId="77777777" w:rsidR="00483011" w:rsidRDefault="00483011">
      <w:pPr>
        <w:rPr>
          <w:sz w:val="24"/>
          <w:szCs w:val="24"/>
        </w:rPr>
      </w:pPr>
    </w:p>
    <w:p w14:paraId="6C14A7B7" w14:textId="77777777" w:rsidR="00483011" w:rsidRDefault="00483011">
      <w:pPr>
        <w:rPr>
          <w:sz w:val="24"/>
          <w:szCs w:val="24"/>
        </w:rPr>
      </w:pPr>
    </w:p>
    <w:p w14:paraId="64B47F20" w14:textId="77777777" w:rsidR="00076162" w:rsidRDefault="00076162">
      <w:pPr>
        <w:rPr>
          <w:sz w:val="24"/>
          <w:szCs w:val="24"/>
        </w:rPr>
      </w:pPr>
    </w:p>
    <w:p w14:paraId="7B7DD44D" w14:textId="77777777" w:rsidR="00076162" w:rsidRDefault="00000000">
      <w:pPr>
        <w:rPr>
          <w:b/>
          <w:bCs/>
          <w:sz w:val="32"/>
          <w:szCs w:val="32"/>
        </w:rPr>
      </w:pPr>
      <w:r>
        <w:rPr>
          <w:b/>
          <w:bCs/>
          <w:sz w:val="32"/>
          <w:szCs w:val="32"/>
        </w:rPr>
        <w:t>References</w:t>
      </w:r>
    </w:p>
    <w:p w14:paraId="25467A79" w14:textId="77777777" w:rsidR="00076162" w:rsidRDefault="00076162">
      <w:pPr>
        <w:rPr>
          <w:sz w:val="24"/>
          <w:szCs w:val="24"/>
        </w:rPr>
      </w:pPr>
    </w:p>
    <w:p w14:paraId="1BD52809" w14:textId="77777777" w:rsidR="00076162" w:rsidRDefault="00000000">
      <w:pPr>
        <w:rPr>
          <w:sz w:val="24"/>
          <w:szCs w:val="24"/>
        </w:rPr>
      </w:pPr>
      <w:r>
        <w:rPr>
          <w:sz w:val="24"/>
          <w:szCs w:val="24"/>
        </w:rPr>
        <w:t>Armstrong, M. and Taylor, S. (2020) Armstrong’s Handbook of Human Resource Management Practice. London: Kogan Page.</w:t>
      </w:r>
    </w:p>
    <w:p w14:paraId="5B6D9DF6" w14:textId="77777777" w:rsidR="00076162" w:rsidRDefault="00000000">
      <w:pPr>
        <w:rPr>
          <w:sz w:val="24"/>
          <w:szCs w:val="24"/>
        </w:rPr>
      </w:pPr>
      <w:r>
        <w:rPr>
          <w:sz w:val="24"/>
          <w:szCs w:val="24"/>
        </w:rPr>
        <w:t>Backhaus, K. and Tiko, S. (2004) ‘Employer branding’, Career Development International, 9(5), pp. 501–517.</w:t>
      </w:r>
    </w:p>
    <w:p w14:paraId="1751C527" w14:textId="77777777" w:rsidR="00076162" w:rsidRDefault="00000000">
      <w:pPr>
        <w:rPr>
          <w:sz w:val="24"/>
          <w:szCs w:val="24"/>
        </w:rPr>
      </w:pPr>
      <w:r>
        <w:rPr>
          <w:sz w:val="24"/>
          <w:szCs w:val="24"/>
        </w:rPr>
        <w:t>Bondar Ouk, T. and Brewster, C. (2016) ‘HRM and technology research’, International Journal of HRM, 27(21), pp. 2652–2671.</w:t>
      </w:r>
    </w:p>
    <w:p w14:paraId="37053A64" w14:textId="77777777" w:rsidR="00076162" w:rsidRDefault="00000000">
      <w:r>
        <w:rPr>
          <w:sz w:val="24"/>
          <w:szCs w:val="24"/>
        </w:rPr>
        <w:t>Buhari's, D. and Sinatra, Y. (2019) ‘Real</w:t>
      </w:r>
      <w:r>
        <w:rPr>
          <w:rFonts w:ascii="Cambria Math" w:hAnsi="Cambria Math" w:cs="Cambria Math"/>
          <w:sz w:val="24"/>
          <w:szCs w:val="24"/>
        </w:rPr>
        <w:noBreakHyphen/>
      </w:r>
      <w:r>
        <w:rPr>
          <w:sz w:val="24"/>
          <w:szCs w:val="24"/>
        </w:rPr>
        <w:t>time co</w:t>
      </w:r>
      <w:r>
        <w:rPr>
          <w:rFonts w:ascii="Cambria Math" w:hAnsi="Cambria Math" w:cs="Cambria Math"/>
          <w:sz w:val="24"/>
          <w:szCs w:val="24"/>
        </w:rPr>
        <w:noBreakHyphen/>
      </w:r>
      <w:r>
        <w:rPr>
          <w:sz w:val="24"/>
          <w:szCs w:val="24"/>
        </w:rPr>
        <w:t>creation</w:t>
      </w:r>
      <w:r>
        <w:rPr>
          <w:rFonts w:cs="Aptos"/>
          <w:sz w:val="24"/>
          <w:szCs w:val="24"/>
        </w:rPr>
        <w:t>’</w:t>
      </w:r>
      <w:r>
        <w:rPr>
          <w:sz w:val="24"/>
          <w:szCs w:val="24"/>
        </w:rPr>
        <w:t>, Tourism Management, 74, pp. 55</w:t>
      </w:r>
      <w:r>
        <w:rPr>
          <w:rFonts w:cs="Aptos"/>
          <w:sz w:val="24"/>
          <w:szCs w:val="24"/>
        </w:rPr>
        <w:t>–</w:t>
      </w:r>
      <w:r>
        <w:rPr>
          <w:sz w:val="24"/>
          <w:szCs w:val="24"/>
        </w:rPr>
        <w:t>67.</w:t>
      </w:r>
    </w:p>
    <w:p w14:paraId="5E9DE445" w14:textId="77777777" w:rsidR="00076162" w:rsidRDefault="00000000">
      <w:pPr>
        <w:rPr>
          <w:sz w:val="24"/>
          <w:szCs w:val="24"/>
        </w:rPr>
      </w:pPr>
      <w:r>
        <w:rPr>
          <w:sz w:val="24"/>
          <w:szCs w:val="24"/>
        </w:rPr>
        <w:t>Carmela, A. et al. (2010) ‘Inclusive leadership’, Leadership Quarterly, 21(3), pp. 443–458.</w:t>
      </w:r>
    </w:p>
    <w:p w14:paraId="6A4B1204" w14:textId="77777777" w:rsidR="00076162" w:rsidRDefault="00000000">
      <w:pPr>
        <w:rPr>
          <w:sz w:val="24"/>
          <w:szCs w:val="24"/>
        </w:rPr>
      </w:pPr>
      <w:r>
        <w:rPr>
          <w:sz w:val="24"/>
          <w:szCs w:val="24"/>
        </w:rPr>
        <w:t>CIPD (2022) Diversity and Inclusion in the Workplace. London: CIPD.</w:t>
      </w:r>
    </w:p>
    <w:p w14:paraId="5CFF1352" w14:textId="77777777" w:rsidR="00076162" w:rsidRDefault="00000000">
      <w:pPr>
        <w:rPr>
          <w:sz w:val="24"/>
          <w:szCs w:val="24"/>
        </w:rPr>
      </w:pPr>
      <w:r>
        <w:rPr>
          <w:sz w:val="24"/>
          <w:szCs w:val="24"/>
        </w:rPr>
        <w:t>CIPD (2023) Resourcing and Talent Planning Survey. London: CIPD.</w:t>
      </w:r>
    </w:p>
    <w:p w14:paraId="409511E5" w14:textId="77777777" w:rsidR="00076162" w:rsidRDefault="00000000">
      <w:pPr>
        <w:rPr>
          <w:sz w:val="24"/>
          <w:szCs w:val="24"/>
        </w:rPr>
      </w:pPr>
      <w:r>
        <w:rPr>
          <w:sz w:val="24"/>
          <w:szCs w:val="24"/>
        </w:rPr>
        <w:t>Davis, F. (1989) ‘Technology acceptance model’, MIS Quarterly, 13(3), pp. 319–340.</w:t>
      </w:r>
    </w:p>
    <w:p w14:paraId="31DC679E" w14:textId="77777777" w:rsidR="00076162" w:rsidRDefault="00000000">
      <w:pPr>
        <w:rPr>
          <w:sz w:val="24"/>
          <w:szCs w:val="24"/>
        </w:rPr>
      </w:pPr>
      <w:r>
        <w:rPr>
          <w:sz w:val="24"/>
          <w:szCs w:val="24"/>
        </w:rPr>
        <w:t>Bustled, M. (1995) ‘HRM practices and performance’, Academy of Management Journal, 38(3), pp. 635–672.</w:t>
      </w:r>
    </w:p>
    <w:p w14:paraId="6F7FE1AD" w14:textId="77777777" w:rsidR="00076162" w:rsidRDefault="00000000">
      <w:pPr>
        <w:rPr>
          <w:sz w:val="24"/>
          <w:szCs w:val="24"/>
        </w:rPr>
      </w:pPr>
      <w:r>
        <w:rPr>
          <w:sz w:val="24"/>
          <w:szCs w:val="24"/>
        </w:rPr>
        <w:t>McKinsey &amp; Company (2020) Diversity Wins. McKinsey Insights.</w:t>
      </w:r>
    </w:p>
    <w:p w14:paraId="18019C6A" w14:textId="77777777" w:rsidR="00076162" w:rsidRDefault="00000000">
      <w:pPr>
        <w:rPr>
          <w:sz w:val="24"/>
          <w:szCs w:val="24"/>
        </w:rPr>
      </w:pPr>
      <w:r>
        <w:rPr>
          <w:sz w:val="24"/>
          <w:szCs w:val="24"/>
        </w:rPr>
        <w:t>Rousseau, D. (1995) Psychological Contracts in Organisations. Sage.</w:t>
      </w:r>
    </w:p>
    <w:p w14:paraId="10DA5E03" w14:textId="77777777" w:rsidR="00076162" w:rsidRDefault="00000000">
      <w:pPr>
        <w:rPr>
          <w:sz w:val="24"/>
          <w:szCs w:val="24"/>
        </w:rPr>
      </w:pPr>
      <w:r>
        <w:rPr>
          <w:sz w:val="24"/>
          <w:szCs w:val="24"/>
        </w:rPr>
        <w:t>Shaw, J. (2021) ‘Employee retention strategies’, HRM Review, 31(4), pp. 100–112.</w:t>
      </w:r>
    </w:p>
    <w:p w14:paraId="245541DA" w14:textId="77777777" w:rsidR="00076162" w:rsidRDefault="00000000">
      <w:r>
        <w:rPr>
          <w:sz w:val="24"/>
          <w:szCs w:val="24"/>
        </w:rPr>
        <w:t>Ulrich, D. (2016) HR from the Outside In. McGraw</w:t>
      </w:r>
      <w:r>
        <w:rPr>
          <w:rFonts w:ascii="Cambria Math" w:hAnsi="Cambria Math" w:cs="Cambria Math"/>
          <w:sz w:val="24"/>
          <w:szCs w:val="24"/>
        </w:rPr>
        <w:noBreakHyphen/>
      </w:r>
      <w:r>
        <w:rPr>
          <w:sz w:val="24"/>
          <w:szCs w:val="24"/>
        </w:rPr>
        <w:t>Hill.</w:t>
      </w:r>
    </w:p>
    <w:sectPr w:rsidR="00076162">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A6E971" w14:textId="77777777" w:rsidR="00B2141C" w:rsidRDefault="00B2141C">
      <w:pPr>
        <w:spacing w:after="0" w:line="240" w:lineRule="auto"/>
      </w:pPr>
      <w:r>
        <w:separator/>
      </w:r>
    </w:p>
  </w:endnote>
  <w:endnote w:type="continuationSeparator" w:id="0">
    <w:p w14:paraId="65C51E80" w14:textId="77777777" w:rsidR="00B2141C" w:rsidRDefault="00B214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B81817" w14:textId="77777777" w:rsidR="00B2141C" w:rsidRDefault="00B2141C">
      <w:pPr>
        <w:spacing w:after="0" w:line="240" w:lineRule="auto"/>
      </w:pPr>
      <w:r>
        <w:rPr>
          <w:color w:val="000000"/>
        </w:rPr>
        <w:separator/>
      </w:r>
    </w:p>
  </w:footnote>
  <w:footnote w:type="continuationSeparator" w:id="0">
    <w:p w14:paraId="595FFCCB" w14:textId="77777777" w:rsidR="00B2141C" w:rsidRDefault="00B2141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useWord2013TrackBottomHyphenation" w:uri="http://schemas.microsoft.com/office/word" w:val="1"/>
  </w:compat>
  <w:rsids>
    <w:rsidRoot w:val="00076162"/>
    <w:rsid w:val="00076162"/>
    <w:rsid w:val="00483011"/>
    <w:rsid w:val="006F7F60"/>
    <w:rsid w:val="008C1806"/>
    <w:rsid w:val="00B2141C"/>
    <w:rsid w:val="00E54D0C"/>
    <w:rsid w:val="00EC6E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062117"/>
  <w15:docId w15:val="{00298FD7-FB16-4FED-8132-2C511E8653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Times New Roman"/>
        <w:kern w:val="3"/>
        <w:sz w:val="22"/>
        <w:szCs w:val="22"/>
        <w:lang w:val="en-GB" w:eastAsia="en-US" w:bidi="ar-SA"/>
      </w:rPr>
    </w:rPrDefault>
    <w:pPrDefault>
      <w:pPr>
        <w:autoSpaceDN w:val="0"/>
        <w:spacing w:after="160" w:line="25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line="251" w:lineRule="auto"/>
    </w:pPr>
  </w:style>
  <w:style w:type="paragraph" w:styleId="Heading1">
    <w:name w:val="heading 1"/>
    <w:basedOn w:val="Normal"/>
    <w:next w:val="Normal"/>
    <w:uiPriority w:val="9"/>
    <w:qFormat/>
    <w:pPr>
      <w:keepNext/>
      <w:keepLines/>
      <w:spacing w:before="360" w:after="80" w:line="256" w:lineRule="auto"/>
      <w:outlineLvl w:val="0"/>
    </w:pPr>
    <w:rPr>
      <w:rFonts w:ascii="Aptos Display" w:eastAsia="Times New Roman" w:hAnsi="Aptos Display"/>
      <w:color w:val="0F4761"/>
      <w:sz w:val="40"/>
      <w:szCs w:val="40"/>
    </w:rPr>
  </w:style>
  <w:style w:type="paragraph" w:styleId="Heading2">
    <w:name w:val="heading 2"/>
    <w:basedOn w:val="Normal"/>
    <w:next w:val="Normal"/>
    <w:uiPriority w:val="9"/>
    <w:semiHidden/>
    <w:unhideWhenUsed/>
    <w:qFormat/>
    <w:pPr>
      <w:keepNext/>
      <w:keepLines/>
      <w:spacing w:before="160" w:after="80" w:line="256" w:lineRule="auto"/>
      <w:outlineLvl w:val="1"/>
    </w:pPr>
    <w:rPr>
      <w:rFonts w:ascii="Aptos Display" w:eastAsia="Times New Roman" w:hAnsi="Aptos Display"/>
      <w:color w:val="0F4761"/>
      <w:sz w:val="32"/>
      <w:szCs w:val="32"/>
    </w:rPr>
  </w:style>
  <w:style w:type="paragraph" w:styleId="Heading3">
    <w:name w:val="heading 3"/>
    <w:basedOn w:val="Normal"/>
    <w:next w:val="Normal"/>
    <w:uiPriority w:val="9"/>
    <w:semiHidden/>
    <w:unhideWhenUsed/>
    <w:qFormat/>
    <w:pPr>
      <w:keepNext/>
      <w:keepLines/>
      <w:spacing w:before="160" w:after="80" w:line="256" w:lineRule="auto"/>
      <w:outlineLvl w:val="2"/>
    </w:pPr>
    <w:rPr>
      <w:rFonts w:eastAsia="Times New Roman"/>
      <w:color w:val="0F4761"/>
      <w:sz w:val="28"/>
      <w:szCs w:val="28"/>
    </w:rPr>
  </w:style>
  <w:style w:type="paragraph" w:styleId="Heading4">
    <w:name w:val="heading 4"/>
    <w:basedOn w:val="Normal"/>
    <w:next w:val="Normal"/>
    <w:uiPriority w:val="9"/>
    <w:semiHidden/>
    <w:unhideWhenUsed/>
    <w:qFormat/>
    <w:pPr>
      <w:keepNext/>
      <w:keepLines/>
      <w:spacing w:before="80" w:after="40" w:line="256" w:lineRule="auto"/>
      <w:outlineLvl w:val="3"/>
    </w:pPr>
    <w:rPr>
      <w:rFonts w:eastAsia="Times New Roman"/>
      <w:i/>
      <w:iCs/>
      <w:color w:val="0F4761"/>
    </w:rPr>
  </w:style>
  <w:style w:type="paragraph" w:styleId="Heading5">
    <w:name w:val="heading 5"/>
    <w:basedOn w:val="Normal"/>
    <w:next w:val="Normal"/>
    <w:uiPriority w:val="9"/>
    <w:semiHidden/>
    <w:unhideWhenUsed/>
    <w:qFormat/>
    <w:pPr>
      <w:keepNext/>
      <w:keepLines/>
      <w:spacing w:before="80" w:after="40" w:line="256" w:lineRule="auto"/>
      <w:outlineLvl w:val="4"/>
    </w:pPr>
    <w:rPr>
      <w:rFonts w:eastAsia="Times New Roman"/>
      <w:color w:val="0F4761"/>
    </w:rPr>
  </w:style>
  <w:style w:type="paragraph" w:styleId="Heading6">
    <w:name w:val="heading 6"/>
    <w:basedOn w:val="Normal"/>
    <w:next w:val="Normal"/>
    <w:uiPriority w:val="9"/>
    <w:semiHidden/>
    <w:unhideWhenUsed/>
    <w:qFormat/>
    <w:pPr>
      <w:keepNext/>
      <w:keepLines/>
      <w:spacing w:before="40" w:after="0" w:line="256" w:lineRule="auto"/>
      <w:outlineLvl w:val="5"/>
    </w:pPr>
    <w:rPr>
      <w:rFonts w:eastAsia="Times New Roman"/>
      <w:i/>
      <w:iCs/>
      <w:color w:val="595959"/>
    </w:rPr>
  </w:style>
  <w:style w:type="paragraph" w:styleId="Heading7">
    <w:name w:val="heading 7"/>
    <w:basedOn w:val="Normal"/>
    <w:next w:val="Normal"/>
    <w:pPr>
      <w:keepNext/>
      <w:keepLines/>
      <w:spacing w:before="40" w:after="0" w:line="256" w:lineRule="auto"/>
      <w:outlineLvl w:val="6"/>
    </w:pPr>
    <w:rPr>
      <w:rFonts w:eastAsia="Times New Roman"/>
      <w:color w:val="595959"/>
    </w:rPr>
  </w:style>
  <w:style w:type="paragraph" w:styleId="Heading8">
    <w:name w:val="heading 8"/>
    <w:basedOn w:val="Normal"/>
    <w:next w:val="Normal"/>
    <w:pPr>
      <w:keepNext/>
      <w:keepLines/>
      <w:spacing w:after="0" w:line="256" w:lineRule="auto"/>
      <w:outlineLvl w:val="7"/>
    </w:pPr>
    <w:rPr>
      <w:rFonts w:eastAsia="Times New Roman"/>
      <w:i/>
      <w:iCs/>
      <w:color w:val="272727"/>
    </w:rPr>
  </w:style>
  <w:style w:type="paragraph" w:styleId="Heading9">
    <w:name w:val="heading 9"/>
    <w:basedOn w:val="Normal"/>
    <w:next w:val="Normal"/>
    <w:pPr>
      <w:keepNext/>
      <w:keepLines/>
      <w:spacing w:after="0" w:line="256" w:lineRule="auto"/>
      <w:outlineLvl w:val="8"/>
    </w:pPr>
    <w:rPr>
      <w:rFonts w:eastAsia="Times New Roman"/>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rPr>
      <w:rFonts w:ascii="Aptos Display" w:eastAsia="Times New Roman" w:hAnsi="Aptos Display" w:cs="Times New Roman"/>
      <w:color w:val="0F4761"/>
      <w:sz w:val="40"/>
      <w:szCs w:val="40"/>
    </w:rPr>
  </w:style>
  <w:style w:type="character" w:customStyle="1" w:styleId="Heading2Char">
    <w:name w:val="Heading 2 Char"/>
    <w:basedOn w:val="DefaultParagraphFont"/>
    <w:rPr>
      <w:rFonts w:ascii="Aptos Display" w:eastAsia="Times New Roman" w:hAnsi="Aptos Display" w:cs="Times New Roman"/>
      <w:color w:val="0F4761"/>
      <w:sz w:val="32"/>
      <w:szCs w:val="32"/>
    </w:rPr>
  </w:style>
  <w:style w:type="character" w:customStyle="1" w:styleId="Heading3Char">
    <w:name w:val="Heading 3 Char"/>
    <w:basedOn w:val="DefaultParagraphFont"/>
    <w:rPr>
      <w:rFonts w:eastAsia="Times New Roman" w:cs="Times New Roman"/>
      <w:color w:val="0F4761"/>
      <w:sz w:val="28"/>
      <w:szCs w:val="28"/>
    </w:rPr>
  </w:style>
  <w:style w:type="character" w:customStyle="1" w:styleId="Heading4Char">
    <w:name w:val="Heading 4 Char"/>
    <w:basedOn w:val="DefaultParagraphFont"/>
    <w:rPr>
      <w:rFonts w:eastAsia="Times New Roman" w:cs="Times New Roman"/>
      <w:i/>
      <w:iCs/>
      <w:color w:val="0F4761"/>
    </w:rPr>
  </w:style>
  <w:style w:type="character" w:customStyle="1" w:styleId="Heading5Char">
    <w:name w:val="Heading 5 Char"/>
    <w:basedOn w:val="DefaultParagraphFont"/>
    <w:rPr>
      <w:rFonts w:eastAsia="Times New Roman" w:cs="Times New Roman"/>
      <w:color w:val="0F4761"/>
    </w:rPr>
  </w:style>
  <w:style w:type="character" w:customStyle="1" w:styleId="Heading6Char">
    <w:name w:val="Heading 6 Char"/>
    <w:basedOn w:val="DefaultParagraphFont"/>
    <w:rPr>
      <w:rFonts w:eastAsia="Times New Roman" w:cs="Times New Roman"/>
      <w:i/>
      <w:iCs/>
      <w:color w:val="595959"/>
    </w:rPr>
  </w:style>
  <w:style w:type="character" w:customStyle="1" w:styleId="Heading7Char">
    <w:name w:val="Heading 7 Char"/>
    <w:basedOn w:val="DefaultParagraphFont"/>
    <w:rPr>
      <w:rFonts w:eastAsia="Times New Roman" w:cs="Times New Roman"/>
      <w:color w:val="595959"/>
    </w:rPr>
  </w:style>
  <w:style w:type="character" w:customStyle="1" w:styleId="Heading8Char">
    <w:name w:val="Heading 8 Char"/>
    <w:basedOn w:val="DefaultParagraphFont"/>
    <w:rPr>
      <w:rFonts w:eastAsia="Times New Roman" w:cs="Times New Roman"/>
      <w:i/>
      <w:iCs/>
      <w:color w:val="272727"/>
    </w:rPr>
  </w:style>
  <w:style w:type="character" w:customStyle="1" w:styleId="Heading9Char">
    <w:name w:val="Heading 9 Char"/>
    <w:basedOn w:val="DefaultParagraphFont"/>
    <w:rPr>
      <w:rFonts w:eastAsia="Times New Roman" w:cs="Times New Roman"/>
      <w:color w:val="272727"/>
    </w:rPr>
  </w:style>
  <w:style w:type="paragraph" w:styleId="Title">
    <w:name w:val="Title"/>
    <w:basedOn w:val="Normal"/>
    <w:next w:val="Normal"/>
    <w:uiPriority w:val="10"/>
    <w:qFormat/>
    <w:pPr>
      <w:spacing w:after="80" w:line="240" w:lineRule="auto"/>
      <w:contextualSpacing/>
    </w:pPr>
    <w:rPr>
      <w:rFonts w:ascii="Aptos Display" w:eastAsia="Times New Roman" w:hAnsi="Aptos Display"/>
      <w:spacing w:val="-10"/>
      <w:sz w:val="56"/>
      <w:szCs w:val="56"/>
    </w:rPr>
  </w:style>
  <w:style w:type="character" w:customStyle="1" w:styleId="TitleChar">
    <w:name w:val="Title Char"/>
    <w:basedOn w:val="DefaultParagraphFont"/>
    <w:rPr>
      <w:rFonts w:ascii="Aptos Display" w:eastAsia="Times New Roman" w:hAnsi="Aptos Display" w:cs="Times New Roman"/>
      <w:spacing w:val="-10"/>
      <w:kern w:val="3"/>
      <w:sz w:val="56"/>
      <w:szCs w:val="56"/>
    </w:rPr>
  </w:style>
  <w:style w:type="paragraph" w:styleId="Subtitle">
    <w:name w:val="Subtitle"/>
    <w:basedOn w:val="Normal"/>
    <w:next w:val="Normal"/>
    <w:uiPriority w:val="11"/>
    <w:qFormat/>
    <w:pPr>
      <w:spacing w:line="256" w:lineRule="auto"/>
    </w:pPr>
    <w:rPr>
      <w:rFonts w:eastAsia="Times New Roman"/>
      <w:color w:val="595959"/>
      <w:spacing w:val="15"/>
      <w:sz w:val="28"/>
      <w:szCs w:val="28"/>
    </w:rPr>
  </w:style>
  <w:style w:type="character" w:customStyle="1" w:styleId="SubtitleChar">
    <w:name w:val="Subtitle Char"/>
    <w:basedOn w:val="DefaultParagraphFont"/>
    <w:rPr>
      <w:rFonts w:eastAsia="Times New Roman" w:cs="Times New Roman"/>
      <w:color w:val="595959"/>
      <w:spacing w:val="15"/>
      <w:sz w:val="28"/>
      <w:szCs w:val="28"/>
    </w:rPr>
  </w:style>
  <w:style w:type="paragraph" w:styleId="Quote">
    <w:name w:val="Quote"/>
    <w:basedOn w:val="Normal"/>
    <w:next w:val="Normal"/>
    <w:pPr>
      <w:spacing w:before="160" w:line="256" w:lineRule="auto"/>
      <w:jc w:val="center"/>
    </w:pPr>
    <w:rPr>
      <w:i/>
      <w:iCs/>
      <w:color w:val="404040"/>
    </w:rPr>
  </w:style>
  <w:style w:type="character" w:customStyle="1" w:styleId="QuoteChar">
    <w:name w:val="Quote Char"/>
    <w:basedOn w:val="DefaultParagraphFont"/>
    <w:rPr>
      <w:i/>
      <w:iCs/>
      <w:color w:val="404040"/>
    </w:rPr>
  </w:style>
  <w:style w:type="paragraph" w:styleId="ListParagraph">
    <w:name w:val="List Paragraph"/>
    <w:basedOn w:val="Normal"/>
    <w:pPr>
      <w:spacing w:line="256" w:lineRule="auto"/>
      <w:ind w:left="720"/>
      <w:contextualSpacing/>
    </w:pPr>
  </w:style>
  <w:style w:type="character" w:styleId="IntenseEmphasis">
    <w:name w:val="Intense Emphasis"/>
    <w:basedOn w:val="DefaultParagraphFont"/>
    <w:rPr>
      <w:i/>
      <w:iCs/>
      <w:color w:val="0F4761"/>
    </w:rPr>
  </w:style>
  <w:style w:type="paragraph" w:styleId="IntenseQuote">
    <w:name w:val="Intense Quote"/>
    <w:basedOn w:val="Normal"/>
    <w:next w:val="Normal"/>
    <w:pPr>
      <w:pBdr>
        <w:top w:val="single" w:sz="4" w:space="10" w:color="0F4761"/>
        <w:bottom w:val="single" w:sz="4" w:space="10" w:color="0F4761"/>
      </w:pBdr>
      <w:spacing w:before="360" w:after="360" w:line="256" w:lineRule="auto"/>
      <w:ind w:left="864" w:right="864"/>
      <w:jc w:val="center"/>
    </w:pPr>
    <w:rPr>
      <w:i/>
      <w:iCs/>
      <w:color w:val="0F4761"/>
    </w:rPr>
  </w:style>
  <w:style w:type="character" w:customStyle="1" w:styleId="IntenseQuoteChar">
    <w:name w:val="Intense Quote Char"/>
    <w:basedOn w:val="DefaultParagraphFont"/>
    <w:rPr>
      <w:i/>
      <w:iCs/>
      <w:color w:val="0F4761"/>
    </w:rPr>
  </w:style>
  <w:style w:type="character" w:styleId="IntenseReference">
    <w:name w:val="Intense Reference"/>
    <w:basedOn w:val="DefaultParagraphFont"/>
    <w:rPr>
      <w:b/>
      <w:bCs/>
      <w:smallCaps/>
      <w:color w:val="0F4761"/>
      <w:spacing w:val="5"/>
    </w:rPr>
  </w:style>
  <w:style w:type="paragraph" w:styleId="NormalWeb">
    <w:name w:val="Normal (Web)"/>
    <w:basedOn w:val="Normal"/>
    <w:pPr>
      <w:spacing w:before="100" w:after="100" w:line="240" w:lineRule="auto"/>
    </w:pPr>
    <w:rPr>
      <w:rFonts w:ascii="Times New Roman" w:eastAsia="Times New Roman" w:hAnsi="Times New Roman"/>
      <w:kern w:val="0"/>
      <w:sz w:val="24"/>
      <w:szCs w:val="24"/>
      <w:lang w:eastAsia="en-GB"/>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rFonts w:ascii="Aptos" w:eastAsia="Aptos" w:hAnsi="Aptos" w:cs="Times New Roman"/>
      <w:kern w:val="3"/>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rFonts w:ascii="Aptos" w:eastAsia="Aptos" w:hAnsi="Aptos" w:cs="Times New Roman"/>
      <w:kern w:val="3"/>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2404</Words>
  <Characters>13706</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Goua Ogodon (2310612)</dc:creator>
  <dc:description/>
  <cp:lastModifiedBy>Goua Ogodon (2310612)</cp:lastModifiedBy>
  <cp:revision>2</cp:revision>
  <dcterms:created xsi:type="dcterms:W3CDTF">2026-04-30T13:55:00Z</dcterms:created>
  <dcterms:modified xsi:type="dcterms:W3CDTF">2026-04-30T13:55:00Z</dcterms:modified>
</cp:coreProperties>
</file>