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F83D5" w14:textId="77777777" w:rsidR="00FE371F" w:rsidRPr="00E630EF" w:rsidRDefault="00FE371F" w:rsidP="00FE371F">
      <w:pPr>
        <w:spacing w:before="100" w:beforeAutospacing="1" w:after="100" w:afterAutospacing="1" w:line="360" w:lineRule="auto"/>
        <w:jc w:val="both"/>
        <w:rPr>
          <w:rFonts w:ascii="Garamond" w:hAnsi="Garamond"/>
        </w:rPr>
      </w:pPr>
      <w:r w:rsidRPr="00E630EF">
        <w:rPr>
          <w:rFonts w:ascii="Garamond" w:hAnsi="Garamond"/>
        </w:rPr>
        <w:t>The war in Ukraine is causing an enormous humanitarian crisis. More than 12 million people are estimated to have been displaced and more than 13 million need urgent humanitarian assistance. Ukraine’s economy is being devastated. Trauma suffered by the population will have enduring consequences.</w:t>
      </w:r>
    </w:p>
    <w:p w14:paraId="063136E8" w14:textId="2554F4AE" w:rsidR="00FE371F" w:rsidRPr="00E630EF" w:rsidRDefault="00FE371F" w:rsidP="00FE371F">
      <w:pPr>
        <w:spacing w:before="100" w:beforeAutospacing="1" w:after="100" w:afterAutospacing="1" w:line="360" w:lineRule="auto"/>
        <w:jc w:val="both"/>
        <w:rPr>
          <w:rFonts w:ascii="Garamond" w:hAnsi="Garamond"/>
        </w:rPr>
      </w:pPr>
      <w:r w:rsidRPr="00E630EF">
        <w:rPr>
          <w:rFonts w:ascii="Garamond" w:hAnsi="Garamond"/>
        </w:rPr>
        <w:t>The war is triggering global ripple effects through multiple channels, including commodity markets, trade, financial flows, displaced people, and market confidence. In the surrounding region, a large wave of refugees will put pressure on basic services. The damage to Russia’s economy will weigh on remittance flows to many neighbouring countries. Disruptions to regional supply chains and financial networks, as well as heightened investor risk perceptions, will weaken regional growth.</w:t>
      </w:r>
    </w:p>
    <w:p w14:paraId="2914226C" w14:textId="509AAF87" w:rsidR="00FE371F" w:rsidRPr="00E630EF" w:rsidRDefault="00FE371F" w:rsidP="00FE371F">
      <w:pPr>
        <w:spacing w:before="100" w:beforeAutospacing="1" w:after="100" w:afterAutospacing="1" w:line="360" w:lineRule="auto"/>
        <w:jc w:val="both"/>
        <w:rPr>
          <w:rFonts w:ascii="Garamond" w:hAnsi="Garamond"/>
        </w:rPr>
      </w:pPr>
      <w:r w:rsidRPr="00E630EF">
        <w:rPr>
          <w:rFonts w:ascii="Garamond" w:hAnsi="Garamond"/>
        </w:rPr>
        <w:t xml:space="preserve">The war has markedly eroded near-term global economic prospects. The initial global economic impact has primarily been through commodity markets. Prices for commodities that Russia and Ukraine supply, including energy, wheat, fertilizers, and some metals, are sharply higher. In many emerging market and developing economies (EMDEs), rising food and energy prices are exacerbating poverty and, in some cases, food insecurity, and heightening inflation pressures that were already building. Financial markets have been volatile amid increased uncertainty and geopolitical tension. Many </w:t>
      </w:r>
      <w:proofErr w:type="gramStart"/>
      <w:r w:rsidRPr="00E630EF">
        <w:rPr>
          <w:rFonts w:ascii="Garamond" w:hAnsi="Garamond"/>
        </w:rPr>
        <w:t>commodity</w:t>
      </w:r>
      <w:proofErr w:type="gramEnd"/>
      <w:r w:rsidRPr="00E630EF">
        <w:rPr>
          <w:rFonts w:ascii="Garamond" w:hAnsi="Garamond"/>
        </w:rPr>
        <w:t xml:space="preserve"> importing EMDEs have seen capital outflows and markedly higher borrowing costs. Expected monetary tightening in advanced economies has also accelerated, heightening vulnerability to financial stress in EMDEs.</w:t>
      </w:r>
    </w:p>
    <w:p w14:paraId="04794F4C" w14:textId="77777777" w:rsidR="00FE371F" w:rsidRPr="00E630EF" w:rsidRDefault="00FE371F" w:rsidP="00FE371F">
      <w:pPr>
        <w:spacing w:before="100" w:beforeAutospacing="1" w:after="100" w:afterAutospacing="1" w:line="360" w:lineRule="auto"/>
        <w:jc w:val="both"/>
        <w:rPr>
          <w:rFonts w:ascii="Garamond" w:hAnsi="Garamond"/>
        </w:rPr>
      </w:pPr>
      <w:r w:rsidRPr="00E630EF">
        <w:rPr>
          <w:rFonts w:ascii="Garamond" w:hAnsi="Garamond"/>
        </w:rPr>
        <w:t>If protracted, the war could further dampen global confidence and weaken global growth, worsen food insecurity, and increase financing costs and the risk of financial crises in some EMDEs. It could also intensify policy uncertainty and lead to fragmentation of global trade and foreign investment networks— channels that in the past have played a fundamental role supporting growth, poverty reduction, price stability, and energy and food security. These risks could be magnified by ongoing vulnerabilities, including high debt and low inventories of some commodities, such as wheat and oil. These risks are interrelated and mutually amplifying and could possibly lead to a hard landing for the global economy.</w:t>
      </w:r>
    </w:p>
    <w:p w14:paraId="5D795338" w14:textId="6E2FB389" w:rsidR="00511328" w:rsidRDefault="00FE371F" w:rsidP="00FE371F">
      <w:pPr>
        <w:spacing w:before="100" w:beforeAutospacing="1" w:after="100" w:afterAutospacing="1" w:line="360" w:lineRule="auto"/>
        <w:jc w:val="both"/>
        <w:rPr>
          <w:rFonts w:ascii="Garamond" w:hAnsi="Garamond"/>
        </w:rPr>
      </w:pPr>
      <w:r w:rsidRPr="00E630EF">
        <w:rPr>
          <w:rFonts w:ascii="Garamond" w:hAnsi="Garamond"/>
        </w:rPr>
        <w:t xml:space="preserve">Mitigating the effects of the war on lives, livelihoods and economic growth will require carefully calibrated policies. A concerted effort will be needed to house refugees, meet their basic needs, and foster smooth integration into host communities. When the war subsides, a large mobilization of </w:t>
      </w:r>
      <w:r w:rsidRPr="00E630EF">
        <w:rPr>
          <w:rFonts w:ascii="Garamond" w:hAnsi="Garamond"/>
        </w:rPr>
        <w:lastRenderedPageBreak/>
        <w:t>resources will be needed for reconstruction in Ukraine. Under the pressure of higher prices for food and other essentials, governments may be tempted to implement price control and subsidy policies, but these could prove counterproductive. Instead, appropriately calibrated safety net policies can protect vulnerable groups from sharply higher consumer prices. Monetary and financial authorities can communicate clear, data-dependent strategies to control inflation, while strengthening macroprudential frameworks to guard against financial stress. To offset the damage to long-term growth, including from disruptions to global trade and investment networks, reforms to improve business climates, strengthen human capital, and boost productivity are needed. These policy interventions are all the more important in light of the lasting adverse impact of the pandemic on human capital formation.</w:t>
      </w:r>
    </w:p>
    <w:p w14:paraId="37077798" w14:textId="46F3788B" w:rsidR="00E630EF" w:rsidRDefault="00E630EF" w:rsidP="00FE371F">
      <w:pPr>
        <w:spacing w:before="100" w:beforeAutospacing="1" w:after="100" w:afterAutospacing="1" w:line="360" w:lineRule="auto"/>
        <w:jc w:val="both"/>
        <w:rPr>
          <w:rFonts w:ascii="Garamond" w:hAnsi="Garamond"/>
          <w:b/>
          <w:bCs/>
        </w:rPr>
      </w:pPr>
      <w:r>
        <w:rPr>
          <w:rFonts w:ascii="Garamond" w:hAnsi="Garamond"/>
          <w:b/>
          <w:bCs/>
        </w:rPr>
        <w:t>Introduction</w:t>
      </w:r>
    </w:p>
    <w:p w14:paraId="056459AC" w14:textId="5287D22D" w:rsidR="00E630EF" w:rsidRPr="00E630EF" w:rsidRDefault="00E630EF" w:rsidP="00457A44">
      <w:pPr>
        <w:spacing w:before="100" w:beforeAutospacing="1" w:after="100" w:afterAutospacing="1" w:line="360" w:lineRule="auto"/>
        <w:jc w:val="both"/>
        <w:rPr>
          <w:rFonts w:ascii="Garamond" w:hAnsi="Garamond"/>
          <w:lang w:val="en-NG"/>
        </w:rPr>
      </w:pPr>
      <w:r w:rsidRPr="00116991">
        <w:rPr>
          <w:rFonts w:ascii="Garamond" w:hAnsi="Garamond"/>
          <w:lang w:val="en-NG"/>
        </w:rPr>
        <w:t>Russia and Ukraine are major exporters of several commodities.</w:t>
      </w:r>
      <w:r w:rsidRPr="00116991">
        <w:rPr>
          <w:rFonts w:ascii="Garamond" w:hAnsi="Garamond"/>
          <w:b/>
          <w:bCs/>
          <w:lang w:val="en-NG"/>
        </w:rPr>
        <w:t xml:space="preserve"> </w:t>
      </w:r>
      <w:r w:rsidRPr="00116991">
        <w:rPr>
          <w:rFonts w:ascii="Garamond" w:hAnsi="Garamond"/>
          <w:lang w:val="en-NG"/>
        </w:rPr>
        <w:t>As a result, the war has triggered large surges and volatility in the prices of these commodities. Russia</w:t>
      </w:r>
      <w:r w:rsidRPr="00116991">
        <w:rPr>
          <w:rFonts w:ascii="Garamond" w:hAnsi="Garamond"/>
          <w:b/>
          <w:bCs/>
          <w:lang w:val="en-NG"/>
        </w:rPr>
        <w:t xml:space="preserve"> </w:t>
      </w:r>
      <w:r w:rsidRPr="00116991">
        <w:rPr>
          <w:rFonts w:ascii="Garamond" w:hAnsi="Garamond"/>
          <w:lang w:val="en-NG"/>
        </w:rPr>
        <w:t>is the world’s largest exporter of wheat, accounting for 18 percent of global exports; Ukraine accounts for a further 7 percent. Russia is also the largest exporter of natural gas (25 percent), palladium (23 percent), nickel (22 percent), and fertilizers (14 percent). It also accounts for 18 percent of global exports of coal, 14 percent of platinum, 11 percent of crude oil, and 10 percent of refined aluminum.</w:t>
      </w:r>
      <w:r w:rsidR="00457A44">
        <w:rPr>
          <w:rFonts w:ascii="Garamond" w:hAnsi="Garamond"/>
          <w:lang w:val="en-US"/>
        </w:rPr>
        <w:t xml:space="preserve"> </w:t>
      </w:r>
      <w:r w:rsidRPr="00116991">
        <w:rPr>
          <w:rFonts w:ascii="Garamond" w:hAnsi="Garamond"/>
          <w:lang w:val="en-NG"/>
        </w:rPr>
        <w:t>Ukraine</w:t>
      </w:r>
      <w:r w:rsidRPr="00116991">
        <w:rPr>
          <w:rFonts w:ascii="Garamond" w:hAnsi="Garamond"/>
          <w:b/>
          <w:bCs/>
          <w:lang w:val="en-NG"/>
        </w:rPr>
        <w:t xml:space="preserve"> </w:t>
      </w:r>
      <w:r w:rsidRPr="00116991">
        <w:rPr>
          <w:rFonts w:ascii="Garamond" w:hAnsi="Garamond"/>
          <w:lang w:val="en-NG"/>
        </w:rPr>
        <w:t>is the largest exporter of seed oils primarily used in cooking, accounting for two-fifths of global production, and is also the fourth largest exporter of corn, accounting for 13 percent of global exports. Ukraine also produces up to 50 percent of global neon gas which is a critical element used in chipmaking.</w:t>
      </w:r>
    </w:p>
    <w:p w14:paraId="7BD053D3" w14:textId="77777777" w:rsidR="00545532" w:rsidRPr="00E630EF" w:rsidRDefault="00545532" w:rsidP="00545532">
      <w:pPr>
        <w:spacing w:before="100" w:beforeAutospacing="1" w:after="100" w:afterAutospacing="1" w:line="360" w:lineRule="auto"/>
        <w:jc w:val="both"/>
        <w:rPr>
          <w:rFonts w:ascii="Garamond" w:hAnsi="Garamond"/>
          <w:b/>
          <w:bCs/>
        </w:rPr>
      </w:pPr>
      <w:r w:rsidRPr="00E630EF">
        <w:rPr>
          <w:rFonts w:ascii="Garamond" w:hAnsi="Garamond"/>
          <w:b/>
          <w:bCs/>
        </w:rPr>
        <w:t>Literature Review</w:t>
      </w:r>
    </w:p>
    <w:p w14:paraId="02758A5D" w14:textId="143D820A" w:rsidR="00A837DD" w:rsidRPr="00E630EF" w:rsidRDefault="00545532" w:rsidP="00D15400">
      <w:pPr>
        <w:spacing w:before="100" w:beforeAutospacing="1" w:after="100" w:afterAutospacing="1" w:line="360" w:lineRule="auto"/>
        <w:jc w:val="both"/>
        <w:rPr>
          <w:rFonts w:ascii="Garamond" w:hAnsi="Garamond"/>
        </w:rPr>
      </w:pPr>
      <w:r w:rsidRPr="00E630EF">
        <w:rPr>
          <w:rFonts w:ascii="Garamond" w:hAnsi="Garamond"/>
        </w:rPr>
        <w:t>Countries worldwide are barely recovering from the economic impact of the covid-19 pandemic, the recent 2022 Russia attack on Ukraine could worsen the situation as global economies may witness yet another rise in commodity prices and ‘supply chain chokeholds.’ Russia is known as the ‘world’s largest supplier of wheat and in combination with Ukraine, both countries account for almost a quarter of the sum of global export (Cohen &amp; Ewing, 2022).</w:t>
      </w:r>
    </w:p>
    <w:p w14:paraId="634014B2" w14:textId="7C27ED9C" w:rsidR="00A837DD" w:rsidRPr="00E630EF" w:rsidRDefault="00A837DD" w:rsidP="00D15400">
      <w:pPr>
        <w:spacing w:before="100" w:beforeAutospacing="1" w:after="100" w:afterAutospacing="1" w:line="360" w:lineRule="auto"/>
        <w:jc w:val="both"/>
        <w:rPr>
          <w:rFonts w:ascii="Garamond" w:hAnsi="Garamond"/>
        </w:rPr>
      </w:pPr>
      <w:r w:rsidRPr="00E630EF">
        <w:rPr>
          <w:rFonts w:ascii="Garamond" w:hAnsi="Garamond"/>
        </w:rPr>
        <w:t xml:space="preserve">Like the UK and many other nations worldwide, experts suggest that European nations will face higher rates of inflation and a supply chain disruption due to Russia’s attack on Ukraine in 2022. Saudi </w:t>
      </w:r>
      <w:r w:rsidRPr="00E630EF">
        <w:rPr>
          <w:rFonts w:ascii="Garamond" w:hAnsi="Garamond"/>
        </w:rPr>
        <w:lastRenderedPageBreak/>
        <w:t>Arabia’s denial to release more oil supply to supplement that of Russia if its export declines, would greatly impact the price of the commodity globally (</w:t>
      </w:r>
      <w:proofErr w:type="spellStart"/>
      <w:r w:rsidRPr="00E630EF">
        <w:rPr>
          <w:rFonts w:ascii="Garamond" w:hAnsi="Garamond"/>
        </w:rPr>
        <w:t>Lanktree</w:t>
      </w:r>
      <w:proofErr w:type="spellEnd"/>
      <w:r w:rsidRPr="00E630EF">
        <w:rPr>
          <w:rFonts w:ascii="Garamond" w:hAnsi="Garamond"/>
        </w:rPr>
        <w:t xml:space="preserve">, 2022). A 2022 report from the European Council on Foreign Relations suggests that Russia’s attack on Ukraine would significantly alter the way Europeans think about their safety since most of the “public debate on the crisis has portrayed European governments as divided, weak, and absent” (Krastev &amp; Leonard, 2022). Russia is not only the world’s biggest exporter of natural gas and oil but is the major exporter of these commodities to Europe (Bhattarai et al., 2022). Top EU finance officials declared that although the current attack on Ukraine by Russia will slow down the EU economic growth via rising energy prices and decreased business confidence, the “European Union is ready for it” (Thomas &amp; </w:t>
      </w:r>
      <w:proofErr w:type="spellStart"/>
      <w:r w:rsidRPr="00E630EF">
        <w:rPr>
          <w:rFonts w:ascii="Garamond" w:hAnsi="Garamond"/>
        </w:rPr>
        <w:t>Strupczewski</w:t>
      </w:r>
      <w:proofErr w:type="spellEnd"/>
      <w:r w:rsidRPr="00E630EF">
        <w:rPr>
          <w:rFonts w:ascii="Garamond" w:hAnsi="Garamond"/>
        </w:rPr>
        <w:t>, 2022). These authors also advise that even though it would be costly to Russia, Russia (EU major energy exporter) might respond to EU sanctions by restricting oil, gas, and coal exports to the EU, thus, leading to higher prices on these commodities, uncertainty, and weaken consumption. European nations (import) rely on Russia for about 25% of their oil and 40% of natural gas (Wiseman, 2022).</w:t>
      </w:r>
    </w:p>
    <w:p w14:paraId="16B26B9D" w14:textId="410035A1" w:rsidR="00A837DD" w:rsidRPr="00E630EF" w:rsidRDefault="00A837DD" w:rsidP="00D15400">
      <w:pPr>
        <w:spacing w:before="100" w:beforeAutospacing="1" w:after="100" w:afterAutospacing="1" w:line="360" w:lineRule="auto"/>
        <w:jc w:val="both"/>
        <w:rPr>
          <w:rFonts w:ascii="Garamond" w:hAnsi="Garamond"/>
        </w:rPr>
      </w:pPr>
      <w:r w:rsidRPr="00E630EF">
        <w:rPr>
          <w:rFonts w:ascii="Garamond" w:hAnsi="Garamond"/>
        </w:rPr>
        <w:t xml:space="preserve">Christina Lagarde, the European Central Bank leader said, “What we know is that the two main channels through which the euro area economy will be affected will be through energy, prices, and confidence or the uncertainty channel; not so much through trade, which is limited between Russia and the euro area... Persistent uncertainty will probably be a drag on consumption and investment and will impede growth” (Thomas &amp; </w:t>
      </w:r>
      <w:proofErr w:type="spellStart"/>
      <w:r w:rsidRPr="00E630EF">
        <w:rPr>
          <w:rFonts w:ascii="Garamond" w:hAnsi="Garamond"/>
        </w:rPr>
        <w:t>Strupczewski</w:t>
      </w:r>
      <w:proofErr w:type="spellEnd"/>
      <w:r w:rsidRPr="00E630EF">
        <w:rPr>
          <w:rFonts w:ascii="Garamond" w:hAnsi="Garamond"/>
        </w:rPr>
        <w:t>, 2022).</w:t>
      </w:r>
      <w:r w:rsidR="00D15400" w:rsidRPr="00E630EF">
        <w:rPr>
          <w:rFonts w:ascii="Garamond" w:hAnsi="Garamond"/>
        </w:rPr>
        <w:t xml:space="preserve"> </w:t>
      </w:r>
      <w:r w:rsidRPr="00E630EF">
        <w:rPr>
          <w:rFonts w:ascii="Garamond" w:hAnsi="Garamond"/>
        </w:rPr>
        <w:t>Natural gas in Europe is about six times higher than what it was at the beginning of 2022 due</w:t>
      </w:r>
      <w:r w:rsidR="00D15400" w:rsidRPr="00E630EF">
        <w:rPr>
          <w:rFonts w:ascii="Garamond" w:hAnsi="Garamond"/>
        </w:rPr>
        <w:t xml:space="preserve"> </w:t>
      </w:r>
      <w:r w:rsidRPr="00E630EF">
        <w:rPr>
          <w:rFonts w:ascii="Garamond" w:hAnsi="Garamond"/>
        </w:rPr>
        <w:t xml:space="preserve">to Russia’s recent attack on </w:t>
      </w:r>
      <w:proofErr w:type="spellStart"/>
      <w:r w:rsidRPr="00E630EF">
        <w:rPr>
          <w:rFonts w:ascii="Garamond" w:hAnsi="Garamond"/>
        </w:rPr>
        <w:t>Ukrain</w:t>
      </w:r>
      <w:proofErr w:type="spellEnd"/>
      <w:r w:rsidRPr="00E630EF">
        <w:rPr>
          <w:rFonts w:ascii="Garamond" w:hAnsi="Garamond"/>
        </w:rPr>
        <w:t xml:space="preserve"> leading to a 20% rise in natural gas prices, thus, increasing</w:t>
      </w:r>
      <w:r w:rsidR="00D15400" w:rsidRPr="00E630EF">
        <w:rPr>
          <w:rFonts w:ascii="Garamond" w:hAnsi="Garamond"/>
        </w:rPr>
        <w:t xml:space="preserve"> </w:t>
      </w:r>
      <w:r w:rsidRPr="00E630EF">
        <w:rPr>
          <w:rFonts w:ascii="Garamond" w:hAnsi="Garamond"/>
        </w:rPr>
        <w:t>inflation and bulging utility bills (Wiseman, 2022). A forecast by the European Commission</w:t>
      </w:r>
      <w:r w:rsidR="00D15400" w:rsidRPr="00E630EF">
        <w:rPr>
          <w:rFonts w:ascii="Garamond" w:hAnsi="Garamond"/>
        </w:rPr>
        <w:t xml:space="preserve"> </w:t>
      </w:r>
      <w:r w:rsidRPr="00E630EF">
        <w:rPr>
          <w:rFonts w:ascii="Garamond" w:hAnsi="Garamond"/>
        </w:rPr>
        <w:t>reveals that the impact of Covid-19, supply chain limitations, and the rise in energy prices</w:t>
      </w:r>
      <w:r w:rsidR="00D15400" w:rsidRPr="00E630EF">
        <w:rPr>
          <w:rFonts w:ascii="Garamond" w:hAnsi="Garamond"/>
        </w:rPr>
        <w:t xml:space="preserve"> </w:t>
      </w:r>
      <w:r w:rsidRPr="00E630EF">
        <w:rPr>
          <w:rFonts w:ascii="Garamond" w:hAnsi="Garamond"/>
        </w:rPr>
        <w:t>(inflation) could drop the economic growth curve for all EU countries using the euro to 4.0% by</w:t>
      </w:r>
      <w:r w:rsidR="00D15400" w:rsidRPr="00E630EF">
        <w:rPr>
          <w:rFonts w:ascii="Garamond" w:hAnsi="Garamond"/>
        </w:rPr>
        <w:t xml:space="preserve"> </w:t>
      </w:r>
      <w:r w:rsidRPr="00E630EF">
        <w:rPr>
          <w:rFonts w:ascii="Garamond" w:hAnsi="Garamond"/>
        </w:rPr>
        <w:t>the end of 2022, which is below the 4.3% as predicted in November 2021 and this current</w:t>
      </w:r>
      <w:r w:rsidR="00D15400" w:rsidRPr="00E630EF">
        <w:rPr>
          <w:rFonts w:ascii="Garamond" w:hAnsi="Garamond"/>
        </w:rPr>
        <w:t xml:space="preserve"> </w:t>
      </w:r>
      <w:r w:rsidRPr="00E630EF">
        <w:rPr>
          <w:rFonts w:ascii="Garamond" w:hAnsi="Garamond"/>
        </w:rPr>
        <w:t xml:space="preserve">forecast is even more uncertain with Russia’s attack on Ukraine (Thomas &amp; </w:t>
      </w:r>
      <w:proofErr w:type="spellStart"/>
      <w:r w:rsidRPr="00E630EF">
        <w:rPr>
          <w:rFonts w:ascii="Garamond" w:hAnsi="Garamond"/>
        </w:rPr>
        <w:t>Strupczewski</w:t>
      </w:r>
      <w:proofErr w:type="spellEnd"/>
      <w:r w:rsidRPr="00E630EF">
        <w:rPr>
          <w:rFonts w:ascii="Garamond" w:hAnsi="Garamond"/>
        </w:rPr>
        <w:t>,</w:t>
      </w:r>
      <w:r w:rsidR="00D15400" w:rsidRPr="00E630EF">
        <w:rPr>
          <w:rFonts w:ascii="Garamond" w:hAnsi="Garamond"/>
        </w:rPr>
        <w:t xml:space="preserve"> </w:t>
      </w:r>
      <w:r w:rsidRPr="00E630EF">
        <w:rPr>
          <w:rFonts w:ascii="Garamond" w:hAnsi="Garamond"/>
        </w:rPr>
        <w:t>2022). In the same light, the chief economist at Berenberg bank voiced, “The drag from higher</w:t>
      </w:r>
      <w:r w:rsidR="00D15400" w:rsidRPr="00E630EF">
        <w:rPr>
          <w:rFonts w:ascii="Garamond" w:hAnsi="Garamond"/>
        </w:rPr>
        <w:t xml:space="preserve"> </w:t>
      </w:r>
      <w:r w:rsidRPr="00E630EF">
        <w:rPr>
          <w:rFonts w:ascii="Garamond" w:hAnsi="Garamond"/>
        </w:rPr>
        <w:t>prices and the negative confidence effect may lower real GDP growth in the eurozone from 4.3%</w:t>
      </w:r>
      <w:r w:rsidR="00D15400" w:rsidRPr="00E630EF">
        <w:rPr>
          <w:rFonts w:ascii="Garamond" w:hAnsi="Garamond"/>
        </w:rPr>
        <w:t xml:space="preserve"> </w:t>
      </w:r>
      <w:r w:rsidRPr="00E630EF">
        <w:rPr>
          <w:rFonts w:ascii="Garamond" w:hAnsi="Garamond"/>
        </w:rPr>
        <w:t>to 3.7% for 2022” (Wiseman, 2022).</w:t>
      </w:r>
    </w:p>
    <w:p w14:paraId="40163A47" w14:textId="36F92635" w:rsidR="000F4052" w:rsidRPr="00E630EF" w:rsidRDefault="000F4052" w:rsidP="00D15400">
      <w:pPr>
        <w:spacing w:before="100" w:beforeAutospacing="1" w:after="100" w:afterAutospacing="1" w:line="360" w:lineRule="auto"/>
        <w:jc w:val="both"/>
        <w:rPr>
          <w:rFonts w:ascii="Garamond" w:hAnsi="Garamond"/>
          <w:b/>
          <w:bCs/>
        </w:rPr>
      </w:pPr>
      <w:r w:rsidRPr="00E630EF">
        <w:rPr>
          <w:rFonts w:ascii="Garamond" w:hAnsi="Garamond"/>
          <w:b/>
          <w:bCs/>
        </w:rPr>
        <w:t>Impact on Ukraine and Russia</w:t>
      </w:r>
    </w:p>
    <w:p w14:paraId="24BD416E" w14:textId="77777777" w:rsidR="000F4052" w:rsidRPr="000F4052" w:rsidRDefault="000F4052" w:rsidP="000F4052">
      <w:pPr>
        <w:spacing w:before="100" w:beforeAutospacing="1" w:after="100" w:afterAutospacing="1" w:line="360" w:lineRule="auto"/>
        <w:jc w:val="both"/>
        <w:rPr>
          <w:rFonts w:ascii="Garamond" w:hAnsi="Garamond"/>
        </w:rPr>
      </w:pPr>
      <w:r w:rsidRPr="005F66EA">
        <w:rPr>
          <w:rFonts w:ascii="Garamond" w:hAnsi="Garamond"/>
        </w:rPr>
        <w:t>The war has caused an enormous humanitarian crisis in Ukraine.</w:t>
      </w:r>
      <w:r w:rsidRPr="000F4052">
        <w:rPr>
          <w:rFonts w:ascii="Garamond" w:hAnsi="Garamond"/>
          <w:b/>
          <w:bCs/>
        </w:rPr>
        <w:t xml:space="preserve"> </w:t>
      </w:r>
      <w:r w:rsidRPr="000F4052">
        <w:rPr>
          <w:rFonts w:ascii="Garamond" w:hAnsi="Garamond"/>
        </w:rPr>
        <w:t xml:space="preserve">Urban </w:t>
      </w:r>
      <w:proofErr w:type="spellStart"/>
      <w:r w:rsidRPr="000F4052">
        <w:rPr>
          <w:rFonts w:ascii="Garamond" w:hAnsi="Garamond"/>
        </w:rPr>
        <w:t>centers</w:t>
      </w:r>
      <w:proofErr w:type="spellEnd"/>
      <w:r w:rsidRPr="000F4052">
        <w:rPr>
          <w:rFonts w:ascii="Garamond" w:hAnsi="Garamond"/>
        </w:rPr>
        <w:t xml:space="preserve"> in many parts of the country have been badly damaged, maritime, road and rail transit have been severely disrupted, and </w:t>
      </w:r>
      <w:r w:rsidRPr="000F4052">
        <w:rPr>
          <w:rFonts w:ascii="Garamond" w:hAnsi="Garamond"/>
        </w:rPr>
        <w:lastRenderedPageBreak/>
        <w:t xml:space="preserve">vital economic and social service infrastructure including power generation, digital infrastructure, bridges, and ports has been destroyed or rendered unusable. As of the end of March, nearly 6 million Ukrainians had little or no access to safe water. About 12 million people are estimated to have been displaced as of mid- April and a similar number of people—especially the elderly and infirm—urgently require humanitarian assistance (UNHCR 2022). The war is also substantially eroding human capital. It is likely to have a particularly acute impact on children by increasing malnutrition and stunting, reducing years of schooling, and worsening </w:t>
      </w:r>
      <w:proofErr w:type="spellStart"/>
      <w:r w:rsidRPr="000F4052">
        <w:rPr>
          <w:rFonts w:ascii="Garamond" w:hAnsi="Garamond"/>
        </w:rPr>
        <w:t>labor</w:t>
      </w:r>
      <w:proofErr w:type="spellEnd"/>
      <w:r w:rsidRPr="000F4052">
        <w:rPr>
          <w:rFonts w:ascii="Garamond" w:hAnsi="Garamond"/>
        </w:rPr>
        <w:t xml:space="preserve"> market outcomes (</w:t>
      </w:r>
      <w:proofErr w:type="spellStart"/>
      <w:r w:rsidRPr="000F4052">
        <w:rPr>
          <w:rFonts w:ascii="Garamond" w:hAnsi="Garamond"/>
        </w:rPr>
        <w:t>Akresh</w:t>
      </w:r>
      <w:proofErr w:type="spellEnd"/>
      <w:r w:rsidRPr="000F4052">
        <w:rPr>
          <w:rFonts w:ascii="Garamond" w:hAnsi="Garamond"/>
        </w:rPr>
        <w:t xml:space="preserve">, Caruso, and </w:t>
      </w:r>
      <w:proofErr w:type="spellStart"/>
      <w:r w:rsidRPr="000F4052">
        <w:rPr>
          <w:rFonts w:ascii="Garamond" w:hAnsi="Garamond"/>
        </w:rPr>
        <w:t>Thirumurthy</w:t>
      </w:r>
      <w:proofErr w:type="spellEnd"/>
      <w:r w:rsidRPr="000F4052">
        <w:rPr>
          <w:rFonts w:ascii="Garamond" w:hAnsi="Garamond"/>
        </w:rPr>
        <w:t xml:space="preserve"> 2022; Acosta et al. 2020). </w:t>
      </w:r>
    </w:p>
    <w:p w14:paraId="43CF354D" w14:textId="5583D630" w:rsidR="000F4052" w:rsidRPr="00E630EF" w:rsidRDefault="000F4052" w:rsidP="000F4052">
      <w:pPr>
        <w:spacing w:before="100" w:beforeAutospacing="1" w:after="100" w:afterAutospacing="1" w:line="360" w:lineRule="auto"/>
        <w:jc w:val="both"/>
        <w:rPr>
          <w:rFonts w:ascii="Garamond" w:hAnsi="Garamond"/>
        </w:rPr>
      </w:pPr>
      <w:r w:rsidRPr="000F4052">
        <w:rPr>
          <w:rFonts w:ascii="Garamond" w:hAnsi="Garamond"/>
        </w:rPr>
        <w:t xml:space="preserve">To support the economy and ease pressures on FX reserves and banks, Ukraine imposed emergency financial measures (including capital controls and banking sector restrictions) and announced tax deferrals, while fully meeting domestic and external debt obligations. These measures have helped to prevent financial collapse. Economic activity in Ukraine has been rendered impossible in some areas, with the war destroying a critical amount of productive infrastructure and forcing businesses to close. Goods trade has come to a grinding halt, as damaged transit routes impede shipment by land while the loss of access to the Black Sea cuts off all seaborn trade, which accounts for half of Ukraine’s exports. The war is expected to halve output in 2022, with GDP falling around 45 percent, according to the World Bank’s recently released </w:t>
      </w:r>
      <w:r w:rsidRPr="000F4052">
        <w:rPr>
          <w:rFonts w:ascii="Garamond" w:hAnsi="Garamond"/>
          <w:i/>
          <w:iCs/>
        </w:rPr>
        <w:t xml:space="preserve">Europe and Central Asia Update </w:t>
      </w:r>
      <w:r w:rsidRPr="000F4052">
        <w:rPr>
          <w:rFonts w:ascii="Garamond" w:hAnsi="Garamond"/>
        </w:rPr>
        <w:t xml:space="preserve">(World Bank 2022b). The forecast assumes the war continues for several more months but remains contained to the geographical areas where it is currently occurring. Going forward, Ukraine will require additional </w:t>
      </w:r>
      <w:r w:rsidRPr="00E630EF">
        <w:rPr>
          <w:rFonts w:ascii="Garamond" w:hAnsi="Garamond"/>
        </w:rPr>
        <w:t xml:space="preserve">external financial assistance and its debt will likely have to be restructured to support a robust reconstruction and recovery and to anchor fiscal sustainability. </w:t>
      </w:r>
    </w:p>
    <w:p w14:paraId="7F3CADA6" w14:textId="66C63F52" w:rsidR="000F4052" w:rsidRPr="000F4052" w:rsidRDefault="000F4052" w:rsidP="000F4052">
      <w:pPr>
        <w:spacing w:before="100" w:beforeAutospacing="1" w:after="100" w:afterAutospacing="1" w:line="360" w:lineRule="auto"/>
        <w:jc w:val="both"/>
        <w:rPr>
          <w:rFonts w:ascii="Garamond" w:hAnsi="Garamond"/>
        </w:rPr>
      </w:pPr>
      <w:r w:rsidRPr="005F66EA">
        <w:rPr>
          <w:rFonts w:ascii="Garamond" w:hAnsi="Garamond"/>
        </w:rPr>
        <w:t>In Russia, financial asset prices have sustained severe losses, with the economy likely to remain at risk of financial turmoil for the foreseeable future</w:t>
      </w:r>
      <w:r w:rsidRPr="000F4052">
        <w:rPr>
          <w:rFonts w:ascii="Garamond" w:hAnsi="Garamond"/>
          <w:b/>
          <w:bCs/>
        </w:rPr>
        <w:t xml:space="preserve">. </w:t>
      </w:r>
      <w:r w:rsidRPr="000F4052">
        <w:rPr>
          <w:rFonts w:ascii="Garamond" w:hAnsi="Garamond"/>
        </w:rPr>
        <w:t xml:space="preserve">Yields on Russian dollar-denominated debt </w:t>
      </w:r>
      <w:r w:rsidR="005F66EA" w:rsidRPr="000F4052">
        <w:rPr>
          <w:rFonts w:ascii="Garamond" w:hAnsi="Garamond"/>
        </w:rPr>
        <w:t>has</w:t>
      </w:r>
      <w:r w:rsidRPr="000F4052">
        <w:rPr>
          <w:rFonts w:ascii="Garamond" w:hAnsi="Garamond"/>
        </w:rPr>
        <w:t xml:space="preserve"> surged, while activity on the Moscow Stock Exchange was suspended between February 25th and March 24th after sharp falls in equity prices. The trading of Russian securities has also been suspended on many international exchanges, with Deutsche </w:t>
      </w:r>
      <w:proofErr w:type="spellStart"/>
      <w:r w:rsidRPr="000F4052">
        <w:rPr>
          <w:rFonts w:ascii="Garamond" w:hAnsi="Garamond"/>
        </w:rPr>
        <w:t>Boerse</w:t>
      </w:r>
      <w:proofErr w:type="spellEnd"/>
      <w:r w:rsidRPr="000F4052">
        <w:rPr>
          <w:rFonts w:ascii="Garamond" w:hAnsi="Garamond"/>
        </w:rPr>
        <w:t xml:space="preserve">, for example, halting all trading in Russian securities until further notice at the beginning of March. The value of the </w:t>
      </w:r>
      <w:proofErr w:type="spellStart"/>
      <w:r w:rsidRPr="000F4052">
        <w:rPr>
          <w:rFonts w:ascii="Garamond" w:hAnsi="Garamond"/>
        </w:rPr>
        <w:t>ruble</w:t>
      </w:r>
      <w:proofErr w:type="spellEnd"/>
      <w:r w:rsidRPr="000F4052">
        <w:rPr>
          <w:rFonts w:ascii="Garamond" w:hAnsi="Garamond"/>
        </w:rPr>
        <w:t xml:space="preserve"> fell as much as 40 percent in two weeks following the start of the </w:t>
      </w:r>
      <w:r w:rsidR="00AD2983" w:rsidRPr="000F4052">
        <w:rPr>
          <w:rFonts w:ascii="Garamond" w:hAnsi="Garamond"/>
        </w:rPr>
        <w:t>war but</w:t>
      </w:r>
      <w:r w:rsidRPr="000F4052">
        <w:rPr>
          <w:rFonts w:ascii="Garamond" w:hAnsi="Garamond"/>
        </w:rPr>
        <w:t xml:space="preserve"> has since substantially rebounded as capital controls were imposed, with Russian authorities taking numerous steps to prevent foreigners selling </w:t>
      </w:r>
      <w:proofErr w:type="spellStart"/>
      <w:r w:rsidRPr="000F4052">
        <w:rPr>
          <w:rFonts w:ascii="Garamond" w:hAnsi="Garamond"/>
        </w:rPr>
        <w:t>ruble</w:t>
      </w:r>
      <w:proofErr w:type="spellEnd"/>
      <w:r w:rsidRPr="000F4052">
        <w:rPr>
          <w:rFonts w:ascii="Garamond" w:hAnsi="Garamond"/>
        </w:rPr>
        <w:t xml:space="preserve">-denominated assets or hard currency leaving the country. To help limit the </w:t>
      </w:r>
      <w:proofErr w:type="spellStart"/>
      <w:r w:rsidRPr="000F4052">
        <w:rPr>
          <w:rFonts w:ascii="Garamond" w:hAnsi="Garamond"/>
        </w:rPr>
        <w:t>ruble’s</w:t>
      </w:r>
      <w:proofErr w:type="spellEnd"/>
      <w:r w:rsidRPr="000F4052">
        <w:rPr>
          <w:rFonts w:ascii="Garamond" w:hAnsi="Garamond"/>
        </w:rPr>
        <w:t xml:space="preserve"> depreciation and </w:t>
      </w:r>
      <w:r w:rsidRPr="000F4052">
        <w:rPr>
          <w:rFonts w:ascii="Garamond" w:hAnsi="Garamond"/>
        </w:rPr>
        <w:lastRenderedPageBreak/>
        <w:t xml:space="preserve">ensuing inflation, the CBR raised its policy interest rate by 10.5 percentage points in late February, to 20 percent; it subsequently reduced it to 17 percent on April 8th as pressures on the </w:t>
      </w:r>
      <w:proofErr w:type="spellStart"/>
      <w:r w:rsidRPr="000F4052">
        <w:rPr>
          <w:rFonts w:ascii="Garamond" w:hAnsi="Garamond"/>
        </w:rPr>
        <w:t>ruble</w:t>
      </w:r>
      <w:proofErr w:type="spellEnd"/>
      <w:r w:rsidRPr="000F4052">
        <w:rPr>
          <w:rFonts w:ascii="Garamond" w:hAnsi="Garamond"/>
        </w:rPr>
        <w:t xml:space="preserve"> abated. In late March, the Russian government had announced it would require European energy imports to be invoiced in </w:t>
      </w:r>
      <w:proofErr w:type="spellStart"/>
      <w:r w:rsidRPr="000F4052">
        <w:rPr>
          <w:rFonts w:ascii="Garamond" w:hAnsi="Garamond"/>
        </w:rPr>
        <w:t>rubles</w:t>
      </w:r>
      <w:proofErr w:type="spellEnd"/>
      <w:r w:rsidRPr="000F4052">
        <w:rPr>
          <w:rFonts w:ascii="Garamond" w:hAnsi="Garamond"/>
        </w:rPr>
        <w:t xml:space="preserve">. European countries have resisted the proposed change of payment terms and it is as yet unclear whether or how it will be enforced. </w:t>
      </w:r>
    </w:p>
    <w:p w14:paraId="55DEC1F9" w14:textId="77777777" w:rsidR="000F4052" w:rsidRPr="000F4052" w:rsidRDefault="000F4052" w:rsidP="000F4052">
      <w:pPr>
        <w:spacing w:before="100" w:beforeAutospacing="1" w:after="100" w:afterAutospacing="1" w:line="360" w:lineRule="auto"/>
        <w:jc w:val="both"/>
        <w:rPr>
          <w:rFonts w:ascii="Garamond" w:hAnsi="Garamond"/>
        </w:rPr>
      </w:pPr>
      <w:r w:rsidRPr="00AD2983">
        <w:rPr>
          <w:rFonts w:ascii="Garamond" w:hAnsi="Garamond"/>
        </w:rPr>
        <w:t>Russia has been assigned a “selective default” credit rating, and credit default swap prices indicate a high probability of future sovereign default.</w:t>
      </w:r>
      <w:r w:rsidRPr="000F4052">
        <w:rPr>
          <w:rFonts w:ascii="Garamond" w:hAnsi="Garamond"/>
          <w:b/>
          <w:bCs/>
        </w:rPr>
        <w:t xml:space="preserve"> </w:t>
      </w:r>
      <w:r w:rsidRPr="000F4052">
        <w:rPr>
          <w:rFonts w:ascii="Garamond" w:hAnsi="Garamond"/>
        </w:rPr>
        <w:t xml:space="preserve">The likelihood of a sovereign default increased in April when the Russia attempted to service international debt in </w:t>
      </w:r>
      <w:proofErr w:type="spellStart"/>
      <w:r w:rsidRPr="000F4052">
        <w:rPr>
          <w:rFonts w:ascii="Garamond" w:hAnsi="Garamond"/>
        </w:rPr>
        <w:t>rubles</w:t>
      </w:r>
      <w:proofErr w:type="spellEnd"/>
      <w:r w:rsidRPr="000F4052">
        <w:rPr>
          <w:rFonts w:ascii="Garamond" w:hAnsi="Garamond"/>
        </w:rPr>
        <w:t xml:space="preserve"> rather than dollars, following moves by the U.S. government to block Russian debt service payments made from dollar accounts held with U.S. financial institutions. Subsequently, S&amp;P Global Ratings assigned a “selective default” rating to Russia, indicating that it was unlikely the </w:t>
      </w:r>
      <w:proofErr w:type="spellStart"/>
      <w:r w:rsidRPr="000F4052">
        <w:rPr>
          <w:rFonts w:ascii="Garamond" w:hAnsi="Garamond"/>
        </w:rPr>
        <w:t>ruble</w:t>
      </w:r>
      <w:proofErr w:type="spellEnd"/>
      <w:r w:rsidRPr="000F4052">
        <w:rPr>
          <w:rFonts w:ascii="Garamond" w:hAnsi="Garamond"/>
        </w:rPr>
        <w:t xml:space="preserve"> payments would be converted to dollars within a 30-day grace period, starting April 4th, 2022 (Govind 2022). On April 11th, a creditor committee determined that Russian Railways was in default on participation notes in a Swiss franc-denominated loan, marking the first international default by a Russian entity since the war started (</w:t>
      </w:r>
      <w:proofErr w:type="spellStart"/>
      <w:r w:rsidRPr="000F4052">
        <w:rPr>
          <w:rFonts w:ascii="Garamond" w:hAnsi="Garamond"/>
        </w:rPr>
        <w:t>Strohecker</w:t>
      </w:r>
      <w:proofErr w:type="spellEnd"/>
      <w:r w:rsidRPr="000F4052">
        <w:rPr>
          <w:rFonts w:ascii="Garamond" w:hAnsi="Garamond"/>
        </w:rPr>
        <w:t xml:space="preserve"> and Do Rosario 2022). </w:t>
      </w:r>
    </w:p>
    <w:p w14:paraId="0F7692E7" w14:textId="5E780D26" w:rsidR="000F4052" w:rsidRPr="00E630EF" w:rsidRDefault="000F4052" w:rsidP="000F4052">
      <w:pPr>
        <w:spacing w:before="100" w:beforeAutospacing="1" w:after="100" w:afterAutospacing="1" w:line="360" w:lineRule="auto"/>
        <w:jc w:val="both"/>
        <w:rPr>
          <w:rFonts w:ascii="Garamond" w:hAnsi="Garamond"/>
        </w:rPr>
      </w:pPr>
      <w:r w:rsidRPr="000F4052">
        <w:rPr>
          <w:rFonts w:ascii="Garamond" w:hAnsi="Garamond"/>
        </w:rPr>
        <w:t xml:space="preserve">High-frequency indicators point to a sharp decline in economic activity in March, with the composite PMI falling deep into contractionary territory as sanctions trigger a collapse in domestic demand. Inflation soared alongside the initial depreciation of the </w:t>
      </w:r>
      <w:proofErr w:type="spellStart"/>
      <w:r w:rsidRPr="000F4052">
        <w:rPr>
          <w:rFonts w:ascii="Garamond" w:hAnsi="Garamond"/>
        </w:rPr>
        <w:t>ruble</w:t>
      </w:r>
      <w:proofErr w:type="spellEnd"/>
      <w:r w:rsidRPr="000F4052">
        <w:rPr>
          <w:rFonts w:ascii="Garamond" w:hAnsi="Garamond"/>
        </w:rPr>
        <w:t xml:space="preserve"> and supply shortages, rising from 9.2 percent (y/y) in February to 16.7 percent (y/y) in March. For this year as a whole, Russia’s GDP is projected to contract by about 11 percent compared to previous projections for a 2.4 percent expansion (World Bank 2022b). The withdrawal of many foreign enterprises from Russia and a sharply deteriorated outlook will dry up investment, while pressure on households from fast-rising prices and declining incomes will weigh heavily on consumption; this will only be partly offset by fiscal policy support. Import compression due to the plunge in demand and export bans to Russia will ameliorate external financing. Nonetheless, the disruption of imports has already interrupted domestic production, including in the automobile and aerospace sectors. Announced bans and reductions in purchases of Russian oil and gas are expected to lead to a moderate fall in shipments this year. Exports of key high-tech goods—including software and semiconductors—to Russia have been banned which </w:t>
      </w:r>
      <w:r w:rsidRPr="00E630EF">
        <w:rPr>
          <w:rFonts w:ascii="Garamond" w:hAnsi="Garamond"/>
        </w:rPr>
        <w:t xml:space="preserve">will starve it of critical inputs and exacerbate supply chain disruptions in the country. The current </w:t>
      </w:r>
      <w:r w:rsidRPr="00E630EF">
        <w:rPr>
          <w:rFonts w:ascii="Garamond" w:hAnsi="Garamond"/>
        </w:rPr>
        <w:lastRenderedPageBreak/>
        <w:t>package of sanctions will have a lasting negative effect on Russia by curtailing oil production due to the exit of foreign oil companies, fall in investment, and reduced access to foreign technology.</w:t>
      </w:r>
    </w:p>
    <w:p w14:paraId="3999AD77" w14:textId="30F267DC" w:rsidR="00116991" w:rsidRPr="00E630EF" w:rsidRDefault="00116991" w:rsidP="000F4052">
      <w:pPr>
        <w:spacing w:before="100" w:beforeAutospacing="1" w:after="100" w:afterAutospacing="1" w:line="360" w:lineRule="auto"/>
        <w:jc w:val="both"/>
        <w:rPr>
          <w:rFonts w:ascii="Garamond" w:hAnsi="Garamond"/>
        </w:rPr>
      </w:pPr>
      <w:r w:rsidRPr="00E630EF">
        <w:rPr>
          <w:rFonts w:ascii="Garamond" w:hAnsi="Garamond"/>
          <w:b/>
          <w:bCs/>
        </w:rPr>
        <w:t>Impact on Europe</w:t>
      </w:r>
    </w:p>
    <w:p w14:paraId="5E872F33" w14:textId="2EB6DEF1" w:rsidR="00116991" w:rsidRPr="00AD2983" w:rsidRDefault="00116991" w:rsidP="00116991">
      <w:pPr>
        <w:spacing w:before="100" w:beforeAutospacing="1" w:after="100" w:afterAutospacing="1" w:line="360" w:lineRule="auto"/>
        <w:jc w:val="both"/>
        <w:rPr>
          <w:rFonts w:ascii="Garamond" w:hAnsi="Garamond"/>
        </w:rPr>
      </w:pPr>
      <w:r w:rsidRPr="00AD2983">
        <w:rPr>
          <w:rFonts w:ascii="Garamond" w:hAnsi="Garamond"/>
        </w:rPr>
        <w:t>Several economies in Europe and Central Asia (ECA) have been particularly hard hit because of strong linkages with Russia and, to a lesser extent, Ukraine</w:t>
      </w:r>
      <w:r w:rsidRPr="00116991">
        <w:rPr>
          <w:rFonts w:ascii="Garamond" w:hAnsi="Garamond"/>
          <w:b/>
          <w:bCs/>
        </w:rPr>
        <w:t xml:space="preserve">. </w:t>
      </w:r>
      <w:r w:rsidRPr="00116991">
        <w:rPr>
          <w:rFonts w:ascii="Garamond" w:hAnsi="Garamond"/>
        </w:rPr>
        <w:t xml:space="preserve">Linkages through trade, remittance, commodity, and confidence channels are especially tight in Eastern Europe, the South Caucasus, and Central Asia (figures 2.B and 2.C). A steep slowdown in Russia and Ukraine will affect </w:t>
      </w:r>
      <w:r w:rsidR="00AD2983" w:rsidRPr="00116991">
        <w:rPr>
          <w:rFonts w:ascii="Garamond" w:hAnsi="Garamond"/>
        </w:rPr>
        <w:t>neighbouring</w:t>
      </w:r>
      <w:r w:rsidRPr="00116991">
        <w:rPr>
          <w:rFonts w:ascii="Garamond" w:hAnsi="Garamond"/>
        </w:rPr>
        <w:t xml:space="preserve"> countries through disruptions to trade, financial, and remittance flows; severance of supply chains and transport links; impacts on digital connectivity and associated services; and heightened risk perceptions by investors. Higher energy prices are having important knock-on effects on the affordability and financial viability of electricity and heating services. Remittances from Russia account for a sizable share of GDP in economies such as Tajikistan and the Kyrgyz Republic. The real value of remittances from Russia is expected to drop substantially through a combination of reduced economic activity and a weaker </w:t>
      </w:r>
      <w:proofErr w:type="spellStart"/>
      <w:r w:rsidRPr="00116991">
        <w:rPr>
          <w:rFonts w:ascii="Garamond" w:hAnsi="Garamond"/>
        </w:rPr>
        <w:t>ruble</w:t>
      </w:r>
      <w:proofErr w:type="spellEnd"/>
      <w:r w:rsidRPr="00116991">
        <w:rPr>
          <w:rFonts w:ascii="Garamond" w:hAnsi="Garamond"/>
        </w:rPr>
        <w:t xml:space="preserve">. Russia, and to a lesser extent Ukraine, </w:t>
      </w:r>
      <w:r w:rsidRPr="00AD2983">
        <w:rPr>
          <w:rFonts w:ascii="Garamond" w:hAnsi="Garamond"/>
        </w:rPr>
        <w:t>are also major export destinations for several ECA economies and an important source of tourists to some countries in the region. Overall, growth in ECA excluding Russia and Ukraine is set to slow sharply from 7.8 percent in 2021 to 2.2 percent in 2022 (World Bank 2022b).</w:t>
      </w:r>
    </w:p>
    <w:p w14:paraId="6AFD68D8" w14:textId="4C347185" w:rsidR="00116991" w:rsidRPr="00116991" w:rsidRDefault="00116991" w:rsidP="00116991">
      <w:pPr>
        <w:spacing w:before="100" w:beforeAutospacing="1" w:after="100" w:afterAutospacing="1" w:line="360" w:lineRule="auto"/>
        <w:jc w:val="both"/>
        <w:rPr>
          <w:rFonts w:ascii="Garamond" w:hAnsi="Garamond"/>
        </w:rPr>
      </w:pPr>
      <w:r w:rsidRPr="00AD2983">
        <w:rPr>
          <w:rFonts w:ascii="Garamond" w:hAnsi="Garamond"/>
        </w:rPr>
        <w:t xml:space="preserve">Energy and agricultural commodity prices have surged. </w:t>
      </w:r>
      <w:r w:rsidRPr="00116991">
        <w:rPr>
          <w:rFonts w:ascii="Garamond" w:hAnsi="Garamond"/>
        </w:rPr>
        <w:t>Price increases have been large for commodities where Russia and Ukraine are key exporters. Since the beginning of the war, coal prices have jumped by 60 percent, European natural gas by more than 30 percent, and wheat prices by around 40 percent. Brent crude oil prices reached a 10-year-high of $130 per barrel at the beginning of March as the UK and US banned Russian oil imports; however, prices later fell to close to $110 per barrel. Prices have been extremely volatile, with very large intraday moves, and in the case of oil, shifts in futures curves. Sanctions on financial intermediaries have also made it costlier to settle transactions involving Russian oil. Russia has struggled to find buyers for its crude as a result, and the price of Urals (the Russian benchmark) has been trading at a discount of more than $25/</w:t>
      </w:r>
      <w:proofErr w:type="spellStart"/>
      <w:r w:rsidRPr="00116991">
        <w:rPr>
          <w:rFonts w:ascii="Garamond" w:hAnsi="Garamond"/>
        </w:rPr>
        <w:t>bbl</w:t>
      </w:r>
      <w:proofErr w:type="spellEnd"/>
      <w:r w:rsidRPr="00116991">
        <w:rPr>
          <w:rFonts w:ascii="Garamond" w:hAnsi="Garamond"/>
        </w:rPr>
        <w:t xml:space="preserve"> relative to Brent. As noted earlier, the increases in the price of agricultural commodities and related inputs such as fertilizers are particularly pernicious, as they compound the impact on poor and vulnerable groups. </w:t>
      </w:r>
    </w:p>
    <w:p w14:paraId="16AC1750" w14:textId="4A7A7647" w:rsidR="00116991" w:rsidRPr="00116991" w:rsidRDefault="00116991" w:rsidP="00116991">
      <w:pPr>
        <w:spacing w:before="100" w:beforeAutospacing="1" w:after="100" w:afterAutospacing="1" w:line="360" w:lineRule="auto"/>
        <w:jc w:val="both"/>
        <w:rPr>
          <w:rFonts w:ascii="Garamond" w:hAnsi="Garamond"/>
        </w:rPr>
      </w:pPr>
      <w:r w:rsidRPr="00AD2983">
        <w:rPr>
          <w:rFonts w:ascii="Garamond" w:hAnsi="Garamond"/>
        </w:rPr>
        <w:lastRenderedPageBreak/>
        <w:t>The rise in commodity prices comes on top of sharp increases since January 2022.</w:t>
      </w:r>
      <w:r w:rsidRPr="00116991">
        <w:rPr>
          <w:rFonts w:ascii="Garamond" w:hAnsi="Garamond"/>
          <w:b/>
          <w:bCs/>
        </w:rPr>
        <w:t xml:space="preserve"> </w:t>
      </w:r>
      <w:r w:rsidRPr="00116991">
        <w:rPr>
          <w:rFonts w:ascii="Garamond" w:hAnsi="Garamond"/>
        </w:rPr>
        <w:t xml:space="preserve">In addition to geopolitical risk premia, the overall rise in prices has been driven by rebounding demand for commodities as the global economy recovers. Production among OPEC+ countries </w:t>
      </w:r>
      <w:proofErr w:type="gramStart"/>
      <w:r w:rsidRPr="00116991">
        <w:rPr>
          <w:rFonts w:ascii="Garamond" w:hAnsi="Garamond"/>
        </w:rPr>
        <w:t>has</w:t>
      </w:r>
      <w:proofErr w:type="gramEnd"/>
      <w:r w:rsidRPr="00116991">
        <w:rPr>
          <w:rFonts w:ascii="Garamond" w:hAnsi="Garamond"/>
        </w:rPr>
        <w:t xml:space="preserve"> also been weaker than expected. Higher energy costs have pushed up prices of other energy-intensive commodities, such as fertilizers and </w:t>
      </w:r>
      <w:proofErr w:type="spellStart"/>
      <w:r w:rsidRPr="00116991">
        <w:rPr>
          <w:rFonts w:ascii="Garamond" w:hAnsi="Garamond"/>
        </w:rPr>
        <w:t>aluminum</w:t>
      </w:r>
      <w:proofErr w:type="spellEnd"/>
      <w:r w:rsidRPr="00116991">
        <w:rPr>
          <w:rFonts w:ascii="Garamond" w:hAnsi="Garamond"/>
        </w:rPr>
        <w:t xml:space="preserve">. Inventories of industrial commodities have fallen sharply, particularly for crude oil and tin. </w:t>
      </w:r>
    </w:p>
    <w:p w14:paraId="441ED104" w14:textId="667420E0" w:rsidR="00457A44" w:rsidRPr="00457A44" w:rsidRDefault="00116991" w:rsidP="00457A44">
      <w:pPr>
        <w:spacing w:before="100" w:beforeAutospacing="1" w:after="100" w:afterAutospacing="1" w:line="360" w:lineRule="auto"/>
        <w:jc w:val="both"/>
        <w:rPr>
          <w:rFonts w:ascii="Garamond" w:hAnsi="Garamond"/>
          <w:lang w:val="en-NG"/>
        </w:rPr>
      </w:pPr>
      <w:r w:rsidRPr="00AD2983">
        <w:rPr>
          <w:rFonts w:ascii="Garamond" w:hAnsi="Garamond"/>
        </w:rPr>
        <w:t>Europe’s dependence on Russia for energy renders its economy vulnerable.</w:t>
      </w:r>
      <w:r w:rsidRPr="00116991">
        <w:rPr>
          <w:rFonts w:ascii="Garamond" w:hAnsi="Garamond"/>
          <w:b/>
          <w:bCs/>
        </w:rPr>
        <w:t xml:space="preserve"> </w:t>
      </w:r>
      <w:r w:rsidRPr="00116991">
        <w:rPr>
          <w:rFonts w:ascii="Garamond" w:hAnsi="Garamond"/>
        </w:rPr>
        <w:t xml:space="preserve">The euro area is grappling with a 400 percent increase in gas prices and a doubling of oil prices since January 2021. Increasing </w:t>
      </w:r>
      <w:r w:rsidR="00457A44" w:rsidRPr="00457A44">
        <w:rPr>
          <w:rFonts w:ascii="Garamond" w:hAnsi="Garamond"/>
          <w:lang w:val="en-NG"/>
        </w:rPr>
        <w:t xml:space="preserve">energy prices account for nearly two thirds of the 7.5 percent increase in euro area annual inflation in March 2022 and are weighing on euro area production costs and purchasing power. Should Russia curtail exports of crude oil and/or natural gas to Europe, regional prices would spike further—Russian exports account for more than 35 percent of the euro area’s imports of natural gas, more than 20 percent of oil, and 40 percent of coal (Bachmann et al. 2022). Russia is also dependent on the euro area for its exports, with around 40 percent of its crude oil and natural gas going to the euro area. While Russia may eventually be able to redirect some of its exports of gas and oil to others, this will be constrained by the existing pipeline infrastructure. </w:t>
      </w:r>
    </w:p>
    <w:p w14:paraId="6D4558CC" w14:textId="36AC8DFD" w:rsidR="00457A44" w:rsidRPr="00457A44" w:rsidRDefault="00457A44" w:rsidP="00457A44">
      <w:pPr>
        <w:spacing w:before="100" w:beforeAutospacing="1" w:after="100" w:afterAutospacing="1" w:line="360" w:lineRule="auto"/>
        <w:jc w:val="both"/>
        <w:rPr>
          <w:rFonts w:ascii="Garamond" w:hAnsi="Garamond"/>
          <w:lang w:val="en-NG"/>
        </w:rPr>
      </w:pPr>
      <w:r w:rsidRPr="00457A44">
        <w:rPr>
          <w:rFonts w:ascii="Garamond" w:hAnsi="Garamond"/>
          <w:lang w:val="en-NG"/>
        </w:rPr>
        <w:t xml:space="preserve">Russia and Ukraine account for more than 75 percent of imports of wheat in many countries, especially in ECA, MNA, and SSA. Similarly, for corn and seed oils, Ukraine accounts for a large share of imports of some countries. Ukraine’s wheat production is concentrated in the South and East of the country where the conflict is most intense, and the spring planting season for other key crops such as corn, barley, and sunflowers is expected to be partially disrupted. Logistics relating to transporting crops also remain a challenge; about 90 percent of Ukraine’s grain trade flows through Black Sea ports that are not currently operational. Russia has recommended that fertilizer manufacturers halt exports of fertilizer, which will hinder food production in parts of the world, since Russia is the largest exporter of fertilizers, accounting for 13 percent of global exports. </w:t>
      </w:r>
    </w:p>
    <w:p w14:paraId="6898DB7D" w14:textId="38F46361" w:rsidR="00116991" w:rsidRPr="00457A44" w:rsidRDefault="00457A44" w:rsidP="00457A44">
      <w:pPr>
        <w:spacing w:before="100" w:beforeAutospacing="1" w:after="100" w:afterAutospacing="1" w:line="360" w:lineRule="auto"/>
        <w:jc w:val="both"/>
        <w:rPr>
          <w:rFonts w:ascii="Garamond" w:hAnsi="Garamond"/>
          <w:lang w:val="en-NG"/>
        </w:rPr>
      </w:pPr>
      <w:r w:rsidRPr="00AD2983">
        <w:rPr>
          <w:rFonts w:ascii="Garamond" w:hAnsi="Garamond"/>
          <w:lang w:val="en-NG"/>
        </w:rPr>
        <w:t>Conversely, net commodity exporters, particularly energy exporters, may benefit in the near term from higher commodity prices.</w:t>
      </w:r>
      <w:r w:rsidRPr="00457A44">
        <w:rPr>
          <w:rFonts w:ascii="Garamond" w:hAnsi="Garamond"/>
          <w:lang w:val="en-NG"/>
        </w:rPr>
        <w:t xml:space="preserve"> The impact is likely to be largest in some Organization of Petroleum Exporting Countries (OPEC) and other energy exporters, especially in Latin America, which will see increased export and fiscal revenues, although some of the windfall may be limited by previous </w:t>
      </w:r>
      <w:r w:rsidRPr="00457A44">
        <w:rPr>
          <w:rFonts w:ascii="Garamond" w:hAnsi="Garamond"/>
          <w:lang w:val="en-NG"/>
        </w:rPr>
        <w:lastRenderedPageBreak/>
        <w:t>hedging activity. Among some exporters of non-energy commodities, however, the benefits of higher prices will be eroded by increased input costs from energy and fertilizer.</w:t>
      </w:r>
    </w:p>
    <w:p w14:paraId="5C4F4346" w14:textId="7C14B211" w:rsidR="000F4052" w:rsidRPr="00E630EF" w:rsidRDefault="000F4052" w:rsidP="000F4052">
      <w:pPr>
        <w:spacing w:before="100" w:beforeAutospacing="1" w:after="100" w:afterAutospacing="1" w:line="360" w:lineRule="auto"/>
        <w:jc w:val="both"/>
        <w:rPr>
          <w:rFonts w:ascii="Garamond" w:hAnsi="Garamond"/>
          <w:b/>
          <w:bCs/>
        </w:rPr>
      </w:pPr>
      <w:r w:rsidRPr="00E630EF">
        <w:rPr>
          <w:rFonts w:ascii="Garamond" w:hAnsi="Garamond"/>
          <w:b/>
          <w:bCs/>
        </w:rPr>
        <w:t>Conclusion</w:t>
      </w:r>
    </w:p>
    <w:p w14:paraId="5DA03B5F" w14:textId="5201A9A3" w:rsidR="00265FA2" w:rsidRPr="00E630EF" w:rsidRDefault="00265FA2" w:rsidP="000F4052">
      <w:pPr>
        <w:spacing w:before="100" w:beforeAutospacing="1" w:after="100" w:afterAutospacing="1" w:line="360" w:lineRule="auto"/>
        <w:jc w:val="both"/>
        <w:rPr>
          <w:rFonts w:ascii="Garamond" w:hAnsi="Garamond"/>
        </w:rPr>
      </w:pPr>
      <w:r w:rsidRPr="00E630EF">
        <w:rPr>
          <w:rFonts w:ascii="Garamond" w:hAnsi="Garamond"/>
        </w:rPr>
        <w:t xml:space="preserve">The 2022 Russia-Ukraine war can be summarized in the words of Antony Blinken, the US Secretary of State as he stated, “it’s bigger than a conflict between two countries. It’s bigger than Russia and NATO. It’s a crisis with global consequences, and it requires global attention and action” (U.S. Department of State, 2022). The global intensity of this </w:t>
      </w:r>
      <w:r w:rsidR="00AD2983">
        <w:rPr>
          <w:rFonts w:ascii="Garamond" w:hAnsi="Garamond"/>
        </w:rPr>
        <w:t>war</w:t>
      </w:r>
      <w:r w:rsidRPr="00E630EF">
        <w:rPr>
          <w:rFonts w:ascii="Garamond" w:hAnsi="Garamond"/>
        </w:rPr>
        <w:t xml:space="preserve"> can be felt in President Biden’s speech on March 08</w:t>
      </w:r>
      <w:r w:rsidR="00AD2983" w:rsidRPr="00E630EF">
        <w:rPr>
          <w:rFonts w:ascii="Garamond" w:hAnsi="Garamond"/>
        </w:rPr>
        <w:t>, 2022,</w:t>
      </w:r>
      <w:r w:rsidRPr="00E630EF">
        <w:rPr>
          <w:rFonts w:ascii="Garamond" w:hAnsi="Garamond"/>
        </w:rPr>
        <w:t xml:space="preserve"> as he said, “Russia’s aggression is costing us all, and it’s no time for profiteering or price gouging” (The White House, 2022). Several articles have focused on the impact of the Russia-Ukraine tension on both nations, with a primary focus on Russia given the intense global financial sanctions currently plaguing its economy. Thus, to deviate from the current trend of write-ups, this study is focused on the economic impact of the recent 2022 Russia-Ukraine war on major global economic actors, specifically, those who have unleashed intense financial sanctions on Russia like the EU. We used the Social Contract Theory and the Interest Group Theory in an attempt to explain the origin of this conflict using a political philosophy lens. It is evident that each party Russia, Ukraine, and NATO seek to secure the lives and properties of its citizens/members (Social Contract Theory</w:t>
      </w:r>
      <w:proofErr w:type="gramStart"/>
      <w:r w:rsidRPr="00E630EF">
        <w:rPr>
          <w:rFonts w:ascii="Garamond" w:hAnsi="Garamond"/>
        </w:rPr>
        <w:t>)</w:t>
      </w:r>
      <w:proofErr w:type="gramEnd"/>
      <w:r w:rsidRPr="00E630EF">
        <w:rPr>
          <w:rFonts w:ascii="Garamond" w:hAnsi="Garamond"/>
        </w:rPr>
        <w:t xml:space="preserve"> but their strategies are stepping on each other's interests (Interest Group Theory). Ukraine’s interest in joining NATO is a threat to Russia, who </w:t>
      </w:r>
      <w:r w:rsidR="00AD2983" w:rsidRPr="00E630EF">
        <w:rPr>
          <w:rFonts w:ascii="Garamond" w:hAnsi="Garamond"/>
        </w:rPr>
        <w:t>“has</w:t>
      </w:r>
      <w:r w:rsidRPr="00E630EF">
        <w:rPr>
          <w:rFonts w:ascii="Garamond" w:hAnsi="Garamond"/>
        </w:rPr>
        <w:t xml:space="preserve"> repeatedly turned away from agreements that have kept the peace across the continent for decades. And it continues to take aim at NATO, a defensive, voluntary alliance that protects nearly a billion people across Europe and North America, and at the governing principles of international peace and security that we all have a stake in defending” as stated by Antony Blinken (U.S. Department of State, 2022). This resistance led to Russia’s February 2022 attack on Ukraine followed by severed global financial sanctions unleashed on Russia by major global economic actors. Although these sanctions would severely impact Russia’s economy, their impact would be felt globally. From the above pieces of literature reviewed, it is evident that this crisis would lead to higher inflation, reduction in household consumption due to higher prices (oil, gas, wheat, minerals), supply chain disruptions, uncertainty, economic growth impediments, reduction in investment, and stock swings globally and in Europe in particular since both countries are significant exporters to Europe. It is therefore important for policymakers in these countries that significantly rely on Russia for vital commodity imports to begin negotiations on alternative means of survival if </w:t>
      </w:r>
      <w:r w:rsidRPr="00E630EF">
        <w:rPr>
          <w:rFonts w:ascii="Garamond" w:hAnsi="Garamond"/>
        </w:rPr>
        <w:lastRenderedPageBreak/>
        <w:t xml:space="preserve">Russia decides to react by punishing the west through restrictions on exports, as well as </w:t>
      </w:r>
      <w:r w:rsidR="000F4052" w:rsidRPr="00E630EF">
        <w:rPr>
          <w:rFonts w:ascii="Garamond" w:hAnsi="Garamond"/>
        </w:rPr>
        <w:t>sponsored</w:t>
      </w:r>
      <w:r w:rsidRPr="00E630EF">
        <w:rPr>
          <w:rFonts w:ascii="Garamond" w:hAnsi="Garamond"/>
        </w:rPr>
        <w:t xml:space="preserve"> ‘inhouse’ production of such vita commodities if possible. It is worth noting that is</w:t>
      </w:r>
      <w:r w:rsidR="000F4052" w:rsidRPr="00E630EF">
        <w:rPr>
          <w:rFonts w:ascii="Garamond" w:hAnsi="Garamond"/>
        </w:rPr>
        <w:t xml:space="preserve"> </w:t>
      </w:r>
      <w:r w:rsidRPr="00E630EF">
        <w:rPr>
          <w:rFonts w:ascii="Garamond" w:hAnsi="Garamond"/>
        </w:rPr>
        <w:t>study is limited to the economic impacts of the Russia-</w:t>
      </w:r>
      <w:r w:rsidR="00AD2983" w:rsidRPr="00E630EF">
        <w:rPr>
          <w:rFonts w:ascii="Garamond" w:hAnsi="Garamond"/>
        </w:rPr>
        <w:t>Ukraine</w:t>
      </w:r>
      <w:r w:rsidRPr="00E630EF">
        <w:rPr>
          <w:rFonts w:ascii="Garamond" w:hAnsi="Garamond"/>
        </w:rPr>
        <w:t xml:space="preserve"> war on the USA, Canada, UK, and</w:t>
      </w:r>
      <w:r w:rsidR="000F4052" w:rsidRPr="00E630EF">
        <w:rPr>
          <w:rFonts w:ascii="Garamond" w:hAnsi="Garamond"/>
        </w:rPr>
        <w:t xml:space="preserve"> </w:t>
      </w:r>
      <w:r w:rsidRPr="00E630EF">
        <w:rPr>
          <w:rFonts w:ascii="Garamond" w:hAnsi="Garamond"/>
        </w:rPr>
        <w:t>EU. Further research could focus on the political or social-cultural impact of this crisis.</w:t>
      </w:r>
    </w:p>
    <w:sectPr w:rsidR="00265FA2" w:rsidRPr="00E630E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2"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22F60"/>
    <w:multiLevelType w:val="multilevel"/>
    <w:tmpl w:val="640237A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68CC3492"/>
    <w:multiLevelType w:val="multilevel"/>
    <w:tmpl w:val="F474ADC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1096557775">
    <w:abstractNumId w:val="1"/>
  </w:num>
  <w:num w:numId="2" w16cid:durableId="16051177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71F"/>
    <w:rsid w:val="000F4052"/>
    <w:rsid w:val="00116991"/>
    <w:rsid w:val="001A5FE2"/>
    <w:rsid w:val="00265FA2"/>
    <w:rsid w:val="00457A44"/>
    <w:rsid w:val="00511328"/>
    <w:rsid w:val="00545532"/>
    <w:rsid w:val="005F66EA"/>
    <w:rsid w:val="00A837DD"/>
    <w:rsid w:val="00AD2983"/>
    <w:rsid w:val="00D15400"/>
    <w:rsid w:val="00E630EF"/>
    <w:rsid w:val="00FE371F"/>
  </w:rsids>
  <m:mathPr>
    <m:mathFont m:val="Cambria Math"/>
    <m:brkBin m:val="before"/>
    <m:brkBinSub m:val="--"/>
    <m:smallFrac m:val="0"/>
    <m:dispDef/>
    <m:lMargin m:val="0"/>
    <m:rMargin m:val="0"/>
    <m:defJc m:val="centerGroup"/>
    <m:wrapIndent m:val="1440"/>
    <m:intLim m:val="subSup"/>
    <m:naryLim m:val="undOvr"/>
  </m:mathPr>
  <w:themeFontLang w:val="en-NG"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7F824B79"/>
  <w15:chartTrackingRefBased/>
  <w15:docId w15:val="{45C30B7B-8616-F74A-B4F8-CAF4728E4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NG"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F4052"/>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793706">
      <w:bodyDiv w:val="1"/>
      <w:marLeft w:val="0"/>
      <w:marRight w:val="0"/>
      <w:marTop w:val="0"/>
      <w:marBottom w:val="0"/>
      <w:divBdr>
        <w:top w:val="none" w:sz="0" w:space="0" w:color="auto"/>
        <w:left w:val="none" w:sz="0" w:space="0" w:color="auto"/>
        <w:bottom w:val="none" w:sz="0" w:space="0" w:color="auto"/>
        <w:right w:val="none" w:sz="0" w:space="0" w:color="auto"/>
      </w:divBdr>
      <w:divsChild>
        <w:div w:id="1798907376">
          <w:marLeft w:val="0"/>
          <w:marRight w:val="0"/>
          <w:marTop w:val="0"/>
          <w:marBottom w:val="0"/>
          <w:divBdr>
            <w:top w:val="none" w:sz="0" w:space="0" w:color="auto"/>
            <w:left w:val="none" w:sz="0" w:space="0" w:color="auto"/>
            <w:bottom w:val="none" w:sz="0" w:space="0" w:color="auto"/>
            <w:right w:val="none" w:sz="0" w:space="0" w:color="auto"/>
          </w:divBdr>
          <w:divsChild>
            <w:div w:id="121728451">
              <w:marLeft w:val="0"/>
              <w:marRight w:val="0"/>
              <w:marTop w:val="0"/>
              <w:marBottom w:val="0"/>
              <w:divBdr>
                <w:top w:val="none" w:sz="0" w:space="0" w:color="auto"/>
                <w:left w:val="none" w:sz="0" w:space="0" w:color="auto"/>
                <w:bottom w:val="none" w:sz="0" w:space="0" w:color="auto"/>
                <w:right w:val="none" w:sz="0" w:space="0" w:color="auto"/>
              </w:divBdr>
              <w:divsChild>
                <w:div w:id="1190795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70789">
      <w:bodyDiv w:val="1"/>
      <w:marLeft w:val="0"/>
      <w:marRight w:val="0"/>
      <w:marTop w:val="0"/>
      <w:marBottom w:val="0"/>
      <w:divBdr>
        <w:top w:val="none" w:sz="0" w:space="0" w:color="auto"/>
        <w:left w:val="none" w:sz="0" w:space="0" w:color="auto"/>
        <w:bottom w:val="none" w:sz="0" w:space="0" w:color="auto"/>
        <w:right w:val="none" w:sz="0" w:space="0" w:color="auto"/>
      </w:divBdr>
      <w:divsChild>
        <w:div w:id="1022049348">
          <w:marLeft w:val="0"/>
          <w:marRight w:val="0"/>
          <w:marTop w:val="0"/>
          <w:marBottom w:val="0"/>
          <w:divBdr>
            <w:top w:val="none" w:sz="0" w:space="0" w:color="auto"/>
            <w:left w:val="none" w:sz="0" w:space="0" w:color="auto"/>
            <w:bottom w:val="none" w:sz="0" w:space="0" w:color="auto"/>
            <w:right w:val="none" w:sz="0" w:space="0" w:color="auto"/>
          </w:divBdr>
          <w:divsChild>
            <w:div w:id="1525442409">
              <w:marLeft w:val="0"/>
              <w:marRight w:val="0"/>
              <w:marTop w:val="0"/>
              <w:marBottom w:val="0"/>
              <w:divBdr>
                <w:top w:val="none" w:sz="0" w:space="0" w:color="auto"/>
                <w:left w:val="none" w:sz="0" w:space="0" w:color="auto"/>
                <w:bottom w:val="none" w:sz="0" w:space="0" w:color="auto"/>
                <w:right w:val="none" w:sz="0" w:space="0" w:color="auto"/>
              </w:divBdr>
              <w:divsChild>
                <w:div w:id="1428307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6061487">
      <w:bodyDiv w:val="1"/>
      <w:marLeft w:val="0"/>
      <w:marRight w:val="0"/>
      <w:marTop w:val="0"/>
      <w:marBottom w:val="0"/>
      <w:divBdr>
        <w:top w:val="none" w:sz="0" w:space="0" w:color="auto"/>
        <w:left w:val="none" w:sz="0" w:space="0" w:color="auto"/>
        <w:bottom w:val="none" w:sz="0" w:space="0" w:color="auto"/>
        <w:right w:val="none" w:sz="0" w:space="0" w:color="auto"/>
      </w:divBdr>
      <w:divsChild>
        <w:div w:id="1122960888">
          <w:marLeft w:val="0"/>
          <w:marRight w:val="0"/>
          <w:marTop w:val="0"/>
          <w:marBottom w:val="0"/>
          <w:divBdr>
            <w:top w:val="none" w:sz="0" w:space="0" w:color="auto"/>
            <w:left w:val="none" w:sz="0" w:space="0" w:color="auto"/>
            <w:bottom w:val="none" w:sz="0" w:space="0" w:color="auto"/>
            <w:right w:val="none" w:sz="0" w:space="0" w:color="auto"/>
          </w:divBdr>
          <w:divsChild>
            <w:div w:id="1002506576">
              <w:marLeft w:val="0"/>
              <w:marRight w:val="0"/>
              <w:marTop w:val="0"/>
              <w:marBottom w:val="0"/>
              <w:divBdr>
                <w:top w:val="none" w:sz="0" w:space="0" w:color="auto"/>
                <w:left w:val="none" w:sz="0" w:space="0" w:color="auto"/>
                <w:bottom w:val="none" w:sz="0" w:space="0" w:color="auto"/>
                <w:right w:val="none" w:sz="0" w:space="0" w:color="auto"/>
              </w:divBdr>
              <w:divsChild>
                <w:div w:id="683360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832413">
      <w:bodyDiv w:val="1"/>
      <w:marLeft w:val="0"/>
      <w:marRight w:val="0"/>
      <w:marTop w:val="0"/>
      <w:marBottom w:val="0"/>
      <w:divBdr>
        <w:top w:val="none" w:sz="0" w:space="0" w:color="auto"/>
        <w:left w:val="none" w:sz="0" w:space="0" w:color="auto"/>
        <w:bottom w:val="none" w:sz="0" w:space="0" w:color="auto"/>
        <w:right w:val="none" w:sz="0" w:space="0" w:color="auto"/>
      </w:divBdr>
      <w:divsChild>
        <w:div w:id="324862613">
          <w:marLeft w:val="0"/>
          <w:marRight w:val="0"/>
          <w:marTop w:val="0"/>
          <w:marBottom w:val="0"/>
          <w:divBdr>
            <w:top w:val="none" w:sz="0" w:space="0" w:color="auto"/>
            <w:left w:val="none" w:sz="0" w:space="0" w:color="auto"/>
            <w:bottom w:val="none" w:sz="0" w:space="0" w:color="auto"/>
            <w:right w:val="none" w:sz="0" w:space="0" w:color="auto"/>
          </w:divBdr>
          <w:divsChild>
            <w:div w:id="353383648">
              <w:marLeft w:val="0"/>
              <w:marRight w:val="0"/>
              <w:marTop w:val="0"/>
              <w:marBottom w:val="0"/>
              <w:divBdr>
                <w:top w:val="none" w:sz="0" w:space="0" w:color="auto"/>
                <w:left w:val="none" w:sz="0" w:space="0" w:color="auto"/>
                <w:bottom w:val="none" w:sz="0" w:space="0" w:color="auto"/>
                <w:right w:val="none" w:sz="0" w:space="0" w:color="auto"/>
              </w:divBdr>
              <w:divsChild>
                <w:div w:id="1561860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808413">
      <w:bodyDiv w:val="1"/>
      <w:marLeft w:val="0"/>
      <w:marRight w:val="0"/>
      <w:marTop w:val="0"/>
      <w:marBottom w:val="0"/>
      <w:divBdr>
        <w:top w:val="none" w:sz="0" w:space="0" w:color="auto"/>
        <w:left w:val="none" w:sz="0" w:space="0" w:color="auto"/>
        <w:bottom w:val="none" w:sz="0" w:space="0" w:color="auto"/>
        <w:right w:val="none" w:sz="0" w:space="0" w:color="auto"/>
      </w:divBdr>
      <w:divsChild>
        <w:div w:id="1184323004">
          <w:marLeft w:val="0"/>
          <w:marRight w:val="0"/>
          <w:marTop w:val="0"/>
          <w:marBottom w:val="0"/>
          <w:divBdr>
            <w:top w:val="none" w:sz="0" w:space="0" w:color="auto"/>
            <w:left w:val="none" w:sz="0" w:space="0" w:color="auto"/>
            <w:bottom w:val="none" w:sz="0" w:space="0" w:color="auto"/>
            <w:right w:val="none" w:sz="0" w:space="0" w:color="auto"/>
          </w:divBdr>
          <w:divsChild>
            <w:div w:id="1949391370">
              <w:marLeft w:val="0"/>
              <w:marRight w:val="0"/>
              <w:marTop w:val="0"/>
              <w:marBottom w:val="0"/>
              <w:divBdr>
                <w:top w:val="none" w:sz="0" w:space="0" w:color="auto"/>
                <w:left w:val="none" w:sz="0" w:space="0" w:color="auto"/>
                <w:bottom w:val="none" w:sz="0" w:space="0" w:color="auto"/>
                <w:right w:val="none" w:sz="0" w:space="0" w:color="auto"/>
              </w:divBdr>
              <w:divsChild>
                <w:div w:id="91975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096425">
      <w:bodyDiv w:val="1"/>
      <w:marLeft w:val="0"/>
      <w:marRight w:val="0"/>
      <w:marTop w:val="0"/>
      <w:marBottom w:val="0"/>
      <w:divBdr>
        <w:top w:val="none" w:sz="0" w:space="0" w:color="auto"/>
        <w:left w:val="none" w:sz="0" w:space="0" w:color="auto"/>
        <w:bottom w:val="none" w:sz="0" w:space="0" w:color="auto"/>
        <w:right w:val="none" w:sz="0" w:space="0" w:color="auto"/>
      </w:divBdr>
      <w:divsChild>
        <w:div w:id="739521581">
          <w:marLeft w:val="0"/>
          <w:marRight w:val="0"/>
          <w:marTop w:val="0"/>
          <w:marBottom w:val="0"/>
          <w:divBdr>
            <w:top w:val="none" w:sz="0" w:space="0" w:color="auto"/>
            <w:left w:val="none" w:sz="0" w:space="0" w:color="auto"/>
            <w:bottom w:val="none" w:sz="0" w:space="0" w:color="auto"/>
            <w:right w:val="none" w:sz="0" w:space="0" w:color="auto"/>
          </w:divBdr>
          <w:divsChild>
            <w:div w:id="1954247989">
              <w:marLeft w:val="0"/>
              <w:marRight w:val="0"/>
              <w:marTop w:val="0"/>
              <w:marBottom w:val="0"/>
              <w:divBdr>
                <w:top w:val="none" w:sz="0" w:space="0" w:color="auto"/>
                <w:left w:val="none" w:sz="0" w:space="0" w:color="auto"/>
                <w:bottom w:val="none" w:sz="0" w:space="0" w:color="auto"/>
                <w:right w:val="none" w:sz="0" w:space="0" w:color="auto"/>
              </w:divBdr>
              <w:divsChild>
                <w:div w:id="2753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4199218">
      <w:bodyDiv w:val="1"/>
      <w:marLeft w:val="0"/>
      <w:marRight w:val="0"/>
      <w:marTop w:val="0"/>
      <w:marBottom w:val="0"/>
      <w:divBdr>
        <w:top w:val="none" w:sz="0" w:space="0" w:color="auto"/>
        <w:left w:val="none" w:sz="0" w:space="0" w:color="auto"/>
        <w:bottom w:val="none" w:sz="0" w:space="0" w:color="auto"/>
        <w:right w:val="none" w:sz="0" w:space="0" w:color="auto"/>
      </w:divBdr>
      <w:divsChild>
        <w:div w:id="1438020187">
          <w:marLeft w:val="0"/>
          <w:marRight w:val="0"/>
          <w:marTop w:val="0"/>
          <w:marBottom w:val="0"/>
          <w:divBdr>
            <w:top w:val="none" w:sz="0" w:space="0" w:color="auto"/>
            <w:left w:val="none" w:sz="0" w:space="0" w:color="auto"/>
            <w:bottom w:val="none" w:sz="0" w:space="0" w:color="auto"/>
            <w:right w:val="none" w:sz="0" w:space="0" w:color="auto"/>
          </w:divBdr>
          <w:divsChild>
            <w:div w:id="1406957178">
              <w:marLeft w:val="0"/>
              <w:marRight w:val="0"/>
              <w:marTop w:val="0"/>
              <w:marBottom w:val="0"/>
              <w:divBdr>
                <w:top w:val="none" w:sz="0" w:space="0" w:color="auto"/>
                <w:left w:val="none" w:sz="0" w:space="0" w:color="auto"/>
                <w:bottom w:val="none" w:sz="0" w:space="0" w:color="auto"/>
                <w:right w:val="none" w:sz="0" w:space="0" w:color="auto"/>
              </w:divBdr>
              <w:divsChild>
                <w:div w:id="973949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73720">
      <w:bodyDiv w:val="1"/>
      <w:marLeft w:val="0"/>
      <w:marRight w:val="0"/>
      <w:marTop w:val="0"/>
      <w:marBottom w:val="0"/>
      <w:divBdr>
        <w:top w:val="none" w:sz="0" w:space="0" w:color="auto"/>
        <w:left w:val="none" w:sz="0" w:space="0" w:color="auto"/>
        <w:bottom w:val="none" w:sz="0" w:space="0" w:color="auto"/>
        <w:right w:val="none" w:sz="0" w:space="0" w:color="auto"/>
      </w:divBdr>
      <w:divsChild>
        <w:div w:id="119887122">
          <w:marLeft w:val="0"/>
          <w:marRight w:val="0"/>
          <w:marTop w:val="0"/>
          <w:marBottom w:val="0"/>
          <w:divBdr>
            <w:top w:val="none" w:sz="0" w:space="0" w:color="auto"/>
            <w:left w:val="none" w:sz="0" w:space="0" w:color="auto"/>
            <w:bottom w:val="none" w:sz="0" w:space="0" w:color="auto"/>
            <w:right w:val="none" w:sz="0" w:space="0" w:color="auto"/>
          </w:divBdr>
          <w:divsChild>
            <w:div w:id="1630086514">
              <w:marLeft w:val="0"/>
              <w:marRight w:val="0"/>
              <w:marTop w:val="0"/>
              <w:marBottom w:val="0"/>
              <w:divBdr>
                <w:top w:val="none" w:sz="0" w:space="0" w:color="auto"/>
                <w:left w:val="none" w:sz="0" w:space="0" w:color="auto"/>
                <w:bottom w:val="none" w:sz="0" w:space="0" w:color="auto"/>
                <w:right w:val="none" w:sz="0" w:space="0" w:color="auto"/>
              </w:divBdr>
              <w:divsChild>
                <w:div w:id="718479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343974">
      <w:bodyDiv w:val="1"/>
      <w:marLeft w:val="0"/>
      <w:marRight w:val="0"/>
      <w:marTop w:val="0"/>
      <w:marBottom w:val="0"/>
      <w:divBdr>
        <w:top w:val="none" w:sz="0" w:space="0" w:color="auto"/>
        <w:left w:val="none" w:sz="0" w:space="0" w:color="auto"/>
        <w:bottom w:val="none" w:sz="0" w:space="0" w:color="auto"/>
        <w:right w:val="none" w:sz="0" w:space="0" w:color="auto"/>
      </w:divBdr>
      <w:divsChild>
        <w:div w:id="1860974161">
          <w:marLeft w:val="0"/>
          <w:marRight w:val="0"/>
          <w:marTop w:val="0"/>
          <w:marBottom w:val="0"/>
          <w:divBdr>
            <w:top w:val="none" w:sz="0" w:space="0" w:color="auto"/>
            <w:left w:val="none" w:sz="0" w:space="0" w:color="auto"/>
            <w:bottom w:val="none" w:sz="0" w:space="0" w:color="auto"/>
            <w:right w:val="none" w:sz="0" w:space="0" w:color="auto"/>
          </w:divBdr>
          <w:divsChild>
            <w:div w:id="1861701106">
              <w:marLeft w:val="0"/>
              <w:marRight w:val="0"/>
              <w:marTop w:val="0"/>
              <w:marBottom w:val="0"/>
              <w:divBdr>
                <w:top w:val="none" w:sz="0" w:space="0" w:color="auto"/>
                <w:left w:val="none" w:sz="0" w:space="0" w:color="auto"/>
                <w:bottom w:val="none" w:sz="0" w:space="0" w:color="auto"/>
                <w:right w:val="none" w:sz="0" w:space="0" w:color="auto"/>
              </w:divBdr>
              <w:divsChild>
                <w:div w:id="668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836238">
      <w:bodyDiv w:val="1"/>
      <w:marLeft w:val="0"/>
      <w:marRight w:val="0"/>
      <w:marTop w:val="0"/>
      <w:marBottom w:val="0"/>
      <w:divBdr>
        <w:top w:val="none" w:sz="0" w:space="0" w:color="auto"/>
        <w:left w:val="none" w:sz="0" w:space="0" w:color="auto"/>
        <w:bottom w:val="none" w:sz="0" w:space="0" w:color="auto"/>
        <w:right w:val="none" w:sz="0" w:space="0" w:color="auto"/>
      </w:divBdr>
      <w:divsChild>
        <w:div w:id="676856074">
          <w:marLeft w:val="0"/>
          <w:marRight w:val="0"/>
          <w:marTop w:val="0"/>
          <w:marBottom w:val="0"/>
          <w:divBdr>
            <w:top w:val="none" w:sz="0" w:space="0" w:color="auto"/>
            <w:left w:val="none" w:sz="0" w:space="0" w:color="auto"/>
            <w:bottom w:val="none" w:sz="0" w:space="0" w:color="auto"/>
            <w:right w:val="none" w:sz="0" w:space="0" w:color="auto"/>
          </w:divBdr>
          <w:divsChild>
            <w:div w:id="359548073">
              <w:marLeft w:val="0"/>
              <w:marRight w:val="0"/>
              <w:marTop w:val="0"/>
              <w:marBottom w:val="0"/>
              <w:divBdr>
                <w:top w:val="none" w:sz="0" w:space="0" w:color="auto"/>
                <w:left w:val="none" w:sz="0" w:space="0" w:color="auto"/>
                <w:bottom w:val="none" w:sz="0" w:space="0" w:color="auto"/>
                <w:right w:val="none" w:sz="0" w:space="0" w:color="auto"/>
              </w:divBdr>
              <w:divsChild>
                <w:div w:id="1751999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510362">
      <w:bodyDiv w:val="1"/>
      <w:marLeft w:val="0"/>
      <w:marRight w:val="0"/>
      <w:marTop w:val="0"/>
      <w:marBottom w:val="0"/>
      <w:divBdr>
        <w:top w:val="none" w:sz="0" w:space="0" w:color="auto"/>
        <w:left w:val="none" w:sz="0" w:space="0" w:color="auto"/>
        <w:bottom w:val="none" w:sz="0" w:space="0" w:color="auto"/>
        <w:right w:val="none" w:sz="0" w:space="0" w:color="auto"/>
      </w:divBdr>
      <w:divsChild>
        <w:div w:id="1190145890">
          <w:marLeft w:val="0"/>
          <w:marRight w:val="0"/>
          <w:marTop w:val="0"/>
          <w:marBottom w:val="0"/>
          <w:divBdr>
            <w:top w:val="none" w:sz="0" w:space="0" w:color="auto"/>
            <w:left w:val="none" w:sz="0" w:space="0" w:color="auto"/>
            <w:bottom w:val="none" w:sz="0" w:space="0" w:color="auto"/>
            <w:right w:val="none" w:sz="0" w:space="0" w:color="auto"/>
          </w:divBdr>
          <w:divsChild>
            <w:div w:id="1190022061">
              <w:marLeft w:val="0"/>
              <w:marRight w:val="0"/>
              <w:marTop w:val="0"/>
              <w:marBottom w:val="0"/>
              <w:divBdr>
                <w:top w:val="none" w:sz="0" w:space="0" w:color="auto"/>
                <w:left w:val="none" w:sz="0" w:space="0" w:color="auto"/>
                <w:bottom w:val="none" w:sz="0" w:space="0" w:color="auto"/>
                <w:right w:val="none" w:sz="0" w:space="0" w:color="auto"/>
              </w:divBdr>
              <w:divsChild>
                <w:div w:id="480317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8511419">
      <w:bodyDiv w:val="1"/>
      <w:marLeft w:val="0"/>
      <w:marRight w:val="0"/>
      <w:marTop w:val="0"/>
      <w:marBottom w:val="0"/>
      <w:divBdr>
        <w:top w:val="none" w:sz="0" w:space="0" w:color="auto"/>
        <w:left w:val="none" w:sz="0" w:space="0" w:color="auto"/>
        <w:bottom w:val="none" w:sz="0" w:space="0" w:color="auto"/>
        <w:right w:val="none" w:sz="0" w:space="0" w:color="auto"/>
      </w:divBdr>
      <w:divsChild>
        <w:div w:id="989166159">
          <w:marLeft w:val="0"/>
          <w:marRight w:val="0"/>
          <w:marTop w:val="0"/>
          <w:marBottom w:val="0"/>
          <w:divBdr>
            <w:top w:val="none" w:sz="0" w:space="0" w:color="auto"/>
            <w:left w:val="none" w:sz="0" w:space="0" w:color="auto"/>
            <w:bottom w:val="none" w:sz="0" w:space="0" w:color="auto"/>
            <w:right w:val="none" w:sz="0" w:space="0" w:color="auto"/>
          </w:divBdr>
          <w:divsChild>
            <w:div w:id="1481265102">
              <w:marLeft w:val="0"/>
              <w:marRight w:val="0"/>
              <w:marTop w:val="0"/>
              <w:marBottom w:val="0"/>
              <w:divBdr>
                <w:top w:val="none" w:sz="0" w:space="0" w:color="auto"/>
                <w:left w:val="none" w:sz="0" w:space="0" w:color="auto"/>
                <w:bottom w:val="none" w:sz="0" w:space="0" w:color="auto"/>
                <w:right w:val="none" w:sz="0" w:space="0" w:color="auto"/>
              </w:divBdr>
              <w:divsChild>
                <w:div w:id="380397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9572941">
      <w:bodyDiv w:val="1"/>
      <w:marLeft w:val="0"/>
      <w:marRight w:val="0"/>
      <w:marTop w:val="0"/>
      <w:marBottom w:val="0"/>
      <w:divBdr>
        <w:top w:val="none" w:sz="0" w:space="0" w:color="auto"/>
        <w:left w:val="none" w:sz="0" w:space="0" w:color="auto"/>
        <w:bottom w:val="none" w:sz="0" w:space="0" w:color="auto"/>
        <w:right w:val="none" w:sz="0" w:space="0" w:color="auto"/>
      </w:divBdr>
      <w:divsChild>
        <w:div w:id="126893436">
          <w:marLeft w:val="0"/>
          <w:marRight w:val="0"/>
          <w:marTop w:val="0"/>
          <w:marBottom w:val="0"/>
          <w:divBdr>
            <w:top w:val="none" w:sz="0" w:space="0" w:color="auto"/>
            <w:left w:val="none" w:sz="0" w:space="0" w:color="auto"/>
            <w:bottom w:val="none" w:sz="0" w:space="0" w:color="auto"/>
            <w:right w:val="none" w:sz="0" w:space="0" w:color="auto"/>
          </w:divBdr>
          <w:divsChild>
            <w:div w:id="650717744">
              <w:marLeft w:val="0"/>
              <w:marRight w:val="0"/>
              <w:marTop w:val="0"/>
              <w:marBottom w:val="0"/>
              <w:divBdr>
                <w:top w:val="none" w:sz="0" w:space="0" w:color="auto"/>
                <w:left w:val="none" w:sz="0" w:space="0" w:color="auto"/>
                <w:bottom w:val="none" w:sz="0" w:space="0" w:color="auto"/>
                <w:right w:val="none" w:sz="0" w:space="0" w:color="auto"/>
              </w:divBdr>
              <w:divsChild>
                <w:div w:id="806822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258560">
      <w:bodyDiv w:val="1"/>
      <w:marLeft w:val="0"/>
      <w:marRight w:val="0"/>
      <w:marTop w:val="0"/>
      <w:marBottom w:val="0"/>
      <w:divBdr>
        <w:top w:val="none" w:sz="0" w:space="0" w:color="auto"/>
        <w:left w:val="none" w:sz="0" w:space="0" w:color="auto"/>
        <w:bottom w:val="none" w:sz="0" w:space="0" w:color="auto"/>
        <w:right w:val="none" w:sz="0" w:space="0" w:color="auto"/>
      </w:divBdr>
      <w:divsChild>
        <w:div w:id="2064599602">
          <w:marLeft w:val="0"/>
          <w:marRight w:val="0"/>
          <w:marTop w:val="0"/>
          <w:marBottom w:val="0"/>
          <w:divBdr>
            <w:top w:val="none" w:sz="0" w:space="0" w:color="auto"/>
            <w:left w:val="none" w:sz="0" w:space="0" w:color="auto"/>
            <w:bottom w:val="none" w:sz="0" w:space="0" w:color="auto"/>
            <w:right w:val="none" w:sz="0" w:space="0" w:color="auto"/>
          </w:divBdr>
          <w:divsChild>
            <w:div w:id="612176513">
              <w:marLeft w:val="0"/>
              <w:marRight w:val="0"/>
              <w:marTop w:val="0"/>
              <w:marBottom w:val="0"/>
              <w:divBdr>
                <w:top w:val="none" w:sz="0" w:space="0" w:color="auto"/>
                <w:left w:val="none" w:sz="0" w:space="0" w:color="auto"/>
                <w:bottom w:val="none" w:sz="0" w:space="0" w:color="auto"/>
                <w:right w:val="none" w:sz="0" w:space="0" w:color="auto"/>
              </w:divBdr>
              <w:divsChild>
                <w:div w:id="178067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TotalTime>
  <Pages>9</Pages>
  <Words>3313</Words>
  <Characters>18888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Udomo Ali</dc:creator>
  <cp:keywords/>
  <dc:description/>
  <cp:lastModifiedBy>Udomo Ali</cp:lastModifiedBy>
  <cp:revision>3</cp:revision>
  <dcterms:created xsi:type="dcterms:W3CDTF">2022-05-12T15:23:00Z</dcterms:created>
  <dcterms:modified xsi:type="dcterms:W3CDTF">2022-05-12T17:20:00Z</dcterms:modified>
</cp:coreProperties>
</file>