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112BB" w14:textId="476D3773" w:rsidR="00180005" w:rsidRDefault="00076C9B" w:rsidP="00DC3496">
      <w:pPr>
        <w:jc w:val="center"/>
        <w:rPr>
          <w:rFonts w:ascii="Arial" w:hAnsi="Arial" w:cs="Arial"/>
          <w:b/>
          <w:bCs/>
          <w:sz w:val="48"/>
          <w:szCs w:val="48"/>
        </w:rPr>
      </w:pPr>
      <w:r w:rsidRPr="00DC3496">
        <w:rPr>
          <w:rFonts w:ascii="Arial" w:hAnsi="Arial" w:cs="Arial"/>
          <w:b/>
          <w:bCs/>
          <w:sz w:val="48"/>
          <w:szCs w:val="48"/>
        </w:rPr>
        <w:t>BMHP6030</w:t>
      </w:r>
      <w:r w:rsidR="007A16BB" w:rsidRPr="00DC3496">
        <w:rPr>
          <w:rFonts w:ascii="Arial" w:hAnsi="Arial" w:cs="Arial"/>
          <w:b/>
          <w:bCs/>
          <w:sz w:val="48"/>
          <w:szCs w:val="48"/>
        </w:rPr>
        <w:t xml:space="preserve"> -</w:t>
      </w:r>
      <w:r w:rsidRPr="00DC3496">
        <w:rPr>
          <w:rFonts w:ascii="Arial" w:hAnsi="Arial" w:cs="Arial"/>
          <w:b/>
          <w:bCs/>
          <w:sz w:val="48"/>
          <w:szCs w:val="48"/>
        </w:rPr>
        <w:t xml:space="preserve"> Health Wellbeing and Sustainable Development</w:t>
      </w:r>
    </w:p>
    <w:p w14:paraId="0BF6BB0B" w14:textId="77777777" w:rsidR="00DC3496" w:rsidRPr="00DC3496" w:rsidRDefault="00DC3496" w:rsidP="00DC3496">
      <w:pPr>
        <w:jc w:val="center"/>
        <w:rPr>
          <w:rFonts w:ascii="Arial" w:hAnsi="Arial" w:cs="Arial"/>
          <w:b/>
          <w:bCs/>
          <w:sz w:val="48"/>
          <w:szCs w:val="48"/>
        </w:rPr>
      </w:pPr>
    </w:p>
    <w:p w14:paraId="58F8FB9C" w14:textId="4EFB9773" w:rsidR="00596CF4" w:rsidRDefault="00596CF4" w:rsidP="00DC3496">
      <w:pPr>
        <w:jc w:val="center"/>
        <w:rPr>
          <w:rFonts w:ascii="Arial" w:hAnsi="Arial" w:cs="Arial"/>
          <w:b/>
          <w:bCs/>
          <w:sz w:val="48"/>
          <w:szCs w:val="48"/>
        </w:rPr>
      </w:pPr>
      <w:r w:rsidRPr="00DC3496">
        <w:rPr>
          <w:rFonts w:ascii="Arial" w:hAnsi="Arial" w:cs="Arial"/>
          <w:b/>
          <w:bCs/>
          <w:sz w:val="48"/>
          <w:szCs w:val="48"/>
        </w:rPr>
        <w:t>Lectu</w:t>
      </w:r>
      <w:r w:rsidR="00DC3496" w:rsidRPr="00DC3496">
        <w:rPr>
          <w:rFonts w:ascii="Arial" w:hAnsi="Arial" w:cs="Arial"/>
          <w:b/>
          <w:bCs/>
          <w:sz w:val="48"/>
          <w:szCs w:val="48"/>
        </w:rPr>
        <w:t>rer: Hamdi Hussain</w:t>
      </w:r>
    </w:p>
    <w:p w14:paraId="21112A1E" w14:textId="77777777" w:rsidR="00DC3496" w:rsidRPr="00DC3496" w:rsidRDefault="00DC3496" w:rsidP="00DC3496">
      <w:pPr>
        <w:jc w:val="center"/>
        <w:rPr>
          <w:rFonts w:ascii="Arial" w:hAnsi="Arial" w:cs="Arial"/>
          <w:b/>
          <w:bCs/>
          <w:sz w:val="48"/>
          <w:szCs w:val="48"/>
        </w:rPr>
      </w:pPr>
    </w:p>
    <w:p w14:paraId="765F1740" w14:textId="77777777" w:rsidR="00DC3496" w:rsidRDefault="00076C9B" w:rsidP="00DC3496">
      <w:pPr>
        <w:jc w:val="center"/>
        <w:rPr>
          <w:rFonts w:ascii="Arial" w:hAnsi="Arial" w:cs="Arial"/>
          <w:b/>
          <w:bCs/>
          <w:sz w:val="48"/>
          <w:szCs w:val="48"/>
        </w:rPr>
      </w:pPr>
      <w:r w:rsidRPr="00DC3496">
        <w:rPr>
          <w:rFonts w:ascii="Arial" w:hAnsi="Arial" w:cs="Arial"/>
          <w:b/>
          <w:bCs/>
          <w:sz w:val="48"/>
          <w:szCs w:val="48"/>
        </w:rPr>
        <w:t xml:space="preserve">Afiya </w:t>
      </w:r>
      <w:r w:rsidR="00574689" w:rsidRPr="00DC3496">
        <w:rPr>
          <w:rFonts w:ascii="Arial" w:hAnsi="Arial" w:cs="Arial"/>
          <w:b/>
          <w:bCs/>
          <w:sz w:val="48"/>
          <w:szCs w:val="48"/>
        </w:rPr>
        <w:t xml:space="preserve">Barakat </w:t>
      </w:r>
    </w:p>
    <w:p w14:paraId="469802D1" w14:textId="2A897520" w:rsidR="00076C9B" w:rsidRPr="00DC3496" w:rsidRDefault="00574689" w:rsidP="00DC3496">
      <w:pPr>
        <w:jc w:val="center"/>
        <w:rPr>
          <w:rFonts w:ascii="Arial" w:hAnsi="Arial" w:cs="Arial"/>
          <w:b/>
          <w:bCs/>
          <w:sz w:val="48"/>
          <w:szCs w:val="48"/>
        </w:rPr>
      </w:pPr>
      <w:r w:rsidRPr="00DC3496">
        <w:rPr>
          <w:rFonts w:ascii="Arial" w:hAnsi="Arial" w:cs="Arial"/>
          <w:b/>
          <w:bCs/>
          <w:sz w:val="48"/>
          <w:szCs w:val="48"/>
        </w:rPr>
        <w:t>2314493</w:t>
      </w:r>
    </w:p>
    <w:p w14:paraId="19E2A395" w14:textId="77777777" w:rsidR="00DC3496" w:rsidRDefault="00DC3496" w:rsidP="00DC3496">
      <w:pPr>
        <w:jc w:val="center"/>
        <w:rPr>
          <w:rFonts w:ascii="Arial" w:hAnsi="Arial" w:cs="Arial"/>
          <w:b/>
          <w:bCs/>
          <w:sz w:val="48"/>
          <w:szCs w:val="48"/>
        </w:rPr>
      </w:pPr>
    </w:p>
    <w:p w14:paraId="0E743666" w14:textId="32D1D055" w:rsidR="00DC631E" w:rsidRDefault="00574689" w:rsidP="0096300A">
      <w:pPr>
        <w:jc w:val="center"/>
        <w:rPr>
          <w:rFonts w:ascii="Arial" w:hAnsi="Arial" w:cs="Arial"/>
          <w:b/>
          <w:bCs/>
          <w:sz w:val="48"/>
          <w:szCs w:val="48"/>
        </w:rPr>
      </w:pPr>
      <w:r w:rsidRPr="00DC3496">
        <w:rPr>
          <w:rFonts w:ascii="Arial" w:hAnsi="Arial" w:cs="Arial"/>
          <w:b/>
          <w:bCs/>
          <w:sz w:val="48"/>
          <w:szCs w:val="48"/>
        </w:rPr>
        <w:t>Sunday 19 July 2</w:t>
      </w:r>
      <w:r w:rsidR="007A16BB" w:rsidRPr="00DC3496">
        <w:rPr>
          <w:rFonts w:ascii="Arial" w:hAnsi="Arial" w:cs="Arial"/>
          <w:b/>
          <w:bCs/>
          <w:sz w:val="48"/>
          <w:szCs w:val="48"/>
        </w:rPr>
        <w:t>026</w:t>
      </w:r>
    </w:p>
    <w:p w14:paraId="4682A6C0" w14:textId="77777777" w:rsidR="007436D4" w:rsidRDefault="007436D4" w:rsidP="0096300A">
      <w:pPr>
        <w:jc w:val="center"/>
        <w:rPr>
          <w:rFonts w:ascii="Arial" w:hAnsi="Arial" w:cs="Arial"/>
          <w:b/>
          <w:bCs/>
          <w:sz w:val="48"/>
          <w:szCs w:val="48"/>
        </w:rPr>
      </w:pPr>
    </w:p>
    <w:p w14:paraId="54C1ABB6" w14:textId="77777777" w:rsidR="007436D4" w:rsidRDefault="007436D4" w:rsidP="0096300A">
      <w:pPr>
        <w:jc w:val="center"/>
        <w:rPr>
          <w:rFonts w:ascii="Arial" w:hAnsi="Arial" w:cs="Arial"/>
          <w:b/>
          <w:bCs/>
          <w:sz w:val="48"/>
          <w:szCs w:val="48"/>
        </w:rPr>
      </w:pPr>
    </w:p>
    <w:p w14:paraId="0CE8E96F" w14:textId="77777777" w:rsidR="007436D4" w:rsidRDefault="007436D4" w:rsidP="0096300A">
      <w:pPr>
        <w:jc w:val="center"/>
        <w:rPr>
          <w:rFonts w:ascii="Arial" w:hAnsi="Arial" w:cs="Arial"/>
          <w:b/>
          <w:bCs/>
          <w:sz w:val="48"/>
          <w:szCs w:val="48"/>
        </w:rPr>
      </w:pPr>
    </w:p>
    <w:p w14:paraId="3DA018C8" w14:textId="77777777" w:rsidR="007436D4" w:rsidRDefault="007436D4" w:rsidP="0096300A">
      <w:pPr>
        <w:jc w:val="center"/>
        <w:rPr>
          <w:rFonts w:ascii="Arial" w:hAnsi="Arial" w:cs="Arial"/>
          <w:b/>
          <w:bCs/>
          <w:sz w:val="48"/>
          <w:szCs w:val="48"/>
        </w:rPr>
      </w:pPr>
    </w:p>
    <w:p w14:paraId="52646EE0" w14:textId="59CEF228" w:rsidR="007436D4" w:rsidRDefault="00600F3D" w:rsidP="0096300A">
      <w:pPr>
        <w:jc w:val="center"/>
        <w:rPr>
          <w:rFonts w:ascii="Arial" w:hAnsi="Arial" w:cs="Arial"/>
          <w:b/>
          <w:bCs/>
          <w:sz w:val="28"/>
          <w:szCs w:val="28"/>
        </w:rPr>
      </w:pPr>
      <w:r w:rsidRPr="007454E6">
        <w:rPr>
          <w:rFonts w:ascii="Arial" w:hAnsi="Arial" w:cs="Arial"/>
          <w:b/>
          <w:bCs/>
          <w:sz w:val="28"/>
          <w:szCs w:val="28"/>
        </w:rPr>
        <w:t xml:space="preserve">A </w:t>
      </w:r>
      <w:r w:rsidR="00F9110F" w:rsidRPr="007454E6">
        <w:rPr>
          <w:rFonts w:ascii="Arial" w:hAnsi="Arial" w:cs="Arial"/>
          <w:b/>
          <w:bCs/>
          <w:sz w:val="28"/>
          <w:szCs w:val="28"/>
        </w:rPr>
        <w:t xml:space="preserve">critical examination of Health, wellbeing and sustainable </w:t>
      </w:r>
      <w:r w:rsidR="00487724" w:rsidRPr="007454E6">
        <w:rPr>
          <w:rFonts w:ascii="Arial" w:hAnsi="Arial" w:cs="Arial"/>
          <w:b/>
          <w:bCs/>
          <w:sz w:val="28"/>
          <w:szCs w:val="28"/>
        </w:rPr>
        <w:t>development</w:t>
      </w:r>
      <w:r w:rsidR="007454E6" w:rsidRPr="007454E6">
        <w:rPr>
          <w:rFonts w:ascii="Arial" w:hAnsi="Arial" w:cs="Arial"/>
          <w:b/>
          <w:bCs/>
          <w:sz w:val="28"/>
          <w:szCs w:val="28"/>
        </w:rPr>
        <w:t>, p</w:t>
      </w:r>
      <w:r w:rsidR="00487724" w:rsidRPr="007454E6">
        <w:rPr>
          <w:rFonts w:ascii="Arial" w:hAnsi="Arial" w:cs="Arial"/>
          <w:b/>
          <w:bCs/>
          <w:sz w:val="28"/>
          <w:szCs w:val="28"/>
        </w:rPr>
        <w:t xml:space="preserve">olicies and initiatives at </w:t>
      </w:r>
      <w:r w:rsidR="00323978" w:rsidRPr="007454E6">
        <w:rPr>
          <w:rFonts w:ascii="Arial" w:hAnsi="Arial" w:cs="Arial"/>
          <w:b/>
          <w:bCs/>
          <w:sz w:val="28"/>
          <w:szCs w:val="28"/>
        </w:rPr>
        <w:t>Global, National and local levels.</w:t>
      </w:r>
    </w:p>
    <w:p w14:paraId="2931BD44" w14:textId="4BFDB0E2" w:rsidR="00695DEB" w:rsidRPr="007454E6" w:rsidRDefault="00695DEB" w:rsidP="0096300A">
      <w:pPr>
        <w:jc w:val="center"/>
        <w:rPr>
          <w:rFonts w:ascii="Arial" w:hAnsi="Arial" w:cs="Arial"/>
          <w:b/>
          <w:bCs/>
          <w:sz w:val="28"/>
          <w:szCs w:val="28"/>
        </w:rPr>
      </w:pPr>
      <w:r>
        <w:rPr>
          <w:rFonts w:ascii="Arial" w:hAnsi="Arial" w:cs="Arial"/>
          <w:b/>
          <w:bCs/>
          <w:sz w:val="28"/>
          <w:szCs w:val="28"/>
        </w:rPr>
        <w:t xml:space="preserve">SDG 3 </w:t>
      </w:r>
      <w:r w:rsidR="003833BD">
        <w:rPr>
          <w:rFonts w:ascii="Arial" w:hAnsi="Arial" w:cs="Arial"/>
          <w:b/>
          <w:bCs/>
          <w:sz w:val="28"/>
          <w:szCs w:val="28"/>
        </w:rPr>
        <w:t>and SDG 11</w:t>
      </w:r>
    </w:p>
    <w:p w14:paraId="718F0850" w14:textId="77777777" w:rsidR="00DC631E" w:rsidRPr="007454E6" w:rsidRDefault="00DC631E" w:rsidP="00DC3496">
      <w:pPr>
        <w:jc w:val="center"/>
        <w:rPr>
          <w:rFonts w:ascii="Arial" w:hAnsi="Arial" w:cs="Arial"/>
          <w:b/>
          <w:bCs/>
          <w:sz w:val="28"/>
          <w:szCs w:val="28"/>
        </w:rPr>
      </w:pPr>
    </w:p>
    <w:p w14:paraId="60C64C47" w14:textId="77777777" w:rsidR="00DC631E" w:rsidRDefault="00DC631E" w:rsidP="00DC3496">
      <w:pPr>
        <w:jc w:val="center"/>
        <w:rPr>
          <w:rFonts w:ascii="Arial" w:hAnsi="Arial" w:cs="Arial"/>
          <w:b/>
          <w:bCs/>
          <w:sz w:val="48"/>
          <w:szCs w:val="48"/>
        </w:rPr>
      </w:pPr>
    </w:p>
    <w:p w14:paraId="099B18E4" w14:textId="77777777" w:rsidR="00DC631E" w:rsidRDefault="00DC631E" w:rsidP="00DC3496">
      <w:pPr>
        <w:jc w:val="center"/>
        <w:rPr>
          <w:rFonts w:ascii="Arial" w:hAnsi="Arial" w:cs="Arial"/>
          <w:b/>
          <w:bCs/>
          <w:sz w:val="48"/>
          <w:szCs w:val="48"/>
        </w:rPr>
      </w:pPr>
    </w:p>
    <w:p w14:paraId="4BA4B8DE" w14:textId="0F352A22" w:rsidR="0096300A" w:rsidRDefault="003833BD" w:rsidP="00CC7191">
      <w:pPr>
        <w:rPr>
          <w:rFonts w:ascii="Arial" w:hAnsi="Arial" w:cs="Arial"/>
          <w:b/>
          <w:bCs/>
          <w:sz w:val="28"/>
          <w:szCs w:val="28"/>
        </w:rPr>
      </w:pPr>
      <w:r>
        <w:rPr>
          <w:rFonts w:ascii="Arial" w:hAnsi="Arial" w:cs="Arial"/>
          <w:b/>
          <w:bCs/>
          <w:sz w:val="48"/>
          <w:szCs w:val="48"/>
        </w:rPr>
        <w:br w:type="page"/>
      </w:r>
      <w:r w:rsidR="0007021F">
        <w:rPr>
          <w:rFonts w:ascii="Arial" w:hAnsi="Arial" w:cs="Arial"/>
          <w:b/>
          <w:bCs/>
          <w:sz w:val="28"/>
          <w:szCs w:val="28"/>
        </w:rPr>
        <w:lastRenderedPageBreak/>
        <w:t xml:space="preserve">Table of </w:t>
      </w:r>
      <w:r w:rsidR="00A52BE7" w:rsidRPr="00A64595">
        <w:rPr>
          <w:rFonts w:ascii="Arial" w:hAnsi="Arial" w:cs="Arial"/>
          <w:b/>
          <w:bCs/>
          <w:sz w:val="28"/>
          <w:szCs w:val="28"/>
        </w:rPr>
        <w:t>Contents</w:t>
      </w:r>
    </w:p>
    <w:p w14:paraId="42EC77DE" w14:textId="77777777" w:rsidR="00CC7191" w:rsidRDefault="00CC7191" w:rsidP="001433BC">
      <w:pPr>
        <w:spacing w:line="360" w:lineRule="auto"/>
        <w:rPr>
          <w:rFonts w:ascii="Arial" w:hAnsi="Arial" w:cs="Arial"/>
          <w:b/>
          <w:bCs/>
          <w:sz w:val="48"/>
          <w:szCs w:val="48"/>
        </w:rPr>
      </w:pPr>
    </w:p>
    <w:p w14:paraId="06E8EF3F" w14:textId="7E67292D" w:rsidR="00D5755D" w:rsidRDefault="00545AEE" w:rsidP="001433BC">
      <w:pPr>
        <w:spacing w:line="360" w:lineRule="auto"/>
        <w:rPr>
          <w:rFonts w:ascii="Arial" w:hAnsi="Arial" w:cs="Arial"/>
          <w:b/>
          <w:bCs/>
          <w:sz w:val="24"/>
          <w:szCs w:val="24"/>
        </w:rPr>
      </w:pPr>
      <w:r>
        <w:rPr>
          <w:rFonts w:ascii="Arial" w:hAnsi="Arial" w:cs="Arial"/>
          <w:b/>
          <w:bCs/>
          <w:sz w:val="24"/>
          <w:szCs w:val="24"/>
        </w:rPr>
        <w:t>Introduction</w:t>
      </w:r>
      <w:r w:rsidR="00745F75">
        <w:rPr>
          <w:rFonts w:ascii="Arial" w:hAnsi="Arial" w:cs="Arial"/>
          <w:b/>
          <w:bCs/>
          <w:sz w:val="24"/>
          <w:szCs w:val="24"/>
        </w:rPr>
        <w:t>…………………………………………………………………………</w:t>
      </w:r>
      <w:r w:rsidR="0071143B">
        <w:rPr>
          <w:rFonts w:ascii="Arial" w:hAnsi="Arial" w:cs="Arial"/>
          <w:b/>
          <w:bCs/>
          <w:sz w:val="24"/>
          <w:szCs w:val="24"/>
        </w:rPr>
        <w:t>…3</w:t>
      </w:r>
    </w:p>
    <w:p w14:paraId="26C32373" w14:textId="7BB052AB" w:rsidR="0091009A" w:rsidRPr="001433BC" w:rsidRDefault="0059554B" w:rsidP="001433BC">
      <w:pPr>
        <w:pStyle w:val="ListParagraph"/>
        <w:numPr>
          <w:ilvl w:val="1"/>
          <w:numId w:val="9"/>
        </w:numPr>
        <w:spacing w:line="360" w:lineRule="auto"/>
        <w:rPr>
          <w:rFonts w:ascii="Arial" w:hAnsi="Arial" w:cs="Arial"/>
          <w:b/>
          <w:bCs/>
          <w:sz w:val="24"/>
          <w:szCs w:val="24"/>
        </w:rPr>
      </w:pPr>
      <w:r w:rsidRPr="00D5755D">
        <w:rPr>
          <w:rFonts w:ascii="Arial" w:hAnsi="Arial" w:cs="Arial"/>
          <w:b/>
          <w:bCs/>
          <w:sz w:val="24"/>
          <w:szCs w:val="24"/>
        </w:rPr>
        <w:t xml:space="preserve">Sustainable Development Goal 3 -Good </w:t>
      </w:r>
      <w:r w:rsidR="00D5755D" w:rsidRPr="00D5755D">
        <w:rPr>
          <w:rFonts w:ascii="Arial" w:hAnsi="Arial" w:cs="Arial"/>
          <w:b/>
          <w:bCs/>
          <w:sz w:val="24"/>
          <w:szCs w:val="24"/>
        </w:rPr>
        <w:t>Health and Wellbe</w:t>
      </w:r>
      <w:r w:rsidR="00D5755D">
        <w:rPr>
          <w:rFonts w:ascii="Arial" w:hAnsi="Arial" w:cs="Arial"/>
          <w:b/>
          <w:bCs/>
          <w:sz w:val="24"/>
          <w:szCs w:val="24"/>
        </w:rPr>
        <w:t>ing</w:t>
      </w:r>
      <w:r w:rsidR="00745F75">
        <w:rPr>
          <w:rFonts w:ascii="Arial" w:hAnsi="Arial" w:cs="Arial"/>
          <w:b/>
          <w:bCs/>
          <w:sz w:val="24"/>
          <w:szCs w:val="24"/>
        </w:rPr>
        <w:t>………</w:t>
      </w:r>
      <w:r w:rsidR="0071143B">
        <w:rPr>
          <w:rFonts w:ascii="Arial" w:hAnsi="Arial" w:cs="Arial"/>
          <w:b/>
          <w:bCs/>
          <w:sz w:val="24"/>
          <w:szCs w:val="24"/>
        </w:rPr>
        <w:t>… 3</w:t>
      </w:r>
    </w:p>
    <w:p w14:paraId="70DAB39D" w14:textId="56A38F8B" w:rsidR="0091009A" w:rsidRPr="001433BC" w:rsidRDefault="00192EEE" w:rsidP="001433BC">
      <w:pPr>
        <w:pStyle w:val="ListParagraph"/>
        <w:numPr>
          <w:ilvl w:val="1"/>
          <w:numId w:val="9"/>
        </w:numPr>
        <w:spacing w:line="360" w:lineRule="auto"/>
        <w:rPr>
          <w:rFonts w:ascii="Arial" w:hAnsi="Arial" w:cs="Arial"/>
          <w:b/>
          <w:bCs/>
          <w:sz w:val="24"/>
          <w:szCs w:val="24"/>
        </w:rPr>
      </w:pPr>
      <w:r>
        <w:rPr>
          <w:rFonts w:ascii="Arial" w:hAnsi="Arial" w:cs="Arial"/>
          <w:b/>
          <w:bCs/>
          <w:sz w:val="24"/>
          <w:szCs w:val="24"/>
        </w:rPr>
        <w:t>Global Policies and Initiatives</w:t>
      </w:r>
      <w:r w:rsidR="00745F75">
        <w:rPr>
          <w:rFonts w:ascii="Arial" w:hAnsi="Arial" w:cs="Arial"/>
          <w:b/>
          <w:bCs/>
          <w:sz w:val="24"/>
          <w:szCs w:val="24"/>
        </w:rPr>
        <w:t>………………………………………………….</w:t>
      </w:r>
      <w:r w:rsidR="0071143B">
        <w:rPr>
          <w:rFonts w:ascii="Arial" w:hAnsi="Arial" w:cs="Arial"/>
          <w:b/>
          <w:bCs/>
          <w:sz w:val="24"/>
          <w:szCs w:val="24"/>
        </w:rPr>
        <w:t>4</w:t>
      </w:r>
    </w:p>
    <w:p w14:paraId="0CD73D31" w14:textId="3F98DFC0" w:rsidR="00192EEE" w:rsidRDefault="00192EEE" w:rsidP="001433BC">
      <w:pPr>
        <w:pStyle w:val="ListParagraph"/>
        <w:numPr>
          <w:ilvl w:val="1"/>
          <w:numId w:val="9"/>
        </w:numPr>
        <w:spacing w:line="360" w:lineRule="auto"/>
        <w:rPr>
          <w:rFonts w:ascii="Arial" w:hAnsi="Arial" w:cs="Arial"/>
          <w:b/>
          <w:bCs/>
          <w:sz w:val="24"/>
          <w:szCs w:val="24"/>
        </w:rPr>
      </w:pPr>
      <w:r>
        <w:rPr>
          <w:rFonts w:ascii="Arial" w:hAnsi="Arial" w:cs="Arial"/>
          <w:b/>
          <w:bCs/>
          <w:sz w:val="24"/>
          <w:szCs w:val="24"/>
        </w:rPr>
        <w:t>National and Local Policies and Initiatives</w:t>
      </w:r>
      <w:r w:rsidR="00745F75">
        <w:rPr>
          <w:rFonts w:ascii="Arial" w:hAnsi="Arial" w:cs="Arial"/>
          <w:b/>
          <w:bCs/>
          <w:sz w:val="24"/>
          <w:szCs w:val="24"/>
        </w:rPr>
        <w:t>…………………………………</w:t>
      </w:r>
      <w:r w:rsidR="0071143B">
        <w:rPr>
          <w:rFonts w:ascii="Arial" w:hAnsi="Arial" w:cs="Arial"/>
          <w:b/>
          <w:bCs/>
          <w:sz w:val="24"/>
          <w:szCs w:val="24"/>
        </w:rPr>
        <w:t>..4</w:t>
      </w:r>
      <w:r w:rsidR="00167172">
        <w:rPr>
          <w:rFonts w:ascii="Arial" w:hAnsi="Arial" w:cs="Arial"/>
          <w:b/>
          <w:bCs/>
          <w:sz w:val="24"/>
          <w:szCs w:val="24"/>
        </w:rPr>
        <w:t>, 5</w:t>
      </w:r>
    </w:p>
    <w:p w14:paraId="37E5BF0F" w14:textId="79A03A20" w:rsidR="00192EEE" w:rsidRDefault="000E43D6" w:rsidP="001433BC">
      <w:pPr>
        <w:pStyle w:val="ListParagraph"/>
        <w:numPr>
          <w:ilvl w:val="1"/>
          <w:numId w:val="9"/>
        </w:numPr>
        <w:spacing w:line="360" w:lineRule="auto"/>
        <w:rPr>
          <w:rFonts w:ascii="Arial" w:hAnsi="Arial" w:cs="Arial"/>
          <w:b/>
          <w:bCs/>
          <w:sz w:val="24"/>
          <w:szCs w:val="24"/>
        </w:rPr>
      </w:pPr>
      <w:r>
        <w:rPr>
          <w:rFonts w:ascii="Arial" w:hAnsi="Arial" w:cs="Arial"/>
          <w:b/>
          <w:bCs/>
          <w:sz w:val="24"/>
          <w:szCs w:val="24"/>
        </w:rPr>
        <w:t>Theoretical Perspectives</w:t>
      </w:r>
      <w:r w:rsidR="00CD7E3F">
        <w:rPr>
          <w:rFonts w:ascii="Arial" w:hAnsi="Arial" w:cs="Arial"/>
          <w:b/>
          <w:bCs/>
          <w:sz w:val="24"/>
          <w:szCs w:val="24"/>
        </w:rPr>
        <w:t xml:space="preserve"> and Models</w:t>
      </w:r>
      <w:r w:rsidR="00745F75">
        <w:rPr>
          <w:rFonts w:ascii="Arial" w:hAnsi="Arial" w:cs="Arial"/>
          <w:b/>
          <w:bCs/>
          <w:sz w:val="24"/>
          <w:szCs w:val="24"/>
        </w:rPr>
        <w:t>………………………………………</w:t>
      </w:r>
      <w:r w:rsidR="0071143B">
        <w:rPr>
          <w:rFonts w:ascii="Arial" w:hAnsi="Arial" w:cs="Arial"/>
          <w:b/>
          <w:bCs/>
          <w:sz w:val="24"/>
          <w:szCs w:val="24"/>
        </w:rPr>
        <w:t>…</w:t>
      </w:r>
      <w:r w:rsidR="00167172">
        <w:rPr>
          <w:rFonts w:ascii="Arial" w:hAnsi="Arial" w:cs="Arial"/>
          <w:b/>
          <w:bCs/>
          <w:sz w:val="24"/>
          <w:szCs w:val="24"/>
        </w:rPr>
        <w:t>5</w:t>
      </w:r>
    </w:p>
    <w:p w14:paraId="466E4627" w14:textId="3D529C14" w:rsidR="00CD7E3F" w:rsidRDefault="00CD7E3F" w:rsidP="001433BC">
      <w:pPr>
        <w:pStyle w:val="ListParagraph"/>
        <w:numPr>
          <w:ilvl w:val="1"/>
          <w:numId w:val="9"/>
        </w:numPr>
        <w:spacing w:line="360" w:lineRule="auto"/>
        <w:rPr>
          <w:rFonts w:ascii="Arial" w:hAnsi="Arial" w:cs="Arial"/>
          <w:b/>
          <w:bCs/>
          <w:sz w:val="24"/>
          <w:szCs w:val="24"/>
        </w:rPr>
      </w:pPr>
      <w:r>
        <w:rPr>
          <w:rFonts w:ascii="Arial" w:hAnsi="Arial" w:cs="Arial"/>
          <w:b/>
          <w:bCs/>
          <w:sz w:val="24"/>
          <w:szCs w:val="24"/>
        </w:rPr>
        <w:t>Recommendations</w:t>
      </w:r>
      <w:r w:rsidR="00745F75">
        <w:rPr>
          <w:rFonts w:ascii="Arial" w:hAnsi="Arial" w:cs="Arial"/>
          <w:b/>
          <w:bCs/>
          <w:sz w:val="24"/>
          <w:szCs w:val="24"/>
        </w:rPr>
        <w:t>………………………………………………………………</w:t>
      </w:r>
      <w:r w:rsidR="00167828">
        <w:rPr>
          <w:rFonts w:ascii="Arial" w:hAnsi="Arial" w:cs="Arial"/>
          <w:b/>
          <w:bCs/>
          <w:sz w:val="24"/>
          <w:szCs w:val="24"/>
        </w:rPr>
        <w:t>..6</w:t>
      </w:r>
    </w:p>
    <w:p w14:paraId="1D22C133" w14:textId="77777777" w:rsidR="00471251" w:rsidRPr="00D5755D" w:rsidRDefault="00471251" w:rsidP="001433BC">
      <w:pPr>
        <w:pStyle w:val="ListParagraph"/>
        <w:spacing w:line="360" w:lineRule="auto"/>
        <w:ind w:left="396"/>
        <w:rPr>
          <w:rFonts w:ascii="Arial" w:hAnsi="Arial" w:cs="Arial"/>
          <w:b/>
          <w:bCs/>
          <w:sz w:val="24"/>
          <w:szCs w:val="24"/>
        </w:rPr>
      </w:pPr>
    </w:p>
    <w:p w14:paraId="4406BB09" w14:textId="253A74EC" w:rsidR="001433BC" w:rsidRDefault="00471251" w:rsidP="001433BC">
      <w:pPr>
        <w:pStyle w:val="ListParagraph"/>
        <w:numPr>
          <w:ilvl w:val="1"/>
          <w:numId w:val="11"/>
        </w:numPr>
        <w:spacing w:line="360" w:lineRule="auto"/>
        <w:rPr>
          <w:rFonts w:ascii="Arial" w:hAnsi="Arial" w:cs="Arial"/>
          <w:b/>
          <w:bCs/>
          <w:sz w:val="24"/>
          <w:szCs w:val="24"/>
        </w:rPr>
      </w:pPr>
      <w:r w:rsidRPr="001433BC">
        <w:rPr>
          <w:rFonts w:ascii="Arial" w:hAnsi="Arial" w:cs="Arial"/>
          <w:b/>
          <w:bCs/>
          <w:sz w:val="24"/>
          <w:szCs w:val="24"/>
        </w:rPr>
        <w:t>Sustainable Development Goal 3 -Good Health and Wellbeing</w:t>
      </w:r>
      <w:r w:rsidR="004273C5">
        <w:rPr>
          <w:rFonts w:ascii="Arial" w:hAnsi="Arial" w:cs="Arial"/>
          <w:b/>
          <w:bCs/>
          <w:sz w:val="24"/>
          <w:szCs w:val="24"/>
        </w:rPr>
        <w:t>…………..</w:t>
      </w:r>
      <w:r w:rsidR="00167828">
        <w:rPr>
          <w:rFonts w:ascii="Arial" w:hAnsi="Arial" w:cs="Arial"/>
          <w:b/>
          <w:bCs/>
          <w:sz w:val="24"/>
          <w:szCs w:val="24"/>
        </w:rPr>
        <w:t>6</w:t>
      </w:r>
    </w:p>
    <w:p w14:paraId="2AE6EA5D" w14:textId="4EA44A6A" w:rsidR="00471251" w:rsidRPr="001433BC" w:rsidRDefault="00471251" w:rsidP="001433BC">
      <w:pPr>
        <w:pStyle w:val="ListParagraph"/>
        <w:numPr>
          <w:ilvl w:val="1"/>
          <w:numId w:val="11"/>
        </w:numPr>
        <w:spacing w:line="360" w:lineRule="auto"/>
        <w:rPr>
          <w:rFonts w:ascii="Arial" w:hAnsi="Arial" w:cs="Arial"/>
          <w:b/>
          <w:bCs/>
          <w:sz w:val="24"/>
          <w:szCs w:val="24"/>
        </w:rPr>
      </w:pPr>
      <w:r w:rsidRPr="001433BC">
        <w:rPr>
          <w:rFonts w:ascii="Arial" w:hAnsi="Arial" w:cs="Arial"/>
          <w:b/>
          <w:bCs/>
          <w:sz w:val="24"/>
          <w:szCs w:val="24"/>
        </w:rPr>
        <w:t>Global Policies and Initiatives</w:t>
      </w:r>
      <w:r w:rsidR="004273C5">
        <w:rPr>
          <w:rFonts w:ascii="Arial" w:hAnsi="Arial" w:cs="Arial"/>
          <w:b/>
          <w:bCs/>
          <w:sz w:val="24"/>
          <w:szCs w:val="24"/>
        </w:rPr>
        <w:t>…………………………………………………..</w:t>
      </w:r>
      <w:r w:rsidR="00167828">
        <w:rPr>
          <w:rFonts w:ascii="Arial" w:hAnsi="Arial" w:cs="Arial"/>
          <w:b/>
          <w:bCs/>
          <w:sz w:val="24"/>
          <w:szCs w:val="24"/>
        </w:rPr>
        <w:t>7</w:t>
      </w:r>
    </w:p>
    <w:p w14:paraId="6931D45A" w14:textId="0DA54BAF" w:rsidR="001433BC" w:rsidRDefault="00471251" w:rsidP="001433BC">
      <w:pPr>
        <w:pStyle w:val="ListParagraph"/>
        <w:numPr>
          <w:ilvl w:val="1"/>
          <w:numId w:val="11"/>
        </w:numPr>
        <w:spacing w:line="360" w:lineRule="auto"/>
        <w:rPr>
          <w:rFonts w:ascii="Arial" w:hAnsi="Arial" w:cs="Arial"/>
          <w:b/>
          <w:bCs/>
          <w:sz w:val="24"/>
          <w:szCs w:val="24"/>
        </w:rPr>
      </w:pPr>
      <w:r w:rsidRPr="00CF3E42">
        <w:rPr>
          <w:rFonts w:ascii="Arial" w:hAnsi="Arial" w:cs="Arial"/>
          <w:b/>
          <w:bCs/>
          <w:sz w:val="24"/>
          <w:szCs w:val="24"/>
        </w:rPr>
        <w:t>National and Local Policies and Initiative</w:t>
      </w:r>
      <w:r w:rsidR="0091009A">
        <w:rPr>
          <w:rFonts w:ascii="Arial" w:hAnsi="Arial" w:cs="Arial"/>
          <w:b/>
          <w:bCs/>
          <w:sz w:val="24"/>
          <w:szCs w:val="24"/>
        </w:rPr>
        <w:t>s</w:t>
      </w:r>
      <w:r w:rsidR="004273C5">
        <w:rPr>
          <w:rFonts w:ascii="Arial" w:hAnsi="Arial" w:cs="Arial"/>
          <w:b/>
          <w:bCs/>
          <w:sz w:val="24"/>
          <w:szCs w:val="24"/>
        </w:rPr>
        <w:t>…………………………………</w:t>
      </w:r>
      <w:r w:rsidR="002A2277">
        <w:rPr>
          <w:rFonts w:ascii="Arial" w:hAnsi="Arial" w:cs="Arial"/>
          <w:b/>
          <w:bCs/>
          <w:sz w:val="24"/>
          <w:szCs w:val="24"/>
        </w:rPr>
        <w:t>…7,8</w:t>
      </w:r>
    </w:p>
    <w:p w14:paraId="25290623" w14:textId="589E23D4" w:rsidR="001433BC" w:rsidRDefault="00471251" w:rsidP="001433BC">
      <w:pPr>
        <w:pStyle w:val="ListParagraph"/>
        <w:numPr>
          <w:ilvl w:val="1"/>
          <w:numId w:val="11"/>
        </w:numPr>
        <w:spacing w:line="360" w:lineRule="auto"/>
        <w:rPr>
          <w:rFonts w:ascii="Arial" w:hAnsi="Arial" w:cs="Arial"/>
          <w:b/>
          <w:bCs/>
          <w:sz w:val="24"/>
          <w:szCs w:val="24"/>
        </w:rPr>
      </w:pPr>
      <w:r w:rsidRPr="001433BC">
        <w:rPr>
          <w:rFonts w:ascii="Arial" w:hAnsi="Arial" w:cs="Arial"/>
          <w:b/>
          <w:bCs/>
          <w:sz w:val="24"/>
          <w:szCs w:val="24"/>
        </w:rPr>
        <w:t>Theoretical Perspectives and Models</w:t>
      </w:r>
      <w:r w:rsidR="004273C5">
        <w:rPr>
          <w:rFonts w:ascii="Arial" w:hAnsi="Arial" w:cs="Arial"/>
          <w:b/>
          <w:bCs/>
          <w:sz w:val="24"/>
          <w:szCs w:val="24"/>
        </w:rPr>
        <w:t>…………………………………………</w:t>
      </w:r>
      <w:r w:rsidR="002A2277">
        <w:rPr>
          <w:rFonts w:ascii="Arial" w:hAnsi="Arial" w:cs="Arial"/>
          <w:b/>
          <w:bCs/>
          <w:sz w:val="24"/>
          <w:szCs w:val="24"/>
        </w:rPr>
        <w:t>.8,</w:t>
      </w:r>
    </w:p>
    <w:p w14:paraId="20DED254" w14:textId="736B35BF" w:rsidR="00471251" w:rsidRDefault="00471251" w:rsidP="001433BC">
      <w:pPr>
        <w:pStyle w:val="ListParagraph"/>
        <w:numPr>
          <w:ilvl w:val="1"/>
          <w:numId w:val="11"/>
        </w:numPr>
        <w:spacing w:line="360" w:lineRule="auto"/>
        <w:rPr>
          <w:rFonts w:ascii="Arial" w:hAnsi="Arial" w:cs="Arial"/>
          <w:b/>
          <w:bCs/>
          <w:sz w:val="24"/>
          <w:szCs w:val="24"/>
        </w:rPr>
      </w:pPr>
      <w:r w:rsidRPr="001433BC">
        <w:rPr>
          <w:rFonts w:ascii="Arial" w:hAnsi="Arial" w:cs="Arial"/>
          <w:b/>
          <w:bCs/>
          <w:sz w:val="24"/>
          <w:szCs w:val="24"/>
        </w:rPr>
        <w:t>Recommendations</w:t>
      </w:r>
      <w:r w:rsidR="004273C5">
        <w:rPr>
          <w:rFonts w:ascii="Arial" w:hAnsi="Arial" w:cs="Arial"/>
          <w:b/>
          <w:bCs/>
          <w:sz w:val="24"/>
          <w:szCs w:val="24"/>
        </w:rPr>
        <w:t>………………………………………………………………</w:t>
      </w:r>
      <w:r w:rsidR="00C51DBB">
        <w:rPr>
          <w:rFonts w:ascii="Arial" w:hAnsi="Arial" w:cs="Arial"/>
          <w:b/>
          <w:bCs/>
          <w:sz w:val="24"/>
          <w:szCs w:val="24"/>
        </w:rPr>
        <w:t>…</w:t>
      </w:r>
      <w:r w:rsidR="007E6844">
        <w:rPr>
          <w:rFonts w:ascii="Arial" w:hAnsi="Arial" w:cs="Arial"/>
          <w:b/>
          <w:bCs/>
          <w:sz w:val="24"/>
          <w:szCs w:val="24"/>
        </w:rPr>
        <w:t>9</w:t>
      </w:r>
    </w:p>
    <w:p w14:paraId="5923375D" w14:textId="0396CB16" w:rsidR="007E6844" w:rsidRDefault="007E6844" w:rsidP="007E6844">
      <w:pPr>
        <w:spacing w:line="360" w:lineRule="auto"/>
        <w:rPr>
          <w:rFonts w:ascii="Arial" w:hAnsi="Arial" w:cs="Arial"/>
          <w:b/>
          <w:bCs/>
          <w:sz w:val="24"/>
          <w:szCs w:val="24"/>
        </w:rPr>
      </w:pPr>
      <w:r>
        <w:rPr>
          <w:rFonts w:ascii="Arial" w:hAnsi="Arial" w:cs="Arial"/>
          <w:b/>
          <w:bCs/>
          <w:sz w:val="24"/>
          <w:szCs w:val="24"/>
        </w:rPr>
        <w:t>Conclusion</w:t>
      </w:r>
      <w:r w:rsidR="00C51DBB">
        <w:rPr>
          <w:rFonts w:ascii="Arial" w:hAnsi="Arial" w:cs="Arial"/>
          <w:b/>
          <w:bCs/>
          <w:sz w:val="24"/>
          <w:szCs w:val="24"/>
        </w:rPr>
        <w:t>………………………………………………………………………………9</w:t>
      </w:r>
    </w:p>
    <w:p w14:paraId="30773E7C" w14:textId="33F0986C" w:rsidR="00295810" w:rsidRPr="007E6844" w:rsidRDefault="00295810" w:rsidP="007E6844">
      <w:pPr>
        <w:spacing w:line="360" w:lineRule="auto"/>
        <w:rPr>
          <w:rFonts w:ascii="Arial" w:hAnsi="Arial" w:cs="Arial"/>
          <w:b/>
          <w:bCs/>
          <w:sz w:val="24"/>
          <w:szCs w:val="24"/>
        </w:rPr>
      </w:pPr>
      <w:r>
        <w:rPr>
          <w:rFonts w:ascii="Arial" w:hAnsi="Arial" w:cs="Arial"/>
          <w:b/>
          <w:bCs/>
          <w:sz w:val="24"/>
          <w:szCs w:val="24"/>
        </w:rPr>
        <w:t>References</w:t>
      </w:r>
      <w:r w:rsidR="00F815F7">
        <w:rPr>
          <w:rFonts w:ascii="Arial" w:hAnsi="Arial" w:cs="Arial"/>
          <w:b/>
          <w:bCs/>
          <w:sz w:val="24"/>
          <w:szCs w:val="24"/>
        </w:rPr>
        <w:t>……………………………………………………………………………….10, 11, 12</w:t>
      </w:r>
    </w:p>
    <w:p w14:paraId="1F379651" w14:textId="77777777" w:rsidR="00471251" w:rsidRDefault="00471251" w:rsidP="00471251">
      <w:pPr>
        <w:rPr>
          <w:rFonts w:ascii="Arial" w:hAnsi="Arial" w:cs="Arial"/>
          <w:b/>
          <w:bCs/>
        </w:rPr>
      </w:pPr>
    </w:p>
    <w:p w14:paraId="47409012" w14:textId="77777777" w:rsidR="00A52BE7" w:rsidRDefault="00A52BE7" w:rsidP="003B598E">
      <w:pPr>
        <w:rPr>
          <w:rFonts w:ascii="Arial" w:hAnsi="Arial" w:cs="Arial"/>
          <w:b/>
          <w:bCs/>
        </w:rPr>
      </w:pPr>
    </w:p>
    <w:p w14:paraId="4C9B2F1D" w14:textId="77777777" w:rsidR="00A52BE7" w:rsidRDefault="00A52BE7" w:rsidP="003B598E">
      <w:pPr>
        <w:rPr>
          <w:rFonts w:ascii="Arial" w:hAnsi="Arial" w:cs="Arial"/>
          <w:b/>
          <w:bCs/>
        </w:rPr>
      </w:pPr>
    </w:p>
    <w:p w14:paraId="4798F6CE" w14:textId="77777777" w:rsidR="00A52BE7" w:rsidRDefault="00A52BE7" w:rsidP="003B598E">
      <w:pPr>
        <w:rPr>
          <w:rFonts w:ascii="Arial" w:hAnsi="Arial" w:cs="Arial"/>
          <w:b/>
          <w:bCs/>
        </w:rPr>
      </w:pPr>
    </w:p>
    <w:p w14:paraId="24944D98" w14:textId="77777777" w:rsidR="00A52BE7" w:rsidRDefault="00A52BE7" w:rsidP="003B598E">
      <w:pPr>
        <w:rPr>
          <w:rFonts w:ascii="Arial" w:hAnsi="Arial" w:cs="Arial"/>
          <w:b/>
          <w:bCs/>
        </w:rPr>
      </w:pPr>
    </w:p>
    <w:p w14:paraId="64677A36" w14:textId="77777777" w:rsidR="00A52BE7" w:rsidRDefault="00A52BE7" w:rsidP="003B598E">
      <w:pPr>
        <w:rPr>
          <w:rFonts w:ascii="Arial" w:hAnsi="Arial" w:cs="Arial"/>
          <w:b/>
          <w:bCs/>
        </w:rPr>
      </w:pPr>
    </w:p>
    <w:p w14:paraId="52207F84" w14:textId="77777777" w:rsidR="00A52BE7" w:rsidRDefault="00A52BE7" w:rsidP="003B598E">
      <w:pPr>
        <w:rPr>
          <w:rFonts w:ascii="Arial" w:hAnsi="Arial" w:cs="Arial"/>
          <w:b/>
          <w:bCs/>
        </w:rPr>
      </w:pPr>
    </w:p>
    <w:p w14:paraId="06B7027E" w14:textId="77777777" w:rsidR="00A52BE7" w:rsidRDefault="00A52BE7" w:rsidP="003B598E">
      <w:pPr>
        <w:rPr>
          <w:rFonts w:ascii="Arial" w:hAnsi="Arial" w:cs="Arial"/>
          <w:b/>
          <w:bCs/>
        </w:rPr>
      </w:pPr>
    </w:p>
    <w:p w14:paraId="4C595330" w14:textId="4C7F138A" w:rsidR="005D654F" w:rsidRDefault="00E35BC6" w:rsidP="00E35BC6">
      <w:pPr>
        <w:rPr>
          <w:rFonts w:ascii="Arial" w:hAnsi="Arial" w:cs="Arial"/>
          <w:b/>
          <w:bCs/>
          <w:sz w:val="24"/>
          <w:szCs w:val="24"/>
        </w:rPr>
      </w:pPr>
      <w:r>
        <w:rPr>
          <w:rFonts w:ascii="Arial" w:hAnsi="Arial" w:cs="Arial"/>
          <w:b/>
          <w:bCs/>
        </w:rPr>
        <w:br w:type="page"/>
      </w:r>
      <w:r w:rsidR="009D0D9A" w:rsidRPr="003727B0">
        <w:rPr>
          <w:rFonts w:ascii="Arial" w:hAnsi="Arial" w:cs="Arial"/>
          <w:b/>
          <w:bCs/>
          <w:sz w:val="24"/>
          <w:szCs w:val="24"/>
        </w:rPr>
        <w:lastRenderedPageBreak/>
        <w:t>Introduction</w:t>
      </w:r>
    </w:p>
    <w:p w14:paraId="1DD79CD2" w14:textId="77777777" w:rsidR="004001BB" w:rsidRPr="00E35BC6" w:rsidRDefault="004001BB" w:rsidP="00E35BC6">
      <w:pPr>
        <w:rPr>
          <w:rFonts w:ascii="Arial" w:hAnsi="Arial" w:cs="Arial"/>
          <w:b/>
          <w:bCs/>
        </w:rPr>
      </w:pPr>
    </w:p>
    <w:p w14:paraId="7347CA0C" w14:textId="23C57BFB" w:rsidR="00232B79" w:rsidRPr="007419FD" w:rsidRDefault="00232B79" w:rsidP="007419FD">
      <w:pPr>
        <w:spacing w:after="0" w:line="360" w:lineRule="auto"/>
        <w:rPr>
          <w:rFonts w:ascii="Arial" w:eastAsia="Times New Roman" w:hAnsi="Arial" w:cs="Arial"/>
          <w:lang w:eastAsia="en-GB"/>
        </w:rPr>
      </w:pPr>
      <w:r w:rsidRPr="007419FD">
        <w:rPr>
          <w:rFonts w:ascii="Arial" w:eastAsia="Times New Roman" w:hAnsi="Arial" w:cs="Arial"/>
          <w:lang w:eastAsia="en-GB"/>
        </w:rPr>
        <w:t>In order to improve population health and lessen inequality, health, wellbeing, and sustainable development are intricately linked. A global framework for addressing these issues is provided by the United Nations Sustainable Development Goals (SDGs). SDG 11 (Sustainable Cities and Communities) focuses on building inclusive, safe, resilient, and sustainable environments that support healthier populations, while SDG 3 (Good Health and Wellbeing) aims to ensure healthy lives and promote wellbeing for all</w:t>
      </w:r>
      <w:r w:rsidR="00C543C8">
        <w:rPr>
          <w:rFonts w:ascii="Arial" w:eastAsia="Times New Roman" w:hAnsi="Arial" w:cs="Arial"/>
          <w:lang w:eastAsia="en-GB"/>
        </w:rPr>
        <w:t>,</w:t>
      </w:r>
      <w:r w:rsidR="00F64A62">
        <w:rPr>
          <w:rFonts w:ascii="Arial" w:eastAsia="Times New Roman" w:hAnsi="Arial" w:cs="Arial"/>
          <w:lang w:eastAsia="en-GB"/>
        </w:rPr>
        <w:t xml:space="preserve"> as</w:t>
      </w:r>
      <w:r w:rsidR="005F2B07">
        <w:rPr>
          <w:rFonts w:ascii="Arial" w:eastAsia="Times New Roman" w:hAnsi="Arial" w:cs="Arial"/>
          <w:lang w:eastAsia="en-GB"/>
        </w:rPr>
        <w:t xml:space="preserve"> state</w:t>
      </w:r>
      <w:r w:rsidR="00F64A62">
        <w:rPr>
          <w:rFonts w:ascii="Arial" w:eastAsia="Times New Roman" w:hAnsi="Arial" w:cs="Arial"/>
          <w:lang w:eastAsia="en-GB"/>
        </w:rPr>
        <w:t>d by</w:t>
      </w:r>
      <w:r w:rsidRPr="007419FD">
        <w:rPr>
          <w:rFonts w:ascii="Arial" w:eastAsia="Times New Roman" w:hAnsi="Arial" w:cs="Arial"/>
          <w:lang w:eastAsia="en-GB"/>
        </w:rPr>
        <w:t xml:space="preserve"> (</w:t>
      </w:r>
      <w:r w:rsidRPr="005F2B07">
        <w:rPr>
          <w:rFonts w:ascii="Arial" w:eastAsia="Times New Roman" w:hAnsi="Arial" w:cs="Arial"/>
          <w:lang w:eastAsia="en-GB"/>
        </w:rPr>
        <w:t>United Nations, 2015).</w:t>
      </w:r>
      <w:r w:rsidRPr="007419FD">
        <w:rPr>
          <w:rFonts w:ascii="Arial" w:eastAsia="Times New Roman" w:hAnsi="Arial" w:cs="Arial"/>
          <w:lang w:eastAsia="en-GB"/>
        </w:rPr>
        <w:t xml:space="preserve"> Together, these objectives acknowledge that broader social, economic, and environmental factors, in addition to healthcare systems, have an impact on health outcomes.</w:t>
      </w:r>
    </w:p>
    <w:p w14:paraId="5D1360FC" w14:textId="5F7BE5CB" w:rsidR="00DB2EA3" w:rsidRPr="00534311" w:rsidRDefault="00170351" w:rsidP="007419FD">
      <w:pPr>
        <w:spacing w:after="0" w:line="360" w:lineRule="auto"/>
        <w:rPr>
          <w:rFonts w:ascii="Arial" w:eastAsia="Times New Roman" w:hAnsi="Arial" w:cs="Arial"/>
          <w:lang w:eastAsia="en-GB"/>
        </w:rPr>
      </w:pPr>
      <w:r w:rsidRPr="00534311">
        <w:rPr>
          <w:rFonts w:ascii="Arial" w:eastAsia="Times New Roman" w:hAnsi="Arial" w:cs="Arial"/>
          <w:lang w:eastAsia="en-GB"/>
        </w:rPr>
        <w:t>This report critically examines health</w:t>
      </w:r>
      <w:r w:rsidR="00F856F3" w:rsidRPr="00534311">
        <w:rPr>
          <w:rFonts w:ascii="Arial" w:eastAsia="Times New Roman" w:hAnsi="Arial" w:cs="Arial"/>
          <w:lang w:eastAsia="en-GB"/>
        </w:rPr>
        <w:t>, wellbeing and sustainability policies at</w:t>
      </w:r>
      <w:r w:rsidR="00480A0E" w:rsidRPr="00534311">
        <w:rPr>
          <w:rFonts w:ascii="Arial" w:eastAsia="Times New Roman" w:hAnsi="Arial" w:cs="Arial"/>
          <w:lang w:eastAsia="en-GB"/>
        </w:rPr>
        <w:t xml:space="preserve"> global, national and local levels, evaluating their contribution to SDG</w:t>
      </w:r>
      <w:r w:rsidR="00EA023C" w:rsidRPr="00534311">
        <w:rPr>
          <w:rFonts w:ascii="Arial" w:eastAsia="Times New Roman" w:hAnsi="Arial" w:cs="Arial"/>
          <w:lang w:eastAsia="en-GB"/>
        </w:rPr>
        <w:t xml:space="preserve"> 3 and SDG 11 using </w:t>
      </w:r>
      <w:r w:rsidR="00534311" w:rsidRPr="00534311">
        <w:rPr>
          <w:rFonts w:ascii="Arial" w:eastAsia="Times New Roman" w:hAnsi="Arial" w:cs="Arial"/>
          <w:lang w:eastAsia="en-GB"/>
        </w:rPr>
        <w:t>current academic</w:t>
      </w:r>
      <w:r w:rsidR="00B24A54" w:rsidRPr="00534311">
        <w:rPr>
          <w:rFonts w:ascii="Arial" w:eastAsia="Times New Roman" w:hAnsi="Arial" w:cs="Arial"/>
          <w:lang w:eastAsia="en-GB"/>
        </w:rPr>
        <w:t xml:space="preserve"> evidence and policy</w:t>
      </w:r>
      <w:r w:rsidR="005B2FB2" w:rsidRPr="00534311">
        <w:rPr>
          <w:rFonts w:ascii="Arial" w:eastAsia="Times New Roman" w:hAnsi="Arial" w:cs="Arial"/>
          <w:lang w:eastAsia="en-GB"/>
        </w:rPr>
        <w:t>.</w:t>
      </w:r>
    </w:p>
    <w:p w14:paraId="2273E224" w14:textId="779D2CF8" w:rsidR="008C07AF" w:rsidRPr="007419FD" w:rsidRDefault="004001BB" w:rsidP="007419FD">
      <w:pPr>
        <w:spacing w:after="0" w:line="360" w:lineRule="auto"/>
        <w:rPr>
          <w:rFonts w:ascii="Arial" w:eastAsia="Times New Roman" w:hAnsi="Arial" w:cs="Arial"/>
          <w:lang w:eastAsia="en-GB"/>
        </w:rPr>
      </w:pPr>
      <w:r>
        <w:rPr>
          <w:rFonts w:ascii="Arial" w:eastAsia="Times New Roman" w:hAnsi="Arial" w:cs="Arial"/>
          <w:lang w:eastAsia="en-GB"/>
        </w:rPr>
        <w:t>Finally,</w:t>
      </w:r>
      <w:r w:rsidR="00CF7B14">
        <w:rPr>
          <w:rFonts w:ascii="Arial" w:eastAsia="Times New Roman" w:hAnsi="Arial" w:cs="Arial"/>
          <w:lang w:eastAsia="en-GB"/>
        </w:rPr>
        <w:t xml:space="preserve"> evidence-based</w:t>
      </w:r>
      <w:r w:rsidR="000C58F3">
        <w:rPr>
          <w:rFonts w:ascii="Arial" w:eastAsia="Times New Roman" w:hAnsi="Arial" w:cs="Arial"/>
          <w:lang w:eastAsia="en-GB"/>
        </w:rPr>
        <w:t xml:space="preserve"> recommendations are presented to strengthen</w:t>
      </w:r>
      <w:r w:rsidR="00124063">
        <w:rPr>
          <w:rFonts w:ascii="Arial" w:eastAsia="Times New Roman" w:hAnsi="Arial" w:cs="Arial"/>
          <w:lang w:eastAsia="en-GB"/>
        </w:rPr>
        <w:t xml:space="preserve"> policy implementation and reduce health inequalities</w:t>
      </w:r>
      <w:r w:rsidR="008C07AF" w:rsidRPr="007419FD">
        <w:rPr>
          <w:rFonts w:ascii="Arial" w:eastAsia="Times New Roman" w:hAnsi="Arial" w:cs="Arial"/>
          <w:lang w:eastAsia="en-GB"/>
        </w:rPr>
        <w:t>. The report's critical analysis highlights the interdependence of sustainable communities, health, and wellbeing as well as their significance in enhancing long</w:t>
      </w:r>
      <w:r w:rsidR="00C543C8">
        <w:rPr>
          <w:rFonts w:ascii="Arial" w:eastAsia="Times New Roman" w:hAnsi="Arial" w:cs="Arial"/>
          <w:lang w:eastAsia="en-GB"/>
        </w:rPr>
        <w:t xml:space="preserve"> </w:t>
      </w:r>
      <w:r w:rsidR="008C07AF" w:rsidRPr="007419FD">
        <w:rPr>
          <w:rFonts w:ascii="Arial" w:eastAsia="Times New Roman" w:hAnsi="Arial" w:cs="Arial"/>
          <w:lang w:eastAsia="en-GB"/>
        </w:rPr>
        <w:t>term results for both individuals and society.</w:t>
      </w:r>
      <w:r w:rsidR="00877226" w:rsidRPr="007419FD">
        <w:rPr>
          <w:rFonts w:ascii="Arial" w:eastAsia="Times New Roman" w:hAnsi="Arial" w:cs="Arial"/>
          <w:lang w:eastAsia="en-GB"/>
        </w:rPr>
        <w:t xml:space="preserve"> </w:t>
      </w:r>
    </w:p>
    <w:p w14:paraId="15490132" w14:textId="77777777" w:rsidR="00335913" w:rsidRDefault="00335913" w:rsidP="00744515">
      <w:pPr>
        <w:spacing w:after="0" w:line="360" w:lineRule="auto"/>
        <w:rPr>
          <w:rFonts w:ascii="Arial" w:eastAsia="Times New Roman" w:hAnsi="Arial" w:cs="Arial"/>
          <w:lang w:eastAsia="en-GB"/>
        </w:rPr>
      </w:pPr>
    </w:p>
    <w:p w14:paraId="15917DE3" w14:textId="6F95DAB3" w:rsidR="00877226" w:rsidRPr="00744515" w:rsidRDefault="008C17DA" w:rsidP="00744515">
      <w:pPr>
        <w:spacing w:after="0"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1.1 </w:t>
      </w:r>
      <w:r w:rsidR="0083351A" w:rsidRPr="00744515">
        <w:rPr>
          <w:rFonts w:ascii="Arial" w:eastAsia="Times New Roman" w:hAnsi="Arial" w:cs="Arial"/>
          <w:b/>
          <w:bCs/>
          <w:sz w:val="24"/>
          <w:szCs w:val="24"/>
          <w:lang w:eastAsia="en-GB"/>
        </w:rPr>
        <w:t>SDG 3</w:t>
      </w:r>
      <w:r w:rsidR="00400F84" w:rsidRPr="00744515">
        <w:rPr>
          <w:rFonts w:ascii="Arial" w:eastAsia="Times New Roman" w:hAnsi="Arial" w:cs="Arial"/>
          <w:b/>
          <w:bCs/>
          <w:sz w:val="24"/>
          <w:szCs w:val="24"/>
          <w:lang w:eastAsia="en-GB"/>
        </w:rPr>
        <w:t xml:space="preserve"> </w:t>
      </w:r>
      <w:r w:rsidR="009434DA" w:rsidRPr="00744515">
        <w:rPr>
          <w:rFonts w:ascii="Arial" w:eastAsia="Times New Roman" w:hAnsi="Arial" w:cs="Arial"/>
          <w:b/>
          <w:bCs/>
          <w:sz w:val="24"/>
          <w:szCs w:val="24"/>
          <w:lang w:eastAsia="en-GB"/>
        </w:rPr>
        <w:t>–</w:t>
      </w:r>
      <w:r w:rsidR="00400F84" w:rsidRPr="00744515">
        <w:rPr>
          <w:rFonts w:ascii="Arial" w:eastAsia="Times New Roman" w:hAnsi="Arial" w:cs="Arial"/>
          <w:b/>
          <w:bCs/>
          <w:sz w:val="24"/>
          <w:szCs w:val="24"/>
          <w:lang w:eastAsia="en-GB"/>
        </w:rPr>
        <w:t xml:space="preserve"> Goo</w:t>
      </w:r>
      <w:r w:rsidR="009434DA" w:rsidRPr="00744515">
        <w:rPr>
          <w:rFonts w:ascii="Arial" w:eastAsia="Times New Roman" w:hAnsi="Arial" w:cs="Arial"/>
          <w:b/>
          <w:bCs/>
          <w:sz w:val="24"/>
          <w:szCs w:val="24"/>
          <w:lang w:eastAsia="en-GB"/>
        </w:rPr>
        <w:t>d Health and Wellbeing</w:t>
      </w:r>
    </w:p>
    <w:p w14:paraId="3431ADBF" w14:textId="77777777" w:rsidR="00335913" w:rsidRDefault="00335913" w:rsidP="007419FD">
      <w:pPr>
        <w:spacing w:line="360" w:lineRule="auto"/>
        <w:rPr>
          <w:rFonts w:ascii="Arial" w:eastAsia="Times New Roman" w:hAnsi="Arial" w:cs="Arial"/>
          <w:b/>
          <w:bCs/>
          <w:lang w:eastAsia="en-GB"/>
        </w:rPr>
      </w:pPr>
    </w:p>
    <w:p w14:paraId="2009B419" w14:textId="61B29A35" w:rsidR="004A2F0C" w:rsidRDefault="0083351A" w:rsidP="007419FD">
      <w:pPr>
        <w:spacing w:line="360" w:lineRule="auto"/>
        <w:rPr>
          <w:rFonts w:ascii="Arial" w:eastAsia="Times New Roman" w:hAnsi="Arial" w:cs="Arial"/>
          <w:lang w:eastAsia="en-GB"/>
        </w:rPr>
      </w:pPr>
      <w:r w:rsidRPr="007419FD">
        <w:rPr>
          <w:rFonts w:ascii="Arial" w:eastAsia="Times New Roman" w:hAnsi="Arial" w:cs="Arial"/>
          <w:lang w:eastAsia="en-GB"/>
        </w:rPr>
        <w:t xml:space="preserve">The United Nations' 2030 Agenda for Sustainable Development established </w:t>
      </w:r>
      <w:r w:rsidR="00AB47D5">
        <w:rPr>
          <w:rFonts w:ascii="Arial" w:eastAsia="Times New Roman" w:hAnsi="Arial" w:cs="Arial"/>
          <w:lang w:eastAsia="en-GB"/>
        </w:rPr>
        <w:t>(</w:t>
      </w:r>
      <w:r w:rsidRPr="007419FD">
        <w:rPr>
          <w:rFonts w:ascii="Arial" w:eastAsia="Times New Roman" w:hAnsi="Arial" w:cs="Arial"/>
          <w:lang w:eastAsia="en-GB"/>
        </w:rPr>
        <w:t>SDG 3</w:t>
      </w:r>
      <w:r w:rsidR="00AB47D5">
        <w:rPr>
          <w:rFonts w:ascii="Arial" w:eastAsia="Times New Roman" w:hAnsi="Arial" w:cs="Arial"/>
          <w:lang w:eastAsia="en-GB"/>
        </w:rPr>
        <w:t>)</w:t>
      </w:r>
      <w:r w:rsidRPr="007419FD">
        <w:rPr>
          <w:rFonts w:ascii="Arial" w:eastAsia="Times New Roman" w:hAnsi="Arial" w:cs="Arial"/>
          <w:lang w:eastAsia="en-GB"/>
        </w:rPr>
        <w:t xml:space="preserve"> to "ensure healthy lives and promote well-being for all "</w:t>
      </w:r>
      <w:r w:rsidR="006D5E26">
        <w:rPr>
          <w:rFonts w:ascii="Arial" w:eastAsia="Times New Roman" w:hAnsi="Arial" w:cs="Arial"/>
          <w:lang w:eastAsia="en-GB"/>
        </w:rPr>
        <w:t xml:space="preserve"> states</w:t>
      </w:r>
      <w:r w:rsidRPr="007419FD">
        <w:rPr>
          <w:rFonts w:ascii="Arial" w:eastAsia="Times New Roman" w:hAnsi="Arial" w:cs="Arial"/>
          <w:lang w:eastAsia="en-GB"/>
        </w:rPr>
        <w:t xml:space="preserve"> (United Nations, 2015). </w:t>
      </w:r>
      <w:r w:rsidR="0094163F">
        <w:rPr>
          <w:rFonts w:ascii="Arial" w:eastAsia="Times New Roman" w:hAnsi="Arial" w:cs="Arial"/>
          <w:lang w:eastAsia="en-GB"/>
        </w:rPr>
        <w:t>The goal addresses key pri</w:t>
      </w:r>
      <w:r w:rsidR="007314C9">
        <w:rPr>
          <w:rFonts w:ascii="Arial" w:eastAsia="Times New Roman" w:hAnsi="Arial" w:cs="Arial"/>
          <w:lang w:eastAsia="en-GB"/>
        </w:rPr>
        <w:t>orities including disease</w:t>
      </w:r>
      <w:r w:rsidR="00B83B22">
        <w:rPr>
          <w:rFonts w:ascii="Arial" w:eastAsia="Times New Roman" w:hAnsi="Arial" w:cs="Arial"/>
          <w:lang w:eastAsia="en-GB"/>
        </w:rPr>
        <w:t xml:space="preserve"> prevention, mental health, universal health coverage</w:t>
      </w:r>
      <w:r w:rsidR="006B0802">
        <w:rPr>
          <w:rFonts w:ascii="Arial" w:eastAsia="Times New Roman" w:hAnsi="Arial" w:cs="Arial"/>
          <w:lang w:eastAsia="en-GB"/>
        </w:rPr>
        <w:t xml:space="preserve"> and stronger health systems</w:t>
      </w:r>
      <w:r w:rsidRPr="007419FD">
        <w:rPr>
          <w:rFonts w:ascii="Arial" w:eastAsia="Times New Roman" w:hAnsi="Arial" w:cs="Arial"/>
          <w:lang w:eastAsia="en-GB"/>
        </w:rPr>
        <w:t>. SDG 3 takes a holistic approach, in contrast to previous global health initiatives, acknowledging that health is impacted by broader social, economic, and environmental factors rather than just healthcare</w:t>
      </w:r>
      <w:r w:rsidR="0012441A">
        <w:rPr>
          <w:rFonts w:ascii="Arial" w:eastAsia="Times New Roman" w:hAnsi="Arial" w:cs="Arial"/>
          <w:lang w:eastAsia="en-GB"/>
        </w:rPr>
        <w:t xml:space="preserve"> acco</w:t>
      </w:r>
      <w:r w:rsidR="0036307D">
        <w:rPr>
          <w:rFonts w:ascii="Arial" w:eastAsia="Times New Roman" w:hAnsi="Arial" w:cs="Arial"/>
          <w:lang w:eastAsia="en-GB"/>
        </w:rPr>
        <w:t>rding to</w:t>
      </w:r>
      <w:r w:rsidRPr="007419FD">
        <w:rPr>
          <w:rFonts w:ascii="Arial" w:eastAsia="Times New Roman" w:hAnsi="Arial" w:cs="Arial"/>
          <w:lang w:eastAsia="en-GB"/>
        </w:rPr>
        <w:t xml:space="preserve"> (World Health Organization, 2023).</w:t>
      </w:r>
      <w:r w:rsidR="00830BB8" w:rsidRPr="007419FD">
        <w:rPr>
          <w:rFonts w:ascii="Arial" w:eastAsia="Times New Roman" w:hAnsi="Arial" w:cs="Arial"/>
          <w:lang w:eastAsia="en-GB"/>
        </w:rPr>
        <w:t xml:space="preserve"> </w:t>
      </w:r>
      <w:r w:rsidR="00830BB8" w:rsidRPr="007419FD">
        <w:rPr>
          <w:rFonts w:ascii="Arial" w:eastAsia="Times New Roman" w:hAnsi="Arial" w:cs="Arial"/>
          <w:lang w:eastAsia="en-GB"/>
        </w:rPr>
        <w:t>This more comprehensive strategy is consistent with modern public health concepts that prioritise health promotion, prevention, and lowering disparities. But even though the world has made great strides in some areas, many nations still struggle with issues like growing health disparities, a lack of workers, rising mental health needs, and unequal access to medical care, which hinders the achievement of SDG 3 targets (United Nations, 2024).</w:t>
      </w:r>
    </w:p>
    <w:p w14:paraId="56E574A0" w14:textId="77777777" w:rsidR="004A2F0C" w:rsidRDefault="004A2F0C">
      <w:pPr>
        <w:rPr>
          <w:rFonts w:ascii="Arial" w:eastAsia="Times New Roman" w:hAnsi="Arial" w:cs="Arial"/>
          <w:lang w:eastAsia="en-GB"/>
        </w:rPr>
      </w:pPr>
      <w:r>
        <w:rPr>
          <w:rFonts w:ascii="Arial" w:eastAsia="Times New Roman" w:hAnsi="Arial" w:cs="Arial"/>
          <w:lang w:eastAsia="en-GB"/>
        </w:rPr>
        <w:br w:type="page"/>
      </w:r>
    </w:p>
    <w:p w14:paraId="5C9E213F" w14:textId="214A1D2F" w:rsidR="00102097" w:rsidRPr="008832C2" w:rsidRDefault="00102097" w:rsidP="007419FD">
      <w:pPr>
        <w:spacing w:line="360" w:lineRule="auto"/>
        <w:rPr>
          <w:rFonts w:ascii="Arial" w:eastAsia="Times New Roman" w:hAnsi="Arial" w:cs="Arial"/>
          <w:b/>
          <w:bCs/>
          <w:lang w:eastAsia="en-GB"/>
        </w:rPr>
      </w:pPr>
      <w:r w:rsidRPr="008832C2">
        <w:rPr>
          <w:rFonts w:ascii="Arial" w:eastAsia="Times New Roman" w:hAnsi="Arial" w:cs="Arial"/>
          <w:b/>
          <w:bCs/>
          <w:lang w:eastAsia="en-GB"/>
        </w:rPr>
        <w:lastRenderedPageBreak/>
        <w:t>1.2 Global Polices</w:t>
      </w:r>
      <w:r w:rsidR="008832C2">
        <w:rPr>
          <w:rFonts w:ascii="Arial" w:eastAsia="Times New Roman" w:hAnsi="Arial" w:cs="Arial"/>
          <w:b/>
          <w:bCs/>
          <w:lang w:eastAsia="en-GB"/>
        </w:rPr>
        <w:t xml:space="preserve"> and </w:t>
      </w:r>
      <w:r w:rsidR="00744515">
        <w:rPr>
          <w:rFonts w:ascii="Arial" w:eastAsia="Times New Roman" w:hAnsi="Arial" w:cs="Arial"/>
          <w:b/>
          <w:bCs/>
          <w:lang w:eastAsia="en-GB"/>
        </w:rPr>
        <w:t>Initiatives</w:t>
      </w:r>
    </w:p>
    <w:p w14:paraId="7FDA765D" w14:textId="67D9DB54" w:rsidR="00DF17C6" w:rsidRPr="007419FD" w:rsidRDefault="00DF17C6" w:rsidP="007419FD">
      <w:pPr>
        <w:spacing w:after="0" w:line="360" w:lineRule="auto"/>
        <w:rPr>
          <w:rFonts w:ascii="Arial" w:eastAsia="Times New Roman" w:hAnsi="Arial" w:cs="Arial"/>
          <w:lang w:eastAsia="en-GB"/>
        </w:rPr>
      </w:pPr>
      <w:r w:rsidRPr="007419FD">
        <w:rPr>
          <w:rFonts w:ascii="Arial" w:eastAsia="Times New Roman" w:hAnsi="Arial" w:cs="Arial"/>
          <w:lang w:eastAsia="en-GB"/>
        </w:rPr>
        <w:t>The World Health Organization (WHO) and the United Nations (UN) are leading a number of international policies and initiatives that support the implementation of SDG 3. One of the most significant is Universal Health Coverage (UHC), which aims to guarantee that everyone has access to necessary medical care without facing financial difficulties</w:t>
      </w:r>
      <w:r w:rsidR="004761E2">
        <w:rPr>
          <w:rFonts w:ascii="Arial" w:eastAsia="Times New Roman" w:hAnsi="Arial" w:cs="Arial"/>
          <w:lang w:eastAsia="en-GB"/>
        </w:rPr>
        <w:t xml:space="preserve"> </w:t>
      </w:r>
      <w:r w:rsidR="00684B3E">
        <w:rPr>
          <w:rFonts w:ascii="Arial" w:eastAsia="Times New Roman" w:hAnsi="Arial" w:cs="Arial"/>
          <w:lang w:eastAsia="en-GB"/>
        </w:rPr>
        <w:t>as stated by</w:t>
      </w:r>
      <w:r w:rsidRPr="007419FD">
        <w:rPr>
          <w:rFonts w:ascii="Arial" w:eastAsia="Times New Roman" w:hAnsi="Arial" w:cs="Arial"/>
          <w:lang w:eastAsia="en-GB"/>
        </w:rPr>
        <w:t xml:space="preserve"> (World Health Organization, 2023). By </w:t>
      </w:r>
      <w:r w:rsidR="001521AC">
        <w:rPr>
          <w:rFonts w:ascii="Arial" w:eastAsia="Times New Roman" w:hAnsi="Arial" w:cs="Arial"/>
          <w:lang w:eastAsia="en-GB"/>
        </w:rPr>
        <w:t>promoting</w:t>
      </w:r>
      <w:r w:rsidRPr="007419FD">
        <w:rPr>
          <w:rFonts w:ascii="Arial" w:eastAsia="Times New Roman" w:hAnsi="Arial" w:cs="Arial"/>
          <w:lang w:eastAsia="en-GB"/>
        </w:rPr>
        <w:t xml:space="preserve"> prevention, early intervention, and </w:t>
      </w:r>
      <w:r w:rsidR="004D4BDE">
        <w:rPr>
          <w:rFonts w:ascii="Arial" w:eastAsia="Times New Roman" w:hAnsi="Arial" w:cs="Arial"/>
          <w:lang w:eastAsia="en-GB"/>
        </w:rPr>
        <w:t>equitable healthcare</w:t>
      </w:r>
      <w:r w:rsidRPr="007419FD">
        <w:rPr>
          <w:rFonts w:ascii="Arial" w:eastAsia="Times New Roman" w:hAnsi="Arial" w:cs="Arial"/>
          <w:lang w:eastAsia="en-GB"/>
        </w:rPr>
        <w:t xml:space="preserve"> rather than concentrating only on disease treatment, UHC signifies a substantial shift towards equitable healthcare.</w:t>
      </w:r>
    </w:p>
    <w:p w14:paraId="0DE40211" w14:textId="77777777" w:rsidR="0095157D" w:rsidRPr="007419FD" w:rsidRDefault="0095157D" w:rsidP="007419FD">
      <w:pPr>
        <w:spacing w:after="0" w:line="360" w:lineRule="auto"/>
        <w:rPr>
          <w:rFonts w:ascii="Arial" w:eastAsia="Times New Roman" w:hAnsi="Arial" w:cs="Arial"/>
          <w:lang w:eastAsia="en-GB"/>
        </w:rPr>
      </w:pPr>
    </w:p>
    <w:p w14:paraId="0291D7CF" w14:textId="3ECBFEB1" w:rsidR="0095157D" w:rsidRPr="007419FD" w:rsidRDefault="0095157D" w:rsidP="007419FD">
      <w:pPr>
        <w:spacing w:after="0" w:line="360" w:lineRule="auto"/>
        <w:rPr>
          <w:rFonts w:ascii="Arial" w:eastAsia="Times New Roman" w:hAnsi="Arial" w:cs="Arial"/>
          <w:lang w:eastAsia="en-GB"/>
        </w:rPr>
      </w:pPr>
      <w:r w:rsidRPr="007419FD">
        <w:rPr>
          <w:rFonts w:ascii="Arial" w:eastAsia="Times New Roman" w:hAnsi="Arial" w:cs="Arial"/>
          <w:lang w:eastAsia="en-GB"/>
        </w:rPr>
        <w:t xml:space="preserve">Furthermore, enhancing population health through universal health coverage, protection from medical emergencies, and healthier populations is a major focus of the WHO Thirteenth General Programme of Work (GPW13) </w:t>
      </w:r>
      <w:r w:rsidR="0039358F">
        <w:rPr>
          <w:rFonts w:ascii="Arial" w:eastAsia="Times New Roman" w:hAnsi="Arial" w:cs="Arial"/>
          <w:lang w:eastAsia="en-GB"/>
        </w:rPr>
        <w:t>according to</w:t>
      </w:r>
      <w:r w:rsidR="009F4FA2">
        <w:rPr>
          <w:rFonts w:ascii="Arial" w:eastAsia="Times New Roman" w:hAnsi="Arial" w:cs="Arial"/>
          <w:lang w:eastAsia="en-GB"/>
        </w:rPr>
        <w:t xml:space="preserve"> </w:t>
      </w:r>
      <w:r w:rsidRPr="007419FD">
        <w:rPr>
          <w:rFonts w:ascii="Arial" w:eastAsia="Times New Roman" w:hAnsi="Arial" w:cs="Arial"/>
          <w:lang w:eastAsia="en-GB"/>
        </w:rPr>
        <w:t xml:space="preserve">(World Health Organization, 2019). The WHO Comprehensive Mental Health Action Plan 2013–2030, </w:t>
      </w:r>
      <w:r w:rsidR="00F975AF">
        <w:rPr>
          <w:rFonts w:ascii="Arial" w:eastAsia="Times New Roman" w:hAnsi="Arial" w:cs="Arial"/>
          <w:lang w:eastAsia="en-GB"/>
        </w:rPr>
        <w:t>promotes improved</w:t>
      </w:r>
      <w:r w:rsidR="00E354A0">
        <w:rPr>
          <w:rFonts w:ascii="Arial" w:eastAsia="Times New Roman" w:hAnsi="Arial" w:cs="Arial"/>
          <w:lang w:eastAsia="en-GB"/>
        </w:rPr>
        <w:t xml:space="preserve"> </w:t>
      </w:r>
      <w:r w:rsidR="00F975AF">
        <w:rPr>
          <w:rFonts w:ascii="Arial" w:eastAsia="Times New Roman" w:hAnsi="Arial" w:cs="Arial"/>
          <w:lang w:eastAsia="en-GB"/>
        </w:rPr>
        <w:t>mental</w:t>
      </w:r>
      <w:r w:rsidRPr="007419FD">
        <w:rPr>
          <w:rFonts w:ascii="Arial" w:eastAsia="Times New Roman" w:hAnsi="Arial" w:cs="Arial"/>
          <w:lang w:eastAsia="en-GB"/>
        </w:rPr>
        <w:t xml:space="preserve"> </w:t>
      </w:r>
      <w:r w:rsidR="00E354A0">
        <w:rPr>
          <w:rFonts w:ascii="Arial" w:eastAsia="Times New Roman" w:hAnsi="Arial" w:cs="Arial"/>
          <w:lang w:eastAsia="en-GB"/>
        </w:rPr>
        <w:t>health service and integration into primary care</w:t>
      </w:r>
      <w:r w:rsidR="00AA0EAD">
        <w:rPr>
          <w:rFonts w:ascii="Arial" w:eastAsia="Times New Roman" w:hAnsi="Arial" w:cs="Arial"/>
          <w:lang w:eastAsia="en-GB"/>
        </w:rPr>
        <w:t xml:space="preserve"> as stated by</w:t>
      </w:r>
      <w:r w:rsidRPr="007419FD">
        <w:rPr>
          <w:rFonts w:ascii="Arial" w:eastAsia="Times New Roman" w:hAnsi="Arial" w:cs="Arial"/>
          <w:lang w:eastAsia="en-GB"/>
        </w:rPr>
        <w:t xml:space="preserve"> (World Health Organization, 2021).</w:t>
      </w:r>
    </w:p>
    <w:p w14:paraId="26873B2D" w14:textId="77777777" w:rsidR="0095157D" w:rsidRPr="007419FD" w:rsidRDefault="0095157D" w:rsidP="007419FD">
      <w:pPr>
        <w:spacing w:after="0" w:line="360" w:lineRule="auto"/>
        <w:rPr>
          <w:rFonts w:ascii="Arial" w:eastAsia="Times New Roman" w:hAnsi="Arial" w:cs="Arial"/>
          <w:lang w:eastAsia="en-GB"/>
        </w:rPr>
      </w:pPr>
    </w:p>
    <w:p w14:paraId="1F5E9189" w14:textId="4F904CB6" w:rsidR="003A0FB7" w:rsidRPr="007419FD" w:rsidRDefault="003A0FB7" w:rsidP="007419FD">
      <w:pPr>
        <w:spacing w:after="0" w:line="360" w:lineRule="auto"/>
        <w:rPr>
          <w:rFonts w:ascii="Arial" w:eastAsia="Times New Roman" w:hAnsi="Arial" w:cs="Arial"/>
          <w:lang w:eastAsia="en-GB"/>
        </w:rPr>
      </w:pPr>
      <w:r w:rsidRPr="007419FD">
        <w:rPr>
          <w:rFonts w:ascii="Arial" w:eastAsia="Times New Roman" w:hAnsi="Arial" w:cs="Arial"/>
          <w:lang w:eastAsia="en-GB"/>
        </w:rPr>
        <w:t xml:space="preserve">Despite these efforts, there has been uneven progress toward SDG 3. According to the </w:t>
      </w:r>
      <w:r w:rsidR="009F4FA2">
        <w:rPr>
          <w:rFonts w:ascii="Arial" w:eastAsia="Times New Roman" w:hAnsi="Arial" w:cs="Arial"/>
          <w:lang w:eastAsia="en-GB"/>
        </w:rPr>
        <w:t>(</w:t>
      </w:r>
      <w:r w:rsidRPr="007419FD">
        <w:rPr>
          <w:rFonts w:ascii="Arial" w:eastAsia="Times New Roman" w:hAnsi="Arial" w:cs="Arial"/>
          <w:lang w:eastAsia="en-GB"/>
        </w:rPr>
        <w:t>United Nations Sustainable Development Goals Report</w:t>
      </w:r>
      <w:r w:rsidR="009F4FA2">
        <w:rPr>
          <w:rFonts w:ascii="Arial" w:eastAsia="Times New Roman" w:hAnsi="Arial" w:cs="Arial"/>
          <w:lang w:eastAsia="en-GB"/>
        </w:rPr>
        <w:t>,</w:t>
      </w:r>
      <w:r w:rsidRPr="007419FD">
        <w:rPr>
          <w:rFonts w:ascii="Arial" w:eastAsia="Times New Roman" w:hAnsi="Arial" w:cs="Arial"/>
          <w:lang w:eastAsia="en-GB"/>
        </w:rPr>
        <w:t xml:space="preserve"> 2024</w:t>
      </w:r>
      <w:r w:rsidR="009F4FA2">
        <w:rPr>
          <w:rFonts w:ascii="Arial" w:eastAsia="Times New Roman" w:hAnsi="Arial" w:cs="Arial"/>
          <w:lang w:eastAsia="en-GB"/>
        </w:rPr>
        <w:t>)</w:t>
      </w:r>
      <w:r w:rsidRPr="007419FD">
        <w:rPr>
          <w:rFonts w:ascii="Arial" w:eastAsia="Times New Roman" w:hAnsi="Arial" w:cs="Arial"/>
          <w:lang w:eastAsia="en-GB"/>
        </w:rPr>
        <w:t>, healthcare systems around the world were disrupted by the COVID-19 pandemic, which increased health disparities and slowed the achievement of several health goals (United Nations, 2024). Additionally, there are still notable differences in healthcare access, workforce capacity, and health outcomes between high-income and low-income nations. Global policies offer a crucial framework for enhancing health and well-being, but critics contend that their implementation frequently depends on national political commitment, financial investment, and local healthcare infrastructure, leading to significant differences in results between nations</w:t>
      </w:r>
      <w:r w:rsidR="00675485">
        <w:rPr>
          <w:rFonts w:ascii="Arial" w:eastAsia="Times New Roman" w:hAnsi="Arial" w:cs="Arial"/>
          <w:lang w:eastAsia="en-GB"/>
        </w:rPr>
        <w:t xml:space="preserve"> as outlined by</w:t>
      </w:r>
      <w:r w:rsidRPr="007419FD">
        <w:rPr>
          <w:rFonts w:ascii="Arial" w:eastAsia="Times New Roman" w:hAnsi="Arial" w:cs="Arial"/>
          <w:lang w:eastAsia="en-GB"/>
        </w:rPr>
        <w:t xml:space="preserve"> (World Health Organization, 2023).</w:t>
      </w:r>
    </w:p>
    <w:p w14:paraId="496A5044" w14:textId="77777777" w:rsidR="00A97649" w:rsidRPr="007419FD" w:rsidRDefault="00A97649" w:rsidP="007419FD">
      <w:pPr>
        <w:spacing w:after="0" w:line="360" w:lineRule="auto"/>
        <w:rPr>
          <w:rFonts w:ascii="Arial" w:eastAsia="Times New Roman" w:hAnsi="Arial" w:cs="Arial"/>
          <w:lang w:eastAsia="en-GB"/>
        </w:rPr>
      </w:pPr>
    </w:p>
    <w:p w14:paraId="042AB4CD" w14:textId="63CBFA26" w:rsidR="00C11EF7" w:rsidRPr="00494A4D" w:rsidRDefault="00C11EF7" w:rsidP="007419FD">
      <w:pPr>
        <w:spacing w:after="0" w:line="360" w:lineRule="auto"/>
        <w:rPr>
          <w:rFonts w:ascii="Arial" w:eastAsia="Times New Roman" w:hAnsi="Arial" w:cs="Arial"/>
          <w:b/>
          <w:bCs/>
          <w:sz w:val="24"/>
          <w:szCs w:val="24"/>
          <w:lang w:eastAsia="en-GB"/>
        </w:rPr>
      </w:pPr>
      <w:r w:rsidRPr="00494A4D">
        <w:rPr>
          <w:rFonts w:ascii="Arial" w:eastAsia="Times New Roman" w:hAnsi="Arial" w:cs="Arial"/>
          <w:b/>
          <w:bCs/>
          <w:sz w:val="24"/>
          <w:szCs w:val="24"/>
          <w:lang w:eastAsia="en-GB"/>
        </w:rPr>
        <w:t>1.</w:t>
      </w:r>
      <w:r w:rsidR="00643059" w:rsidRPr="00494A4D">
        <w:rPr>
          <w:rFonts w:ascii="Arial" w:eastAsia="Times New Roman" w:hAnsi="Arial" w:cs="Arial"/>
          <w:b/>
          <w:bCs/>
          <w:sz w:val="24"/>
          <w:szCs w:val="24"/>
          <w:lang w:eastAsia="en-GB"/>
        </w:rPr>
        <w:t>3 National and Local Policies</w:t>
      </w:r>
      <w:r w:rsidR="00AA3228" w:rsidRPr="00494A4D">
        <w:rPr>
          <w:rFonts w:ascii="Arial" w:eastAsia="Times New Roman" w:hAnsi="Arial" w:cs="Arial"/>
          <w:b/>
          <w:bCs/>
          <w:sz w:val="24"/>
          <w:szCs w:val="24"/>
          <w:lang w:eastAsia="en-GB"/>
        </w:rPr>
        <w:t xml:space="preserve"> and </w:t>
      </w:r>
      <w:r w:rsidR="00621371" w:rsidRPr="00494A4D">
        <w:rPr>
          <w:rFonts w:ascii="Arial" w:eastAsia="Times New Roman" w:hAnsi="Arial" w:cs="Arial"/>
          <w:b/>
          <w:bCs/>
          <w:sz w:val="24"/>
          <w:szCs w:val="24"/>
          <w:lang w:eastAsia="en-GB"/>
        </w:rPr>
        <w:t>Initiatives</w:t>
      </w:r>
    </w:p>
    <w:p w14:paraId="06C5721D" w14:textId="77777777" w:rsidR="00C11EF7" w:rsidRPr="007419FD" w:rsidRDefault="00C11EF7" w:rsidP="007419FD">
      <w:pPr>
        <w:spacing w:after="0" w:line="360" w:lineRule="auto"/>
        <w:rPr>
          <w:rFonts w:ascii="Arial" w:eastAsia="Times New Roman" w:hAnsi="Arial" w:cs="Arial"/>
          <w:lang w:eastAsia="en-GB"/>
        </w:rPr>
      </w:pPr>
    </w:p>
    <w:p w14:paraId="50C82BF2" w14:textId="65ED529D" w:rsidR="00C11EF7" w:rsidRPr="007419FD" w:rsidRDefault="00C11EF7" w:rsidP="007419FD">
      <w:pPr>
        <w:spacing w:after="0" w:line="360" w:lineRule="auto"/>
        <w:rPr>
          <w:rFonts w:ascii="Arial" w:eastAsia="Times New Roman" w:hAnsi="Arial" w:cs="Arial"/>
          <w:lang w:eastAsia="en-GB"/>
        </w:rPr>
      </w:pPr>
      <w:r w:rsidRPr="007419FD">
        <w:rPr>
          <w:rFonts w:ascii="Arial" w:eastAsia="Times New Roman" w:hAnsi="Arial" w:cs="Arial"/>
          <w:lang w:eastAsia="en-GB"/>
        </w:rPr>
        <w:t>In the UK, national policies that encourage prevention, lessen health disparities, and enhance population wellbeing support SDG 3. The NHS Long Term Plan (NHS England, 2019), which places a high priority on early intervention, integrated care, personalised services, and preventative healthcare, is a prime example. The plan acknowledges that rather than depending only on medical care, improving health outcomes necessitates cooperation between health services, local governments, and community organisations.</w:t>
      </w:r>
    </w:p>
    <w:p w14:paraId="394C14BF" w14:textId="77777777" w:rsidR="00DB5F74" w:rsidRPr="007419FD" w:rsidRDefault="00DB5F74" w:rsidP="007419FD">
      <w:pPr>
        <w:spacing w:after="0" w:line="360" w:lineRule="auto"/>
        <w:rPr>
          <w:rFonts w:ascii="Arial" w:eastAsia="Times New Roman" w:hAnsi="Arial" w:cs="Arial"/>
          <w:lang w:eastAsia="en-GB"/>
        </w:rPr>
      </w:pPr>
    </w:p>
    <w:p w14:paraId="451E7A8A" w14:textId="224D5608" w:rsidR="009F365B" w:rsidRPr="007419FD" w:rsidRDefault="00DB5F74" w:rsidP="007419FD">
      <w:pPr>
        <w:spacing w:after="0" w:line="360" w:lineRule="auto"/>
        <w:rPr>
          <w:rFonts w:ascii="Arial" w:hAnsi="Arial" w:cs="Arial"/>
        </w:rPr>
      </w:pPr>
      <w:r w:rsidRPr="007419FD">
        <w:rPr>
          <w:rFonts w:ascii="Arial" w:hAnsi="Arial" w:cs="Arial"/>
        </w:rPr>
        <w:lastRenderedPageBreak/>
        <w:t xml:space="preserve">A further national initiative is </w:t>
      </w:r>
      <w:r w:rsidRPr="00F90C8C">
        <w:rPr>
          <w:rStyle w:val="Strong"/>
          <w:rFonts w:ascii="Arial" w:hAnsi="Arial" w:cs="Arial"/>
          <w:b w:val="0"/>
          <w:bCs w:val="0"/>
        </w:rPr>
        <w:t>Core20PLUS5</w:t>
      </w:r>
      <w:r w:rsidRPr="007419FD">
        <w:rPr>
          <w:rFonts w:ascii="Arial" w:hAnsi="Arial" w:cs="Arial"/>
        </w:rPr>
        <w:t>, introduced by NHS England to reduce healthcare inequalities by targeting the most deprived 20% of the population alongside other vulnerable groups</w:t>
      </w:r>
      <w:r w:rsidR="003248FE">
        <w:rPr>
          <w:rFonts w:ascii="Arial" w:hAnsi="Arial" w:cs="Arial"/>
        </w:rPr>
        <w:t xml:space="preserve"> according to</w:t>
      </w:r>
      <w:r w:rsidRPr="007419FD">
        <w:rPr>
          <w:rFonts w:ascii="Arial" w:hAnsi="Arial" w:cs="Arial"/>
        </w:rPr>
        <w:t xml:space="preserve"> (NHS England, 2023). The initiative focuses on improving outcomes in areas including mental health, maternity care and chronic disease management. Evidence suggests that targeted interventions have the potential to reduce disparities in healthcare access and improve population health</w:t>
      </w:r>
      <w:r w:rsidR="00445FE5">
        <w:rPr>
          <w:rFonts w:ascii="Arial" w:hAnsi="Arial" w:cs="Arial"/>
        </w:rPr>
        <w:t>,</w:t>
      </w:r>
      <w:r w:rsidRPr="007419FD">
        <w:rPr>
          <w:rFonts w:ascii="Arial" w:hAnsi="Arial" w:cs="Arial"/>
        </w:rPr>
        <w:t xml:space="preserve"> however, progress has been inconsistent due to workforce shortages, increasing demand and financial pressures across the NHS </w:t>
      </w:r>
      <w:r w:rsidR="00445FE5">
        <w:rPr>
          <w:rFonts w:ascii="Arial" w:hAnsi="Arial" w:cs="Arial"/>
        </w:rPr>
        <w:t xml:space="preserve">as </w:t>
      </w:r>
      <w:r w:rsidR="00D755CA">
        <w:rPr>
          <w:rFonts w:ascii="Arial" w:hAnsi="Arial" w:cs="Arial"/>
        </w:rPr>
        <w:t xml:space="preserve">reported by </w:t>
      </w:r>
      <w:r w:rsidRPr="007419FD">
        <w:rPr>
          <w:rFonts w:ascii="Arial" w:hAnsi="Arial" w:cs="Arial"/>
        </w:rPr>
        <w:t>(The King's Fund, 2024).</w:t>
      </w:r>
    </w:p>
    <w:p w14:paraId="3BA3748B" w14:textId="77777777" w:rsidR="009F365B" w:rsidRPr="007419FD" w:rsidRDefault="009F365B" w:rsidP="007419FD">
      <w:pPr>
        <w:spacing w:after="0" w:line="360" w:lineRule="auto"/>
        <w:rPr>
          <w:rFonts w:ascii="Arial" w:hAnsi="Arial" w:cs="Arial"/>
        </w:rPr>
      </w:pPr>
    </w:p>
    <w:p w14:paraId="77B06F97" w14:textId="6BD8A275" w:rsidR="004C0C0E" w:rsidRDefault="004C0C0E" w:rsidP="00C529AF">
      <w:pPr>
        <w:spacing w:line="360" w:lineRule="auto"/>
        <w:rPr>
          <w:rFonts w:ascii="Arial" w:eastAsia="Times New Roman" w:hAnsi="Arial" w:cs="Arial"/>
          <w:lang w:eastAsia="en-GB"/>
        </w:rPr>
      </w:pPr>
      <w:r w:rsidRPr="007419FD">
        <w:rPr>
          <w:rFonts w:ascii="Arial" w:eastAsia="Times New Roman" w:hAnsi="Arial" w:cs="Arial"/>
          <w:lang w:eastAsia="en-GB"/>
        </w:rPr>
        <w:t>At the local level, Birmingham's Health and Wellbeing Strategy 2022–2030 shows how collaborations between the NHS, local government, and voluntary organisations translate national priorities into community action. Reducing health disparities, enhancing mental health, and addressing broader determinants of health, such as housing, work, and education, are all priorities of the strategy</w:t>
      </w:r>
      <w:r w:rsidR="007C32E1">
        <w:rPr>
          <w:rFonts w:ascii="Arial" w:eastAsia="Times New Roman" w:hAnsi="Arial" w:cs="Arial"/>
          <w:lang w:eastAsia="en-GB"/>
        </w:rPr>
        <w:t xml:space="preserve"> as stated by</w:t>
      </w:r>
      <w:r w:rsidRPr="007419FD">
        <w:rPr>
          <w:rFonts w:ascii="Arial" w:eastAsia="Times New Roman" w:hAnsi="Arial" w:cs="Arial"/>
          <w:lang w:eastAsia="en-GB"/>
        </w:rPr>
        <w:t xml:space="preserve"> (Birmingham Health and Wellbeing Board, 2022). Despite these goals, there are still large disparities in Birmingham, especially between wealthy and underprivileged areas, underscoring the continuous difficulty in converting policy into quantifiable gains in health outcomes. As a result, even though local and national initiatives closely match SDG 3's goals, their long-term success depends on ongoing cross-sector cooperation, workforce capacity, and sustained investment.</w:t>
      </w:r>
    </w:p>
    <w:p w14:paraId="3A9CB04F" w14:textId="77777777" w:rsidR="00CC7191" w:rsidRDefault="00CC7191" w:rsidP="00C529AF">
      <w:pPr>
        <w:spacing w:line="360" w:lineRule="auto"/>
        <w:rPr>
          <w:rFonts w:ascii="Arial" w:eastAsia="Times New Roman" w:hAnsi="Arial" w:cs="Arial"/>
          <w:lang w:eastAsia="en-GB"/>
        </w:rPr>
      </w:pPr>
    </w:p>
    <w:p w14:paraId="20AA5BB7" w14:textId="534ED974" w:rsidR="009E2D68" w:rsidRDefault="00C717E1" w:rsidP="00C529AF">
      <w:pPr>
        <w:spacing w:line="360" w:lineRule="auto"/>
        <w:rPr>
          <w:rFonts w:ascii="Arial" w:eastAsia="Times New Roman" w:hAnsi="Arial" w:cs="Arial"/>
          <w:b/>
          <w:bCs/>
          <w:sz w:val="24"/>
          <w:szCs w:val="24"/>
          <w:lang w:eastAsia="en-GB"/>
        </w:rPr>
      </w:pPr>
      <w:r w:rsidRPr="00C3435E">
        <w:rPr>
          <w:rFonts w:ascii="Arial" w:eastAsia="Times New Roman" w:hAnsi="Arial" w:cs="Arial"/>
          <w:b/>
          <w:bCs/>
          <w:sz w:val="24"/>
          <w:szCs w:val="24"/>
          <w:lang w:eastAsia="en-GB"/>
        </w:rPr>
        <w:t>1.</w:t>
      </w:r>
      <w:r w:rsidR="00C529AF" w:rsidRPr="00C3435E">
        <w:rPr>
          <w:rFonts w:ascii="Arial" w:eastAsia="Times New Roman" w:hAnsi="Arial" w:cs="Arial"/>
          <w:b/>
          <w:bCs/>
          <w:sz w:val="24"/>
          <w:szCs w:val="24"/>
          <w:lang w:eastAsia="en-GB"/>
        </w:rPr>
        <w:t>4</w:t>
      </w:r>
      <w:r w:rsidR="00AA3C0F" w:rsidRPr="00C3435E">
        <w:rPr>
          <w:rFonts w:ascii="Arial" w:eastAsia="Times New Roman" w:hAnsi="Arial" w:cs="Arial"/>
          <w:b/>
          <w:bCs/>
          <w:sz w:val="24"/>
          <w:szCs w:val="24"/>
          <w:lang w:eastAsia="en-GB"/>
        </w:rPr>
        <w:t xml:space="preserve"> </w:t>
      </w:r>
      <w:r w:rsidR="00C529AF" w:rsidRPr="00C3435E">
        <w:rPr>
          <w:rFonts w:ascii="Arial" w:eastAsia="Times New Roman" w:hAnsi="Arial" w:cs="Arial"/>
          <w:b/>
          <w:bCs/>
          <w:sz w:val="24"/>
          <w:szCs w:val="24"/>
          <w:lang w:eastAsia="en-GB"/>
        </w:rPr>
        <w:t>Theoretical Perspectives and Models</w:t>
      </w:r>
      <w:r w:rsidR="00AA3C0F" w:rsidRPr="00C3435E">
        <w:rPr>
          <w:rFonts w:ascii="Arial" w:eastAsia="Times New Roman" w:hAnsi="Arial" w:cs="Arial"/>
          <w:b/>
          <w:bCs/>
          <w:sz w:val="24"/>
          <w:szCs w:val="24"/>
          <w:lang w:eastAsia="en-GB"/>
        </w:rPr>
        <w:t xml:space="preserve"> </w:t>
      </w:r>
    </w:p>
    <w:p w14:paraId="00D3C636" w14:textId="32618DB8" w:rsidR="00C717E1" w:rsidRPr="00A2375B" w:rsidRDefault="00C717E1" w:rsidP="00C529AF">
      <w:pPr>
        <w:spacing w:after="0" w:line="360" w:lineRule="auto"/>
        <w:rPr>
          <w:rFonts w:ascii="Arial" w:eastAsia="Times New Roman" w:hAnsi="Arial" w:cs="Arial"/>
          <w:lang w:eastAsia="en-GB"/>
        </w:rPr>
      </w:pPr>
      <w:r w:rsidRPr="00A2375B">
        <w:rPr>
          <w:rFonts w:ascii="Arial" w:eastAsia="Times New Roman" w:hAnsi="Arial" w:cs="Arial"/>
          <w:lang w:eastAsia="en-GB"/>
        </w:rPr>
        <w:t xml:space="preserve">The Dahlgren and Whitehead Social Determinants of Health Model, which highlights how </w:t>
      </w:r>
      <w:r w:rsidR="0048332A">
        <w:rPr>
          <w:rFonts w:ascii="Arial" w:eastAsia="Times New Roman" w:hAnsi="Arial" w:cs="Arial"/>
          <w:lang w:eastAsia="en-GB"/>
        </w:rPr>
        <w:t>the wider social, economic</w:t>
      </w:r>
      <w:r w:rsidR="00F81635">
        <w:rPr>
          <w:rFonts w:ascii="Arial" w:eastAsia="Times New Roman" w:hAnsi="Arial" w:cs="Arial"/>
          <w:lang w:eastAsia="en-GB"/>
        </w:rPr>
        <w:t xml:space="preserve"> and environmental determinants</w:t>
      </w:r>
      <w:r w:rsidR="00843BDD">
        <w:rPr>
          <w:rFonts w:ascii="Arial" w:eastAsia="Times New Roman" w:hAnsi="Arial" w:cs="Arial"/>
          <w:lang w:eastAsia="en-GB"/>
        </w:rPr>
        <w:t xml:space="preserve"> of health</w:t>
      </w:r>
      <w:r w:rsidRPr="00A2375B">
        <w:rPr>
          <w:rFonts w:ascii="Arial" w:eastAsia="Times New Roman" w:hAnsi="Arial" w:cs="Arial"/>
          <w:lang w:eastAsia="en-GB"/>
        </w:rPr>
        <w:t xml:space="preserve"> conditions collectively shape health outcomes, offers a useful framework for assessing the implementation of SDG</w:t>
      </w:r>
      <w:r w:rsidR="008F4526">
        <w:rPr>
          <w:rFonts w:ascii="Arial" w:eastAsia="Times New Roman" w:hAnsi="Arial" w:cs="Arial"/>
          <w:lang w:eastAsia="en-GB"/>
        </w:rPr>
        <w:t xml:space="preserve"> as outlined </w:t>
      </w:r>
      <w:r w:rsidR="006B4CDA">
        <w:rPr>
          <w:rFonts w:ascii="Arial" w:eastAsia="Times New Roman" w:hAnsi="Arial" w:cs="Arial"/>
          <w:lang w:eastAsia="en-GB"/>
        </w:rPr>
        <w:t>by (Public Health England, 2017)</w:t>
      </w:r>
      <w:r w:rsidRPr="00A2375B">
        <w:rPr>
          <w:rFonts w:ascii="Arial" w:eastAsia="Times New Roman" w:hAnsi="Arial" w:cs="Arial"/>
          <w:lang w:eastAsia="en-GB"/>
        </w:rPr>
        <w:t>. This perspective supports national initiatives like the NHS Long Term Plan and Core20PLUS5, which aim to improve health through prevention, reducing inequalities, and addressing the wider determinants of health rather than concentrating only on medical treatment</w:t>
      </w:r>
      <w:r w:rsidR="00434155">
        <w:rPr>
          <w:rFonts w:ascii="Arial" w:eastAsia="Times New Roman" w:hAnsi="Arial" w:cs="Arial"/>
          <w:lang w:eastAsia="en-GB"/>
        </w:rPr>
        <w:t xml:space="preserve"> as outlined by</w:t>
      </w:r>
      <w:r w:rsidRPr="00A2375B">
        <w:rPr>
          <w:rFonts w:ascii="Arial" w:eastAsia="Times New Roman" w:hAnsi="Arial" w:cs="Arial"/>
          <w:lang w:eastAsia="en-GB"/>
        </w:rPr>
        <w:t xml:space="preserve"> </w:t>
      </w:r>
      <w:r w:rsidR="00E06146">
        <w:rPr>
          <w:rFonts w:ascii="Arial" w:eastAsia="Times New Roman" w:hAnsi="Arial" w:cs="Arial"/>
          <w:lang w:eastAsia="en-GB"/>
        </w:rPr>
        <w:t>(</w:t>
      </w:r>
      <w:r w:rsidRPr="00A2375B">
        <w:rPr>
          <w:rFonts w:ascii="Arial" w:eastAsia="Times New Roman" w:hAnsi="Arial" w:cs="Arial"/>
          <w:lang w:eastAsia="en-GB"/>
        </w:rPr>
        <w:t>NHS England, 2023).</w:t>
      </w:r>
      <w:r w:rsidRPr="00A2375B">
        <w:rPr>
          <w:rFonts w:ascii="Arial" w:eastAsia="Times New Roman" w:hAnsi="Arial" w:cs="Arial"/>
          <w:lang w:eastAsia="en-GB"/>
        </w:rPr>
        <w:t xml:space="preserve"> </w:t>
      </w:r>
    </w:p>
    <w:p w14:paraId="018B10AB" w14:textId="77777777" w:rsidR="00494A4D" w:rsidRDefault="00494A4D" w:rsidP="005737F5">
      <w:pPr>
        <w:spacing w:after="0" w:line="360" w:lineRule="auto"/>
        <w:rPr>
          <w:rFonts w:ascii="Arial" w:eastAsia="Times New Roman" w:hAnsi="Arial" w:cs="Arial"/>
          <w:lang w:eastAsia="en-GB"/>
        </w:rPr>
      </w:pPr>
    </w:p>
    <w:p w14:paraId="593BA1E1" w14:textId="4C2111AB" w:rsidR="00D73DB9" w:rsidRPr="00A2375B" w:rsidRDefault="00D73DB9" w:rsidP="005737F5">
      <w:pPr>
        <w:spacing w:after="0" w:line="360" w:lineRule="auto"/>
        <w:rPr>
          <w:rFonts w:ascii="Arial" w:eastAsia="Times New Roman" w:hAnsi="Arial" w:cs="Arial"/>
          <w:lang w:eastAsia="en-GB"/>
        </w:rPr>
      </w:pPr>
      <w:r w:rsidRPr="00A2375B">
        <w:rPr>
          <w:rFonts w:ascii="Arial" w:eastAsia="Times New Roman" w:hAnsi="Arial" w:cs="Arial"/>
          <w:lang w:eastAsia="en-GB"/>
        </w:rPr>
        <w:t>The Biomedical Model, on the other hand, focuses mostly on the diagnosis and treatment of diseases. This strategy has been criticised for ignoring the social, economic, and environmental factors that contribute to poor health outcomes, despite the fact that it has been very successful in increasing survival rates and managing acute illness</w:t>
      </w:r>
      <w:r w:rsidR="001F616D">
        <w:rPr>
          <w:rFonts w:ascii="Arial" w:eastAsia="Times New Roman" w:hAnsi="Arial" w:cs="Arial"/>
          <w:lang w:eastAsia="en-GB"/>
        </w:rPr>
        <w:t>.</w:t>
      </w:r>
      <w:r w:rsidRPr="00A2375B">
        <w:rPr>
          <w:rFonts w:ascii="Arial" w:eastAsia="Times New Roman" w:hAnsi="Arial" w:cs="Arial"/>
          <w:lang w:eastAsia="en-GB"/>
        </w:rPr>
        <w:t xml:space="preserve"> Therefore, attaining SDG 3 necessitates a more comprehensive strategy that combines healthcare with social policy, public health, and community-based initiatives. </w:t>
      </w:r>
      <w:r w:rsidR="00ED23FE">
        <w:rPr>
          <w:rFonts w:ascii="Arial" w:eastAsia="Times New Roman" w:hAnsi="Arial" w:cs="Arial"/>
          <w:lang w:eastAsia="en-GB"/>
        </w:rPr>
        <w:t xml:space="preserve">This enables health systems to </w:t>
      </w:r>
      <w:r w:rsidR="00ED23FE">
        <w:rPr>
          <w:rFonts w:ascii="Arial" w:eastAsia="Times New Roman" w:hAnsi="Arial" w:cs="Arial"/>
          <w:lang w:eastAsia="en-GB"/>
        </w:rPr>
        <w:lastRenderedPageBreak/>
        <w:t>address</w:t>
      </w:r>
      <w:r w:rsidR="00701F63">
        <w:rPr>
          <w:rFonts w:ascii="Arial" w:eastAsia="Times New Roman" w:hAnsi="Arial" w:cs="Arial"/>
          <w:lang w:eastAsia="en-GB"/>
        </w:rPr>
        <w:t xml:space="preserve"> both disease and its wider determinants</w:t>
      </w:r>
      <w:r w:rsidR="00BD30A1">
        <w:rPr>
          <w:rFonts w:ascii="Arial" w:eastAsia="Times New Roman" w:hAnsi="Arial" w:cs="Arial"/>
          <w:lang w:eastAsia="en-GB"/>
        </w:rPr>
        <w:t xml:space="preserve"> as repo</w:t>
      </w:r>
      <w:r w:rsidR="00094FAB">
        <w:rPr>
          <w:rFonts w:ascii="Arial" w:eastAsia="Times New Roman" w:hAnsi="Arial" w:cs="Arial"/>
          <w:lang w:eastAsia="en-GB"/>
        </w:rPr>
        <w:t>rted by</w:t>
      </w:r>
      <w:r w:rsidRPr="00A2375B">
        <w:rPr>
          <w:rFonts w:ascii="Arial" w:eastAsia="Times New Roman" w:hAnsi="Arial" w:cs="Arial"/>
          <w:lang w:eastAsia="en-GB"/>
        </w:rPr>
        <w:t xml:space="preserve"> (World Health Organization, 2023).</w:t>
      </w:r>
    </w:p>
    <w:p w14:paraId="3EF5F848" w14:textId="77777777" w:rsidR="00D73DB9" w:rsidRPr="00A2375B" w:rsidRDefault="00D73DB9" w:rsidP="005737F5">
      <w:pPr>
        <w:spacing w:after="0" w:line="360" w:lineRule="auto"/>
        <w:rPr>
          <w:rFonts w:ascii="Arial" w:eastAsia="Times New Roman" w:hAnsi="Arial" w:cs="Arial"/>
          <w:lang w:eastAsia="en-GB"/>
        </w:rPr>
      </w:pPr>
    </w:p>
    <w:p w14:paraId="3186EBF5" w14:textId="497B0708" w:rsidR="00DC6DC1" w:rsidRPr="00107CF0" w:rsidRDefault="007C319F" w:rsidP="00B84C65">
      <w:pPr>
        <w:spacing w:after="0" w:line="360" w:lineRule="auto"/>
        <w:rPr>
          <w:rFonts w:ascii="Arial" w:eastAsia="Times New Roman" w:hAnsi="Arial" w:cs="Arial"/>
          <w:b/>
          <w:bCs/>
          <w:sz w:val="24"/>
          <w:szCs w:val="24"/>
          <w:lang w:eastAsia="en-GB"/>
        </w:rPr>
      </w:pPr>
      <w:r w:rsidRPr="00107CF0">
        <w:rPr>
          <w:rFonts w:ascii="Arial" w:eastAsia="Times New Roman" w:hAnsi="Arial" w:cs="Arial"/>
          <w:b/>
          <w:bCs/>
          <w:sz w:val="24"/>
          <w:szCs w:val="24"/>
          <w:lang w:eastAsia="en-GB"/>
        </w:rPr>
        <w:t xml:space="preserve">1.5 </w:t>
      </w:r>
      <w:r w:rsidR="00BD7C92" w:rsidRPr="00107CF0">
        <w:rPr>
          <w:rFonts w:ascii="Arial" w:eastAsia="Times New Roman" w:hAnsi="Arial" w:cs="Arial"/>
          <w:b/>
          <w:bCs/>
          <w:sz w:val="24"/>
          <w:szCs w:val="24"/>
          <w:lang w:eastAsia="en-GB"/>
        </w:rPr>
        <w:t>Recommendations</w:t>
      </w:r>
    </w:p>
    <w:p w14:paraId="16360966" w14:textId="77777777" w:rsidR="00B84C65" w:rsidRPr="00B84C65" w:rsidRDefault="00B84C65" w:rsidP="00B84C65">
      <w:pPr>
        <w:spacing w:after="0" w:line="360" w:lineRule="auto"/>
        <w:rPr>
          <w:rFonts w:ascii="Arial" w:eastAsia="Times New Roman" w:hAnsi="Arial" w:cs="Arial"/>
          <w:lang w:eastAsia="en-GB"/>
        </w:rPr>
      </w:pPr>
    </w:p>
    <w:p w14:paraId="4E427D66" w14:textId="1474C4CC" w:rsidR="00DC6DC1" w:rsidRDefault="006A204F" w:rsidP="00793C38">
      <w:pPr>
        <w:pStyle w:val="ListParagraph"/>
        <w:numPr>
          <w:ilvl w:val="0"/>
          <w:numId w:val="4"/>
        </w:numPr>
        <w:spacing w:after="0" w:line="360" w:lineRule="auto"/>
        <w:rPr>
          <w:rFonts w:ascii="Arial" w:eastAsia="Times New Roman" w:hAnsi="Arial" w:cs="Arial"/>
          <w:lang w:eastAsia="en-GB"/>
        </w:rPr>
      </w:pPr>
      <w:r w:rsidRPr="00793C38">
        <w:rPr>
          <w:rFonts w:ascii="Arial" w:eastAsia="Times New Roman" w:hAnsi="Arial" w:cs="Arial"/>
          <w:lang w:eastAsia="en-GB"/>
        </w:rPr>
        <w:t>To improve population health outcomes and lower long-term demand on acute services, increase funding for community-based and preventative healthcare.</w:t>
      </w:r>
    </w:p>
    <w:p w14:paraId="47FFADAC" w14:textId="67E043D3" w:rsidR="009E11D5" w:rsidRDefault="006A204F" w:rsidP="00793C38">
      <w:pPr>
        <w:pStyle w:val="ListParagraph"/>
        <w:numPr>
          <w:ilvl w:val="0"/>
          <w:numId w:val="4"/>
        </w:numPr>
        <w:spacing w:after="0" w:line="360" w:lineRule="auto"/>
        <w:rPr>
          <w:rFonts w:ascii="Arial" w:eastAsia="Times New Roman" w:hAnsi="Arial" w:cs="Arial"/>
          <w:lang w:eastAsia="en-GB"/>
        </w:rPr>
      </w:pPr>
      <w:r w:rsidRPr="00793C38">
        <w:rPr>
          <w:rFonts w:ascii="Arial" w:eastAsia="Times New Roman" w:hAnsi="Arial" w:cs="Arial"/>
          <w:lang w:eastAsia="en-GB"/>
        </w:rPr>
        <w:t>To address broader social determinants of health, such as housing, education, and employment, strengthen cooperation between healthcare providers, local governments, and nonprofit organisations.</w:t>
      </w:r>
    </w:p>
    <w:p w14:paraId="605CD9F6" w14:textId="62D4FA8D" w:rsidR="009E11D5" w:rsidRDefault="006A204F" w:rsidP="00793C38">
      <w:pPr>
        <w:pStyle w:val="ListParagraph"/>
        <w:numPr>
          <w:ilvl w:val="0"/>
          <w:numId w:val="4"/>
        </w:numPr>
        <w:spacing w:after="0" w:line="360" w:lineRule="auto"/>
        <w:rPr>
          <w:rFonts w:ascii="Arial" w:eastAsia="Times New Roman" w:hAnsi="Arial" w:cs="Arial"/>
          <w:lang w:eastAsia="en-GB"/>
        </w:rPr>
      </w:pPr>
      <w:r w:rsidRPr="00793C38">
        <w:rPr>
          <w:rFonts w:ascii="Arial" w:eastAsia="Times New Roman" w:hAnsi="Arial" w:cs="Arial"/>
          <w:lang w:eastAsia="en-GB"/>
        </w:rPr>
        <w:t>Extend focused initiatives, like Core20PLUS5, to reduce health disparities by allocating funds to the most underprivileged groups.</w:t>
      </w:r>
    </w:p>
    <w:p w14:paraId="1124A572" w14:textId="77777777" w:rsidR="00B84C65" w:rsidRDefault="00B84C65" w:rsidP="00B84C65">
      <w:pPr>
        <w:pStyle w:val="ListParagraph"/>
        <w:spacing w:after="0" w:line="360" w:lineRule="auto"/>
        <w:rPr>
          <w:rFonts w:ascii="Arial" w:eastAsia="Times New Roman" w:hAnsi="Arial" w:cs="Arial"/>
          <w:lang w:eastAsia="en-GB"/>
        </w:rPr>
      </w:pPr>
    </w:p>
    <w:p w14:paraId="186C9D7E" w14:textId="46F5A243" w:rsidR="006A204F" w:rsidRPr="00562D44" w:rsidRDefault="006A204F" w:rsidP="00562D44">
      <w:pPr>
        <w:spacing w:after="0" w:line="360" w:lineRule="auto"/>
        <w:rPr>
          <w:rFonts w:ascii="Arial" w:eastAsia="Times New Roman" w:hAnsi="Arial" w:cs="Arial"/>
          <w:lang w:eastAsia="en-GB"/>
        </w:rPr>
      </w:pPr>
      <w:r w:rsidRPr="00562D44">
        <w:rPr>
          <w:rFonts w:ascii="Arial" w:eastAsia="Times New Roman" w:hAnsi="Arial" w:cs="Arial"/>
          <w:lang w:eastAsia="en-GB"/>
        </w:rPr>
        <w:t>These suggestions encourage a more sustainable, preventative, and equitable strategy for accomplishing SDG 3.</w:t>
      </w:r>
    </w:p>
    <w:p w14:paraId="0D9D2F0A" w14:textId="55F95612" w:rsidR="003B5B18" w:rsidRPr="00107CF0" w:rsidRDefault="00AB5EA4" w:rsidP="005737F5">
      <w:pPr>
        <w:spacing w:line="360" w:lineRule="auto"/>
        <w:rPr>
          <w:rFonts w:ascii="Arial" w:eastAsia="Times New Roman" w:hAnsi="Arial" w:cs="Arial"/>
          <w:b/>
          <w:bCs/>
          <w:sz w:val="24"/>
          <w:szCs w:val="24"/>
          <w:lang w:eastAsia="en-GB"/>
        </w:rPr>
      </w:pPr>
      <w:r w:rsidRPr="00107CF0">
        <w:rPr>
          <w:rFonts w:ascii="Arial" w:eastAsia="Times New Roman" w:hAnsi="Arial" w:cs="Arial"/>
          <w:b/>
          <w:bCs/>
          <w:sz w:val="24"/>
          <w:szCs w:val="24"/>
          <w:lang w:eastAsia="en-GB"/>
        </w:rPr>
        <w:t xml:space="preserve"> </w:t>
      </w:r>
    </w:p>
    <w:p w14:paraId="19F78775" w14:textId="1EBAC97F" w:rsidR="00107CF0" w:rsidRPr="00107CF0" w:rsidRDefault="00545A77" w:rsidP="005737F5">
      <w:pPr>
        <w:spacing w:line="360" w:lineRule="auto"/>
        <w:rPr>
          <w:rFonts w:ascii="Arial" w:eastAsia="Times New Roman" w:hAnsi="Arial" w:cs="Arial"/>
          <w:b/>
          <w:bCs/>
          <w:sz w:val="24"/>
          <w:szCs w:val="24"/>
          <w:lang w:eastAsia="en-GB"/>
        </w:rPr>
      </w:pPr>
      <w:r w:rsidRPr="00107CF0">
        <w:rPr>
          <w:rFonts w:ascii="Arial" w:eastAsia="Times New Roman" w:hAnsi="Arial" w:cs="Arial"/>
          <w:b/>
          <w:bCs/>
          <w:sz w:val="24"/>
          <w:szCs w:val="24"/>
          <w:lang w:eastAsia="en-GB"/>
        </w:rPr>
        <w:t xml:space="preserve">2.1 </w:t>
      </w:r>
      <w:r>
        <w:rPr>
          <w:rFonts w:ascii="Arial" w:eastAsia="Times New Roman" w:hAnsi="Arial" w:cs="Arial"/>
          <w:b/>
          <w:bCs/>
          <w:sz w:val="24"/>
          <w:szCs w:val="24"/>
          <w:lang w:eastAsia="en-GB"/>
        </w:rPr>
        <w:t>SDG</w:t>
      </w:r>
      <w:r w:rsidR="002C777C">
        <w:rPr>
          <w:rFonts w:ascii="Arial" w:eastAsia="Times New Roman" w:hAnsi="Arial" w:cs="Arial"/>
          <w:b/>
          <w:bCs/>
          <w:sz w:val="24"/>
          <w:szCs w:val="24"/>
          <w:lang w:eastAsia="en-GB"/>
        </w:rPr>
        <w:t xml:space="preserve"> 11 </w:t>
      </w:r>
      <w:r w:rsidR="00AB5EA4" w:rsidRPr="00107CF0">
        <w:rPr>
          <w:rFonts w:ascii="Arial" w:eastAsia="Times New Roman" w:hAnsi="Arial" w:cs="Arial"/>
          <w:b/>
          <w:bCs/>
          <w:sz w:val="24"/>
          <w:szCs w:val="24"/>
          <w:lang w:eastAsia="en-GB"/>
        </w:rPr>
        <w:t>Sustainable</w:t>
      </w:r>
      <w:r w:rsidR="000F0587" w:rsidRPr="00107CF0">
        <w:rPr>
          <w:rFonts w:ascii="Arial" w:eastAsia="Times New Roman" w:hAnsi="Arial" w:cs="Arial"/>
          <w:b/>
          <w:bCs/>
          <w:sz w:val="24"/>
          <w:szCs w:val="24"/>
          <w:lang w:eastAsia="en-GB"/>
        </w:rPr>
        <w:t xml:space="preserve"> Cities and Communities</w:t>
      </w:r>
    </w:p>
    <w:p w14:paraId="0C50B26A" w14:textId="7C7E1D53" w:rsidR="00107CF0" w:rsidRPr="008832C2" w:rsidRDefault="00F879DE" w:rsidP="00666CDC">
      <w:pPr>
        <w:spacing w:line="360" w:lineRule="auto"/>
        <w:rPr>
          <w:rFonts w:ascii="Arial" w:eastAsia="Times New Roman" w:hAnsi="Arial" w:cs="Arial"/>
          <w:lang w:eastAsia="en-GB"/>
        </w:rPr>
      </w:pPr>
      <w:r w:rsidRPr="00465D4C">
        <w:rPr>
          <w:rFonts w:ascii="Arial" w:eastAsia="Times New Roman" w:hAnsi="Arial" w:cs="Arial"/>
          <w:lang w:eastAsia="en-GB"/>
        </w:rPr>
        <w:t>Making cities and human settlements inclusive, safe, resilient, and sustainable is the goal of Sustainable Development Goal 11 (SDG 11)</w:t>
      </w:r>
      <w:r w:rsidR="00B3647E">
        <w:rPr>
          <w:rFonts w:ascii="Arial" w:eastAsia="Times New Roman" w:hAnsi="Arial" w:cs="Arial"/>
          <w:lang w:eastAsia="en-GB"/>
        </w:rPr>
        <w:t>,</w:t>
      </w:r>
      <w:r w:rsidRPr="00465D4C">
        <w:rPr>
          <w:rFonts w:ascii="Arial" w:eastAsia="Times New Roman" w:hAnsi="Arial" w:cs="Arial"/>
          <w:lang w:eastAsia="en-GB"/>
        </w:rPr>
        <w:t xml:space="preserve"> (United Nations, 2015). </w:t>
      </w:r>
      <w:r w:rsidR="00C92FC9">
        <w:rPr>
          <w:rFonts w:ascii="Arial" w:eastAsia="Times New Roman" w:hAnsi="Arial" w:cs="Arial"/>
          <w:lang w:eastAsia="en-GB"/>
        </w:rPr>
        <w:t>As most of the worlds population now lives in urban areas</w:t>
      </w:r>
      <w:r w:rsidR="00B44F19">
        <w:rPr>
          <w:rFonts w:ascii="Arial" w:eastAsia="Times New Roman" w:hAnsi="Arial" w:cs="Arial"/>
          <w:lang w:eastAsia="en-GB"/>
        </w:rPr>
        <w:t>, city design significantly influences health and wellbeing</w:t>
      </w:r>
      <w:r w:rsidRPr="00465D4C">
        <w:rPr>
          <w:rFonts w:ascii="Arial" w:eastAsia="Times New Roman" w:hAnsi="Arial" w:cs="Arial"/>
          <w:lang w:eastAsia="en-GB"/>
        </w:rPr>
        <w:t xml:space="preserve"> (United Nations, 2024). </w:t>
      </w:r>
      <w:r w:rsidR="00321B32">
        <w:rPr>
          <w:rFonts w:ascii="Arial" w:eastAsia="Times New Roman" w:hAnsi="Arial" w:cs="Arial"/>
          <w:lang w:eastAsia="en-GB"/>
        </w:rPr>
        <w:t>SDG 11 recognises that</w:t>
      </w:r>
      <w:r w:rsidR="00565369">
        <w:rPr>
          <w:rFonts w:ascii="Arial" w:eastAsia="Times New Roman" w:hAnsi="Arial" w:cs="Arial"/>
          <w:lang w:eastAsia="en-GB"/>
        </w:rPr>
        <w:t xml:space="preserve"> housing, transport, green spaces and infrast</w:t>
      </w:r>
      <w:r w:rsidR="00E9005D">
        <w:rPr>
          <w:rFonts w:ascii="Arial" w:eastAsia="Times New Roman" w:hAnsi="Arial" w:cs="Arial"/>
          <w:lang w:eastAsia="en-GB"/>
        </w:rPr>
        <w:t>ructure significantly influence health and wellbeing</w:t>
      </w:r>
      <w:r w:rsidRPr="00465D4C">
        <w:rPr>
          <w:rFonts w:ascii="Arial" w:eastAsia="Times New Roman" w:hAnsi="Arial" w:cs="Arial"/>
          <w:lang w:eastAsia="en-GB"/>
        </w:rPr>
        <w:t>.</w:t>
      </w:r>
      <w:r w:rsidR="00D8218A" w:rsidRPr="00465D4C">
        <w:rPr>
          <w:rFonts w:ascii="Arial" w:eastAsia="Times New Roman" w:hAnsi="Arial" w:cs="Arial"/>
          <w:lang w:eastAsia="en-GB"/>
        </w:rPr>
        <w:t xml:space="preserve"> </w:t>
      </w:r>
      <w:r w:rsidR="005449E9" w:rsidRPr="00465D4C">
        <w:rPr>
          <w:rFonts w:ascii="Arial" w:eastAsia="Times New Roman" w:hAnsi="Arial" w:cs="Arial"/>
          <w:lang w:eastAsia="en-GB"/>
        </w:rPr>
        <w:t>As a result, the goal and SDG 3 (Good Health and Wellbeing) are closely related because healthy urban environments promote active lifestyles, lower environmental risks, and enhance access to necessary services. However, the creation of sustainable communities is still hampered by rapid urbanisation, climate change, and socioeconomic inequality, especially among impoverished urban populations (World Health Organization, 2023).</w:t>
      </w:r>
    </w:p>
    <w:p w14:paraId="769442DD" w14:textId="30D609A7" w:rsidR="00254379" w:rsidRDefault="00254379">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14:paraId="09344D5E" w14:textId="58D4CB9E" w:rsidR="00FE0FBB" w:rsidRPr="00107CF0" w:rsidRDefault="00134408" w:rsidP="00666CDC">
      <w:pPr>
        <w:spacing w:line="360" w:lineRule="auto"/>
        <w:rPr>
          <w:rFonts w:ascii="Arial" w:eastAsia="Times New Roman" w:hAnsi="Arial" w:cs="Arial"/>
          <w:b/>
          <w:bCs/>
          <w:sz w:val="24"/>
          <w:szCs w:val="24"/>
          <w:lang w:eastAsia="en-GB"/>
        </w:rPr>
      </w:pPr>
      <w:r w:rsidRPr="00107CF0">
        <w:rPr>
          <w:rFonts w:ascii="Arial" w:eastAsia="Times New Roman" w:hAnsi="Arial" w:cs="Arial"/>
          <w:b/>
          <w:bCs/>
          <w:sz w:val="24"/>
          <w:szCs w:val="24"/>
          <w:lang w:eastAsia="en-GB"/>
        </w:rPr>
        <w:lastRenderedPageBreak/>
        <w:t>2.2</w:t>
      </w:r>
      <w:r w:rsidR="00D03B8F" w:rsidRPr="00107CF0">
        <w:rPr>
          <w:rFonts w:ascii="Arial" w:eastAsia="Times New Roman" w:hAnsi="Arial" w:cs="Arial"/>
          <w:b/>
          <w:bCs/>
          <w:sz w:val="24"/>
          <w:szCs w:val="24"/>
          <w:lang w:eastAsia="en-GB"/>
        </w:rPr>
        <w:t xml:space="preserve"> Global Policies and Initiatives</w:t>
      </w:r>
    </w:p>
    <w:p w14:paraId="2E773504" w14:textId="4F9F3967" w:rsidR="00134408" w:rsidRPr="00465D4C" w:rsidRDefault="00134408" w:rsidP="00666CDC">
      <w:pPr>
        <w:spacing w:after="0" w:line="360" w:lineRule="auto"/>
        <w:rPr>
          <w:rFonts w:ascii="Arial" w:eastAsia="Times New Roman" w:hAnsi="Arial" w:cs="Arial"/>
          <w:lang w:eastAsia="en-GB"/>
        </w:rPr>
      </w:pPr>
      <w:r w:rsidRPr="00465D4C">
        <w:rPr>
          <w:rFonts w:ascii="Arial" w:eastAsia="Times New Roman" w:hAnsi="Arial" w:cs="Arial"/>
          <w:lang w:eastAsia="en-GB"/>
        </w:rPr>
        <w:t xml:space="preserve">Policies that promote sustainable urban development while acknowledging the connection between population health and environmental quality support SDG 11 globally. In order to enhance quality of life and lessen inequality, the United Nations New Urban Agenda supports resilient infrastructure, affordable housing, sustainable transportation, and inclusive urban planning </w:t>
      </w:r>
      <w:r w:rsidR="00DE02F8">
        <w:rPr>
          <w:rFonts w:ascii="Arial" w:eastAsia="Times New Roman" w:hAnsi="Arial" w:cs="Arial"/>
          <w:lang w:eastAsia="en-GB"/>
        </w:rPr>
        <w:t xml:space="preserve">as </w:t>
      </w:r>
      <w:r w:rsidR="007E45F6">
        <w:rPr>
          <w:rFonts w:ascii="Arial" w:eastAsia="Times New Roman" w:hAnsi="Arial" w:cs="Arial"/>
          <w:lang w:eastAsia="en-GB"/>
        </w:rPr>
        <w:t xml:space="preserve">highlighted by </w:t>
      </w:r>
      <w:r w:rsidRPr="00465D4C">
        <w:rPr>
          <w:rFonts w:ascii="Arial" w:eastAsia="Times New Roman" w:hAnsi="Arial" w:cs="Arial"/>
          <w:lang w:eastAsia="en-GB"/>
        </w:rPr>
        <w:t xml:space="preserve">(United Nations Human Settlements Programme (UN-Habitat), 2020). In a similar vein, the World Health Organization Healthy Cities Network helps local governments incorporate health considerations into urban planning by fostering cross-sector cooperation, encouraging active travel, expanding access to green areas, and boosting community involvement </w:t>
      </w:r>
      <w:r w:rsidR="007E45F6">
        <w:rPr>
          <w:rFonts w:ascii="Arial" w:eastAsia="Times New Roman" w:hAnsi="Arial" w:cs="Arial"/>
          <w:lang w:eastAsia="en-GB"/>
        </w:rPr>
        <w:t xml:space="preserve">as stated by </w:t>
      </w:r>
      <w:r w:rsidRPr="00465D4C">
        <w:rPr>
          <w:rFonts w:ascii="Arial" w:eastAsia="Times New Roman" w:hAnsi="Arial" w:cs="Arial"/>
          <w:lang w:eastAsia="en-GB"/>
        </w:rPr>
        <w:t>(World Health Organization, 2023).</w:t>
      </w:r>
    </w:p>
    <w:p w14:paraId="037302E0" w14:textId="77777777" w:rsidR="00730A04" w:rsidRPr="00465D4C" w:rsidRDefault="00730A04" w:rsidP="00666CDC">
      <w:pPr>
        <w:spacing w:after="0" w:line="360" w:lineRule="auto"/>
        <w:rPr>
          <w:rFonts w:ascii="Arial" w:eastAsia="Times New Roman" w:hAnsi="Arial" w:cs="Arial"/>
          <w:lang w:eastAsia="en-GB"/>
        </w:rPr>
      </w:pPr>
    </w:p>
    <w:p w14:paraId="3B4035E4" w14:textId="41F34B60" w:rsidR="0072152E" w:rsidRPr="00465D4C" w:rsidRDefault="0072152E" w:rsidP="00666CDC">
      <w:pPr>
        <w:spacing w:after="0" w:line="360" w:lineRule="auto"/>
        <w:rPr>
          <w:rFonts w:ascii="Arial" w:eastAsia="Times New Roman" w:hAnsi="Arial" w:cs="Arial"/>
          <w:lang w:eastAsia="en-GB"/>
        </w:rPr>
      </w:pPr>
      <w:r w:rsidRPr="00465D4C">
        <w:rPr>
          <w:rFonts w:ascii="Arial" w:eastAsia="Times New Roman" w:hAnsi="Arial" w:cs="Arial"/>
          <w:lang w:eastAsia="en-GB"/>
        </w:rPr>
        <w:t>These programs show the increasing understanding that urban environments have a direct impact on health outcomes</w:t>
      </w:r>
      <w:r w:rsidR="001D2B7F">
        <w:rPr>
          <w:rFonts w:ascii="Arial" w:eastAsia="Times New Roman" w:hAnsi="Arial" w:cs="Arial"/>
          <w:lang w:eastAsia="en-GB"/>
        </w:rPr>
        <w:t>.</w:t>
      </w:r>
      <w:r w:rsidRPr="00465D4C">
        <w:rPr>
          <w:rFonts w:ascii="Arial" w:eastAsia="Times New Roman" w:hAnsi="Arial" w:cs="Arial"/>
          <w:lang w:eastAsia="en-GB"/>
        </w:rPr>
        <w:t xml:space="preserve"> Research indicates </w:t>
      </w:r>
      <w:r w:rsidR="006C5C21">
        <w:rPr>
          <w:rFonts w:ascii="Arial" w:eastAsia="Times New Roman" w:hAnsi="Arial" w:cs="Arial"/>
          <w:lang w:eastAsia="en-GB"/>
        </w:rPr>
        <w:t>investment in green infrastructure and sustainable transport improves health and environmental quality</w:t>
      </w:r>
      <w:r w:rsidR="003D45C6">
        <w:rPr>
          <w:rFonts w:ascii="Arial" w:eastAsia="Times New Roman" w:hAnsi="Arial" w:cs="Arial"/>
          <w:lang w:eastAsia="en-GB"/>
        </w:rPr>
        <w:t xml:space="preserve"> according to</w:t>
      </w:r>
      <w:r w:rsidRPr="00465D4C">
        <w:rPr>
          <w:rFonts w:ascii="Arial" w:eastAsia="Times New Roman" w:hAnsi="Arial" w:cs="Arial"/>
          <w:lang w:eastAsia="en-GB"/>
        </w:rPr>
        <w:t xml:space="preserve"> (OECD, 2023). However, because of variations in political priorities, financial resources, and governance, implementation is still uneven among nations. SDG 3 and SDG 11 progress is hampered by low-income communities' continued environmental pollution, and limited access to public services </w:t>
      </w:r>
      <w:r w:rsidR="003D45C6">
        <w:rPr>
          <w:rFonts w:ascii="Arial" w:eastAsia="Times New Roman" w:hAnsi="Arial" w:cs="Arial"/>
          <w:lang w:eastAsia="en-GB"/>
        </w:rPr>
        <w:t xml:space="preserve">as reported by </w:t>
      </w:r>
      <w:r w:rsidRPr="00465D4C">
        <w:rPr>
          <w:rFonts w:ascii="Arial" w:eastAsia="Times New Roman" w:hAnsi="Arial" w:cs="Arial"/>
          <w:lang w:eastAsia="en-GB"/>
        </w:rPr>
        <w:t>(United Nations, 2024). As a result, even though international initiatives offer a useful strategic framework, continued investment and coordinated action across several sectors are necessary for their success.</w:t>
      </w:r>
    </w:p>
    <w:p w14:paraId="27678B4E" w14:textId="77777777" w:rsidR="00B263CF" w:rsidRPr="00465D4C" w:rsidRDefault="00B263CF" w:rsidP="00666CDC">
      <w:pPr>
        <w:spacing w:after="0" w:line="360" w:lineRule="auto"/>
        <w:rPr>
          <w:rFonts w:ascii="Arial" w:eastAsia="Times New Roman" w:hAnsi="Arial" w:cs="Arial"/>
          <w:lang w:eastAsia="en-GB"/>
        </w:rPr>
      </w:pPr>
    </w:p>
    <w:p w14:paraId="2C3CEDDA" w14:textId="19AA73C1" w:rsidR="00B263CF" w:rsidRPr="00107CF0" w:rsidRDefault="00B263CF" w:rsidP="00666CDC">
      <w:pPr>
        <w:spacing w:after="0" w:line="360" w:lineRule="auto"/>
        <w:rPr>
          <w:rFonts w:ascii="Arial" w:eastAsia="Times New Roman" w:hAnsi="Arial" w:cs="Arial"/>
          <w:b/>
          <w:bCs/>
          <w:sz w:val="24"/>
          <w:szCs w:val="24"/>
          <w:lang w:eastAsia="en-GB"/>
        </w:rPr>
      </w:pPr>
      <w:r w:rsidRPr="00107CF0">
        <w:rPr>
          <w:rFonts w:ascii="Arial" w:eastAsia="Times New Roman" w:hAnsi="Arial" w:cs="Arial"/>
          <w:b/>
          <w:bCs/>
          <w:sz w:val="24"/>
          <w:szCs w:val="24"/>
          <w:lang w:eastAsia="en-GB"/>
        </w:rPr>
        <w:t>2.3</w:t>
      </w:r>
      <w:r w:rsidR="00AF3406" w:rsidRPr="00107CF0">
        <w:rPr>
          <w:rFonts w:ascii="Arial" w:eastAsia="Times New Roman" w:hAnsi="Arial" w:cs="Arial"/>
          <w:b/>
          <w:bCs/>
          <w:sz w:val="24"/>
          <w:szCs w:val="24"/>
          <w:lang w:eastAsia="en-GB"/>
        </w:rPr>
        <w:t xml:space="preserve"> </w:t>
      </w:r>
      <w:r w:rsidR="00181895" w:rsidRPr="00107CF0">
        <w:rPr>
          <w:rFonts w:ascii="Arial" w:eastAsia="Times New Roman" w:hAnsi="Arial" w:cs="Arial"/>
          <w:b/>
          <w:bCs/>
          <w:sz w:val="24"/>
          <w:szCs w:val="24"/>
          <w:lang w:eastAsia="en-GB"/>
        </w:rPr>
        <w:t xml:space="preserve">National and </w:t>
      </w:r>
      <w:r w:rsidR="00DA0447" w:rsidRPr="00107CF0">
        <w:rPr>
          <w:rFonts w:ascii="Arial" w:eastAsia="Times New Roman" w:hAnsi="Arial" w:cs="Arial"/>
          <w:b/>
          <w:bCs/>
          <w:sz w:val="24"/>
          <w:szCs w:val="24"/>
          <w:lang w:eastAsia="en-GB"/>
        </w:rPr>
        <w:t>Local Initiatives</w:t>
      </w:r>
    </w:p>
    <w:p w14:paraId="7233DD81" w14:textId="77777777" w:rsidR="008B3539" w:rsidRPr="00465D4C" w:rsidRDefault="008B3539" w:rsidP="00666CDC">
      <w:pPr>
        <w:spacing w:after="0" w:line="360" w:lineRule="auto"/>
        <w:rPr>
          <w:rFonts w:ascii="Arial" w:eastAsia="Times New Roman" w:hAnsi="Arial" w:cs="Arial"/>
          <w:lang w:eastAsia="en-GB"/>
        </w:rPr>
      </w:pPr>
    </w:p>
    <w:p w14:paraId="02C944C9" w14:textId="46AEA23F" w:rsidR="00661E34" w:rsidRPr="00465D4C" w:rsidRDefault="00661E34" w:rsidP="00666CDC">
      <w:pPr>
        <w:spacing w:after="0" w:line="360" w:lineRule="auto"/>
        <w:rPr>
          <w:rFonts w:ascii="Arial" w:eastAsia="Times New Roman" w:hAnsi="Arial" w:cs="Arial"/>
          <w:lang w:eastAsia="en-GB"/>
        </w:rPr>
      </w:pPr>
      <w:r w:rsidRPr="00465D4C">
        <w:rPr>
          <w:rFonts w:ascii="Arial" w:eastAsia="Times New Roman" w:hAnsi="Arial" w:cs="Arial"/>
          <w:lang w:eastAsia="en-GB"/>
        </w:rPr>
        <w:t>SDG 11 is supported in the UK by policies that enhance public health, lessen environmental inequality, and encourage sustainable communities. The Levelling Up White Paper, which aims to lessen regional disparities by enhancing housing, transport, education, and local economic opportunities, is one of the most important recent initiatives</w:t>
      </w:r>
      <w:r w:rsidR="00D6411D">
        <w:rPr>
          <w:rFonts w:ascii="Arial" w:eastAsia="Times New Roman" w:hAnsi="Arial" w:cs="Arial"/>
          <w:lang w:eastAsia="en-GB"/>
        </w:rPr>
        <w:t xml:space="preserve"> </w:t>
      </w:r>
      <w:r w:rsidR="006B3886">
        <w:rPr>
          <w:rFonts w:ascii="Arial" w:eastAsia="Times New Roman" w:hAnsi="Arial" w:cs="Arial"/>
          <w:lang w:eastAsia="en-GB"/>
        </w:rPr>
        <w:t>as outlined</w:t>
      </w:r>
      <w:r w:rsidRPr="00465D4C">
        <w:rPr>
          <w:rFonts w:ascii="Arial" w:eastAsia="Times New Roman" w:hAnsi="Arial" w:cs="Arial"/>
          <w:lang w:eastAsia="en-GB"/>
        </w:rPr>
        <w:t xml:space="preserve"> </w:t>
      </w:r>
      <w:r w:rsidR="006B3886">
        <w:rPr>
          <w:rFonts w:ascii="Arial" w:eastAsia="Times New Roman" w:hAnsi="Arial" w:cs="Arial"/>
          <w:lang w:eastAsia="en-GB"/>
        </w:rPr>
        <w:t xml:space="preserve">by </w:t>
      </w:r>
      <w:r w:rsidRPr="00465D4C">
        <w:rPr>
          <w:rFonts w:ascii="Arial" w:eastAsia="Times New Roman" w:hAnsi="Arial" w:cs="Arial"/>
          <w:lang w:eastAsia="en-GB"/>
        </w:rPr>
        <w:t>(Department for Levelling Up, Housing and Communities, 2022). By improving the circumstances that affect health and wellbeing, the policy indirectly advances SDG 3 by addressing these broader determinants of health.</w:t>
      </w:r>
    </w:p>
    <w:p w14:paraId="32E7F8FD" w14:textId="77777777" w:rsidR="00661E34" w:rsidRPr="00465D4C" w:rsidRDefault="00661E34" w:rsidP="00666CDC">
      <w:pPr>
        <w:spacing w:after="0" w:line="360" w:lineRule="auto"/>
        <w:rPr>
          <w:rFonts w:ascii="Arial" w:eastAsia="Times New Roman" w:hAnsi="Arial" w:cs="Arial"/>
          <w:lang w:eastAsia="en-GB"/>
        </w:rPr>
      </w:pPr>
    </w:p>
    <w:p w14:paraId="0606A7C1" w14:textId="7CD0AF61" w:rsidR="00362F4D" w:rsidRPr="00465D4C" w:rsidRDefault="00362F4D" w:rsidP="00666CDC">
      <w:pPr>
        <w:spacing w:after="0" w:line="360" w:lineRule="auto"/>
        <w:rPr>
          <w:rFonts w:ascii="Arial" w:eastAsia="Times New Roman" w:hAnsi="Arial" w:cs="Arial"/>
          <w:lang w:eastAsia="en-GB"/>
        </w:rPr>
      </w:pPr>
      <w:r w:rsidRPr="00465D4C">
        <w:rPr>
          <w:rFonts w:ascii="Arial" w:eastAsia="Times New Roman" w:hAnsi="Arial" w:cs="Arial"/>
          <w:lang w:eastAsia="en-GB"/>
        </w:rPr>
        <w:t xml:space="preserve">By bolstering pledges to enhance air quality, safeguard biodiversity, and lessen environmental pollution, the </w:t>
      </w:r>
      <w:r w:rsidRPr="00C14816">
        <w:rPr>
          <w:rFonts w:ascii="Arial" w:eastAsia="Times New Roman" w:hAnsi="Arial" w:cs="Arial"/>
          <w:color w:val="000000" w:themeColor="text1"/>
          <w:lang w:eastAsia="en-GB"/>
        </w:rPr>
        <w:t xml:space="preserve">Environment Act 2021 </w:t>
      </w:r>
      <w:r w:rsidRPr="00465D4C">
        <w:rPr>
          <w:rFonts w:ascii="Arial" w:eastAsia="Times New Roman" w:hAnsi="Arial" w:cs="Arial"/>
          <w:lang w:eastAsia="en-GB"/>
        </w:rPr>
        <w:t>further supports SDG 11. Since poor air quality is linked to higher risks of respiratory illness, cardiovascular disease, and early mortality, these actions have significant public health ramifications</w:t>
      </w:r>
      <w:r w:rsidR="007A258E">
        <w:rPr>
          <w:rFonts w:ascii="Arial" w:eastAsia="Times New Roman" w:hAnsi="Arial" w:cs="Arial"/>
          <w:lang w:eastAsia="en-GB"/>
        </w:rPr>
        <w:t xml:space="preserve"> according to</w:t>
      </w:r>
      <w:r w:rsidRPr="00465D4C">
        <w:rPr>
          <w:rFonts w:ascii="Arial" w:eastAsia="Times New Roman" w:hAnsi="Arial" w:cs="Arial"/>
          <w:lang w:eastAsia="en-GB"/>
        </w:rPr>
        <w:t xml:space="preserve"> (Office for Environmental Protection, 2023). </w:t>
      </w:r>
      <w:r w:rsidR="00486AEE">
        <w:rPr>
          <w:rFonts w:ascii="Arial" w:eastAsia="Times New Roman" w:hAnsi="Arial" w:cs="Arial"/>
          <w:lang w:eastAsia="en-GB"/>
        </w:rPr>
        <w:t>The Greener NHS programme</w:t>
      </w:r>
      <w:r w:rsidR="00F7297B">
        <w:rPr>
          <w:rFonts w:ascii="Arial" w:eastAsia="Times New Roman" w:hAnsi="Arial" w:cs="Arial"/>
          <w:lang w:eastAsia="en-GB"/>
        </w:rPr>
        <w:t xml:space="preserve"> reduces the environmental </w:t>
      </w:r>
      <w:r w:rsidR="00F7297B">
        <w:rPr>
          <w:rFonts w:ascii="Arial" w:eastAsia="Times New Roman" w:hAnsi="Arial" w:cs="Arial"/>
          <w:lang w:eastAsia="en-GB"/>
        </w:rPr>
        <w:lastRenderedPageBreak/>
        <w:t>impact of healthcare</w:t>
      </w:r>
      <w:r w:rsidR="00AC3DCA">
        <w:rPr>
          <w:rFonts w:ascii="Arial" w:eastAsia="Times New Roman" w:hAnsi="Arial" w:cs="Arial"/>
          <w:lang w:eastAsia="en-GB"/>
        </w:rPr>
        <w:t xml:space="preserve"> through carbon reduction and sustainable </w:t>
      </w:r>
      <w:r w:rsidR="00B9471F">
        <w:rPr>
          <w:rFonts w:ascii="Arial" w:eastAsia="Times New Roman" w:hAnsi="Arial" w:cs="Arial"/>
          <w:lang w:eastAsia="en-GB"/>
        </w:rPr>
        <w:t>infrastructure</w:t>
      </w:r>
      <w:r w:rsidR="00E7015C">
        <w:rPr>
          <w:rFonts w:ascii="Arial" w:eastAsia="Times New Roman" w:hAnsi="Arial" w:cs="Arial"/>
          <w:lang w:eastAsia="en-GB"/>
        </w:rPr>
        <w:t xml:space="preserve"> as</w:t>
      </w:r>
      <w:r w:rsidR="004E60FE">
        <w:rPr>
          <w:rFonts w:ascii="Arial" w:eastAsia="Times New Roman" w:hAnsi="Arial" w:cs="Arial"/>
          <w:lang w:eastAsia="en-GB"/>
        </w:rPr>
        <w:t xml:space="preserve"> stated by</w:t>
      </w:r>
      <w:r w:rsidRPr="00465D4C">
        <w:rPr>
          <w:rFonts w:ascii="Arial" w:eastAsia="Times New Roman" w:hAnsi="Arial" w:cs="Arial"/>
          <w:lang w:eastAsia="en-GB"/>
        </w:rPr>
        <w:t xml:space="preserve"> (NHS England, 2022). This illustrates how healthcare delivery and environmental sustainability can cooperate to enhance population health over the long run.</w:t>
      </w:r>
    </w:p>
    <w:p w14:paraId="75400D53" w14:textId="77777777" w:rsidR="00362F4D" w:rsidRPr="00465D4C" w:rsidRDefault="00362F4D" w:rsidP="00666CDC">
      <w:pPr>
        <w:spacing w:after="0" w:line="360" w:lineRule="auto"/>
        <w:rPr>
          <w:rFonts w:ascii="Arial" w:eastAsia="Times New Roman" w:hAnsi="Arial" w:cs="Arial"/>
          <w:lang w:eastAsia="en-GB"/>
        </w:rPr>
      </w:pPr>
    </w:p>
    <w:p w14:paraId="55DAB21D" w14:textId="69D9AC74" w:rsidR="00FD2668" w:rsidRPr="00465D4C" w:rsidRDefault="00FD2668" w:rsidP="00666CDC">
      <w:pPr>
        <w:spacing w:after="0" w:line="360" w:lineRule="auto"/>
        <w:rPr>
          <w:rFonts w:ascii="Arial" w:eastAsia="Times New Roman" w:hAnsi="Arial" w:cs="Arial"/>
          <w:lang w:eastAsia="en-GB"/>
        </w:rPr>
      </w:pPr>
      <w:r w:rsidRPr="00465D4C">
        <w:rPr>
          <w:rFonts w:ascii="Arial" w:eastAsia="Times New Roman" w:hAnsi="Arial" w:cs="Arial"/>
          <w:lang w:eastAsia="en-GB"/>
        </w:rPr>
        <w:t>One local example of SDG 11 being applied in an urban environment is Birmingham's Clean Air Zone, which was established in 2021. The program aims to lower harmful vehicle emissions, enhance air quality, and promote more environmentally friendly modes of transportation</w:t>
      </w:r>
      <w:r w:rsidR="00957C5E">
        <w:rPr>
          <w:rFonts w:ascii="Arial" w:eastAsia="Times New Roman" w:hAnsi="Arial" w:cs="Arial"/>
          <w:lang w:eastAsia="en-GB"/>
        </w:rPr>
        <w:t xml:space="preserve"> </w:t>
      </w:r>
      <w:r w:rsidR="00040D31">
        <w:rPr>
          <w:rFonts w:ascii="Arial" w:eastAsia="Times New Roman" w:hAnsi="Arial" w:cs="Arial"/>
          <w:lang w:eastAsia="en-GB"/>
        </w:rPr>
        <w:t>according to</w:t>
      </w:r>
      <w:r w:rsidRPr="00465D4C">
        <w:rPr>
          <w:rFonts w:ascii="Arial" w:eastAsia="Times New Roman" w:hAnsi="Arial" w:cs="Arial"/>
          <w:lang w:eastAsia="en-GB"/>
        </w:rPr>
        <w:t xml:space="preserve"> (Birmingham City Council, 2024). Early assessments show that nitrogen dioxide concentrations have improved in some areas of the </w:t>
      </w:r>
      <w:r w:rsidR="00685DD3" w:rsidRPr="00465D4C">
        <w:rPr>
          <w:rFonts w:ascii="Arial" w:eastAsia="Times New Roman" w:hAnsi="Arial" w:cs="Arial"/>
          <w:lang w:eastAsia="en-GB"/>
        </w:rPr>
        <w:t>city but</w:t>
      </w:r>
      <w:r w:rsidRPr="00465D4C">
        <w:rPr>
          <w:rFonts w:ascii="Arial" w:eastAsia="Times New Roman" w:hAnsi="Arial" w:cs="Arial"/>
          <w:lang w:eastAsia="en-GB"/>
        </w:rPr>
        <w:t xml:space="preserve"> worries about the financial effects on low-income households and small businesses still exist</w:t>
      </w:r>
      <w:r w:rsidR="00A043E0">
        <w:rPr>
          <w:rFonts w:ascii="Arial" w:eastAsia="Times New Roman" w:hAnsi="Arial" w:cs="Arial"/>
          <w:lang w:eastAsia="en-GB"/>
        </w:rPr>
        <w:t xml:space="preserve"> as reported by</w:t>
      </w:r>
      <w:r w:rsidRPr="00465D4C">
        <w:rPr>
          <w:rFonts w:ascii="Arial" w:eastAsia="Times New Roman" w:hAnsi="Arial" w:cs="Arial"/>
          <w:lang w:eastAsia="en-GB"/>
        </w:rPr>
        <w:t xml:space="preserve"> (The Health Foundation, 2023). As a result, even though these programs show encouraging advancements in building healthier and more sustainable communities, their long-term viability depends on striking a balance between environmental goals and social justice and affordability.</w:t>
      </w:r>
    </w:p>
    <w:p w14:paraId="1379DBA9" w14:textId="77777777" w:rsidR="00685DD3" w:rsidRPr="00465D4C" w:rsidRDefault="00685DD3" w:rsidP="00666CDC">
      <w:pPr>
        <w:spacing w:after="0" w:line="360" w:lineRule="auto"/>
        <w:rPr>
          <w:rFonts w:ascii="Arial" w:eastAsia="Times New Roman" w:hAnsi="Arial" w:cs="Arial"/>
          <w:lang w:eastAsia="en-GB"/>
        </w:rPr>
      </w:pPr>
    </w:p>
    <w:p w14:paraId="45C80075" w14:textId="75580F43" w:rsidR="00685DD3" w:rsidRPr="00107CF0" w:rsidRDefault="002F38F8" w:rsidP="00666CDC">
      <w:pPr>
        <w:spacing w:after="0" w:line="360" w:lineRule="auto"/>
        <w:rPr>
          <w:rFonts w:ascii="Arial" w:eastAsia="Times New Roman" w:hAnsi="Arial" w:cs="Arial"/>
          <w:b/>
          <w:bCs/>
          <w:sz w:val="24"/>
          <w:szCs w:val="24"/>
          <w:lang w:eastAsia="en-GB"/>
        </w:rPr>
      </w:pPr>
      <w:r w:rsidRPr="00107CF0">
        <w:rPr>
          <w:rFonts w:ascii="Arial" w:eastAsia="Times New Roman" w:hAnsi="Arial" w:cs="Arial"/>
          <w:b/>
          <w:bCs/>
          <w:sz w:val="24"/>
          <w:szCs w:val="24"/>
          <w:lang w:eastAsia="en-GB"/>
        </w:rPr>
        <w:t>2.4</w:t>
      </w:r>
      <w:r w:rsidR="00955686" w:rsidRPr="00107CF0">
        <w:rPr>
          <w:rFonts w:ascii="Arial" w:eastAsia="Times New Roman" w:hAnsi="Arial" w:cs="Arial"/>
          <w:b/>
          <w:bCs/>
          <w:sz w:val="24"/>
          <w:szCs w:val="24"/>
          <w:lang w:eastAsia="en-GB"/>
        </w:rPr>
        <w:t xml:space="preserve"> The</w:t>
      </w:r>
      <w:r w:rsidR="00BD7310" w:rsidRPr="00107CF0">
        <w:rPr>
          <w:rFonts w:ascii="Arial" w:eastAsia="Times New Roman" w:hAnsi="Arial" w:cs="Arial"/>
          <w:b/>
          <w:bCs/>
          <w:sz w:val="24"/>
          <w:szCs w:val="24"/>
          <w:lang w:eastAsia="en-GB"/>
        </w:rPr>
        <w:t>oretical Perspectives and Models</w:t>
      </w:r>
    </w:p>
    <w:p w14:paraId="35A98BFA" w14:textId="77777777" w:rsidR="005E7D51" w:rsidRPr="00107CF0" w:rsidRDefault="005E7D51" w:rsidP="00666CDC">
      <w:pPr>
        <w:spacing w:after="0" w:line="360" w:lineRule="auto"/>
        <w:rPr>
          <w:rFonts w:ascii="Arial" w:eastAsia="Times New Roman" w:hAnsi="Arial" w:cs="Arial"/>
          <w:b/>
          <w:bCs/>
          <w:lang w:eastAsia="en-GB"/>
        </w:rPr>
      </w:pPr>
    </w:p>
    <w:p w14:paraId="189D0F47" w14:textId="41D79353" w:rsidR="005E7D51" w:rsidRPr="00465D4C" w:rsidRDefault="005E7D51" w:rsidP="00666CDC">
      <w:pPr>
        <w:spacing w:after="0" w:line="360" w:lineRule="auto"/>
        <w:rPr>
          <w:rFonts w:ascii="Arial" w:eastAsia="Times New Roman" w:hAnsi="Arial" w:cs="Arial"/>
          <w:lang w:eastAsia="en-GB"/>
        </w:rPr>
      </w:pPr>
      <w:r w:rsidRPr="00465D4C">
        <w:rPr>
          <w:rFonts w:ascii="Arial" w:eastAsia="Times New Roman" w:hAnsi="Arial" w:cs="Arial"/>
          <w:lang w:eastAsia="en-GB"/>
        </w:rPr>
        <w:t>By acknowledging that urban environments have a significant impact on population health and wellbeing, the World Health Organization's Healthy Cities Framework offers a useful theoretical framework for assessing SDG 11</w:t>
      </w:r>
      <w:r w:rsidR="00D15584">
        <w:rPr>
          <w:rFonts w:ascii="Arial" w:eastAsia="Times New Roman" w:hAnsi="Arial" w:cs="Arial"/>
          <w:lang w:eastAsia="en-GB"/>
        </w:rPr>
        <w:t xml:space="preserve">, </w:t>
      </w:r>
      <w:r w:rsidR="00AB18BC">
        <w:rPr>
          <w:rFonts w:ascii="Arial" w:eastAsia="Times New Roman" w:hAnsi="Arial" w:cs="Arial"/>
          <w:lang w:eastAsia="en-GB"/>
        </w:rPr>
        <w:t>according to</w:t>
      </w:r>
      <w:r w:rsidRPr="00465D4C">
        <w:rPr>
          <w:rFonts w:ascii="Arial" w:eastAsia="Times New Roman" w:hAnsi="Arial" w:cs="Arial"/>
          <w:lang w:eastAsia="en-GB"/>
        </w:rPr>
        <w:t xml:space="preserve"> (World Health Organization, 2022). By addressing the social and environmental factors that affect health outcomes, the Healthy Cities Framework emphasises prevention rather than just healthcare delivery.</w:t>
      </w:r>
    </w:p>
    <w:p w14:paraId="74C839C2" w14:textId="77777777" w:rsidR="005E7D51" w:rsidRPr="00465D4C" w:rsidRDefault="005E7D51" w:rsidP="00666CDC">
      <w:pPr>
        <w:spacing w:after="0" w:line="360" w:lineRule="auto"/>
        <w:rPr>
          <w:rFonts w:ascii="Arial" w:eastAsia="Times New Roman" w:hAnsi="Arial" w:cs="Arial"/>
          <w:lang w:eastAsia="en-GB"/>
        </w:rPr>
      </w:pPr>
    </w:p>
    <w:p w14:paraId="57D97C21" w14:textId="2F1F452F" w:rsidR="00551ED2" w:rsidRPr="00465D4C" w:rsidRDefault="00551ED2" w:rsidP="00666CDC">
      <w:pPr>
        <w:spacing w:after="0" w:line="360" w:lineRule="auto"/>
        <w:rPr>
          <w:rFonts w:ascii="Arial" w:eastAsia="Times New Roman" w:hAnsi="Arial" w:cs="Arial"/>
          <w:lang w:eastAsia="en-GB"/>
        </w:rPr>
      </w:pPr>
      <w:r w:rsidRPr="00465D4C">
        <w:rPr>
          <w:rFonts w:ascii="Arial" w:eastAsia="Times New Roman" w:hAnsi="Arial" w:cs="Arial"/>
          <w:lang w:eastAsia="en-GB"/>
        </w:rPr>
        <w:t xml:space="preserve">The Social Determinants of Health Framework, which contends that elements like housing, work, education, and the physical environment have a significant impact on health, is complemented by this strategy </w:t>
      </w:r>
      <w:r w:rsidR="006B174C">
        <w:rPr>
          <w:rFonts w:ascii="Arial" w:eastAsia="Times New Roman" w:hAnsi="Arial" w:cs="Arial"/>
          <w:lang w:eastAsia="en-GB"/>
        </w:rPr>
        <w:t xml:space="preserve">as outlined by </w:t>
      </w:r>
      <w:r w:rsidRPr="00465D4C">
        <w:rPr>
          <w:rFonts w:ascii="Arial" w:eastAsia="Times New Roman" w:hAnsi="Arial" w:cs="Arial"/>
          <w:lang w:eastAsia="en-GB"/>
        </w:rPr>
        <w:t>(World Health Organization, 2023). These viewpoints back UK initiatives that aim to improve living and working conditions, such as Birmingham's Clean Air Zone, the Greener NHS Programme, and the Levelling Up White Paper.</w:t>
      </w:r>
    </w:p>
    <w:p w14:paraId="341477B2" w14:textId="77777777" w:rsidR="00551ED2" w:rsidRPr="00465D4C" w:rsidRDefault="00551ED2" w:rsidP="00666CDC">
      <w:pPr>
        <w:spacing w:after="0" w:line="360" w:lineRule="auto"/>
        <w:rPr>
          <w:rFonts w:ascii="Arial" w:eastAsia="Times New Roman" w:hAnsi="Arial" w:cs="Arial"/>
          <w:lang w:eastAsia="en-GB"/>
        </w:rPr>
      </w:pPr>
    </w:p>
    <w:p w14:paraId="4C5917D4" w14:textId="77777777" w:rsidR="00F8409F" w:rsidRDefault="00F8409F" w:rsidP="00666CDC">
      <w:pPr>
        <w:spacing w:after="0" w:line="360" w:lineRule="auto"/>
        <w:rPr>
          <w:rFonts w:ascii="Arial" w:eastAsia="Times New Roman" w:hAnsi="Arial" w:cs="Arial"/>
          <w:lang w:eastAsia="en-GB"/>
        </w:rPr>
      </w:pPr>
      <w:r w:rsidRPr="00465D4C">
        <w:rPr>
          <w:rFonts w:ascii="Arial" w:eastAsia="Times New Roman" w:hAnsi="Arial" w:cs="Arial"/>
          <w:lang w:eastAsia="en-GB"/>
        </w:rPr>
        <w:t>Nevertheless, despite their advantages, these frameworks mainly depend on strong cross-sector cooperation, political dedication, and ongoing funding. Improvements in urban sustainability might not be felt equally by all communities without coordinated implementation, especially those that already face social and economic disadvantage. Therefore, in order to achieve SDG 11 and create long-lasting benefits for health and wellbeing, policies that actively reduce inequality as well as environmental improvements are needed.</w:t>
      </w:r>
    </w:p>
    <w:p w14:paraId="44E3DAD0" w14:textId="77777777" w:rsidR="00040C5A" w:rsidRDefault="00040C5A" w:rsidP="00666CDC">
      <w:pPr>
        <w:spacing w:after="0" w:line="360" w:lineRule="auto"/>
        <w:rPr>
          <w:rFonts w:ascii="Arial" w:eastAsia="Times New Roman" w:hAnsi="Arial" w:cs="Arial"/>
          <w:lang w:eastAsia="en-GB"/>
        </w:rPr>
      </w:pPr>
    </w:p>
    <w:p w14:paraId="34DD9AE5" w14:textId="58E38EFF" w:rsidR="001533FC" w:rsidRPr="00C220A9" w:rsidRDefault="00C220A9" w:rsidP="001533FC">
      <w:pPr>
        <w:spacing w:after="0" w:line="360" w:lineRule="auto"/>
        <w:rPr>
          <w:rFonts w:ascii="Arial" w:eastAsia="Times New Roman" w:hAnsi="Arial" w:cs="Arial"/>
          <w:b/>
          <w:bCs/>
          <w:sz w:val="24"/>
          <w:szCs w:val="24"/>
          <w:lang w:eastAsia="en-GB"/>
        </w:rPr>
      </w:pPr>
      <w:r w:rsidRPr="00C220A9">
        <w:rPr>
          <w:rFonts w:ascii="Arial" w:eastAsia="Times New Roman" w:hAnsi="Arial" w:cs="Arial"/>
          <w:b/>
          <w:bCs/>
          <w:sz w:val="24"/>
          <w:szCs w:val="24"/>
          <w:lang w:eastAsia="en-GB"/>
        </w:rPr>
        <w:t xml:space="preserve">2.5 </w:t>
      </w:r>
      <w:r w:rsidR="00040C5A" w:rsidRPr="00C220A9">
        <w:rPr>
          <w:rFonts w:ascii="Arial" w:eastAsia="Times New Roman" w:hAnsi="Arial" w:cs="Arial"/>
          <w:b/>
          <w:bCs/>
          <w:sz w:val="24"/>
          <w:szCs w:val="24"/>
          <w:lang w:eastAsia="en-GB"/>
        </w:rPr>
        <w:t>Recommendations</w:t>
      </w:r>
    </w:p>
    <w:p w14:paraId="5E8A9484" w14:textId="77777777" w:rsidR="00FD4466" w:rsidRPr="001533FC" w:rsidRDefault="00FD4466" w:rsidP="001533FC">
      <w:pPr>
        <w:spacing w:after="0" w:line="360" w:lineRule="auto"/>
        <w:rPr>
          <w:rFonts w:ascii="Arial" w:eastAsia="Times New Roman" w:hAnsi="Arial" w:cs="Arial"/>
          <w:lang w:eastAsia="en-GB"/>
        </w:rPr>
      </w:pPr>
    </w:p>
    <w:p w14:paraId="5B8A65B9" w14:textId="77777777" w:rsidR="001533FC" w:rsidRDefault="009E7D82" w:rsidP="001533FC">
      <w:pPr>
        <w:pStyle w:val="ListParagraph"/>
        <w:numPr>
          <w:ilvl w:val="0"/>
          <w:numId w:val="5"/>
        </w:numPr>
        <w:spacing w:after="0" w:line="360" w:lineRule="auto"/>
        <w:rPr>
          <w:rFonts w:ascii="Arial" w:eastAsia="Times New Roman" w:hAnsi="Arial" w:cs="Arial"/>
          <w:lang w:eastAsia="en-GB"/>
        </w:rPr>
      </w:pPr>
      <w:r w:rsidRPr="001533FC">
        <w:rPr>
          <w:rFonts w:ascii="Arial" w:eastAsia="Times New Roman" w:hAnsi="Arial" w:cs="Arial"/>
          <w:lang w:eastAsia="en-GB"/>
        </w:rPr>
        <w:t>To enhance physical health and reduce environmental pollution, make additional investments in active travel infrastructure, such as networks for safe walking and bicycling (World Health Organization, 2023).</w:t>
      </w:r>
    </w:p>
    <w:p w14:paraId="282C441D" w14:textId="77777777" w:rsidR="001533FC" w:rsidRDefault="009E7D82" w:rsidP="001533FC">
      <w:pPr>
        <w:pStyle w:val="ListParagraph"/>
        <w:numPr>
          <w:ilvl w:val="0"/>
          <w:numId w:val="5"/>
        </w:numPr>
        <w:spacing w:after="0" w:line="360" w:lineRule="auto"/>
        <w:rPr>
          <w:rFonts w:ascii="Arial" w:eastAsia="Times New Roman" w:hAnsi="Arial" w:cs="Arial"/>
          <w:lang w:eastAsia="en-GB"/>
        </w:rPr>
      </w:pPr>
      <w:r w:rsidRPr="001533FC">
        <w:rPr>
          <w:rFonts w:ascii="Arial" w:eastAsia="Times New Roman" w:hAnsi="Arial" w:cs="Arial"/>
          <w:lang w:eastAsia="en-GB"/>
        </w:rPr>
        <w:t>Boost fair access to high-quality green areas, especially in underprivileged areas, to improve mental and physical health (The Health Foundation, 2023).</w:t>
      </w:r>
    </w:p>
    <w:p w14:paraId="2B254772" w14:textId="14FD279F" w:rsidR="009E7D82" w:rsidRPr="001533FC" w:rsidRDefault="009E7D82" w:rsidP="001533FC">
      <w:pPr>
        <w:pStyle w:val="ListParagraph"/>
        <w:numPr>
          <w:ilvl w:val="0"/>
          <w:numId w:val="5"/>
        </w:numPr>
        <w:spacing w:after="0" w:line="360" w:lineRule="auto"/>
        <w:rPr>
          <w:rFonts w:ascii="Arial" w:eastAsia="Times New Roman" w:hAnsi="Arial" w:cs="Arial"/>
          <w:lang w:eastAsia="en-GB"/>
        </w:rPr>
      </w:pPr>
      <w:r w:rsidRPr="001533FC">
        <w:rPr>
          <w:rFonts w:ascii="Arial" w:eastAsia="Times New Roman" w:hAnsi="Arial" w:cs="Arial"/>
          <w:lang w:eastAsia="en-GB"/>
        </w:rPr>
        <w:t>To guarantee that sustainability policies address local health needs, local authorities, healthcare providers, and community organisations should work together more closely across sectors (UN-Habitat, 2020).</w:t>
      </w:r>
    </w:p>
    <w:p w14:paraId="5245CAF6" w14:textId="77777777" w:rsidR="009E7D82" w:rsidRPr="00040C5A" w:rsidRDefault="009E7D82" w:rsidP="00666CDC">
      <w:pPr>
        <w:spacing w:after="0" w:line="360" w:lineRule="auto"/>
        <w:rPr>
          <w:rFonts w:ascii="Arial" w:eastAsia="Times New Roman" w:hAnsi="Arial" w:cs="Arial"/>
          <w:b/>
          <w:bCs/>
          <w:lang w:eastAsia="en-GB"/>
        </w:rPr>
      </w:pPr>
    </w:p>
    <w:p w14:paraId="0F7C9937" w14:textId="77777777" w:rsidR="008C73F9" w:rsidRDefault="008C73F9" w:rsidP="00666CDC">
      <w:pPr>
        <w:spacing w:after="0" w:line="360" w:lineRule="auto"/>
        <w:rPr>
          <w:rFonts w:ascii="Arial" w:eastAsia="Times New Roman" w:hAnsi="Arial" w:cs="Arial"/>
          <w:b/>
          <w:bCs/>
          <w:sz w:val="24"/>
          <w:szCs w:val="24"/>
          <w:lang w:eastAsia="en-GB"/>
        </w:rPr>
      </w:pPr>
    </w:p>
    <w:p w14:paraId="56ADD8C8" w14:textId="3AB6BCFA" w:rsidR="00CC71EF" w:rsidRPr="004F350D" w:rsidRDefault="00CC71EF" w:rsidP="00666CDC">
      <w:pPr>
        <w:spacing w:after="0" w:line="360" w:lineRule="auto"/>
        <w:rPr>
          <w:rFonts w:ascii="Arial" w:eastAsia="Times New Roman" w:hAnsi="Arial" w:cs="Arial"/>
          <w:b/>
          <w:bCs/>
          <w:sz w:val="24"/>
          <w:szCs w:val="24"/>
          <w:lang w:eastAsia="en-GB"/>
        </w:rPr>
      </w:pPr>
      <w:r w:rsidRPr="004F350D">
        <w:rPr>
          <w:rFonts w:ascii="Arial" w:eastAsia="Times New Roman" w:hAnsi="Arial" w:cs="Arial"/>
          <w:b/>
          <w:bCs/>
          <w:sz w:val="24"/>
          <w:szCs w:val="24"/>
          <w:lang w:eastAsia="en-GB"/>
        </w:rPr>
        <w:t>Conclusion</w:t>
      </w:r>
    </w:p>
    <w:p w14:paraId="3CDA2D05" w14:textId="77777777" w:rsidR="00CC71EF" w:rsidRDefault="00CC71EF" w:rsidP="00666CDC">
      <w:pPr>
        <w:spacing w:after="0" w:line="360" w:lineRule="auto"/>
        <w:rPr>
          <w:rFonts w:ascii="Arial" w:eastAsia="Times New Roman" w:hAnsi="Arial" w:cs="Arial"/>
          <w:lang w:eastAsia="en-GB"/>
        </w:rPr>
      </w:pPr>
    </w:p>
    <w:p w14:paraId="23D41907" w14:textId="5D8DD09D" w:rsidR="00CC71EF" w:rsidRPr="007C66A8" w:rsidRDefault="00CC71EF" w:rsidP="007C66A8">
      <w:pPr>
        <w:spacing w:after="0" w:line="360" w:lineRule="auto"/>
        <w:rPr>
          <w:rFonts w:ascii="Arial" w:eastAsia="Times New Roman" w:hAnsi="Arial" w:cs="Arial"/>
          <w:lang w:eastAsia="en-GB"/>
        </w:rPr>
      </w:pPr>
      <w:r w:rsidRPr="007C66A8">
        <w:rPr>
          <w:rFonts w:ascii="Arial" w:eastAsia="Times New Roman" w:hAnsi="Arial" w:cs="Arial"/>
          <w:lang w:eastAsia="en-GB"/>
        </w:rPr>
        <w:t>With an emphasis on S</w:t>
      </w:r>
      <w:r w:rsidR="009A5A6B">
        <w:rPr>
          <w:rFonts w:ascii="Arial" w:eastAsia="Times New Roman" w:hAnsi="Arial" w:cs="Arial"/>
          <w:lang w:eastAsia="en-GB"/>
        </w:rPr>
        <w:t>DG</w:t>
      </w:r>
      <w:r w:rsidRPr="007C66A8">
        <w:rPr>
          <w:rFonts w:ascii="Arial" w:eastAsia="Times New Roman" w:hAnsi="Arial" w:cs="Arial"/>
          <w:lang w:eastAsia="en-GB"/>
        </w:rPr>
        <w:t xml:space="preserve"> 3 (Good Health and Wellbeing) and</w:t>
      </w:r>
      <w:r w:rsidR="00902CA4">
        <w:rPr>
          <w:rFonts w:ascii="Arial" w:eastAsia="Times New Roman" w:hAnsi="Arial" w:cs="Arial"/>
          <w:lang w:eastAsia="en-GB"/>
        </w:rPr>
        <w:t xml:space="preserve"> SDG</w:t>
      </w:r>
      <w:r w:rsidRPr="007C66A8">
        <w:rPr>
          <w:rFonts w:ascii="Arial" w:eastAsia="Times New Roman" w:hAnsi="Arial" w:cs="Arial"/>
          <w:lang w:eastAsia="en-GB"/>
        </w:rPr>
        <w:t xml:space="preserve"> 11 (Sustainable Cities and Communities), this report has critically analysed the effects of health, wellbeing, and sustainable development policies and initiatives at the international, national, and local levels. When taken as a whole, these programs have strengthened prevention, supported integrated care, and inspired more long-term methods of enhancing population health.</w:t>
      </w:r>
    </w:p>
    <w:p w14:paraId="5E81692A" w14:textId="77777777" w:rsidR="00CC71EF" w:rsidRDefault="00CC71EF" w:rsidP="00666CDC">
      <w:pPr>
        <w:spacing w:after="0" w:line="360" w:lineRule="auto"/>
        <w:rPr>
          <w:rFonts w:ascii="Arial" w:eastAsia="Times New Roman" w:hAnsi="Arial" w:cs="Arial"/>
          <w:lang w:eastAsia="en-GB"/>
        </w:rPr>
      </w:pPr>
    </w:p>
    <w:p w14:paraId="355AAE1F" w14:textId="77777777" w:rsidR="007C66A8" w:rsidRDefault="007C66A8" w:rsidP="00FE3F3E">
      <w:pPr>
        <w:spacing w:after="0" w:line="360" w:lineRule="auto"/>
        <w:rPr>
          <w:rFonts w:ascii="Arial" w:eastAsia="Times New Roman" w:hAnsi="Arial" w:cs="Arial"/>
          <w:lang w:eastAsia="en-GB"/>
        </w:rPr>
      </w:pPr>
      <w:r w:rsidRPr="00FE3F3E">
        <w:rPr>
          <w:rFonts w:ascii="Arial" w:eastAsia="Times New Roman" w:hAnsi="Arial" w:cs="Arial"/>
          <w:lang w:eastAsia="en-GB"/>
        </w:rPr>
        <w:t>However, the report also noted a number of obstacles that still impede advancement, such as enduring health disparities, workforce demands, environmental disparities, and uneven policy implementation across geographical areas. These results imply that addressing the broader social, economic, and environmental determinants of health is just as important as providing effective healthcare services in order to achieve long-term improvements in population health. The significance of implementing integrated and preventative approaches to health and wellbeing was further emphasised by the application of theoretical frameworks, such as the Healthy Cities Framework and the Social Determinants of Health.</w:t>
      </w:r>
    </w:p>
    <w:p w14:paraId="578AABA1" w14:textId="77777777" w:rsidR="0098245D" w:rsidRDefault="0098245D" w:rsidP="00FE3F3E">
      <w:pPr>
        <w:spacing w:after="0" w:line="360" w:lineRule="auto"/>
        <w:rPr>
          <w:rFonts w:ascii="Arial" w:eastAsia="Times New Roman" w:hAnsi="Arial" w:cs="Arial"/>
          <w:lang w:eastAsia="en-GB"/>
        </w:rPr>
      </w:pPr>
    </w:p>
    <w:p w14:paraId="704A66EF" w14:textId="2B728C30" w:rsidR="0098245D" w:rsidRPr="00424FAF" w:rsidRDefault="0098245D" w:rsidP="007B146C">
      <w:pPr>
        <w:spacing w:after="0" w:line="360" w:lineRule="auto"/>
        <w:rPr>
          <w:rFonts w:ascii="Arial" w:eastAsia="Times New Roman" w:hAnsi="Arial" w:cs="Arial"/>
          <w:lang w:eastAsia="en-GB"/>
        </w:rPr>
      </w:pPr>
      <w:r w:rsidRPr="00424FAF">
        <w:rPr>
          <w:rFonts w:ascii="Arial" w:eastAsia="Times New Roman" w:hAnsi="Arial" w:cs="Arial"/>
          <w:lang w:eastAsia="en-GB"/>
        </w:rPr>
        <w:t xml:space="preserve">Overall, the report shows that SDG </w:t>
      </w:r>
      <w:r w:rsidR="007B146C">
        <w:rPr>
          <w:rFonts w:ascii="Arial" w:eastAsia="Times New Roman" w:hAnsi="Arial" w:cs="Arial"/>
          <w:lang w:eastAsia="en-GB"/>
        </w:rPr>
        <w:t>3</w:t>
      </w:r>
      <w:r w:rsidRPr="00424FAF">
        <w:rPr>
          <w:rFonts w:ascii="Arial" w:eastAsia="Times New Roman" w:hAnsi="Arial" w:cs="Arial"/>
          <w:lang w:eastAsia="en-GB"/>
        </w:rPr>
        <w:t xml:space="preserve"> and SDG </w:t>
      </w:r>
      <w:r w:rsidR="007B146C">
        <w:rPr>
          <w:rFonts w:ascii="Arial" w:eastAsia="Times New Roman" w:hAnsi="Arial" w:cs="Arial"/>
          <w:lang w:eastAsia="en-GB"/>
        </w:rPr>
        <w:t>11</w:t>
      </w:r>
      <w:r w:rsidRPr="00424FAF">
        <w:rPr>
          <w:rFonts w:ascii="Arial" w:eastAsia="Times New Roman" w:hAnsi="Arial" w:cs="Arial"/>
          <w:lang w:eastAsia="en-GB"/>
        </w:rPr>
        <w:t xml:space="preserve"> are goals that reinforce each other. Healthy populations </w:t>
      </w:r>
      <w:r w:rsidR="00727B28">
        <w:rPr>
          <w:rFonts w:ascii="Arial" w:eastAsia="Times New Roman" w:hAnsi="Arial" w:cs="Arial"/>
          <w:lang w:eastAsia="en-GB"/>
        </w:rPr>
        <w:t>and sustainable communities are mutually dependant</w:t>
      </w:r>
      <w:r w:rsidRPr="00424FAF">
        <w:rPr>
          <w:rFonts w:ascii="Arial" w:eastAsia="Times New Roman" w:hAnsi="Arial" w:cs="Arial"/>
          <w:lang w:eastAsia="en-GB"/>
        </w:rPr>
        <w:t xml:space="preserve">. </w:t>
      </w:r>
      <w:r w:rsidR="004B13FE">
        <w:rPr>
          <w:rFonts w:ascii="Arial" w:eastAsia="Times New Roman" w:hAnsi="Arial" w:cs="Arial"/>
          <w:lang w:eastAsia="en-GB"/>
        </w:rPr>
        <w:t>Future progress depends on collaboration between governments, healthcare providers</w:t>
      </w:r>
      <w:r w:rsidR="007C4C8B">
        <w:rPr>
          <w:rFonts w:ascii="Arial" w:eastAsia="Times New Roman" w:hAnsi="Arial" w:cs="Arial"/>
          <w:lang w:eastAsia="en-GB"/>
        </w:rPr>
        <w:t>, local authorities and communities</w:t>
      </w:r>
      <w:r w:rsidRPr="00424FAF">
        <w:rPr>
          <w:rFonts w:ascii="Arial" w:eastAsia="Times New Roman" w:hAnsi="Arial" w:cs="Arial"/>
          <w:lang w:eastAsia="en-GB"/>
        </w:rPr>
        <w:t>.</w:t>
      </w:r>
    </w:p>
    <w:p w14:paraId="25B51DD6" w14:textId="77777777" w:rsidR="0098245D" w:rsidRPr="00424FAF" w:rsidRDefault="0098245D" w:rsidP="00FE3F3E">
      <w:pPr>
        <w:spacing w:after="0" w:line="360" w:lineRule="auto"/>
        <w:rPr>
          <w:rFonts w:ascii="Arial" w:eastAsia="Times New Roman" w:hAnsi="Arial" w:cs="Arial"/>
          <w:lang w:eastAsia="en-GB"/>
        </w:rPr>
      </w:pPr>
    </w:p>
    <w:p w14:paraId="03254636" w14:textId="77777777" w:rsidR="008F2C8F" w:rsidRDefault="008F2C8F" w:rsidP="00072F63">
      <w:pPr>
        <w:tabs>
          <w:tab w:val="left" w:pos="1320"/>
        </w:tabs>
        <w:spacing w:after="0" w:line="360" w:lineRule="auto"/>
        <w:rPr>
          <w:rFonts w:ascii="Arial" w:eastAsia="Times New Roman" w:hAnsi="Arial" w:cs="Arial"/>
          <w:lang w:eastAsia="en-GB"/>
        </w:rPr>
      </w:pPr>
    </w:p>
    <w:p w14:paraId="0E8A0F6A" w14:textId="4EB7FB01" w:rsidR="00BD7C92" w:rsidRDefault="008C73F9" w:rsidP="00072F63">
      <w:pPr>
        <w:tabs>
          <w:tab w:val="left" w:pos="1320"/>
        </w:tabs>
        <w:spacing w:after="0" w:line="360" w:lineRule="auto"/>
        <w:rPr>
          <w:rFonts w:ascii="Arial" w:eastAsia="Times New Roman" w:hAnsi="Arial" w:cs="Arial"/>
          <w:b/>
          <w:bCs/>
          <w:sz w:val="28"/>
          <w:szCs w:val="28"/>
          <w:lang w:eastAsia="en-GB"/>
        </w:rPr>
      </w:pPr>
      <w:r w:rsidRPr="008C73F9">
        <w:rPr>
          <w:rFonts w:ascii="Arial" w:eastAsia="Times New Roman" w:hAnsi="Arial" w:cs="Arial"/>
          <w:b/>
          <w:bCs/>
          <w:sz w:val="28"/>
          <w:szCs w:val="28"/>
          <w:lang w:eastAsia="en-GB"/>
        </w:rPr>
        <w:lastRenderedPageBreak/>
        <w:t>References</w:t>
      </w:r>
    </w:p>
    <w:p w14:paraId="1D914BD9" w14:textId="77777777" w:rsidR="00AA34AA" w:rsidRDefault="00AA34AA" w:rsidP="005737F5">
      <w:pPr>
        <w:spacing w:after="0" w:line="360" w:lineRule="auto"/>
        <w:rPr>
          <w:rFonts w:ascii="Arial" w:eastAsia="Times New Roman" w:hAnsi="Arial" w:cs="Arial"/>
          <w:b/>
          <w:bCs/>
          <w:sz w:val="28"/>
          <w:szCs w:val="28"/>
          <w:lang w:eastAsia="en-GB"/>
        </w:rPr>
      </w:pPr>
    </w:p>
    <w:p w14:paraId="6BEFE791"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Available at: doi:10.11.36 (Accessed: 26 June 2026).</w:t>
      </w:r>
      <w:r w:rsidRPr="00F12FFF">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 xml:space="preserve">Report of the World Commission on Environment and Development: Our Common Future (1987) Available at: </w:t>
      </w:r>
      <w:r>
        <w:rPr>
          <w:rFonts w:ascii="avenir-regular-class" w:hAnsi="avenir-regular-class"/>
          <w:color w:val="333333"/>
          <w:sz w:val="23"/>
          <w:szCs w:val="23"/>
          <w:shd w:val="clear" w:color="auto" w:fill="FBFBFB"/>
        </w:rPr>
        <w:t>www.brundtland.co.za/wp-content/uploads/2022/08/Brundtland-Report-1987-Our-Common-Future.pdf (</w:t>
      </w:r>
      <w:r>
        <w:rPr>
          <w:rFonts w:ascii="avenir-regular-class" w:hAnsi="avenir-regular-class"/>
          <w:color w:val="333333"/>
          <w:sz w:val="23"/>
          <w:szCs w:val="23"/>
          <w:shd w:val="clear" w:color="auto" w:fill="FBFBFB"/>
        </w:rPr>
        <w:t>Accessed: 2 July 2026).</w:t>
      </w:r>
    </w:p>
    <w:p w14:paraId="6D9392C5"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Birmingham City Council (2022) </w:t>
      </w:r>
      <w:r>
        <w:rPr>
          <w:rFonts w:ascii="avenir-regular-class" w:hAnsi="avenir-regular-class"/>
          <w:i/>
          <w:iCs/>
          <w:color w:val="333333"/>
          <w:sz w:val="23"/>
          <w:szCs w:val="23"/>
          <w:shd w:val="clear" w:color="auto" w:fill="FBFBFB"/>
        </w:rPr>
        <w:t>Birmingham Health and Wellbeing Strategy</w:t>
      </w:r>
      <w:r>
        <w:rPr>
          <w:rFonts w:ascii="avenir-regular-class" w:hAnsi="avenir-regular-class"/>
          <w:color w:val="333333"/>
          <w:sz w:val="23"/>
          <w:szCs w:val="23"/>
          <w:shd w:val="clear" w:color="auto" w:fill="FBFBFB"/>
        </w:rPr>
        <w:t>. Available at: www.birmingham.gov.uk/info/50119/health_and_wellbeing_board/1300/health_and_wellbeing_strategy (Accessed: 2 July 2026).</w:t>
      </w:r>
    </w:p>
    <w:p w14:paraId="51727B63"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Booth, A, et al. (2021) </w:t>
      </w:r>
      <w:r>
        <w:rPr>
          <w:rFonts w:ascii="avenir-regular-class" w:hAnsi="avenir-regular-class"/>
          <w:i/>
          <w:iCs/>
          <w:color w:val="333333"/>
          <w:sz w:val="23"/>
          <w:szCs w:val="23"/>
          <w:shd w:val="clear" w:color="auto" w:fill="FBFBFB"/>
        </w:rPr>
        <w:t>Systematic Approaches to a Successful Literature Review</w:t>
      </w:r>
      <w:r>
        <w:rPr>
          <w:rFonts w:ascii="avenir-regular-class" w:hAnsi="avenir-regular-class"/>
          <w:color w:val="333333"/>
          <w:sz w:val="23"/>
          <w:szCs w:val="23"/>
          <w:shd w:val="clear" w:color="auto" w:fill="FBFBFB"/>
        </w:rPr>
        <w:t>. Sage</w:t>
      </w:r>
    </w:p>
    <w:p w14:paraId="2FF46D7E"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Department of Health and Social Care (2022) </w:t>
      </w:r>
      <w:r>
        <w:rPr>
          <w:rFonts w:ascii="avenir-regular-class" w:hAnsi="avenir-regular-class"/>
          <w:i/>
          <w:iCs/>
          <w:color w:val="333333"/>
          <w:sz w:val="23"/>
          <w:szCs w:val="23"/>
          <w:shd w:val="clear" w:color="auto" w:fill="FBFBFB"/>
        </w:rPr>
        <w:t>Health and social care integration: Joining up care for people, places and population</w:t>
      </w:r>
      <w:r>
        <w:rPr>
          <w:rFonts w:ascii="avenir-regular-class" w:hAnsi="avenir-regular-class"/>
          <w:color w:val="333333"/>
          <w:sz w:val="23"/>
          <w:szCs w:val="23"/>
          <w:shd w:val="clear" w:color="auto" w:fill="FBFBFB"/>
        </w:rPr>
        <w:t>. Available at: www.gov.uk/government/publications/health-and-social-care-integration-joining-up-care-for-people-places-and-populations (Accessed: 2 July 2026).</w:t>
      </w:r>
    </w:p>
    <w:p w14:paraId="4F193D29"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Dodge, R. (2012) 'The Challenge of defining wellbeing', </w:t>
      </w:r>
      <w:r>
        <w:rPr>
          <w:rFonts w:ascii="avenir-regular-class" w:hAnsi="avenir-regular-class"/>
          <w:i/>
          <w:iCs/>
          <w:color w:val="333333"/>
          <w:sz w:val="23"/>
          <w:szCs w:val="23"/>
          <w:shd w:val="clear" w:color="auto" w:fill="FBFBFB"/>
        </w:rPr>
        <w:t>International Journal of Wellbeing</w:t>
      </w:r>
      <w:r>
        <w:rPr>
          <w:rFonts w:ascii="avenir-regular-class" w:hAnsi="avenir-regular-class"/>
          <w:color w:val="333333"/>
          <w:sz w:val="23"/>
          <w:szCs w:val="23"/>
          <w:shd w:val="clear" w:color="auto" w:fill="FBFBFB"/>
        </w:rPr>
        <w:t>, 2(3), pp. 222-235.</w:t>
      </w:r>
    </w:p>
    <w:p w14:paraId="164C2530"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HM Government (2022) </w:t>
      </w:r>
      <w:r>
        <w:rPr>
          <w:rFonts w:ascii="avenir-regular-class" w:hAnsi="avenir-regular-class"/>
          <w:i/>
          <w:iCs/>
          <w:color w:val="333333"/>
          <w:sz w:val="23"/>
          <w:szCs w:val="23"/>
          <w:shd w:val="clear" w:color="auto" w:fill="FBFBFB"/>
        </w:rPr>
        <w:t xml:space="preserve">Levelling up the </w:t>
      </w:r>
      <w:r>
        <w:rPr>
          <w:rFonts w:ascii="avenir-regular-class" w:hAnsi="avenir-regular-class"/>
          <w:i/>
          <w:iCs/>
          <w:color w:val="333333"/>
          <w:sz w:val="23"/>
          <w:szCs w:val="23"/>
          <w:shd w:val="clear" w:color="auto" w:fill="FBFBFB"/>
        </w:rPr>
        <w:t>United Kingdom</w:t>
      </w:r>
      <w:r>
        <w:rPr>
          <w:rFonts w:ascii="avenir-regular-class" w:hAnsi="avenir-regular-class"/>
          <w:color w:val="333333"/>
          <w:sz w:val="23"/>
          <w:szCs w:val="23"/>
          <w:shd w:val="clear" w:color="auto" w:fill="FBFBFB"/>
        </w:rPr>
        <w:t>. Available at: www.gov.uk/government/publications/levelling-up-the-united-kingdom (Accessed: 2 July 2026).</w:t>
      </w:r>
    </w:p>
    <w:p w14:paraId="023B6D5F"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Marmot, M. (2020) </w:t>
      </w:r>
      <w:r>
        <w:rPr>
          <w:rFonts w:ascii="avenir-regular-class" w:hAnsi="avenir-regular-class"/>
          <w:i/>
          <w:iCs/>
          <w:color w:val="333333"/>
          <w:sz w:val="23"/>
          <w:szCs w:val="23"/>
          <w:shd w:val="clear" w:color="auto" w:fill="FBFBFB"/>
        </w:rPr>
        <w:t>Health Equity in England: The Marmot Review 10 years on</w:t>
      </w:r>
      <w:r>
        <w:rPr>
          <w:rFonts w:ascii="avenir-regular-class" w:hAnsi="avenir-regular-class"/>
          <w:color w:val="333333"/>
          <w:sz w:val="23"/>
          <w:szCs w:val="23"/>
          <w:shd w:val="clear" w:color="auto" w:fill="FBFBFB"/>
        </w:rPr>
        <w:t>. Available at: www.instituteofhealthequity.org/resources-reports/marmot-review-10-years-on (Accessed: 4 July 2026).</w:t>
      </w:r>
    </w:p>
    <w:p w14:paraId="3CDF7B34"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Marshall, L. (2023</w:t>
      </w:r>
      <w:r>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 xml:space="preserve"> Health and climate change: Complex problems with co </w:t>
      </w:r>
      <w:r>
        <w:rPr>
          <w:rFonts w:ascii="avenir-regular-class" w:hAnsi="avenir-regular-class"/>
          <w:color w:val="333333"/>
          <w:sz w:val="23"/>
          <w:szCs w:val="23"/>
          <w:shd w:val="clear" w:color="auto" w:fill="FBFBFB"/>
        </w:rPr>
        <w:t>benefits Available</w:t>
      </w:r>
      <w:r>
        <w:rPr>
          <w:rFonts w:ascii="avenir-regular-class" w:hAnsi="avenir-regular-class"/>
          <w:color w:val="333333"/>
          <w:sz w:val="23"/>
          <w:szCs w:val="23"/>
          <w:shd w:val="clear" w:color="auto" w:fill="FBFBFB"/>
        </w:rPr>
        <w:t xml:space="preserve"> at: www.health.org.uk/reports-and-analysis/briefings/health-and-climate-change-complex-problems-with-co-benefits (Accessed: 2 July 2026).</w:t>
      </w:r>
    </w:p>
    <w:p w14:paraId="64863B61"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England (2019) </w:t>
      </w:r>
      <w:r>
        <w:rPr>
          <w:rFonts w:ascii="avenir-regular-class" w:hAnsi="avenir-regular-class"/>
          <w:i/>
          <w:iCs/>
          <w:color w:val="333333"/>
          <w:sz w:val="23"/>
          <w:szCs w:val="23"/>
          <w:shd w:val="clear" w:color="auto" w:fill="FBFBFB"/>
        </w:rPr>
        <w:t>The NHS long term plan</w:t>
      </w:r>
      <w:r>
        <w:rPr>
          <w:rFonts w:ascii="avenir-regular-class" w:hAnsi="avenir-regular-class"/>
          <w:color w:val="333333"/>
          <w:sz w:val="23"/>
          <w:szCs w:val="23"/>
          <w:shd w:val="clear" w:color="auto" w:fill="FBFBFB"/>
        </w:rPr>
        <w:t>. Available at: www.england.nhs.uk/2019/01/long-term-plan/ (Accessed: 29 June 2026).</w:t>
      </w:r>
    </w:p>
    <w:p w14:paraId="0CA0DFA5"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England (2022) </w:t>
      </w:r>
      <w:r>
        <w:rPr>
          <w:rFonts w:ascii="avenir-regular-class" w:hAnsi="avenir-regular-class"/>
          <w:i/>
          <w:iCs/>
          <w:color w:val="333333"/>
          <w:sz w:val="23"/>
          <w:szCs w:val="23"/>
          <w:shd w:val="clear" w:color="auto" w:fill="FBFBFB"/>
        </w:rPr>
        <w:t>Delivering a net zero national health service</w:t>
      </w:r>
      <w:r>
        <w:rPr>
          <w:rFonts w:ascii="avenir-regular-class" w:hAnsi="avenir-regular-class"/>
          <w:color w:val="333333"/>
          <w:sz w:val="23"/>
          <w:szCs w:val="23"/>
          <w:shd w:val="clear" w:color="auto" w:fill="FBFBFB"/>
        </w:rPr>
        <w:t xml:space="preserve">. Available at: </w:t>
      </w:r>
      <w:r>
        <w:rPr>
          <w:rFonts w:ascii="avenir-regular-class" w:hAnsi="avenir-regular-class"/>
          <w:color w:val="333333"/>
          <w:sz w:val="23"/>
          <w:szCs w:val="23"/>
          <w:shd w:val="clear" w:color="auto" w:fill="FBFBFB"/>
        </w:rPr>
        <w:t>www.england.nhs.uk/greenernhs/wp-content/uploads/sites/51/2022/07/B1728-delivering-a-net-zero-nhs-july-2022.pdf (</w:t>
      </w:r>
      <w:r>
        <w:rPr>
          <w:rFonts w:ascii="avenir-regular-class" w:hAnsi="avenir-regular-class"/>
          <w:color w:val="333333"/>
          <w:sz w:val="23"/>
          <w:szCs w:val="23"/>
          <w:shd w:val="clear" w:color="auto" w:fill="FBFBFB"/>
        </w:rPr>
        <w:t>Accessed: 29 June 2026).</w:t>
      </w:r>
    </w:p>
    <w:p w14:paraId="12B06388"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England (2023) </w:t>
      </w:r>
      <w:r>
        <w:rPr>
          <w:rFonts w:ascii="avenir-regular-class" w:hAnsi="avenir-regular-class"/>
          <w:i/>
          <w:iCs/>
          <w:color w:val="333333"/>
          <w:sz w:val="23"/>
          <w:szCs w:val="23"/>
          <w:shd w:val="clear" w:color="auto" w:fill="FBFBFB"/>
        </w:rPr>
        <w:t>Core20plus5: An approach to reducing healthcare inequalities</w:t>
      </w:r>
      <w:r>
        <w:rPr>
          <w:rFonts w:ascii="avenir-regular-class" w:hAnsi="avenir-regular-class"/>
          <w:color w:val="333333"/>
          <w:sz w:val="23"/>
          <w:szCs w:val="23"/>
          <w:shd w:val="clear" w:color="auto" w:fill="FBFBFB"/>
        </w:rPr>
        <w:t>. Available at: www.england.nhs.uk/about/equality/equality-hub/national-healthcare-inequalities-improvement-programme/core20plus5/ (Accessed: 29 June 2026).</w:t>
      </w:r>
    </w:p>
    <w:p w14:paraId="13E720CA"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OECD (2020) </w:t>
      </w:r>
      <w:r>
        <w:rPr>
          <w:rFonts w:ascii="avenir-regular-class" w:hAnsi="avenir-regular-class"/>
          <w:i/>
          <w:iCs/>
          <w:color w:val="333333"/>
          <w:sz w:val="23"/>
          <w:szCs w:val="23"/>
          <w:shd w:val="clear" w:color="auto" w:fill="FBFBFB"/>
        </w:rPr>
        <w:t xml:space="preserve">Social </w:t>
      </w:r>
      <w:r>
        <w:rPr>
          <w:rFonts w:ascii="avenir-regular-class" w:hAnsi="avenir-regular-class"/>
          <w:i/>
          <w:iCs/>
          <w:color w:val="333333"/>
          <w:sz w:val="23"/>
          <w:szCs w:val="23"/>
          <w:shd w:val="clear" w:color="auto" w:fill="FBFBFB"/>
        </w:rPr>
        <w:t>resilience</w:t>
      </w:r>
      <w:r>
        <w:rPr>
          <w:rFonts w:ascii="avenir-regular-class" w:hAnsi="avenir-regular-class"/>
          <w:i/>
          <w:iCs/>
          <w:color w:val="333333"/>
          <w:sz w:val="23"/>
          <w:szCs w:val="23"/>
          <w:shd w:val="clear" w:color="auto" w:fill="FBFBFB"/>
        </w:rPr>
        <w:t xml:space="preserve"> for better health and sustained wellbeing</w:t>
      </w:r>
      <w:r>
        <w:rPr>
          <w:rFonts w:ascii="avenir-regular-class" w:hAnsi="avenir-regular-class"/>
          <w:color w:val="333333"/>
          <w:sz w:val="23"/>
          <w:szCs w:val="23"/>
          <w:shd w:val="clear" w:color="auto" w:fill="FBFBFB"/>
        </w:rPr>
        <w:t>. Available at: www.oecd.org/en/publications/oecd-regions-and-cities-at-a-glance-2020_959d5ba0-en/full-report/component-6.html (Accessed: 1 July 2026).</w:t>
      </w:r>
    </w:p>
    <w:p w14:paraId="24E1AAB2"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Office for Environmental Improvement (2023) </w:t>
      </w:r>
      <w:r>
        <w:rPr>
          <w:rFonts w:ascii="avenir-regular-class" w:hAnsi="avenir-regular-class"/>
          <w:color w:val="333333"/>
          <w:sz w:val="23"/>
          <w:szCs w:val="23"/>
          <w:shd w:val="clear" w:color="auto" w:fill="FBFBFB"/>
        </w:rPr>
        <w:t>www.theoep.org.uk/report/progress-improving-natural-environment-england-20212022.</w:t>
      </w:r>
      <w:r>
        <w:rPr>
          <w:rFonts w:ascii="avenir-regular-class" w:hAnsi="avenir-regular-class"/>
          <w:color w:val="333333"/>
          <w:sz w:val="23"/>
          <w:szCs w:val="23"/>
          <w:shd w:val="clear" w:color="auto" w:fill="FBFBFB"/>
        </w:rPr>
        <w:t xml:space="preserve"> Available at: </w:t>
      </w:r>
      <w:r>
        <w:rPr>
          <w:rFonts w:ascii="avenir-regular-class" w:hAnsi="avenir-regular-class"/>
          <w:color w:val="333333"/>
          <w:sz w:val="23"/>
          <w:szCs w:val="23"/>
          <w:shd w:val="clear" w:color="auto" w:fill="FBFBFB"/>
        </w:rPr>
        <w:t>www.theoep.org.uk/report/progress-improving-natural-environment-england-20212022 (</w:t>
      </w:r>
      <w:r>
        <w:rPr>
          <w:rFonts w:ascii="avenir-regular-class" w:hAnsi="avenir-regular-class"/>
          <w:color w:val="333333"/>
          <w:sz w:val="23"/>
          <w:szCs w:val="23"/>
          <w:shd w:val="clear" w:color="auto" w:fill="FBFBFB"/>
        </w:rPr>
        <w:t>Accessed: 4 Jul 2026).</w:t>
      </w:r>
    </w:p>
    <w:p w14:paraId="53975D3F" w14:textId="5E3F157A" w:rsidR="00405D34" w:rsidRDefault="00405D34"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Public Health England (2017) </w:t>
      </w:r>
      <w:r>
        <w:rPr>
          <w:rFonts w:ascii="avenir-regular-class" w:hAnsi="avenir-regular-class"/>
          <w:i/>
          <w:iCs/>
          <w:color w:val="333333"/>
          <w:sz w:val="23"/>
          <w:szCs w:val="23"/>
          <w:shd w:val="clear" w:color="auto" w:fill="FBFBFB"/>
        </w:rPr>
        <w:t>Chapter 6: Social determinants of health</w:t>
      </w:r>
      <w:r>
        <w:rPr>
          <w:rFonts w:ascii="avenir-regular-class" w:hAnsi="avenir-regular-class"/>
          <w:color w:val="333333"/>
          <w:sz w:val="23"/>
          <w:szCs w:val="23"/>
          <w:shd w:val="clear" w:color="auto" w:fill="FBFBFB"/>
        </w:rPr>
        <w:t>. Available at: www.gov.uk/government/publications/health-profile-for-england/chapter-6-social-determinants-of-health (Accessed: 4 July 2026).</w:t>
      </w:r>
    </w:p>
    <w:p w14:paraId="005E22D2"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Kings Fund (2025) </w:t>
      </w:r>
      <w:r>
        <w:rPr>
          <w:rFonts w:ascii="avenir-regular-class" w:hAnsi="avenir-regular-class"/>
          <w:i/>
          <w:iCs/>
          <w:color w:val="333333"/>
          <w:sz w:val="23"/>
          <w:szCs w:val="23"/>
          <w:shd w:val="clear" w:color="auto" w:fill="FBFBFB"/>
        </w:rPr>
        <w:t>Public satisfaction with the NHS</w:t>
      </w:r>
      <w:r>
        <w:rPr>
          <w:rFonts w:ascii="avenir-regular-class" w:hAnsi="avenir-regular-class"/>
          <w:color w:val="333333"/>
          <w:sz w:val="23"/>
          <w:szCs w:val="23"/>
          <w:shd w:val="clear" w:color="auto" w:fill="FBFBFB"/>
        </w:rPr>
        <w:t>. Available at: www.kingsfund.org.uk/insight-and-analysis/reports/public-satisfaction-nhs-social-care-in-2024-bsa (Accessed: 29 June 2026).</w:t>
      </w:r>
    </w:p>
    <w:p w14:paraId="366A6F96"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United Nations (2015) </w:t>
      </w:r>
      <w:r>
        <w:rPr>
          <w:rFonts w:ascii="avenir-regular-class" w:hAnsi="avenir-regular-class"/>
          <w:i/>
          <w:iCs/>
          <w:color w:val="333333"/>
          <w:sz w:val="23"/>
          <w:szCs w:val="23"/>
          <w:shd w:val="clear" w:color="auto" w:fill="FBFBFB"/>
        </w:rPr>
        <w:t>Transforming our world: The 2030 Agenda for Sustainable Development</w:t>
      </w:r>
      <w:r>
        <w:rPr>
          <w:rFonts w:ascii="avenir-regular-class" w:hAnsi="avenir-regular-class"/>
          <w:color w:val="333333"/>
          <w:sz w:val="23"/>
          <w:szCs w:val="23"/>
          <w:shd w:val="clear" w:color="auto" w:fill="FBFBFB"/>
        </w:rPr>
        <w:t xml:space="preserve">. Available at: </w:t>
      </w:r>
      <w:r>
        <w:rPr>
          <w:rFonts w:ascii="avenir-regular-class" w:hAnsi="avenir-regular-class"/>
          <w:color w:val="333333"/>
          <w:sz w:val="23"/>
          <w:szCs w:val="23"/>
          <w:shd w:val="clear" w:color="auto" w:fill="FBFBFB"/>
        </w:rPr>
        <w:t>www.sdgs.un.org/2030agenda (</w:t>
      </w:r>
      <w:r>
        <w:rPr>
          <w:rFonts w:ascii="avenir-regular-class" w:hAnsi="avenir-regular-class"/>
          <w:color w:val="333333"/>
          <w:sz w:val="23"/>
          <w:szCs w:val="23"/>
          <w:shd w:val="clear" w:color="auto" w:fill="FBFBFB"/>
        </w:rPr>
        <w:t>Accessed: 27 June 2026).</w:t>
      </w:r>
    </w:p>
    <w:p w14:paraId="2C47A829"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United Nations (2025) </w:t>
      </w:r>
      <w:r>
        <w:rPr>
          <w:rFonts w:ascii="avenir-regular-class" w:hAnsi="avenir-regular-class"/>
          <w:i/>
          <w:iCs/>
          <w:color w:val="333333"/>
          <w:sz w:val="23"/>
          <w:szCs w:val="23"/>
          <w:shd w:val="clear" w:color="auto" w:fill="FBFBFB"/>
        </w:rPr>
        <w:t>The sustainable development goals report 2024</w:t>
      </w:r>
      <w:r>
        <w:rPr>
          <w:rFonts w:ascii="avenir-regular-class" w:hAnsi="avenir-regular-class"/>
          <w:color w:val="333333"/>
          <w:sz w:val="23"/>
          <w:szCs w:val="23"/>
          <w:shd w:val="clear" w:color="auto" w:fill="FBFBFB"/>
        </w:rPr>
        <w:t>. Available at: </w:t>
      </w:r>
      <w:r>
        <w:rPr>
          <w:rFonts w:ascii="avenir-regular-class" w:hAnsi="avenir-regular-class"/>
          <w:color w:val="333333"/>
          <w:sz w:val="23"/>
          <w:szCs w:val="23"/>
          <w:shd w:val="clear" w:color="auto" w:fill="FBFBFB"/>
        </w:rPr>
        <w:t>unstats.un.org/sdgs/report/2024/The-Sustainable-Development-Goals-Report-2024.pdf (</w:t>
      </w:r>
      <w:r>
        <w:rPr>
          <w:rFonts w:ascii="avenir-regular-class" w:hAnsi="avenir-regular-class"/>
          <w:color w:val="333333"/>
          <w:sz w:val="23"/>
          <w:szCs w:val="23"/>
          <w:shd w:val="clear" w:color="auto" w:fill="FBFBFB"/>
        </w:rPr>
        <w:t>Accessed: 27 June 2026).</w:t>
      </w:r>
    </w:p>
    <w:p w14:paraId="540AE683"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United Nations Human Settlements Programme (2020) </w:t>
      </w:r>
      <w:r>
        <w:rPr>
          <w:rFonts w:ascii="avenir-regular-class" w:hAnsi="avenir-regular-class"/>
          <w:i/>
          <w:iCs/>
          <w:color w:val="333333"/>
          <w:sz w:val="23"/>
          <w:szCs w:val="23"/>
          <w:shd w:val="clear" w:color="auto" w:fill="FBFBFB"/>
        </w:rPr>
        <w:t>The new urban agenda illustrated</w:t>
      </w:r>
      <w:r>
        <w:rPr>
          <w:rFonts w:ascii="avenir-regular-class" w:hAnsi="avenir-regular-class"/>
          <w:color w:val="333333"/>
          <w:sz w:val="23"/>
          <w:szCs w:val="23"/>
          <w:shd w:val="clear" w:color="auto" w:fill="FBFBFB"/>
        </w:rPr>
        <w:t xml:space="preserve">. Available at: </w:t>
      </w:r>
      <w:r>
        <w:rPr>
          <w:rFonts w:ascii="avenir-regular-class" w:hAnsi="avenir-regular-class"/>
          <w:color w:val="333333"/>
          <w:sz w:val="23"/>
          <w:szCs w:val="23"/>
          <w:shd w:val="clear" w:color="auto" w:fill="FBFBFB"/>
        </w:rPr>
        <w:t>www.urbanagendaplatform.org/handbook (</w:t>
      </w:r>
      <w:r>
        <w:rPr>
          <w:rFonts w:ascii="avenir-regular-class" w:hAnsi="avenir-regular-class"/>
          <w:color w:val="333333"/>
          <w:sz w:val="23"/>
          <w:szCs w:val="23"/>
          <w:shd w:val="clear" w:color="auto" w:fill="FBFBFB"/>
        </w:rPr>
        <w:t>Accessed: 11 July 2026).</w:t>
      </w:r>
    </w:p>
    <w:p w14:paraId="413A2394"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World Health Organization (2021) </w:t>
      </w:r>
      <w:r>
        <w:rPr>
          <w:rFonts w:ascii="avenir-regular-class" w:hAnsi="avenir-regular-class"/>
          <w:i/>
          <w:iCs/>
          <w:color w:val="333333"/>
          <w:sz w:val="23"/>
          <w:szCs w:val="23"/>
          <w:shd w:val="clear" w:color="auto" w:fill="FBFBFB"/>
        </w:rPr>
        <w:t>Comprehensive mental health action plan 2013-2030</w:t>
      </w:r>
      <w:r>
        <w:rPr>
          <w:rFonts w:ascii="avenir-regular-class" w:hAnsi="avenir-regular-class"/>
          <w:color w:val="333333"/>
          <w:sz w:val="23"/>
          <w:szCs w:val="23"/>
          <w:shd w:val="clear" w:color="auto" w:fill="FBFBFB"/>
        </w:rPr>
        <w:t xml:space="preserve">. Available at: </w:t>
      </w:r>
      <w:r>
        <w:rPr>
          <w:rFonts w:ascii="avenir-regular-class" w:hAnsi="avenir-regular-class"/>
          <w:color w:val="333333"/>
          <w:sz w:val="23"/>
          <w:szCs w:val="23"/>
          <w:shd w:val="clear" w:color="auto" w:fill="FBFBFB"/>
        </w:rPr>
        <w:t>www.who.int/publications/i/item/9789240031029 (</w:t>
      </w:r>
      <w:r>
        <w:rPr>
          <w:rFonts w:ascii="avenir-regular-class" w:hAnsi="avenir-regular-class"/>
          <w:color w:val="333333"/>
          <w:sz w:val="23"/>
          <w:szCs w:val="23"/>
          <w:shd w:val="clear" w:color="auto" w:fill="FBFBFB"/>
        </w:rPr>
        <w:t>Accessed: 29 June 2026).</w:t>
      </w:r>
    </w:p>
    <w:p w14:paraId="6E73C57F"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World Health Organization (2022) </w:t>
      </w:r>
      <w:r>
        <w:rPr>
          <w:rFonts w:ascii="avenir-regular-class" w:hAnsi="avenir-regular-class"/>
          <w:i/>
          <w:iCs/>
          <w:color w:val="333333"/>
          <w:sz w:val="23"/>
          <w:szCs w:val="23"/>
          <w:shd w:val="clear" w:color="auto" w:fill="FBFBFB"/>
        </w:rPr>
        <w:t>Thirteenth general programme of work 2019-2025</w:t>
      </w:r>
      <w:r>
        <w:rPr>
          <w:rFonts w:ascii="avenir-regular-class" w:hAnsi="avenir-regular-class"/>
          <w:color w:val="333333"/>
          <w:sz w:val="23"/>
          <w:szCs w:val="23"/>
          <w:shd w:val="clear" w:color="auto" w:fill="FBFBFB"/>
        </w:rPr>
        <w:t>. Available at: apps.who.int/gb</w:t>
      </w:r>
      <w:r>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ebwha/pdf_files/EB152/B152_28-en.pdf (Accessed: 7 July 2026).</w:t>
      </w:r>
    </w:p>
    <w:p w14:paraId="6A6C8615"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World Health Organization (2022) </w:t>
      </w:r>
      <w:r>
        <w:rPr>
          <w:rFonts w:ascii="avenir-regular-class" w:hAnsi="avenir-regular-class"/>
          <w:i/>
          <w:iCs/>
          <w:color w:val="333333"/>
          <w:sz w:val="23"/>
          <w:szCs w:val="23"/>
          <w:shd w:val="clear" w:color="auto" w:fill="FBFBFB"/>
        </w:rPr>
        <w:t>WHO European Healthy Cities Network</w:t>
      </w:r>
      <w:r>
        <w:rPr>
          <w:rFonts w:ascii="avenir-regular-class" w:hAnsi="avenir-regular-class"/>
          <w:color w:val="333333"/>
          <w:sz w:val="23"/>
          <w:szCs w:val="23"/>
          <w:shd w:val="clear" w:color="auto" w:fill="FBFBFB"/>
        </w:rPr>
        <w:t>. Available at: www.who.int/europe/groups/who-european-healthy-cities-network (Accessed: 28 June 2026).</w:t>
      </w:r>
    </w:p>
    <w:p w14:paraId="6060B1AA"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World Health Organization (2023) </w:t>
      </w:r>
      <w:r>
        <w:rPr>
          <w:rFonts w:ascii="avenir-regular-class" w:hAnsi="avenir-regular-class"/>
          <w:i/>
          <w:iCs/>
          <w:color w:val="333333"/>
          <w:sz w:val="23"/>
          <w:szCs w:val="23"/>
          <w:shd w:val="clear" w:color="auto" w:fill="FBFBFB"/>
        </w:rPr>
        <w:t>Health promotion</w:t>
      </w:r>
      <w:r>
        <w:rPr>
          <w:rFonts w:ascii="avenir-regular-class" w:hAnsi="avenir-regular-class"/>
          <w:color w:val="333333"/>
          <w:sz w:val="23"/>
          <w:szCs w:val="23"/>
          <w:shd w:val="clear" w:color="auto" w:fill="FBFBFB"/>
        </w:rPr>
        <w:t xml:space="preserve">. Available at: </w:t>
      </w:r>
      <w:r>
        <w:rPr>
          <w:rFonts w:ascii="avenir-regular-class" w:hAnsi="avenir-regular-class"/>
          <w:color w:val="333333"/>
          <w:sz w:val="23"/>
          <w:szCs w:val="23"/>
          <w:shd w:val="clear" w:color="auto" w:fill="FBFBFB"/>
        </w:rPr>
        <w:t>www.who.int/health-topics/health-promotion#tab=tab_1 (</w:t>
      </w:r>
      <w:r>
        <w:rPr>
          <w:rFonts w:ascii="avenir-regular-class" w:hAnsi="avenir-regular-class"/>
          <w:color w:val="333333"/>
          <w:sz w:val="23"/>
          <w:szCs w:val="23"/>
          <w:shd w:val="clear" w:color="auto" w:fill="FBFBFB"/>
        </w:rPr>
        <w:t>Accessed: 29 June 2026).</w:t>
      </w:r>
    </w:p>
    <w:p w14:paraId="788C9F05"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World Health Organization (2023) </w:t>
      </w:r>
      <w:r>
        <w:rPr>
          <w:rFonts w:ascii="avenir-regular-class" w:hAnsi="avenir-regular-class"/>
          <w:i/>
          <w:iCs/>
          <w:color w:val="333333"/>
          <w:sz w:val="23"/>
          <w:szCs w:val="23"/>
          <w:shd w:val="clear" w:color="auto" w:fill="FBFBFB"/>
        </w:rPr>
        <w:t>Social determinants of health</w:t>
      </w:r>
      <w:r>
        <w:rPr>
          <w:rFonts w:ascii="avenir-regular-class" w:hAnsi="avenir-regular-class"/>
          <w:color w:val="333333"/>
          <w:sz w:val="23"/>
          <w:szCs w:val="23"/>
          <w:shd w:val="clear" w:color="auto" w:fill="FBFBFB"/>
        </w:rPr>
        <w:t>. Available at: </w:t>
      </w:r>
      <w:r>
        <w:rPr>
          <w:rFonts w:ascii="avenir-regular-class" w:hAnsi="avenir-regular-class"/>
          <w:color w:val="333333"/>
          <w:sz w:val="23"/>
          <w:szCs w:val="23"/>
          <w:shd w:val="clear" w:color="auto" w:fill="FBFBFB"/>
        </w:rPr>
        <w:t>www.who.int/health-topics/social-determinants-of-health#tab=tab_1 (</w:t>
      </w:r>
      <w:r>
        <w:rPr>
          <w:rFonts w:ascii="avenir-regular-class" w:hAnsi="avenir-regular-class"/>
          <w:color w:val="333333"/>
          <w:sz w:val="23"/>
          <w:szCs w:val="23"/>
          <w:shd w:val="clear" w:color="auto" w:fill="FBFBFB"/>
        </w:rPr>
        <w:t>Accessed: 29 June 2026).</w:t>
      </w:r>
    </w:p>
    <w:p w14:paraId="45BD81F8" w14:textId="77777777" w:rsidR="00C832B8" w:rsidRDefault="00C832B8"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World Health Organization (2023) </w:t>
      </w:r>
      <w:r>
        <w:rPr>
          <w:rFonts w:ascii="avenir-regular-class" w:hAnsi="avenir-regular-class"/>
          <w:i/>
          <w:iCs/>
          <w:color w:val="333333"/>
          <w:sz w:val="23"/>
          <w:szCs w:val="23"/>
          <w:shd w:val="clear" w:color="auto" w:fill="FBFBFB"/>
        </w:rPr>
        <w:t>Universal health coverage</w:t>
      </w:r>
      <w:r>
        <w:rPr>
          <w:rFonts w:ascii="avenir-regular-class" w:hAnsi="avenir-regular-class"/>
          <w:color w:val="333333"/>
          <w:sz w:val="23"/>
          <w:szCs w:val="23"/>
          <w:shd w:val="clear" w:color="auto" w:fill="FBFBFB"/>
        </w:rPr>
        <w:t>. Available at: </w:t>
      </w:r>
      <w:r>
        <w:rPr>
          <w:rFonts w:ascii="avenir-regular-class" w:hAnsi="avenir-regular-class"/>
          <w:color w:val="333333"/>
          <w:sz w:val="23"/>
          <w:szCs w:val="23"/>
          <w:shd w:val="clear" w:color="auto" w:fill="FBFBFB"/>
        </w:rPr>
        <w:t>www.who.int/news-room/fact-sheets/detail/universal-health-coverage-(uhc) (</w:t>
      </w:r>
      <w:r>
        <w:rPr>
          <w:rFonts w:ascii="avenir-regular-class" w:hAnsi="avenir-regular-class"/>
          <w:color w:val="333333"/>
          <w:sz w:val="23"/>
          <w:szCs w:val="23"/>
          <w:shd w:val="clear" w:color="auto" w:fill="FBFBFB"/>
        </w:rPr>
        <w:t>Accessed: 29 June 2026).</w:t>
      </w:r>
    </w:p>
    <w:p w14:paraId="656DB019" w14:textId="0F9E4B50" w:rsidR="000D3B22" w:rsidRDefault="000D3B22" w:rsidP="005737F5">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Birmingham City Council (2024) </w:t>
      </w:r>
      <w:r>
        <w:rPr>
          <w:rFonts w:ascii="avenir-regular-class" w:hAnsi="avenir-regular-class"/>
          <w:i/>
          <w:iCs/>
          <w:color w:val="333333"/>
          <w:sz w:val="23"/>
          <w:szCs w:val="23"/>
          <w:shd w:val="clear" w:color="auto" w:fill="FBFBFB"/>
        </w:rPr>
        <w:t>Air quality annual status report</w:t>
      </w:r>
      <w:r>
        <w:rPr>
          <w:rFonts w:ascii="avenir-regular-class" w:hAnsi="avenir-regular-class"/>
          <w:color w:val="333333"/>
          <w:sz w:val="23"/>
          <w:szCs w:val="23"/>
          <w:shd w:val="clear" w:color="auto" w:fill="FBFBFB"/>
        </w:rPr>
        <w:t xml:space="preserve">. Available at: </w:t>
      </w:r>
      <w:r w:rsidR="003102C2">
        <w:rPr>
          <w:rFonts w:ascii="avenir-regular-class" w:hAnsi="avenir-regular-class"/>
          <w:color w:val="333333"/>
          <w:sz w:val="23"/>
          <w:szCs w:val="23"/>
          <w:shd w:val="clear" w:color="auto" w:fill="FBFBFB"/>
        </w:rPr>
        <w:t>www.birmingham/Reports/2024_Birmingham_City_Council_Annual_Status_Report_rev1.pdf (</w:t>
      </w:r>
      <w:r>
        <w:rPr>
          <w:rFonts w:ascii="avenir-regular-class" w:hAnsi="avenir-regular-class"/>
          <w:color w:val="333333"/>
          <w:sz w:val="23"/>
          <w:szCs w:val="23"/>
          <w:shd w:val="clear" w:color="auto" w:fill="FBFBFB"/>
        </w:rPr>
        <w:t>Accessed:4 July 2026).</w:t>
      </w:r>
    </w:p>
    <w:p w14:paraId="38A11576" w14:textId="77777777" w:rsidR="00304619" w:rsidRDefault="00304619" w:rsidP="005737F5">
      <w:pPr>
        <w:spacing w:after="0" w:line="360" w:lineRule="auto"/>
        <w:rPr>
          <w:rFonts w:ascii="avenir-regular-class" w:hAnsi="avenir-regular-class"/>
          <w:color w:val="333333"/>
          <w:sz w:val="23"/>
          <w:szCs w:val="23"/>
          <w:shd w:val="clear" w:color="auto" w:fill="FBFBFB"/>
        </w:rPr>
      </w:pPr>
    </w:p>
    <w:p w14:paraId="63643AF7" w14:textId="77777777" w:rsidR="005A47EF" w:rsidRDefault="005A47EF" w:rsidP="005737F5">
      <w:pPr>
        <w:spacing w:after="0" w:line="360" w:lineRule="auto"/>
        <w:rPr>
          <w:rFonts w:ascii="avenir-regular-class" w:hAnsi="avenir-regular-class"/>
          <w:color w:val="333333"/>
          <w:sz w:val="23"/>
          <w:szCs w:val="23"/>
          <w:shd w:val="clear" w:color="auto" w:fill="FBFBFB"/>
        </w:rPr>
      </w:pPr>
    </w:p>
    <w:p w14:paraId="5694A806" w14:textId="77777777" w:rsidR="005546BD" w:rsidRDefault="005546BD" w:rsidP="005737F5">
      <w:pPr>
        <w:spacing w:after="0" w:line="360" w:lineRule="auto"/>
        <w:rPr>
          <w:rFonts w:ascii="avenir-regular-class" w:hAnsi="avenir-regular-class"/>
          <w:color w:val="333333"/>
          <w:sz w:val="23"/>
          <w:szCs w:val="23"/>
          <w:shd w:val="clear" w:color="auto" w:fill="FBFBFB"/>
        </w:rPr>
      </w:pPr>
    </w:p>
    <w:p w14:paraId="1C7E7B76" w14:textId="77777777" w:rsidR="00AD4106" w:rsidRDefault="00AD4106" w:rsidP="005737F5">
      <w:pPr>
        <w:spacing w:after="0" w:line="360" w:lineRule="auto"/>
        <w:rPr>
          <w:rFonts w:ascii="avenir-regular-class" w:hAnsi="avenir-regular-class"/>
          <w:color w:val="333333"/>
          <w:sz w:val="23"/>
          <w:szCs w:val="23"/>
          <w:shd w:val="clear" w:color="auto" w:fill="FBFBFB"/>
        </w:rPr>
      </w:pPr>
    </w:p>
    <w:p w14:paraId="6EBF4EC6" w14:textId="77777777" w:rsidR="00082473" w:rsidRDefault="00082473" w:rsidP="005737F5">
      <w:pPr>
        <w:spacing w:after="0" w:line="360" w:lineRule="auto"/>
        <w:rPr>
          <w:rFonts w:ascii="avenir-regular-class" w:hAnsi="avenir-regular-class"/>
          <w:color w:val="333333"/>
          <w:sz w:val="23"/>
          <w:szCs w:val="23"/>
          <w:shd w:val="clear" w:color="auto" w:fill="FBFBFB"/>
        </w:rPr>
      </w:pPr>
    </w:p>
    <w:p w14:paraId="2259EDFD" w14:textId="77777777" w:rsidR="00844374" w:rsidRDefault="00844374" w:rsidP="005737F5">
      <w:pPr>
        <w:spacing w:after="0" w:line="360" w:lineRule="auto"/>
        <w:rPr>
          <w:rFonts w:ascii="avenir-regular-class" w:hAnsi="avenir-regular-class"/>
          <w:color w:val="333333"/>
          <w:sz w:val="23"/>
          <w:szCs w:val="23"/>
          <w:shd w:val="clear" w:color="auto" w:fill="FBFBFB"/>
        </w:rPr>
      </w:pPr>
    </w:p>
    <w:p w14:paraId="1F86DBE0" w14:textId="77777777" w:rsidR="00F12FFF" w:rsidRDefault="00F12FFF" w:rsidP="005737F5">
      <w:pPr>
        <w:spacing w:after="0" w:line="360" w:lineRule="auto"/>
        <w:rPr>
          <w:rFonts w:ascii="avenir-regular-class" w:hAnsi="avenir-regular-class"/>
          <w:color w:val="333333"/>
          <w:sz w:val="23"/>
          <w:szCs w:val="23"/>
          <w:shd w:val="clear" w:color="auto" w:fill="FBFBFB"/>
        </w:rPr>
      </w:pPr>
    </w:p>
    <w:p w14:paraId="35A3FF34" w14:textId="77777777" w:rsidR="0028154E" w:rsidRDefault="0028154E" w:rsidP="005737F5">
      <w:pPr>
        <w:spacing w:after="0" w:line="360" w:lineRule="auto"/>
        <w:rPr>
          <w:rFonts w:ascii="avenir-regular-class" w:hAnsi="avenir-regular-class"/>
          <w:color w:val="333333"/>
          <w:sz w:val="23"/>
          <w:szCs w:val="23"/>
          <w:shd w:val="clear" w:color="auto" w:fill="FBFBFB"/>
        </w:rPr>
      </w:pPr>
    </w:p>
    <w:p w14:paraId="06AF8258" w14:textId="77777777" w:rsidR="008919ED" w:rsidRDefault="008919ED" w:rsidP="005737F5">
      <w:pPr>
        <w:spacing w:after="0" w:line="360" w:lineRule="auto"/>
        <w:rPr>
          <w:rFonts w:ascii="avenir-regular-class" w:hAnsi="avenir-regular-class"/>
          <w:color w:val="333333"/>
          <w:sz w:val="23"/>
          <w:szCs w:val="23"/>
          <w:shd w:val="clear" w:color="auto" w:fill="FBFBFB"/>
        </w:rPr>
      </w:pPr>
    </w:p>
    <w:p w14:paraId="49E34985" w14:textId="77777777" w:rsidR="00AA34AA" w:rsidRDefault="00AA34AA" w:rsidP="005737F5">
      <w:pPr>
        <w:spacing w:after="0" w:line="360" w:lineRule="auto"/>
        <w:rPr>
          <w:rFonts w:ascii="avenir-regular-class" w:hAnsi="avenir-regular-class"/>
          <w:color w:val="333333"/>
          <w:sz w:val="23"/>
          <w:szCs w:val="23"/>
          <w:shd w:val="clear" w:color="auto" w:fill="FBFBFB"/>
        </w:rPr>
      </w:pPr>
    </w:p>
    <w:p w14:paraId="5E2F7FA7" w14:textId="77777777" w:rsidR="00F00DC6" w:rsidRDefault="00F00DC6" w:rsidP="005737F5">
      <w:pPr>
        <w:spacing w:after="0" w:line="360" w:lineRule="auto"/>
        <w:rPr>
          <w:rFonts w:ascii="avenir-regular-class" w:hAnsi="avenir-regular-class"/>
          <w:color w:val="333333"/>
          <w:sz w:val="23"/>
          <w:szCs w:val="23"/>
          <w:shd w:val="clear" w:color="auto" w:fill="FBFBFB"/>
        </w:rPr>
      </w:pPr>
    </w:p>
    <w:p w14:paraId="45FE37D9" w14:textId="77777777" w:rsidR="005F546C" w:rsidRPr="005F546C" w:rsidRDefault="005F546C" w:rsidP="00F00DC6">
      <w:pPr>
        <w:spacing w:after="0" w:line="360" w:lineRule="auto"/>
        <w:ind w:hanging="567"/>
        <w:rPr>
          <w:rFonts w:ascii="avenir-regular-class" w:hAnsi="avenir-regular-class"/>
          <w:color w:val="333333"/>
          <w:sz w:val="23"/>
          <w:szCs w:val="23"/>
          <w:shd w:val="clear" w:color="auto" w:fill="FBFBFB"/>
        </w:rPr>
      </w:pPr>
    </w:p>
    <w:p w14:paraId="479FF7B7" w14:textId="77777777" w:rsidR="00BD7C92" w:rsidRPr="00C717E1" w:rsidRDefault="00BD7C92" w:rsidP="00C717E1">
      <w:pPr>
        <w:spacing w:after="0" w:line="240" w:lineRule="auto"/>
        <w:rPr>
          <w:rFonts w:ascii="Times New Roman" w:eastAsia="Times New Roman" w:hAnsi="Times New Roman" w:cs="Times New Roman"/>
          <w:sz w:val="24"/>
          <w:szCs w:val="24"/>
          <w:lang w:eastAsia="en-GB"/>
        </w:rPr>
      </w:pPr>
    </w:p>
    <w:p w14:paraId="0CDB4CF6" w14:textId="77777777" w:rsidR="00C717E1" w:rsidRPr="007419FD" w:rsidRDefault="00C717E1" w:rsidP="007419FD">
      <w:pPr>
        <w:spacing w:line="360" w:lineRule="auto"/>
        <w:rPr>
          <w:rFonts w:ascii="Arial" w:eastAsia="Times New Roman" w:hAnsi="Arial" w:cs="Arial"/>
          <w:lang w:eastAsia="en-GB"/>
        </w:rPr>
      </w:pPr>
    </w:p>
    <w:p w14:paraId="0313C070" w14:textId="46B5EE97" w:rsidR="0083351A" w:rsidRPr="007419FD" w:rsidRDefault="0083351A" w:rsidP="007419FD">
      <w:pPr>
        <w:spacing w:after="0" w:line="360" w:lineRule="auto"/>
        <w:rPr>
          <w:rFonts w:ascii="Arial" w:eastAsia="Times New Roman" w:hAnsi="Arial" w:cs="Arial"/>
          <w:lang w:eastAsia="en-GB"/>
        </w:rPr>
      </w:pPr>
      <w:r w:rsidRPr="007419FD">
        <w:rPr>
          <w:rFonts w:ascii="Arial" w:eastAsia="Times New Roman" w:hAnsi="Arial" w:cs="Arial"/>
          <w:lang w:eastAsia="en-GB"/>
        </w:rPr>
        <w:t xml:space="preserve"> </w:t>
      </w:r>
    </w:p>
    <w:p w14:paraId="02690544" w14:textId="77777777" w:rsidR="0083351A" w:rsidRPr="007419FD" w:rsidRDefault="0083351A" w:rsidP="007419FD">
      <w:pPr>
        <w:spacing w:after="0" w:line="360" w:lineRule="auto"/>
        <w:rPr>
          <w:rFonts w:ascii="Arial" w:eastAsia="Times New Roman" w:hAnsi="Arial" w:cs="Arial"/>
          <w:lang w:eastAsia="en-GB"/>
        </w:rPr>
      </w:pPr>
    </w:p>
    <w:p w14:paraId="7598807A" w14:textId="77777777" w:rsidR="00881919" w:rsidRPr="00232B79" w:rsidRDefault="00881919" w:rsidP="00232B79">
      <w:pPr>
        <w:spacing w:after="0" w:line="240" w:lineRule="auto"/>
        <w:rPr>
          <w:rFonts w:ascii="Times New Roman" w:eastAsia="Times New Roman" w:hAnsi="Times New Roman" w:cs="Times New Roman"/>
          <w:sz w:val="24"/>
          <w:szCs w:val="24"/>
          <w:lang w:eastAsia="en-GB"/>
        </w:rPr>
      </w:pPr>
    </w:p>
    <w:p w14:paraId="111F4A63" w14:textId="77777777" w:rsidR="00886DD7" w:rsidRPr="00886DD7" w:rsidRDefault="00886DD7" w:rsidP="009D0D9A">
      <w:pPr>
        <w:rPr>
          <w:rFonts w:ascii="Arial" w:hAnsi="Arial" w:cs="Arial"/>
        </w:rPr>
      </w:pPr>
    </w:p>
    <w:p w14:paraId="3BF1E4E6" w14:textId="77777777" w:rsidR="005D654F" w:rsidRDefault="005D654F" w:rsidP="00DC3496">
      <w:pPr>
        <w:jc w:val="center"/>
        <w:rPr>
          <w:rFonts w:ascii="Arial" w:hAnsi="Arial" w:cs="Arial"/>
          <w:b/>
          <w:bCs/>
          <w:sz w:val="48"/>
          <w:szCs w:val="48"/>
        </w:rPr>
      </w:pPr>
    </w:p>
    <w:p w14:paraId="40B28679" w14:textId="77777777" w:rsidR="005D654F" w:rsidRDefault="005D654F" w:rsidP="00DC3496">
      <w:pPr>
        <w:jc w:val="center"/>
        <w:rPr>
          <w:rFonts w:ascii="Arial" w:hAnsi="Arial" w:cs="Arial"/>
          <w:b/>
          <w:bCs/>
          <w:sz w:val="48"/>
          <w:szCs w:val="48"/>
        </w:rPr>
      </w:pPr>
    </w:p>
    <w:p w14:paraId="1ED6AAAB" w14:textId="77777777" w:rsidR="005D654F" w:rsidRDefault="005D654F" w:rsidP="00DC3496">
      <w:pPr>
        <w:jc w:val="center"/>
        <w:rPr>
          <w:rFonts w:ascii="Arial" w:hAnsi="Arial" w:cs="Arial"/>
          <w:b/>
          <w:bCs/>
          <w:sz w:val="48"/>
          <w:szCs w:val="48"/>
        </w:rPr>
      </w:pPr>
    </w:p>
    <w:p w14:paraId="3132D776" w14:textId="77777777" w:rsidR="005D654F" w:rsidRDefault="005D654F" w:rsidP="00DC3496">
      <w:pPr>
        <w:jc w:val="center"/>
        <w:rPr>
          <w:rFonts w:ascii="Arial" w:hAnsi="Arial" w:cs="Arial"/>
          <w:b/>
          <w:bCs/>
          <w:sz w:val="48"/>
          <w:szCs w:val="48"/>
        </w:rPr>
      </w:pPr>
    </w:p>
    <w:p w14:paraId="0E437D61" w14:textId="77777777" w:rsidR="005D654F" w:rsidRDefault="005D654F" w:rsidP="00DC3496">
      <w:pPr>
        <w:jc w:val="center"/>
        <w:rPr>
          <w:rFonts w:ascii="Arial" w:hAnsi="Arial" w:cs="Arial"/>
          <w:b/>
          <w:bCs/>
          <w:sz w:val="48"/>
          <w:szCs w:val="48"/>
        </w:rPr>
      </w:pPr>
    </w:p>
    <w:p w14:paraId="6C9708B5" w14:textId="77777777" w:rsidR="005D654F" w:rsidRDefault="005D654F" w:rsidP="00DC3496">
      <w:pPr>
        <w:jc w:val="center"/>
        <w:rPr>
          <w:rFonts w:ascii="Arial" w:hAnsi="Arial" w:cs="Arial"/>
          <w:b/>
          <w:bCs/>
          <w:sz w:val="48"/>
          <w:szCs w:val="48"/>
        </w:rPr>
      </w:pPr>
    </w:p>
    <w:sectPr w:rsidR="005D654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34CF3" w14:textId="77777777" w:rsidR="00256953" w:rsidRDefault="00256953" w:rsidP="00971D10">
      <w:pPr>
        <w:spacing w:after="0" w:line="240" w:lineRule="auto"/>
      </w:pPr>
      <w:r>
        <w:separator/>
      </w:r>
    </w:p>
  </w:endnote>
  <w:endnote w:type="continuationSeparator" w:id="0">
    <w:p w14:paraId="18DF2D61" w14:textId="77777777" w:rsidR="00256953" w:rsidRDefault="00256953" w:rsidP="00971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3830731"/>
      <w:docPartObj>
        <w:docPartGallery w:val="Page Numbers (Bottom of Page)"/>
        <w:docPartUnique/>
      </w:docPartObj>
    </w:sdtPr>
    <w:sdtContent>
      <w:p w14:paraId="12243C42" w14:textId="4F1CE002" w:rsidR="00971D10" w:rsidRDefault="00971D10">
        <w:pPr>
          <w:pStyle w:val="Footer"/>
          <w:jc w:val="center"/>
        </w:pPr>
        <w:r>
          <w:fldChar w:fldCharType="begin"/>
        </w:r>
        <w:r>
          <w:instrText>PAGE   \* MERGEFORMAT</w:instrText>
        </w:r>
        <w:r>
          <w:fldChar w:fldCharType="separate"/>
        </w:r>
        <w:r>
          <w:t>2</w:t>
        </w:r>
        <w:r>
          <w:fldChar w:fldCharType="end"/>
        </w:r>
      </w:p>
    </w:sdtContent>
  </w:sdt>
  <w:p w14:paraId="2BB1FC3E" w14:textId="77777777" w:rsidR="00971D10" w:rsidRDefault="00971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21687" w14:textId="77777777" w:rsidR="00256953" w:rsidRDefault="00256953" w:rsidP="00971D10">
      <w:pPr>
        <w:spacing w:after="0" w:line="240" w:lineRule="auto"/>
      </w:pPr>
      <w:r>
        <w:separator/>
      </w:r>
    </w:p>
  </w:footnote>
  <w:footnote w:type="continuationSeparator" w:id="0">
    <w:p w14:paraId="0013E4E2" w14:textId="77777777" w:rsidR="00256953" w:rsidRDefault="00256953" w:rsidP="00971D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F73FF"/>
    <w:multiLevelType w:val="multilevel"/>
    <w:tmpl w:val="864CAE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9E77B3"/>
    <w:multiLevelType w:val="hybridMultilevel"/>
    <w:tmpl w:val="9C26F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04ADF"/>
    <w:multiLevelType w:val="hybridMultilevel"/>
    <w:tmpl w:val="074E8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127876"/>
    <w:multiLevelType w:val="hybridMultilevel"/>
    <w:tmpl w:val="09C87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A6A2A"/>
    <w:multiLevelType w:val="multilevel"/>
    <w:tmpl w:val="3814AB0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19E6D1D"/>
    <w:multiLevelType w:val="multilevel"/>
    <w:tmpl w:val="91EEEE9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2C6444D"/>
    <w:multiLevelType w:val="hybridMultilevel"/>
    <w:tmpl w:val="39F25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5F66B7"/>
    <w:multiLevelType w:val="multilevel"/>
    <w:tmpl w:val="90F475B4"/>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CA71F7F"/>
    <w:multiLevelType w:val="multilevel"/>
    <w:tmpl w:val="BEB841F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A72237D"/>
    <w:multiLevelType w:val="hybridMultilevel"/>
    <w:tmpl w:val="EB860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DD06A7"/>
    <w:multiLevelType w:val="hybridMultilevel"/>
    <w:tmpl w:val="6DB40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0676178">
    <w:abstractNumId w:val="3"/>
  </w:num>
  <w:num w:numId="2" w16cid:durableId="1231770065">
    <w:abstractNumId w:val="2"/>
  </w:num>
  <w:num w:numId="3" w16cid:durableId="1399592414">
    <w:abstractNumId w:val="1"/>
  </w:num>
  <w:num w:numId="4" w16cid:durableId="1279876903">
    <w:abstractNumId w:val="6"/>
  </w:num>
  <w:num w:numId="5" w16cid:durableId="898592150">
    <w:abstractNumId w:val="9"/>
  </w:num>
  <w:num w:numId="6" w16cid:durableId="423191426">
    <w:abstractNumId w:val="10"/>
  </w:num>
  <w:num w:numId="7" w16cid:durableId="1761632365">
    <w:abstractNumId w:val="4"/>
  </w:num>
  <w:num w:numId="8" w16cid:durableId="1826509578">
    <w:abstractNumId w:val="0"/>
  </w:num>
  <w:num w:numId="9" w16cid:durableId="5989104">
    <w:abstractNumId w:val="7"/>
  </w:num>
  <w:num w:numId="10" w16cid:durableId="1592078826">
    <w:abstractNumId w:val="5"/>
  </w:num>
  <w:num w:numId="11" w16cid:durableId="4540633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C9B"/>
    <w:rsid w:val="00011D89"/>
    <w:rsid w:val="00040C5A"/>
    <w:rsid w:val="00040D31"/>
    <w:rsid w:val="00055746"/>
    <w:rsid w:val="0007021F"/>
    <w:rsid w:val="00072F63"/>
    <w:rsid w:val="00076C9B"/>
    <w:rsid w:val="00082473"/>
    <w:rsid w:val="00094E88"/>
    <w:rsid w:val="00094FAB"/>
    <w:rsid w:val="000B6AF9"/>
    <w:rsid w:val="000C58F3"/>
    <w:rsid w:val="000D36BE"/>
    <w:rsid w:val="000D3B22"/>
    <w:rsid w:val="000E43D6"/>
    <w:rsid w:val="000E69D0"/>
    <w:rsid w:val="000F0587"/>
    <w:rsid w:val="00102097"/>
    <w:rsid w:val="00107CF0"/>
    <w:rsid w:val="00124063"/>
    <w:rsid w:val="0012441A"/>
    <w:rsid w:val="00134408"/>
    <w:rsid w:val="0014044D"/>
    <w:rsid w:val="001416CE"/>
    <w:rsid w:val="001433BC"/>
    <w:rsid w:val="001521AC"/>
    <w:rsid w:val="001533FC"/>
    <w:rsid w:val="00162768"/>
    <w:rsid w:val="00167172"/>
    <w:rsid w:val="00167828"/>
    <w:rsid w:val="00170351"/>
    <w:rsid w:val="00171B1D"/>
    <w:rsid w:val="00180005"/>
    <w:rsid w:val="00181895"/>
    <w:rsid w:val="00192EEE"/>
    <w:rsid w:val="001C1E3A"/>
    <w:rsid w:val="001C2BEA"/>
    <w:rsid w:val="001D2B7F"/>
    <w:rsid w:val="001E3FD7"/>
    <w:rsid w:val="001F616D"/>
    <w:rsid w:val="00232B79"/>
    <w:rsid w:val="00254379"/>
    <w:rsid w:val="00256953"/>
    <w:rsid w:val="002665BF"/>
    <w:rsid w:val="00270004"/>
    <w:rsid w:val="0028154E"/>
    <w:rsid w:val="00295810"/>
    <w:rsid w:val="002A2277"/>
    <w:rsid w:val="002C4A6E"/>
    <w:rsid w:val="002C777C"/>
    <w:rsid w:val="002F38F8"/>
    <w:rsid w:val="00304619"/>
    <w:rsid w:val="003102C2"/>
    <w:rsid w:val="00321B32"/>
    <w:rsid w:val="00323978"/>
    <w:rsid w:val="003248FE"/>
    <w:rsid w:val="00335913"/>
    <w:rsid w:val="003438A3"/>
    <w:rsid w:val="003472FB"/>
    <w:rsid w:val="00362F4D"/>
    <w:rsid w:val="0036307D"/>
    <w:rsid w:val="003727B0"/>
    <w:rsid w:val="003728B0"/>
    <w:rsid w:val="003833BD"/>
    <w:rsid w:val="0039358F"/>
    <w:rsid w:val="003A0FB7"/>
    <w:rsid w:val="003B04D4"/>
    <w:rsid w:val="003B4A04"/>
    <w:rsid w:val="003B598E"/>
    <w:rsid w:val="003B5B18"/>
    <w:rsid w:val="003D3C8D"/>
    <w:rsid w:val="003D45C6"/>
    <w:rsid w:val="003D557E"/>
    <w:rsid w:val="003D6DF0"/>
    <w:rsid w:val="004001BB"/>
    <w:rsid w:val="00400F84"/>
    <w:rsid w:val="00401FC5"/>
    <w:rsid w:val="00405D34"/>
    <w:rsid w:val="00424FAF"/>
    <w:rsid w:val="004273C5"/>
    <w:rsid w:val="00434155"/>
    <w:rsid w:val="00445FE5"/>
    <w:rsid w:val="00461722"/>
    <w:rsid w:val="00465D4C"/>
    <w:rsid w:val="00471251"/>
    <w:rsid w:val="004761E2"/>
    <w:rsid w:val="00480A0E"/>
    <w:rsid w:val="0048332A"/>
    <w:rsid w:val="00486AEE"/>
    <w:rsid w:val="00487724"/>
    <w:rsid w:val="00494A4D"/>
    <w:rsid w:val="004A2F0C"/>
    <w:rsid w:val="004B13FE"/>
    <w:rsid w:val="004C0C0E"/>
    <w:rsid w:val="004C3452"/>
    <w:rsid w:val="004D4BDE"/>
    <w:rsid w:val="004E60FE"/>
    <w:rsid w:val="004F350D"/>
    <w:rsid w:val="004F54EA"/>
    <w:rsid w:val="005255D9"/>
    <w:rsid w:val="00534311"/>
    <w:rsid w:val="0054181F"/>
    <w:rsid w:val="005449E9"/>
    <w:rsid w:val="00545A77"/>
    <w:rsid w:val="00545AEE"/>
    <w:rsid w:val="00551ED2"/>
    <w:rsid w:val="005535F8"/>
    <w:rsid w:val="005546BD"/>
    <w:rsid w:val="00562D44"/>
    <w:rsid w:val="00565369"/>
    <w:rsid w:val="005737F5"/>
    <w:rsid w:val="00574689"/>
    <w:rsid w:val="0059554B"/>
    <w:rsid w:val="00596CF4"/>
    <w:rsid w:val="005A45C3"/>
    <w:rsid w:val="005A47EF"/>
    <w:rsid w:val="005A558F"/>
    <w:rsid w:val="005B0242"/>
    <w:rsid w:val="005B2FB2"/>
    <w:rsid w:val="005D140C"/>
    <w:rsid w:val="005D2647"/>
    <w:rsid w:val="005D63D3"/>
    <w:rsid w:val="005D654F"/>
    <w:rsid w:val="005E7D51"/>
    <w:rsid w:val="005F2B07"/>
    <w:rsid w:val="005F546C"/>
    <w:rsid w:val="00600F3D"/>
    <w:rsid w:val="00621371"/>
    <w:rsid w:val="006338FF"/>
    <w:rsid w:val="00643059"/>
    <w:rsid w:val="006435F9"/>
    <w:rsid w:val="0065147A"/>
    <w:rsid w:val="00657832"/>
    <w:rsid w:val="00661E34"/>
    <w:rsid w:val="00662E4E"/>
    <w:rsid w:val="00666CDC"/>
    <w:rsid w:val="00675485"/>
    <w:rsid w:val="00684B3E"/>
    <w:rsid w:val="00685DD3"/>
    <w:rsid w:val="00694C2B"/>
    <w:rsid w:val="00695DEB"/>
    <w:rsid w:val="006A204F"/>
    <w:rsid w:val="006B0802"/>
    <w:rsid w:val="006B174C"/>
    <w:rsid w:val="006B3886"/>
    <w:rsid w:val="006B4CDA"/>
    <w:rsid w:val="006C5C21"/>
    <w:rsid w:val="006C6990"/>
    <w:rsid w:val="006D5E26"/>
    <w:rsid w:val="006E4390"/>
    <w:rsid w:val="00701F63"/>
    <w:rsid w:val="0071143B"/>
    <w:rsid w:val="0072152E"/>
    <w:rsid w:val="00727B28"/>
    <w:rsid w:val="00730A04"/>
    <w:rsid w:val="007314C9"/>
    <w:rsid w:val="007419FD"/>
    <w:rsid w:val="007436D4"/>
    <w:rsid w:val="00744515"/>
    <w:rsid w:val="007454E6"/>
    <w:rsid w:val="00745F75"/>
    <w:rsid w:val="00793C38"/>
    <w:rsid w:val="007A07A4"/>
    <w:rsid w:val="007A16BB"/>
    <w:rsid w:val="007A258E"/>
    <w:rsid w:val="007B146C"/>
    <w:rsid w:val="007C319F"/>
    <w:rsid w:val="007C32E1"/>
    <w:rsid w:val="007C4C8B"/>
    <w:rsid w:val="007C66A8"/>
    <w:rsid w:val="007E45F6"/>
    <w:rsid w:val="007E6844"/>
    <w:rsid w:val="0080778B"/>
    <w:rsid w:val="00830BB8"/>
    <w:rsid w:val="0083351A"/>
    <w:rsid w:val="008375EB"/>
    <w:rsid w:val="00843BDD"/>
    <w:rsid w:val="00844374"/>
    <w:rsid w:val="008737C8"/>
    <w:rsid w:val="00877226"/>
    <w:rsid w:val="00881919"/>
    <w:rsid w:val="008832C2"/>
    <w:rsid w:val="00886DD7"/>
    <w:rsid w:val="008870A8"/>
    <w:rsid w:val="008919ED"/>
    <w:rsid w:val="008B3539"/>
    <w:rsid w:val="008B5305"/>
    <w:rsid w:val="008C07AF"/>
    <w:rsid w:val="008C17DA"/>
    <w:rsid w:val="008C73F9"/>
    <w:rsid w:val="008D73C8"/>
    <w:rsid w:val="008F2C8F"/>
    <w:rsid w:val="008F4526"/>
    <w:rsid w:val="008F7E00"/>
    <w:rsid w:val="00902CA4"/>
    <w:rsid w:val="0091009A"/>
    <w:rsid w:val="00931CB8"/>
    <w:rsid w:val="0094163F"/>
    <w:rsid w:val="009434DA"/>
    <w:rsid w:val="0095157D"/>
    <w:rsid w:val="00955686"/>
    <w:rsid w:val="00957C5E"/>
    <w:rsid w:val="0096300A"/>
    <w:rsid w:val="00971D10"/>
    <w:rsid w:val="00981C15"/>
    <w:rsid w:val="0098245D"/>
    <w:rsid w:val="009A51C1"/>
    <w:rsid w:val="009A5A6B"/>
    <w:rsid w:val="009C0BFA"/>
    <w:rsid w:val="009D0D9A"/>
    <w:rsid w:val="009E11D5"/>
    <w:rsid w:val="009E1991"/>
    <w:rsid w:val="009E2D68"/>
    <w:rsid w:val="009E7D82"/>
    <w:rsid w:val="009F365B"/>
    <w:rsid w:val="009F4FA2"/>
    <w:rsid w:val="00A043E0"/>
    <w:rsid w:val="00A152A7"/>
    <w:rsid w:val="00A2375B"/>
    <w:rsid w:val="00A52BE7"/>
    <w:rsid w:val="00A60F2C"/>
    <w:rsid w:val="00A64595"/>
    <w:rsid w:val="00A7386F"/>
    <w:rsid w:val="00A832B3"/>
    <w:rsid w:val="00A90A73"/>
    <w:rsid w:val="00A97649"/>
    <w:rsid w:val="00AA0EAD"/>
    <w:rsid w:val="00AA3228"/>
    <w:rsid w:val="00AA34AA"/>
    <w:rsid w:val="00AA3C0F"/>
    <w:rsid w:val="00AB18BC"/>
    <w:rsid w:val="00AB47D5"/>
    <w:rsid w:val="00AB5EA4"/>
    <w:rsid w:val="00AC3DCA"/>
    <w:rsid w:val="00AD4106"/>
    <w:rsid w:val="00AD63B3"/>
    <w:rsid w:val="00AD76E2"/>
    <w:rsid w:val="00AF016E"/>
    <w:rsid w:val="00AF3406"/>
    <w:rsid w:val="00B24A54"/>
    <w:rsid w:val="00B263CF"/>
    <w:rsid w:val="00B3647E"/>
    <w:rsid w:val="00B44F19"/>
    <w:rsid w:val="00B66D13"/>
    <w:rsid w:val="00B83B22"/>
    <w:rsid w:val="00B84C65"/>
    <w:rsid w:val="00B9471F"/>
    <w:rsid w:val="00BA3B70"/>
    <w:rsid w:val="00BC72BD"/>
    <w:rsid w:val="00BD30A1"/>
    <w:rsid w:val="00BD7310"/>
    <w:rsid w:val="00BD7C92"/>
    <w:rsid w:val="00BF66D3"/>
    <w:rsid w:val="00C10D89"/>
    <w:rsid w:val="00C11EF7"/>
    <w:rsid w:val="00C14816"/>
    <w:rsid w:val="00C155CB"/>
    <w:rsid w:val="00C220A9"/>
    <w:rsid w:val="00C309B8"/>
    <w:rsid w:val="00C32548"/>
    <w:rsid w:val="00C3435E"/>
    <w:rsid w:val="00C51DBB"/>
    <w:rsid w:val="00C529AF"/>
    <w:rsid w:val="00C543C8"/>
    <w:rsid w:val="00C62EBC"/>
    <w:rsid w:val="00C6457F"/>
    <w:rsid w:val="00C717E1"/>
    <w:rsid w:val="00C80D48"/>
    <w:rsid w:val="00C832B8"/>
    <w:rsid w:val="00C87632"/>
    <w:rsid w:val="00C92FC9"/>
    <w:rsid w:val="00CB4893"/>
    <w:rsid w:val="00CB79A4"/>
    <w:rsid w:val="00CC7191"/>
    <w:rsid w:val="00CC71EF"/>
    <w:rsid w:val="00CD7E3F"/>
    <w:rsid w:val="00CF3B1C"/>
    <w:rsid w:val="00CF3E42"/>
    <w:rsid w:val="00CF7B14"/>
    <w:rsid w:val="00D03B8F"/>
    <w:rsid w:val="00D15584"/>
    <w:rsid w:val="00D334FC"/>
    <w:rsid w:val="00D5755D"/>
    <w:rsid w:val="00D6411D"/>
    <w:rsid w:val="00D67F81"/>
    <w:rsid w:val="00D73DB9"/>
    <w:rsid w:val="00D755CA"/>
    <w:rsid w:val="00D8218A"/>
    <w:rsid w:val="00D93034"/>
    <w:rsid w:val="00DA0447"/>
    <w:rsid w:val="00DA0568"/>
    <w:rsid w:val="00DA43AE"/>
    <w:rsid w:val="00DB2EA3"/>
    <w:rsid w:val="00DB4EC6"/>
    <w:rsid w:val="00DB5F74"/>
    <w:rsid w:val="00DC0D23"/>
    <w:rsid w:val="00DC3496"/>
    <w:rsid w:val="00DC39DF"/>
    <w:rsid w:val="00DC631E"/>
    <w:rsid w:val="00DC6DC1"/>
    <w:rsid w:val="00DE02F8"/>
    <w:rsid w:val="00DF17C6"/>
    <w:rsid w:val="00DF3510"/>
    <w:rsid w:val="00E05684"/>
    <w:rsid w:val="00E06146"/>
    <w:rsid w:val="00E13E48"/>
    <w:rsid w:val="00E354A0"/>
    <w:rsid w:val="00E35BC6"/>
    <w:rsid w:val="00E56952"/>
    <w:rsid w:val="00E7015C"/>
    <w:rsid w:val="00E74D60"/>
    <w:rsid w:val="00E82C97"/>
    <w:rsid w:val="00E9005D"/>
    <w:rsid w:val="00EA023C"/>
    <w:rsid w:val="00ED23FE"/>
    <w:rsid w:val="00EE3FDF"/>
    <w:rsid w:val="00F00DC6"/>
    <w:rsid w:val="00F02F1A"/>
    <w:rsid w:val="00F12FFF"/>
    <w:rsid w:val="00F64A62"/>
    <w:rsid w:val="00F7297B"/>
    <w:rsid w:val="00F74EDD"/>
    <w:rsid w:val="00F815F7"/>
    <w:rsid w:val="00F81635"/>
    <w:rsid w:val="00F8409F"/>
    <w:rsid w:val="00F856F3"/>
    <w:rsid w:val="00F879DE"/>
    <w:rsid w:val="00F90C8C"/>
    <w:rsid w:val="00F9110F"/>
    <w:rsid w:val="00F975AF"/>
    <w:rsid w:val="00FC635A"/>
    <w:rsid w:val="00FD2668"/>
    <w:rsid w:val="00FD4466"/>
    <w:rsid w:val="00FE0FBB"/>
    <w:rsid w:val="00FE3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5DDC3"/>
  <w15:chartTrackingRefBased/>
  <w15:docId w15:val="{F3DBE61F-D53C-44FA-A95D-5634DB6F8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C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6C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6C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6C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6C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6C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C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C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C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C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6C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6C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6C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6C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6C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6C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6C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6C9B"/>
    <w:rPr>
      <w:rFonts w:eastAsiaTheme="majorEastAsia" w:cstheme="majorBidi"/>
      <w:color w:val="272727" w:themeColor="text1" w:themeTint="D8"/>
    </w:rPr>
  </w:style>
  <w:style w:type="paragraph" w:styleId="Title">
    <w:name w:val="Title"/>
    <w:basedOn w:val="Normal"/>
    <w:next w:val="Normal"/>
    <w:link w:val="TitleChar"/>
    <w:uiPriority w:val="10"/>
    <w:qFormat/>
    <w:rsid w:val="00076C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C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6C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6C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6C9B"/>
    <w:pPr>
      <w:spacing w:before="160"/>
      <w:jc w:val="center"/>
    </w:pPr>
    <w:rPr>
      <w:i/>
      <w:iCs/>
      <w:color w:val="404040" w:themeColor="text1" w:themeTint="BF"/>
    </w:rPr>
  </w:style>
  <w:style w:type="character" w:customStyle="1" w:styleId="QuoteChar">
    <w:name w:val="Quote Char"/>
    <w:basedOn w:val="DefaultParagraphFont"/>
    <w:link w:val="Quote"/>
    <w:uiPriority w:val="29"/>
    <w:rsid w:val="00076C9B"/>
    <w:rPr>
      <w:i/>
      <w:iCs/>
      <w:color w:val="404040" w:themeColor="text1" w:themeTint="BF"/>
    </w:rPr>
  </w:style>
  <w:style w:type="paragraph" w:styleId="ListParagraph">
    <w:name w:val="List Paragraph"/>
    <w:basedOn w:val="Normal"/>
    <w:uiPriority w:val="34"/>
    <w:qFormat/>
    <w:rsid w:val="00076C9B"/>
    <w:pPr>
      <w:ind w:left="720"/>
      <w:contextualSpacing/>
    </w:pPr>
  </w:style>
  <w:style w:type="character" w:styleId="IntenseEmphasis">
    <w:name w:val="Intense Emphasis"/>
    <w:basedOn w:val="DefaultParagraphFont"/>
    <w:uiPriority w:val="21"/>
    <w:qFormat/>
    <w:rsid w:val="00076C9B"/>
    <w:rPr>
      <w:i/>
      <w:iCs/>
      <w:color w:val="0F4761" w:themeColor="accent1" w:themeShade="BF"/>
    </w:rPr>
  </w:style>
  <w:style w:type="paragraph" w:styleId="IntenseQuote">
    <w:name w:val="Intense Quote"/>
    <w:basedOn w:val="Normal"/>
    <w:next w:val="Normal"/>
    <w:link w:val="IntenseQuoteChar"/>
    <w:uiPriority w:val="30"/>
    <w:qFormat/>
    <w:rsid w:val="00076C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6C9B"/>
    <w:rPr>
      <w:i/>
      <w:iCs/>
      <w:color w:val="0F4761" w:themeColor="accent1" w:themeShade="BF"/>
    </w:rPr>
  </w:style>
  <w:style w:type="character" w:styleId="IntenseReference">
    <w:name w:val="Intense Reference"/>
    <w:basedOn w:val="DefaultParagraphFont"/>
    <w:uiPriority w:val="32"/>
    <w:qFormat/>
    <w:rsid w:val="00076C9B"/>
    <w:rPr>
      <w:b/>
      <w:bCs/>
      <w:smallCaps/>
      <w:color w:val="0F4761" w:themeColor="accent1" w:themeShade="BF"/>
      <w:spacing w:val="5"/>
    </w:rPr>
  </w:style>
  <w:style w:type="character" w:styleId="Strong">
    <w:name w:val="Strong"/>
    <w:basedOn w:val="DefaultParagraphFont"/>
    <w:uiPriority w:val="22"/>
    <w:qFormat/>
    <w:rsid w:val="00DB5F74"/>
    <w:rPr>
      <w:b/>
      <w:bCs/>
    </w:rPr>
  </w:style>
  <w:style w:type="paragraph" w:styleId="Header">
    <w:name w:val="header"/>
    <w:basedOn w:val="Normal"/>
    <w:link w:val="HeaderChar"/>
    <w:uiPriority w:val="99"/>
    <w:unhideWhenUsed/>
    <w:rsid w:val="00971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D10"/>
  </w:style>
  <w:style w:type="paragraph" w:styleId="Footer">
    <w:name w:val="footer"/>
    <w:basedOn w:val="Normal"/>
    <w:link w:val="FooterChar"/>
    <w:uiPriority w:val="99"/>
    <w:unhideWhenUsed/>
    <w:rsid w:val="00971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4033</TotalTime>
  <Pages>12</Pages>
  <Words>3285</Words>
  <Characters>18729</Characters>
  <Application>Microsoft Office Word</Application>
  <DocSecurity>0</DocSecurity>
  <Lines>156</Lines>
  <Paragraphs>43</Paragraphs>
  <ScaleCrop>false</ScaleCrop>
  <Company/>
  <LinksUpToDate>false</LinksUpToDate>
  <CharactersWithSpaces>21971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Afiya Barakat</dc:creator>
  <cp:keywords/>
  <dc:description/>
  <cp:lastModifiedBy>Afiya Barakat</cp:lastModifiedBy>
  <cp:revision>329</cp:revision>
  <dcterms:created xsi:type="dcterms:W3CDTF">2026-07-15T10:08:00Z</dcterms:created>
  <dcterms:modified xsi:type="dcterms:W3CDTF">2026-07-18T21:37:00Z</dcterms:modified>
</cp:coreProperties>
</file>