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rFonts w:ascii="Roboto" w:cs="Roboto" w:eastAsia="Roboto" w:hAnsi="Roboto"/>
          <w:b w:val="1"/>
          <w:sz w:val="23"/>
          <w:szCs w:val="23"/>
          <w:highlight w:val="white"/>
        </w:rPr>
      </w:pPr>
      <w:r w:rsidDel="00000000" w:rsidR="00000000" w:rsidRPr="00000000">
        <w:rPr>
          <w:rFonts w:ascii="Roboto" w:cs="Roboto" w:eastAsia="Roboto" w:hAnsi="Roboto"/>
          <w:b w:val="1"/>
          <w:sz w:val="23"/>
          <w:szCs w:val="23"/>
          <w:highlight w:val="white"/>
          <w:rtl w:val="0"/>
        </w:rPr>
        <w:t xml:space="preserve"> Give an overview of conceptual frameworks associated with 'Islamic theology' in contemporary contexts. Include a discussion on the term and its relevance (or not?) in contemporary contexts. Demonstrate awareness of key thinkers in your answer.</w:t>
      </w:r>
    </w:p>
    <w:p w:rsidR="00000000" w:rsidDel="00000000" w:rsidP="00000000" w:rsidRDefault="00000000" w:rsidRPr="00000000" w14:paraId="00000001">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2">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3">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There are a number of conceptual frameworks associated with Islamic theology in contemporary contexts. These frameworks, though most being rooted in the medieval and early years of Islam, have found relevancy in some of today’s key debates, such as issues of modernity and the use of theological ideas to support militant groups. But before we examine the various frameworks and their implications  in contemporary contexts, it must first be established; How do we define Theology in the Islamic context?</w:t>
      </w:r>
    </w:p>
    <w:p w:rsidR="00000000" w:rsidDel="00000000" w:rsidP="00000000" w:rsidRDefault="00000000" w:rsidRPr="00000000" w14:paraId="00000004">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5">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Theology (from the greek </w:t>
      </w:r>
      <w:r w:rsidDel="00000000" w:rsidR="00000000" w:rsidRPr="00000000">
        <w:rPr>
          <w:rFonts w:ascii="Roboto" w:cs="Roboto" w:eastAsia="Roboto" w:hAnsi="Roboto"/>
          <w:i w:val="1"/>
          <w:sz w:val="23"/>
          <w:szCs w:val="23"/>
          <w:highlight w:val="white"/>
          <w:rtl w:val="0"/>
        </w:rPr>
        <w:t xml:space="preserve">theo </w:t>
      </w:r>
      <w:r w:rsidDel="00000000" w:rsidR="00000000" w:rsidRPr="00000000">
        <w:rPr>
          <w:rFonts w:ascii="Roboto" w:cs="Roboto" w:eastAsia="Roboto" w:hAnsi="Roboto"/>
          <w:sz w:val="23"/>
          <w:szCs w:val="23"/>
          <w:highlight w:val="white"/>
          <w:rtl w:val="0"/>
        </w:rPr>
        <w:t xml:space="preserve">meaning god/deity, and -</w:t>
      </w:r>
      <w:r w:rsidDel="00000000" w:rsidR="00000000" w:rsidRPr="00000000">
        <w:rPr>
          <w:rFonts w:ascii="Roboto" w:cs="Roboto" w:eastAsia="Roboto" w:hAnsi="Roboto"/>
          <w:i w:val="1"/>
          <w:sz w:val="23"/>
          <w:szCs w:val="23"/>
          <w:highlight w:val="white"/>
          <w:rtl w:val="0"/>
        </w:rPr>
        <w:t xml:space="preserve">logia </w:t>
      </w:r>
      <w:r w:rsidDel="00000000" w:rsidR="00000000" w:rsidRPr="00000000">
        <w:rPr>
          <w:rFonts w:ascii="Roboto" w:cs="Roboto" w:eastAsia="Roboto" w:hAnsi="Roboto"/>
          <w:sz w:val="23"/>
          <w:szCs w:val="23"/>
          <w:highlight w:val="white"/>
          <w:rtl w:val="0"/>
        </w:rPr>
        <w:t xml:space="preserve">meaning the study of</w:t>
      </w:r>
      <w:r w:rsidDel="00000000" w:rsidR="00000000" w:rsidRPr="00000000">
        <w:rPr>
          <w:rFonts w:ascii="Roboto" w:cs="Roboto" w:eastAsia="Roboto" w:hAnsi="Roboto"/>
          <w:i w:val="1"/>
          <w:sz w:val="23"/>
          <w:szCs w:val="23"/>
          <w:highlight w:val="white"/>
          <w:rtl w:val="0"/>
        </w:rPr>
        <w:t xml:space="preserve">) </w:t>
      </w:r>
      <w:r w:rsidDel="00000000" w:rsidR="00000000" w:rsidRPr="00000000">
        <w:rPr>
          <w:rFonts w:ascii="Roboto" w:cs="Roboto" w:eastAsia="Roboto" w:hAnsi="Roboto"/>
          <w:sz w:val="23"/>
          <w:szCs w:val="23"/>
          <w:highlight w:val="white"/>
          <w:rtl w:val="0"/>
        </w:rPr>
        <w:t xml:space="preserve"> is defined by the Oxford Dictionary as ‘The study of the nature of God and religious belief’</w:t>
      </w:r>
      <w:r w:rsidDel="00000000" w:rsidR="00000000" w:rsidRPr="00000000">
        <w:rPr>
          <w:rFonts w:ascii="Roboto" w:cs="Roboto" w:eastAsia="Roboto" w:hAnsi="Roboto"/>
          <w:sz w:val="23"/>
          <w:szCs w:val="23"/>
          <w:highlight w:val="white"/>
          <w:vertAlign w:val="superscript"/>
        </w:rPr>
        <w:footnoteReference w:customMarkFollows="0" w:id="0"/>
      </w:r>
      <w:r w:rsidDel="00000000" w:rsidR="00000000" w:rsidRPr="00000000">
        <w:rPr>
          <w:rFonts w:ascii="Roboto" w:cs="Roboto" w:eastAsia="Roboto" w:hAnsi="Roboto"/>
          <w:sz w:val="23"/>
          <w:szCs w:val="23"/>
          <w:highlight w:val="white"/>
          <w:rtl w:val="0"/>
        </w:rPr>
        <w:t xml:space="preserve">.   Paul Badham adds to this by acknowledging that the  definition in practise usually refers almost exclusively to the study of the Bible and the sources of Christian belief, and follows this with the example that if you were to look up a course in Theology at any university, the course would most likely be exclusively about Christianity, whilst the study of multiple religions is normally classified under ‘Religious Studies’</w:t>
      </w:r>
      <w:r w:rsidDel="00000000" w:rsidR="00000000" w:rsidRPr="00000000">
        <w:rPr>
          <w:rFonts w:ascii="Roboto" w:cs="Roboto" w:eastAsia="Roboto" w:hAnsi="Roboto"/>
          <w:sz w:val="23"/>
          <w:szCs w:val="23"/>
          <w:highlight w:val="white"/>
          <w:vertAlign w:val="superscript"/>
        </w:rPr>
        <w:footnoteReference w:customMarkFollows="0" w:id="1"/>
      </w:r>
      <w:r w:rsidDel="00000000" w:rsidR="00000000" w:rsidRPr="00000000">
        <w:rPr>
          <w:rFonts w:ascii="Roboto" w:cs="Roboto" w:eastAsia="Roboto" w:hAnsi="Roboto"/>
          <w:sz w:val="23"/>
          <w:szCs w:val="23"/>
          <w:highlight w:val="white"/>
          <w:rtl w:val="0"/>
        </w:rPr>
        <w:t xml:space="preserve">. It is unclear at precisely what time period this term first became applied to the discussions about religion and God outside of Christianity, but it can be recognised that the term only tends to be used for Religions that are Monotheistic in nature, more specifically, the three Abrahamic religions. </w:t>
      </w:r>
    </w:p>
    <w:p w:rsidR="00000000" w:rsidDel="00000000" w:rsidP="00000000" w:rsidRDefault="00000000" w:rsidRPr="00000000" w14:paraId="00000006">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7">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It must be acknowledged that Islam and Christianity have different emphases and approaches to their faith. For Christians, the emphasis is more heavily placed upon correct belief, doctrine, and therefore orthodoxy. Islam by definition, refers to the submission to the will of God, and therefore by nature, Islam tends to focus on correct action, and therefore orthopraxy. John Esposito demonstrates this point by noting that in a Christian context, Theology enjoyed the reputation of being ‘Queen of the Sciences’</w:t>
      </w:r>
      <w:r w:rsidDel="00000000" w:rsidR="00000000" w:rsidRPr="00000000">
        <w:rPr>
          <w:rFonts w:ascii="Roboto" w:cs="Roboto" w:eastAsia="Roboto" w:hAnsi="Roboto"/>
          <w:sz w:val="23"/>
          <w:szCs w:val="23"/>
          <w:highlight w:val="white"/>
          <w:vertAlign w:val="superscript"/>
        </w:rPr>
        <w:footnoteReference w:customMarkFollows="0" w:id="2"/>
      </w:r>
      <w:r w:rsidDel="00000000" w:rsidR="00000000" w:rsidRPr="00000000">
        <w:rPr>
          <w:rFonts w:ascii="Roboto" w:cs="Roboto" w:eastAsia="Roboto" w:hAnsi="Roboto"/>
          <w:sz w:val="23"/>
          <w:szCs w:val="23"/>
          <w:highlight w:val="white"/>
          <w:rtl w:val="0"/>
        </w:rPr>
        <w:t xml:space="preserve"> whilst in Islam, as well as Judaism, law was often prioritized as the primary religious science of study. </w:t>
      </w:r>
      <w:r w:rsidDel="00000000" w:rsidR="00000000" w:rsidRPr="00000000">
        <w:rPr>
          <w:rFonts w:ascii="Roboto" w:cs="Roboto" w:eastAsia="Roboto" w:hAnsi="Roboto"/>
          <w:sz w:val="23"/>
          <w:szCs w:val="23"/>
          <w:highlight w:val="white"/>
          <w:rtl w:val="0"/>
        </w:rPr>
        <w:t xml:space="preserve">It must also be noted that Islamic Theology, unlike Christian Theology, was not developed in a systematic, methodical way, and nor was it a product of theoretical personal reflection.  On the contrary, Islamic Theology (most often referred to as Kalam, meaning speech or discourse</w:t>
      </w:r>
      <w:r w:rsidDel="00000000" w:rsidR="00000000" w:rsidRPr="00000000">
        <w:rPr>
          <w:rFonts w:ascii="Roboto" w:cs="Roboto" w:eastAsia="Roboto" w:hAnsi="Roboto"/>
          <w:sz w:val="23"/>
          <w:szCs w:val="23"/>
          <w:highlight w:val="white"/>
          <w:vertAlign w:val="superscript"/>
        </w:rPr>
        <w:footnoteReference w:customMarkFollows="0" w:id="3"/>
      </w:r>
      <w:r w:rsidDel="00000000" w:rsidR="00000000" w:rsidRPr="00000000">
        <w:rPr>
          <w:rFonts w:ascii="Roboto" w:cs="Roboto" w:eastAsia="Roboto" w:hAnsi="Roboto"/>
          <w:sz w:val="23"/>
          <w:szCs w:val="23"/>
          <w:highlight w:val="white"/>
          <w:rtl w:val="0"/>
        </w:rPr>
        <w:t xml:space="preserve">) emerged as a result of specific issues and debates that began to surface in Islam’s early sociopolitical context, more specifically the interactions and arguments with Non-Muslims,  as well as the polemics between the various sects that had emerged (such as the Ash’arites, and the Mu’tazilites, which will be discussed in more detail later) over the basic concepts of Islam itself. Tilman Nagel articulates the point further, by arguing that the ultimate goal of Islamic Theology is to ‘defend the faith against outside influence and building a construct of arguments that were related to, but not contradicting, one another- arguments to make the principles of Islam unassailable and give Muslims the certainty of possessing the definitive truth’</w:t>
      </w:r>
      <w:r w:rsidDel="00000000" w:rsidR="00000000" w:rsidRPr="00000000">
        <w:rPr>
          <w:rFonts w:ascii="Roboto" w:cs="Roboto" w:eastAsia="Roboto" w:hAnsi="Roboto"/>
          <w:sz w:val="23"/>
          <w:szCs w:val="23"/>
          <w:highlight w:val="white"/>
          <w:vertAlign w:val="superscript"/>
        </w:rPr>
        <w:footnoteReference w:customMarkFollows="0" w:id="4"/>
      </w:r>
      <w:r w:rsidDel="00000000" w:rsidR="00000000" w:rsidRPr="00000000">
        <w:rPr>
          <w:rFonts w:ascii="Roboto" w:cs="Roboto" w:eastAsia="Roboto" w:hAnsi="Roboto"/>
          <w:sz w:val="23"/>
          <w:szCs w:val="23"/>
          <w:highlight w:val="white"/>
          <w:rtl w:val="0"/>
        </w:rPr>
        <w:t xml:space="preserve">.</w:t>
      </w:r>
    </w:p>
    <w:p w:rsidR="00000000" w:rsidDel="00000000" w:rsidP="00000000" w:rsidRDefault="00000000" w:rsidRPr="00000000" w14:paraId="00000008">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9">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Theological developments within a religion, have their basis in discussions concerning the revealed, sacred text, which in terms of Christianity, is the Bible. Islam differs structurally in this regard, as there are two revealed bodies of divine knowledge, The Qur’an being at the foundation, as it is considered the word of Allah himself, sent down to Muhammad via the angel Gabriel. The second is the Sunna, which refers to the divinely influenced  life of Muhammad, his teachings and further explanations of Qur’anic teachings and how he implemented them. While Sunni and Shiite Muslims both recognise the importance of both texts in terms of theological developments, their differences in this regard are rooted in how the Sunna should be understood. For the Shiites, it was through the teachings of Imams as well as the descendants of the prophet, who are thought to have inherited Muhammad’s wisdom and understanding of the divine message and these were then built upon by Shiite Ulama (scholars).  For Sunni Muslims, the Hadiths were consulted, as well as the deciphering of Islamic law by Ulama (scholars).</w:t>
      </w:r>
    </w:p>
    <w:p w:rsidR="00000000" w:rsidDel="00000000" w:rsidP="00000000" w:rsidRDefault="00000000" w:rsidRPr="00000000" w14:paraId="0000000A">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B">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It can be recognised that there were two main approaches that were taken to Islamic Theology ,the first emphasized ‘rationality’,allowing the use of allegorical reasoning  (qiyas) and interpretation (also known as ijtihad, to struggle/strive intellectually), </w:t>
      </w:r>
      <w:r w:rsidDel="00000000" w:rsidR="00000000" w:rsidRPr="00000000">
        <w:rPr>
          <w:rFonts w:ascii="Roboto" w:cs="Roboto" w:eastAsia="Roboto" w:hAnsi="Roboto"/>
          <w:sz w:val="23"/>
          <w:szCs w:val="23"/>
          <w:highlight w:val="white"/>
          <w:rtl w:val="0"/>
        </w:rPr>
        <w:t xml:space="preserve">and the second based on the very literal reading of the Hadith and Sunna. In western accounts the various sects are often categorized as either Rationalists and Traditionalists, labels which are arguably helpful in highlighting the differences in their emphasis when approaching theology, but ultimately problematic, as it implies that the so-called ‘traditionalists’ lack rationality entirely, whilst those classified as ‘rationalists’ completely disregard tradition and hadith, and neither is the case. On the contrary, those associated with the reason/ rationality approach often acknowledge the importance of the Hadith, but argue that the Sunna should be prioritized over it, as it is best known and understood through the living tradition of practise and problem solving inherited from the followers of Muhammad</w:t>
      </w:r>
      <w:r w:rsidDel="00000000" w:rsidR="00000000" w:rsidRPr="00000000">
        <w:rPr>
          <w:rFonts w:ascii="Roboto" w:cs="Roboto" w:eastAsia="Roboto" w:hAnsi="Roboto"/>
          <w:sz w:val="23"/>
          <w:szCs w:val="23"/>
          <w:highlight w:val="white"/>
          <w:vertAlign w:val="superscript"/>
        </w:rPr>
        <w:footnoteReference w:customMarkFollows="0" w:id="5"/>
      </w:r>
      <w:r w:rsidDel="00000000" w:rsidR="00000000" w:rsidRPr="00000000">
        <w:rPr>
          <w:rFonts w:ascii="Roboto" w:cs="Roboto" w:eastAsia="Roboto" w:hAnsi="Roboto"/>
          <w:sz w:val="23"/>
          <w:szCs w:val="23"/>
          <w:highlight w:val="white"/>
          <w:rtl w:val="0"/>
        </w:rPr>
        <w:t xml:space="preserve">. There were also some concerns regarding the authenticity of Hadiths that were emerging, particularly because there was a century gap between the death of the prophet, and the systematic recording and compiling of his teachings.  A method of Hadith authentication was established which centred on a clear chain of transmission being demonstrated in order for the text to be considered authentic (known as isnad). As a result of this, Sunni muslims compiled six collections in the 9th century which were deemed authoritative (such as the books of al-Bukhari) and four books became authoritative in Shi’ism.</w:t>
      </w:r>
    </w:p>
    <w:p w:rsidR="00000000" w:rsidDel="00000000" w:rsidP="00000000" w:rsidRDefault="00000000" w:rsidRPr="00000000" w14:paraId="0000000C">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D">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The reliance on Hadiths in Sunni Islam would become one of its defining features. Through closer inspection it can be recognised that the Qur’an itself contained little to no specific information about Islam’s rituals and law, an example being that even the five daily prayers not being specified in it. Therefore, it cannot be disputed that Hadiths have played a crucial role in the development of religious traditions and dogma. For Sunnis, Hadiths are authoritative enough that they may, in some cases overrule Qur’anic verses, the justification for this being that The Prophet may have changed his ruling on a subject overtime, or the way in which it is explained in a Hadith may change the way the verse was initially perceived and understood. The authority placed on the concept of consensus (ijma) is further evidence of the interpretive (and therefore, rationalist) activity of Sunni scholars, which is derived from one of the sayings of the Prophet, which was ‘My community will never agree in error’</w:t>
      </w:r>
      <w:r w:rsidDel="00000000" w:rsidR="00000000" w:rsidRPr="00000000">
        <w:rPr>
          <w:rFonts w:ascii="Roboto" w:cs="Roboto" w:eastAsia="Roboto" w:hAnsi="Roboto"/>
          <w:sz w:val="23"/>
          <w:szCs w:val="23"/>
          <w:highlight w:val="white"/>
          <w:vertAlign w:val="superscript"/>
        </w:rPr>
        <w:footnoteReference w:customMarkFollows="0" w:id="6"/>
      </w:r>
      <w:r w:rsidDel="00000000" w:rsidR="00000000" w:rsidRPr="00000000">
        <w:rPr>
          <w:rFonts w:ascii="Roboto" w:cs="Roboto" w:eastAsia="Roboto" w:hAnsi="Roboto"/>
          <w:sz w:val="23"/>
          <w:szCs w:val="23"/>
          <w:highlight w:val="white"/>
          <w:rtl w:val="0"/>
        </w:rPr>
        <w:t xml:space="preserve">. Consensus played a crucial role in the development of Islamic law as well as Theology, particularly as the early development of these concepts were the result of jurists and scholars applying their own reasoning (ijtihad) to aid interpretation, which resulted in a large number of interpretations. In this regard, consensus ultimately proved to be useful as a conclusive, final decision making process to allow for the continued contribution to the creation of relatively fixed laws.</w:t>
      </w:r>
    </w:p>
    <w:p w:rsidR="00000000" w:rsidDel="00000000" w:rsidP="00000000" w:rsidRDefault="00000000" w:rsidRPr="00000000" w14:paraId="0000000E">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0F">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0">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Another school of theology that emerged as a result of rationalism the Mu'tazila, or Mu'tazilism. The word mutazila translates from arabic to ‘those who stand aloof’</w:t>
      </w:r>
      <w:r w:rsidDel="00000000" w:rsidR="00000000" w:rsidRPr="00000000">
        <w:rPr>
          <w:rFonts w:ascii="Roboto" w:cs="Roboto" w:eastAsia="Roboto" w:hAnsi="Roboto"/>
          <w:sz w:val="23"/>
          <w:szCs w:val="23"/>
          <w:highlight w:val="white"/>
          <w:vertAlign w:val="superscript"/>
        </w:rPr>
        <w:footnoteReference w:customMarkFollows="0" w:id="7"/>
      </w:r>
      <w:r w:rsidDel="00000000" w:rsidR="00000000" w:rsidRPr="00000000">
        <w:rPr>
          <w:rFonts w:ascii="Roboto" w:cs="Roboto" w:eastAsia="Roboto" w:hAnsi="Roboto"/>
          <w:sz w:val="23"/>
          <w:szCs w:val="23"/>
          <w:highlight w:val="white"/>
          <w:rtl w:val="0"/>
        </w:rPr>
        <w:t xml:space="preserve">, which is most likely to refer to those espousing a middle, or intermediary position. The Mu’tazila became a formal school of theology during the Abbasid period, and were heavily influenced by the Greek philosophical and scientific thought that became prevalent during this time. They are considered one of the more skeptical schools of theology, and took issue with the majority of the other Muslim scholars (ulama) over the doctrines that concerned God’s divine attributes, largely because they held the position that the Qur’anic passages were to be understood metaphorically or allegorically, as opposed to a literal interpretation. To interpret the text literally (especially regarding this topic) would result in anthropomorphising God, or even worse, shirk (the sin of idolatry and/or polytheism). The Mu’tazila often disagreed with the Sunni school on the extent to which they relied on Hadiths, and instead believed that the only historical certainty of the Quran should be the foundation for Islamic beliefs, but eventually this school was overshadowed and surpassed by the Sunni schools sometime in the ninth century.</w:t>
      </w:r>
    </w:p>
    <w:p w:rsidR="00000000" w:rsidDel="00000000" w:rsidP="00000000" w:rsidRDefault="00000000" w:rsidRPr="00000000" w14:paraId="00000011">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2">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As previously stated,  both rationalist and traditionalist thinkers acknowledge the importance of the Sunna and Hadith. The defining feature of traditionalist thought is that there is a heavy aversion to anything considered to be innovation (bid’a), particularly the use of human reason in religious matters. An example of a highly influential scholar with a traditionalist approach was Al-Ghazali (1058-1111 CE), who is also responsible for  introduced Sufi Mystical Theology into Orthodox Islam in order to combat the corruption he felt Islam had suffered due to the authorities in fiqh (law) and kalam (theology)</w:t>
      </w:r>
      <w:r w:rsidDel="00000000" w:rsidR="00000000" w:rsidRPr="00000000">
        <w:rPr>
          <w:rFonts w:ascii="Roboto" w:cs="Roboto" w:eastAsia="Roboto" w:hAnsi="Roboto"/>
          <w:sz w:val="23"/>
          <w:szCs w:val="23"/>
          <w:highlight w:val="white"/>
          <w:vertAlign w:val="superscript"/>
        </w:rPr>
        <w:footnoteReference w:customMarkFollows="0" w:id="8"/>
      </w:r>
      <w:r w:rsidDel="00000000" w:rsidR="00000000" w:rsidRPr="00000000">
        <w:rPr>
          <w:rFonts w:ascii="Roboto" w:cs="Roboto" w:eastAsia="Roboto" w:hAnsi="Roboto"/>
          <w:sz w:val="23"/>
          <w:szCs w:val="23"/>
          <w:highlight w:val="white"/>
          <w:rtl w:val="0"/>
        </w:rPr>
        <w:t xml:space="preserve">.  As a result of this he focused much of his criticism on contemporary theologians, arguing that they do not begin their enquiries with an open mind, and argued that the criteria for self-evidence is purely psychological and can change with experience, and one’s on notion of certainty cannot become an measurable criteria of correctness regarding analytical judgements. </w:t>
      </w:r>
    </w:p>
    <w:p w:rsidR="00000000" w:rsidDel="00000000" w:rsidP="00000000" w:rsidRDefault="00000000" w:rsidRPr="00000000" w14:paraId="00000013">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4">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An example of one of the most well known Traditionalists is Ahmed Ibn Hanbal (780-855 CE),the father of the Hanbali school, one of the four Schools of Jurisprudence in Sunni Islam. He argued that religion rested upon the Qur’an and its traditions, which he believed were reliably passed down by trustworthy sources, and that tracing them back in such a manner could allow one to find their way back to God’s messenger. Ibn Hanbal also emphasized the written word of the Qur’an as authoritative over human interpretation, as the use of one’s own judgement or analogies was innovation (bid’a) and therefore invalid.  These views resulted in a dispute with Caliph al-Mamun over the caliph’s role in Islamic society, which he determined was to serve as ‘executor’ of the community, not the source of its beliefs</w:t>
      </w:r>
      <w:r w:rsidDel="00000000" w:rsidR="00000000" w:rsidRPr="00000000">
        <w:rPr>
          <w:rFonts w:ascii="Roboto" w:cs="Roboto" w:eastAsia="Roboto" w:hAnsi="Roboto"/>
          <w:sz w:val="23"/>
          <w:szCs w:val="23"/>
          <w:highlight w:val="white"/>
          <w:vertAlign w:val="superscript"/>
        </w:rPr>
        <w:footnoteReference w:customMarkFollows="0" w:id="9"/>
      </w:r>
      <w:r w:rsidDel="00000000" w:rsidR="00000000" w:rsidRPr="00000000">
        <w:rPr>
          <w:rFonts w:ascii="Roboto" w:cs="Roboto" w:eastAsia="Roboto" w:hAnsi="Roboto"/>
          <w:sz w:val="23"/>
          <w:szCs w:val="23"/>
          <w:highlight w:val="white"/>
          <w:rtl w:val="0"/>
        </w:rPr>
        <w:t xml:space="preserve">. Ultimately, the views presented by Ibn Hanbal and the Hanbalities did not garner much support, that is until the fourteenth century.</w:t>
      </w:r>
    </w:p>
    <w:p w:rsidR="00000000" w:rsidDel="00000000" w:rsidP="00000000" w:rsidRDefault="00000000" w:rsidRPr="00000000" w14:paraId="00000015">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6">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Ibn Taymiyyah (1263-1328 CE) is perhaps one of the most influential Islamic theologians due to his long-term, far reaching impact on Islamic thought, even in modern times. Born  in Syria,  his writing was heavily influenced by the Hanbali school, as well as the consistent threat of invasion by the Mogul Empire, which resulted in his writing having a strong emphasis on the need for a jihad against alien forces. Much like Ibn Hanbal before him, he argued that human reason as a source of truth is a totally mistaken and misguided notion in religious concepts</w:t>
      </w:r>
      <w:r w:rsidDel="00000000" w:rsidR="00000000" w:rsidRPr="00000000">
        <w:rPr>
          <w:rFonts w:ascii="Roboto" w:cs="Roboto" w:eastAsia="Roboto" w:hAnsi="Roboto"/>
          <w:sz w:val="23"/>
          <w:szCs w:val="23"/>
          <w:highlight w:val="white"/>
          <w:vertAlign w:val="superscript"/>
        </w:rPr>
        <w:footnoteReference w:customMarkFollows="0" w:id="10"/>
      </w:r>
      <w:r w:rsidDel="00000000" w:rsidR="00000000" w:rsidRPr="00000000">
        <w:rPr>
          <w:rFonts w:ascii="Roboto" w:cs="Roboto" w:eastAsia="Roboto" w:hAnsi="Roboto"/>
          <w:sz w:val="23"/>
          <w:szCs w:val="23"/>
          <w:highlight w:val="white"/>
          <w:rtl w:val="0"/>
        </w:rPr>
        <w:t xml:space="preserve">. He heavily scrutinized Islam, sorting sunna from innovation (bid’a), turning against all that he felt had altered, either in doctrine or practise, the original concept of Islam. He turned against other theological authorities, particularly those that had legitimized the use of ijma (consensus), arguing that the sunna alone should be relied upon. Like Ibn Hanbal before him, Ibn Taymiyyah would not live to see the success of his teachings, as it was not until the eighteenth century that a new religious movement in Islam began to emerge, to which Taymiyyah is heavily credited for inspiring its basic precepts, the movement being Wahhabism.</w:t>
      </w:r>
    </w:p>
    <w:p w:rsidR="00000000" w:rsidDel="00000000" w:rsidP="00000000" w:rsidRDefault="00000000" w:rsidRPr="00000000" w14:paraId="00000017">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8">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Wahhabism was founded by </w:t>
      </w:r>
      <w:r w:rsidDel="00000000" w:rsidR="00000000" w:rsidRPr="00000000">
        <w:rPr>
          <w:rFonts w:ascii="Roboto" w:cs="Roboto" w:eastAsia="Roboto" w:hAnsi="Roboto"/>
          <w:rtl w:val="0"/>
        </w:rPr>
        <w:t xml:space="preserve">Muhammad al-Wahhab (1703-1792 CE) who was a trained jurist and theologian, who identified strongly with the principles of the Hanbali school of Sunni Islam, as well as the teachings of Ibn Taymiyyah. He sought to rid Islam of the innovation he witnessed around him, which was largely due to the tribal influences that had returned to the region. He viewed some of the practises he witnessed as pagan, such as the visiting of various forefathers graves, and deemed it superstitious idolatry, perhaps the worst sins in Islam to be accused of. Additionally, he attributed the political weakness and moral decline of the community to his belief that people had strayed from the correct path of Islam, and felt that the way back to the correct path was to take a militant approach, and wage a holy war </w:t>
      </w:r>
      <w:r w:rsidDel="00000000" w:rsidR="00000000" w:rsidRPr="00000000">
        <w:rPr>
          <w:rFonts w:ascii="Roboto" w:cs="Roboto" w:eastAsia="Roboto" w:hAnsi="Roboto"/>
          <w:sz w:val="23"/>
          <w:szCs w:val="23"/>
          <w:highlight w:val="white"/>
          <w:rtl w:val="0"/>
        </w:rPr>
        <w:t xml:space="preserve">that would ‘cleanse’ the region of its religious impurities</w:t>
      </w:r>
      <w:r w:rsidDel="00000000" w:rsidR="00000000" w:rsidRPr="00000000">
        <w:rPr>
          <w:rFonts w:ascii="Roboto" w:cs="Roboto" w:eastAsia="Roboto" w:hAnsi="Roboto"/>
          <w:sz w:val="23"/>
          <w:szCs w:val="23"/>
          <w:highlight w:val="white"/>
          <w:vertAlign w:val="superscript"/>
        </w:rPr>
        <w:footnoteReference w:customMarkFollows="0" w:id="11"/>
      </w:r>
      <w:r w:rsidDel="00000000" w:rsidR="00000000" w:rsidRPr="00000000">
        <w:rPr>
          <w:rFonts w:ascii="Roboto" w:cs="Roboto" w:eastAsia="Roboto" w:hAnsi="Roboto"/>
          <w:sz w:val="23"/>
          <w:szCs w:val="23"/>
          <w:highlight w:val="white"/>
          <w:rtl w:val="0"/>
        </w:rPr>
        <w:t xml:space="preserve">.The influence of Wahhabism can be be seen all over the world, from its origins in Saudi Arabia where its ideology is still present in state and society,as well as the rest of the MENA region and the Indian subcontinent, as well as influencing various contemporary thinkers and activists, such as Sayyid Qutb (1906-66 CE).</w:t>
      </w:r>
    </w:p>
    <w:p w:rsidR="00000000" w:rsidDel="00000000" w:rsidP="00000000" w:rsidRDefault="00000000" w:rsidRPr="00000000" w14:paraId="00000019">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A">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It can be noted that the more contemporary frameworks associated with Islamic theology often follow the same if not similar patterns of their predecessors. The rationalists can be compared to the modernists in their approach, their aims are to directly address the current issues of their time, and through consolidating the Qur’an and ijtihad, (to varying degrees) find solutions to modern day issues, so that Muslims may receive direct guidance.  This can be seen by the Modernist Salafi movement, perhaps the most influential member of this movement being Sir Sayyid Ahmed Khan (d.1898 CE) from India. He argued that only by adapting to Western rule and developing alongside modernity could Islam survive. He adopted a westernized lifestyle, rejected many of the medieval institutions of Islam, and infused his work with more modern works,such as Darwinism, and in 1875 founded one of the most successful reformist islamic educational institutions, the Anglo-Muhammadan Oriental College in India</w:t>
      </w:r>
      <w:r w:rsidDel="00000000" w:rsidR="00000000" w:rsidRPr="00000000">
        <w:rPr>
          <w:rFonts w:ascii="Roboto" w:cs="Roboto" w:eastAsia="Roboto" w:hAnsi="Roboto"/>
          <w:sz w:val="23"/>
          <w:szCs w:val="23"/>
          <w:highlight w:val="white"/>
          <w:vertAlign w:val="superscript"/>
        </w:rPr>
        <w:footnoteReference w:customMarkFollows="0" w:id="12"/>
      </w:r>
      <w:r w:rsidDel="00000000" w:rsidR="00000000" w:rsidRPr="00000000">
        <w:rPr>
          <w:rFonts w:ascii="Roboto" w:cs="Roboto" w:eastAsia="Roboto" w:hAnsi="Roboto"/>
          <w:sz w:val="23"/>
          <w:szCs w:val="23"/>
          <w:highlight w:val="white"/>
          <w:rtl w:val="0"/>
        </w:rPr>
        <w:t xml:space="preserve">.</w:t>
      </w:r>
    </w:p>
    <w:p w:rsidR="00000000" w:rsidDel="00000000" w:rsidP="00000000" w:rsidRDefault="00000000" w:rsidRPr="00000000" w14:paraId="0000001B">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C">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An example of a more traditionalist framework that is still influential in contemporary contexts is the Traditionalist Salafi movement previously mentioned, Wahhabism, which is considered one of the most persistent and politically active movements</w:t>
      </w:r>
      <w:r w:rsidDel="00000000" w:rsidR="00000000" w:rsidRPr="00000000">
        <w:rPr>
          <w:rFonts w:ascii="Roboto" w:cs="Roboto" w:eastAsia="Roboto" w:hAnsi="Roboto"/>
          <w:sz w:val="23"/>
          <w:szCs w:val="23"/>
          <w:highlight w:val="white"/>
          <w:vertAlign w:val="superscript"/>
        </w:rPr>
        <w:footnoteReference w:customMarkFollows="0" w:id="13"/>
      </w:r>
      <w:r w:rsidDel="00000000" w:rsidR="00000000" w:rsidRPr="00000000">
        <w:rPr>
          <w:rFonts w:ascii="Roboto" w:cs="Roboto" w:eastAsia="Roboto" w:hAnsi="Roboto"/>
          <w:sz w:val="23"/>
          <w:szCs w:val="23"/>
          <w:highlight w:val="white"/>
          <w:rtl w:val="0"/>
        </w:rPr>
        <w:t xml:space="preserve">.</w:t>
      </w:r>
    </w:p>
    <w:p w:rsidR="00000000" w:rsidDel="00000000" w:rsidP="00000000" w:rsidRDefault="00000000" w:rsidRPr="00000000" w14:paraId="0000001D">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Unlike their modernist counterparts, traditionalist Salafis generally have little concern for the pressures of modernity, believing that if Muslims return to the Sunna as it is preserved in the Hadiths, the Muslim ummah (community) will be in God’s favour once more, and that those attempting to assimilate to the ways of the west and modernity are being misguided at best, and at worst should be considered heretics. This reluctance to conform to the pressures of modernity is demonstrated in the attitudes of state and society in Saudi Arabia,  which is ruled by the monarchy, the Al Sa’ud family, especially regarding the status of women and their rights. It was only in june of last year that the driving ban for women was lifted. Journalist Madawi Al-Rasheed commented on this, saying that ‘in both politics and social issues, the conservatism of Saudi society is an impediment to modernisation and progress’</w:t>
      </w:r>
      <w:r w:rsidDel="00000000" w:rsidR="00000000" w:rsidRPr="00000000">
        <w:rPr>
          <w:rFonts w:ascii="Roboto" w:cs="Roboto" w:eastAsia="Roboto" w:hAnsi="Roboto"/>
          <w:sz w:val="23"/>
          <w:szCs w:val="23"/>
          <w:highlight w:val="white"/>
          <w:vertAlign w:val="superscript"/>
        </w:rPr>
        <w:footnoteReference w:customMarkFollows="0" w:id="14"/>
      </w:r>
      <w:r w:rsidDel="00000000" w:rsidR="00000000" w:rsidRPr="00000000">
        <w:rPr>
          <w:rFonts w:ascii="Roboto" w:cs="Roboto" w:eastAsia="Roboto" w:hAnsi="Roboto"/>
          <w:sz w:val="23"/>
          <w:szCs w:val="23"/>
          <w:highlight w:val="white"/>
          <w:rtl w:val="0"/>
        </w:rPr>
        <w:t xml:space="preserve">.</w:t>
      </w:r>
    </w:p>
    <w:p w:rsidR="00000000" w:rsidDel="00000000" w:rsidP="00000000" w:rsidRDefault="00000000" w:rsidRPr="00000000" w14:paraId="0000001E">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1F">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20">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In recent years, Islamic theology has had to confront many challenges, one of the more prominent being the need to defend itself against the accusation that Islam nurtures terrorism. While it is undeniable that the works of both Ibn Taymiyyah and Muhammad al-Wahhab have been cited frequently in recent times in support of militant jihadist groups, (such as Al-Muhajiroun), the context in which these views were written must be considered. Ibn Taymiyyah in particular, placed emphasis on the declaration of jihad on alien forces, as a direct result of his circumstances, as Syria was under threat of invasion by the Moguls. Additionally, many Muslims have argued that contemporary Islam, consonant with its classical theology, offers a transcultural call to humanity to follow a God-centred vision of health, peace and harmony, and argues that the similarities between Christianity and Islam are prominent with regards to their acknowledgements about prophecy, and the notion of love and service</w:t>
      </w:r>
      <w:r w:rsidDel="00000000" w:rsidR="00000000" w:rsidRPr="00000000">
        <w:rPr>
          <w:rFonts w:ascii="Roboto" w:cs="Roboto" w:eastAsia="Roboto" w:hAnsi="Roboto"/>
          <w:sz w:val="23"/>
          <w:szCs w:val="23"/>
          <w:highlight w:val="white"/>
          <w:vertAlign w:val="superscript"/>
        </w:rPr>
        <w:footnoteReference w:customMarkFollows="0" w:id="15"/>
      </w:r>
      <w:r w:rsidDel="00000000" w:rsidR="00000000" w:rsidRPr="00000000">
        <w:rPr>
          <w:rFonts w:ascii="Roboto" w:cs="Roboto" w:eastAsia="Roboto" w:hAnsi="Roboto"/>
          <w:sz w:val="23"/>
          <w:szCs w:val="23"/>
          <w:highlight w:val="white"/>
          <w:rtl w:val="0"/>
        </w:rPr>
        <w:t xml:space="preserve">.</w:t>
      </w:r>
    </w:p>
    <w:p w:rsidR="00000000" w:rsidDel="00000000" w:rsidP="00000000" w:rsidRDefault="00000000" w:rsidRPr="00000000" w14:paraId="00000021">
      <w:pPr>
        <w:rPr>
          <w:rFonts w:ascii="Roboto" w:cs="Roboto" w:eastAsia="Roboto" w:hAnsi="Roboto"/>
          <w:sz w:val="23"/>
          <w:szCs w:val="23"/>
          <w:highlight w:val="white"/>
        </w:rPr>
      </w:pPr>
      <w:r w:rsidDel="00000000" w:rsidR="00000000" w:rsidRPr="00000000">
        <w:rPr>
          <w:rtl w:val="0"/>
        </w:rPr>
      </w:r>
    </w:p>
    <w:p w:rsidR="00000000" w:rsidDel="00000000" w:rsidP="00000000" w:rsidRDefault="00000000" w:rsidRPr="00000000" w14:paraId="00000022">
      <w:pPr>
        <w:rPr>
          <w:rFonts w:ascii="Roboto" w:cs="Roboto" w:eastAsia="Roboto" w:hAnsi="Roboto"/>
          <w:sz w:val="23"/>
          <w:szCs w:val="23"/>
          <w:highlight w:val="white"/>
        </w:rPr>
      </w:pPr>
      <w:r w:rsidDel="00000000" w:rsidR="00000000" w:rsidRPr="00000000">
        <w:rPr>
          <w:rFonts w:ascii="Roboto" w:cs="Roboto" w:eastAsia="Roboto" w:hAnsi="Roboto"/>
          <w:sz w:val="23"/>
          <w:szCs w:val="23"/>
          <w:highlight w:val="white"/>
          <w:rtl w:val="0"/>
        </w:rPr>
        <w:t xml:space="preserve">In conclusion, the discipline of Islamic theology, cannot be directly compared to that of Christianity, largely due to the structural differences, with Islam having two revealed texts (the Qur’an and the Sunna). There is also much contention and debate surrounding the approach one should take to the texts, whether it is approaching the text in a literal way in order to minimize innovation (bid’a), or through utilizing ijtihad in order to further interpret and make sense of  the Sunna. </w:t>
      </w:r>
    </w:p>
    <w:p w:rsidR="00000000" w:rsidDel="00000000" w:rsidP="00000000" w:rsidRDefault="00000000" w:rsidRPr="00000000" w14:paraId="00000023">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4">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5">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6">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7">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8">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9">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A">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B">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C">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D">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E">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2F">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0">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1">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2">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3">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4">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5">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6">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7">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8">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9">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3A">
      <w:pPr>
        <w:rPr>
          <w:rFonts w:ascii="Roboto" w:cs="Roboto" w:eastAsia="Roboto" w:hAnsi="Roboto"/>
          <w:b w:val="1"/>
          <w:color w:val="373a3c"/>
          <w:sz w:val="28"/>
          <w:szCs w:val="28"/>
          <w:highlight w:val="white"/>
          <w:u w:val="single"/>
        </w:rPr>
      </w:pPr>
      <w:r w:rsidDel="00000000" w:rsidR="00000000" w:rsidRPr="00000000">
        <w:rPr>
          <w:rFonts w:ascii="Roboto" w:cs="Roboto" w:eastAsia="Roboto" w:hAnsi="Roboto"/>
          <w:b w:val="1"/>
          <w:color w:val="373a3c"/>
          <w:sz w:val="28"/>
          <w:szCs w:val="28"/>
          <w:highlight w:val="white"/>
          <w:u w:val="single"/>
          <w:rtl w:val="0"/>
        </w:rPr>
        <w:t xml:space="preserve">Bibliography</w:t>
      </w:r>
    </w:p>
    <w:p w:rsidR="00000000" w:rsidDel="00000000" w:rsidP="00000000" w:rsidRDefault="00000000" w:rsidRPr="00000000" w14:paraId="0000003B">
      <w:pPr>
        <w:rPr>
          <w:rFonts w:ascii="Roboto" w:cs="Roboto" w:eastAsia="Roboto" w:hAnsi="Roboto"/>
          <w:color w:val="373a3c"/>
          <w:sz w:val="28"/>
          <w:szCs w:val="28"/>
          <w:highlight w:val="white"/>
        </w:rPr>
      </w:pPr>
      <w:r w:rsidDel="00000000" w:rsidR="00000000" w:rsidRPr="00000000">
        <w:rPr>
          <w:rFonts w:ascii="Roboto" w:cs="Roboto" w:eastAsia="Roboto" w:hAnsi="Roboto"/>
          <w:color w:val="373a3c"/>
          <w:sz w:val="28"/>
          <w:szCs w:val="28"/>
          <w:highlight w:val="white"/>
          <w:rtl w:val="0"/>
        </w:rPr>
        <w:t xml:space="preserve"> </w:t>
      </w:r>
    </w:p>
    <w:p w:rsidR="00000000" w:rsidDel="00000000" w:rsidP="00000000" w:rsidRDefault="00000000" w:rsidRPr="00000000" w14:paraId="0000003C">
      <w:pPr>
        <w:rPr>
          <w:rFonts w:ascii="Roboto" w:cs="Roboto" w:eastAsia="Roboto" w:hAnsi="Roboto"/>
          <w:b w:val="1"/>
          <w:color w:val="373a3c"/>
          <w:sz w:val="24"/>
          <w:szCs w:val="24"/>
          <w:highlight w:val="white"/>
          <w:u w:val="single"/>
        </w:rPr>
      </w:pPr>
      <w:r w:rsidDel="00000000" w:rsidR="00000000" w:rsidRPr="00000000">
        <w:rPr>
          <w:rFonts w:ascii="Roboto" w:cs="Roboto" w:eastAsia="Roboto" w:hAnsi="Roboto"/>
          <w:b w:val="1"/>
          <w:color w:val="373a3c"/>
          <w:sz w:val="24"/>
          <w:szCs w:val="24"/>
          <w:highlight w:val="white"/>
          <w:u w:val="single"/>
          <w:rtl w:val="0"/>
        </w:rPr>
        <w:t xml:space="preserve">Books</w:t>
      </w:r>
    </w:p>
    <w:p w:rsidR="00000000" w:rsidDel="00000000" w:rsidP="00000000" w:rsidRDefault="00000000" w:rsidRPr="00000000" w14:paraId="0000003D">
      <w:pPr>
        <w:rPr>
          <w:rFonts w:ascii="Roboto" w:cs="Roboto" w:eastAsia="Roboto" w:hAnsi="Roboto"/>
          <w:b w:val="1"/>
          <w:color w:val="373a3c"/>
          <w:sz w:val="24"/>
          <w:szCs w:val="24"/>
          <w:highlight w:val="white"/>
          <w:u w:val="single"/>
        </w:rPr>
      </w:pPr>
      <w:r w:rsidDel="00000000" w:rsidR="00000000" w:rsidRPr="00000000">
        <w:rPr>
          <w:rtl w:val="0"/>
        </w:rPr>
      </w:r>
    </w:p>
    <w:p w:rsidR="00000000" w:rsidDel="00000000" w:rsidP="00000000" w:rsidRDefault="00000000" w:rsidRPr="00000000" w14:paraId="0000003E">
      <w:pPr>
        <w:rPr>
          <w:rFonts w:ascii="Roboto" w:cs="Roboto" w:eastAsia="Roboto" w:hAnsi="Roboto"/>
          <w:color w:val="373a3c"/>
          <w:highlight w:val="white"/>
        </w:rPr>
      </w:pPr>
      <w:r w:rsidDel="00000000" w:rsidR="00000000" w:rsidRPr="00000000">
        <w:rPr>
          <w:rFonts w:ascii="Roboto" w:cs="Roboto" w:eastAsia="Roboto" w:hAnsi="Roboto"/>
          <w:color w:val="373a3c"/>
          <w:highlight w:val="white"/>
          <w:rtl w:val="0"/>
        </w:rPr>
        <w:t xml:space="preserve">Esposito, John L. </w:t>
      </w:r>
      <w:r w:rsidDel="00000000" w:rsidR="00000000" w:rsidRPr="00000000">
        <w:rPr>
          <w:rFonts w:ascii="Roboto" w:cs="Roboto" w:eastAsia="Roboto" w:hAnsi="Roboto"/>
          <w:i w:val="1"/>
          <w:color w:val="373a3c"/>
          <w:highlight w:val="white"/>
          <w:rtl w:val="0"/>
        </w:rPr>
        <w:t xml:space="preserve">Islam: The Straight Path </w:t>
      </w:r>
      <w:r w:rsidDel="00000000" w:rsidR="00000000" w:rsidRPr="00000000">
        <w:rPr>
          <w:rFonts w:ascii="Roboto" w:cs="Roboto" w:eastAsia="Roboto" w:hAnsi="Roboto"/>
          <w:color w:val="373a3c"/>
          <w:highlight w:val="white"/>
          <w:rtl w:val="0"/>
        </w:rPr>
        <w:t xml:space="preserve">3rd edition Oxford University Press, New York, USA (1998)</w:t>
      </w:r>
    </w:p>
    <w:p w:rsidR="00000000" w:rsidDel="00000000" w:rsidP="00000000" w:rsidRDefault="00000000" w:rsidRPr="00000000" w14:paraId="0000003F">
      <w:pPr>
        <w:rPr>
          <w:rFonts w:ascii="Roboto" w:cs="Roboto" w:eastAsia="Roboto" w:hAnsi="Roboto"/>
          <w:b w:val="1"/>
          <w:color w:val="373a3c"/>
          <w:sz w:val="24"/>
          <w:szCs w:val="24"/>
          <w:highlight w:val="white"/>
          <w:u w:val="single"/>
        </w:rPr>
      </w:pPr>
      <w:r w:rsidDel="00000000" w:rsidR="00000000" w:rsidRPr="00000000">
        <w:rPr>
          <w:rtl w:val="0"/>
        </w:rPr>
      </w:r>
    </w:p>
    <w:p w:rsidR="00000000" w:rsidDel="00000000" w:rsidP="00000000" w:rsidRDefault="00000000" w:rsidRPr="00000000" w14:paraId="00000040">
      <w:pPr>
        <w:rPr>
          <w:rFonts w:ascii="Roboto" w:cs="Roboto" w:eastAsia="Roboto" w:hAnsi="Roboto"/>
          <w:color w:val="373a3c"/>
          <w:highlight w:val="white"/>
        </w:rPr>
      </w:pPr>
      <w:r w:rsidDel="00000000" w:rsidR="00000000" w:rsidRPr="00000000">
        <w:rPr>
          <w:rFonts w:ascii="Roboto" w:cs="Roboto" w:eastAsia="Roboto" w:hAnsi="Roboto"/>
          <w:color w:val="373a3c"/>
          <w:highlight w:val="white"/>
          <w:rtl w:val="0"/>
        </w:rPr>
        <w:t xml:space="preserve">Goldziher, Ignaz </w:t>
      </w:r>
      <w:r w:rsidDel="00000000" w:rsidR="00000000" w:rsidRPr="00000000">
        <w:rPr>
          <w:rFonts w:ascii="Roboto" w:cs="Roboto" w:eastAsia="Roboto" w:hAnsi="Roboto"/>
          <w:i w:val="1"/>
          <w:color w:val="373a3c"/>
          <w:highlight w:val="white"/>
          <w:rtl w:val="0"/>
        </w:rPr>
        <w:t xml:space="preserve">Introduction Theology and Law</w:t>
      </w:r>
      <w:r w:rsidDel="00000000" w:rsidR="00000000" w:rsidRPr="00000000">
        <w:rPr>
          <w:rFonts w:ascii="Roboto" w:cs="Roboto" w:eastAsia="Roboto" w:hAnsi="Roboto"/>
          <w:color w:val="373a3c"/>
          <w:highlight w:val="white"/>
          <w:rtl w:val="0"/>
        </w:rPr>
        <w:t xml:space="preserve"> Princeton University Press, Guildford, UK (1981)</w:t>
      </w:r>
    </w:p>
    <w:p w:rsidR="00000000" w:rsidDel="00000000" w:rsidP="00000000" w:rsidRDefault="00000000" w:rsidRPr="00000000" w14:paraId="00000041">
      <w:pPr>
        <w:rPr>
          <w:rFonts w:ascii="Roboto" w:cs="Roboto" w:eastAsia="Roboto" w:hAnsi="Roboto"/>
          <w:color w:val="373a3c"/>
          <w:highlight w:val="white"/>
        </w:rPr>
      </w:pPr>
      <w:r w:rsidDel="00000000" w:rsidR="00000000" w:rsidRPr="00000000">
        <w:rPr>
          <w:rtl w:val="0"/>
        </w:rPr>
      </w:r>
    </w:p>
    <w:p w:rsidR="00000000" w:rsidDel="00000000" w:rsidP="00000000" w:rsidRDefault="00000000" w:rsidRPr="00000000" w14:paraId="00000042">
      <w:pPr>
        <w:rPr>
          <w:rFonts w:ascii="Roboto" w:cs="Roboto" w:eastAsia="Roboto" w:hAnsi="Roboto"/>
          <w:color w:val="373a3c"/>
          <w:highlight w:val="white"/>
        </w:rPr>
      </w:pPr>
      <w:r w:rsidDel="00000000" w:rsidR="00000000" w:rsidRPr="00000000">
        <w:rPr>
          <w:rFonts w:ascii="Roboto" w:cs="Roboto" w:eastAsia="Roboto" w:hAnsi="Roboto"/>
          <w:color w:val="373a3c"/>
          <w:highlight w:val="white"/>
          <w:rtl w:val="0"/>
        </w:rPr>
        <w:t xml:space="preserve">Kenney,  Jeffrey T and Ebrahim Moosa </w:t>
      </w:r>
      <w:r w:rsidDel="00000000" w:rsidR="00000000" w:rsidRPr="00000000">
        <w:rPr>
          <w:rFonts w:ascii="Roboto" w:cs="Roboto" w:eastAsia="Roboto" w:hAnsi="Roboto"/>
          <w:i w:val="1"/>
          <w:color w:val="373a3c"/>
          <w:highlight w:val="white"/>
          <w:rtl w:val="0"/>
        </w:rPr>
        <w:t xml:space="preserve">Islam in the Modern World </w:t>
      </w:r>
      <w:r w:rsidDel="00000000" w:rsidR="00000000" w:rsidRPr="00000000">
        <w:rPr>
          <w:rFonts w:ascii="Roboto" w:cs="Roboto" w:eastAsia="Roboto" w:hAnsi="Roboto"/>
          <w:color w:val="373a3c"/>
          <w:highlight w:val="white"/>
          <w:rtl w:val="0"/>
        </w:rPr>
        <w:t xml:space="preserve">Routledge, Oxfordshire, UK, (2014)</w:t>
      </w:r>
    </w:p>
    <w:p w:rsidR="00000000" w:rsidDel="00000000" w:rsidP="00000000" w:rsidRDefault="00000000" w:rsidRPr="00000000" w14:paraId="00000043">
      <w:pPr>
        <w:rPr>
          <w:rFonts w:ascii="Roboto" w:cs="Roboto" w:eastAsia="Roboto" w:hAnsi="Roboto"/>
          <w:color w:val="373a3c"/>
          <w:highlight w:val="white"/>
        </w:rPr>
      </w:pPr>
      <w:r w:rsidDel="00000000" w:rsidR="00000000" w:rsidRPr="00000000">
        <w:rPr>
          <w:rtl w:val="0"/>
        </w:rPr>
      </w:r>
    </w:p>
    <w:p w:rsidR="00000000" w:rsidDel="00000000" w:rsidP="00000000" w:rsidRDefault="00000000" w:rsidRPr="00000000" w14:paraId="00000044">
      <w:pPr>
        <w:rPr>
          <w:rFonts w:ascii="Roboto" w:cs="Roboto" w:eastAsia="Roboto" w:hAnsi="Roboto"/>
          <w:color w:val="373a3c"/>
          <w:highlight w:val="white"/>
        </w:rPr>
      </w:pPr>
      <w:r w:rsidDel="00000000" w:rsidR="00000000" w:rsidRPr="00000000">
        <w:rPr>
          <w:rFonts w:ascii="Roboto" w:cs="Roboto" w:eastAsia="Roboto" w:hAnsi="Roboto"/>
          <w:color w:val="373a3c"/>
          <w:highlight w:val="white"/>
          <w:rtl w:val="0"/>
        </w:rPr>
        <w:t xml:space="preserve">Nagel, Tilman </w:t>
      </w:r>
      <w:r w:rsidDel="00000000" w:rsidR="00000000" w:rsidRPr="00000000">
        <w:rPr>
          <w:rFonts w:ascii="Roboto" w:cs="Roboto" w:eastAsia="Roboto" w:hAnsi="Roboto"/>
          <w:i w:val="1"/>
          <w:color w:val="373a3c"/>
          <w:highlight w:val="white"/>
          <w:rtl w:val="0"/>
        </w:rPr>
        <w:t xml:space="preserve">The History of Islamic Theology: From Muhammad to the Present </w:t>
      </w:r>
      <w:r w:rsidDel="00000000" w:rsidR="00000000" w:rsidRPr="00000000">
        <w:rPr>
          <w:rFonts w:ascii="Roboto" w:cs="Roboto" w:eastAsia="Roboto" w:hAnsi="Roboto"/>
          <w:color w:val="373a3c"/>
          <w:highlight w:val="white"/>
          <w:rtl w:val="0"/>
        </w:rPr>
        <w:t xml:space="preserve">Markus Wiener Publishers (2000)</w:t>
      </w:r>
    </w:p>
    <w:p w:rsidR="00000000" w:rsidDel="00000000" w:rsidP="00000000" w:rsidRDefault="00000000" w:rsidRPr="00000000" w14:paraId="00000045">
      <w:pPr>
        <w:rPr>
          <w:rFonts w:ascii="Roboto" w:cs="Roboto" w:eastAsia="Roboto" w:hAnsi="Roboto"/>
          <w:color w:val="373a3c"/>
          <w:highlight w:val="white"/>
        </w:rPr>
      </w:pPr>
      <w:r w:rsidDel="00000000" w:rsidR="00000000" w:rsidRPr="00000000">
        <w:rPr>
          <w:rtl w:val="0"/>
        </w:rPr>
      </w:r>
    </w:p>
    <w:p w:rsidR="00000000" w:rsidDel="00000000" w:rsidP="00000000" w:rsidRDefault="00000000" w:rsidRPr="00000000" w14:paraId="00000046">
      <w:pPr>
        <w:rPr>
          <w:rFonts w:ascii="Roboto" w:cs="Roboto" w:eastAsia="Roboto" w:hAnsi="Roboto"/>
          <w:b w:val="1"/>
          <w:color w:val="373a3c"/>
          <w:highlight w:val="white"/>
          <w:u w:val="single"/>
        </w:rPr>
      </w:pPr>
      <w:r w:rsidDel="00000000" w:rsidR="00000000" w:rsidRPr="00000000">
        <w:rPr>
          <w:rFonts w:ascii="Roboto" w:cs="Roboto" w:eastAsia="Roboto" w:hAnsi="Roboto"/>
          <w:b w:val="1"/>
          <w:color w:val="373a3c"/>
          <w:highlight w:val="white"/>
          <w:u w:val="single"/>
          <w:rtl w:val="0"/>
        </w:rPr>
        <w:t xml:space="preserve">Online Sources</w:t>
      </w:r>
    </w:p>
    <w:p w:rsidR="00000000" w:rsidDel="00000000" w:rsidP="00000000" w:rsidRDefault="00000000" w:rsidRPr="00000000" w14:paraId="00000047">
      <w:pPr>
        <w:rPr>
          <w:rFonts w:ascii="Roboto" w:cs="Roboto" w:eastAsia="Roboto" w:hAnsi="Roboto"/>
          <w:b w:val="1"/>
          <w:color w:val="373a3c"/>
          <w:highlight w:val="white"/>
          <w:u w:val="single"/>
        </w:rPr>
      </w:pPr>
      <w:r w:rsidDel="00000000" w:rsidR="00000000" w:rsidRPr="00000000">
        <w:rPr>
          <w:rtl w:val="0"/>
        </w:rPr>
      </w:r>
    </w:p>
    <w:p w:rsidR="00000000" w:rsidDel="00000000" w:rsidP="00000000" w:rsidRDefault="00000000" w:rsidRPr="00000000" w14:paraId="00000048">
      <w:pPr>
        <w:rPr>
          <w:rFonts w:ascii="Roboto" w:cs="Roboto" w:eastAsia="Roboto" w:hAnsi="Roboto"/>
          <w:color w:val="373a3c"/>
          <w:highlight w:val="white"/>
        </w:rPr>
      </w:pPr>
      <w:r w:rsidDel="00000000" w:rsidR="00000000" w:rsidRPr="00000000">
        <w:rPr>
          <w:rFonts w:ascii="Roboto" w:cs="Roboto" w:eastAsia="Roboto" w:hAnsi="Roboto"/>
          <w:color w:val="373a3c"/>
          <w:highlight w:val="white"/>
          <w:rtl w:val="0"/>
        </w:rPr>
        <w:t xml:space="preserve">Al-Rasheed, Madawi  Beyond </w:t>
      </w:r>
      <w:r w:rsidDel="00000000" w:rsidR="00000000" w:rsidRPr="00000000">
        <w:rPr>
          <w:rFonts w:ascii="Roboto" w:cs="Roboto" w:eastAsia="Roboto" w:hAnsi="Roboto"/>
          <w:i w:val="1"/>
          <w:color w:val="373a3c"/>
          <w:highlight w:val="white"/>
          <w:rtl w:val="0"/>
        </w:rPr>
        <w:t xml:space="preserve">Tradition and Modernity: Dilemmas of Transformation in Saudi Arabia published:14th May 2018</w:t>
        <w:br w:type="textWrapping"/>
        <w:t xml:space="preserve">Date Accessed:08/01/2019</w:t>
        <w:br w:type="textWrapping"/>
      </w:r>
      <w:hyperlink r:id="rId7">
        <w:r w:rsidDel="00000000" w:rsidR="00000000" w:rsidRPr="00000000">
          <w:rPr>
            <w:rFonts w:ascii="Roboto" w:cs="Roboto" w:eastAsia="Roboto" w:hAnsi="Roboto"/>
            <w:color w:val="1155cc"/>
            <w:highlight w:val="white"/>
            <w:u w:val="single"/>
            <w:rtl w:val="0"/>
          </w:rPr>
          <w:t xml:space="preserve">http://studies.aljazeera.net/en/reports/2018/05/tradition-modernity-dilemmas-transformation-saudi-arabia-180514084243670.html</w:t>
        </w:r>
      </w:hyperlink>
      <w:r w:rsidDel="00000000" w:rsidR="00000000" w:rsidRPr="00000000">
        <w:rPr>
          <w:rFonts w:ascii="Roboto" w:cs="Roboto" w:eastAsia="Roboto" w:hAnsi="Roboto"/>
          <w:color w:val="373a3c"/>
          <w:highlight w:val="white"/>
          <w:rtl w:val="0"/>
        </w:rPr>
        <w:t xml:space="preserve"> </w:t>
      </w:r>
    </w:p>
    <w:p w:rsidR="00000000" w:rsidDel="00000000" w:rsidP="00000000" w:rsidRDefault="00000000" w:rsidRPr="00000000" w14:paraId="00000049">
      <w:pPr>
        <w:rPr/>
      </w:pPr>
      <w:r w:rsidDel="00000000" w:rsidR="00000000" w:rsidRPr="00000000">
        <w:rPr>
          <w:rFonts w:ascii="Roboto" w:cs="Roboto" w:eastAsia="Roboto" w:hAnsi="Roboto"/>
          <w:color w:val="373a3c"/>
          <w:highlight w:val="white"/>
          <w:rtl w:val="0"/>
        </w:rPr>
        <w:br w:type="textWrapping"/>
      </w:r>
      <w:r w:rsidDel="00000000" w:rsidR="00000000" w:rsidRPr="00000000">
        <w:rPr>
          <w:rtl w:val="0"/>
        </w:rPr>
        <w:t xml:space="preserve">Esposito, John L. "Ibn Hanbal, Ahmad." In </w:t>
      </w:r>
      <w:r w:rsidDel="00000000" w:rsidR="00000000" w:rsidRPr="00000000">
        <w:rPr>
          <w:i w:val="1"/>
          <w:rtl w:val="0"/>
        </w:rPr>
        <w:t xml:space="preserve">The Oxford Dictionary of Islam</w:t>
      </w:r>
      <w:r w:rsidDel="00000000" w:rsidR="00000000" w:rsidRPr="00000000">
        <w:rPr>
          <w:rtl w:val="0"/>
        </w:rPr>
        <w:t xml:space="preserve">,</w:t>
      </w:r>
      <w:r w:rsidDel="00000000" w:rsidR="00000000" w:rsidRPr="00000000">
        <w:rPr>
          <w:i w:val="1"/>
          <w:rtl w:val="0"/>
        </w:rPr>
        <w:t xml:space="preserve">Oxford Islamic Studies Online</w:t>
      </w:r>
      <w:r w:rsidDel="00000000" w:rsidR="00000000" w:rsidRPr="00000000">
        <w:rPr>
          <w:rtl w:val="0"/>
        </w:rPr>
        <w:t xml:space="preserve">.</w:t>
      </w:r>
    </w:p>
    <w:p w:rsidR="00000000" w:rsidDel="00000000" w:rsidP="00000000" w:rsidRDefault="00000000" w:rsidRPr="00000000" w14:paraId="0000004A">
      <w:pPr>
        <w:spacing w:line="240" w:lineRule="auto"/>
        <w:rPr/>
      </w:pPr>
      <w:r w:rsidDel="00000000" w:rsidR="00000000" w:rsidRPr="00000000">
        <w:rPr>
          <w:rtl w:val="0"/>
        </w:rPr>
        <w:t xml:space="preserve">Date Accessed: 09/01/2019</w:t>
      </w:r>
    </w:p>
    <w:p w:rsidR="00000000" w:rsidDel="00000000" w:rsidP="00000000" w:rsidRDefault="00000000" w:rsidRPr="00000000" w14:paraId="0000004B">
      <w:pPr>
        <w:spacing w:line="240" w:lineRule="auto"/>
        <w:rPr>
          <w:rFonts w:ascii="Roboto" w:cs="Roboto" w:eastAsia="Roboto" w:hAnsi="Roboto"/>
          <w:color w:val="373a3c"/>
        </w:rPr>
      </w:pPr>
      <w:hyperlink r:id="rId8">
        <w:r w:rsidDel="00000000" w:rsidR="00000000" w:rsidRPr="00000000">
          <w:rPr>
            <w:color w:val="1155cc"/>
            <w:u w:val="single"/>
            <w:shd w:fill="f6f4f0" w:val="clear"/>
            <w:rtl w:val="0"/>
          </w:rPr>
          <w:t xml:space="preserve">http://www.oxfordislamicstudies.com.ezproxy.uwtsd.ac.uk/article/opr/t125/e939?_hi=0&amp;_pos=1</w:t>
        </w:r>
      </w:hyperlink>
      <w:r w:rsidDel="00000000" w:rsidR="00000000" w:rsidRPr="00000000">
        <w:rPr>
          <w:shd w:fill="f6f4f0" w:val="clear"/>
          <w:rtl w:val="0"/>
        </w:rPr>
        <w:t xml:space="preserve"> </w:t>
      </w:r>
      <w:r w:rsidDel="00000000" w:rsidR="00000000" w:rsidRPr="00000000">
        <w:rPr>
          <w:rtl w:val="0"/>
        </w:rPr>
      </w:r>
    </w:p>
    <w:p w:rsidR="00000000" w:rsidDel="00000000" w:rsidP="00000000" w:rsidRDefault="00000000" w:rsidRPr="00000000" w14:paraId="0000004C">
      <w:pPr>
        <w:rPr>
          <w:rFonts w:ascii="Roboto" w:cs="Roboto" w:eastAsia="Roboto" w:hAnsi="Roboto"/>
          <w:color w:val="373a3c"/>
        </w:rPr>
      </w:pPr>
      <w:r w:rsidDel="00000000" w:rsidR="00000000" w:rsidRPr="00000000">
        <w:rPr>
          <w:rtl w:val="0"/>
        </w:rPr>
      </w:r>
    </w:p>
    <w:p w:rsidR="00000000" w:rsidDel="00000000" w:rsidP="00000000" w:rsidRDefault="00000000" w:rsidRPr="00000000" w14:paraId="0000004D">
      <w:pPr>
        <w:rPr>
          <w:i w:val="1"/>
          <w:color w:val="373a3c"/>
        </w:rPr>
      </w:pPr>
      <w:r w:rsidDel="00000000" w:rsidR="00000000" w:rsidRPr="00000000">
        <w:rPr>
          <w:color w:val="373a3c"/>
          <w:rtl w:val="0"/>
        </w:rPr>
        <w:t xml:space="preserve">Morewedge, Parviz . ‘Theology’ In </w:t>
      </w:r>
      <w:r w:rsidDel="00000000" w:rsidR="00000000" w:rsidRPr="00000000">
        <w:rPr>
          <w:i w:val="1"/>
          <w:color w:val="373a3c"/>
          <w:rtl w:val="0"/>
        </w:rPr>
        <w:t xml:space="preserve">The Oxford Encyclopedia of the Islamic World</w:t>
      </w:r>
      <w:r w:rsidDel="00000000" w:rsidR="00000000" w:rsidRPr="00000000">
        <w:rPr>
          <w:color w:val="373a3c"/>
          <w:rtl w:val="0"/>
        </w:rPr>
        <w:t xml:space="preserve">.</w:t>
      </w:r>
      <w:r w:rsidDel="00000000" w:rsidR="00000000" w:rsidRPr="00000000">
        <w:rPr>
          <w:i w:val="1"/>
          <w:color w:val="373a3c"/>
          <w:rtl w:val="0"/>
        </w:rPr>
        <w:t xml:space="preserve">Oxford Islamic Studies Online </w:t>
      </w:r>
    </w:p>
    <w:p w:rsidR="00000000" w:rsidDel="00000000" w:rsidP="00000000" w:rsidRDefault="00000000" w:rsidRPr="00000000" w14:paraId="0000004E">
      <w:pPr>
        <w:rPr>
          <w:i w:val="1"/>
          <w:color w:val="373a3c"/>
          <w:shd w:fill="f6f4f0" w:val="clear"/>
        </w:rPr>
      </w:pPr>
      <w:r w:rsidDel="00000000" w:rsidR="00000000" w:rsidRPr="00000000">
        <w:rPr>
          <w:color w:val="373a3c"/>
          <w:rtl w:val="0"/>
        </w:rPr>
        <w:t xml:space="preserve">Date Accessed: 09/01/2019</w:t>
        <w:br w:type="textWrapping"/>
      </w:r>
      <w:hyperlink r:id="rId9">
        <w:r w:rsidDel="00000000" w:rsidR="00000000" w:rsidRPr="00000000">
          <w:rPr>
            <w:color w:val="1155cc"/>
            <w:u w:val="single"/>
            <w:shd w:fill="f6f4f0" w:val="clear"/>
            <w:rtl w:val="0"/>
          </w:rPr>
          <w:t xml:space="preserve">http://www.oxfordislamicstudies.com.ezproxy.uwtsd.ac.uk/article/opr/t236/e0799?_hi=1&amp;_pos=1#match</w:t>
        </w:r>
      </w:hyperlink>
      <w:r w:rsidDel="00000000" w:rsidR="00000000" w:rsidRPr="00000000">
        <w:rPr>
          <w:color w:val="373a3c"/>
          <w:shd w:fill="f6f4f0" w:val="clear"/>
          <w:rtl w:val="0"/>
        </w:rPr>
        <w:t xml:space="preserve"> </w:t>
      </w:r>
      <w:r w:rsidDel="00000000" w:rsidR="00000000" w:rsidRPr="00000000">
        <w:rPr>
          <w:i w:val="1"/>
          <w:color w:val="373a3c"/>
          <w:shd w:fill="f6f4f0" w:val="clear"/>
          <w:rtl w:val="0"/>
        </w:rPr>
        <w:br w:type="textWrapping"/>
      </w:r>
    </w:p>
    <w:p w:rsidR="00000000" w:rsidDel="00000000" w:rsidP="00000000" w:rsidRDefault="00000000" w:rsidRPr="00000000" w14:paraId="0000004F">
      <w:pPr>
        <w:spacing w:line="240" w:lineRule="auto"/>
        <w:rPr>
          <w:color w:val="373a3c"/>
          <w:shd w:fill="f6f4f0" w:val="clear"/>
        </w:rPr>
      </w:pPr>
      <w:r w:rsidDel="00000000" w:rsidR="00000000" w:rsidRPr="00000000">
        <w:rPr>
          <w:rtl w:val="0"/>
        </w:rPr>
        <w:t xml:space="preserve">Oxford Dictionary Online: </w:t>
      </w:r>
      <w:r w:rsidDel="00000000" w:rsidR="00000000" w:rsidRPr="00000000">
        <w:rPr>
          <w:i w:val="1"/>
          <w:rtl w:val="0"/>
        </w:rPr>
        <w:t xml:space="preserve">Theology</w:t>
        <w:br w:type="textWrapping"/>
      </w:r>
      <w:hyperlink r:id="rId10">
        <w:r w:rsidDel="00000000" w:rsidR="00000000" w:rsidRPr="00000000">
          <w:rPr>
            <w:i w:val="1"/>
            <w:color w:val="1155cc"/>
            <w:u w:val="single"/>
            <w:rtl w:val="0"/>
          </w:rPr>
          <w:t xml:space="preserve">https://en.oxforddictionaries.com/definition/theology</w:t>
        </w:r>
      </w:hyperlink>
      <w:r w:rsidDel="00000000" w:rsidR="00000000" w:rsidRPr="00000000">
        <w:rPr>
          <w:i w:val="1"/>
          <w:rtl w:val="0"/>
        </w:rPr>
        <w:t xml:space="preserve"> </w:t>
      </w:r>
      <w:r w:rsidDel="00000000" w:rsidR="00000000" w:rsidRPr="00000000">
        <w:rPr>
          <w:rtl w:val="0"/>
        </w:rPr>
      </w:r>
    </w:p>
    <w:p w:rsidR="00000000" w:rsidDel="00000000" w:rsidP="00000000" w:rsidRDefault="00000000" w:rsidRPr="00000000" w14:paraId="00000050">
      <w:pPr>
        <w:rPr>
          <w:rFonts w:ascii="Roboto" w:cs="Roboto" w:eastAsia="Roboto" w:hAnsi="Roboto"/>
          <w:color w:val="373a3c"/>
          <w:highlight w:val="white"/>
        </w:rPr>
      </w:pPr>
      <w:r w:rsidDel="00000000" w:rsidR="00000000" w:rsidRPr="00000000">
        <w:rPr>
          <w:rtl w:val="0"/>
        </w:rPr>
      </w:r>
    </w:p>
    <w:p w:rsidR="00000000" w:rsidDel="00000000" w:rsidP="00000000" w:rsidRDefault="00000000" w:rsidRPr="00000000" w14:paraId="00000051">
      <w:pPr>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52">
      <w:pPr>
        <w:rPr>
          <w:rFonts w:ascii="Roboto" w:cs="Roboto" w:eastAsia="Roboto" w:hAnsi="Roboto"/>
          <w:color w:val="373a3c"/>
          <w:sz w:val="23"/>
          <w:szCs w:val="23"/>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5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Badham,Paul ‘</w:t>
      </w:r>
      <w:r w:rsidDel="00000000" w:rsidR="00000000" w:rsidRPr="00000000">
        <w:rPr>
          <w:sz w:val="18"/>
          <w:szCs w:val="18"/>
          <w:rtl w:val="0"/>
        </w:rPr>
        <w:t xml:space="preserve">What is Theology?’ in </w:t>
      </w:r>
      <w:r w:rsidDel="00000000" w:rsidR="00000000" w:rsidRPr="00000000">
        <w:rPr>
          <w:i w:val="1"/>
          <w:sz w:val="18"/>
          <w:szCs w:val="18"/>
          <w:rtl w:val="0"/>
        </w:rPr>
        <w:t xml:space="preserve">Theology Journal </w:t>
      </w:r>
      <w:r w:rsidDel="00000000" w:rsidR="00000000" w:rsidRPr="00000000">
        <w:rPr>
          <w:sz w:val="18"/>
          <w:szCs w:val="18"/>
          <w:rtl w:val="0"/>
        </w:rPr>
        <w:t xml:space="preserve">vol. 99 (1996) pg 101</w:t>
      </w:r>
    </w:p>
  </w:footnote>
  <w:footnote w:id="0">
    <w:p w:rsidR="00000000" w:rsidDel="00000000" w:rsidP="00000000" w:rsidRDefault="00000000" w:rsidRPr="00000000" w14:paraId="00000054">
      <w:pPr>
        <w:spacing w:line="240" w:lineRule="auto"/>
        <w:rPr>
          <w:i w:val="1"/>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Oxford Dictionary Online: </w:t>
      </w:r>
      <w:r w:rsidDel="00000000" w:rsidR="00000000" w:rsidRPr="00000000">
        <w:rPr>
          <w:i w:val="1"/>
          <w:sz w:val="18"/>
          <w:szCs w:val="18"/>
          <w:rtl w:val="0"/>
        </w:rPr>
        <w:t xml:space="preserve">Theology</w:t>
        <w:br w:type="textWrapping"/>
      </w:r>
      <w:hyperlink r:id="rId1">
        <w:r w:rsidDel="00000000" w:rsidR="00000000" w:rsidRPr="00000000">
          <w:rPr>
            <w:i w:val="1"/>
            <w:color w:val="1155cc"/>
            <w:sz w:val="18"/>
            <w:szCs w:val="18"/>
            <w:u w:val="single"/>
            <w:rtl w:val="0"/>
          </w:rPr>
          <w:t xml:space="preserve">https://en.oxforddictionaries.com/definition/theology</w:t>
        </w:r>
      </w:hyperlink>
      <w:r w:rsidDel="00000000" w:rsidR="00000000" w:rsidRPr="00000000">
        <w:rPr>
          <w:i w:val="1"/>
          <w:sz w:val="18"/>
          <w:szCs w:val="18"/>
          <w:rtl w:val="0"/>
        </w:rPr>
        <w:t xml:space="preserve"> </w:t>
      </w:r>
    </w:p>
  </w:footnote>
  <w:footnote w:id="3">
    <w:p w:rsidR="00000000" w:rsidDel="00000000" w:rsidP="00000000" w:rsidRDefault="00000000" w:rsidRPr="00000000" w14:paraId="00000055">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Esposito, John  </w:t>
      </w:r>
      <w:r w:rsidDel="00000000" w:rsidR="00000000" w:rsidRPr="00000000">
        <w:rPr>
          <w:i w:val="1"/>
          <w:sz w:val="18"/>
          <w:szCs w:val="18"/>
          <w:rtl w:val="0"/>
        </w:rPr>
        <w:t xml:space="preserve">Islam: The Straight Path </w:t>
      </w:r>
      <w:r w:rsidDel="00000000" w:rsidR="00000000" w:rsidRPr="00000000">
        <w:rPr>
          <w:sz w:val="18"/>
          <w:szCs w:val="18"/>
          <w:rtl w:val="0"/>
        </w:rPr>
        <w:t xml:space="preserve">3rd edition (1998)  pg 69 </w:t>
      </w:r>
    </w:p>
  </w:footnote>
  <w:footnote w:id="4">
    <w:p w:rsidR="00000000" w:rsidDel="00000000" w:rsidP="00000000" w:rsidRDefault="00000000" w:rsidRPr="00000000" w14:paraId="00000056">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Nagel, Tilman </w:t>
      </w:r>
      <w:r w:rsidDel="00000000" w:rsidR="00000000" w:rsidRPr="00000000">
        <w:rPr>
          <w:i w:val="1"/>
          <w:sz w:val="18"/>
          <w:szCs w:val="18"/>
          <w:rtl w:val="0"/>
        </w:rPr>
        <w:t xml:space="preserve">The History of Islamic Theology</w:t>
      </w:r>
      <w:r w:rsidDel="00000000" w:rsidR="00000000" w:rsidRPr="00000000">
        <w:rPr>
          <w:sz w:val="18"/>
          <w:szCs w:val="18"/>
          <w:rtl w:val="0"/>
        </w:rPr>
        <w:t xml:space="preserve"> (2000) pg.171</w:t>
      </w:r>
    </w:p>
  </w:footnote>
  <w:footnote w:id="5">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Brown, Jonathan “Traditions and Transformation” in </w:t>
      </w:r>
      <w:r w:rsidDel="00000000" w:rsidR="00000000" w:rsidRPr="00000000">
        <w:rPr>
          <w:i w:val="1"/>
          <w:sz w:val="18"/>
          <w:szCs w:val="18"/>
          <w:rtl w:val="0"/>
        </w:rPr>
        <w:t xml:space="preserve">Islam in the Modern World </w:t>
      </w:r>
      <w:r w:rsidDel="00000000" w:rsidR="00000000" w:rsidRPr="00000000">
        <w:rPr>
          <w:sz w:val="18"/>
          <w:szCs w:val="18"/>
          <w:rtl w:val="0"/>
        </w:rPr>
        <w:t xml:space="preserve">edited by</w:t>
      </w:r>
      <w:r w:rsidDel="00000000" w:rsidR="00000000" w:rsidRPr="00000000">
        <w:rPr>
          <w:i w:val="1"/>
          <w:sz w:val="18"/>
          <w:szCs w:val="18"/>
          <w:rtl w:val="0"/>
        </w:rPr>
        <w:t xml:space="preserve"> </w:t>
      </w:r>
      <w:r w:rsidDel="00000000" w:rsidR="00000000" w:rsidRPr="00000000">
        <w:rPr>
          <w:sz w:val="18"/>
          <w:szCs w:val="18"/>
          <w:rtl w:val="0"/>
        </w:rPr>
        <w:t xml:space="preserve">Jeffrey T. Kenney and Ebrahim Moosa</w:t>
      </w:r>
      <w:r w:rsidDel="00000000" w:rsidR="00000000" w:rsidRPr="00000000">
        <w:rPr>
          <w:sz w:val="18"/>
          <w:szCs w:val="18"/>
          <w:rtl w:val="0"/>
        </w:rPr>
        <w:t xml:space="preserve"> </w:t>
      </w:r>
      <w:r w:rsidDel="00000000" w:rsidR="00000000" w:rsidRPr="00000000">
        <w:rPr>
          <w:sz w:val="20"/>
          <w:szCs w:val="20"/>
          <w:rtl w:val="0"/>
        </w:rPr>
        <w:t xml:space="preserve">(2014) pg 15</w:t>
      </w:r>
    </w:p>
  </w:footnote>
  <w:footnote w:id="9">
    <w:p w:rsidR="00000000" w:rsidDel="00000000" w:rsidP="00000000" w:rsidRDefault="00000000" w:rsidRPr="00000000" w14:paraId="00000058">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Esposito, John L. </w:t>
      </w:r>
      <w:r w:rsidDel="00000000" w:rsidR="00000000" w:rsidRPr="00000000">
        <w:rPr>
          <w:sz w:val="18"/>
          <w:szCs w:val="18"/>
          <w:rtl w:val="0"/>
        </w:rPr>
        <w:t xml:space="preserve">"Ibn Hanbal, Ahmad." In </w:t>
      </w:r>
      <w:r w:rsidDel="00000000" w:rsidR="00000000" w:rsidRPr="00000000">
        <w:rPr>
          <w:i w:val="1"/>
          <w:sz w:val="18"/>
          <w:szCs w:val="18"/>
          <w:rtl w:val="0"/>
        </w:rPr>
        <w:t xml:space="preserve">The Oxford Dictionary of Islam</w:t>
      </w:r>
      <w:r w:rsidDel="00000000" w:rsidR="00000000" w:rsidRPr="00000000">
        <w:rPr>
          <w:sz w:val="18"/>
          <w:szCs w:val="18"/>
          <w:rtl w:val="0"/>
        </w:rPr>
        <w:t xml:space="preserve">,</w:t>
      </w:r>
      <w:r w:rsidDel="00000000" w:rsidR="00000000" w:rsidRPr="00000000">
        <w:rPr>
          <w:i w:val="1"/>
          <w:sz w:val="18"/>
          <w:szCs w:val="18"/>
          <w:rtl w:val="0"/>
        </w:rPr>
        <w:t xml:space="preserve">Oxford Islamic Studies Online</w:t>
      </w:r>
      <w:r w:rsidDel="00000000" w:rsidR="00000000" w:rsidRPr="00000000">
        <w:rPr>
          <w:sz w:val="18"/>
          <w:szCs w:val="18"/>
          <w:rtl w:val="0"/>
        </w:rPr>
        <w:t xml:space="preserve">.</w:t>
      </w:r>
    </w:p>
    <w:p w:rsidR="00000000" w:rsidDel="00000000" w:rsidP="00000000" w:rsidRDefault="00000000" w:rsidRPr="00000000" w14:paraId="00000059">
      <w:pPr>
        <w:spacing w:line="240" w:lineRule="auto"/>
        <w:rPr>
          <w:sz w:val="18"/>
          <w:szCs w:val="18"/>
          <w:shd w:fill="f6f4f0" w:val="clear"/>
        </w:rPr>
      </w:pPr>
      <w:hyperlink r:id="rId2">
        <w:r w:rsidDel="00000000" w:rsidR="00000000" w:rsidRPr="00000000">
          <w:rPr>
            <w:color w:val="1155cc"/>
            <w:sz w:val="18"/>
            <w:szCs w:val="18"/>
            <w:u w:val="single"/>
            <w:shd w:fill="f6f4f0" w:val="clear"/>
            <w:rtl w:val="0"/>
          </w:rPr>
          <w:t xml:space="preserve">http://www.oxfordislamicstudies.com.ezproxy.uwtsd.ac.uk/article/opr/t125/e939?_hi=0&amp;_pos=1</w:t>
        </w:r>
      </w:hyperlink>
      <w:r w:rsidDel="00000000" w:rsidR="00000000" w:rsidRPr="00000000">
        <w:rPr>
          <w:sz w:val="18"/>
          <w:szCs w:val="18"/>
          <w:shd w:fill="f6f4f0" w:val="clear"/>
          <w:rtl w:val="0"/>
        </w:rPr>
        <w:t xml:space="preserve"> </w:t>
      </w:r>
    </w:p>
  </w:footnote>
  <w:footnote w:id="6">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Esposito, Islam:</w:t>
      </w:r>
      <w:r w:rsidDel="00000000" w:rsidR="00000000" w:rsidRPr="00000000">
        <w:rPr>
          <w:i w:val="1"/>
          <w:sz w:val="20"/>
          <w:szCs w:val="20"/>
          <w:rtl w:val="0"/>
        </w:rPr>
        <w:t xml:space="preserve"> The Straight Path</w:t>
      </w:r>
      <w:r w:rsidDel="00000000" w:rsidR="00000000" w:rsidRPr="00000000">
        <w:rPr>
          <w:sz w:val="20"/>
          <w:szCs w:val="20"/>
          <w:rtl w:val="0"/>
        </w:rPr>
        <w:t xml:space="preserve">, 3rd edition(1998) pg 82 </w:t>
      </w:r>
    </w:p>
  </w:footnote>
  <w:footnote w:id="10">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Morewedge"Theology." In </w:t>
      </w:r>
      <w:r w:rsidDel="00000000" w:rsidR="00000000" w:rsidRPr="00000000">
        <w:rPr>
          <w:i w:val="1"/>
          <w:sz w:val="18"/>
          <w:szCs w:val="18"/>
          <w:rtl w:val="0"/>
        </w:rPr>
        <w:t xml:space="preserve">The Oxford Encyclopedia of the Islamic World</w:t>
      </w:r>
      <w:r w:rsidDel="00000000" w:rsidR="00000000" w:rsidRPr="00000000">
        <w:rPr>
          <w:sz w:val="18"/>
          <w:szCs w:val="18"/>
          <w:rtl w:val="0"/>
        </w:rPr>
        <w:t xml:space="preserve">.</w:t>
      </w:r>
      <w:r w:rsidDel="00000000" w:rsidR="00000000" w:rsidRPr="00000000">
        <w:rPr>
          <w:i w:val="1"/>
          <w:sz w:val="18"/>
          <w:szCs w:val="18"/>
          <w:rtl w:val="0"/>
        </w:rPr>
        <w:t xml:space="preserve">Oxford Islamic Studies Online</w:t>
      </w:r>
      <w:r w:rsidDel="00000000" w:rsidR="00000000" w:rsidRPr="00000000">
        <w:rPr>
          <w:sz w:val="20"/>
          <w:szCs w:val="20"/>
          <w:rtl w:val="0"/>
        </w:rPr>
        <w:br w:type="textWrapping"/>
      </w:r>
      <w:hyperlink r:id="rId3">
        <w:r w:rsidDel="00000000" w:rsidR="00000000" w:rsidRPr="00000000">
          <w:rPr>
            <w:color w:val="1155cc"/>
            <w:sz w:val="20"/>
            <w:szCs w:val="20"/>
            <w:u w:val="single"/>
            <w:rtl w:val="0"/>
          </w:rPr>
          <w:t xml:space="preserve">http://www.oxfordislamicstudies.com.ezproxy.uwtsd.ac.uk/article/opr/t236/e0799?_hi=1&amp;_pos=1#match</w:t>
        </w:r>
      </w:hyperlink>
      <w:r w:rsidDel="00000000" w:rsidR="00000000" w:rsidRPr="00000000">
        <w:rPr>
          <w:sz w:val="20"/>
          <w:szCs w:val="20"/>
          <w:rtl w:val="0"/>
        </w:rPr>
        <w:t xml:space="preserve"> </w:t>
      </w:r>
      <w:r w:rsidDel="00000000" w:rsidR="00000000" w:rsidRPr="00000000">
        <w:rPr>
          <w:rtl w:val="0"/>
        </w:rPr>
      </w:r>
    </w:p>
  </w:footnote>
  <w:footnote w:id="7">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Esposito, Islam:</w:t>
      </w:r>
      <w:r w:rsidDel="00000000" w:rsidR="00000000" w:rsidRPr="00000000">
        <w:rPr>
          <w:i w:val="1"/>
          <w:sz w:val="20"/>
          <w:szCs w:val="20"/>
          <w:rtl w:val="0"/>
        </w:rPr>
        <w:t xml:space="preserve"> The Straight Path</w:t>
      </w:r>
      <w:r w:rsidDel="00000000" w:rsidR="00000000" w:rsidRPr="00000000">
        <w:rPr>
          <w:sz w:val="20"/>
          <w:szCs w:val="20"/>
          <w:rtl w:val="0"/>
        </w:rPr>
        <w:t xml:space="preserve">, 3rd edition (1998) pg 70 </w:t>
      </w:r>
    </w:p>
  </w:footnote>
  <w:footnote w:id="8">
    <w:p w:rsidR="00000000" w:rsidDel="00000000" w:rsidP="00000000" w:rsidRDefault="00000000" w:rsidRPr="00000000" w14:paraId="0000005D">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Goldzier, Ignaz, </w:t>
      </w:r>
      <w:r w:rsidDel="00000000" w:rsidR="00000000" w:rsidRPr="00000000">
        <w:rPr>
          <w:i w:val="1"/>
          <w:sz w:val="18"/>
          <w:szCs w:val="18"/>
          <w:rtl w:val="0"/>
        </w:rPr>
        <w:t xml:space="preserve">Introduction to Islamic Theology and Law</w:t>
      </w:r>
      <w:r w:rsidDel="00000000" w:rsidR="00000000" w:rsidRPr="00000000">
        <w:rPr>
          <w:sz w:val="18"/>
          <w:szCs w:val="18"/>
          <w:rtl w:val="0"/>
        </w:rPr>
        <w:t xml:space="preserve">,(2000) pg.161 </w:t>
      </w:r>
    </w:p>
  </w:footnote>
  <w:footnote w:id="11">
    <w:p w:rsidR="00000000" w:rsidDel="00000000" w:rsidP="00000000" w:rsidRDefault="00000000" w:rsidRPr="00000000" w14:paraId="0000005E">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Goldziher,Ignaz  Introduction to Islamic Theology, pg 242</w:t>
      </w:r>
    </w:p>
  </w:footnote>
  <w:footnote w:id="12">
    <w:p w:rsidR="00000000" w:rsidDel="00000000" w:rsidP="00000000" w:rsidRDefault="00000000" w:rsidRPr="00000000" w14:paraId="0000005F">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Brown “Scripture in the modern Muslim World” Pg 25</w:t>
      </w:r>
    </w:p>
  </w:footnote>
  <w:footnote w:id="13">
    <w:p w:rsidR="00000000" w:rsidDel="00000000" w:rsidP="00000000" w:rsidRDefault="00000000" w:rsidRPr="00000000" w14:paraId="0000006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Brown, “Scripture in the modern Muslim World”   pg 26</w:t>
      </w:r>
    </w:p>
  </w:footnote>
  <w:footnote w:id="14">
    <w:p w:rsidR="00000000" w:rsidDel="00000000" w:rsidP="00000000" w:rsidRDefault="00000000" w:rsidRPr="00000000" w14:paraId="00000061">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Al-Rasheed, Madawi </w:t>
      </w:r>
      <w:r w:rsidDel="00000000" w:rsidR="00000000" w:rsidRPr="00000000">
        <w:rPr>
          <w:i w:val="1"/>
          <w:sz w:val="18"/>
          <w:szCs w:val="18"/>
          <w:rtl w:val="0"/>
        </w:rPr>
        <w:t xml:space="preserve">Beyond Tradition and Modernity: Dilemmas of Transformation in Saudi Arabia </w:t>
      </w:r>
      <w:r w:rsidDel="00000000" w:rsidR="00000000" w:rsidRPr="00000000">
        <w:rPr>
          <w:sz w:val="18"/>
          <w:szCs w:val="18"/>
          <w:rtl w:val="0"/>
        </w:rPr>
        <w:t xml:space="preserve">in</w:t>
      </w:r>
      <w:r w:rsidDel="00000000" w:rsidR="00000000" w:rsidRPr="00000000">
        <w:rPr>
          <w:i w:val="1"/>
          <w:sz w:val="18"/>
          <w:szCs w:val="18"/>
          <w:rtl w:val="0"/>
        </w:rPr>
        <w:t xml:space="preserve"> </w:t>
      </w:r>
      <w:r w:rsidDel="00000000" w:rsidR="00000000" w:rsidRPr="00000000">
        <w:rPr>
          <w:sz w:val="18"/>
          <w:szCs w:val="18"/>
          <w:rtl w:val="0"/>
        </w:rPr>
        <w:t xml:space="preserve">Al Jazeera Online</w:t>
        <w:br w:type="textWrapping"/>
      </w:r>
      <w:hyperlink r:id="rId4">
        <w:r w:rsidDel="00000000" w:rsidR="00000000" w:rsidRPr="00000000">
          <w:rPr>
            <w:color w:val="1155cc"/>
            <w:sz w:val="18"/>
            <w:szCs w:val="18"/>
            <w:u w:val="single"/>
            <w:rtl w:val="0"/>
          </w:rPr>
          <w:t xml:space="preserve">http://studies.aljazeera.net/en/reports/2018/05/tradition-modernity-dilemmas-transformation-saudi-arabia-180514084243670.html</w:t>
        </w:r>
      </w:hyperlink>
      <w:r w:rsidDel="00000000" w:rsidR="00000000" w:rsidRPr="00000000">
        <w:rPr>
          <w:sz w:val="18"/>
          <w:szCs w:val="18"/>
          <w:rtl w:val="0"/>
        </w:rPr>
        <w:t xml:space="preserve"> </w:t>
      </w:r>
    </w:p>
  </w:footnote>
  <w:footnote w:id="15">
    <w:p w:rsidR="00000000" w:rsidDel="00000000" w:rsidP="00000000" w:rsidRDefault="00000000" w:rsidRPr="00000000" w14:paraId="00000062">
      <w:pPr>
        <w:spacing w:line="240" w:lineRule="auto"/>
        <w:rPr>
          <w:i w:val="1"/>
          <w:color w:val="373a3c"/>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373a3c"/>
          <w:sz w:val="18"/>
          <w:szCs w:val="18"/>
          <w:rtl w:val="0"/>
        </w:rPr>
        <w:t xml:space="preserve">Morewedge, Parviz . ‘Theology’ In </w:t>
      </w:r>
      <w:r w:rsidDel="00000000" w:rsidR="00000000" w:rsidRPr="00000000">
        <w:rPr>
          <w:i w:val="1"/>
          <w:color w:val="373a3c"/>
          <w:sz w:val="18"/>
          <w:szCs w:val="18"/>
          <w:rtl w:val="0"/>
        </w:rPr>
        <w:t xml:space="preserve">The Oxford Encyclopedia of the Islamic World</w:t>
      </w:r>
      <w:r w:rsidDel="00000000" w:rsidR="00000000" w:rsidRPr="00000000">
        <w:rPr>
          <w:color w:val="373a3c"/>
          <w:sz w:val="18"/>
          <w:szCs w:val="18"/>
          <w:rtl w:val="0"/>
        </w:rPr>
        <w:t xml:space="preserve">.</w:t>
      </w:r>
      <w:r w:rsidDel="00000000" w:rsidR="00000000" w:rsidRPr="00000000">
        <w:rPr>
          <w:i w:val="1"/>
          <w:color w:val="373a3c"/>
          <w:sz w:val="18"/>
          <w:szCs w:val="18"/>
          <w:rtl w:val="0"/>
        </w:rPr>
        <w:t xml:space="preserve">Oxford Islamic Studies Online </w:t>
      </w:r>
    </w:p>
    <w:p w:rsidR="00000000" w:rsidDel="00000000" w:rsidP="00000000" w:rsidRDefault="00000000" w:rsidRPr="00000000" w14:paraId="00000063">
      <w:pPr>
        <w:spacing w:line="240" w:lineRule="auto"/>
        <w:rPr>
          <w:sz w:val="20"/>
          <w:szCs w:val="20"/>
        </w:rPr>
      </w:pPr>
      <w:hyperlink r:id="rId5">
        <w:r w:rsidDel="00000000" w:rsidR="00000000" w:rsidRPr="00000000">
          <w:rPr>
            <w:color w:val="1155cc"/>
            <w:sz w:val="20"/>
            <w:szCs w:val="20"/>
            <w:u w:val="single"/>
            <w:rtl w:val="0"/>
          </w:rPr>
          <w:t xml:space="preserve">http://www.oxfordislamicstudies.com.ezproxy.uwtsd.ac.uk/article/opr/t236/e0799?_hi=1&amp;_pos=1#match</w:t>
        </w:r>
      </w:hyperlink>
      <w:r w:rsidDel="00000000" w:rsidR="00000000" w:rsidRPr="00000000">
        <w:rPr>
          <w:sz w:val="20"/>
          <w:szCs w:val="20"/>
          <w:rtl w:val="0"/>
        </w:rPr>
        <w:t xml:space="preserve"> </w:t>
      </w:r>
    </w:p>
  </w:footnote>
  <w:footnote w:id="2">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Esposito, John L. </w:t>
      </w:r>
      <w:r w:rsidDel="00000000" w:rsidR="00000000" w:rsidRPr="00000000">
        <w:rPr>
          <w:i w:val="1"/>
          <w:sz w:val="18"/>
          <w:szCs w:val="18"/>
          <w:rtl w:val="0"/>
        </w:rPr>
        <w:t xml:space="preserve">Islam: The Straight Path </w:t>
      </w:r>
      <w:r w:rsidDel="00000000" w:rsidR="00000000" w:rsidRPr="00000000">
        <w:rPr>
          <w:sz w:val="18"/>
          <w:szCs w:val="18"/>
          <w:rtl w:val="0"/>
        </w:rPr>
        <w:t xml:space="preserve">3rd edition (1998)  pg 67</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en.oxforddictionaries.com/definition/theology" TargetMode="External"/><Relationship Id="rId9" Type="http://schemas.openxmlformats.org/officeDocument/2006/relationships/hyperlink" Target="http://www.oxfordislamicstudies.com.ezproxy.uwtsd.ac.uk/article/opr/t236/e0799?_hi=1&amp;_pos=1#match"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tudies.aljazeera.net/en/reports/2018/05/tradition-modernity-dilemmas-transformation-saudi-arabia-180514084243670.html" TargetMode="External"/><Relationship Id="rId8" Type="http://schemas.openxmlformats.org/officeDocument/2006/relationships/hyperlink" Target="http://www.oxfordislamicstudies.com.ezproxy.uwtsd.ac.uk/article/opr/t125/e939?_hi=0&amp;_pos=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theology" TargetMode="External"/><Relationship Id="rId2" Type="http://schemas.openxmlformats.org/officeDocument/2006/relationships/hyperlink" Target="http://www.oxfordislamicstudies.com.ezproxy.uwtsd.ac.uk/article/opr/t125/e939?_hi=0&amp;_pos=1" TargetMode="External"/><Relationship Id="rId3" Type="http://schemas.openxmlformats.org/officeDocument/2006/relationships/hyperlink" Target="http://www.oxfordislamicstudies.com.ezproxy.uwtsd.ac.uk/article/opr/t236/e0799?_hi=1&amp;_pos=1#match" TargetMode="External"/><Relationship Id="rId4" Type="http://schemas.openxmlformats.org/officeDocument/2006/relationships/hyperlink" Target="http://studies.aljazeera.net/en/reports/2018/05/tradition-modernity-dilemmas-transformation-saudi-arabia-180514084243670.html" TargetMode="External"/><Relationship Id="rId5" Type="http://schemas.openxmlformats.org/officeDocument/2006/relationships/hyperlink" Target="http://www.oxfordislamicstudies.com.ezproxy.uwtsd.ac.uk/article/opr/t236/e0799?_hi=1&amp;_pos=1#m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