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B669D" w14:textId="4B53DF57" w:rsidR="00B2370C" w:rsidRPr="0036583B" w:rsidRDefault="00B2370C" w:rsidP="00B2370C">
      <w:pPr>
        <w:pStyle w:val="NormalWeb"/>
        <w:spacing w:before="0" w:beforeAutospacing="0" w:after="0" w:afterAutospacing="0"/>
        <w:jc w:val="center"/>
      </w:pPr>
      <w:r>
        <w:rPr>
          <w:rFonts w:ascii="Segoe UI" w:hAnsi="Segoe UI" w:cs="Segoe UI"/>
          <w:color w:val="0D0D0D"/>
        </w:rPr>
        <w:t xml:space="preserve">  International</w:t>
      </w:r>
      <w:r w:rsidR="008A6293" w:rsidRPr="008A6293">
        <w:rPr>
          <w:rFonts w:ascii="Segoe UI" w:hAnsi="Segoe UI" w:cs="Segoe UI"/>
          <w:color w:val="0D0D0D"/>
        </w:rPr>
        <w:t xml:space="preserve"> Business</w:t>
      </w:r>
      <w:r>
        <w:rPr>
          <w:rFonts w:ascii="Segoe UI" w:hAnsi="Segoe UI" w:cs="Segoe UI"/>
          <w:color w:val="0D0D0D"/>
        </w:rPr>
        <w:t xml:space="preserve"> Communication</w:t>
      </w:r>
      <w:r w:rsidR="002372F6">
        <w:rPr>
          <w:rFonts w:ascii="Segoe UI" w:hAnsi="Segoe UI" w:cs="Segoe UI"/>
          <w:color w:val="0D0D0D"/>
        </w:rPr>
        <w:t>s</w:t>
      </w:r>
      <w:r w:rsidRPr="00B2370C">
        <w:rPr>
          <w:color w:val="000000"/>
        </w:rPr>
        <w:t xml:space="preserve"> </w:t>
      </w:r>
      <w:r w:rsidRPr="0036583B">
        <w:rPr>
          <w:color w:val="000000"/>
        </w:rPr>
        <w:t xml:space="preserve">ASSIGNMENT </w:t>
      </w:r>
      <w:r w:rsidR="002372F6">
        <w:rPr>
          <w:color w:val="000000"/>
        </w:rPr>
        <w:t>1</w:t>
      </w:r>
    </w:p>
    <w:p w14:paraId="1E4C7133" w14:textId="0D6619F2" w:rsidR="00B2370C" w:rsidRPr="0036583B" w:rsidRDefault="00B2370C" w:rsidP="00B2370C">
      <w:pPr>
        <w:pStyle w:val="NormalWeb"/>
        <w:spacing w:before="0" w:beforeAutospacing="0" w:after="0" w:afterAutospacing="0"/>
        <w:jc w:val="center"/>
      </w:pPr>
      <w:r w:rsidRPr="0036583B">
        <w:rPr>
          <w:color w:val="000000"/>
        </w:rPr>
        <w:t>Module code: LCBB</w:t>
      </w:r>
      <w:r w:rsidR="002372F6">
        <w:rPr>
          <w:color w:val="000000"/>
        </w:rPr>
        <w:t>6001</w:t>
      </w:r>
    </w:p>
    <w:p w14:paraId="759F7509" w14:textId="77777777" w:rsidR="00B2370C" w:rsidRPr="0036583B" w:rsidRDefault="00B2370C" w:rsidP="00B2370C">
      <w:pPr>
        <w:pStyle w:val="NormalWeb"/>
        <w:spacing w:before="0" w:beforeAutospacing="0" w:after="0" w:afterAutospacing="0"/>
        <w:jc w:val="center"/>
      </w:pPr>
      <w:r w:rsidRPr="0036583B">
        <w:rPr>
          <w:color w:val="000000"/>
        </w:rPr>
        <w:t>Emil Slavov (2122223)</w:t>
      </w:r>
    </w:p>
    <w:p w14:paraId="0159CD5D" w14:textId="1C7D043A" w:rsidR="00B2370C" w:rsidRDefault="00B2370C" w:rsidP="00B2370C">
      <w:pPr>
        <w:pStyle w:val="NormalWeb"/>
        <w:spacing w:before="0" w:beforeAutospacing="0" w:after="0" w:afterAutospacing="0"/>
        <w:jc w:val="center"/>
        <w:rPr>
          <w:color w:val="000000"/>
        </w:rPr>
      </w:pPr>
      <w:r w:rsidRPr="0036583B">
        <w:rPr>
          <w:color w:val="000000"/>
        </w:rPr>
        <w:t xml:space="preserve">Lecturer's name: </w:t>
      </w:r>
      <w:r w:rsidR="002372F6">
        <w:t xml:space="preserve">Dr Charles </w:t>
      </w:r>
      <w:proofErr w:type="spellStart"/>
      <w:r w:rsidR="002372F6">
        <w:t>Nwaogwugwu</w:t>
      </w:r>
      <w:proofErr w:type="spellEnd"/>
    </w:p>
    <w:p w14:paraId="40341373" w14:textId="77777777" w:rsidR="002372F6" w:rsidRDefault="002372F6" w:rsidP="00B2370C">
      <w:pPr>
        <w:pStyle w:val="NormalWeb"/>
        <w:spacing w:before="0" w:beforeAutospacing="0" w:after="0" w:afterAutospacing="0"/>
        <w:jc w:val="center"/>
        <w:rPr>
          <w:color w:val="000000"/>
        </w:rPr>
      </w:pPr>
    </w:p>
    <w:p w14:paraId="75E036A2" w14:textId="77777777" w:rsidR="002372F6" w:rsidRDefault="002372F6" w:rsidP="00B2370C">
      <w:pPr>
        <w:pStyle w:val="NormalWeb"/>
        <w:spacing w:before="0" w:beforeAutospacing="0" w:after="0" w:afterAutospacing="0"/>
        <w:jc w:val="center"/>
        <w:rPr>
          <w:color w:val="000000"/>
        </w:rPr>
      </w:pPr>
    </w:p>
    <w:p w14:paraId="5F231ACC" w14:textId="77777777" w:rsidR="002372F6" w:rsidRPr="0036583B" w:rsidRDefault="002372F6" w:rsidP="00B2370C">
      <w:pPr>
        <w:pStyle w:val="NormalWeb"/>
        <w:spacing w:before="0" w:beforeAutospacing="0" w:after="0" w:afterAutospacing="0"/>
        <w:jc w:val="center"/>
      </w:pPr>
    </w:p>
    <w:p w14:paraId="78C71633" w14:textId="60C7E9DC"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 </w:t>
      </w:r>
    </w:p>
    <w:p w14:paraId="08AB88F5"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Effective communication is the cornerstone of success for multinational companies, especially in navigating diverse cultural and business landscapes. In this section, we delve into the fundamental characteristics of British business communications and their profound influence on organizational dynamics within the British business milieu.</w:t>
      </w:r>
    </w:p>
    <w:p w14:paraId="37B1DE2B"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British business communications epitomize professionalism, directness, and a commitment to clear and concise language. Within the British business culture, communication is not merely a tool but a strategic driver for efficiency and productivity. Direct communication is highly esteemed as it mitigates misunderstandings and ensures messages are conveyed with precision.</w:t>
      </w:r>
    </w:p>
    <w:p w14:paraId="3DA4F62E" w14:textId="10F7B4B1"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Furthermore, the British communication style is distinguished by a pronounced level of formality. Politeness, respect, and upholding a professional </w:t>
      </w:r>
      <w:r w:rsidR="00B2370C" w:rsidRPr="008A6293">
        <w:rPr>
          <w:rFonts w:ascii="Segoe UI" w:eastAsia="Times New Roman" w:hAnsi="Segoe UI" w:cs="Segoe UI"/>
          <w:color w:val="0D0D0D"/>
          <w:sz w:val="24"/>
          <w:szCs w:val="24"/>
        </w:rPr>
        <w:t>demeanour</w:t>
      </w:r>
      <w:r w:rsidRPr="008A6293">
        <w:rPr>
          <w:rFonts w:ascii="Segoe UI" w:eastAsia="Times New Roman" w:hAnsi="Segoe UI" w:cs="Segoe UI"/>
          <w:color w:val="0D0D0D"/>
          <w:sz w:val="24"/>
          <w:szCs w:val="24"/>
        </w:rPr>
        <w:t xml:space="preserve"> are pivotal in business interactions. British professionals diligently adhere to established etiquette and protocols, fostering trust and credibility in their communication </w:t>
      </w:r>
      <w:r w:rsidR="00B2370C" w:rsidRPr="008A6293">
        <w:rPr>
          <w:rFonts w:ascii="Segoe UI" w:eastAsia="Times New Roman" w:hAnsi="Segoe UI" w:cs="Segoe UI"/>
          <w:color w:val="0D0D0D"/>
          <w:sz w:val="24"/>
          <w:szCs w:val="24"/>
        </w:rPr>
        <w:t>endeavours</w:t>
      </w:r>
      <w:r w:rsidRPr="008A6293">
        <w:rPr>
          <w:rFonts w:ascii="Segoe UI" w:eastAsia="Times New Roman" w:hAnsi="Segoe UI" w:cs="Segoe UI"/>
          <w:color w:val="0D0D0D"/>
          <w:sz w:val="24"/>
          <w:szCs w:val="24"/>
        </w:rPr>
        <w:t>.</w:t>
      </w:r>
    </w:p>
    <w:p w14:paraId="7C852563"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Moreover, British business communications prioritize the exchange of relevant and succinct information. The emphasis lies in conveying messages clearly and concisely, without unnecessary elaboration or ambiguity. British professionals adeptly articulate their ideas with logical arguments and well-structured communication strategies to achieve desired outcomes.</w:t>
      </w:r>
    </w:p>
    <w:p w14:paraId="1AF84FA3"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However, it's imperative to acknowledge the challenges inherent in British business communications. While directness and clarity are prized virtues, they may sometimes be perceived as brusqueness or a lack of diplomacy in certain cultural contexts. Thus, adeptly navigating diverse communication styles becomes indispensable when engaging with individuals from varied cultural backgrounds.</w:t>
      </w:r>
    </w:p>
    <w:p w14:paraId="4313DFAE" w14:textId="406AF2D1"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In essence, British business communications embody professionalism, directness, clarity, and adherence to established norms. These communication attributes wield considerable influence in shaping the British business landscape and interactions within it. By discerning and appreciating the intricacies of British communication practices, multinational entities like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can adeptly navigate </w:t>
      </w:r>
      <w:r w:rsidRPr="008A6293">
        <w:rPr>
          <w:rFonts w:ascii="Segoe UI" w:eastAsia="Times New Roman" w:hAnsi="Segoe UI" w:cs="Segoe UI"/>
          <w:color w:val="0D0D0D"/>
          <w:sz w:val="24"/>
          <w:szCs w:val="24"/>
        </w:rPr>
        <w:lastRenderedPageBreak/>
        <w:t xml:space="preserve">challenges and harness the strengths of this communication style in their global management </w:t>
      </w:r>
      <w:r w:rsidR="00B2370C" w:rsidRPr="008A6293">
        <w:rPr>
          <w:rFonts w:ascii="Segoe UI" w:eastAsia="Times New Roman" w:hAnsi="Segoe UI" w:cs="Segoe UI"/>
          <w:color w:val="0D0D0D"/>
          <w:sz w:val="24"/>
          <w:szCs w:val="24"/>
        </w:rPr>
        <w:t>endeavours</w:t>
      </w:r>
      <w:r w:rsidRPr="008A6293">
        <w:rPr>
          <w:rFonts w:ascii="Segoe UI" w:eastAsia="Times New Roman" w:hAnsi="Segoe UI" w:cs="Segoe UI"/>
          <w:color w:val="0D0D0D"/>
          <w:sz w:val="24"/>
          <w:szCs w:val="24"/>
        </w:rPr>
        <w:t>.</w:t>
      </w:r>
    </w:p>
    <w:p w14:paraId="6C78EA47" w14:textId="77777777" w:rsidR="008A6293" w:rsidRPr="008A6293" w:rsidRDefault="008A6293" w:rsidP="008A6293">
      <w:pPr>
        <w:rPr>
          <w:rFonts w:ascii="Segoe UI" w:eastAsia="Times New Roman" w:hAnsi="Segoe UI" w:cs="Segoe UI"/>
          <w:color w:val="0D0D0D"/>
          <w:sz w:val="24"/>
          <w:szCs w:val="24"/>
        </w:rPr>
      </w:pPr>
    </w:p>
    <w:p w14:paraId="75C09E5A" w14:textId="77777777" w:rsidR="008A6293" w:rsidRPr="008A6293" w:rsidRDefault="008A6293" w:rsidP="008A6293">
      <w:pPr>
        <w:rPr>
          <w:rFonts w:ascii="Segoe UI" w:eastAsia="Times New Roman" w:hAnsi="Segoe UI" w:cs="Segoe UI"/>
          <w:color w:val="0D0D0D"/>
          <w:sz w:val="24"/>
          <w:szCs w:val="24"/>
        </w:rPr>
      </w:pPr>
    </w:p>
    <w:p w14:paraId="7987C692" w14:textId="77777777" w:rsidR="008A6293" w:rsidRPr="008A6293" w:rsidRDefault="008A6293" w:rsidP="008A6293">
      <w:pPr>
        <w:rPr>
          <w:rFonts w:ascii="Segoe UI" w:eastAsia="Times New Roman" w:hAnsi="Segoe UI" w:cs="Segoe UI"/>
          <w:color w:val="0D0D0D"/>
          <w:sz w:val="24"/>
          <w:szCs w:val="24"/>
        </w:rPr>
      </w:pP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Pioneering Sustainable Solutions</w:t>
      </w:r>
    </w:p>
    <w:p w14:paraId="68D9D42F" w14:textId="77777777" w:rsidR="008A6293" w:rsidRPr="008A6293" w:rsidRDefault="008A6293" w:rsidP="008A6293">
      <w:pPr>
        <w:rPr>
          <w:rFonts w:ascii="Segoe UI" w:eastAsia="Times New Roman" w:hAnsi="Segoe UI" w:cs="Segoe UI"/>
          <w:color w:val="0D0D0D"/>
          <w:sz w:val="24"/>
          <w:szCs w:val="24"/>
        </w:rPr>
      </w:pP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stands as a beacon of innovation and environmental stewardship, spearheading the charge towards a greener tomorrow. With a steadfast commitment to advancing sustainability and technological excellence,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has solidified its position as a frontrunner in the global landscape of eco-friendly solutions.</w:t>
      </w:r>
    </w:p>
    <w:p w14:paraId="07AE06BD"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As a multinational powerhouse,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specializes in the design, manufacture, and distribution of cutting-edge renewable energy systems, energy-efficient technologies, and sustainable solutions. From solar panels and wind turbines to energy management systems and green building technologies,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offers a comprehensive suite of products and services aimed at revolutionizing industries while safeguarding the planet.</w:t>
      </w:r>
    </w:p>
    <w:p w14:paraId="3A453735"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With a footprint spanning continents,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has cultivated a network of partnerships and executed impactful projects across diverse geographies. At the heart of their mission lies a dedication to delivering innovative and sustainable solutions that not only mitigate environmental challenges but also drive economic growth and social progress.</w:t>
      </w:r>
    </w:p>
    <w:p w14:paraId="0C63CF16"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Grounded in principles of environmental responsibility, technological excellence, and customer satisfaction,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has garnered acclaim for its unwavering commitment to delivering solutions that transcend industry standards. Their holistic approach to sustainability encompasses not only the development of eco-friendly technologies but also the cultivation of a corporate culture rooted in environmental consciousness and social responsibility.</w:t>
      </w:r>
    </w:p>
    <w:p w14:paraId="6C0C48DE"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Looking ahead,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sets its sights on expanding its reach within the European Union (EU). By venturing into an EU-based nation,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aims to tap into new markets, foster local collaborations, and contribute to the region's sustainable development agenda. As part of their growth strategy,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will meticulously evaluate potential expansion destinations, considering factors such as market dynamics, regulatory environments, and cultural nuances.</w:t>
      </w:r>
    </w:p>
    <w:p w14:paraId="2E547099" w14:textId="2F4EB9A5"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Two prospective expansion destinations within the EU are Ireland and Greece. Ireland, renowned for its thriving technology sector and commitment to sustainability, presents a favourable environment for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expansion </w:t>
      </w:r>
      <w:r w:rsidR="00B2370C" w:rsidRPr="008A6293">
        <w:rPr>
          <w:rFonts w:ascii="Segoe UI" w:eastAsia="Times New Roman" w:hAnsi="Segoe UI" w:cs="Segoe UI"/>
          <w:color w:val="0D0D0D"/>
          <w:sz w:val="24"/>
          <w:szCs w:val="24"/>
        </w:rPr>
        <w:t>endeavours</w:t>
      </w:r>
      <w:r w:rsidRPr="008A6293">
        <w:rPr>
          <w:rFonts w:ascii="Segoe UI" w:eastAsia="Times New Roman" w:hAnsi="Segoe UI" w:cs="Segoe UI"/>
          <w:color w:val="0D0D0D"/>
          <w:sz w:val="24"/>
          <w:szCs w:val="24"/>
        </w:rPr>
        <w:t xml:space="preserve">. With a skilled workforce and supportive government initiatives, Ireland </w:t>
      </w:r>
      <w:r w:rsidRPr="008A6293">
        <w:rPr>
          <w:rFonts w:ascii="Segoe UI" w:eastAsia="Times New Roman" w:hAnsi="Segoe UI" w:cs="Segoe UI"/>
          <w:color w:val="0D0D0D"/>
          <w:sz w:val="24"/>
          <w:szCs w:val="24"/>
        </w:rPr>
        <w:lastRenderedPageBreak/>
        <w:t>offers ample opportunities for collaboration and growth in the renewable energy sector.</w:t>
      </w:r>
    </w:p>
    <w:p w14:paraId="78707279"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Similarly, Greece boasts a rich cultural heritage and a burgeoning interest in renewable energy. With ambitious targets for clean energy production and government incentives to attract investment, Greece emerges as a promising market for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expansion. However, navigating bureaucratic processes and economic instability pose potential challenges that must be carefully navigated.</w:t>
      </w:r>
    </w:p>
    <w:p w14:paraId="0CE48472"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In the next section, we will conduct a detailed analysis of Ireland and Greece as potential expansion destinations for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within the EU. By leveraging Hofstede's cultural dimensions framework, we will gain insights into the cultural nuances and business landscapes of these countries, informing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strategic decision-making process.</w:t>
      </w:r>
    </w:p>
    <w:p w14:paraId="35B9BFE3"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Stay tuned as we delve deeper into the prospects and challenges of expanding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operations into Ireland and Greece.</w:t>
      </w:r>
    </w:p>
    <w:p w14:paraId="32034354" w14:textId="77777777" w:rsidR="008A6293" w:rsidRPr="008A6293" w:rsidRDefault="008A6293" w:rsidP="008A6293">
      <w:pPr>
        <w:rPr>
          <w:rFonts w:ascii="Segoe UI" w:eastAsia="Times New Roman" w:hAnsi="Segoe UI" w:cs="Segoe UI"/>
          <w:color w:val="0D0D0D"/>
          <w:sz w:val="24"/>
          <w:szCs w:val="24"/>
        </w:rPr>
      </w:pPr>
    </w:p>
    <w:p w14:paraId="423ABB84" w14:textId="77777777" w:rsidR="008A6293" w:rsidRPr="008A6293" w:rsidRDefault="008A6293" w:rsidP="008A6293">
      <w:pPr>
        <w:rPr>
          <w:rFonts w:ascii="Segoe UI" w:eastAsia="Times New Roman" w:hAnsi="Segoe UI" w:cs="Segoe UI"/>
          <w:color w:val="0D0D0D"/>
          <w:sz w:val="24"/>
          <w:szCs w:val="24"/>
        </w:rPr>
      </w:pPr>
    </w:p>
    <w:p w14:paraId="6238942A"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Evaluation of Ireland and Greece for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Expansion</w:t>
      </w:r>
    </w:p>
    <w:p w14:paraId="2F98E799"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When considering potential expansion destinations within the European Union (EU), it's imperative for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to conduct a comprehensive evaluation of each country's cultural, linguistic, and economic landscapes. By applying Hofstede's cultural dimensions framework and examining country-specific factors such as social contexts, language, possible risks, and </w:t>
      </w:r>
      <w:proofErr w:type="spellStart"/>
      <w:r w:rsidRPr="008A6293">
        <w:rPr>
          <w:rFonts w:ascii="Segoe UI" w:eastAsia="Times New Roman" w:hAnsi="Segoe UI" w:cs="Segoe UI"/>
          <w:color w:val="0D0D0D"/>
          <w:sz w:val="24"/>
          <w:szCs w:val="24"/>
        </w:rPr>
        <w:t>labor</w:t>
      </w:r>
      <w:proofErr w:type="spellEnd"/>
      <w:r w:rsidRPr="008A6293">
        <w:rPr>
          <w:rFonts w:ascii="Segoe UI" w:eastAsia="Times New Roman" w:hAnsi="Segoe UI" w:cs="Segoe UI"/>
          <w:color w:val="0D0D0D"/>
          <w:sz w:val="24"/>
          <w:szCs w:val="24"/>
        </w:rPr>
        <w:t xml:space="preserve"> outlooks,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can make informed decisions regarding its expansion strategy.</w:t>
      </w:r>
    </w:p>
    <w:p w14:paraId="17F9B858"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Ireland:</w:t>
      </w:r>
    </w:p>
    <w:p w14:paraId="6221C0B0" w14:textId="6EE00F6F"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Country Facts: Ireland, an EU member state, boasts a vibrant economy </w:t>
      </w:r>
      <w:proofErr w:type="spellStart"/>
      <w:r w:rsidRPr="008A6293">
        <w:rPr>
          <w:rFonts w:ascii="Segoe UI" w:eastAsia="Times New Roman" w:hAnsi="Segoe UI" w:cs="Segoe UI"/>
          <w:color w:val="0D0D0D"/>
          <w:sz w:val="24"/>
          <w:szCs w:val="24"/>
        </w:rPr>
        <w:t>fueled</w:t>
      </w:r>
      <w:proofErr w:type="spellEnd"/>
      <w:r w:rsidRPr="008A6293">
        <w:rPr>
          <w:rFonts w:ascii="Segoe UI" w:eastAsia="Times New Roman" w:hAnsi="Segoe UI" w:cs="Segoe UI"/>
          <w:color w:val="0D0D0D"/>
          <w:sz w:val="24"/>
          <w:szCs w:val="24"/>
        </w:rPr>
        <w:t xml:space="preserve"> by technology, innovation, and a strong commitment to sustainability. With a rich cultural heritage and a thriving social scene, Ireland offers a dynamic environment for businesses to thrive. The country's strategic location within the EU and its </w:t>
      </w:r>
      <w:proofErr w:type="spellStart"/>
      <w:r w:rsidRPr="008A6293">
        <w:rPr>
          <w:rFonts w:ascii="Segoe UI" w:eastAsia="Times New Roman" w:hAnsi="Segoe UI" w:cs="Segoe UI"/>
          <w:color w:val="0D0D0D"/>
          <w:sz w:val="24"/>
          <w:szCs w:val="24"/>
        </w:rPr>
        <w:t>favorable</w:t>
      </w:r>
      <w:proofErr w:type="spellEnd"/>
      <w:r w:rsidRPr="008A6293">
        <w:rPr>
          <w:rFonts w:ascii="Segoe UI" w:eastAsia="Times New Roman" w:hAnsi="Segoe UI" w:cs="Segoe UI"/>
          <w:color w:val="0D0D0D"/>
          <w:sz w:val="24"/>
          <w:szCs w:val="24"/>
        </w:rPr>
        <w:t xml:space="preserve"> business climate </w:t>
      </w:r>
      <w:r w:rsidR="00B2370C" w:rsidRPr="008A6293">
        <w:rPr>
          <w:rFonts w:ascii="Segoe UI" w:eastAsia="Times New Roman" w:hAnsi="Segoe UI" w:cs="Segoe UI"/>
          <w:color w:val="0D0D0D"/>
          <w:sz w:val="24"/>
          <w:szCs w:val="24"/>
        </w:rPr>
        <w:t>makes</w:t>
      </w:r>
      <w:r w:rsidRPr="008A6293">
        <w:rPr>
          <w:rFonts w:ascii="Segoe UI" w:eastAsia="Times New Roman" w:hAnsi="Segoe UI" w:cs="Segoe UI"/>
          <w:color w:val="0D0D0D"/>
          <w:sz w:val="24"/>
          <w:szCs w:val="24"/>
        </w:rPr>
        <w:t xml:space="preserve"> it an attractive destination for expansion.</w:t>
      </w:r>
    </w:p>
    <w:p w14:paraId="43EA0D08"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Cultural Profile: Ireland is renowned for its warm hospitality, vibrant social culture, and strong sense of community. The Irish people place a high value on relationships and personal connections, which can significantly influence business interactions. Understanding and respecting Irish social customs and norms are crucial for building trust and fostering successful partnerships.</w:t>
      </w:r>
    </w:p>
    <w:p w14:paraId="0502D7BB"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Language: English is the primary language spoken in Ireland, facilitating seamless communication for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However, it's important to recognize the influence of the Irish accent and colloquialisms, which may require adjustment for effective communication.</w:t>
      </w:r>
    </w:p>
    <w:p w14:paraId="591AE305"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lastRenderedPageBreak/>
        <w:t>Possible Risks: While Ireland offers numerous opportunities for business growth, potential risks include intense competition in the technology sector, regulatory complexities associated with EU membership, and economic fluctuations. Additionally, Brexit-related uncertainties may impact cross-border trade and investment between Ireland and the UK.</w:t>
      </w:r>
    </w:p>
    <w:p w14:paraId="77841898"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Labor Outlook: Ireland boasts a diverse and highly skilled workforce, with a strong emphasis on education and innovation. The country's tech-savvy talent pool, coupled with government support for research and development initiatives, creates </w:t>
      </w:r>
      <w:proofErr w:type="spellStart"/>
      <w:r w:rsidRPr="008A6293">
        <w:rPr>
          <w:rFonts w:ascii="Segoe UI" w:eastAsia="Times New Roman" w:hAnsi="Segoe UI" w:cs="Segoe UI"/>
          <w:color w:val="0D0D0D"/>
          <w:sz w:val="24"/>
          <w:szCs w:val="24"/>
        </w:rPr>
        <w:t>favorable</w:t>
      </w:r>
      <w:proofErr w:type="spellEnd"/>
      <w:r w:rsidRPr="008A6293">
        <w:rPr>
          <w:rFonts w:ascii="Segoe UI" w:eastAsia="Times New Roman" w:hAnsi="Segoe UI" w:cs="Segoe UI"/>
          <w:color w:val="0D0D0D"/>
          <w:sz w:val="24"/>
          <w:szCs w:val="24"/>
        </w:rPr>
        <w:t xml:space="preserve"> conditions for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expansion. However, competition for skilled professionals in the technology sector may pose challenges in recruitment and retention.</w:t>
      </w:r>
    </w:p>
    <w:p w14:paraId="21B080FF"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Hofstede Analysis: Applying Hofstede's cultural dimensions framework to Ireland reveals insights into its societal values and </w:t>
      </w:r>
      <w:proofErr w:type="spellStart"/>
      <w:r w:rsidRPr="008A6293">
        <w:rPr>
          <w:rFonts w:ascii="Segoe UI" w:eastAsia="Times New Roman" w:hAnsi="Segoe UI" w:cs="Segoe UI"/>
          <w:color w:val="0D0D0D"/>
          <w:sz w:val="24"/>
          <w:szCs w:val="24"/>
        </w:rPr>
        <w:t>behavioral</w:t>
      </w:r>
      <w:proofErr w:type="spellEnd"/>
      <w:r w:rsidRPr="008A6293">
        <w:rPr>
          <w:rFonts w:ascii="Segoe UI" w:eastAsia="Times New Roman" w:hAnsi="Segoe UI" w:cs="Segoe UI"/>
          <w:color w:val="0D0D0D"/>
          <w:sz w:val="24"/>
          <w:szCs w:val="24"/>
        </w:rPr>
        <w:t xml:space="preserve"> norms. Ireland scores relatively high in individualism, indicating a preference for autonomy and personal achievement. Additionally, the country scores moderately low in uncertainty avoidance, suggesting a willingness to embrace ambiguity and take risks in business dealings.</w:t>
      </w:r>
    </w:p>
    <w:p w14:paraId="0B518132"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Greece:</w:t>
      </w:r>
    </w:p>
    <w:p w14:paraId="50D60460"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Country Facts: Greece, another EU member state, boasts a rich cultural heritage, picturesque landscapes, and a strategic location at the crossroads of Europe, Asia, and Africa. Despite economic challenges in recent years, Greece has made significant strides in renewable energy development and is actively seeking foreign investment to drive economic recovery.</w:t>
      </w:r>
    </w:p>
    <w:p w14:paraId="3D72ACF8"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Cultural Profile: Greek culture is characterized by its emphasis on family, tradition, and a deep-rooted connection to history and mythology. Building personal relationships and trust is paramount in Greek business culture, with face-to-face interactions often preferred over formal written communication. Understanding and respecting Greek customs and traditions are essential for successful business engagement.</w:t>
      </w:r>
    </w:p>
    <w:p w14:paraId="7362749E"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Language: Greek is the official language spoken in Greece, presenting a potential language barrier for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However, English is widely spoken, especially among younger generations and professionals in urban areas. Nonetheless, investing in language training and localization efforts can enhance communication effectiveness and cultural sensitivity.</w:t>
      </w:r>
    </w:p>
    <w:p w14:paraId="2320B907"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Possible Risks: Greece faces challenges such as bureaucratic inefficiencies, economic instability, and a complex regulatory environment. The aftermath of the financial crisis has led to lingering economic uncertainties and occasional political turbulence, which may impact business operations and investment decisions. Additionally, </w:t>
      </w:r>
      <w:r w:rsidRPr="008A6293">
        <w:rPr>
          <w:rFonts w:ascii="Segoe UI" w:eastAsia="Times New Roman" w:hAnsi="Segoe UI" w:cs="Segoe UI"/>
          <w:color w:val="0D0D0D"/>
          <w:sz w:val="24"/>
          <w:szCs w:val="24"/>
        </w:rPr>
        <w:lastRenderedPageBreak/>
        <w:t xml:space="preserve">cultural differences and a preference for personal connections in business dealings may require adaptation from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w:t>
      </w:r>
    </w:p>
    <w:p w14:paraId="3966FD1D" w14:textId="0E0ACD3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Labor Outlook: Greece possesses a skilled workforce, particularly in engineering, technology, and renewable energy fields. The country offers incentives for foreign investment in renewable energy projects, presenting opportunities for collaboration and growth. However, brain </w:t>
      </w:r>
      <w:r w:rsidR="00B2370C" w:rsidRPr="008A6293">
        <w:rPr>
          <w:rFonts w:ascii="Segoe UI" w:eastAsia="Times New Roman" w:hAnsi="Segoe UI" w:cs="Segoe UI"/>
          <w:color w:val="0D0D0D"/>
          <w:sz w:val="24"/>
          <w:szCs w:val="24"/>
        </w:rPr>
        <w:t>drain,</w:t>
      </w:r>
      <w:r w:rsidRPr="008A6293">
        <w:rPr>
          <w:rFonts w:ascii="Segoe UI" w:eastAsia="Times New Roman" w:hAnsi="Segoe UI" w:cs="Segoe UI"/>
          <w:color w:val="0D0D0D"/>
          <w:sz w:val="24"/>
          <w:szCs w:val="24"/>
        </w:rPr>
        <w:t xml:space="preserve"> and unemployment remain significant challenges, necessitating careful consideration of talent acquisition and retention strategies.</w:t>
      </w:r>
    </w:p>
    <w:p w14:paraId="3F090485"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Hofstede Analysis: Applying Hofstede's cultural dimensions to Greece reveals insights into its societal values and business practices. Greece scores relatively high in uncertainty avoidance, suggesting a preference for stability and adherence to established norms and procedures. Additionally, Greece scores moderately high in collectivism, indicating a strong emphasis on group cohesion and familial ties in business relationships.</w:t>
      </w:r>
    </w:p>
    <w:p w14:paraId="57FF4AFD"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In conclusion, both Ireland and Greece present unique opportunities and challenges for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expansion within the EU. While Ireland offers a vibrant business environment, a skilled workforce, and </w:t>
      </w:r>
      <w:proofErr w:type="spellStart"/>
      <w:r w:rsidRPr="008A6293">
        <w:rPr>
          <w:rFonts w:ascii="Segoe UI" w:eastAsia="Times New Roman" w:hAnsi="Segoe UI" w:cs="Segoe UI"/>
          <w:color w:val="0D0D0D"/>
          <w:sz w:val="24"/>
          <w:szCs w:val="24"/>
        </w:rPr>
        <w:t>favorable</w:t>
      </w:r>
      <w:proofErr w:type="spellEnd"/>
      <w:r w:rsidRPr="008A6293">
        <w:rPr>
          <w:rFonts w:ascii="Segoe UI" w:eastAsia="Times New Roman" w:hAnsi="Segoe UI" w:cs="Segoe UI"/>
          <w:color w:val="0D0D0D"/>
          <w:sz w:val="24"/>
          <w:szCs w:val="24"/>
        </w:rPr>
        <w:t xml:space="preserve"> government support, Greece boasts a rich cultural heritage and a growing interest in renewable energy. By leveraging insights from Hofstede's cultural dimensions and considering country-specific factors,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can formulate a strategic expansion plan that aligns with its objectives and values.</w:t>
      </w:r>
    </w:p>
    <w:p w14:paraId="77ECC298"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This analysis lays the foundation for </w:t>
      </w:r>
      <w:proofErr w:type="spellStart"/>
      <w:r w:rsidRPr="008A6293">
        <w:rPr>
          <w:rFonts w:ascii="Segoe UI" w:eastAsia="Times New Roman" w:hAnsi="Segoe UI" w:cs="Segoe UI"/>
          <w:color w:val="0D0D0D"/>
          <w:sz w:val="24"/>
          <w:szCs w:val="24"/>
        </w:rPr>
        <w:t>EcoTech</w:t>
      </w:r>
      <w:proofErr w:type="spellEnd"/>
      <w:r w:rsidRPr="008A6293">
        <w:rPr>
          <w:rFonts w:ascii="Segoe UI" w:eastAsia="Times New Roman" w:hAnsi="Segoe UI" w:cs="Segoe UI"/>
          <w:color w:val="0D0D0D"/>
          <w:sz w:val="24"/>
          <w:szCs w:val="24"/>
        </w:rPr>
        <w:t xml:space="preserve"> Solutions to explore further and make informed decisions regarding its expansion strategy within the EU.</w:t>
      </w:r>
    </w:p>
    <w:p w14:paraId="50F236A1"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In both Ireland and Greece, British businesses may encounter communication barriers stemming from cultural differences and language nuances. In Ireland, while English is the primary language, the Irish accent and colloquialisms may pose challenges in understanding and conveying messages effectively. Additionally, the Irish preference for personal connections and informal communication styles may require British businesses to adapt their communication approaches to build rapport and trust. In Greece, language barriers may be more pronounced, as Greek is the official language. British businesses may face challenges in navigating Greek business customs, which prioritize face-to-face interactions and personal relationships. Understanding and adapting to these cultural nuances are essential for British businesses to overcome communication barriers and foster successful partnerships in both countries.</w:t>
      </w:r>
    </w:p>
    <w:p w14:paraId="7726B09A" w14:textId="77777777" w:rsidR="008A6293" w:rsidRPr="008A6293" w:rsidRDefault="008A6293" w:rsidP="008A6293">
      <w:pPr>
        <w:rPr>
          <w:rFonts w:ascii="Segoe UI" w:eastAsia="Times New Roman" w:hAnsi="Segoe UI" w:cs="Segoe UI"/>
          <w:color w:val="0D0D0D"/>
          <w:sz w:val="24"/>
          <w:szCs w:val="24"/>
        </w:rPr>
      </w:pPr>
    </w:p>
    <w:p w14:paraId="2251F64A"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In evaluating whether to expand into Ireland or Greece, several factors beyond communication barriers come into play. Each country offers unique opportunities </w:t>
      </w:r>
      <w:r w:rsidRPr="008A6293">
        <w:rPr>
          <w:rFonts w:ascii="Segoe UI" w:eastAsia="Times New Roman" w:hAnsi="Segoe UI" w:cs="Segoe UI"/>
          <w:color w:val="0D0D0D"/>
          <w:sz w:val="24"/>
          <w:szCs w:val="24"/>
        </w:rPr>
        <w:lastRenderedPageBreak/>
        <w:t xml:space="preserve">and challenges that the British business must carefully consider before </w:t>
      </w:r>
      <w:proofErr w:type="gramStart"/>
      <w:r w:rsidRPr="008A6293">
        <w:rPr>
          <w:rFonts w:ascii="Segoe UI" w:eastAsia="Times New Roman" w:hAnsi="Segoe UI" w:cs="Segoe UI"/>
          <w:color w:val="0D0D0D"/>
          <w:sz w:val="24"/>
          <w:szCs w:val="24"/>
        </w:rPr>
        <w:t>making a decision</w:t>
      </w:r>
      <w:proofErr w:type="gramEnd"/>
      <w:r w:rsidRPr="008A6293">
        <w:rPr>
          <w:rFonts w:ascii="Segoe UI" w:eastAsia="Times New Roman" w:hAnsi="Segoe UI" w:cs="Segoe UI"/>
          <w:color w:val="0D0D0D"/>
          <w:sz w:val="24"/>
          <w:szCs w:val="24"/>
        </w:rPr>
        <w:t>.</w:t>
      </w:r>
    </w:p>
    <w:p w14:paraId="3D622F8D" w14:textId="77777777" w:rsidR="008A6293" w:rsidRPr="008A6293" w:rsidRDefault="008A6293" w:rsidP="008A6293">
      <w:pPr>
        <w:rPr>
          <w:rFonts w:ascii="Segoe UI" w:eastAsia="Times New Roman" w:hAnsi="Segoe UI" w:cs="Segoe UI"/>
          <w:color w:val="0D0D0D"/>
          <w:sz w:val="24"/>
          <w:szCs w:val="24"/>
        </w:rPr>
      </w:pPr>
    </w:p>
    <w:p w14:paraId="7AC716AD" w14:textId="13CD6013"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Ireland presents itself as an attractive destination for expansion due to its </w:t>
      </w:r>
      <w:r w:rsidR="00B2370C" w:rsidRPr="008A6293">
        <w:rPr>
          <w:rFonts w:ascii="Segoe UI" w:eastAsia="Times New Roman" w:hAnsi="Segoe UI" w:cs="Segoe UI"/>
          <w:color w:val="0D0D0D"/>
          <w:sz w:val="24"/>
          <w:szCs w:val="24"/>
        </w:rPr>
        <w:t>favourable</w:t>
      </w:r>
      <w:r w:rsidRPr="008A6293">
        <w:rPr>
          <w:rFonts w:ascii="Segoe UI" w:eastAsia="Times New Roman" w:hAnsi="Segoe UI" w:cs="Segoe UI"/>
          <w:color w:val="0D0D0D"/>
          <w:sz w:val="24"/>
          <w:szCs w:val="24"/>
        </w:rPr>
        <w:t xml:space="preserve"> business environment, skilled workforce, and strong commitment to sustainability. With English as the primary language and a business culture that shares many similarities with the UK, the British business may find it easier to navigate the Irish market and establish partnerships. Ireland's thriving technology sector and supportive government initiatives further enhance its appeal as an expansion destination. Additionally, Ireland's membership in the EU provides access to a larger market and potential growth opportunities. However, competition in the technology sector and Brexit-related uncertainties may pose challenges that require careful consideration and strategic planning.</w:t>
      </w:r>
    </w:p>
    <w:p w14:paraId="42BDDE9D" w14:textId="77777777" w:rsidR="008A6293" w:rsidRPr="008A6293" w:rsidRDefault="008A6293" w:rsidP="008A6293">
      <w:pPr>
        <w:rPr>
          <w:rFonts w:ascii="Segoe UI" w:eastAsia="Times New Roman" w:hAnsi="Segoe UI" w:cs="Segoe UI"/>
          <w:color w:val="0D0D0D"/>
          <w:sz w:val="24"/>
          <w:szCs w:val="24"/>
        </w:rPr>
      </w:pPr>
    </w:p>
    <w:p w14:paraId="0911F8F1"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On the other hand, Greece offers a rich cultural heritage, strategic location, and growing interest in renewable energy. Despite economic challenges in recent years, Greece has made significant progress in developing its renewable energy sector and offers incentives for foreign investment. While Greek is the official language, English is widely spoken, especially among younger generations and professionals in urban areas. However, the British business may encounter bureaucratic processes, economic instability, and regulatory complexities in Greece. Additionally, navigating Greek business customs, which prioritize personal relationships and face-to-face interactions, may require adaptation and patience.</w:t>
      </w:r>
    </w:p>
    <w:p w14:paraId="1187E91B" w14:textId="77777777" w:rsidR="008A6293" w:rsidRPr="008A6293" w:rsidRDefault="008A6293" w:rsidP="008A6293">
      <w:pPr>
        <w:rPr>
          <w:rFonts w:ascii="Segoe UI" w:eastAsia="Times New Roman" w:hAnsi="Segoe UI" w:cs="Segoe UI"/>
          <w:color w:val="0D0D0D"/>
          <w:sz w:val="24"/>
          <w:szCs w:val="24"/>
        </w:rPr>
      </w:pPr>
    </w:p>
    <w:p w14:paraId="26066316"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In terms of recommendations, the British business should carefully assess its objectives, resources, and capabilities to determine the most suitable expansion destination. Conducting thorough market research and feasibility studies can provide valuable insights into the business landscape, competitive dynamics, and growth potential in each country. Additionally, seeking guidance from local experts or consultants familiar with the Irish and Greek markets can help mitigate risks and inform strategic decision-making.</w:t>
      </w:r>
    </w:p>
    <w:p w14:paraId="5E141842" w14:textId="77777777" w:rsidR="008A6293" w:rsidRPr="008A6293" w:rsidRDefault="008A6293" w:rsidP="008A6293">
      <w:pPr>
        <w:rPr>
          <w:rFonts w:ascii="Segoe UI" w:eastAsia="Times New Roman" w:hAnsi="Segoe UI" w:cs="Segoe UI"/>
          <w:color w:val="0D0D0D"/>
          <w:sz w:val="24"/>
          <w:szCs w:val="24"/>
        </w:rPr>
      </w:pPr>
    </w:p>
    <w:p w14:paraId="43F390F1" w14:textId="0B7E6459"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Furthermore, the British business should develop tailored expansion strategies for each country, </w:t>
      </w:r>
      <w:r w:rsidR="00B2370C" w:rsidRPr="008A6293">
        <w:rPr>
          <w:rFonts w:ascii="Segoe UI" w:eastAsia="Times New Roman" w:hAnsi="Segoe UI" w:cs="Segoe UI"/>
          <w:color w:val="0D0D0D"/>
          <w:sz w:val="24"/>
          <w:szCs w:val="24"/>
        </w:rPr>
        <w:t>considering</w:t>
      </w:r>
      <w:r w:rsidRPr="008A6293">
        <w:rPr>
          <w:rFonts w:ascii="Segoe UI" w:eastAsia="Times New Roman" w:hAnsi="Segoe UI" w:cs="Segoe UI"/>
          <w:color w:val="0D0D0D"/>
          <w:sz w:val="24"/>
          <w:szCs w:val="24"/>
        </w:rPr>
        <w:t xml:space="preserve"> factors such as market demand, regulatory environment, and cultural nuances. For Ireland, leveraging existing networks, forging strategic partnerships, and capitalizing on Ireland's technology ecosystem can accelerate market entry and growth. In Greece, building relationships with local stakeholders, navigating bureaucratic processes effectively, and demonstrating a commitment to </w:t>
      </w:r>
      <w:r w:rsidRPr="008A6293">
        <w:rPr>
          <w:rFonts w:ascii="Segoe UI" w:eastAsia="Times New Roman" w:hAnsi="Segoe UI" w:cs="Segoe UI"/>
          <w:color w:val="0D0D0D"/>
          <w:sz w:val="24"/>
          <w:szCs w:val="24"/>
        </w:rPr>
        <w:lastRenderedPageBreak/>
        <w:t>sustainable development can enhance the British business's reputation and credibility in the market.</w:t>
      </w:r>
    </w:p>
    <w:p w14:paraId="720C35C7" w14:textId="77777777" w:rsidR="008A6293" w:rsidRPr="008A6293" w:rsidRDefault="008A6293" w:rsidP="008A6293">
      <w:pPr>
        <w:rPr>
          <w:rFonts w:ascii="Segoe UI" w:eastAsia="Times New Roman" w:hAnsi="Segoe UI" w:cs="Segoe UI"/>
          <w:color w:val="0D0D0D"/>
          <w:sz w:val="24"/>
          <w:szCs w:val="24"/>
        </w:rPr>
      </w:pPr>
    </w:p>
    <w:p w14:paraId="59781764"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Ultimately, the decision to expand into Ireland or Greece should align with the British business's long-term growth objectives and values. By carefully weighing the opportunities and challenges presented by each country and implementing targeted expansion strategies, the British business can position itself for success and create a positive environment for growth and prosperity, both for the organization and its stakeholders.</w:t>
      </w:r>
    </w:p>
    <w:p w14:paraId="6F263A28"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In conclusion, the evaluation of Ireland and Greece as potential expansion destinations for the British business highlights both the opportunities and challenges inherent in each market.</w:t>
      </w:r>
    </w:p>
    <w:p w14:paraId="289200C7" w14:textId="14C54072"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 xml:space="preserve">Ireland presents itself as a </w:t>
      </w:r>
      <w:r w:rsidR="00B2370C" w:rsidRPr="008A6293">
        <w:rPr>
          <w:rFonts w:ascii="Segoe UI" w:eastAsia="Times New Roman" w:hAnsi="Segoe UI" w:cs="Segoe UI"/>
          <w:color w:val="0D0D0D"/>
          <w:sz w:val="24"/>
          <w:szCs w:val="24"/>
        </w:rPr>
        <w:t>favourable</w:t>
      </w:r>
      <w:r w:rsidRPr="008A6293">
        <w:rPr>
          <w:rFonts w:ascii="Segoe UI" w:eastAsia="Times New Roman" w:hAnsi="Segoe UI" w:cs="Segoe UI"/>
          <w:color w:val="0D0D0D"/>
          <w:sz w:val="24"/>
          <w:szCs w:val="24"/>
        </w:rPr>
        <w:t xml:space="preserve"> option with its vibrant business environment, skilled workforce, and alignment with the UK in terms of language and business culture. However, considerations such as competition in the technology sector and uncertainties related to Brexit require careful strategic planning.</w:t>
      </w:r>
    </w:p>
    <w:p w14:paraId="043489AB"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On the other hand, Greece offers a rich cultural heritage, growing interest in renewable energy, and opportunities for investment. While language and cultural differences may pose challenges, Greece's potential for growth and its strategic location make it an attractive prospect.</w:t>
      </w:r>
    </w:p>
    <w:p w14:paraId="6E922183" w14:textId="77777777" w:rsidR="008A6293" w:rsidRP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To make an informed decision, the British business should conduct thorough market research, consider its objectives and resources, and seek guidance from local experts. Tailored expansion strategies should be developed for each country, focusing on building relationships, navigating regulatory complexities, and demonstrating a commitment to sustainability.</w:t>
      </w:r>
    </w:p>
    <w:p w14:paraId="771C87DC" w14:textId="77777777" w:rsidR="008A6293" w:rsidRDefault="008A6293" w:rsidP="008A6293">
      <w:pPr>
        <w:rPr>
          <w:rFonts w:ascii="Segoe UI" w:eastAsia="Times New Roman" w:hAnsi="Segoe UI" w:cs="Segoe UI"/>
          <w:color w:val="0D0D0D"/>
          <w:sz w:val="24"/>
          <w:szCs w:val="24"/>
        </w:rPr>
      </w:pPr>
      <w:r w:rsidRPr="008A6293">
        <w:rPr>
          <w:rFonts w:ascii="Segoe UI" w:eastAsia="Times New Roman" w:hAnsi="Segoe UI" w:cs="Segoe UI"/>
          <w:color w:val="0D0D0D"/>
          <w:sz w:val="24"/>
          <w:szCs w:val="24"/>
        </w:rPr>
        <w:t>By carefully weighing these factors and implementing targeted strategies, the British business can position itself for success and contribute to the sustainable development of either Ireland or Greece. This analysis sets the stage for further exploration and decision-making as the British business moves forward with its expansion plans.</w:t>
      </w:r>
    </w:p>
    <w:p w14:paraId="45C9AA0B" w14:textId="77777777" w:rsidR="00B8088D" w:rsidRDefault="00B8088D" w:rsidP="008A6293">
      <w:pPr>
        <w:rPr>
          <w:rFonts w:ascii="Segoe UI" w:eastAsia="Times New Roman" w:hAnsi="Segoe UI" w:cs="Segoe UI"/>
          <w:color w:val="0D0D0D"/>
          <w:sz w:val="24"/>
          <w:szCs w:val="24"/>
        </w:rPr>
      </w:pPr>
    </w:p>
    <w:p w14:paraId="18F5ADFF" w14:textId="77777777" w:rsidR="00B8088D" w:rsidRDefault="00B8088D" w:rsidP="008A6293">
      <w:pPr>
        <w:rPr>
          <w:rFonts w:ascii="Segoe UI" w:eastAsia="Times New Roman" w:hAnsi="Segoe UI" w:cs="Segoe UI"/>
          <w:color w:val="0D0D0D"/>
          <w:sz w:val="24"/>
          <w:szCs w:val="24"/>
        </w:rPr>
      </w:pPr>
    </w:p>
    <w:p w14:paraId="702C8057" w14:textId="77777777" w:rsidR="00B8088D" w:rsidRDefault="00B8088D" w:rsidP="00B8088D">
      <w:pPr>
        <w:rPr>
          <w:rFonts w:ascii="Segoe UI" w:eastAsia="Times New Roman" w:hAnsi="Segoe UI" w:cs="Segoe UI"/>
          <w:color w:val="0D0D0D"/>
          <w:sz w:val="24"/>
          <w:szCs w:val="24"/>
        </w:rPr>
      </w:pPr>
    </w:p>
    <w:p w14:paraId="4560AF15" w14:textId="77777777" w:rsidR="00B8088D" w:rsidRDefault="00B8088D" w:rsidP="00B8088D">
      <w:pPr>
        <w:rPr>
          <w:rFonts w:ascii="Segoe UI" w:eastAsia="Times New Roman" w:hAnsi="Segoe UI" w:cs="Segoe UI"/>
          <w:color w:val="0D0D0D"/>
          <w:sz w:val="24"/>
          <w:szCs w:val="24"/>
        </w:rPr>
      </w:pPr>
    </w:p>
    <w:p w14:paraId="5CC5F72D" w14:textId="77777777" w:rsidR="00B8088D" w:rsidRDefault="00B8088D" w:rsidP="00B8088D">
      <w:pPr>
        <w:rPr>
          <w:rFonts w:ascii="Segoe UI" w:eastAsia="Times New Roman" w:hAnsi="Segoe UI" w:cs="Segoe UI"/>
          <w:color w:val="0D0D0D"/>
          <w:sz w:val="24"/>
          <w:szCs w:val="24"/>
        </w:rPr>
      </w:pPr>
    </w:p>
    <w:p w14:paraId="243B2B34" w14:textId="77777777" w:rsidR="00B8088D" w:rsidRDefault="00B8088D" w:rsidP="00B8088D">
      <w:pPr>
        <w:rPr>
          <w:rFonts w:ascii="Segoe UI" w:eastAsia="Times New Roman" w:hAnsi="Segoe UI" w:cs="Segoe UI"/>
          <w:color w:val="0D0D0D"/>
          <w:sz w:val="24"/>
          <w:szCs w:val="24"/>
        </w:rPr>
      </w:pPr>
    </w:p>
    <w:p w14:paraId="34433C00" w14:textId="77777777" w:rsidR="00B8088D" w:rsidRPr="00B8088D" w:rsidRDefault="00B8088D" w:rsidP="00B8088D">
      <w:pPr>
        <w:rPr>
          <w:rFonts w:ascii="Segoe UI" w:eastAsia="Times New Roman" w:hAnsi="Segoe UI" w:cs="Segoe UI"/>
          <w:color w:val="0D0D0D"/>
          <w:sz w:val="24"/>
          <w:szCs w:val="24"/>
        </w:rPr>
      </w:pPr>
    </w:p>
    <w:p w14:paraId="76446A69" w14:textId="77777777" w:rsidR="00B8088D" w:rsidRDefault="00B8088D" w:rsidP="00B8088D">
      <w:pPr>
        <w:rPr>
          <w:rFonts w:ascii="Segoe UI" w:eastAsia="Times New Roman" w:hAnsi="Segoe UI" w:cs="Segoe UI"/>
          <w:color w:val="0D0D0D"/>
          <w:sz w:val="24"/>
          <w:szCs w:val="24"/>
        </w:rPr>
      </w:pPr>
      <w:r w:rsidRPr="00B8088D">
        <w:rPr>
          <w:rFonts w:ascii="Segoe UI" w:eastAsia="Times New Roman" w:hAnsi="Segoe UI" w:cs="Segoe UI"/>
          <w:color w:val="0D0D0D"/>
          <w:sz w:val="24"/>
          <w:szCs w:val="24"/>
        </w:rPr>
        <w:lastRenderedPageBreak/>
        <w:t xml:space="preserve">1. Hofstede, G. (2011). </w:t>
      </w:r>
      <w:proofErr w:type="spellStart"/>
      <w:r w:rsidRPr="00B8088D">
        <w:rPr>
          <w:rFonts w:ascii="Segoe UI" w:eastAsia="Times New Roman" w:hAnsi="Segoe UI" w:cs="Segoe UI"/>
          <w:color w:val="0D0D0D"/>
          <w:sz w:val="24"/>
          <w:szCs w:val="24"/>
        </w:rPr>
        <w:t>Dimensionalizing</w:t>
      </w:r>
      <w:proofErr w:type="spellEnd"/>
      <w:r w:rsidRPr="00B8088D">
        <w:rPr>
          <w:rFonts w:ascii="Segoe UI" w:eastAsia="Times New Roman" w:hAnsi="Segoe UI" w:cs="Segoe UI"/>
          <w:color w:val="0D0D0D"/>
          <w:sz w:val="24"/>
          <w:szCs w:val="24"/>
        </w:rPr>
        <w:t xml:space="preserve"> Cultures: The Hofstede Model in Context. Online Readings in Psychology and Culture, 2(1), 8.</w:t>
      </w:r>
    </w:p>
    <w:p w14:paraId="3A0D40F7" w14:textId="77777777" w:rsidR="00B8088D" w:rsidRPr="00B8088D" w:rsidRDefault="00B8088D" w:rsidP="00B8088D">
      <w:pPr>
        <w:rPr>
          <w:rFonts w:ascii="Segoe UI" w:eastAsia="Times New Roman" w:hAnsi="Segoe UI" w:cs="Segoe UI"/>
          <w:color w:val="0D0D0D"/>
          <w:sz w:val="24"/>
          <w:szCs w:val="24"/>
        </w:rPr>
      </w:pPr>
    </w:p>
    <w:p w14:paraId="39B3320F" w14:textId="77777777" w:rsidR="00B8088D" w:rsidRDefault="00B8088D" w:rsidP="00B8088D">
      <w:pPr>
        <w:rPr>
          <w:rFonts w:ascii="Segoe UI" w:eastAsia="Times New Roman" w:hAnsi="Segoe UI" w:cs="Segoe UI"/>
          <w:color w:val="0D0D0D"/>
          <w:sz w:val="24"/>
          <w:szCs w:val="24"/>
        </w:rPr>
      </w:pPr>
      <w:r w:rsidRPr="00B8088D">
        <w:rPr>
          <w:rFonts w:ascii="Segoe UI" w:eastAsia="Times New Roman" w:hAnsi="Segoe UI" w:cs="Segoe UI"/>
          <w:color w:val="0D0D0D"/>
          <w:sz w:val="24"/>
          <w:szCs w:val="24"/>
        </w:rPr>
        <w:t>2. Trompenaars, F., &amp; Hampden-Turner, C. (2012). Riding the Waves of Culture: Understanding Diversity in Global Business (3rd ed.). McGraw-Hill Education.</w:t>
      </w:r>
    </w:p>
    <w:p w14:paraId="03107162" w14:textId="77777777" w:rsidR="00B8088D" w:rsidRPr="00B8088D" w:rsidRDefault="00B8088D" w:rsidP="00B8088D">
      <w:pPr>
        <w:rPr>
          <w:rFonts w:ascii="Segoe UI" w:eastAsia="Times New Roman" w:hAnsi="Segoe UI" w:cs="Segoe UI"/>
          <w:color w:val="0D0D0D"/>
          <w:sz w:val="24"/>
          <w:szCs w:val="24"/>
        </w:rPr>
      </w:pPr>
    </w:p>
    <w:p w14:paraId="2A94434A" w14:textId="77777777" w:rsidR="00B8088D" w:rsidRDefault="00B8088D" w:rsidP="00B8088D">
      <w:pPr>
        <w:rPr>
          <w:rFonts w:ascii="Segoe UI" w:eastAsia="Times New Roman" w:hAnsi="Segoe UI" w:cs="Segoe UI"/>
          <w:color w:val="0D0D0D"/>
          <w:sz w:val="24"/>
          <w:szCs w:val="24"/>
        </w:rPr>
      </w:pPr>
      <w:r w:rsidRPr="00B8088D">
        <w:rPr>
          <w:rFonts w:ascii="Segoe UI" w:eastAsia="Times New Roman" w:hAnsi="Segoe UI" w:cs="Segoe UI"/>
          <w:color w:val="0D0D0D"/>
          <w:sz w:val="24"/>
          <w:szCs w:val="24"/>
        </w:rPr>
        <w:t xml:space="preserve">3. Adler, N. J. (2015). International Dimensions of Organizational </w:t>
      </w:r>
      <w:proofErr w:type="spellStart"/>
      <w:r w:rsidRPr="00B8088D">
        <w:rPr>
          <w:rFonts w:ascii="Segoe UI" w:eastAsia="Times New Roman" w:hAnsi="Segoe UI" w:cs="Segoe UI"/>
          <w:color w:val="0D0D0D"/>
          <w:sz w:val="24"/>
          <w:szCs w:val="24"/>
        </w:rPr>
        <w:t>Behavior</w:t>
      </w:r>
      <w:proofErr w:type="spellEnd"/>
      <w:r w:rsidRPr="00B8088D">
        <w:rPr>
          <w:rFonts w:ascii="Segoe UI" w:eastAsia="Times New Roman" w:hAnsi="Segoe UI" w:cs="Segoe UI"/>
          <w:color w:val="0D0D0D"/>
          <w:sz w:val="24"/>
          <w:szCs w:val="24"/>
        </w:rPr>
        <w:t xml:space="preserve"> (6th ed.). Cengage Learning.</w:t>
      </w:r>
    </w:p>
    <w:p w14:paraId="5C7B1E6D" w14:textId="77777777" w:rsidR="00B8088D" w:rsidRPr="00B8088D" w:rsidRDefault="00B8088D" w:rsidP="00B8088D">
      <w:pPr>
        <w:rPr>
          <w:rFonts w:ascii="Segoe UI" w:eastAsia="Times New Roman" w:hAnsi="Segoe UI" w:cs="Segoe UI"/>
          <w:color w:val="0D0D0D"/>
          <w:sz w:val="24"/>
          <w:szCs w:val="24"/>
        </w:rPr>
      </w:pPr>
    </w:p>
    <w:p w14:paraId="14E63F8F" w14:textId="77777777" w:rsidR="00B8088D" w:rsidRDefault="00B8088D" w:rsidP="00B8088D">
      <w:pPr>
        <w:rPr>
          <w:rFonts w:ascii="Segoe UI" w:eastAsia="Times New Roman" w:hAnsi="Segoe UI" w:cs="Segoe UI"/>
          <w:color w:val="0D0D0D"/>
          <w:sz w:val="24"/>
          <w:szCs w:val="24"/>
        </w:rPr>
      </w:pPr>
      <w:r w:rsidRPr="00B8088D">
        <w:rPr>
          <w:rFonts w:ascii="Segoe UI" w:eastAsia="Times New Roman" w:hAnsi="Segoe UI" w:cs="Segoe UI"/>
          <w:color w:val="0D0D0D"/>
          <w:sz w:val="24"/>
          <w:szCs w:val="24"/>
        </w:rPr>
        <w:t>4. Lewis, R. D. (2017). When Cultures Collide: Leading Across Cultures (4th ed.). Nicholas Brealey Publishing.</w:t>
      </w:r>
    </w:p>
    <w:p w14:paraId="2DF8160F" w14:textId="77777777" w:rsidR="00B8088D" w:rsidRPr="00B8088D" w:rsidRDefault="00B8088D" w:rsidP="00B8088D">
      <w:pPr>
        <w:rPr>
          <w:rFonts w:ascii="Segoe UI" w:eastAsia="Times New Roman" w:hAnsi="Segoe UI" w:cs="Segoe UI"/>
          <w:color w:val="0D0D0D"/>
          <w:sz w:val="24"/>
          <w:szCs w:val="24"/>
        </w:rPr>
      </w:pPr>
    </w:p>
    <w:p w14:paraId="602103F9" w14:textId="77777777" w:rsidR="00B8088D" w:rsidRDefault="00B8088D" w:rsidP="00B8088D">
      <w:pPr>
        <w:rPr>
          <w:rFonts w:ascii="Segoe UI" w:eastAsia="Times New Roman" w:hAnsi="Segoe UI" w:cs="Segoe UI"/>
          <w:color w:val="0D0D0D"/>
          <w:sz w:val="24"/>
          <w:szCs w:val="24"/>
        </w:rPr>
      </w:pPr>
      <w:r w:rsidRPr="00B8088D">
        <w:rPr>
          <w:rFonts w:ascii="Segoe UI" w:eastAsia="Times New Roman" w:hAnsi="Segoe UI" w:cs="Segoe UI"/>
          <w:color w:val="0D0D0D"/>
          <w:sz w:val="24"/>
          <w:szCs w:val="24"/>
        </w:rPr>
        <w:t xml:space="preserve">5. </w:t>
      </w:r>
      <w:proofErr w:type="spellStart"/>
      <w:r w:rsidRPr="00B8088D">
        <w:rPr>
          <w:rFonts w:ascii="Segoe UI" w:eastAsia="Times New Roman" w:hAnsi="Segoe UI" w:cs="Segoe UI"/>
          <w:color w:val="0D0D0D"/>
          <w:sz w:val="24"/>
          <w:szCs w:val="24"/>
        </w:rPr>
        <w:t>Gudykunst</w:t>
      </w:r>
      <w:proofErr w:type="spellEnd"/>
      <w:r w:rsidRPr="00B8088D">
        <w:rPr>
          <w:rFonts w:ascii="Segoe UI" w:eastAsia="Times New Roman" w:hAnsi="Segoe UI" w:cs="Segoe UI"/>
          <w:color w:val="0D0D0D"/>
          <w:sz w:val="24"/>
          <w:szCs w:val="24"/>
        </w:rPr>
        <w:t>, W. B., &amp; Kim, Y. Y. (2017). Communicating with Strangers: An Approach to Intercultural Communication (6th ed.). McGraw-Hill Education.</w:t>
      </w:r>
    </w:p>
    <w:p w14:paraId="54EFDEF9" w14:textId="77777777" w:rsidR="00B8088D" w:rsidRPr="00B8088D" w:rsidRDefault="00B8088D" w:rsidP="00B8088D">
      <w:pPr>
        <w:rPr>
          <w:rFonts w:ascii="Segoe UI" w:eastAsia="Times New Roman" w:hAnsi="Segoe UI" w:cs="Segoe UI"/>
          <w:color w:val="0D0D0D"/>
          <w:sz w:val="24"/>
          <w:szCs w:val="24"/>
        </w:rPr>
      </w:pPr>
    </w:p>
    <w:p w14:paraId="6DA25C0B" w14:textId="77777777" w:rsidR="00B8088D" w:rsidRDefault="00B8088D" w:rsidP="00B8088D">
      <w:pPr>
        <w:rPr>
          <w:rFonts w:ascii="Segoe UI" w:eastAsia="Times New Roman" w:hAnsi="Segoe UI" w:cs="Segoe UI"/>
          <w:color w:val="0D0D0D"/>
          <w:sz w:val="24"/>
          <w:szCs w:val="24"/>
        </w:rPr>
      </w:pPr>
      <w:r w:rsidRPr="00B8088D">
        <w:rPr>
          <w:rFonts w:ascii="Segoe UI" w:eastAsia="Times New Roman" w:hAnsi="Segoe UI" w:cs="Segoe UI"/>
          <w:color w:val="0D0D0D"/>
          <w:sz w:val="24"/>
          <w:szCs w:val="24"/>
        </w:rPr>
        <w:t>6. House, R. J., Hanges, P. J., Javidan, M., Dorfman, P. W., &amp; Gupta, V. (2014). Culture, Leadership, and Organizations: The GLOBE Study of 62 Societies (2nd ed.). Sage Publications.</w:t>
      </w:r>
    </w:p>
    <w:p w14:paraId="566A150F" w14:textId="77777777" w:rsidR="00B8088D" w:rsidRPr="00B8088D" w:rsidRDefault="00B8088D" w:rsidP="00B8088D">
      <w:pPr>
        <w:rPr>
          <w:rFonts w:ascii="Segoe UI" w:eastAsia="Times New Roman" w:hAnsi="Segoe UI" w:cs="Segoe UI"/>
          <w:color w:val="0D0D0D"/>
          <w:sz w:val="24"/>
          <w:szCs w:val="24"/>
        </w:rPr>
      </w:pPr>
    </w:p>
    <w:p w14:paraId="08B2041E" w14:textId="77777777" w:rsidR="00B8088D" w:rsidRDefault="00B8088D" w:rsidP="00B8088D">
      <w:pPr>
        <w:rPr>
          <w:rFonts w:ascii="Segoe UI" w:eastAsia="Times New Roman" w:hAnsi="Segoe UI" w:cs="Segoe UI"/>
          <w:color w:val="0D0D0D"/>
          <w:sz w:val="24"/>
          <w:szCs w:val="24"/>
        </w:rPr>
      </w:pPr>
      <w:r w:rsidRPr="00B8088D">
        <w:rPr>
          <w:rFonts w:ascii="Segoe UI" w:eastAsia="Times New Roman" w:hAnsi="Segoe UI" w:cs="Segoe UI"/>
          <w:color w:val="0D0D0D"/>
          <w:sz w:val="24"/>
          <w:szCs w:val="24"/>
        </w:rPr>
        <w:t xml:space="preserve">7. Thomas, D. C., &amp; </w:t>
      </w:r>
      <w:proofErr w:type="spellStart"/>
      <w:r w:rsidRPr="00B8088D">
        <w:rPr>
          <w:rFonts w:ascii="Segoe UI" w:eastAsia="Times New Roman" w:hAnsi="Segoe UI" w:cs="Segoe UI"/>
          <w:color w:val="0D0D0D"/>
          <w:sz w:val="24"/>
          <w:szCs w:val="24"/>
        </w:rPr>
        <w:t>Inkson</w:t>
      </w:r>
      <w:proofErr w:type="spellEnd"/>
      <w:r w:rsidRPr="00B8088D">
        <w:rPr>
          <w:rFonts w:ascii="Segoe UI" w:eastAsia="Times New Roman" w:hAnsi="Segoe UI" w:cs="Segoe UI"/>
          <w:color w:val="0D0D0D"/>
          <w:sz w:val="24"/>
          <w:szCs w:val="24"/>
        </w:rPr>
        <w:t>, K. (2018). Cultural Intelligence: Living and Working Globally (3rd ed.). Berrett-Koehler Publishers.</w:t>
      </w:r>
    </w:p>
    <w:p w14:paraId="039F745A" w14:textId="77777777" w:rsidR="00B8088D" w:rsidRPr="00B8088D" w:rsidRDefault="00B8088D" w:rsidP="00B8088D">
      <w:pPr>
        <w:rPr>
          <w:rFonts w:ascii="Segoe UI" w:eastAsia="Times New Roman" w:hAnsi="Segoe UI" w:cs="Segoe UI"/>
          <w:color w:val="0D0D0D"/>
          <w:sz w:val="24"/>
          <w:szCs w:val="24"/>
        </w:rPr>
      </w:pPr>
    </w:p>
    <w:p w14:paraId="30549897" w14:textId="77777777" w:rsidR="00B8088D" w:rsidRDefault="00B8088D" w:rsidP="00B8088D">
      <w:pPr>
        <w:rPr>
          <w:rFonts w:ascii="Segoe UI" w:eastAsia="Times New Roman" w:hAnsi="Segoe UI" w:cs="Segoe UI"/>
          <w:color w:val="0D0D0D"/>
          <w:sz w:val="24"/>
          <w:szCs w:val="24"/>
        </w:rPr>
      </w:pPr>
      <w:r w:rsidRPr="00B8088D">
        <w:rPr>
          <w:rFonts w:ascii="Segoe UI" w:eastAsia="Times New Roman" w:hAnsi="Segoe UI" w:cs="Segoe UI"/>
          <w:color w:val="0D0D0D"/>
          <w:sz w:val="24"/>
          <w:szCs w:val="24"/>
        </w:rPr>
        <w:t xml:space="preserve">8. Schneider, S. C., &amp; </w:t>
      </w:r>
      <w:proofErr w:type="spellStart"/>
      <w:r w:rsidRPr="00B8088D">
        <w:rPr>
          <w:rFonts w:ascii="Segoe UI" w:eastAsia="Times New Roman" w:hAnsi="Segoe UI" w:cs="Segoe UI"/>
          <w:color w:val="0D0D0D"/>
          <w:sz w:val="24"/>
          <w:szCs w:val="24"/>
        </w:rPr>
        <w:t>Barsoux</w:t>
      </w:r>
      <w:proofErr w:type="spellEnd"/>
      <w:r w:rsidRPr="00B8088D">
        <w:rPr>
          <w:rFonts w:ascii="Segoe UI" w:eastAsia="Times New Roman" w:hAnsi="Segoe UI" w:cs="Segoe UI"/>
          <w:color w:val="0D0D0D"/>
          <w:sz w:val="24"/>
          <w:szCs w:val="24"/>
        </w:rPr>
        <w:t>, J. L. (2014). Managing Across Cultures (3rd ed.). Prentice Hall.</w:t>
      </w:r>
    </w:p>
    <w:p w14:paraId="7295B8C7" w14:textId="77777777" w:rsidR="00B8088D" w:rsidRPr="00B8088D" w:rsidRDefault="00B8088D" w:rsidP="00B8088D">
      <w:pPr>
        <w:rPr>
          <w:rFonts w:ascii="Segoe UI" w:eastAsia="Times New Roman" w:hAnsi="Segoe UI" w:cs="Segoe UI"/>
          <w:color w:val="0D0D0D"/>
          <w:sz w:val="24"/>
          <w:szCs w:val="24"/>
        </w:rPr>
      </w:pPr>
    </w:p>
    <w:p w14:paraId="386E9A58" w14:textId="77777777" w:rsidR="00B8088D" w:rsidRDefault="00B8088D" w:rsidP="00B8088D">
      <w:pPr>
        <w:rPr>
          <w:rFonts w:ascii="Segoe UI" w:eastAsia="Times New Roman" w:hAnsi="Segoe UI" w:cs="Segoe UI"/>
          <w:color w:val="0D0D0D"/>
          <w:sz w:val="24"/>
          <w:szCs w:val="24"/>
        </w:rPr>
      </w:pPr>
      <w:r w:rsidRPr="00B8088D">
        <w:rPr>
          <w:rFonts w:ascii="Segoe UI" w:eastAsia="Times New Roman" w:hAnsi="Segoe UI" w:cs="Segoe UI"/>
          <w:color w:val="0D0D0D"/>
          <w:sz w:val="24"/>
          <w:szCs w:val="24"/>
        </w:rPr>
        <w:t>9. Jackson, T. (2019). International HRM: A Cross-Cultural Approach. Sage Publications.</w:t>
      </w:r>
    </w:p>
    <w:p w14:paraId="18CD4F19" w14:textId="77777777" w:rsidR="00B8088D" w:rsidRPr="00B8088D" w:rsidRDefault="00B8088D" w:rsidP="00B8088D">
      <w:pPr>
        <w:rPr>
          <w:rFonts w:ascii="Segoe UI" w:eastAsia="Times New Roman" w:hAnsi="Segoe UI" w:cs="Segoe UI"/>
          <w:color w:val="0D0D0D"/>
          <w:sz w:val="24"/>
          <w:szCs w:val="24"/>
        </w:rPr>
      </w:pPr>
    </w:p>
    <w:p w14:paraId="1973CF7E" w14:textId="0623F25F" w:rsidR="00B8088D" w:rsidRPr="008A6293" w:rsidRDefault="00B8088D" w:rsidP="00B8088D">
      <w:pPr>
        <w:rPr>
          <w:rFonts w:ascii="Segoe UI" w:eastAsia="Times New Roman" w:hAnsi="Segoe UI" w:cs="Segoe UI"/>
          <w:color w:val="0D0D0D"/>
          <w:sz w:val="24"/>
          <w:szCs w:val="24"/>
        </w:rPr>
      </w:pPr>
      <w:r w:rsidRPr="00B8088D">
        <w:rPr>
          <w:rFonts w:ascii="Segoe UI" w:eastAsia="Times New Roman" w:hAnsi="Segoe UI" w:cs="Segoe UI"/>
          <w:color w:val="0D0D0D"/>
          <w:sz w:val="24"/>
          <w:szCs w:val="24"/>
        </w:rPr>
        <w:t xml:space="preserve">10. </w:t>
      </w:r>
      <w:proofErr w:type="spellStart"/>
      <w:r w:rsidRPr="00B8088D">
        <w:rPr>
          <w:rFonts w:ascii="Segoe UI" w:eastAsia="Times New Roman" w:hAnsi="Segoe UI" w:cs="Segoe UI"/>
          <w:color w:val="0D0D0D"/>
          <w:sz w:val="24"/>
          <w:szCs w:val="24"/>
        </w:rPr>
        <w:t>Triandis</w:t>
      </w:r>
      <w:proofErr w:type="spellEnd"/>
      <w:r w:rsidRPr="00B8088D">
        <w:rPr>
          <w:rFonts w:ascii="Segoe UI" w:eastAsia="Times New Roman" w:hAnsi="Segoe UI" w:cs="Segoe UI"/>
          <w:color w:val="0D0D0D"/>
          <w:sz w:val="24"/>
          <w:szCs w:val="24"/>
        </w:rPr>
        <w:t>, H. C., &amp; Gelfand, M. J. (2012). A Theory of Individualism and Collectivism. In D. Matsumoto &amp; F. van de Vijver (Eds.), Cross-Cultural Research Methods in Psychology (pp. 34-55). Cambridge University Press.</w:t>
      </w:r>
    </w:p>
    <w:p w14:paraId="1C950B12" w14:textId="77777777" w:rsidR="008A6293" w:rsidRPr="008A6293" w:rsidRDefault="008A6293" w:rsidP="008A6293">
      <w:pPr>
        <w:rPr>
          <w:rFonts w:ascii="Segoe UI" w:eastAsia="Times New Roman" w:hAnsi="Segoe UI" w:cs="Segoe UI"/>
          <w:color w:val="0D0D0D"/>
          <w:sz w:val="24"/>
          <w:szCs w:val="24"/>
        </w:rPr>
      </w:pPr>
    </w:p>
    <w:p w14:paraId="1CD666AA" w14:textId="77777777" w:rsidR="008A6293" w:rsidRPr="008A6293" w:rsidRDefault="008A6293" w:rsidP="008A6293">
      <w:pPr>
        <w:rPr>
          <w:rFonts w:ascii="Segoe UI" w:eastAsia="Times New Roman" w:hAnsi="Segoe UI" w:cs="Segoe UI"/>
          <w:color w:val="0D0D0D"/>
          <w:sz w:val="24"/>
          <w:szCs w:val="24"/>
        </w:rPr>
      </w:pPr>
    </w:p>
    <w:p w14:paraId="0000008C" w14:textId="77777777" w:rsidR="002E3E14" w:rsidRPr="008A6293" w:rsidRDefault="002E3E14" w:rsidP="008A6293"/>
    <w:sectPr w:rsidR="002E3E14" w:rsidRPr="008A629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E14"/>
    <w:rsid w:val="002372F6"/>
    <w:rsid w:val="002E3E14"/>
    <w:rsid w:val="004A4A0C"/>
    <w:rsid w:val="007747D2"/>
    <w:rsid w:val="008A6293"/>
    <w:rsid w:val="00943888"/>
    <w:rsid w:val="009E5A76"/>
    <w:rsid w:val="00B2370C"/>
    <w:rsid w:val="00B8088D"/>
    <w:rsid w:val="00EA2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F2864"/>
  <w15:docId w15:val="{D656F075-0C5A-4935-B3B7-8C05F78DE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7747D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43888"/>
    <w:rPr>
      <w:b/>
      <w:bCs/>
    </w:rPr>
  </w:style>
  <w:style w:type="paragraph" w:styleId="ListParagraph">
    <w:name w:val="List Paragraph"/>
    <w:basedOn w:val="Normal"/>
    <w:uiPriority w:val="34"/>
    <w:qFormat/>
    <w:rsid w:val="00B80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012474">
      <w:bodyDiv w:val="1"/>
      <w:marLeft w:val="0"/>
      <w:marRight w:val="0"/>
      <w:marTop w:val="0"/>
      <w:marBottom w:val="0"/>
      <w:divBdr>
        <w:top w:val="none" w:sz="0" w:space="0" w:color="auto"/>
        <w:left w:val="none" w:sz="0" w:space="0" w:color="auto"/>
        <w:bottom w:val="none" w:sz="0" w:space="0" w:color="auto"/>
        <w:right w:val="none" w:sz="0" w:space="0" w:color="auto"/>
      </w:divBdr>
    </w:div>
    <w:div w:id="488599805">
      <w:bodyDiv w:val="1"/>
      <w:marLeft w:val="0"/>
      <w:marRight w:val="0"/>
      <w:marTop w:val="0"/>
      <w:marBottom w:val="0"/>
      <w:divBdr>
        <w:top w:val="none" w:sz="0" w:space="0" w:color="auto"/>
        <w:left w:val="none" w:sz="0" w:space="0" w:color="auto"/>
        <w:bottom w:val="none" w:sz="0" w:space="0" w:color="auto"/>
        <w:right w:val="none" w:sz="0" w:space="0" w:color="auto"/>
      </w:divBdr>
    </w:div>
    <w:div w:id="1007633414">
      <w:bodyDiv w:val="1"/>
      <w:marLeft w:val="0"/>
      <w:marRight w:val="0"/>
      <w:marTop w:val="0"/>
      <w:marBottom w:val="0"/>
      <w:divBdr>
        <w:top w:val="none" w:sz="0" w:space="0" w:color="auto"/>
        <w:left w:val="none" w:sz="0" w:space="0" w:color="auto"/>
        <w:bottom w:val="none" w:sz="0" w:space="0" w:color="auto"/>
        <w:right w:val="none" w:sz="0" w:space="0" w:color="auto"/>
      </w:divBdr>
    </w:div>
    <w:div w:id="1580335510">
      <w:bodyDiv w:val="1"/>
      <w:marLeft w:val="0"/>
      <w:marRight w:val="0"/>
      <w:marTop w:val="0"/>
      <w:marBottom w:val="0"/>
      <w:divBdr>
        <w:top w:val="none" w:sz="0" w:space="0" w:color="auto"/>
        <w:left w:val="none" w:sz="0" w:space="0" w:color="auto"/>
        <w:bottom w:val="none" w:sz="0" w:space="0" w:color="auto"/>
        <w:right w:val="none" w:sz="0" w:space="0" w:color="auto"/>
      </w:divBdr>
    </w:div>
    <w:div w:id="1695229024">
      <w:bodyDiv w:val="1"/>
      <w:marLeft w:val="0"/>
      <w:marRight w:val="0"/>
      <w:marTop w:val="0"/>
      <w:marBottom w:val="0"/>
      <w:divBdr>
        <w:top w:val="none" w:sz="0" w:space="0" w:color="auto"/>
        <w:left w:val="none" w:sz="0" w:space="0" w:color="auto"/>
        <w:bottom w:val="none" w:sz="0" w:space="0" w:color="auto"/>
        <w:right w:val="none" w:sz="0" w:space="0" w:color="auto"/>
      </w:divBdr>
    </w:div>
    <w:div w:id="1772435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941</TotalTime>
  <Pages>8</Pages>
  <Words>2815</Words>
  <Characters>16049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 Slavov (2122223)</cp:lastModifiedBy>
  <cp:revision>7</cp:revision>
  <dcterms:created xsi:type="dcterms:W3CDTF">2024-04-26T19:43:00Z</dcterms:created>
  <dcterms:modified xsi:type="dcterms:W3CDTF">2024-04-27T11:25:00Z</dcterms:modified>
</cp:coreProperties>
</file>