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2D68D" w14:textId="5FB71C7F" w:rsidR="00BA2CF8" w:rsidRDefault="00EC1201">
      <w:r>
        <w:t xml:space="preserve">Digital Skills week 6 Paraphrasing </w:t>
      </w:r>
    </w:p>
    <w:p w14:paraId="523C83F6" w14:textId="76647B6F" w:rsidR="00AB1C64" w:rsidRDefault="00AB1C64">
      <w:r>
        <w:t>By Angelika Waszak</w:t>
      </w:r>
    </w:p>
    <w:p w14:paraId="6CE8929E" w14:textId="77777777" w:rsidR="00EC1201" w:rsidRDefault="00EC1201"/>
    <w:p w14:paraId="3EBD95A5" w14:textId="77777777" w:rsidR="00EC1201" w:rsidRDefault="00EC1201" w:rsidP="00EC1201">
      <w:pPr>
        <w:pStyle w:val="NormalWeb"/>
        <w:shd w:val="clear" w:color="auto" w:fill="FFFFFF"/>
        <w:spacing w:before="120" w:beforeAutospacing="0" w:after="240" w:afterAutospacing="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>Reading is generally an individual activity, done silently, although on occasion a person reads out loud for other listeners; or reads aloud for one's own use, for better comprehension. Before the reintroduction of </w:t>
      </w:r>
      <w:hyperlink r:id="rId5" w:tooltip="Palaeography" w:history="1">
        <w:r>
          <w:rPr>
            <w:rStyle w:val="Hyperlink"/>
            <w:rFonts w:ascii="Arial" w:eastAsiaTheme="majorEastAsia" w:hAnsi="Arial" w:cs="Arial"/>
            <w:color w:val="3366CC"/>
          </w:rPr>
          <w:t>separated text</w:t>
        </w:r>
      </w:hyperlink>
      <w:r>
        <w:rPr>
          <w:rFonts w:ascii="Arial" w:hAnsi="Arial" w:cs="Arial"/>
          <w:color w:val="202122"/>
        </w:rPr>
        <w:t> (spaces between words) in the late </w:t>
      </w:r>
      <w:hyperlink r:id="rId6" w:tooltip="Middle Ages" w:history="1">
        <w:r>
          <w:rPr>
            <w:rStyle w:val="Hyperlink"/>
            <w:rFonts w:ascii="Arial" w:eastAsiaTheme="majorEastAsia" w:hAnsi="Arial" w:cs="Arial"/>
            <w:color w:val="3366CC"/>
          </w:rPr>
          <w:t>Middle Ages</w:t>
        </w:r>
      </w:hyperlink>
      <w:r>
        <w:rPr>
          <w:rFonts w:ascii="Arial" w:hAnsi="Arial" w:cs="Arial"/>
          <w:color w:val="202122"/>
        </w:rPr>
        <w:t>, the ability to read silently was considered rather remarkable.</w:t>
      </w:r>
      <w:hyperlink r:id="rId7" w:anchor="cite_note-10" w:history="1">
        <w:r>
          <w:rPr>
            <w:rStyle w:val="cite-bracket"/>
            <w:rFonts w:ascii="Arial" w:eastAsiaTheme="majorEastAsia" w:hAnsi="Arial" w:cs="Arial"/>
            <w:color w:val="3366CC"/>
            <w:sz w:val="19"/>
            <w:szCs w:val="19"/>
            <w:vertAlign w:val="superscript"/>
          </w:rPr>
          <w:t>[</w:t>
        </w:r>
        <w:r>
          <w:rPr>
            <w:rStyle w:val="Hyperlink"/>
            <w:rFonts w:ascii="Arial" w:eastAsiaTheme="majorEastAsia" w:hAnsi="Arial" w:cs="Arial"/>
            <w:color w:val="3366CC"/>
            <w:sz w:val="19"/>
            <w:szCs w:val="19"/>
            <w:vertAlign w:val="superscript"/>
          </w:rPr>
          <w:t>10</w:t>
        </w:r>
        <w:r>
          <w:rPr>
            <w:rStyle w:val="cite-bracket"/>
            <w:rFonts w:ascii="Arial" w:eastAsiaTheme="majorEastAsia" w:hAnsi="Arial" w:cs="Arial"/>
            <w:color w:val="3366CC"/>
            <w:sz w:val="19"/>
            <w:szCs w:val="19"/>
            <w:vertAlign w:val="superscript"/>
          </w:rPr>
          <w:t>]</w:t>
        </w:r>
      </w:hyperlink>
      <w:hyperlink r:id="rId8" w:anchor="cite_note-11" w:history="1">
        <w:r>
          <w:rPr>
            <w:rStyle w:val="cite-bracket"/>
            <w:rFonts w:ascii="Arial" w:eastAsiaTheme="majorEastAsia" w:hAnsi="Arial" w:cs="Arial"/>
            <w:color w:val="3366CC"/>
            <w:sz w:val="19"/>
            <w:szCs w:val="19"/>
            <w:vertAlign w:val="superscript"/>
          </w:rPr>
          <w:t>[</w:t>
        </w:r>
        <w:r>
          <w:rPr>
            <w:rStyle w:val="Hyperlink"/>
            <w:rFonts w:ascii="Arial" w:eastAsiaTheme="majorEastAsia" w:hAnsi="Arial" w:cs="Arial"/>
            <w:color w:val="3366CC"/>
            <w:sz w:val="19"/>
            <w:szCs w:val="19"/>
            <w:vertAlign w:val="superscript"/>
          </w:rPr>
          <w:t>11</w:t>
        </w:r>
        <w:r>
          <w:rPr>
            <w:rStyle w:val="cite-bracket"/>
            <w:rFonts w:ascii="Arial" w:eastAsiaTheme="majorEastAsia" w:hAnsi="Arial" w:cs="Arial"/>
            <w:color w:val="3366CC"/>
            <w:sz w:val="19"/>
            <w:szCs w:val="19"/>
            <w:vertAlign w:val="superscript"/>
          </w:rPr>
          <w:t>]</w:t>
        </w:r>
      </w:hyperlink>
    </w:p>
    <w:p w14:paraId="0B6FD8CE" w14:textId="77777777" w:rsidR="00EC1201" w:rsidRDefault="00EC1201"/>
    <w:p w14:paraId="30CC9359" w14:textId="79E27004" w:rsidR="00EC1201" w:rsidRDefault="00EC1201" w:rsidP="00EC1201">
      <w:pPr>
        <w:pStyle w:val="ListParagraph"/>
        <w:numPr>
          <w:ilvl w:val="0"/>
          <w:numId w:val="1"/>
        </w:numPr>
      </w:pPr>
      <w:r>
        <w:t>Using synonyms</w:t>
      </w:r>
    </w:p>
    <w:p w14:paraId="63970028" w14:textId="3447AE06" w:rsidR="00EC1201" w:rsidRDefault="00EC1201" w:rsidP="00EC1201">
      <w:pPr>
        <w:pStyle w:val="ListParagraph"/>
        <w:numPr>
          <w:ilvl w:val="0"/>
          <w:numId w:val="1"/>
        </w:numPr>
      </w:pPr>
      <w:r>
        <w:t>Changing word order</w:t>
      </w:r>
    </w:p>
    <w:p w14:paraId="41BD4156" w14:textId="1F2D837D" w:rsidR="00EC1201" w:rsidRDefault="00EC1201" w:rsidP="00EC1201">
      <w:pPr>
        <w:pStyle w:val="ListParagraph"/>
        <w:numPr>
          <w:ilvl w:val="0"/>
          <w:numId w:val="1"/>
        </w:numPr>
      </w:pPr>
      <w:r>
        <w:t>Changing word form</w:t>
      </w:r>
    </w:p>
    <w:p w14:paraId="763A6F44" w14:textId="4B32837F" w:rsidR="00EC1201" w:rsidRDefault="00EC1201" w:rsidP="00EC1201">
      <w:pPr>
        <w:pStyle w:val="ListParagraph"/>
        <w:numPr>
          <w:ilvl w:val="0"/>
          <w:numId w:val="1"/>
        </w:numPr>
      </w:pPr>
      <w:r>
        <w:t>Using active / passive voice</w:t>
      </w:r>
    </w:p>
    <w:p w14:paraId="434503BA" w14:textId="3F1D9D0B" w:rsidR="00EC1201" w:rsidRDefault="00EC1201" w:rsidP="00EC1201">
      <w:pPr>
        <w:pStyle w:val="ListParagraph"/>
        <w:numPr>
          <w:ilvl w:val="0"/>
          <w:numId w:val="1"/>
        </w:numPr>
      </w:pPr>
      <w:r>
        <w:t>Using positive / negative</w:t>
      </w:r>
    </w:p>
    <w:p w14:paraId="229720E2" w14:textId="77777777" w:rsidR="00EC1201" w:rsidRDefault="00EC1201" w:rsidP="00EC1201"/>
    <w:p w14:paraId="034D99B8" w14:textId="6A45E98C" w:rsidR="00EC1201" w:rsidRDefault="00EC1201" w:rsidP="00EC1201">
      <w:pPr>
        <w:pStyle w:val="NormalWeb"/>
        <w:shd w:val="clear" w:color="auto" w:fill="FFFFFF"/>
        <w:spacing w:before="120" w:beforeAutospacing="0" w:after="240" w:afterAutospacing="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 xml:space="preserve">Reading is </w:t>
      </w:r>
      <w:r w:rsidR="00AB1C64">
        <w:rPr>
          <w:rFonts w:ascii="Arial" w:hAnsi="Arial" w:cs="Arial"/>
          <w:color w:val="202122"/>
        </w:rPr>
        <w:t>mainly</w:t>
      </w:r>
      <w:r>
        <w:rPr>
          <w:rFonts w:ascii="Arial" w:hAnsi="Arial" w:cs="Arial"/>
          <w:color w:val="202122"/>
        </w:rPr>
        <w:t xml:space="preserve"> </w:t>
      </w:r>
      <w:r w:rsidR="00AB1C64">
        <w:rPr>
          <w:rFonts w:ascii="Arial" w:hAnsi="Arial" w:cs="Arial"/>
          <w:color w:val="202122"/>
        </w:rPr>
        <w:t xml:space="preserve">an </w:t>
      </w:r>
      <w:r>
        <w:rPr>
          <w:rFonts w:ascii="Arial" w:hAnsi="Arial" w:cs="Arial"/>
          <w:color w:val="202122"/>
        </w:rPr>
        <w:t>individual activity</w:t>
      </w:r>
      <w:r w:rsidR="00AB1C64">
        <w:rPr>
          <w:rFonts w:ascii="Arial" w:hAnsi="Arial" w:cs="Arial"/>
          <w:color w:val="202122"/>
        </w:rPr>
        <w:t xml:space="preserve"> where you read silently to yourself.</w:t>
      </w:r>
      <w:r>
        <w:rPr>
          <w:rFonts w:ascii="Arial" w:hAnsi="Arial" w:cs="Arial"/>
          <w:color w:val="202122"/>
        </w:rPr>
        <w:t xml:space="preserve"> </w:t>
      </w:r>
      <w:r w:rsidR="00AB1C64">
        <w:rPr>
          <w:rFonts w:ascii="Arial" w:hAnsi="Arial" w:cs="Arial"/>
          <w:color w:val="202122"/>
        </w:rPr>
        <w:t xml:space="preserve">But </w:t>
      </w:r>
      <w:r>
        <w:rPr>
          <w:rFonts w:ascii="Arial" w:hAnsi="Arial" w:cs="Arial"/>
          <w:color w:val="202122"/>
        </w:rPr>
        <w:t>on</w:t>
      </w:r>
      <w:r w:rsidR="00AB1C64">
        <w:rPr>
          <w:rFonts w:ascii="Arial" w:hAnsi="Arial" w:cs="Arial"/>
          <w:color w:val="202122"/>
        </w:rPr>
        <w:t xml:space="preserve"> some</w:t>
      </w:r>
      <w:r>
        <w:rPr>
          <w:rFonts w:ascii="Arial" w:hAnsi="Arial" w:cs="Arial"/>
          <w:color w:val="202122"/>
        </w:rPr>
        <w:t xml:space="preserve"> </w:t>
      </w:r>
      <w:r w:rsidR="00AB1C64">
        <w:rPr>
          <w:rFonts w:ascii="Arial" w:hAnsi="Arial" w:cs="Arial"/>
          <w:color w:val="202122"/>
        </w:rPr>
        <w:t>occasions,</w:t>
      </w:r>
      <w:r>
        <w:rPr>
          <w:rFonts w:ascii="Arial" w:hAnsi="Arial" w:cs="Arial"/>
          <w:color w:val="202122"/>
        </w:rPr>
        <w:t xml:space="preserve"> </w:t>
      </w:r>
      <w:r w:rsidR="00AB1C64">
        <w:rPr>
          <w:rFonts w:ascii="Arial" w:hAnsi="Arial" w:cs="Arial"/>
          <w:color w:val="202122"/>
        </w:rPr>
        <w:t>an</w:t>
      </w:r>
      <w:r>
        <w:rPr>
          <w:rFonts w:ascii="Arial" w:hAnsi="Arial" w:cs="Arial"/>
          <w:color w:val="202122"/>
        </w:rPr>
        <w:t xml:space="preserve"> </w:t>
      </w:r>
      <w:r w:rsidR="00AB1C64">
        <w:rPr>
          <w:rFonts w:ascii="Arial" w:hAnsi="Arial" w:cs="Arial"/>
          <w:color w:val="202122"/>
        </w:rPr>
        <w:t>individual</w:t>
      </w:r>
      <w:r>
        <w:rPr>
          <w:rFonts w:ascii="Arial" w:hAnsi="Arial" w:cs="Arial"/>
          <w:color w:val="202122"/>
        </w:rPr>
        <w:t xml:space="preserve"> reads out loud </w:t>
      </w:r>
      <w:r w:rsidR="00AB1C64">
        <w:rPr>
          <w:rFonts w:ascii="Arial" w:hAnsi="Arial" w:cs="Arial"/>
          <w:color w:val="202122"/>
        </w:rPr>
        <w:t xml:space="preserve">to other </w:t>
      </w:r>
      <w:r>
        <w:rPr>
          <w:rFonts w:ascii="Arial" w:hAnsi="Arial" w:cs="Arial"/>
          <w:color w:val="202122"/>
        </w:rPr>
        <w:t>listeners</w:t>
      </w:r>
      <w:r w:rsidR="00AB1C64">
        <w:rPr>
          <w:rFonts w:ascii="Arial" w:hAnsi="Arial" w:cs="Arial"/>
          <w:color w:val="202122"/>
        </w:rPr>
        <w:t>. A person can read out loud for their benefit so they can have a better understanding.</w:t>
      </w:r>
      <w:r>
        <w:rPr>
          <w:rFonts w:ascii="Arial" w:hAnsi="Arial" w:cs="Arial"/>
          <w:color w:val="202122"/>
        </w:rPr>
        <w:t xml:space="preserve"> Before the </w:t>
      </w:r>
      <w:r w:rsidR="00AB1C64">
        <w:rPr>
          <w:rFonts w:ascii="Arial" w:hAnsi="Arial" w:cs="Arial"/>
          <w:color w:val="202122"/>
        </w:rPr>
        <w:t>re-establishment</w:t>
      </w:r>
      <w:r>
        <w:rPr>
          <w:rFonts w:ascii="Arial" w:hAnsi="Arial" w:cs="Arial"/>
          <w:color w:val="202122"/>
        </w:rPr>
        <w:t xml:space="preserve"> of </w:t>
      </w:r>
      <w:hyperlink r:id="rId9" w:tooltip="Palaeography" w:history="1">
        <w:r>
          <w:rPr>
            <w:rStyle w:val="Hyperlink"/>
            <w:rFonts w:ascii="Arial" w:eastAsiaTheme="majorEastAsia" w:hAnsi="Arial" w:cs="Arial"/>
            <w:color w:val="3366CC"/>
          </w:rPr>
          <w:t>separated text</w:t>
        </w:r>
      </w:hyperlink>
      <w:r>
        <w:rPr>
          <w:rFonts w:ascii="Arial" w:hAnsi="Arial" w:cs="Arial"/>
          <w:color w:val="202122"/>
        </w:rPr>
        <w:t> (spaces between words) in the late </w:t>
      </w:r>
      <w:hyperlink r:id="rId10" w:tooltip="Middle Ages" w:history="1">
        <w:r>
          <w:rPr>
            <w:rStyle w:val="Hyperlink"/>
            <w:rFonts w:ascii="Arial" w:eastAsiaTheme="majorEastAsia" w:hAnsi="Arial" w:cs="Arial"/>
            <w:color w:val="3366CC"/>
          </w:rPr>
          <w:t>Middle Ages</w:t>
        </w:r>
      </w:hyperlink>
      <w:r>
        <w:rPr>
          <w:rFonts w:ascii="Arial" w:hAnsi="Arial" w:cs="Arial"/>
          <w:color w:val="202122"/>
        </w:rPr>
        <w:t xml:space="preserve">, the ability to read </w:t>
      </w:r>
      <w:r w:rsidR="00AB1C64">
        <w:rPr>
          <w:rFonts w:ascii="Arial" w:hAnsi="Arial" w:cs="Arial"/>
          <w:color w:val="202122"/>
        </w:rPr>
        <w:t>soundlessly</w:t>
      </w:r>
      <w:r>
        <w:rPr>
          <w:rFonts w:ascii="Arial" w:hAnsi="Arial" w:cs="Arial"/>
          <w:color w:val="202122"/>
        </w:rPr>
        <w:t xml:space="preserve"> was considered rather </w:t>
      </w:r>
      <w:r w:rsidR="00AB1C64">
        <w:rPr>
          <w:rFonts w:ascii="Arial" w:hAnsi="Arial" w:cs="Arial"/>
          <w:color w:val="202122"/>
        </w:rPr>
        <w:t>incredible</w:t>
      </w:r>
      <w:r>
        <w:rPr>
          <w:rFonts w:ascii="Arial" w:hAnsi="Arial" w:cs="Arial"/>
          <w:color w:val="202122"/>
        </w:rPr>
        <w:t>.</w:t>
      </w:r>
      <w:r w:rsidR="00AB1C64">
        <w:rPr>
          <w:rFonts w:ascii="Arial" w:hAnsi="Arial" w:cs="Arial"/>
          <w:color w:val="202122"/>
        </w:rPr>
        <w:t xml:space="preserve"> </w:t>
      </w:r>
    </w:p>
    <w:p w14:paraId="7B719E3F" w14:textId="77777777" w:rsidR="00EC1201" w:rsidRDefault="00EC1201" w:rsidP="00EC1201"/>
    <w:sectPr w:rsidR="00EC12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227EB4"/>
    <w:multiLevelType w:val="hybridMultilevel"/>
    <w:tmpl w:val="7612F57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5443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01"/>
    <w:rsid w:val="004A6298"/>
    <w:rsid w:val="00867A9C"/>
    <w:rsid w:val="00AB1C64"/>
    <w:rsid w:val="00BA2CF8"/>
    <w:rsid w:val="00D372E6"/>
    <w:rsid w:val="00EC1201"/>
    <w:rsid w:val="00F6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3347C1"/>
  <w15:chartTrackingRefBased/>
  <w15:docId w15:val="{B5945450-889F-4B12-B183-86BF91E0C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2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12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12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12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12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12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12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12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12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12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12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12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12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12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12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12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12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12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12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12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12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12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12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12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12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12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12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12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120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C1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EC1201"/>
    <w:rPr>
      <w:color w:val="0000FF"/>
      <w:u w:val="single"/>
    </w:rPr>
  </w:style>
  <w:style w:type="character" w:customStyle="1" w:styleId="cite-bracket">
    <w:name w:val="cite-bracket"/>
    <w:basedOn w:val="DefaultParagraphFont"/>
    <w:rsid w:val="00EC12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96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Read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Readin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n.wikipedia.org/wiki/Middle_Ag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n.wikipedia.org/wiki/Palaeography" TargetMode="External"/><Relationship Id="rId10" Type="http://schemas.openxmlformats.org/officeDocument/2006/relationships/hyperlink" Target="https://en.wikipedia.org/wiki/Middle_Ag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Palaeograph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1211</Characters>
  <Application>Microsoft Office Word</Application>
  <DocSecurity>0</DocSecurity>
  <Lines>30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waszak</dc:creator>
  <cp:keywords/>
  <dc:description/>
  <cp:lastModifiedBy>angelika waszak</cp:lastModifiedBy>
  <cp:revision>1</cp:revision>
  <dcterms:created xsi:type="dcterms:W3CDTF">2025-06-23T11:12:00Z</dcterms:created>
  <dcterms:modified xsi:type="dcterms:W3CDTF">2025-06-23T11:32:00Z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ddfd93c2-a1f5-4e8a-b76d-7c28cbb97a32</vt:lpwstr>
  </property>
</Properties>
</file>