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8B427" w14:textId="714D2485" w:rsidR="00E83EC8" w:rsidRDefault="00E83EC8" w:rsidP="00E83EC8">
      <w:pPr>
        <w:spacing w:line="360" w:lineRule="auto"/>
        <w:jc w:val="center"/>
        <w:rPr>
          <w:rFonts w:ascii="Arial" w:hAnsi="Arial" w:cs="Arial"/>
          <w:color w:val="000000" w:themeColor="text1"/>
        </w:rPr>
      </w:pPr>
      <w:bookmarkStart w:id="0" w:name="_Toc128649032"/>
      <w:r>
        <w:rPr>
          <w:noProof/>
        </w:rPr>
        <w:drawing>
          <wp:inline distT="0" distB="0" distL="0" distR="0" wp14:anchorId="6E25A68F" wp14:editId="3573B3FC">
            <wp:extent cx="2468880" cy="1851660"/>
            <wp:effectExtent l="0" t="0" r="7620" b="0"/>
            <wp:docPr id="4" name="Picture 4"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bookmarkEnd w:id="0"/>
    </w:p>
    <w:p w14:paraId="626518DA" w14:textId="69EFB467" w:rsidR="00E83EC8" w:rsidRPr="00F86D1E" w:rsidRDefault="00E83EC8" w:rsidP="00E83EC8">
      <w:pPr>
        <w:spacing w:line="360" w:lineRule="auto"/>
        <w:jc w:val="center"/>
        <w:rPr>
          <w:rFonts w:ascii="Arial" w:hAnsi="Arial" w:cs="Arial"/>
          <w:color w:val="000000" w:themeColor="text1"/>
        </w:rPr>
      </w:pPr>
      <w:r w:rsidRPr="00F86D1E">
        <w:rPr>
          <w:rFonts w:ascii="Arial" w:hAnsi="Arial" w:cs="Arial"/>
          <w:color w:val="000000" w:themeColor="text1"/>
        </w:rPr>
        <w:t>UNIVERSITY OF WALES TRINITY SAINT DAVID</w:t>
      </w:r>
    </w:p>
    <w:p w14:paraId="5B7749D9" w14:textId="77777777" w:rsidR="00E83EC8" w:rsidRPr="00F86D1E" w:rsidRDefault="00E83EC8" w:rsidP="00E83EC8">
      <w:pPr>
        <w:spacing w:line="360" w:lineRule="auto"/>
        <w:rPr>
          <w:rFonts w:ascii="Arial" w:hAnsi="Arial" w:cs="Arial"/>
          <w:color w:val="000000" w:themeColor="text1"/>
        </w:rPr>
      </w:pPr>
    </w:p>
    <w:p w14:paraId="0A58DDD5" w14:textId="77777777" w:rsidR="00E83EC8" w:rsidRPr="00F86D1E" w:rsidRDefault="00E83EC8" w:rsidP="00E83EC8">
      <w:pPr>
        <w:spacing w:line="360" w:lineRule="auto"/>
        <w:rPr>
          <w:rFonts w:ascii="Arial" w:hAnsi="Arial" w:cs="Arial"/>
          <w:color w:val="000000" w:themeColor="text1"/>
        </w:rPr>
      </w:pPr>
    </w:p>
    <w:p w14:paraId="0E42D93F" w14:textId="77777777" w:rsidR="00E83EC8" w:rsidRPr="00F86D1E" w:rsidRDefault="00E83EC8" w:rsidP="00E83EC8">
      <w:pPr>
        <w:spacing w:line="360" w:lineRule="auto"/>
        <w:rPr>
          <w:rFonts w:ascii="Arial" w:hAnsi="Arial" w:cs="Arial"/>
          <w:color w:val="000000" w:themeColor="text1"/>
        </w:rPr>
      </w:pPr>
    </w:p>
    <w:p w14:paraId="35950773" w14:textId="77777777" w:rsidR="00E83EC8" w:rsidRPr="00F86D1E" w:rsidRDefault="00E83EC8" w:rsidP="00E83EC8">
      <w:pPr>
        <w:spacing w:line="360" w:lineRule="auto"/>
        <w:rPr>
          <w:rFonts w:ascii="Arial" w:hAnsi="Arial" w:cs="Arial"/>
          <w:color w:val="000000" w:themeColor="text1"/>
        </w:rPr>
      </w:pPr>
    </w:p>
    <w:p w14:paraId="314B9E25" w14:textId="0830B509" w:rsidR="00E83EC8" w:rsidRPr="00F86D1E" w:rsidRDefault="00E83EC8" w:rsidP="00E83EC8">
      <w:pPr>
        <w:spacing w:line="360" w:lineRule="auto"/>
        <w:jc w:val="center"/>
        <w:rPr>
          <w:rFonts w:ascii="Arial" w:hAnsi="Arial" w:cs="Arial"/>
          <w:color w:val="000000" w:themeColor="text1"/>
        </w:rPr>
      </w:pPr>
      <w:r w:rsidRPr="00F86D1E">
        <w:rPr>
          <w:rFonts w:ascii="Arial" w:hAnsi="Arial" w:cs="Arial"/>
          <w:color w:val="000000" w:themeColor="text1"/>
        </w:rPr>
        <w:t xml:space="preserve">Community Engagement – </w:t>
      </w:r>
      <w:r w:rsidR="00AC40A4">
        <w:rPr>
          <w:rFonts w:ascii="Arial" w:hAnsi="Arial" w:cs="Arial"/>
          <w:color w:val="000000" w:themeColor="text1"/>
        </w:rPr>
        <w:t>Reflection</w:t>
      </w:r>
    </w:p>
    <w:p w14:paraId="3CFEC357" w14:textId="77777777" w:rsidR="00E83EC8" w:rsidRPr="00F86D1E" w:rsidRDefault="00E83EC8" w:rsidP="00E83EC8">
      <w:pPr>
        <w:spacing w:line="360" w:lineRule="auto"/>
        <w:jc w:val="center"/>
        <w:rPr>
          <w:rFonts w:ascii="Arial" w:hAnsi="Arial" w:cs="Arial"/>
          <w:color w:val="000000" w:themeColor="text1"/>
        </w:rPr>
      </w:pPr>
    </w:p>
    <w:p w14:paraId="1498A88A" w14:textId="77777777" w:rsidR="00E83EC8" w:rsidRPr="00F86D1E" w:rsidRDefault="00E83EC8" w:rsidP="00E83EC8">
      <w:pPr>
        <w:spacing w:line="360" w:lineRule="auto"/>
        <w:jc w:val="center"/>
        <w:rPr>
          <w:rFonts w:ascii="Arial" w:hAnsi="Arial" w:cs="Arial"/>
          <w:color w:val="000000" w:themeColor="text1"/>
        </w:rPr>
      </w:pPr>
    </w:p>
    <w:p w14:paraId="3F8677FF" w14:textId="77777777" w:rsidR="00E83EC8" w:rsidRPr="00F86D1E" w:rsidRDefault="00E83EC8" w:rsidP="00E83EC8">
      <w:pPr>
        <w:spacing w:line="360" w:lineRule="auto"/>
        <w:jc w:val="center"/>
        <w:rPr>
          <w:rFonts w:ascii="Arial" w:hAnsi="Arial" w:cs="Arial"/>
          <w:color w:val="000000" w:themeColor="text1"/>
        </w:rPr>
      </w:pPr>
    </w:p>
    <w:p w14:paraId="24B63E84" w14:textId="77777777" w:rsidR="00E83EC8" w:rsidRPr="00F86D1E" w:rsidRDefault="00E83EC8" w:rsidP="00E83EC8">
      <w:pPr>
        <w:spacing w:line="360" w:lineRule="auto"/>
        <w:jc w:val="center"/>
        <w:rPr>
          <w:rFonts w:ascii="Arial" w:hAnsi="Arial" w:cs="Arial"/>
          <w:color w:val="000000" w:themeColor="text1"/>
        </w:rPr>
      </w:pPr>
    </w:p>
    <w:p w14:paraId="7E890F5D" w14:textId="77777777" w:rsidR="00E83EC8" w:rsidRPr="00F86D1E" w:rsidRDefault="00E83EC8" w:rsidP="00E83EC8">
      <w:pPr>
        <w:spacing w:line="360" w:lineRule="auto"/>
        <w:jc w:val="center"/>
        <w:rPr>
          <w:rFonts w:ascii="Arial" w:hAnsi="Arial" w:cs="Arial"/>
          <w:b/>
          <w:color w:val="000000" w:themeColor="text1"/>
        </w:rPr>
      </w:pPr>
      <w:r w:rsidRPr="00F86D1E">
        <w:rPr>
          <w:rFonts w:ascii="Arial" w:hAnsi="Arial" w:cs="Arial"/>
          <w:b/>
          <w:color w:val="000000" w:themeColor="text1"/>
        </w:rPr>
        <w:t>Community Engagement</w:t>
      </w:r>
    </w:p>
    <w:p w14:paraId="6B1F5293" w14:textId="77777777" w:rsidR="00E83EC8" w:rsidRPr="00F86D1E" w:rsidRDefault="00E83EC8" w:rsidP="00E83EC8">
      <w:pPr>
        <w:spacing w:line="360" w:lineRule="auto"/>
        <w:jc w:val="center"/>
        <w:rPr>
          <w:rFonts w:ascii="Arial" w:hAnsi="Arial" w:cs="Arial"/>
          <w:b/>
          <w:color w:val="000000" w:themeColor="text1"/>
        </w:rPr>
      </w:pPr>
      <w:r w:rsidRPr="00F86D1E">
        <w:rPr>
          <w:rFonts w:ascii="Arial" w:hAnsi="Arial" w:cs="Arial"/>
          <w:b/>
          <w:color w:val="000000" w:themeColor="text1"/>
        </w:rPr>
        <w:t>LCBB4002</w:t>
      </w:r>
    </w:p>
    <w:p w14:paraId="2BAFD1E8" w14:textId="77777777" w:rsidR="00E83EC8" w:rsidRPr="00F86D1E" w:rsidRDefault="00E83EC8" w:rsidP="00E83EC8">
      <w:pPr>
        <w:spacing w:line="360" w:lineRule="auto"/>
        <w:jc w:val="center"/>
        <w:rPr>
          <w:rFonts w:ascii="Arial" w:hAnsi="Arial" w:cs="Arial"/>
          <w:b/>
          <w:color w:val="000000" w:themeColor="text1"/>
        </w:rPr>
      </w:pPr>
    </w:p>
    <w:p w14:paraId="1314788B" w14:textId="77777777" w:rsidR="00E83EC8" w:rsidRPr="00F86D1E" w:rsidRDefault="00E83EC8" w:rsidP="00E83EC8">
      <w:pPr>
        <w:spacing w:line="360" w:lineRule="auto"/>
        <w:jc w:val="center"/>
        <w:rPr>
          <w:rFonts w:ascii="Arial" w:hAnsi="Arial" w:cs="Arial"/>
          <w:b/>
          <w:color w:val="000000" w:themeColor="text1"/>
        </w:rPr>
      </w:pPr>
    </w:p>
    <w:p w14:paraId="13611602" w14:textId="77777777" w:rsidR="00E83EC8" w:rsidRPr="00F86D1E" w:rsidRDefault="00E83EC8" w:rsidP="00E83EC8">
      <w:pPr>
        <w:spacing w:line="360" w:lineRule="auto"/>
        <w:jc w:val="center"/>
        <w:rPr>
          <w:rFonts w:ascii="Arial" w:hAnsi="Arial" w:cs="Arial"/>
          <w:b/>
          <w:color w:val="000000" w:themeColor="text1"/>
        </w:rPr>
      </w:pPr>
    </w:p>
    <w:p w14:paraId="0E961655" w14:textId="77777777" w:rsidR="00E83EC8" w:rsidRPr="00F86D1E" w:rsidRDefault="00E83EC8" w:rsidP="00E83EC8">
      <w:pPr>
        <w:spacing w:line="360" w:lineRule="auto"/>
        <w:jc w:val="center"/>
        <w:rPr>
          <w:rFonts w:ascii="Arial" w:hAnsi="Arial" w:cs="Arial"/>
          <w:b/>
          <w:color w:val="000000" w:themeColor="text1"/>
        </w:rPr>
      </w:pPr>
    </w:p>
    <w:p w14:paraId="2EE378EC" w14:textId="77777777" w:rsidR="00E83EC8" w:rsidRPr="00F86D1E" w:rsidRDefault="00E83EC8" w:rsidP="00E83EC8">
      <w:pPr>
        <w:spacing w:line="360" w:lineRule="auto"/>
        <w:jc w:val="center"/>
        <w:rPr>
          <w:rFonts w:ascii="Arial" w:hAnsi="Arial" w:cs="Arial"/>
          <w:b/>
          <w:color w:val="000000" w:themeColor="text1"/>
        </w:rPr>
      </w:pPr>
    </w:p>
    <w:p w14:paraId="67A2B87E" w14:textId="77777777" w:rsidR="00E83EC8" w:rsidRPr="00E83EC8" w:rsidRDefault="00E83EC8" w:rsidP="00E83EC8">
      <w:pPr>
        <w:spacing w:line="360" w:lineRule="auto"/>
        <w:jc w:val="center"/>
        <w:rPr>
          <w:rFonts w:ascii="Arial" w:hAnsi="Arial" w:cs="Arial"/>
          <w:b/>
          <w:color w:val="000000" w:themeColor="text1"/>
        </w:rPr>
      </w:pPr>
      <w:r w:rsidRPr="00E83EC8">
        <w:rPr>
          <w:rFonts w:ascii="Arial" w:hAnsi="Arial" w:cs="Arial"/>
          <w:b/>
          <w:color w:val="000000" w:themeColor="text1"/>
        </w:rPr>
        <w:t>Student name: Sorina-Iulia Cosa</w:t>
      </w:r>
    </w:p>
    <w:p w14:paraId="688CB3E8" w14:textId="77777777" w:rsidR="00E83EC8" w:rsidRPr="00E83EC8" w:rsidRDefault="00E83EC8" w:rsidP="00E83EC8">
      <w:pPr>
        <w:spacing w:line="360" w:lineRule="auto"/>
        <w:jc w:val="center"/>
        <w:rPr>
          <w:rFonts w:ascii="Arial" w:hAnsi="Arial" w:cs="Arial"/>
          <w:b/>
          <w:color w:val="000000" w:themeColor="text1"/>
        </w:rPr>
      </w:pPr>
      <w:r w:rsidRPr="00E83EC8">
        <w:rPr>
          <w:rFonts w:ascii="Arial" w:hAnsi="Arial" w:cs="Arial"/>
          <w:b/>
          <w:color w:val="000000" w:themeColor="text1"/>
        </w:rPr>
        <w:t>Student number: 2211474</w:t>
      </w:r>
    </w:p>
    <w:p w14:paraId="78DEA7F7" w14:textId="77777777" w:rsidR="00E83EC8" w:rsidRPr="00F86D1E" w:rsidRDefault="00E83EC8" w:rsidP="00E83EC8">
      <w:pPr>
        <w:spacing w:line="360" w:lineRule="auto"/>
        <w:jc w:val="center"/>
        <w:rPr>
          <w:rFonts w:ascii="Arial" w:hAnsi="Arial" w:cs="Arial"/>
          <w:b/>
          <w:color w:val="000000" w:themeColor="text1"/>
        </w:rPr>
      </w:pPr>
      <w:r w:rsidRPr="00F86D1E">
        <w:rPr>
          <w:rFonts w:ascii="Arial" w:hAnsi="Arial" w:cs="Arial"/>
          <w:b/>
          <w:color w:val="000000" w:themeColor="text1"/>
        </w:rPr>
        <w:t xml:space="preserve">Lecturer name: </w:t>
      </w:r>
      <w:proofErr w:type="spellStart"/>
      <w:r w:rsidRPr="00F86D1E">
        <w:rPr>
          <w:rFonts w:ascii="Arial" w:hAnsi="Arial" w:cs="Arial"/>
          <w:b/>
          <w:color w:val="000000" w:themeColor="text1"/>
        </w:rPr>
        <w:t>Efua</w:t>
      </w:r>
      <w:proofErr w:type="spellEnd"/>
      <w:r w:rsidRPr="00F86D1E">
        <w:rPr>
          <w:rFonts w:ascii="Arial" w:hAnsi="Arial" w:cs="Arial"/>
          <w:b/>
          <w:color w:val="000000" w:themeColor="text1"/>
        </w:rPr>
        <w:t xml:space="preserve"> Adams</w:t>
      </w:r>
    </w:p>
    <w:sdt>
      <w:sdtPr>
        <w:rPr>
          <w:rFonts w:ascii="Arial" w:hAnsi="Arial" w:cs="Arial"/>
          <w:b/>
          <w:bCs/>
          <w:color w:val="auto"/>
          <w:sz w:val="22"/>
          <w:szCs w:val="22"/>
        </w:rPr>
        <w:id w:val="-641664403"/>
        <w:docPartObj>
          <w:docPartGallery w:val="Table of Contents"/>
          <w:docPartUnique/>
        </w:docPartObj>
      </w:sdtPr>
      <w:sdtEndPr>
        <w:rPr>
          <w:rFonts w:eastAsiaTheme="minorHAnsi"/>
          <w:lang w:eastAsia="en-US"/>
        </w:rPr>
      </w:sdtEndPr>
      <w:sdtContent>
        <w:p w14:paraId="7B30165E" w14:textId="526AF908" w:rsidR="00AC40A4" w:rsidRPr="00F937C9" w:rsidRDefault="00AC40A4" w:rsidP="00020D83">
          <w:pPr>
            <w:pStyle w:val="TOCHeading"/>
            <w:spacing w:line="360" w:lineRule="auto"/>
            <w:rPr>
              <w:rFonts w:ascii="Arial" w:hAnsi="Arial" w:cs="Arial"/>
              <w:b/>
              <w:bCs/>
              <w:color w:val="auto"/>
              <w:sz w:val="22"/>
              <w:szCs w:val="22"/>
            </w:rPr>
          </w:pPr>
          <w:r w:rsidRPr="00F937C9">
            <w:rPr>
              <w:rFonts w:ascii="Arial" w:hAnsi="Arial" w:cs="Arial"/>
              <w:b/>
              <w:bCs/>
              <w:color w:val="auto"/>
              <w:sz w:val="22"/>
              <w:szCs w:val="22"/>
            </w:rPr>
            <w:t>Table of Contents</w:t>
          </w:r>
        </w:p>
        <w:p w14:paraId="38B83E7B" w14:textId="3EDD4024" w:rsidR="008D5F6C" w:rsidRDefault="00AC40A4">
          <w:pPr>
            <w:pStyle w:val="TOC1"/>
            <w:tabs>
              <w:tab w:val="right" w:leader="dot" w:pos="9016"/>
            </w:tabs>
            <w:rPr>
              <w:rFonts w:eastAsiaTheme="minorEastAsia"/>
              <w:noProof/>
              <w:lang w:eastAsia="en-GB"/>
            </w:rPr>
          </w:pPr>
          <w:r w:rsidRPr="00020D83">
            <w:rPr>
              <w:rFonts w:ascii="Arial" w:hAnsi="Arial" w:cs="Arial"/>
            </w:rPr>
            <w:fldChar w:fldCharType="begin"/>
          </w:r>
          <w:r w:rsidRPr="00020D83">
            <w:rPr>
              <w:rFonts w:ascii="Arial" w:hAnsi="Arial" w:cs="Arial"/>
            </w:rPr>
            <w:instrText xml:space="preserve"> TOC \o "1-3" \h \z \u </w:instrText>
          </w:r>
          <w:r w:rsidRPr="00020D83">
            <w:rPr>
              <w:rFonts w:ascii="Arial" w:hAnsi="Arial" w:cs="Arial"/>
            </w:rPr>
            <w:fldChar w:fldCharType="separate"/>
          </w:r>
          <w:hyperlink w:anchor="_Toc131073275" w:history="1">
            <w:r w:rsidR="008D5F6C" w:rsidRPr="00B024DF">
              <w:rPr>
                <w:rStyle w:val="Hyperlink"/>
                <w:rFonts w:ascii="Arial" w:hAnsi="Arial" w:cs="Arial"/>
                <w:b/>
                <w:bCs/>
                <w:noProof/>
              </w:rPr>
              <w:t>1.Introduction</w:t>
            </w:r>
            <w:r w:rsidR="008D5F6C">
              <w:rPr>
                <w:noProof/>
                <w:webHidden/>
              </w:rPr>
              <w:tab/>
            </w:r>
            <w:r w:rsidR="008D5F6C">
              <w:rPr>
                <w:noProof/>
                <w:webHidden/>
              </w:rPr>
              <w:fldChar w:fldCharType="begin"/>
            </w:r>
            <w:r w:rsidR="008D5F6C">
              <w:rPr>
                <w:noProof/>
                <w:webHidden/>
              </w:rPr>
              <w:instrText xml:space="preserve"> PAGEREF _Toc131073275 \h </w:instrText>
            </w:r>
            <w:r w:rsidR="008D5F6C">
              <w:rPr>
                <w:noProof/>
                <w:webHidden/>
              </w:rPr>
            </w:r>
            <w:r w:rsidR="008D5F6C">
              <w:rPr>
                <w:noProof/>
                <w:webHidden/>
              </w:rPr>
              <w:fldChar w:fldCharType="separate"/>
            </w:r>
            <w:r w:rsidR="008D5F6C">
              <w:rPr>
                <w:noProof/>
                <w:webHidden/>
              </w:rPr>
              <w:t>3</w:t>
            </w:r>
            <w:r w:rsidR="008D5F6C">
              <w:rPr>
                <w:noProof/>
                <w:webHidden/>
              </w:rPr>
              <w:fldChar w:fldCharType="end"/>
            </w:r>
          </w:hyperlink>
        </w:p>
        <w:p w14:paraId="0F41D365" w14:textId="180C1D81" w:rsidR="008D5F6C" w:rsidRDefault="008D5F6C">
          <w:pPr>
            <w:pStyle w:val="TOC1"/>
            <w:tabs>
              <w:tab w:val="right" w:leader="dot" w:pos="9016"/>
            </w:tabs>
            <w:rPr>
              <w:rFonts w:eastAsiaTheme="minorEastAsia"/>
              <w:noProof/>
              <w:lang w:eastAsia="en-GB"/>
            </w:rPr>
          </w:pPr>
          <w:hyperlink w:anchor="_Toc131073276" w:history="1">
            <w:r w:rsidRPr="00B024DF">
              <w:rPr>
                <w:rStyle w:val="Hyperlink"/>
                <w:rFonts w:ascii="Arial" w:hAnsi="Arial" w:cs="Arial"/>
                <w:b/>
                <w:bCs/>
                <w:noProof/>
              </w:rPr>
              <w:t>2.1. The Principles of the Community Engagement. Models. Standards.</w:t>
            </w:r>
            <w:r>
              <w:rPr>
                <w:noProof/>
                <w:webHidden/>
              </w:rPr>
              <w:tab/>
            </w:r>
            <w:r>
              <w:rPr>
                <w:noProof/>
                <w:webHidden/>
              </w:rPr>
              <w:fldChar w:fldCharType="begin"/>
            </w:r>
            <w:r>
              <w:rPr>
                <w:noProof/>
                <w:webHidden/>
              </w:rPr>
              <w:instrText xml:space="preserve"> PAGEREF _Toc131073276 \h </w:instrText>
            </w:r>
            <w:r>
              <w:rPr>
                <w:noProof/>
                <w:webHidden/>
              </w:rPr>
            </w:r>
            <w:r>
              <w:rPr>
                <w:noProof/>
                <w:webHidden/>
              </w:rPr>
              <w:fldChar w:fldCharType="separate"/>
            </w:r>
            <w:r>
              <w:rPr>
                <w:noProof/>
                <w:webHidden/>
              </w:rPr>
              <w:t>4</w:t>
            </w:r>
            <w:r>
              <w:rPr>
                <w:noProof/>
                <w:webHidden/>
              </w:rPr>
              <w:fldChar w:fldCharType="end"/>
            </w:r>
          </w:hyperlink>
        </w:p>
        <w:p w14:paraId="6B5793F1" w14:textId="46B937C4" w:rsidR="008D5F6C" w:rsidRDefault="008D5F6C">
          <w:pPr>
            <w:pStyle w:val="TOC1"/>
            <w:tabs>
              <w:tab w:val="right" w:leader="dot" w:pos="9016"/>
            </w:tabs>
            <w:rPr>
              <w:rFonts w:eastAsiaTheme="minorEastAsia"/>
              <w:noProof/>
              <w:lang w:eastAsia="en-GB"/>
            </w:rPr>
          </w:pPr>
          <w:hyperlink w:anchor="_Toc131073277" w:history="1">
            <w:r w:rsidRPr="00B024DF">
              <w:rPr>
                <w:rStyle w:val="Hyperlink"/>
                <w:rFonts w:ascii="Arial" w:hAnsi="Arial" w:cs="Arial"/>
                <w:b/>
                <w:bCs/>
                <w:noProof/>
              </w:rPr>
              <w:t>2.2. Strategies in engaging the community. Legitimacy. Environment.</w:t>
            </w:r>
            <w:r>
              <w:rPr>
                <w:noProof/>
                <w:webHidden/>
              </w:rPr>
              <w:tab/>
            </w:r>
            <w:r>
              <w:rPr>
                <w:noProof/>
                <w:webHidden/>
              </w:rPr>
              <w:fldChar w:fldCharType="begin"/>
            </w:r>
            <w:r>
              <w:rPr>
                <w:noProof/>
                <w:webHidden/>
              </w:rPr>
              <w:instrText xml:space="preserve"> PAGEREF _Toc131073277 \h </w:instrText>
            </w:r>
            <w:r>
              <w:rPr>
                <w:noProof/>
                <w:webHidden/>
              </w:rPr>
            </w:r>
            <w:r>
              <w:rPr>
                <w:noProof/>
                <w:webHidden/>
              </w:rPr>
              <w:fldChar w:fldCharType="separate"/>
            </w:r>
            <w:r>
              <w:rPr>
                <w:noProof/>
                <w:webHidden/>
              </w:rPr>
              <w:t>5</w:t>
            </w:r>
            <w:r>
              <w:rPr>
                <w:noProof/>
                <w:webHidden/>
              </w:rPr>
              <w:fldChar w:fldCharType="end"/>
            </w:r>
          </w:hyperlink>
        </w:p>
        <w:p w14:paraId="19D384FB" w14:textId="6457405B" w:rsidR="008D5F6C" w:rsidRDefault="008D5F6C">
          <w:pPr>
            <w:pStyle w:val="TOC1"/>
            <w:tabs>
              <w:tab w:val="right" w:leader="dot" w:pos="9016"/>
            </w:tabs>
            <w:rPr>
              <w:rFonts w:eastAsiaTheme="minorEastAsia"/>
              <w:noProof/>
              <w:lang w:eastAsia="en-GB"/>
            </w:rPr>
          </w:pPr>
          <w:hyperlink w:anchor="_Toc131073278" w:history="1">
            <w:r w:rsidRPr="00B024DF">
              <w:rPr>
                <w:rStyle w:val="Hyperlink"/>
                <w:rFonts w:ascii="Arial" w:hAnsi="Arial" w:cs="Arial"/>
                <w:b/>
                <w:bCs/>
                <w:noProof/>
              </w:rPr>
              <w:t>2.3. Consequences of the community engagement projects.</w:t>
            </w:r>
            <w:r>
              <w:rPr>
                <w:noProof/>
                <w:webHidden/>
              </w:rPr>
              <w:tab/>
            </w:r>
            <w:r>
              <w:rPr>
                <w:noProof/>
                <w:webHidden/>
              </w:rPr>
              <w:fldChar w:fldCharType="begin"/>
            </w:r>
            <w:r>
              <w:rPr>
                <w:noProof/>
                <w:webHidden/>
              </w:rPr>
              <w:instrText xml:space="preserve"> PAGEREF _Toc131073278 \h </w:instrText>
            </w:r>
            <w:r>
              <w:rPr>
                <w:noProof/>
                <w:webHidden/>
              </w:rPr>
            </w:r>
            <w:r>
              <w:rPr>
                <w:noProof/>
                <w:webHidden/>
              </w:rPr>
              <w:fldChar w:fldCharType="separate"/>
            </w:r>
            <w:r>
              <w:rPr>
                <w:noProof/>
                <w:webHidden/>
              </w:rPr>
              <w:t>7</w:t>
            </w:r>
            <w:r>
              <w:rPr>
                <w:noProof/>
                <w:webHidden/>
              </w:rPr>
              <w:fldChar w:fldCharType="end"/>
            </w:r>
          </w:hyperlink>
        </w:p>
        <w:p w14:paraId="62A1518C" w14:textId="4CC525A3" w:rsidR="008D5F6C" w:rsidRDefault="008D5F6C">
          <w:pPr>
            <w:pStyle w:val="TOC1"/>
            <w:tabs>
              <w:tab w:val="right" w:leader="dot" w:pos="9016"/>
            </w:tabs>
            <w:rPr>
              <w:rFonts w:eastAsiaTheme="minorEastAsia"/>
              <w:noProof/>
              <w:lang w:eastAsia="en-GB"/>
            </w:rPr>
          </w:pPr>
          <w:hyperlink w:anchor="_Toc131073279" w:history="1">
            <w:r w:rsidRPr="00B024DF">
              <w:rPr>
                <w:rStyle w:val="Hyperlink"/>
                <w:rFonts w:ascii="Arial" w:hAnsi="Arial" w:cs="Arial"/>
                <w:b/>
                <w:bCs/>
                <w:noProof/>
              </w:rPr>
              <w:t>3. Conclusion</w:t>
            </w:r>
            <w:r>
              <w:rPr>
                <w:noProof/>
                <w:webHidden/>
              </w:rPr>
              <w:tab/>
            </w:r>
            <w:r>
              <w:rPr>
                <w:noProof/>
                <w:webHidden/>
              </w:rPr>
              <w:fldChar w:fldCharType="begin"/>
            </w:r>
            <w:r>
              <w:rPr>
                <w:noProof/>
                <w:webHidden/>
              </w:rPr>
              <w:instrText xml:space="preserve"> PAGEREF _Toc131073279 \h </w:instrText>
            </w:r>
            <w:r>
              <w:rPr>
                <w:noProof/>
                <w:webHidden/>
              </w:rPr>
            </w:r>
            <w:r>
              <w:rPr>
                <w:noProof/>
                <w:webHidden/>
              </w:rPr>
              <w:fldChar w:fldCharType="separate"/>
            </w:r>
            <w:r>
              <w:rPr>
                <w:noProof/>
                <w:webHidden/>
              </w:rPr>
              <w:t>7</w:t>
            </w:r>
            <w:r>
              <w:rPr>
                <w:noProof/>
                <w:webHidden/>
              </w:rPr>
              <w:fldChar w:fldCharType="end"/>
            </w:r>
          </w:hyperlink>
        </w:p>
        <w:p w14:paraId="61C242D2" w14:textId="47DFE018" w:rsidR="008D5F6C" w:rsidRDefault="008D5F6C">
          <w:pPr>
            <w:pStyle w:val="TOC1"/>
            <w:tabs>
              <w:tab w:val="right" w:leader="dot" w:pos="9016"/>
            </w:tabs>
            <w:rPr>
              <w:rFonts w:eastAsiaTheme="minorEastAsia"/>
              <w:noProof/>
              <w:lang w:eastAsia="en-GB"/>
            </w:rPr>
          </w:pPr>
          <w:hyperlink w:anchor="_Toc131073280" w:history="1">
            <w:r w:rsidRPr="00B024DF">
              <w:rPr>
                <w:rStyle w:val="Hyperlink"/>
                <w:rFonts w:ascii="Arial" w:hAnsi="Arial" w:cs="Arial"/>
                <w:b/>
                <w:bCs/>
                <w:noProof/>
              </w:rPr>
              <w:t>4. References</w:t>
            </w:r>
            <w:r>
              <w:rPr>
                <w:noProof/>
                <w:webHidden/>
              </w:rPr>
              <w:tab/>
            </w:r>
            <w:r>
              <w:rPr>
                <w:noProof/>
                <w:webHidden/>
              </w:rPr>
              <w:fldChar w:fldCharType="begin"/>
            </w:r>
            <w:r>
              <w:rPr>
                <w:noProof/>
                <w:webHidden/>
              </w:rPr>
              <w:instrText xml:space="preserve"> PAGEREF _Toc131073280 \h </w:instrText>
            </w:r>
            <w:r>
              <w:rPr>
                <w:noProof/>
                <w:webHidden/>
              </w:rPr>
            </w:r>
            <w:r>
              <w:rPr>
                <w:noProof/>
                <w:webHidden/>
              </w:rPr>
              <w:fldChar w:fldCharType="separate"/>
            </w:r>
            <w:r>
              <w:rPr>
                <w:noProof/>
                <w:webHidden/>
              </w:rPr>
              <w:t>8</w:t>
            </w:r>
            <w:r>
              <w:rPr>
                <w:noProof/>
                <w:webHidden/>
              </w:rPr>
              <w:fldChar w:fldCharType="end"/>
            </w:r>
          </w:hyperlink>
        </w:p>
        <w:p w14:paraId="748A5FC2" w14:textId="4CFB486C" w:rsidR="008D5F6C" w:rsidRDefault="008D5F6C">
          <w:pPr>
            <w:pStyle w:val="TOC1"/>
            <w:tabs>
              <w:tab w:val="right" w:leader="dot" w:pos="9016"/>
            </w:tabs>
            <w:rPr>
              <w:rFonts w:eastAsiaTheme="minorEastAsia"/>
              <w:noProof/>
              <w:lang w:eastAsia="en-GB"/>
            </w:rPr>
          </w:pPr>
          <w:hyperlink w:anchor="_Toc131073281" w:history="1">
            <w:r w:rsidRPr="00B024DF">
              <w:rPr>
                <w:rStyle w:val="Hyperlink"/>
                <w:rFonts w:ascii="Arial" w:hAnsi="Arial" w:cs="Arial"/>
                <w:b/>
                <w:bCs/>
                <w:noProof/>
              </w:rPr>
              <w:t>5. Appendix</w:t>
            </w:r>
            <w:r>
              <w:rPr>
                <w:noProof/>
                <w:webHidden/>
              </w:rPr>
              <w:tab/>
            </w:r>
            <w:r>
              <w:rPr>
                <w:noProof/>
                <w:webHidden/>
              </w:rPr>
              <w:fldChar w:fldCharType="begin"/>
            </w:r>
            <w:r>
              <w:rPr>
                <w:noProof/>
                <w:webHidden/>
              </w:rPr>
              <w:instrText xml:space="preserve"> PAGEREF _Toc131073281 \h </w:instrText>
            </w:r>
            <w:r>
              <w:rPr>
                <w:noProof/>
                <w:webHidden/>
              </w:rPr>
            </w:r>
            <w:r>
              <w:rPr>
                <w:noProof/>
                <w:webHidden/>
              </w:rPr>
              <w:fldChar w:fldCharType="separate"/>
            </w:r>
            <w:r>
              <w:rPr>
                <w:noProof/>
                <w:webHidden/>
              </w:rPr>
              <w:t>9</w:t>
            </w:r>
            <w:r>
              <w:rPr>
                <w:noProof/>
                <w:webHidden/>
              </w:rPr>
              <w:fldChar w:fldCharType="end"/>
            </w:r>
          </w:hyperlink>
        </w:p>
        <w:p w14:paraId="7ED71C84" w14:textId="7B887DC6" w:rsidR="00AC40A4" w:rsidRPr="00020D83" w:rsidRDefault="00AC40A4" w:rsidP="00020D83">
          <w:pPr>
            <w:spacing w:line="360" w:lineRule="auto"/>
            <w:rPr>
              <w:rFonts w:ascii="Arial" w:hAnsi="Arial" w:cs="Arial"/>
            </w:rPr>
          </w:pPr>
          <w:r w:rsidRPr="00020D83">
            <w:rPr>
              <w:rFonts w:ascii="Arial" w:hAnsi="Arial" w:cs="Arial"/>
              <w:b/>
              <w:bCs/>
            </w:rPr>
            <w:fldChar w:fldCharType="end"/>
          </w:r>
        </w:p>
      </w:sdtContent>
    </w:sdt>
    <w:p w14:paraId="32320931" w14:textId="52B2B920" w:rsidR="00E83EC8" w:rsidRPr="00020D83" w:rsidRDefault="00E83EC8" w:rsidP="00020D83">
      <w:pPr>
        <w:spacing w:line="360" w:lineRule="auto"/>
        <w:ind w:left="1080" w:hanging="360"/>
        <w:rPr>
          <w:rFonts w:ascii="Arial" w:hAnsi="Arial" w:cs="Arial"/>
        </w:rPr>
      </w:pPr>
    </w:p>
    <w:p w14:paraId="2D74EDDF" w14:textId="79D65767" w:rsidR="00E83EC8" w:rsidRPr="00020D83" w:rsidRDefault="00E83EC8" w:rsidP="00020D83">
      <w:pPr>
        <w:spacing w:line="360" w:lineRule="auto"/>
        <w:ind w:left="1080" w:hanging="360"/>
        <w:rPr>
          <w:rFonts w:ascii="Arial" w:hAnsi="Arial" w:cs="Arial"/>
        </w:rPr>
      </w:pPr>
    </w:p>
    <w:p w14:paraId="2EE410FE" w14:textId="7E6C9C70" w:rsidR="00E83EC8" w:rsidRPr="00020D83" w:rsidRDefault="00E83EC8" w:rsidP="00020D83">
      <w:pPr>
        <w:spacing w:line="360" w:lineRule="auto"/>
        <w:ind w:left="1080" w:hanging="360"/>
        <w:rPr>
          <w:rFonts w:ascii="Arial" w:hAnsi="Arial" w:cs="Arial"/>
        </w:rPr>
      </w:pPr>
    </w:p>
    <w:p w14:paraId="27BA6F6C" w14:textId="36514A17" w:rsidR="00E83EC8" w:rsidRPr="00020D83" w:rsidRDefault="00E83EC8" w:rsidP="00020D83">
      <w:pPr>
        <w:spacing w:line="360" w:lineRule="auto"/>
        <w:ind w:left="1080" w:hanging="360"/>
        <w:rPr>
          <w:rFonts w:ascii="Arial" w:hAnsi="Arial" w:cs="Arial"/>
        </w:rPr>
      </w:pPr>
    </w:p>
    <w:p w14:paraId="6794359C" w14:textId="3BD99909" w:rsidR="00E83EC8" w:rsidRPr="00020D83" w:rsidRDefault="00E83EC8" w:rsidP="00020D83">
      <w:pPr>
        <w:spacing w:line="360" w:lineRule="auto"/>
        <w:ind w:left="1080" w:hanging="360"/>
        <w:rPr>
          <w:rFonts w:ascii="Arial" w:hAnsi="Arial" w:cs="Arial"/>
        </w:rPr>
      </w:pPr>
    </w:p>
    <w:p w14:paraId="25D0AF4F" w14:textId="51E236A6" w:rsidR="00E83EC8" w:rsidRPr="00020D83" w:rsidRDefault="00E83EC8" w:rsidP="00020D83">
      <w:pPr>
        <w:spacing w:line="360" w:lineRule="auto"/>
        <w:ind w:left="1080" w:hanging="360"/>
        <w:rPr>
          <w:rFonts w:ascii="Arial" w:hAnsi="Arial" w:cs="Arial"/>
        </w:rPr>
      </w:pPr>
    </w:p>
    <w:p w14:paraId="6E576D0C" w14:textId="2AFF5108" w:rsidR="00E83EC8" w:rsidRPr="00020D83" w:rsidRDefault="00E83EC8" w:rsidP="00020D83">
      <w:pPr>
        <w:spacing w:line="360" w:lineRule="auto"/>
        <w:ind w:left="1080" w:hanging="360"/>
        <w:rPr>
          <w:rFonts w:ascii="Arial" w:hAnsi="Arial" w:cs="Arial"/>
        </w:rPr>
      </w:pPr>
    </w:p>
    <w:p w14:paraId="1FD47A7F" w14:textId="356C24C4" w:rsidR="00E83EC8" w:rsidRPr="00020D83" w:rsidRDefault="00E83EC8" w:rsidP="00020D83">
      <w:pPr>
        <w:spacing w:line="360" w:lineRule="auto"/>
        <w:ind w:left="1080" w:hanging="360"/>
        <w:rPr>
          <w:rFonts w:ascii="Arial" w:hAnsi="Arial" w:cs="Arial"/>
        </w:rPr>
      </w:pPr>
    </w:p>
    <w:p w14:paraId="10CB49C0" w14:textId="61D8F65B" w:rsidR="00E83EC8" w:rsidRPr="00020D83" w:rsidRDefault="00E83EC8" w:rsidP="00020D83">
      <w:pPr>
        <w:spacing w:line="360" w:lineRule="auto"/>
        <w:ind w:left="1080" w:hanging="360"/>
        <w:rPr>
          <w:rFonts w:ascii="Arial" w:hAnsi="Arial" w:cs="Arial"/>
        </w:rPr>
      </w:pPr>
    </w:p>
    <w:p w14:paraId="5B6FF652" w14:textId="71498BE4" w:rsidR="00E83EC8" w:rsidRPr="00020D83" w:rsidRDefault="00E83EC8" w:rsidP="00020D83">
      <w:pPr>
        <w:spacing w:line="360" w:lineRule="auto"/>
        <w:ind w:left="1080" w:hanging="360"/>
        <w:rPr>
          <w:rFonts w:ascii="Arial" w:hAnsi="Arial" w:cs="Arial"/>
        </w:rPr>
      </w:pPr>
    </w:p>
    <w:p w14:paraId="2D889D72" w14:textId="6D0CDC61" w:rsidR="00E83EC8" w:rsidRPr="00020D83" w:rsidRDefault="00E83EC8" w:rsidP="00020D83">
      <w:pPr>
        <w:spacing w:line="360" w:lineRule="auto"/>
        <w:ind w:left="1080" w:hanging="360"/>
        <w:rPr>
          <w:rFonts w:ascii="Arial" w:hAnsi="Arial" w:cs="Arial"/>
        </w:rPr>
      </w:pPr>
    </w:p>
    <w:p w14:paraId="216F5766" w14:textId="477895BB" w:rsidR="00E83EC8" w:rsidRPr="00020D83" w:rsidRDefault="00E83EC8" w:rsidP="00020D83">
      <w:pPr>
        <w:spacing w:line="360" w:lineRule="auto"/>
        <w:ind w:left="1080" w:hanging="360"/>
        <w:rPr>
          <w:rFonts w:ascii="Arial" w:hAnsi="Arial" w:cs="Arial"/>
        </w:rPr>
      </w:pPr>
    </w:p>
    <w:p w14:paraId="7815112E" w14:textId="5B410147" w:rsidR="00E83EC8" w:rsidRPr="00020D83" w:rsidRDefault="00E83EC8" w:rsidP="00020D83">
      <w:pPr>
        <w:spacing w:line="360" w:lineRule="auto"/>
        <w:ind w:left="1080" w:hanging="360"/>
        <w:rPr>
          <w:rFonts w:ascii="Arial" w:hAnsi="Arial" w:cs="Arial"/>
        </w:rPr>
      </w:pPr>
    </w:p>
    <w:p w14:paraId="67DAEC76" w14:textId="54AE6BBE" w:rsidR="00E83EC8" w:rsidRPr="00020D83" w:rsidRDefault="00E83EC8" w:rsidP="00020D83">
      <w:pPr>
        <w:spacing w:line="360" w:lineRule="auto"/>
        <w:ind w:left="1080" w:hanging="360"/>
        <w:rPr>
          <w:rFonts w:ascii="Arial" w:hAnsi="Arial" w:cs="Arial"/>
        </w:rPr>
      </w:pPr>
    </w:p>
    <w:p w14:paraId="4268420C" w14:textId="34BAA106" w:rsidR="00E83EC8" w:rsidRPr="00020D83" w:rsidRDefault="00E83EC8" w:rsidP="00020D83">
      <w:pPr>
        <w:spacing w:line="360" w:lineRule="auto"/>
        <w:ind w:left="1080" w:hanging="360"/>
        <w:rPr>
          <w:rFonts w:ascii="Arial" w:hAnsi="Arial" w:cs="Arial"/>
        </w:rPr>
      </w:pPr>
    </w:p>
    <w:p w14:paraId="76C034C6" w14:textId="46B588B7" w:rsidR="00E83EC8" w:rsidRPr="00020D83" w:rsidRDefault="00E83EC8" w:rsidP="00020D83">
      <w:pPr>
        <w:spacing w:line="360" w:lineRule="auto"/>
        <w:ind w:left="1080" w:hanging="360"/>
        <w:rPr>
          <w:rFonts w:ascii="Arial" w:hAnsi="Arial" w:cs="Arial"/>
        </w:rPr>
      </w:pPr>
    </w:p>
    <w:p w14:paraId="3D4AA6D4" w14:textId="73EEDE64" w:rsidR="00E83EC8" w:rsidRPr="00020D83" w:rsidRDefault="00E83EC8" w:rsidP="00020D83">
      <w:pPr>
        <w:spacing w:line="360" w:lineRule="auto"/>
        <w:ind w:left="1080" w:hanging="360"/>
        <w:rPr>
          <w:rFonts w:ascii="Arial" w:hAnsi="Arial" w:cs="Arial"/>
        </w:rPr>
      </w:pPr>
    </w:p>
    <w:p w14:paraId="2DD69831" w14:textId="1C995F01" w:rsidR="00E83EC8" w:rsidRPr="00020D83" w:rsidRDefault="00E83EC8" w:rsidP="00020D83">
      <w:pPr>
        <w:spacing w:line="360" w:lineRule="auto"/>
        <w:ind w:left="1080" w:hanging="360"/>
        <w:rPr>
          <w:rFonts w:ascii="Arial" w:hAnsi="Arial" w:cs="Arial"/>
        </w:rPr>
      </w:pPr>
    </w:p>
    <w:p w14:paraId="42DE5C9D" w14:textId="6793D62A" w:rsidR="00E83EC8" w:rsidRPr="00020D83" w:rsidRDefault="00E83EC8" w:rsidP="00020D83">
      <w:pPr>
        <w:spacing w:line="360" w:lineRule="auto"/>
        <w:ind w:left="1080" w:hanging="360"/>
        <w:rPr>
          <w:rFonts w:ascii="Arial" w:hAnsi="Arial" w:cs="Arial"/>
        </w:rPr>
      </w:pPr>
    </w:p>
    <w:p w14:paraId="4D500F59" w14:textId="77777777" w:rsidR="00F937C9" w:rsidRDefault="00F937C9" w:rsidP="00F937C9">
      <w:pPr>
        <w:pStyle w:val="Heading1"/>
        <w:spacing w:line="360" w:lineRule="auto"/>
        <w:ind w:firstLine="720"/>
        <w:rPr>
          <w:rFonts w:ascii="Arial" w:hAnsi="Arial" w:cs="Arial"/>
          <w:b/>
          <w:bCs/>
          <w:color w:val="000000" w:themeColor="text1"/>
          <w:sz w:val="22"/>
          <w:szCs w:val="22"/>
        </w:rPr>
      </w:pPr>
    </w:p>
    <w:p w14:paraId="64A38108" w14:textId="10349BF7" w:rsidR="003C1A20" w:rsidRPr="00020D83" w:rsidRDefault="00AC40A4" w:rsidP="00F937C9">
      <w:pPr>
        <w:pStyle w:val="Heading1"/>
        <w:spacing w:line="360" w:lineRule="auto"/>
        <w:ind w:firstLine="720"/>
        <w:rPr>
          <w:rFonts w:ascii="Arial" w:hAnsi="Arial" w:cs="Arial"/>
          <w:b/>
          <w:bCs/>
          <w:color w:val="000000" w:themeColor="text1"/>
          <w:sz w:val="22"/>
          <w:szCs w:val="22"/>
        </w:rPr>
      </w:pPr>
      <w:bookmarkStart w:id="1" w:name="_Toc131073275"/>
      <w:r w:rsidRPr="00020D83">
        <w:rPr>
          <w:rFonts w:ascii="Arial" w:hAnsi="Arial" w:cs="Arial"/>
          <w:b/>
          <w:bCs/>
          <w:color w:val="000000" w:themeColor="text1"/>
          <w:sz w:val="22"/>
          <w:szCs w:val="22"/>
        </w:rPr>
        <w:t>1.</w:t>
      </w:r>
      <w:r w:rsidR="00AD53FA" w:rsidRPr="00020D83">
        <w:rPr>
          <w:rFonts w:ascii="Arial" w:hAnsi="Arial" w:cs="Arial"/>
          <w:b/>
          <w:bCs/>
          <w:color w:val="000000" w:themeColor="text1"/>
          <w:sz w:val="22"/>
          <w:szCs w:val="22"/>
        </w:rPr>
        <w:t>Introduction</w:t>
      </w:r>
      <w:bookmarkEnd w:id="1"/>
    </w:p>
    <w:p w14:paraId="205BE305" w14:textId="0020FD1A" w:rsidR="00AD53FA" w:rsidRPr="00020D83" w:rsidRDefault="00AD53FA" w:rsidP="00020D83">
      <w:pPr>
        <w:spacing w:line="360" w:lineRule="auto"/>
        <w:rPr>
          <w:rFonts w:ascii="Arial" w:hAnsi="Arial" w:cs="Arial"/>
        </w:rPr>
      </w:pPr>
    </w:p>
    <w:p w14:paraId="0C9A9076" w14:textId="3CE7B6C2" w:rsidR="00AD53FA" w:rsidRPr="00020D83" w:rsidRDefault="001F1A35" w:rsidP="00020D83">
      <w:pPr>
        <w:spacing w:line="360" w:lineRule="auto"/>
        <w:ind w:firstLine="720"/>
        <w:rPr>
          <w:rFonts w:ascii="Arial" w:hAnsi="Arial" w:cs="Arial"/>
          <w:color w:val="000000" w:themeColor="text1"/>
        </w:rPr>
      </w:pPr>
      <w:r w:rsidRPr="00020D83">
        <w:rPr>
          <w:rFonts w:ascii="Arial" w:hAnsi="Arial" w:cs="Arial"/>
        </w:rPr>
        <w:t xml:space="preserve">It cannot be emphasized how crucial it is to comprehend every step of the community engagement approach. The procedure might involve a number of steps and could take a long time. A procedure shouldn't be thought of as only having one stage, choice, event, or tool. When contemplating community involvement, keep these systems' interactions in mind. It involves getting the </w:t>
      </w:r>
      <w:r w:rsidR="00EF4BBC" w:rsidRPr="00020D83">
        <w:rPr>
          <w:rFonts w:ascii="Arial" w:hAnsi="Arial" w:cs="Arial"/>
        </w:rPr>
        <w:t>neighbourhood</w:t>
      </w:r>
      <w:r w:rsidRPr="00020D83">
        <w:rPr>
          <w:rFonts w:ascii="Arial" w:hAnsi="Arial" w:cs="Arial"/>
        </w:rPr>
        <w:t xml:space="preserve"> moving. Engagement doesn't start with participation or desire. It involves getting people's attention and focusing their efforts on the issue at hand; the issue must be significant enough to require attention from those involved and have personal significance for them. Engagement suggests commitment to a process that involves decisions and deeds. </w:t>
      </w:r>
      <w:r w:rsidRPr="00020D83">
        <w:rPr>
          <w:rFonts w:ascii="Arial" w:hAnsi="Arial" w:cs="Arial"/>
          <w:color w:val="000000" w:themeColor="text1"/>
        </w:rPr>
        <w:t>(</w:t>
      </w:r>
      <w:proofErr w:type="spellStart"/>
      <w:r w:rsidRPr="00020D83">
        <w:rPr>
          <w:rFonts w:ascii="Arial" w:hAnsi="Arial" w:cs="Arial"/>
          <w:color w:val="000000" w:themeColor="text1"/>
        </w:rPr>
        <w:t>Aslin</w:t>
      </w:r>
      <w:proofErr w:type="spellEnd"/>
      <w:r w:rsidRPr="00020D83">
        <w:rPr>
          <w:rFonts w:ascii="Arial" w:hAnsi="Arial" w:cs="Arial"/>
          <w:color w:val="000000" w:themeColor="text1"/>
        </w:rPr>
        <w:t xml:space="preserve"> and Brown, 2004) </w:t>
      </w:r>
      <w:r w:rsidRPr="00020D83">
        <w:rPr>
          <w:rFonts w:ascii="Arial" w:hAnsi="Arial" w:cs="Arial"/>
        </w:rPr>
        <w:t xml:space="preserve">Despite the fact that community engagement does not have an unambiguous definition, </w:t>
      </w:r>
      <w:r w:rsidRPr="00020D83">
        <w:rPr>
          <w:rFonts w:ascii="Arial" w:hAnsi="Arial" w:cs="Arial"/>
          <w:color w:val="000000" w:themeColor="text1"/>
        </w:rPr>
        <w:t xml:space="preserve">according to the statement of </w:t>
      </w:r>
      <w:proofErr w:type="spellStart"/>
      <w:r w:rsidRPr="00020D83">
        <w:rPr>
          <w:rFonts w:ascii="Arial" w:hAnsi="Arial" w:cs="Arial"/>
          <w:color w:val="000000" w:themeColor="text1"/>
        </w:rPr>
        <w:t>Aslin</w:t>
      </w:r>
      <w:proofErr w:type="spellEnd"/>
      <w:r w:rsidRPr="00020D83">
        <w:rPr>
          <w:rFonts w:ascii="Arial" w:hAnsi="Arial" w:cs="Arial"/>
          <w:color w:val="000000" w:themeColor="text1"/>
        </w:rPr>
        <w:t xml:space="preserve"> and Brown (2004), effective community engagement is associated with engagement processes and activities in which a wide range of people come together to work toward a common objective guided by a common set of values, principles, and beliefs.</w:t>
      </w:r>
    </w:p>
    <w:p w14:paraId="2671112A" w14:textId="5CC895FC" w:rsidR="001F1A35" w:rsidRPr="00020D83" w:rsidRDefault="001F1A35" w:rsidP="00020D83">
      <w:pPr>
        <w:spacing w:line="360" w:lineRule="auto"/>
        <w:rPr>
          <w:rFonts w:ascii="Arial" w:hAnsi="Arial" w:cs="Arial"/>
        </w:rPr>
      </w:pPr>
      <w:r w:rsidRPr="00020D83">
        <w:rPr>
          <w:rFonts w:ascii="Arial" w:hAnsi="Arial" w:cs="Arial"/>
        </w:rPr>
        <w:tab/>
        <w:t xml:space="preserve">If a framework is followed when conducting a community engaging project, the result have a big chance to be successful, and I will present below how a community engagement project will be done in order to have a positive outcome, and making sure inclusiveness, diversity and overall well-being are being looked for.  Looking back at the Transforming the Waterside project by Leicester City Council, the framework of community engagement projects will be followed in order to conduct another project in a better and innovative way, followed by the knowledge gained from the information provided at university in the Community Engagement module. The new project will be about gathering  teenagers together in order to stop drug and alcohol abuse, filling the space with interesting activities, which can also help the community. </w:t>
      </w:r>
    </w:p>
    <w:p w14:paraId="03C91205" w14:textId="36AF43B7" w:rsidR="001F1A35" w:rsidRDefault="00781761" w:rsidP="00020D83">
      <w:pPr>
        <w:spacing w:line="360" w:lineRule="auto"/>
        <w:rPr>
          <w:rFonts w:ascii="Arial" w:hAnsi="Arial" w:cs="Arial"/>
          <w:color w:val="000000"/>
        </w:rPr>
      </w:pPr>
      <w:r w:rsidRPr="00781761">
        <w:rPr>
          <w:rFonts w:ascii="Arial" w:hAnsi="Arial" w:cs="Arial"/>
        </w:rPr>
        <w:t xml:space="preserve">It is common for teens to misuse alcohol and drugs, which can have negative consequences. In the 15–24 age group, alcohol or substance misuse is associated with 50% of fatalities (accidents, homicides, or suicides). Physical and sexual violence, such as rape and assault, are also aggravated by alcohol and drug abuse. The use of alcohol and drugs by adolescents may go through various phases, including abstention (not using), experimentation, regular use (both recreationally and as a coping mechanism), misuse, and dependence. Anxiety and melancholy can be caused by regular recreational use. As a way to cope with anxiety, depression, or social problems, some adolescents turn to drugs or alcohol. Teenagers may find it very difficult to say no because of their interest, propensity for </w:t>
      </w:r>
      <w:r w:rsidRPr="00781761">
        <w:rPr>
          <w:rFonts w:ascii="Arial" w:hAnsi="Arial" w:cs="Arial"/>
        </w:rPr>
        <w:lastRenderedPageBreak/>
        <w:t>taking risks, and social pressure.</w:t>
      </w:r>
      <w:r w:rsidRPr="00020D83">
        <w:rPr>
          <w:rFonts w:ascii="Arial" w:hAnsi="Arial" w:cs="Arial"/>
        </w:rPr>
        <w:t xml:space="preserve"> </w:t>
      </w:r>
      <w:r w:rsidR="001F1A35" w:rsidRPr="00020D83">
        <w:rPr>
          <w:rFonts w:ascii="Arial" w:hAnsi="Arial" w:cs="Arial"/>
        </w:rPr>
        <w:t xml:space="preserve">Most teenagers then ask themselves, "Will it hurt to try one? " </w:t>
      </w:r>
      <w:r w:rsidR="001F1A35" w:rsidRPr="00020D83">
        <w:rPr>
          <w:rFonts w:ascii="Arial" w:hAnsi="Arial" w:cs="Arial"/>
          <w:color w:val="000000"/>
        </w:rPr>
        <w:t xml:space="preserve">(AACAP, 2023). From starting to try once, things can quickly escalate and addiction can occur, and my project’s purpose is to find better ways in which teenagers can spend their time and enjoy life away from those addictions. </w:t>
      </w:r>
    </w:p>
    <w:p w14:paraId="7CC5833E" w14:textId="77777777" w:rsidR="00D04305" w:rsidRDefault="00D04305" w:rsidP="00020D83">
      <w:pPr>
        <w:spacing w:line="360" w:lineRule="auto"/>
        <w:rPr>
          <w:rFonts w:ascii="Arial" w:hAnsi="Arial" w:cs="Arial"/>
          <w:color w:val="000000"/>
        </w:rPr>
      </w:pPr>
    </w:p>
    <w:p w14:paraId="1220D467" w14:textId="77777777" w:rsidR="00F937C9" w:rsidRPr="00020D83" w:rsidRDefault="00F937C9" w:rsidP="00020D83">
      <w:pPr>
        <w:spacing w:line="360" w:lineRule="auto"/>
        <w:rPr>
          <w:rFonts w:ascii="Arial" w:hAnsi="Arial" w:cs="Arial"/>
          <w:color w:val="000000"/>
        </w:rPr>
      </w:pPr>
    </w:p>
    <w:p w14:paraId="37460C7F" w14:textId="205C5DEC" w:rsidR="001F1A35" w:rsidRPr="00020D83" w:rsidRDefault="001F1A35" w:rsidP="00020D83">
      <w:pPr>
        <w:pStyle w:val="Heading1"/>
        <w:spacing w:line="360" w:lineRule="auto"/>
        <w:rPr>
          <w:rFonts w:ascii="Arial" w:hAnsi="Arial" w:cs="Arial"/>
          <w:b/>
          <w:bCs/>
          <w:color w:val="000000" w:themeColor="text1"/>
          <w:sz w:val="22"/>
          <w:szCs w:val="22"/>
        </w:rPr>
      </w:pPr>
      <w:r w:rsidRPr="00020D83">
        <w:rPr>
          <w:rFonts w:ascii="Arial" w:hAnsi="Arial" w:cs="Arial"/>
          <w:b/>
          <w:bCs/>
          <w:color w:val="000000" w:themeColor="text1"/>
          <w:sz w:val="22"/>
          <w:szCs w:val="22"/>
        </w:rPr>
        <w:tab/>
      </w:r>
      <w:bookmarkStart w:id="2" w:name="_Toc131073276"/>
      <w:r w:rsidRPr="00020D83">
        <w:rPr>
          <w:rFonts w:ascii="Arial" w:hAnsi="Arial" w:cs="Arial"/>
          <w:b/>
          <w:bCs/>
          <w:color w:val="000000" w:themeColor="text1"/>
          <w:sz w:val="22"/>
          <w:szCs w:val="22"/>
        </w:rPr>
        <w:t>2.1. The Principles of the Community Engagement. Models. Standards.</w:t>
      </w:r>
      <w:bookmarkEnd w:id="2"/>
    </w:p>
    <w:p w14:paraId="59802EF4" w14:textId="77777777" w:rsidR="001F1A35" w:rsidRPr="00020D83" w:rsidRDefault="001F1A35" w:rsidP="00020D83">
      <w:pPr>
        <w:spacing w:line="360" w:lineRule="auto"/>
        <w:rPr>
          <w:rFonts w:ascii="Arial" w:hAnsi="Arial" w:cs="Arial"/>
        </w:rPr>
      </w:pPr>
    </w:p>
    <w:p w14:paraId="1D382A69" w14:textId="45971BEA" w:rsidR="001F1A35" w:rsidRPr="00020D83" w:rsidRDefault="001F1A35" w:rsidP="00020D83">
      <w:pPr>
        <w:spacing w:line="360" w:lineRule="auto"/>
        <w:rPr>
          <w:rFonts w:ascii="Arial" w:hAnsi="Arial" w:cs="Arial"/>
        </w:rPr>
      </w:pPr>
      <w:r w:rsidRPr="00020D83">
        <w:rPr>
          <w:rFonts w:ascii="Arial" w:hAnsi="Arial" w:cs="Arial"/>
        </w:rPr>
        <w:tab/>
        <w:t>Participants in an involvement process must concur on the goals, rules, and guidelines that will be followed. It also makes it possible to assess the method. The group will need to work with the community to come to this agreement. Beliefs, values, and standards should be applied throughout the decision-making process once they have been chosen. The following are some of the guiding principles: dedication, integrity, and regard; inclusivity; adaptability; and practicability.</w:t>
      </w:r>
      <w:r w:rsidRPr="00020D83">
        <w:rPr>
          <w:rFonts w:ascii="Arial" w:hAnsi="Arial" w:cs="Arial"/>
          <w:color w:val="000000" w:themeColor="text1"/>
        </w:rPr>
        <w:t xml:space="preserve"> (</w:t>
      </w:r>
      <w:proofErr w:type="spellStart"/>
      <w:r w:rsidRPr="00020D83">
        <w:rPr>
          <w:rFonts w:ascii="Arial" w:hAnsi="Arial" w:cs="Arial"/>
          <w:color w:val="000000" w:themeColor="text1"/>
        </w:rPr>
        <w:t>Aslin</w:t>
      </w:r>
      <w:proofErr w:type="spellEnd"/>
      <w:r w:rsidRPr="00020D83">
        <w:rPr>
          <w:rFonts w:ascii="Arial" w:hAnsi="Arial" w:cs="Arial"/>
          <w:color w:val="000000" w:themeColor="text1"/>
        </w:rPr>
        <w:t xml:space="preserve"> and Brown, 2004)</w:t>
      </w:r>
      <w:r w:rsidRPr="00020D83">
        <w:rPr>
          <w:rFonts w:ascii="Arial" w:hAnsi="Arial" w:cs="Arial"/>
        </w:rPr>
        <w:t xml:space="preserve"> The participants of community engagement must have a thorough understanding of the community they are planning with, the history and culture of the community, the nature of local community organizations, the needs and issues experienced locally, the community's assets and strengths, and the nature of existing dialogues and participation.</w:t>
      </w:r>
      <w:r w:rsidRPr="00020D83">
        <w:rPr>
          <w:rFonts w:ascii="Arial" w:hAnsi="Arial" w:cs="Arial"/>
          <w:color w:val="000000" w:themeColor="text1"/>
        </w:rPr>
        <w:t xml:space="preserve"> (</w:t>
      </w:r>
      <w:proofErr w:type="spellStart"/>
      <w:r w:rsidRPr="00020D83">
        <w:rPr>
          <w:rFonts w:ascii="Arial" w:hAnsi="Arial" w:cs="Arial"/>
          <w:color w:val="000000" w:themeColor="text1"/>
        </w:rPr>
        <w:t>Hashagan</w:t>
      </w:r>
      <w:proofErr w:type="spellEnd"/>
      <w:r w:rsidRPr="00020D83">
        <w:rPr>
          <w:rFonts w:ascii="Arial" w:hAnsi="Arial" w:cs="Arial"/>
          <w:color w:val="000000" w:themeColor="text1"/>
        </w:rPr>
        <w:t xml:space="preserve">, 2002) </w:t>
      </w:r>
    </w:p>
    <w:p w14:paraId="6E132FA4" w14:textId="6CCEF800" w:rsidR="001F1A35" w:rsidRPr="00020D83" w:rsidRDefault="001F1A35" w:rsidP="00020D83">
      <w:pPr>
        <w:spacing w:line="360" w:lineRule="auto"/>
        <w:rPr>
          <w:rFonts w:ascii="Arial" w:hAnsi="Arial" w:cs="Arial"/>
        </w:rPr>
      </w:pPr>
      <w:r w:rsidRPr="00020D83">
        <w:rPr>
          <w:rFonts w:ascii="Arial" w:hAnsi="Arial" w:cs="Arial"/>
        </w:rPr>
        <w:tab/>
        <w:t xml:space="preserve">Although the Transforming the Waterside project has the aim to transform and create a better city, my project has a deeper purpose, which is to help the teenagers, and at the same time to create a safer, better environment for everyone. Both of the projects are helping the community and can have a positive impact, but as a member of the council, I would prioritize </w:t>
      </w:r>
      <w:r w:rsidR="00FD7231" w:rsidRPr="00020D83">
        <w:rPr>
          <w:rFonts w:ascii="Arial" w:hAnsi="Arial" w:cs="Arial"/>
        </w:rPr>
        <w:t xml:space="preserve">the achievements of people well-being and mental health, because a city is alive due to the people within, not by bricks and buildings. </w:t>
      </w:r>
    </w:p>
    <w:p w14:paraId="44AF3504" w14:textId="30FFA745" w:rsidR="001F1A35" w:rsidRPr="00020D83" w:rsidRDefault="00781761" w:rsidP="00020D83">
      <w:pPr>
        <w:pStyle w:val="NormalWeb"/>
        <w:spacing w:line="360" w:lineRule="auto"/>
        <w:rPr>
          <w:rFonts w:ascii="Arial" w:hAnsi="Arial" w:cs="Arial"/>
          <w:color w:val="000000"/>
          <w:sz w:val="22"/>
          <w:szCs w:val="22"/>
        </w:rPr>
      </w:pPr>
      <w:r w:rsidRPr="00781761">
        <w:rPr>
          <w:rFonts w:ascii="Arial" w:hAnsi="Arial" w:cs="Arial"/>
          <w:color w:val="000000" w:themeColor="text1"/>
          <w:sz w:val="22"/>
          <w:szCs w:val="22"/>
        </w:rPr>
        <w:t>Alcohol and other substances are frequently used by teenagers who are experiencing mental difficulties to cope with difficult or painful emotions. They are similar to adults in this regard. The effects of juvenile self-medication, however, can sometimes be more serious right away, since adolescent minds are still developing. Through drug use, people can temporarily alleviate undesirable mental health symptoms such as hopelessness, anxiety, irritability, and negative thinking.</w:t>
      </w:r>
      <w:r>
        <w:rPr>
          <w:rFonts w:ascii="Arial" w:hAnsi="Arial" w:cs="Arial"/>
          <w:color w:val="000000" w:themeColor="text1"/>
          <w:sz w:val="22"/>
          <w:szCs w:val="22"/>
        </w:rPr>
        <w:t xml:space="preserve"> </w:t>
      </w:r>
      <w:r w:rsidRPr="00781761">
        <w:rPr>
          <w:rFonts w:ascii="Arial" w:hAnsi="Arial" w:cs="Arial"/>
          <w:color w:val="000000" w:themeColor="text1"/>
          <w:sz w:val="22"/>
          <w:szCs w:val="22"/>
        </w:rPr>
        <w:t xml:space="preserve">However, over time, it exacerbates them and frequently results in abuse or dependence. </w:t>
      </w:r>
      <w:r w:rsidR="00FD7231" w:rsidRPr="00020D83">
        <w:rPr>
          <w:rFonts w:ascii="Arial" w:hAnsi="Arial" w:cs="Arial"/>
          <w:color w:val="000000" w:themeColor="text1"/>
          <w:sz w:val="22"/>
          <w:szCs w:val="22"/>
        </w:rPr>
        <w:t xml:space="preserve">Adolescent substance use progresses from experimentation to a severe problem much more quickly than adult substance use does. </w:t>
      </w:r>
      <w:r w:rsidR="00FD7231" w:rsidRPr="00020D83">
        <w:rPr>
          <w:rFonts w:ascii="Arial" w:hAnsi="Arial" w:cs="Arial"/>
          <w:color w:val="000000"/>
          <w:sz w:val="22"/>
          <w:szCs w:val="22"/>
        </w:rPr>
        <w:t xml:space="preserve">(Miller and </w:t>
      </w:r>
      <w:proofErr w:type="spellStart"/>
      <w:r w:rsidR="00FD7231" w:rsidRPr="00020D83">
        <w:rPr>
          <w:rFonts w:ascii="Arial" w:hAnsi="Arial" w:cs="Arial"/>
          <w:color w:val="000000"/>
          <w:sz w:val="22"/>
          <w:szCs w:val="22"/>
        </w:rPr>
        <w:t>Sarper</w:t>
      </w:r>
      <w:proofErr w:type="spellEnd"/>
      <w:r w:rsidR="00FD7231" w:rsidRPr="00020D83">
        <w:rPr>
          <w:rFonts w:ascii="Arial" w:hAnsi="Arial" w:cs="Arial"/>
          <w:color w:val="000000"/>
          <w:sz w:val="22"/>
          <w:szCs w:val="22"/>
        </w:rPr>
        <w:t>, 2018)</w:t>
      </w:r>
    </w:p>
    <w:p w14:paraId="53AAFBF3" w14:textId="205B01B3" w:rsidR="00FD7231" w:rsidRPr="00020D83" w:rsidRDefault="00FD7231" w:rsidP="00020D83">
      <w:pPr>
        <w:pStyle w:val="NormalWeb"/>
        <w:spacing w:line="360" w:lineRule="auto"/>
        <w:rPr>
          <w:rFonts w:ascii="Arial" w:hAnsi="Arial" w:cs="Arial"/>
          <w:color w:val="000000" w:themeColor="text1"/>
          <w:sz w:val="22"/>
          <w:szCs w:val="22"/>
        </w:rPr>
      </w:pPr>
      <w:r w:rsidRPr="00020D83">
        <w:rPr>
          <w:rFonts w:ascii="Arial" w:hAnsi="Arial" w:cs="Arial"/>
          <w:color w:val="000000"/>
          <w:sz w:val="22"/>
          <w:szCs w:val="22"/>
        </w:rPr>
        <w:lastRenderedPageBreak/>
        <w:tab/>
        <w:t>Models of involvement or engagement have been conceptualized as merging different degrees, on a scale or range, including giving communities with information through conversation, co-production, and delegated power, to full community control over national interests.</w:t>
      </w:r>
      <w:r w:rsidRPr="00020D83">
        <w:rPr>
          <w:rFonts w:ascii="Arial" w:hAnsi="Arial" w:cs="Arial"/>
          <w:color w:val="000000" w:themeColor="text1"/>
          <w:sz w:val="22"/>
          <w:szCs w:val="22"/>
        </w:rPr>
        <w:t xml:space="preserve"> (</w:t>
      </w:r>
      <w:proofErr w:type="spellStart"/>
      <w:r w:rsidRPr="00020D83">
        <w:rPr>
          <w:rFonts w:ascii="Arial" w:hAnsi="Arial" w:cs="Arial"/>
          <w:color w:val="000000" w:themeColor="text1"/>
          <w:sz w:val="22"/>
          <w:szCs w:val="22"/>
        </w:rPr>
        <w:t>Attree</w:t>
      </w:r>
      <w:proofErr w:type="spellEnd"/>
      <w:r w:rsidRPr="00020D83">
        <w:rPr>
          <w:rFonts w:ascii="Arial" w:hAnsi="Arial" w:cs="Arial"/>
          <w:color w:val="000000" w:themeColor="text1"/>
          <w:sz w:val="22"/>
          <w:szCs w:val="22"/>
        </w:rPr>
        <w:t> </w:t>
      </w:r>
      <w:r w:rsidRPr="00020D83">
        <w:rPr>
          <w:rFonts w:ascii="Arial" w:hAnsi="Arial" w:cs="Arial"/>
          <w:i/>
          <w:iCs/>
          <w:color w:val="000000" w:themeColor="text1"/>
          <w:sz w:val="22"/>
          <w:szCs w:val="22"/>
        </w:rPr>
        <w:t>et al.</w:t>
      </w:r>
      <w:r w:rsidRPr="00020D83">
        <w:rPr>
          <w:rFonts w:ascii="Arial" w:hAnsi="Arial" w:cs="Arial"/>
          <w:color w:val="000000" w:themeColor="text1"/>
          <w:sz w:val="22"/>
          <w:szCs w:val="22"/>
        </w:rPr>
        <w:t xml:space="preserve">, 2011). In the Waterside project has been used the transitional type of community engagement, which involves the people, but act more on its own. In my project, I want to use the transformational project, involving mostly the people’s opinions and needs, listening to what they demand and act in that direction to provide the best service for them, especially from parents who struggle with their kids who are abusing of drugs and alcohol. </w:t>
      </w:r>
    </w:p>
    <w:p w14:paraId="0FED99E3" w14:textId="4082FC3F" w:rsidR="00EF4BBC" w:rsidRPr="00020D83" w:rsidRDefault="00EF4BBC" w:rsidP="00020D83">
      <w:pPr>
        <w:pStyle w:val="NormalWeb"/>
        <w:spacing w:line="360" w:lineRule="auto"/>
        <w:rPr>
          <w:rFonts w:ascii="Arial" w:hAnsi="Arial" w:cs="Arial"/>
          <w:color w:val="000000"/>
          <w:sz w:val="22"/>
          <w:szCs w:val="22"/>
        </w:rPr>
      </w:pPr>
      <w:r w:rsidRPr="00020D83">
        <w:rPr>
          <w:rFonts w:ascii="Arial" w:hAnsi="Arial" w:cs="Arial"/>
          <w:color w:val="000000" w:themeColor="text1"/>
          <w:sz w:val="22"/>
          <w:szCs w:val="22"/>
        </w:rPr>
        <w:t xml:space="preserve">Recognizing the importance of community variables in influencing community engagement respects the idea behind engagement as a two-way street. </w:t>
      </w:r>
      <w:r w:rsidRPr="00020D83">
        <w:rPr>
          <w:rFonts w:ascii="Arial" w:hAnsi="Arial" w:cs="Arial"/>
          <w:color w:val="000000"/>
          <w:sz w:val="22"/>
          <w:szCs w:val="22"/>
        </w:rPr>
        <w:t xml:space="preserve">(Wade and Demb, 2009) The substance abuse project will follow a ground-up engagement, as the work will be done with and for the community, seeking their opinions and needs in order to have a successful project that will help everyone in need. </w:t>
      </w:r>
    </w:p>
    <w:p w14:paraId="0D2E59E6" w14:textId="463B8F17" w:rsidR="00EF4BBC" w:rsidRPr="00020D83" w:rsidRDefault="00EF4BBC" w:rsidP="00020D83">
      <w:pPr>
        <w:pStyle w:val="NormalWeb"/>
        <w:spacing w:line="360" w:lineRule="auto"/>
        <w:rPr>
          <w:rFonts w:ascii="Arial" w:hAnsi="Arial" w:cs="Arial"/>
          <w:color w:val="000000"/>
          <w:sz w:val="22"/>
          <w:szCs w:val="22"/>
        </w:rPr>
      </w:pPr>
      <w:r w:rsidRPr="00020D83">
        <w:rPr>
          <w:rFonts w:ascii="Arial" w:hAnsi="Arial" w:cs="Arial"/>
          <w:color w:val="000000"/>
          <w:sz w:val="22"/>
          <w:szCs w:val="22"/>
        </w:rPr>
        <w:tab/>
        <w:t xml:space="preserve">Those who want to involve the community must be able to explain to it why their involvement is valuable.  Those in charge of carrying out the endeavour need to be ready for a range of reactions from the neighbourhood. There could be many obstacles to participation, so players should receive fair pay. It's crucial to gather as much information as possible about the area from as many different sources as possible, using both anecdotal and quantitative techniques. It is also beneficial for those starting the process of community involvement to think about how the community views them. They can find assets to build on and obstacles to get past by understanding these views. On community assistance, engagement is built, interacting with influential local organizations and officials fosters confidence. (ATSDR, 2020) In the project I am conducting, I am looking forward to build trust, looking after everyone who has a saying in the project and put the general well-being above all. </w:t>
      </w:r>
    </w:p>
    <w:p w14:paraId="7BBC9CE3" w14:textId="77777777" w:rsidR="00D04305" w:rsidRPr="00020D83" w:rsidRDefault="00D04305" w:rsidP="00020D83">
      <w:pPr>
        <w:pStyle w:val="NormalWeb"/>
        <w:spacing w:line="360" w:lineRule="auto"/>
        <w:rPr>
          <w:rFonts w:ascii="Arial" w:hAnsi="Arial" w:cs="Arial"/>
          <w:color w:val="000000" w:themeColor="text1"/>
          <w:sz w:val="22"/>
          <w:szCs w:val="22"/>
        </w:rPr>
      </w:pPr>
    </w:p>
    <w:p w14:paraId="590DE5B9" w14:textId="0DDBA402" w:rsidR="003E64AE" w:rsidRDefault="00FD7231" w:rsidP="00020D83">
      <w:pPr>
        <w:pStyle w:val="Heading1"/>
        <w:spacing w:line="360" w:lineRule="auto"/>
        <w:rPr>
          <w:rFonts w:ascii="Arial" w:hAnsi="Arial" w:cs="Arial"/>
          <w:b/>
          <w:bCs/>
          <w:color w:val="auto"/>
          <w:sz w:val="22"/>
          <w:szCs w:val="22"/>
        </w:rPr>
      </w:pPr>
      <w:r w:rsidRPr="00020D83">
        <w:rPr>
          <w:rFonts w:ascii="Arial" w:hAnsi="Arial" w:cs="Arial"/>
          <w:b/>
          <w:bCs/>
          <w:color w:val="auto"/>
          <w:sz w:val="22"/>
          <w:szCs w:val="22"/>
        </w:rPr>
        <w:tab/>
      </w:r>
      <w:bookmarkStart w:id="3" w:name="_Toc131073277"/>
      <w:r w:rsidRPr="00020D83">
        <w:rPr>
          <w:rFonts w:ascii="Arial" w:hAnsi="Arial" w:cs="Arial"/>
          <w:b/>
          <w:bCs/>
          <w:color w:val="auto"/>
          <w:sz w:val="22"/>
          <w:szCs w:val="22"/>
        </w:rPr>
        <w:t xml:space="preserve">2.2. </w:t>
      </w:r>
      <w:r w:rsidR="003E64AE" w:rsidRPr="00020D83">
        <w:rPr>
          <w:rFonts w:ascii="Arial" w:hAnsi="Arial" w:cs="Arial"/>
          <w:b/>
          <w:bCs/>
          <w:color w:val="auto"/>
          <w:sz w:val="22"/>
          <w:szCs w:val="22"/>
        </w:rPr>
        <w:t>Strategies in engaging the community</w:t>
      </w:r>
      <w:r w:rsidR="003E64AE" w:rsidRPr="00020D83">
        <w:rPr>
          <w:rFonts w:ascii="Arial" w:hAnsi="Arial" w:cs="Arial"/>
          <w:b/>
          <w:bCs/>
          <w:color w:val="auto"/>
          <w:sz w:val="22"/>
          <w:szCs w:val="22"/>
        </w:rPr>
        <w:t>. Legitimacy. Environment.</w:t>
      </w:r>
      <w:bookmarkEnd w:id="3"/>
    </w:p>
    <w:p w14:paraId="3E2F97CD" w14:textId="77777777" w:rsidR="00D04305" w:rsidRPr="00D04305" w:rsidRDefault="00D04305" w:rsidP="00D04305"/>
    <w:p w14:paraId="0AE39B00" w14:textId="58BE046C" w:rsidR="003E64AE" w:rsidRPr="00020D83" w:rsidRDefault="003E64AE" w:rsidP="00020D83">
      <w:pPr>
        <w:spacing w:line="360" w:lineRule="auto"/>
        <w:rPr>
          <w:rFonts w:ascii="Arial" w:hAnsi="Arial" w:cs="Arial"/>
        </w:rPr>
      </w:pPr>
    </w:p>
    <w:p w14:paraId="0CBC90A2" w14:textId="43EC13F4" w:rsidR="003E64AE" w:rsidRPr="00020D83" w:rsidRDefault="003E64AE" w:rsidP="00020D83">
      <w:pPr>
        <w:spacing w:line="360" w:lineRule="auto"/>
        <w:rPr>
          <w:rFonts w:ascii="Arial" w:hAnsi="Arial" w:cs="Arial"/>
          <w:color w:val="000000" w:themeColor="text1"/>
        </w:rPr>
      </w:pPr>
      <w:r w:rsidRPr="00020D83">
        <w:rPr>
          <w:rFonts w:ascii="Arial" w:hAnsi="Arial" w:cs="Arial"/>
        </w:rPr>
        <w:tab/>
      </w:r>
      <w:r w:rsidR="00781761" w:rsidRPr="00781761">
        <w:rPr>
          <w:rFonts w:ascii="Arial" w:hAnsi="Arial" w:cs="Arial"/>
        </w:rPr>
        <w:t xml:space="preserve">Participation and involvement are only the starting stages of </w:t>
      </w:r>
      <w:r w:rsidR="00781761">
        <w:rPr>
          <w:rFonts w:ascii="Arial" w:hAnsi="Arial" w:cs="Arial"/>
        </w:rPr>
        <w:t>engagement</w:t>
      </w:r>
      <w:r w:rsidR="00781761" w:rsidRPr="00781761">
        <w:rPr>
          <w:rFonts w:ascii="Arial" w:hAnsi="Arial" w:cs="Arial"/>
        </w:rPr>
        <w:t>. When people are interested, the topic has meaning for them directly and is significant enough to hold their interest. It entails grabbing their attention and concentrating all of their efforts on the current issue</w:t>
      </w:r>
      <w:r w:rsidR="00830591" w:rsidRPr="00020D83">
        <w:rPr>
          <w:rFonts w:ascii="Arial" w:hAnsi="Arial" w:cs="Arial"/>
        </w:rPr>
        <w:t xml:space="preserve">. In order to engage, one must commit to a process that includes decisions </w:t>
      </w:r>
      <w:r w:rsidR="00830591" w:rsidRPr="00020D83">
        <w:rPr>
          <w:rFonts w:ascii="Arial" w:hAnsi="Arial" w:cs="Arial"/>
        </w:rPr>
        <w:lastRenderedPageBreak/>
        <w:t xml:space="preserve">and actions. </w:t>
      </w:r>
      <w:r w:rsidR="00830591" w:rsidRPr="00020D83">
        <w:rPr>
          <w:rStyle w:val="issue-underline"/>
          <w:rFonts w:ascii="Arial" w:hAnsi="Arial" w:cs="Arial"/>
        </w:rPr>
        <w:t>It is thus possible for people to be consulted, participate, and even be involved without being engaged.</w:t>
      </w:r>
      <w:r w:rsidR="00830591" w:rsidRPr="00020D83">
        <w:rPr>
          <w:rFonts w:ascii="Arial" w:hAnsi="Arial" w:cs="Arial"/>
          <w:color w:val="000000" w:themeColor="text1"/>
        </w:rPr>
        <w:t xml:space="preserve"> </w:t>
      </w:r>
      <w:r w:rsidR="00DB1464" w:rsidRPr="00020D83">
        <w:rPr>
          <w:rFonts w:ascii="Arial" w:hAnsi="Arial" w:cs="Arial"/>
          <w:color w:val="000000" w:themeColor="text1"/>
        </w:rPr>
        <w:t>In the process of engaging the community, a decision-making structure is employed. It aligns interaction strategies with a workable decision-making procedure. Engaging the different stakeholders, recognizing the information system they originate from, and speaking their "language" is crucial.</w:t>
      </w:r>
      <w:r w:rsidR="00DB1464" w:rsidRPr="00020D83">
        <w:rPr>
          <w:rFonts w:ascii="Arial" w:hAnsi="Arial" w:cs="Arial"/>
          <w:color w:val="000000" w:themeColor="text1"/>
        </w:rPr>
        <w:t xml:space="preserve"> </w:t>
      </w:r>
      <w:r w:rsidR="00830591" w:rsidRPr="00020D83">
        <w:rPr>
          <w:rFonts w:ascii="Arial" w:hAnsi="Arial" w:cs="Arial"/>
          <w:color w:val="000000" w:themeColor="text1"/>
        </w:rPr>
        <w:t>(</w:t>
      </w:r>
      <w:proofErr w:type="spellStart"/>
      <w:r w:rsidR="00830591" w:rsidRPr="00020D83">
        <w:rPr>
          <w:rFonts w:ascii="Arial" w:hAnsi="Arial" w:cs="Arial"/>
          <w:color w:val="000000" w:themeColor="text1"/>
        </w:rPr>
        <w:t>Aslin</w:t>
      </w:r>
      <w:proofErr w:type="spellEnd"/>
      <w:r w:rsidR="00830591" w:rsidRPr="00020D83">
        <w:rPr>
          <w:rFonts w:ascii="Arial" w:hAnsi="Arial" w:cs="Arial"/>
          <w:color w:val="000000" w:themeColor="text1"/>
        </w:rPr>
        <w:t xml:space="preserve"> and Brown, 2004)</w:t>
      </w:r>
      <w:r w:rsidR="00830591" w:rsidRPr="00020D83">
        <w:rPr>
          <w:rFonts w:ascii="Arial" w:hAnsi="Arial" w:cs="Arial"/>
          <w:color w:val="000000" w:themeColor="text1"/>
        </w:rPr>
        <w:t xml:space="preserve">. </w:t>
      </w:r>
    </w:p>
    <w:p w14:paraId="41A74871" w14:textId="17E280C9" w:rsidR="001F1A35" w:rsidRDefault="00DB1464" w:rsidP="00020D83">
      <w:pPr>
        <w:pStyle w:val="NormalWeb"/>
        <w:spacing w:line="360" w:lineRule="auto"/>
        <w:ind w:firstLine="720"/>
        <w:rPr>
          <w:rFonts w:ascii="Arial" w:hAnsi="Arial" w:cs="Arial"/>
          <w:color w:val="000000"/>
          <w:sz w:val="22"/>
          <w:szCs w:val="22"/>
        </w:rPr>
      </w:pPr>
      <w:r w:rsidRPr="00020D83">
        <w:rPr>
          <w:rFonts w:ascii="Arial" w:hAnsi="Arial" w:cs="Arial"/>
          <w:color w:val="000000" w:themeColor="text1"/>
          <w:sz w:val="22"/>
          <w:szCs w:val="22"/>
        </w:rPr>
        <w:t xml:space="preserve">In the community engagement project I am planning, I am looking forward to promote better health conditions and education for the people who struggle with the substance abuse, and also to </w:t>
      </w:r>
      <w:r w:rsidR="002F0553" w:rsidRPr="00020D83">
        <w:rPr>
          <w:rFonts w:ascii="Arial" w:hAnsi="Arial" w:cs="Arial"/>
          <w:color w:val="000000" w:themeColor="text1"/>
          <w:sz w:val="22"/>
          <w:szCs w:val="22"/>
        </w:rPr>
        <w:t xml:space="preserve">raise awareness for every single person from the community, meaning that everyone is included, regardless the age, or race or sex. I am planning to distribute leaflets on the streets, promote the project on social media, knowing that the teenagers and youngster people spend most of their time on their phones, but also I will contact the local newspaper to promote the project. In this way, I hope the information will reach every single person of any age. The fundings will come from fund raisings and sponsorships, and the project will also seek approval from the legal authorities, at the same time demanding support from their side, because the substance abuse problem is coming into their attributes too. </w:t>
      </w:r>
      <w:r w:rsidR="00B202E4" w:rsidRPr="00020D83">
        <w:rPr>
          <w:rFonts w:ascii="Arial" w:hAnsi="Arial" w:cs="Arial"/>
          <w:color w:val="000000" w:themeColor="text1"/>
          <w:sz w:val="22"/>
          <w:szCs w:val="22"/>
        </w:rPr>
        <w:t xml:space="preserve">I am mostly counting on volunteers and charities to support and create a successful project which will benefit every member of the community in a long run, not only short term success. The difference from this project and the Waterside project it is mostly the purpose and the expectances. In that project, it was followed a transformation of the city by infrastructure and growth for the community economically, yet in my project, people’s well-being is on the first plan, creating place for a transformational type of community engagement. </w:t>
      </w:r>
      <w:r w:rsidR="00020D83" w:rsidRPr="00020D83">
        <w:rPr>
          <w:rFonts w:ascii="Arial" w:hAnsi="Arial" w:cs="Arial"/>
          <w:color w:val="000000" w:themeColor="text1"/>
          <w:sz w:val="22"/>
          <w:szCs w:val="22"/>
        </w:rPr>
        <w:t xml:space="preserve">It will be necessary to check that the project vision corresponds with the unique identity, assets, resources, and requirements of the community it supports from the very beginning of pre-project development. Make sure you comprehend the community, including its history, demography, socioeconomics, culture, and languages, before outlining a strategy for consulting </w:t>
      </w:r>
      <w:r w:rsidR="00020D83" w:rsidRPr="00020D83">
        <w:rPr>
          <w:rFonts w:ascii="Arial" w:hAnsi="Arial" w:cs="Arial"/>
          <w:color w:val="000000" w:themeColor="text1"/>
          <w:sz w:val="22"/>
          <w:szCs w:val="22"/>
        </w:rPr>
        <w:t>the</w:t>
      </w:r>
      <w:r w:rsidR="00020D83" w:rsidRPr="00020D83">
        <w:rPr>
          <w:rFonts w:ascii="Arial" w:hAnsi="Arial" w:cs="Arial"/>
          <w:color w:val="000000" w:themeColor="text1"/>
          <w:sz w:val="22"/>
          <w:szCs w:val="22"/>
        </w:rPr>
        <w:t xml:space="preserve"> </w:t>
      </w:r>
      <w:r w:rsidR="00020D83" w:rsidRPr="00020D83">
        <w:rPr>
          <w:rFonts w:ascii="Arial" w:hAnsi="Arial" w:cs="Arial"/>
          <w:color w:val="000000" w:themeColor="text1"/>
          <w:sz w:val="22"/>
          <w:szCs w:val="22"/>
        </w:rPr>
        <w:t>neighbours</w:t>
      </w:r>
      <w:r w:rsidR="00020D83" w:rsidRPr="00020D83">
        <w:rPr>
          <w:rFonts w:ascii="Arial" w:hAnsi="Arial" w:cs="Arial"/>
          <w:color w:val="000000" w:themeColor="text1"/>
          <w:sz w:val="22"/>
          <w:szCs w:val="22"/>
        </w:rPr>
        <w:t>. This will assist in removing obstacles to community engagement, help you customize your message to your audience, and help you pinpoint elements that affect the requirements and preferences of the community.</w:t>
      </w:r>
      <w:r w:rsidR="00020D83" w:rsidRPr="00020D83">
        <w:rPr>
          <w:rFonts w:ascii="Arial" w:hAnsi="Arial" w:cs="Arial"/>
          <w:color w:val="000000" w:themeColor="text1"/>
          <w:sz w:val="22"/>
          <w:szCs w:val="22"/>
        </w:rPr>
        <w:t xml:space="preserve"> </w:t>
      </w:r>
      <w:r w:rsidR="00020D83" w:rsidRPr="00020D83">
        <w:rPr>
          <w:rFonts w:ascii="Arial" w:hAnsi="Arial" w:cs="Arial"/>
          <w:color w:val="000000"/>
          <w:sz w:val="22"/>
          <w:szCs w:val="22"/>
        </w:rPr>
        <w:t>(</w:t>
      </w:r>
      <w:r w:rsidR="00020D83" w:rsidRPr="00020D83">
        <w:rPr>
          <w:rFonts w:ascii="Arial" w:hAnsi="Arial" w:cs="Arial"/>
          <w:i/>
          <w:iCs/>
          <w:color w:val="000000"/>
          <w:sz w:val="22"/>
          <w:szCs w:val="22"/>
        </w:rPr>
        <w:t xml:space="preserve">A guide to engaging the community in your project – </w:t>
      </w:r>
      <w:proofErr w:type="spellStart"/>
      <w:r w:rsidR="00020D83" w:rsidRPr="00020D83">
        <w:rPr>
          <w:rFonts w:ascii="Arial" w:hAnsi="Arial" w:cs="Arial"/>
          <w:i/>
          <w:iCs/>
          <w:color w:val="000000"/>
          <w:sz w:val="22"/>
          <w:szCs w:val="22"/>
        </w:rPr>
        <w:t>ArtscapeDIY</w:t>
      </w:r>
      <w:proofErr w:type="spellEnd"/>
      <w:r w:rsidR="00020D83" w:rsidRPr="00020D83">
        <w:rPr>
          <w:rFonts w:ascii="Arial" w:hAnsi="Arial" w:cs="Arial"/>
          <w:color w:val="000000"/>
          <w:sz w:val="22"/>
          <w:szCs w:val="22"/>
        </w:rPr>
        <w:t>, no date)</w:t>
      </w:r>
    </w:p>
    <w:p w14:paraId="67735125" w14:textId="4DFCE623" w:rsidR="00D04305" w:rsidRDefault="00D04305" w:rsidP="00020D83">
      <w:pPr>
        <w:pStyle w:val="NormalWeb"/>
        <w:spacing w:line="360" w:lineRule="auto"/>
        <w:ind w:firstLine="720"/>
        <w:rPr>
          <w:rFonts w:ascii="Arial" w:hAnsi="Arial" w:cs="Arial"/>
          <w:color w:val="000000"/>
          <w:sz w:val="22"/>
          <w:szCs w:val="22"/>
        </w:rPr>
      </w:pPr>
    </w:p>
    <w:p w14:paraId="7A15A38E" w14:textId="77777777" w:rsidR="00D04305" w:rsidRPr="00020D83" w:rsidRDefault="00D04305" w:rsidP="00020D83">
      <w:pPr>
        <w:pStyle w:val="NormalWeb"/>
        <w:spacing w:line="360" w:lineRule="auto"/>
        <w:ind w:firstLine="720"/>
        <w:rPr>
          <w:rFonts w:ascii="Arial" w:hAnsi="Arial" w:cs="Arial"/>
          <w:color w:val="000000" w:themeColor="text1"/>
          <w:sz w:val="22"/>
          <w:szCs w:val="22"/>
        </w:rPr>
      </w:pPr>
    </w:p>
    <w:p w14:paraId="26C64814" w14:textId="76A2573E" w:rsidR="00B202E4" w:rsidRPr="00F937C9" w:rsidRDefault="00B202E4" w:rsidP="00020D83">
      <w:pPr>
        <w:pStyle w:val="Heading1"/>
        <w:spacing w:line="360" w:lineRule="auto"/>
        <w:rPr>
          <w:rFonts w:ascii="Arial" w:hAnsi="Arial" w:cs="Arial"/>
          <w:b/>
          <w:bCs/>
          <w:color w:val="auto"/>
          <w:sz w:val="22"/>
          <w:szCs w:val="22"/>
        </w:rPr>
      </w:pPr>
      <w:r w:rsidRPr="00020D83">
        <w:rPr>
          <w:rFonts w:ascii="Arial" w:hAnsi="Arial" w:cs="Arial"/>
          <w:sz w:val="22"/>
          <w:szCs w:val="22"/>
        </w:rPr>
        <w:lastRenderedPageBreak/>
        <w:tab/>
      </w:r>
      <w:bookmarkStart w:id="4" w:name="_Toc131073278"/>
      <w:r w:rsidRPr="00F937C9">
        <w:rPr>
          <w:rFonts w:ascii="Arial" w:hAnsi="Arial" w:cs="Arial"/>
          <w:b/>
          <w:bCs/>
          <w:color w:val="auto"/>
          <w:sz w:val="22"/>
          <w:szCs w:val="22"/>
        </w:rPr>
        <w:t xml:space="preserve">2.3. </w:t>
      </w:r>
      <w:r w:rsidR="00A16A9D" w:rsidRPr="00F937C9">
        <w:rPr>
          <w:rFonts w:ascii="Arial" w:hAnsi="Arial" w:cs="Arial"/>
          <w:b/>
          <w:bCs/>
          <w:color w:val="auto"/>
          <w:sz w:val="22"/>
          <w:szCs w:val="22"/>
        </w:rPr>
        <w:t>Consequences of the community engagement projects.</w:t>
      </w:r>
      <w:bookmarkEnd w:id="4"/>
      <w:r w:rsidR="00A16A9D" w:rsidRPr="00F937C9">
        <w:rPr>
          <w:rFonts w:ascii="Arial" w:hAnsi="Arial" w:cs="Arial"/>
          <w:b/>
          <w:bCs/>
          <w:color w:val="auto"/>
          <w:sz w:val="22"/>
          <w:szCs w:val="22"/>
        </w:rPr>
        <w:t xml:space="preserve"> </w:t>
      </w:r>
    </w:p>
    <w:p w14:paraId="4CF9D1F2" w14:textId="3E3EFA17" w:rsidR="00A16A9D" w:rsidRPr="00020D83" w:rsidRDefault="00A16A9D" w:rsidP="00020D83">
      <w:pPr>
        <w:spacing w:line="360" w:lineRule="auto"/>
        <w:rPr>
          <w:rFonts w:ascii="Arial" w:hAnsi="Arial" w:cs="Arial"/>
        </w:rPr>
      </w:pPr>
      <w:r w:rsidRPr="00020D83">
        <w:rPr>
          <w:rFonts w:ascii="Arial" w:hAnsi="Arial" w:cs="Arial"/>
        </w:rPr>
        <w:tab/>
        <w:t xml:space="preserve">The Waterside project is ongoing, but its outcome so far is a positive one, people from the community found their home through the new houses, and the city of Leicester looks better than ever thanks to that project. </w:t>
      </w:r>
    </w:p>
    <w:p w14:paraId="5936C2A1" w14:textId="77777777" w:rsidR="00E83EC8" w:rsidRPr="00020D83" w:rsidRDefault="00E83EC8" w:rsidP="00020D83">
      <w:pPr>
        <w:pStyle w:val="NormalWeb"/>
        <w:spacing w:line="360" w:lineRule="auto"/>
        <w:ind w:firstLine="720"/>
        <w:rPr>
          <w:rFonts w:ascii="Arial" w:hAnsi="Arial" w:cs="Arial"/>
          <w:color w:val="000000" w:themeColor="text1"/>
          <w:sz w:val="22"/>
          <w:szCs w:val="22"/>
        </w:rPr>
      </w:pPr>
      <w:r w:rsidRPr="00020D83">
        <w:rPr>
          <w:rFonts w:ascii="Arial" w:hAnsi="Arial" w:cs="Arial"/>
          <w:sz w:val="22"/>
          <w:szCs w:val="22"/>
        </w:rPr>
        <w:t xml:space="preserve">I expect from the substance abuse project to have the attention it needs at the start, people to be involved and conscious, because the sooner it starts and keep going, the more teenagers will receive the help they need. In the beginning of the project, they will be starting to access different activities which will eliminate their need to drink or use drugs, and alongside with them, I will come with the proposal to find innovative ways to help everyone in need. </w:t>
      </w:r>
      <w:r w:rsidRPr="00020D83">
        <w:rPr>
          <w:rFonts w:ascii="Arial" w:hAnsi="Arial" w:cs="Arial"/>
          <w:color w:val="000000" w:themeColor="text1"/>
          <w:sz w:val="22"/>
          <w:szCs w:val="22"/>
        </w:rPr>
        <w:t>Throughout the project, I will open surveys and give people the opportunity to have their opinion heard through the social media platforms, and the purpose of this is for the improvement of the project.</w:t>
      </w:r>
    </w:p>
    <w:p w14:paraId="110D0852" w14:textId="24D584BD" w:rsidR="00E83EC8" w:rsidRPr="00020D83" w:rsidRDefault="00E83EC8" w:rsidP="00020D83">
      <w:pPr>
        <w:spacing w:line="360" w:lineRule="auto"/>
        <w:rPr>
          <w:rFonts w:ascii="Arial" w:hAnsi="Arial" w:cs="Arial"/>
        </w:rPr>
      </w:pPr>
      <w:r w:rsidRPr="00020D83">
        <w:rPr>
          <w:rFonts w:ascii="Arial" w:hAnsi="Arial" w:cs="Arial"/>
        </w:rPr>
        <w:t xml:space="preserve"> I see the project being a successful one, with a positive outcome, and if one single person’s life is changed, then the project will be considered a successful one because everyone’s life matter. </w:t>
      </w:r>
    </w:p>
    <w:p w14:paraId="13CFEAA7" w14:textId="2E520FDE" w:rsidR="00A16A9D" w:rsidRPr="00020D83" w:rsidRDefault="00E83EC8" w:rsidP="00020D83">
      <w:pPr>
        <w:spacing w:line="360" w:lineRule="auto"/>
        <w:rPr>
          <w:rFonts w:ascii="Arial" w:hAnsi="Arial" w:cs="Arial"/>
        </w:rPr>
      </w:pPr>
      <w:r w:rsidRPr="00020D83">
        <w:rPr>
          <w:rFonts w:ascii="Arial" w:hAnsi="Arial" w:cs="Arial"/>
        </w:rPr>
        <w:tab/>
      </w:r>
    </w:p>
    <w:p w14:paraId="32FC1DDC" w14:textId="4757E933" w:rsidR="001F1A35" w:rsidRDefault="00AC40A4" w:rsidP="00020D83">
      <w:pPr>
        <w:pStyle w:val="Heading1"/>
        <w:spacing w:line="360" w:lineRule="auto"/>
        <w:rPr>
          <w:rFonts w:ascii="Arial" w:hAnsi="Arial" w:cs="Arial"/>
          <w:b/>
          <w:bCs/>
          <w:color w:val="auto"/>
          <w:sz w:val="22"/>
          <w:szCs w:val="22"/>
        </w:rPr>
      </w:pPr>
      <w:r w:rsidRPr="00020D83">
        <w:rPr>
          <w:rFonts w:ascii="Arial" w:hAnsi="Arial" w:cs="Arial"/>
          <w:sz w:val="22"/>
          <w:szCs w:val="22"/>
        </w:rPr>
        <w:tab/>
      </w:r>
      <w:bookmarkStart w:id="5" w:name="_Toc131073279"/>
      <w:r w:rsidRPr="00020D83">
        <w:rPr>
          <w:rFonts w:ascii="Arial" w:hAnsi="Arial" w:cs="Arial"/>
          <w:b/>
          <w:bCs/>
          <w:color w:val="auto"/>
          <w:sz w:val="22"/>
          <w:szCs w:val="22"/>
        </w:rPr>
        <w:t>3. Conclusion</w:t>
      </w:r>
      <w:bookmarkEnd w:id="5"/>
    </w:p>
    <w:p w14:paraId="129A2325" w14:textId="77777777" w:rsidR="00F937C9" w:rsidRPr="00F937C9" w:rsidRDefault="00F937C9" w:rsidP="00F937C9"/>
    <w:p w14:paraId="4FF215C4" w14:textId="2B457A02" w:rsidR="00AC40A4" w:rsidRDefault="002E1EE9" w:rsidP="00020D83">
      <w:pPr>
        <w:spacing w:line="360" w:lineRule="auto"/>
        <w:rPr>
          <w:rFonts w:ascii="Arial" w:hAnsi="Arial" w:cs="Arial"/>
        </w:rPr>
      </w:pPr>
      <w:r w:rsidRPr="00020D83">
        <w:rPr>
          <w:rFonts w:ascii="Arial" w:hAnsi="Arial" w:cs="Arial"/>
        </w:rPr>
        <w:tab/>
        <w:t xml:space="preserve">Looking back at the Waterside project, the successful outcome was clear, even though I had recommendation on how to make it even more successful. On the project I would like to propose on the other side, I tried to avoid the mistakes done on the previous project, to focus more on people than on the environment and infrastructure. </w:t>
      </w:r>
      <w:r w:rsidRPr="00020D83">
        <w:rPr>
          <w:rFonts w:ascii="Arial" w:hAnsi="Arial" w:cs="Arial"/>
        </w:rPr>
        <w:t>There are no templates for projects; each one is unique. Instead of relying solely on the opinion of an outsider, decisions ought to be based on the proof that has been collected.</w:t>
      </w:r>
      <w:r w:rsidR="00020D83" w:rsidRPr="00020D83">
        <w:rPr>
          <w:rFonts w:ascii="Arial" w:hAnsi="Arial" w:cs="Arial"/>
        </w:rPr>
        <w:t xml:space="preserve"> Choosing a transformational way of engaging the community, rather than a transactional or transitional way will make the community feel more included, more looked after and more engaged. Inclusiveness and awareness of the real problems among people, especially teenagers needs to be the main topic when creating and proposing project of community engagement. The information analysed and learned in the Community Engagement module and the live project were a real eye-opener on how Council and community engagement projects work and I am sure it will clearly help me understand and produce successful and meaningful future projects. </w:t>
      </w:r>
    </w:p>
    <w:p w14:paraId="23666BD4" w14:textId="77777777" w:rsidR="00F937C9" w:rsidRPr="00020D83" w:rsidRDefault="00F937C9" w:rsidP="00020D83">
      <w:pPr>
        <w:spacing w:line="360" w:lineRule="auto"/>
        <w:rPr>
          <w:rFonts w:ascii="Arial" w:hAnsi="Arial" w:cs="Arial"/>
        </w:rPr>
      </w:pPr>
    </w:p>
    <w:p w14:paraId="106DFA3D" w14:textId="3D3B6253" w:rsidR="00AC40A4" w:rsidRPr="00020D83" w:rsidRDefault="00AC40A4" w:rsidP="00020D83">
      <w:pPr>
        <w:pStyle w:val="Heading1"/>
        <w:spacing w:line="360" w:lineRule="auto"/>
        <w:rPr>
          <w:rFonts w:ascii="Arial" w:hAnsi="Arial" w:cs="Arial"/>
          <w:b/>
          <w:bCs/>
          <w:sz w:val="22"/>
          <w:szCs w:val="22"/>
        </w:rPr>
      </w:pPr>
      <w:r w:rsidRPr="00020D83">
        <w:rPr>
          <w:rFonts w:ascii="Arial" w:hAnsi="Arial" w:cs="Arial"/>
          <w:sz w:val="22"/>
          <w:szCs w:val="22"/>
        </w:rPr>
        <w:lastRenderedPageBreak/>
        <w:tab/>
      </w:r>
      <w:r w:rsidRPr="00020D83">
        <w:rPr>
          <w:rFonts w:ascii="Arial" w:hAnsi="Arial" w:cs="Arial"/>
          <w:sz w:val="22"/>
          <w:szCs w:val="22"/>
        </w:rPr>
        <w:tab/>
      </w:r>
      <w:bookmarkStart w:id="6" w:name="_Toc131073280"/>
      <w:r w:rsidRPr="00020D83">
        <w:rPr>
          <w:rFonts w:ascii="Arial" w:hAnsi="Arial" w:cs="Arial"/>
          <w:b/>
          <w:bCs/>
          <w:color w:val="auto"/>
          <w:sz w:val="22"/>
          <w:szCs w:val="22"/>
        </w:rPr>
        <w:t>4. References</w:t>
      </w:r>
      <w:bookmarkEnd w:id="6"/>
    </w:p>
    <w:p w14:paraId="65F0B908" w14:textId="77777777" w:rsidR="00D04305" w:rsidRPr="00020D83" w:rsidRDefault="00D04305" w:rsidP="00D04305">
      <w:pPr>
        <w:pStyle w:val="NormalWeb"/>
        <w:spacing w:line="360" w:lineRule="auto"/>
        <w:rPr>
          <w:rFonts w:ascii="Arial" w:hAnsi="Arial" w:cs="Arial"/>
          <w:sz w:val="22"/>
          <w:szCs w:val="22"/>
        </w:rPr>
      </w:pPr>
      <w:r w:rsidRPr="00020D83">
        <w:rPr>
          <w:rFonts w:ascii="Arial" w:hAnsi="Arial" w:cs="Arial"/>
          <w:sz w:val="22"/>
          <w:szCs w:val="22"/>
        </w:rPr>
        <w:br/>
      </w:r>
      <w:r w:rsidRPr="00020D83">
        <w:rPr>
          <w:rFonts w:ascii="Arial" w:hAnsi="Arial" w:cs="Arial"/>
          <w:i/>
          <w:iCs/>
          <w:sz w:val="22"/>
          <w:szCs w:val="22"/>
        </w:rPr>
        <w:t xml:space="preserve">A guide to engaging the community in your project – </w:t>
      </w:r>
      <w:proofErr w:type="spellStart"/>
      <w:r w:rsidRPr="00020D83">
        <w:rPr>
          <w:rFonts w:ascii="Arial" w:hAnsi="Arial" w:cs="Arial"/>
          <w:i/>
          <w:iCs/>
          <w:sz w:val="22"/>
          <w:szCs w:val="22"/>
        </w:rPr>
        <w:t>ArtscapeDIY</w:t>
      </w:r>
      <w:proofErr w:type="spellEnd"/>
      <w:r w:rsidRPr="00020D83">
        <w:rPr>
          <w:rFonts w:ascii="Arial" w:hAnsi="Arial" w:cs="Arial"/>
          <w:sz w:val="22"/>
          <w:szCs w:val="22"/>
        </w:rPr>
        <w:t> (no date) </w:t>
      </w:r>
      <w:r w:rsidRPr="00020D83">
        <w:rPr>
          <w:rFonts w:ascii="Arial" w:hAnsi="Arial" w:cs="Arial"/>
          <w:i/>
          <w:iCs/>
          <w:sz w:val="22"/>
          <w:szCs w:val="22"/>
        </w:rPr>
        <w:t>Artscapediy.org</w:t>
      </w:r>
      <w:r w:rsidRPr="00020D83">
        <w:rPr>
          <w:rFonts w:ascii="Arial" w:hAnsi="Arial" w:cs="Arial"/>
          <w:sz w:val="22"/>
          <w:szCs w:val="22"/>
        </w:rPr>
        <w:t xml:space="preserve">. Available at: https://www.artscapediy.org/guide/a-guide-to-engaging-the-community-in-your-project/ (Accessed: March </w:t>
      </w:r>
      <w:r>
        <w:rPr>
          <w:rFonts w:ascii="Arial" w:hAnsi="Arial" w:cs="Arial"/>
          <w:sz w:val="22"/>
          <w:szCs w:val="22"/>
        </w:rPr>
        <w:t>28</w:t>
      </w:r>
      <w:r w:rsidRPr="00020D83">
        <w:rPr>
          <w:rFonts w:ascii="Arial" w:hAnsi="Arial" w:cs="Arial"/>
          <w:sz w:val="22"/>
          <w:szCs w:val="22"/>
        </w:rPr>
        <w:t>, 2023).</w:t>
      </w:r>
    </w:p>
    <w:p w14:paraId="5EF75719" w14:textId="77777777" w:rsidR="00D04305" w:rsidRPr="00020D83" w:rsidRDefault="00D04305" w:rsidP="00D04305">
      <w:pPr>
        <w:spacing w:before="100" w:beforeAutospacing="1" w:after="100" w:afterAutospacing="1" w:line="360" w:lineRule="auto"/>
        <w:rPr>
          <w:rFonts w:ascii="Arial" w:eastAsia="Times New Roman" w:hAnsi="Arial" w:cs="Arial"/>
          <w:lang w:eastAsia="en-GB"/>
        </w:rPr>
      </w:pPr>
      <w:r w:rsidRPr="00BE65AB">
        <w:rPr>
          <w:rFonts w:ascii="Arial" w:eastAsia="Times New Roman" w:hAnsi="Arial" w:cs="Arial"/>
          <w:lang w:eastAsia="en-GB"/>
        </w:rPr>
        <w:t>AACAP (2023) </w:t>
      </w:r>
      <w:r w:rsidRPr="00BE65AB">
        <w:rPr>
          <w:rFonts w:ascii="Arial" w:eastAsia="Times New Roman" w:hAnsi="Arial" w:cs="Arial"/>
          <w:i/>
          <w:iCs/>
          <w:lang w:eastAsia="en-GB"/>
        </w:rPr>
        <w:t>Alcohol and drug abuse</w:t>
      </w:r>
      <w:r w:rsidRPr="00BE65AB">
        <w:rPr>
          <w:rFonts w:ascii="Arial" w:eastAsia="Times New Roman" w:hAnsi="Arial" w:cs="Arial"/>
          <w:lang w:eastAsia="en-GB"/>
        </w:rPr>
        <w:t>, </w:t>
      </w:r>
      <w:r w:rsidRPr="00BE65AB">
        <w:rPr>
          <w:rFonts w:ascii="Arial" w:eastAsia="Times New Roman" w:hAnsi="Arial" w:cs="Arial"/>
          <w:i/>
          <w:iCs/>
          <w:lang w:eastAsia="en-GB"/>
        </w:rPr>
        <w:t>Aacap.org</w:t>
      </w:r>
      <w:r w:rsidRPr="00BE65AB">
        <w:rPr>
          <w:rFonts w:ascii="Arial" w:eastAsia="Times New Roman" w:hAnsi="Arial" w:cs="Arial"/>
          <w:lang w:eastAsia="en-GB"/>
        </w:rPr>
        <w:t>. Available at: https://www.aacap.org/aacap/Families_and_Youth/Glossary_of_Symptoms_and_Illnesses/Alcohol_and_Drug_Abuse.aspx (Accessed: March 20, 2023).</w:t>
      </w:r>
    </w:p>
    <w:p w14:paraId="51D54933" w14:textId="77777777" w:rsidR="00D04305" w:rsidRPr="00020D83" w:rsidRDefault="00D04305" w:rsidP="00D04305">
      <w:pPr>
        <w:spacing w:before="100" w:beforeAutospacing="1" w:after="100" w:afterAutospacing="1" w:line="360" w:lineRule="auto"/>
        <w:rPr>
          <w:rFonts w:ascii="Arial" w:eastAsia="Times New Roman" w:hAnsi="Arial" w:cs="Arial"/>
          <w:lang w:eastAsia="en-GB"/>
        </w:rPr>
      </w:pPr>
      <w:proofErr w:type="spellStart"/>
      <w:r w:rsidRPr="00020D83">
        <w:rPr>
          <w:rFonts w:ascii="Arial" w:eastAsia="Times New Roman" w:hAnsi="Arial" w:cs="Arial"/>
          <w:lang w:eastAsia="en-GB"/>
        </w:rPr>
        <w:t>Aslin</w:t>
      </w:r>
      <w:proofErr w:type="spellEnd"/>
      <w:r w:rsidRPr="00020D83">
        <w:rPr>
          <w:rFonts w:ascii="Arial" w:eastAsia="Times New Roman" w:hAnsi="Arial" w:cs="Arial"/>
          <w:lang w:eastAsia="en-GB"/>
        </w:rPr>
        <w:t>, H. and Brown, V. (2004) </w:t>
      </w:r>
      <w:r w:rsidRPr="00020D83">
        <w:rPr>
          <w:rFonts w:ascii="Arial" w:eastAsia="Times New Roman" w:hAnsi="Arial" w:cs="Arial"/>
          <w:i/>
          <w:iCs/>
          <w:lang w:eastAsia="en-GB"/>
        </w:rPr>
        <w:t>Towards whole of community engagement: A practical toolkit</w:t>
      </w:r>
      <w:r w:rsidRPr="00020D83">
        <w:rPr>
          <w:rFonts w:ascii="Arial" w:eastAsia="Times New Roman" w:hAnsi="Arial" w:cs="Arial"/>
          <w:lang w:eastAsia="en-GB"/>
        </w:rPr>
        <w:t xml:space="preserve">. Murray-Darling Basin Commission. (Accessed: </w:t>
      </w:r>
      <w:r>
        <w:rPr>
          <w:rFonts w:ascii="Arial" w:eastAsia="Times New Roman" w:hAnsi="Arial" w:cs="Arial"/>
          <w:lang w:eastAsia="en-GB"/>
        </w:rPr>
        <w:t>March</w:t>
      </w:r>
      <w:r w:rsidRPr="00020D83">
        <w:rPr>
          <w:rFonts w:ascii="Arial" w:eastAsia="Times New Roman" w:hAnsi="Arial" w:cs="Arial"/>
          <w:lang w:eastAsia="en-GB"/>
        </w:rPr>
        <w:t xml:space="preserve"> 20, 2023).</w:t>
      </w:r>
    </w:p>
    <w:p w14:paraId="7E6611AD" w14:textId="77777777" w:rsidR="00D04305" w:rsidRPr="00020D83" w:rsidRDefault="00D04305" w:rsidP="00D04305">
      <w:pPr>
        <w:pStyle w:val="NormalWeb"/>
        <w:spacing w:line="360" w:lineRule="auto"/>
        <w:rPr>
          <w:rFonts w:ascii="Arial" w:hAnsi="Arial" w:cs="Arial"/>
          <w:color w:val="000000" w:themeColor="text1"/>
          <w:sz w:val="22"/>
          <w:szCs w:val="22"/>
        </w:rPr>
      </w:pPr>
      <w:r w:rsidRPr="00020D83">
        <w:rPr>
          <w:rFonts w:ascii="Arial" w:hAnsi="Arial" w:cs="Arial"/>
          <w:color w:val="000000" w:themeColor="text1"/>
          <w:sz w:val="22"/>
          <w:szCs w:val="22"/>
        </w:rPr>
        <w:t>Atsdr.cdc.gov. 2020. </w:t>
      </w:r>
      <w:r w:rsidRPr="00020D83">
        <w:rPr>
          <w:rFonts w:ascii="Arial" w:hAnsi="Arial" w:cs="Arial"/>
          <w:i/>
          <w:iCs/>
          <w:color w:val="000000" w:themeColor="text1"/>
          <w:sz w:val="22"/>
          <w:szCs w:val="22"/>
        </w:rPr>
        <w:t>Home | Principles Of Community Engagement | ATSDR</w:t>
      </w:r>
      <w:r w:rsidRPr="00020D83">
        <w:rPr>
          <w:rFonts w:ascii="Arial" w:hAnsi="Arial" w:cs="Arial"/>
          <w:color w:val="000000" w:themeColor="text1"/>
          <w:sz w:val="22"/>
          <w:szCs w:val="22"/>
        </w:rPr>
        <w:t xml:space="preserve">. [online] Available at: &lt;https://www.atsdr.cdc.gov/communityengagement/index.html&gt; [Accessed 12 </w:t>
      </w:r>
      <w:r>
        <w:rPr>
          <w:rFonts w:ascii="Arial" w:hAnsi="Arial" w:cs="Arial"/>
          <w:color w:val="000000" w:themeColor="text1"/>
          <w:sz w:val="22"/>
          <w:szCs w:val="22"/>
        </w:rPr>
        <w:t>March</w:t>
      </w:r>
      <w:r w:rsidRPr="00020D83">
        <w:rPr>
          <w:rFonts w:ascii="Arial" w:hAnsi="Arial" w:cs="Arial"/>
          <w:color w:val="000000" w:themeColor="text1"/>
          <w:sz w:val="22"/>
          <w:szCs w:val="22"/>
        </w:rPr>
        <w:t xml:space="preserve"> 2020].</w:t>
      </w:r>
    </w:p>
    <w:p w14:paraId="2CC1061F" w14:textId="77777777" w:rsidR="00D04305" w:rsidRPr="00020D83" w:rsidRDefault="00D04305" w:rsidP="00D04305">
      <w:pPr>
        <w:spacing w:before="100" w:beforeAutospacing="1" w:after="100" w:afterAutospacing="1" w:line="360" w:lineRule="auto"/>
        <w:rPr>
          <w:rFonts w:ascii="Arial" w:eastAsia="Times New Roman" w:hAnsi="Arial" w:cs="Arial"/>
          <w:lang w:eastAsia="en-GB"/>
        </w:rPr>
      </w:pPr>
      <w:proofErr w:type="spellStart"/>
      <w:r w:rsidRPr="00020D83">
        <w:rPr>
          <w:rFonts w:ascii="Arial" w:eastAsia="Times New Roman" w:hAnsi="Arial" w:cs="Arial"/>
          <w:lang w:eastAsia="en-GB"/>
        </w:rPr>
        <w:t>Attree</w:t>
      </w:r>
      <w:proofErr w:type="spellEnd"/>
      <w:r w:rsidRPr="00020D83">
        <w:rPr>
          <w:rFonts w:ascii="Arial" w:eastAsia="Times New Roman" w:hAnsi="Arial" w:cs="Arial"/>
          <w:lang w:eastAsia="en-GB"/>
        </w:rPr>
        <w:t>, P. </w:t>
      </w:r>
      <w:r w:rsidRPr="00020D83">
        <w:rPr>
          <w:rFonts w:ascii="Arial" w:eastAsia="Times New Roman" w:hAnsi="Arial" w:cs="Arial"/>
          <w:i/>
          <w:iCs/>
          <w:lang w:eastAsia="en-GB"/>
        </w:rPr>
        <w:t>et al.</w:t>
      </w:r>
      <w:r w:rsidRPr="00020D83">
        <w:rPr>
          <w:rFonts w:ascii="Arial" w:eastAsia="Times New Roman" w:hAnsi="Arial" w:cs="Arial"/>
          <w:lang w:eastAsia="en-GB"/>
        </w:rPr>
        <w:t> (2011) “The experience of community engagement for individuals: a rapid review of evidence: Experience of community engagement: a review,” </w:t>
      </w:r>
      <w:r w:rsidRPr="00020D83">
        <w:rPr>
          <w:rFonts w:ascii="Arial" w:eastAsia="Times New Roman" w:hAnsi="Arial" w:cs="Arial"/>
          <w:i/>
          <w:iCs/>
          <w:lang w:eastAsia="en-GB"/>
        </w:rPr>
        <w:t>Health &amp; social care in the community</w:t>
      </w:r>
      <w:r w:rsidRPr="00020D83">
        <w:rPr>
          <w:rFonts w:ascii="Arial" w:eastAsia="Times New Roman" w:hAnsi="Arial" w:cs="Arial"/>
          <w:lang w:eastAsia="en-GB"/>
        </w:rPr>
        <w:t xml:space="preserve">. (Accessed: </w:t>
      </w:r>
      <w:r>
        <w:rPr>
          <w:rFonts w:ascii="Arial" w:eastAsia="Times New Roman" w:hAnsi="Arial" w:cs="Arial"/>
          <w:lang w:eastAsia="en-GB"/>
        </w:rPr>
        <w:t>March</w:t>
      </w:r>
      <w:r w:rsidRPr="00020D83">
        <w:rPr>
          <w:rFonts w:ascii="Arial" w:eastAsia="Times New Roman" w:hAnsi="Arial" w:cs="Arial"/>
          <w:lang w:eastAsia="en-GB"/>
        </w:rPr>
        <w:t xml:space="preserve"> 19, 2023).</w:t>
      </w:r>
    </w:p>
    <w:p w14:paraId="041498E0" w14:textId="77777777" w:rsidR="00D04305" w:rsidRPr="00020D83" w:rsidRDefault="00D04305" w:rsidP="00D04305">
      <w:pPr>
        <w:spacing w:before="100" w:beforeAutospacing="1" w:after="100" w:afterAutospacing="1" w:line="360" w:lineRule="auto"/>
        <w:rPr>
          <w:rFonts w:ascii="Arial" w:eastAsia="Times New Roman" w:hAnsi="Arial" w:cs="Arial"/>
          <w:lang w:eastAsia="en-GB"/>
        </w:rPr>
      </w:pPr>
      <w:proofErr w:type="spellStart"/>
      <w:r w:rsidRPr="00020D83">
        <w:rPr>
          <w:rFonts w:ascii="Arial" w:eastAsia="Times New Roman" w:hAnsi="Arial" w:cs="Arial"/>
          <w:lang w:eastAsia="en-GB"/>
        </w:rPr>
        <w:t>Hashagan</w:t>
      </w:r>
      <w:proofErr w:type="spellEnd"/>
      <w:r w:rsidRPr="00020D83">
        <w:rPr>
          <w:rFonts w:ascii="Arial" w:eastAsia="Times New Roman" w:hAnsi="Arial" w:cs="Arial"/>
          <w:lang w:eastAsia="en-GB"/>
        </w:rPr>
        <w:t>, S. (2002) </w:t>
      </w:r>
      <w:r w:rsidRPr="00020D83">
        <w:rPr>
          <w:rFonts w:ascii="Arial" w:eastAsia="Times New Roman" w:hAnsi="Arial" w:cs="Arial"/>
          <w:i/>
          <w:iCs/>
          <w:lang w:eastAsia="en-GB"/>
        </w:rPr>
        <w:t>Models of Community Engagement (Scottish Community Development Centre)</w:t>
      </w:r>
      <w:r w:rsidRPr="00020D83">
        <w:rPr>
          <w:rFonts w:ascii="Arial" w:eastAsia="Times New Roman" w:hAnsi="Arial" w:cs="Arial"/>
          <w:lang w:eastAsia="en-GB"/>
        </w:rPr>
        <w:t xml:space="preserve">. Scotland: Scottish Community Development Centre. (Accessed: </w:t>
      </w:r>
      <w:r>
        <w:rPr>
          <w:rFonts w:ascii="Arial" w:eastAsia="Times New Roman" w:hAnsi="Arial" w:cs="Arial"/>
          <w:lang w:eastAsia="en-GB"/>
        </w:rPr>
        <w:t>March</w:t>
      </w:r>
      <w:r w:rsidRPr="00020D83">
        <w:rPr>
          <w:rFonts w:ascii="Arial" w:eastAsia="Times New Roman" w:hAnsi="Arial" w:cs="Arial"/>
          <w:lang w:eastAsia="en-GB"/>
        </w:rPr>
        <w:t xml:space="preserve"> 27, 2023).</w:t>
      </w:r>
    </w:p>
    <w:p w14:paraId="25397309" w14:textId="77777777" w:rsidR="00D04305" w:rsidRPr="00BE65AB" w:rsidRDefault="00D04305" w:rsidP="00D04305">
      <w:pPr>
        <w:spacing w:before="100" w:beforeAutospacing="1" w:after="100" w:afterAutospacing="1" w:line="360" w:lineRule="auto"/>
        <w:rPr>
          <w:rFonts w:ascii="Arial" w:eastAsia="Times New Roman" w:hAnsi="Arial" w:cs="Arial"/>
          <w:lang w:eastAsia="en-GB"/>
        </w:rPr>
      </w:pPr>
      <w:r w:rsidRPr="00BE65AB">
        <w:rPr>
          <w:rFonts w:ascii="Arial" w:eastAsia="Times New Roman" w:hAnsi="Arial" w:cs="Arial"/>
          <w:lang w:eastAsia="en-GB"/>
        </w:rPr>
        <w:t xml:space="preserve">Miller, C. and </w:t>
      </w:r>
      <w:proofErr w:type="spellStart"/>
      <w:r w:rsidRPr="00BE65AB">
        <w:rPr>
          <w:rFonts w:ascii="Arial" w:eastAsia="Times New Roman" w:hAnsi="Arial" w:cs="Arial"/>
          <w:lang w:eastAsia="en-GB"/>
        </w:rPr>
        <w:t>Sarper</w:t>
      </w:r>
      <w:proofErr w:type="spellEnd"/>
      <w:r w:rsidRPr="00BE65AB">
        <w:rPr>
          <w:rFonts w:ascii="Arial" w:eastAsia="Times New Roman" w:hAnsi="Arial" w:cs="Arial"/>
          <w:lang w:eastAsia="en-GB"/>
        </w:rPr>
        <w:t>, T. (2018) </w:t>
      </w:r>
      <w:r w:rsidRPr="00BE65AB">
        <w:rPr>
          <w:rFonts w:ascii="Arial" w:eastAsia="Times New Roman" w:hAnsi="Arial" w:cs="Arial"/>
          <w:i/>
          <w:iCs/>
          <w:lang w:eastAsia="en-GB"/>
        </w:rPr>
        <w:t>Mental health disorders and teen substance use</w:t>
      </w:r>
      <w:r w:rsidRPr="00BE65AB">
        <w:rPr>
          <w:rFonts w:ascii="Arial" w:eastAsia="Times New Roman" w:hAnsi="Arial" w:cs="Arial"/>
          <w:lang w:eastAsia="en-GB"/>
        </w:rPr>
        <w:t>, </w:t>
      </w:r>
      <w:r w:rsidRPr="00BE65AB">
        <w:rPr>
          <w:rFonts w:ascii="Arial" w:eastAsia="Times New Roman" w:hAnsi="Arial" w:cs="Arial"/>
          <w:i/>
          <w:iCs/>
          <w:lang w:eastAsia="en-GB"/>
        </w:rPr>
        <w:t>Child Mind Institute</w:t>
      </w:r>
      <w:r w:rsidRPr="00BE65AB">
        <w:rPr>
          <w:rFonts w:ascii="Arial" w:eastAsia="Times New Roman" w:hAnsi="Arial" w:cs="Arial"/>
          <w:lang w:eastAsia="en-GB"/>
        </w:rPr>
        <w:t xml:space="preserve">. Available at: https://childmind.org/article/mental-health-disorders-and-substance-use/ (Accessed: </w:t>
      </w:r>
      <w:r>
        <w:rPr>
          <w:rFonts w:ascii="Arial" w:eastAsia="Times New Roman" w:hAnsi="Arial" w:cs="Arial"/>
          <w:lang w:eastAsia="en-GB"/>
        </w:rPr>
        <w:t>March</w:t>
      </w:r>
      <w:r w:rsidRPr="00BE65AB">
        <w:rPr>
          <w:rFonts w:ascii="Arial" w:eastAsia="Times New Roman" w:hAnsi="Arial" w:cs="Arial"/>
          <w:lang w:eastAsia="en-GB"/>
        </w:rPr>
        <w:t xml:space="preserve"> 20, 2023).</w:t>
      </w:r>
    </w:p>
    <w:p w14:paraId="27FEF9D0" w14:textId="77777777" w:rsidR="00D04305" w:rsidRPr="00BE65AB" w:rsidRDefault="00D04305" w:rsidP="00D04305">
      <w:pPr>
        <w:spacing w:before="100" w:beforeAutospacing="1" w:after="100" w:afterAutospacing="1" w:line="360" w:lineRule="auto"/>
        <w:rPr>
          <w:rFonts w:ascii="Arial" w:eastAsia="Times New Roman" w:hAnsi="Arial" w:cs="Arial"/>
          <w:lang w:eastAsia="en-GB"/>
        </w:rPr>
      </w:pPr>
      <w:r w:rsidRPr="00BE65AB">
        <w:rPr>
          <w:rFonts w:ascii="Arial" w:eastAsia="Times New Roman" w:hAnsi="Arial" w:cs="Arial"/>
          <w:lang w:eastAsia="en-GB"/>
        </w:rPr>
        <w:t>Wade, A. and Demb, A. (2009) </w:t>
      </w:r>
      <w:r w:rsidRPr="00BE65AB">
        <w:rPr>
          <w:rFonts w:ascii="Arial" w:eastAsia="Times New Roman" w:hAnsi="Arial" w:cs="Arial"/>
          <w:i/>
          <w:iCs/>
          <w:lang w:eastAsia="en-GB"/>
        </w:rPr>
        <w:t>A conceptual model to explore faculty community engagement</w:t>
      </w:r>
      <w:r w:rsidRPr="00BE65AB">
        <w:rPr>
          <w:rFonts w:ascii="Arial" w:eastAsia="Times New Roman" w:hAnsi="Arial" w:cs="Arial"/>
          <w:lang w:eastAsia="en-GB"/>
        </w:rPr>
        <w:t>, </w:t>
      </w:r>
      <w:r w:rsidRPr="00BE65AB">
        <w:rPr>
          <w:rFonts w:ascii="Arial" w:eastAsia="Times New Roman" w:hAnsi="Arial" w:cs="Arial"/>
          <w:i/>
          <w:iCs/>
          <w:lang w:eastAsia="en-GB"/>
        </w:rPr>
        <w:t>Eric.ed.gov</w:t>
      </w:r>
      <w:r w:rsidRPr="00BE65AB">
        <w:rPr>
          <w:rFonts w:ascii="Arial" w:eastAsia="Times New Roman" w:hAnsi="Arial" w:cs="Arial"/>
          <w:lang w:eastAsia="en-GB"/>
        </w:rPr>
        <w:t>. Available at: https://files.eric.ed.gov/fulltext/EJ859461.pdf (Accessed: March 21, 2023).</w:t>
      </w:r>
    </w:p>
    <w:p w14:paraId="4B141373" w14:textId="5C3B036F" w:rsidR="00BE65AB" w:rsidRPr="00020D83" w:rsidRDefault="00BE65AB" w:rsidP="00020D83">
      <w:pPr>
        <w:spacing w:line="360" w:lineRule="auto"/>
        <w:rPr>
          <w:rFonts w:ascii="Arial" w:hAnsi="Arial" w:cs="Arial"/>
        </w:rPr>
      </w:pPr>
    </w:p>
    <w:p w14:paraId="56B8F24F" w14:textId="42DF5A5B" w:rsidR="00F937C9" w:rsidRDefault="00F937C9" w:rsidP="00020D83">
      <w:pPr>
        <w:pStyle w:val="Heading1"/>
        <w:spacing w:line="360" w:lineRule="auto"/>
        <w:ind w:firstLine="720"/>
        <w:rPr>
          <w:rFonts w:ascii="Arial" w:hAnsi="Arial" w:cs="Arial"/>
          <w:b/>
          <w:bCs/>
          <w:color w:val="auto"/>
          <w:sz w:val="22"/>
          <w:szCs w:val="22"/>
        </w:rPr>
      </w:pPr>
    </w:p>
    <w:p w14:paraId="0D9A2875" w14:textId="6E0ECA59" w:rsidR="00D04305" w:rsidRDefault="00D04305" w:rsidP="00D04305"/>
    <w:p w14:paraId="48759ADD" w14:textId="77777777" w:rsidR="00D04305" w:rsidRPr="00D04305" w:rsidRDefault="00D04305" w:rsidP="00D04305"/>
    <w:p w14:paraId="678B685F" w14:textId="2B437A56" w:rsidR="00AC40A4" w:rsidRPr="00020D83" w:rsidRDefault="00AC40A4" w:rsidP="00020D83">
      <w:pPr>
        <w:pStyle w:val="Heading1"/>
        <w:spacing w:line="360" w:lineRule="auto"/>
        <w:ind w:firstLine="720"/>
        <w:rPr>
          <w:rFonts w:ascii="Arial" w:hAnsi="Arial" w:cs="Arial"/>
          <w:b/>
          <w:bCs/>
          <w:color w:val="auto"/>
          <w:sz w:val="22"/>
          <w:szCs w:val="22"/>
        </w:rPr>
      </w:pPr>
      <w:bookmarkStart w:id="7" w:name="_Toc131073281"/>
      <w:r w:rsidRPr="00020D83">
        <w:rPr>
          <w:rFonts w:ascii="Arial" w:hAnsi="Arial" w:cs="Arial"/>
          <w:b/>
          <w:bCs/>
          <w:color w:val="auto"/>
          <w:sz w:val="22"/>
          <w:szCs w:val="22"/>
        </w:rPr>
        <w:lastRenderedPageBreak/>
        <w:t>5. Appendix</w:t>
      </w:r>
      <w:bookmarkEnd w:id="7"/>
    </w:p>
    <w:p w14:paraId="14FCD355" w14:textId="3B32DE5F" w:rsidR="001F1A35" w:rsidRDefault="0012673F" w:rsidP="00D04305">
      <w:pPr>
        <w:pStyle w:val="NormalWeb"/>
        <w:spacing w:line="360" w:lineRule="auto"/>
        <w:rPr>
          <w:rFonts w:ascii="Arial" w:hAnsi="Arial" w:cs="Arial"/>
          <w:color w:val="000000" w:themeColor="text1"/>
          <w:sz w:val="22"/>
          <w:szCs w:val="22"/>
        </w:rPr>
      </w:pPr>
      <w:r w:rsidRPr="0012673F">
        <w:rPr>
          <w:rFonts w:ascii="Arial" w:hAnsi="Arial" w:cs="Arial"/>
          <w:color w:val="000000" w:themeColor="text1"/>
          <w:sz w:val="22"/>
          <w:szCs w:val="22"/>
        </w:rPr>
        <w:drawing>
          <wp:inline distT="0" distB="0" distL="0" distR="0" wp14:anchorId="4E579638" wp14:editId="631CD11B">
            <wp:extent cx="5731510" cy="4018915"/>
            <wp:effectExtent l="0" t="0" r="2540" b="63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stretch>
                      <a:fillRect/>
                    </a:stretch>
                  </pic:blipFill>
                  <pic:spPr>
                    <a:xfrm>
                      <a:off x="0" y="0"/>
                      <a:ext cx="5731510" cy="4018915"/>
                    </a:xfrm>
                    <a:prstGeom prst="rect">
                      <a:avLst/>
                    </a:prstGeom>
                  </pic:spPr>
                </pic:pic>
              </a:graphicData>
            </a:graphic>
          </wp:inline>
        </w:drawing>
      </w:r>
      <w:r w:rsidRPr="0012673F">
        <w:rPr>
          <w:rFonts w:ascii="Arial" w:hAnsi="Arial" w:cs="Arial"/>
          <w:color w:val="000000" w:themeColor="text1"/>
          <w:sz w:val="22"/>
          <w:szCs w:val="22"/>
        </w:rPr>
        <w:drawing>
          <wp:inline distT="0" distB="0" distL="0" distR="0" wp14:anchorId="2989B024" wp14:editId="64662907">
            <wp:extent cx="5731510" cy="3880485"/>
            <wp:effectExtent l="0" t="0" r="2540" b="571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stretch>
                      <a:fillRect/>
                    </a:stretch>
                  </pic:blipFill>
                  <pic:spPr>
                    <a:xfrm>
                      <a:off x="0" y="0"/>
                      <a:ext cx="5731510" cy="3880485"/>
                    </a:xfrm>
                    <a:prstGeom prst="rect">
                      <a:avLst/>
                    </a:prstGeom>
                  </pic:spPr>
                </pic:pic>
              </a:graphicData>
            </a:graphic>
          </wp:inline>
        </w:drawing>
      </w:r>
    </w:p>
    <w:p w14:paraId="7CB4D3A0" w14:textId="51C4E7FE" w:rsidR="0012673F" w:rsidRDefault="0012673F" w:rsidP="00D04305">
      <w:pPr>
        <w:pStyle w:val="NormalWeb"/>
        <w:spacing w:line="360" w:lineRule="auto"/>
        <w:rPr>
          <w:rFonts w:ascii="Arial" w:hAnsi="Arial" w:cs="Arial"/>
          <w:color w:val="000000" w:themeColor="text1"/>
          <w:sz w:val="22"/>
          <w:szCs w:val="22"/>
        </w:rPr>
      </w:pPr>
      <w:r w:rsidRPr="0012673F">
        <w:rPr>
          <w:rFonts w:ascii="Arial" w:hAnsi="Arial" w:cs="Arial"/>
          <w:color w:val="000000" w:themeColor="text1"/>
          <w:sz w:val="22"/>
          <w:szCs w:val="22"/>
        </w:rPr>
        <w:lastRenderedPageBreak/>
        <w:drawing>
          <wp:inline distT="0" distB="0" distL="0" distR="0" wp14:anchorId="7BC0749A" wp14:editId="28126465">
            <wp:extent cx="5731510" cy="2925445"/>
            <wp:effectExtent l="0" t="0" r="2540" b="825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stretch>
                      <a:fillRect/>
                    </a:stretch>
                  </pic:blipFill>
                  <pic:spPr>
                    <a:xfrm>
                      <a:off x="0" y="0"/>
                      <a:ext cx="5731510" cy="2925445"/>
                    </a:xfrm>
                    <a:prstGeom prst="rect">
                      <a:avLst/>
                    </a:prstGeom>
                  </pic:spPr>
                </pic:pic>
              </a:graphicData>
            </a:graphic>
          </wp:inline>
        </w:drawing>
      </w:r>
    </w:p>
    <w:p w14:paraId="4B5497CE" w14:textId="07509819" w:rsidR="001F1A35" w:rsidRDefault="001F1A35" w:rsidP="001F1A35">
      <w:pPr>
        <w:pStyle w:val="NormalWeb"/>
        <w:spacing w:line="360" w:lineRule="auto"/>
        <w:ind w:firstLine="720"/>
        <w:rPr>
          <w:rFonts w:ascii="Arial" w:hAnsi="Arial" w:cs="Arial"/>
          <w:color w:val="000000" w:themeColor="text1"/>
          <w:sz w:val="22"/>
          <w:szCs w:val="22"/>
        </w:rPr>
      </w:pPr>
    </w:p>
    <w:p w14:paraId="39E7BDE4" w14:textId="0A6CA042" w:rsidR="001F1A35" w:rsidRDefault="001F1A35" w:rsidP="001F1A35">
      <w:pPr>
        <w:pStyle w:val="NormalWeb"/>
        <w:spacing w:line="360" w:lineRule="auto"/>
        <w:ind w:firstLine="720"/>
        <w:rPr>
          <w:rFonts w:ascii="Arial" w:hAnsi="Arial" w:cs="Arial"/>
          <w:color w:val="000000" w:themeColor="text1"/>
          <w:sz w:val="22"/>
          <w:szCs w:val="22"/>
        </w:rPr>
      </w:pPr>
    </w:p>
    <w:p w14:paraId="044CC1F2" w14:textId="0FB91CB6" w:rsidR="001F1A35" w:rsidRDefault="001F1A35" w:rsidP="001F1A35">
      <w:pPr>
        <w:pStyle w:val="NormalWeb"/>
        <w:spacing w:line="360" w:lineRule="auto"/>
        <w:ind w:firstLine="720"/>
        <w:rPr>
          <w:rFonts w:ascii="Arial" w:hAnsi="Arial" w:cs="Arial"/>
          <w:color w:val="000000" w:themeColor="text1"/>
          <w:sz w:val="22"/>
          <w:szCs w:val="22"/>
        </w:rPr>
      </w:pPr>
    </w:p>
    <w:p w14:paraId="03389006" w14:textId="411D7348" w:rsidR="001F1A35" w:rsidRPr="001F1A35" w:rsidRDefault="001F1A35" w:rsidP="00FD7231">
      <w:pPr>
        <w:pStyle w:val="NormalWeb"/>
        <w:spacing w:line="360" w:lineRule="auto"/>
        <w:rPr>
          <w:rFonts w:ascii="Arial" w:hAnsi="Arial" w:cs="Arial"/>
          <w:color w:val="000000" w:themeColor="text1"/>
          <w:sz w:val="22"/>
          <w:szCs w:val="22"/>
        </w:rPr>
      </w:pPr>
    </w:p>
    <w:sectPr w:rsidR="001F1A35" w:rsidRPr="001F1A3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E4574" w14:textId="77777777" w:rsidR="00FA617E" w:rsidRDefault="00FA617E" w:rsidP="001F1A35">
      <w:pPr>
        <w:spacing w:after="0" w:line="240" w:lineRule="auto"/>
      </w:pPr>
      <w:r>
        <w:separator/>
      </w:r>
    </w:p>
  </w:endnote>
  <w:endnote w:type="continuationSeparator" w:id="0">
    <w:p w14:paraId="7FC05ED3" w14:textId="77777777" w:rsidR="00FA617E" w:rsidRDefault="00FA617E" w:rsidP="001F1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437901"/>
      <w:docPartObj>
        <w:docPartGallery w:val="Page Numbers (Bottom of Page)"/>
        <w:docPartUnique/>
      </w:docPartObj>
    </w:sdtPr>
    <w:sdtContent>
      <w:p w14:paraId="172AD83D" w14:textId="29872446" w:rsidR="00AC40A4" w:rsidRDefault="00AC40A4">
        <w:pPr>
          <w:pStyle w:val="Footer"/>
          <w:jc w:val="right"/>
        </w:pPr>
        <w:r>
          <w:fldChar w:fldCharType="begin"/>
        </w:r>
        <w:r>
          <w:instrText>PAGE   \* MERGEFORMAT</w:instrText>
        </w:r>
        <w:r>
          <w:fldChar w:fldCharType="separate"/>
        </w:r>
        <w:r>
          <w:t>2</w:t>
        </w:r>
        <w:r>
          <w:fldChar w:fldCharType="end"/>
        </w:r>
      </w:p>
    </w:sdtContent>
  </w:sdt>
  <w:p w14:paraId="33CF7DE4" w14:textId="77777777" w:rsidR="00AC40A4" w:rsidRDefault="00AC4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73728" w14:textId="77777777" w:rsidR="00FA617E" w:rsidRDefault="00FA617E" w:rsidP="001F1A35">
      <w:pPr>
        <w:spacing w:after="0" w:line="240" w:lineRule="auto"/>
      </w:pPr>
      <w:r>
        <w:separator/>
      </w:r>
    </w:p>
  </w:footnote>
  <w:footnote w:type="continuationSeparator" w:id="0">
    <w:p w14:paraId="4289B87E" w14:textId="77777777" w:rsidR="00FA617E" w:rsidRDefault="00FA617E" w:rsidP="001F1A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56849"/>
    <w:multiLevelType w:val="hybridMultilevel"/>
    <w:tmpl w:val="2900721C"/>
    <w:lvl w:ilvl="0" w:tplc="9E72EC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4545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2D6"/>
    <w:rsid w:val="00020D83"/>
    <w:rsid w:val="00086661"/>
    <w:rsid w:val="0012673F"/>
    <w:rsid w:val="001F1A35"/>
    <w:rsid w:val="002E1EE9"/>
    <w:rsid w:val="002F0553"/>
    <w:rsid w:val="003C1A20"/>
    <w:rsid w:val="003E64AE"/>
    <w:rsid w:val="00781761"/>
    <w:rsid w:val="007B092C"/>
    <w:rsid w:val="007E087B"/>
    <w:rsid w:val="00830591"/>
    <w:rsid w:val="008D5F6C"/>
    <w:rsid w:val="009902D6"/>
    <w:rsid w:val="00A16A9D"/>
    <w:rsid w:val="00A3312B"/>
    <w:rsid w:val="00AC40A4"/>
    <w:rsid w:val="00AD53FA"/>
    <w:rsid w:val="00B202E4"/>
    <w:rsid w:val="00BE65AB"/>
    <w:rsid w:val="00D04305"/>
    <w:rsid w:val="00DB1464"/>
    <w:rsid w:val="00E47A01"/>
    <w:rsid w:val="00E83EC8"/>
    <w:rsid w:val="00EF4BBC"/>
    <w:rsid w:val="00F937C9"/>
    <w:rsid w:val="00FA617E"/>
    <w:rsid w:val="00FD7231"/>
    <w:rsid w:val="00FF2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285A"/>
  <w15:chartTrackingRefBased/>
  <w15:docId w15:val="{6A3C6841-C986-458B-A5C7-B7743AE69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3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3F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F1A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F1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A35"/>
  </w:style>
  <w:style w:type="paragraph" w:styleId="Footer">
    <w:name w:val="footer"/>
    <w:basedOn w:val="Normal"/>
    <w:link w:val="FooterChar"/>
    <w:uiPriority w:val="99"/>
    <w:unhideWhenUsed/>
    <w:rsid w:val="001F1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A35"/>
  </w:style>
  <w:style w:type="character" w:customStyle="1" w:styleId="issue-underline">
    <w:name w:val="issue-underline"/>
    <w:basedOn w:val="DefaultParagraphFont"/>
    <w:rsid w:val="00830591"/>
  </w:style>
  <w:style w:type="paragraph" w:styleId="TOCHeading">
    <w:name w:val="TOC Heading"/>
    <w:basedOn w:val="Heading1"/>
    <w:next w:val="Normal"/>
    <w:uiPriority w:val="39"/>
    <w:unhideWhenUsed/>
    <w:qFormat/>
    <w:rsid w:val="00AC40A4"/>
    <w:pPr>
      <w:outlineLvl w:val="9"/>
    </w:pPr>
    <w:rPr>
      <w:lang w:eastAsia="en-GB"/>
    </w:rPr>
  </w:style>
  <w:style w:type="paragraph" w:styleId="TOC1">
    <w:name w:val="toc 1"/>
    <w:basedOn w:val="Normal"/>
    <w:next w:val="Normal"/>
    <w:autoRedefine/>
    <w:uiPriority w:val="39"/>
    <w:unhideWhenUsed/>
    <w:rsid w:val="00AC40A4"/>
    <w:pPr>
      <w:spacing w:after="100"/>
    </w:pPr>
  </w:style>
  <w:style w:type="character" w:styleId="Hyperlink">
    <w:name w:val="Hyperlink"/>
    <w:basedOn w:val="DefaultParagraphFont"/>
    <w:uiPriority w:val="99"/>
    <w:unhideWhenUsed/>
    <w:rsid w:val="00AC40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857640">
      <w:bodyDiv w:val="1"/>
      <w:marLeft w:val="0"/>
      <w:marRight w:val="0"/>
      <w:marTop w:val="0"/>
      <w:marBottom w:val="0"/>
      <w:divBdr>
        <w:top w:val="none" w:sz="0" w:space="0" w:color="auto"/>
        <w:left w:val="none" w:sz="0" w:space="0" w:color="auto"/>
        <w:bottom w:val="none" w:sz="0" w:space="0" w:color="auto"/>
        <w:right w:val="none" w:sz="0" w:space="0" w:color="auto"/>
      </w:divBdr>
    </w:div>
    <w:div w:id="1199778834">
      <w:bodyDiv w:val="1"/>
      <w:marLeft w:val="0"/>
      <w:marRight w:val="0"/>
      <w:marTop w:val="0"/>
      <w:marBottom w:val="0"/>
      <w:divBdr>
        <w:top w:val="none" w:sz="0" w:space="0" w:color="auto"/>
        <w:left w:val="none" w:sz="0" w:space="0" w:color="auto"/>
        <w:bottom w:val="none" w:sz="0" w:space="0" w:color="auto"/>
        <w:right w:val="none" w:sz="0" w:space="0" w:color="auto"/>
      </w:divBdr>
      <w:divsChild>
        <w:div w:id="1138958160">
          <w:marLeft w:val="0"/>
          <w:marRight w:val="0"/>
          <w:marTop w:val="0"/>
          <w:marBottom w:val="0"/>
          <w:divBdr>
            <w:top w:val="none" w:sz="0" w:space="0" w:color="auto"/>
            <w:left w:val="none" w:sz="0" w:space="0" w:color="auto"/>
            <w:bottom w:val="none" w:sz="0" w:space="0" w:color="auto"/>
            <w:right w:val="none" w:sz="0" w:space="0" w:color="auto"/>
          </w:divBdr>
          <w:divsChild>
            <w:div w:id="301079604">
              <w:marLeft w:val="0"/>
              <w:marRight w:val="0"/>
              <w:marTop w:val="0"/>
              <w:marBottom w:val="0"/>
              <w:divBdr>
                <w:top w:val="none" w:sz="0" w:space="0" w:color="auto"/>
                <w:left w:val="none" w:sz="0" w:space="0" w:color="auto"/>
                <w:bottom w:val="none" w:sz="0" w:space="0" w:color="auto"/>
                <w:right w:val="none" w:sz="0" w:space="0" w:color="auto"/>
              </w:divBdr>
            </w:div>
            <w:div w:id="7906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98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EE63D-AC2B-43CC-A6E1-2918E8256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2270</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16</cp:revision>
  <dcterms:created xsi:type="dcterms:W3CDTF">2023-03-16T14:51:00Z</dcterms:created>
  <dcterms:modified xsi:type="dcterms:W3CDTF">2023-03-30T11:54:00Z</dcterms:modified>
</cp:coreProperties>
</file>