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240" w:lineRule="auto" w:line="360"/>
        <w:rPr>
          <w:b/>
          <w:bCs/>
          <w:sz w:val="32"/>
          <w:szCs w:val="32"/>
        </w:rPr>
      </w:pPr>
    </w:p>
    <w:p>
      <w:pPr>
        <w:pStyle w:val="style0"/>
        <w:spacing w:after="240" w:lineRule="auto" w:line="360"/>
        <w:rPr>
          <w:b/>
          <w:bCs/>
          <w:sz w:val="32"/>
          <w:szCs w:val="32"/>
        </w:rPr>
      </w:pPr>
    </w:p>
    <w:p>
      <w:pPr>
        <w:pStyle w:val="style0"/>
        <w:spacing w:after="240" w:lineRule="auto" w:line="360"/>
        <w:rPr>
          <w:b/>
          <w:bCs/>
          <w:sz w:val="32"/>
          <w:szCs w:val="32"/>
        </w:rPr>
      </w:pPr>
    </w:p>
    <w:p>
      <w:pPr>
        <w:pStyle w:val="style0"/>
        <w:spacing w:after="240" w:lineRule="auto" w:line="360"/>
        <w:rPr>
          <w:b/>
          <w:bCs/>
          <w:sz w:val="32"/>
          <w:szCs w:val="32"/>
        </w:rPr>
      </w:pPr>
    </w:p>
    <w:p>
      <w:pPr>
        <w:pStyle w:val="style0"/>
        <w:spacing w:after="240" w:lineRule="auto" w:line="360"/>
        <w:jc w:val="center"/>
        <w:rPr>
          <w:b/>
          <w:bCs/>
          <w:sz w:val="32"/>
          <w:szCs w:val="32"/>
        </w:rPr>
      </w:pPr>
      <w:r>
        <w:rPr>
          <w:b/>
          <w:bCs/>
          <w:sz w:val="32"/>
          <w:szCs w:val="32"/>
        </w:rPr>
        <w:t>Module: Community Care and Management of Longer-Term Conditions</w:t>
      </w:r>
    </w:p>
    <w:p>
      <w:pPr>
        <w:pStyle w:val="style0"/>
        <w:spacing w:after="240" w:lineRule="auto" w:line="360"/>
        <w:jc w:val="center"/>
        <w:rPr>
          <w:b/>
          <w:bCs/>
          <w:sz w:val="32"/>
          <w:szCs w:val="32"/>
        </w:rPr>
      </w:pPr>
      <w:r>
        <w:rPr>
          <w:b/>
          <w:bCs/>
          <w:sz w:val="32"/>
          <w:szCs w:val="32"/>
        </w:rPr>
        <w:t>Module Code: LCHS7003</w:t>
      </w:r>
    </w:p>
    <w:bookmarkStart w:id="0" w:name="_heading=h.vwjdm615kvo3" w:colFirst="0" w:colLast="0"/>
    <w:bookmarkEnd w:id="0"/>
    <w:p>
      <w:pPr>
        <w:pStyle w:val="style0"/>
        <w:spacing w:after="240" w:lineRule="auto" w:line="360"/>
        <w:jc w:val="center"/>
        <w:rPr>
          <w:b/>
          <w:bCs/>
          <w:sz w:val="32"/>
          <w:szCs w:val="32"/>
        </w:rPr>
      </w:pPr>
      <w:r>
        <w:rPr>
          <w:b/>
          <w:bCs/>
          <w:sz w:val="32"/>
          <w:szCs w:val="32"/>
        </w:rPr>
        <w:t>“Managing Chronic Obstructive Pulmonary Disease (COPD): A Comprehensive Information Booklet for Health and Social Care Professionals in The UK”</w:t>
      </w:r>
    </w:p>
    <w:p>
      <w:pPr>
        <w:pStyle w:val="style0"/>
        <w:spacing w:after="240" w:lineRule="auto" w:line="360"/>
        <w:jc w:val="center"/>
        <w:rPr>
          <w:b/>
          <w:bCs/>
          <w:sz w:val="32"/>
          <w:szCs w:val="32"/>
        </w:rPr>
      </w:pPr>
      <w:r>
        <w:rPr>
          <w:b/>
          <w:bCs/>
          <w:sz w:val="32"/>
          <w:szCs w:val="32"/>
        </w:rPr>
        <w:t xml:space="preserve">Student Name: </w:t>
      </w:r>
      <w:r>
        <w:rPr>
          <w:b/>
          <w:bCs/>
          <w:sz w:val="32"/>
          <w:szCs w:val="32"/>
        </w:rPr>
        <w:t>Neha</w:t>
      </w:r>
      <w:r>
        <w:rPr>
          <w:b/>
          <w:bCs/>
          <w:sz w:val="32"/>
          <w:szCs w:val="32"/>
        </w:rPr>
        <w:t xml:space="preserve"> </w:t>
      </w:r>
      <w:r>
        <w:rPr>
          <w:b/>
          <w:bCs/>
          <w:sz w:val="32"/>
          <w:szCs w:val="32"/>
        </w:rPr>
        <w:t>Mahendrabhai</w:t>
      </w:r>
      <w:r>
        <w:rPr>
          <w:b/>
          <w:bCs/>
          <w:sz w:val="32"/>
          <w:szCs w:val="32"/>
        </w:rPr>
        <w:t xml:space="preserve"> </w:t>
      </w:r>
      <w:r>
        <w:rPr>
          <w:b/>
          <w:bCs/>
          <w:sz w:val="32"/>
          <w:szCs w:val="32"/>
        </w:rPr>
        <w:t>Makwana</w:t>
      </w:r>
    </w:p>
    <w:p>
      <w:pPr>
        <w:pStyle w:val="style0"/>
        <w:spacing w:after="240" w:lineRule="auto" w:line="360"/>
        <w:jc w:val="center"/>
        <w:rPr>
          <w:b/>
          <w:bCs/>
          <w:sz w:val="32"/>
          <w:szCs w:val="32"/>
        </w:rPr>
      </w:pPr>
      <w:r>
        <w:rPr>
          <w:b/>
          <w:bCs/>
          <w:sz w:val="32"/>
          <w:szCs w:val="32"/>
        </w:rPr>
        <w:t>Student Id: 2436892</w:t>
      </w:r>
    </w:p>
    <w:p>
      <w:pPr>
        <w:pStyle w:val="style0"/>
        <w:spacing w:after="240" w:lineRule="auto" w:line="360"/>
        <w:jc w:val="center"/>
        <w:rPr>
          <w:b/>
          <w:bCs/>
          <w:sz w:val="32"/>
          <w:szCs w:val="32"/>
        </w:rPr>
      </w:pPr>
      <w:r>
        <w:rPr>
          <w:b/>
          <w:bCs/>
          <w:sz w:val="32"/>
          <w:szCs w:val="32"/>
        </w:rPr>
        <w:t>Lecturer: Dr Brian Mashumba</w:t>
      </w:r>
    </w:p>
    <w:p>
      <w:pPr>
        <w:pStyle w:val="style0"/>
        <w:spacing w:after="240" w:lineRule="auto" w:line="360"/>
        <w:rPr>
          <w:b/>
          <w:bCs/>
          <w:sz w:val="32"/>
          <w:szCs w:val="32"/>
        </w:rPr>
      </w:pPr>
      <w:r>
        <w:br w:type="page"/>
      </w:r>
    </w:p>
    <w:p>
      <w:pPr>
        <w:pStyle w:val="style0"/>
        <w:keepNext/>
        <w:keepLines/>
        <w:pBdr>
          <w:left w:val="nil"/>
          <w:right w:val="nil"/>
          <w:top w:val="nil"/>
          <w:bottom w:val="nil"/>
          <w:between w:val="nil"/>
        </w:pBdr>
        <w:spacing w:after="240" w:lineRule="auto" w:line="360"/>
        <w:jc w:val="center"/>
        <w:rPr>
          <w:rFonts w:ascii="Calibri" w:cs="Calibri" w:eastAsia="Calibri" w:hAnsi="Calibri"/>
          <w:color w:val="366091"/>
          <w:sz w:val="32"/>
          <w:szCs w:val="32"/>
        </w:rPr>
      </w:pPr>
      <w:r>
        <w:rPr>
          <w:b/>
          <w:bCs/>
          <w:color w:val="000000"/>
          <w:sz w:val="32"/>
          <w:szCs w:val="32"/>
        </w:rPr>
        <w:t>Table of Contents</w:t>
      </w:r>
    </w:p>
    <w:p>
      <w:pPr>
        <w:pStyle w:val="style19"/>
        <w:tabs>
          <w:tab w:val="right" w:leader="dot" w:pos="9019"/>
        </w:tabs>
        <w:rPr>
          <w:rFonts w:ascii="Cambria" w:cs="Shruti" w:eastAsia="宋体" w:hAnsi="Cambria"/>
          <w:noProof/>
        </w:rPr>
      </w:pPr>
      <w:r>
        <w:rPr/>
        <w:fldChar w:fldCharType="begin"/>
      </w:r>
      <w:r>
        <w:instrText xml:space="preserve"> TOC \h \u \z \t "Heading 1,1,Heading 2,2,Heading 3,3,"</w:instrText>
      </w:r>
      <w:r>
        <w:rPr/>
        <w:fldChar w:fldCharType="separate"/>
      </w:r>
      <w:r>
        <w:rPr/>
        <w:fldChar w:fldCharType="begin"/>
      </w:r>
      <w:r>
        <w:instrText xml:space="preserve"> HYPERLINK \l "_Toc213838259"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_Toc213838259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"_Toc213838260" </w:instrText>
      </w:r>
      <w:r>
        <w:rPr/>
        <w:fldChar w:fldCharType="separate"/>
      </w:r>
      <w:r>
        <w:rPr>
          <w:rStyle w:val="style85"/>
          <w:noProof/>
        </w:rPr>
        <w:t>2. Understanding COPD: Definition, Burden &amp; Risk Factors</w:t>
      </w:r>
      <w:r>
        <w:rPr>
          <w:noProof/>
          <w:webHidden/>
        </w:rPr>
        <w:tab/>
      </w:r>
      <w:r>
        <w:rPr>
          <w:noProof/>
          <w:webHidden/>
        </w:rPr>
        <w:fldChar w:fldCharType="begin"/>
      </w:r>
      <w:r>
        <w:rPr>
          <w:noProof/>
          <w:webHidden/>
        </w:rPr>
        <w:instrText xml:space="preserve"> PAGEREF _Toc213838260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"_Toc213838261" </w:instrText>
      </w:r>
      <w:r>
        <w:rPr/>
        <w:fldChar w:fldCharType="separate"/>
      </w:r>
      <w:r>
        <w:rPr>
          <w:rStyle w:val="style85"/>
          <w:noProof/>
        </w:rPr>
        <w:t>2.1. Definition &amp; Nature of the Condition</w:t>
      </w:r>
      <w:r>
        <w:rPr>
          <w:noProof/>
          <w:webHidden/>
        </w:rPr>
        <w:tab/>
      </w:r>
      <w:r>
        <w:rPr>
          <w:noProof/>
          <w:webHidden/>
        </w:rPr>
        <w:fldChar w:fldCharType="begin"/>
      </w:r>
      <w:r>
        <w:rPr>
          <w:noProof/>
          <w:webHidden/>
        </w:rPr>
        <w:instrText xml:space="preserve"> PAGEREF _Toc213838261 \h </w:instrText>
      </w:r>
      <w:r>
        <w:rPr>
          <w:noProof/>
          <w:webHidden/>
        </w:rPr>
        <w:fldChar w:fldCharType="separate"/>
      </w:r>
      <w:r>
        <w:rPr>
          <w:noProof/>
          <w:webHidden/>
        </w:rPr>
        <w:t>5</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"_Toc213838262" </w:instrText>
      </w:r>
      <w:r>
        <w:rPr/>
        <w:fldChar w:fldCharType="separate"/>
      </w:r>
      <w:r>
        <w:rPr>
          <w:rStyle w:val="style85"/>
          <w:noProof/>
        </w:rPr>
        <w:t>2.2. Epidemiology and Prevalence</w:t>
      </w:r>
      <w:r>
        <w:rPr>
          <w:noProof/>
          <w:webHidden/>
        </w:rPr>
        <w:tab/>
      </w:r>
      <w:r>
        <w:rPr>
          <w:noProof/>
          <w:webHidden/>
        </w:rPr>
        <w:fldChar w:fldCharType="begin"/>
      </w:r>
      <w:r>
        <w:rPr>
          <w:noProof/>
          <w:webHidden/>
        </w:rPr>
        <w:instrText xml:space="preserve"> PAGEREF _Toc213838262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"_Toc213838263" </w:instrText>
      </w:r>
      <w:r>
        <w:rPr/>
        <w:fldChar w:fldCharType="separate"/>
      </w:r>
      <w:r>
        <w:rPr>
          <w:rStyle w:val="style85"/>
          <w:noProof/>
        </w:rPr>
        <w:t>2.3 Risk Factors / Aetiology</w:t>
      </w:r>
      <w:r>
        <w:rPr>
          <w:noProof/>
          <w:webHidden/>
        </w:rPr>
        <w:tab/>
      </w:r>
      <w:r>
        <w:rPr>
          <w:noProof/>
          <w:webHidden/>
        </w:rPr>
        <w:fldChar w:fldCharType="begin"/>
      </w:r>
      <w:r>
        <w:rPr>
          <w:noProof/>
          <w:webHidden/>
        </w:rPr>
        <w:instrText xml:space="preserve"> PAGEREF _Toc213838263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"_Toc213838264" </w:instrText>
      </w:r>
      <w:r>
        <w:rPr/>
        <w:fldChar w:fldCharType="separate"/>
      </w:r>
      <w:r>
        <w:rPr>
          <w:rStyle w:val="style85"/>
          <w:noProof/>
        </w:rPr>
        <w:t>2.4 Burden on Healthcare</w:t>
      </w:r>
      <w:r>
        <w:rPr>
          <w:noProof/>
          <w:webHidden/>
        </w:rPr>
        <w:tab/>
      </w:r>
      <w:r>
        <w:rPr>
          <w:noProof/>
          <w:webHidden/>
        </w:rPr>
        <w:fldChar w:fldCharType="begin"/>
      </w:r>
      <w:r>
        <w:rPr>
          <w:noProof/>
          <w:webHidden/>
        </w:rPr>
        <w:instrText xml:space="preserve"> PAGEREF _Toc213838264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"_Toc213838265" </w:instrText>
      </w:r>
      <w:r>
        <w:rPr/>
        <w:fldChar w:fldCharType="separate"/>
      </w:r>
      <w:r>
        <w:rPr>
          <w:rStyle w:val="style85"/>
          <w:noProof/>
        </w:rPr>
        <w:t>3. Impact of COPD on Individuals and Families</w:t>
      </w:r>
      <w:r>
        <w:rPr>
          <w:noProof/>
          <w:webHidden/>
        </w:rPr>
        <w:tab/>
      </w:r>
      <w:r>
        <w:rPr>
          <w:noProof/>
          <w:webHidden/>
        </w:rPr>
        <w:fldChar w:fldCharType="begin"/>
      </w:r>
      <w:r>
        <w:rPr>
          <w:noProof/>
          <w:webHidden/>
        </w:rPr>
        <w:instrText xml:space="preserve"> PAGEREF _Toc213838265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"_Toc213838266" </w:instrText>
      </w:r>
      <w:r>
        <w:rPr/>
        <w:fldChar w:fldCharType="separate"/>
      </w:r>
      <w:r>
        <w:rPr>
          <w:rStyle w:val="style85"/>
          <w:noProof/>
        </w:rPr>
        <w:t>3.1 Physical Impacts</w:t>
      </w:r>
      <w:r>
        <w:rPr>
          <w:noProof/>
          <w:webHidden/>
        </w:rPr>
        <w:tab/>
      </w:r>
      <w:r>
        <w:rPr>
          <w:noProof/>
          <w:webHidden/>
        </w:rPr>
        <w:fldChar w:fldCharType="begin"/>
      </w:r>
      <w:r>
        <w:rPr>
          <w:noProof/>
          <w:webHidden/>
        </w:rPr>
        <w:instrText xml:space="preserve"> PAGEREF _Toc213838266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"_Toc213838267" </w:instrText>
      </w:r>
      <w:r>
        <w:rPr/>
        <w:fldChar w:fldCharType="separate"/>
      </w:r>
      <w:r>
        <w:rPr>
          <w:rStyle w:val="style85"/>
          <w:noProof/>
        </w:rPr>
        <w:t>3.2 Psychological Impacts</w:t>
      </w:r>
      <w:r>
        <w:rPr>
          <w:noProof/>
          <w:webHidden/>
        </w:rPr>
        <w:tab/>
      </w:r>
      <w:r>
        <w:rPr>
          <w:noProof/>
          <w:webHidden/>
        </w:rPr>
        <w:fldChar w:fldCharType="begin"/>
      </w:r>
      <w:r>
        <w:rPr>
          <w:noProof/>
          <w:webHidden/>
        </w:rPr>
        <w:instrText xml:space="preserve"> PAGEREF _Toc213838267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"_Toc213838268" </w:instrText>
      </w:r>
      <w:r>
        <w:rPr/>
        <w:fldChar w:fldCharType="separate"/>
      </w:r>
      <w:r>
        <w:rPr>
          <w:rStyle w:val="style85"/>
          <w:noProof/>
        </w:rPr>
        <w:t>3.3 Social Impacts</w:t>
      </w:r>
      <w:r>
        <w:rPr>
          <w:noProof/>
          <w:webHidden/>
        </w:rPr>
        <w:tab/>
      </w:r>
      <w:r>
        <w:rPr>
          <w:noProof/>
          <w:webHidden/>
        </w:rPr>
        <w:fldChar w:fldCharType="begin"/>
      </w:r>
      <w:r>
        <w:rPr>
          <w:noProof/>
          <w:webHidden/>
        </w:rPr>
        <w:instrText xml:space="preserve"> PAGEREF _Toc213838268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"_Toc213838269" </w:instrText>
      </w:r>
      <w:r>
        <w:rPr/>
        <w:fldChar w:fldCharType="separate"/>
      </w:r>
      <w:r>
        <w:rPr>
          <w:rStyle w:val="style85"/>
          <w:noProof/>
        </w:rPr>
        <w:t>4. Evidence-Based Management and Treatment</w:t>
      </w:r>
      <w:r>
        <w:rPr>
          <w:noProof/>
          <w:webHidden/>
        </w:rPr>
        <w:tab/>
      </w:r>
      <w:r>
        <w:rPr>
          <w:noProof/>
          <w:webHidden/>
        </w:rPr>
        <w:fldChar w:fldCharType="begin"/>
      </w:r>
      <w:r>
        <w:rPr>
          <w:noProof/>
          <w:webHidden/>
        </w:rPr>
        <w:instrText xml:space="preserve"> PAGEREF _Toc213838269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"_Toc213838270" </w:instrText>
      </w:r>
      <w:r>
        <w:rPr/>
        <w:fldChar w:fldCharType="separate"/>
      </w:r>
      <w:r>
        <w:rPr>
          <w:rStyle w:val="style85"/>
          <w:noProof/>
        </w:rPr>
        <w:t>4.1 Clinical Management – NICE NG115 (2023)</w:t>
      </w:r>
      <w:r>
        <w:rPr>
          <w:noProof/>
          <w:webHidden/>
        </w:rPr>
        <w:tab/>
      </w:r>
      <w:r>
        <w:rPr>
          <w:noProof/>
          <w:webHidden/>
        </w:rPr>
        <w:fldChar w:fldCharType="begin"/>
      </w:r>
      <w:r>
        <w:rPr>
          <w:noProof/>
          <w:webHidden/>
        </w:rPr>
        <w:instrText xml:space="preserve"> PAGEREF _Toc213838270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"_Toc213838271" </w:instrText>
      </w:r>
      <w:r>
        <w:rPr/>
        <w:fldChar w:fldCharType="separate"/>
      </w:r>
      <w:r>
        <w:rPr>
          <w:rStyle w:val="style85"/>
          <w:noProof/>
        </w:rPr>
        <w:t>4.2 Multidisciplinary Team (MDT) Approach</w:t>
      </w:r>
      <w:r>
        <w:rPr>
          <w:noProof/>
          <w:webHidden/>
        </w:rPr>
        <w:tab/>
      </w:r>
      <w:r>
        <w:rPr>
          <w:noProof/>
          <w:webHidden/>
        </w:rPr>
        <w:fldChar w:fldCharType="begin"/>
      </w:r>
      <w:r>
        <w:rPr>
          <w:noProof/>
          <w:webHidden/>
        </w:rPr>
        <w:instrText xml:space="preserve"> PAGEREF _Toc213838271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"_Toc213838272" </w:instrText>
      </w:r>
      <w:r>
        <w:rPr/>
        <w:fldChar w:fldCharType="separate"/>
      </w:r>
      <w:r>
        <w:rPr>
          <w:rStyle w:val="style85"/>
          <w:noProof/>
        </w:rPr>
        <w:t>4.3 Self-Management and Rehabilitation</w:t>
      </w:r>
      <w:r>
        <w:rPr>
          <w:noProof/>
          <w:webHidden/>
        </w:rPr>
        <w:tab/>
      </w:r>
      <w:r>
        <w:rPr>
          <w:noProof/>
          <w:webHidden/>
        </w:rPr>
        <w:fldChar w:fldCharType="begin"/>
      </w:r>
      <w:r>
        <w:rPr>
          <w:noProof/>
          <w:webHidden/>
        </w:rPr>
        <w:instrText xml:space="preserve"> PAGEREF _Toc213838272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"_Toc213838273" </w:instrText>
      </w:r>
      <w:r>
        <w:rPr/>
        <w:fldChar w:fldCharType="separate"/>
      </w:r>
      <w:r>
        <w:rPr>
          <w:rStyle w:val="style85"/>
          <w:noProof/>
        </w:rPr>
        <w:t>4.4 Challenges in UK Care</w:t>
      </w:r>
      <w:r>
        <w:rPr>
          <w:noProof/>
          <w:webHidden/>
        </w:rPr>
        <w:tab/>
      </w:r>
      <w:r>
        <w:rPr>
          <w:noProof/>
          <w:webHidden/>
        </w:rPr>
        <w:fldChar w:fldCharType="begin"/>
      </w:r>
      <w:r>
        <w:rPr>
          <w:noProof/>
          <w:webHidden/>
        </w:rPr>
        <w:instrText xml:space="preserve"> PAGEREF _Toc213838273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"_Toc213838274" </w:instrText>
      </w:r>
      <w:r>
        <w:rPr/>
        <w:fldChar w:fldCharType="separate"/>
      </w:r>
      <w:r>
        <w:rPr>
          <w:rStyle w:val="style85"/>
          <w:noProof/>
        </w:rPr>
        <w:t>5. Theoretical Perspectives and Models for Improved Outcomes</w:t>
      </w:r>
      <w:r>
        <w:rPr>
          <w:noProof/>
          <w:webHidden/>
        </w:rPr>
        <w:tab/>
      </w:r>
      <w:r>
        <w:rPr>
          <w:noProof/>
          <w:webHidden/>
        </w:rPr>
        <w:fldChar w:fldCharType="begin"/>
      </w:r>
      <w:r>
        <w:rPr>
          <w:noProof/>
          <w:webHidden/>
        </w:rPr>
        <w:instrText xml:space="preserve"> PAGEREF _Toc213838274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"_Toc213838275" </w:instrText>
      </w:r>
      <w:r>
        <w:rPr/>
        <w:fldChar w:fldCharType="separate"/>
      </w:r>
      <w:r>
        <w:rPr>
          <w:rStyle w:val="style85"/>
          <w:noProof/>
        </w:rPr>
        <w:t>5.1 10 year NHS England plan (House of Care Framework)</w:t>
      </w:r>
      <w:r>
        <w:rPr>
          <w:noProof/>
          <w:webHidden/>
        </w:rPr>
        <w:tab/>
      </w:r>
      <w:r>
        <w:rPr>
          <w:noProof/>
          <w:webHidden/>
        </w:rPr>
        <w:fldChar w:fldCharType="begin"/>
      </w:r>
      <w:r>
        <w:rPr>
          <w:noProof/>
          <w:webHidden/>
        </w:rPr>
        <w:instrText xml:space="preserve"> PAGEREF _Toc213838275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"_Toc213838276" </w:instrText>
      </w:r>
      <w:r>
        <w:rPr/>
        <w:fldChar w:fldCharType="separate"/>
      </w:r>
      <w:r>
        <w:rPr>
          <w:rStyle w:val="style85"/>
          <w:noProof/>
        </w:rPr>
        <w:t>5.2 Comprehensive Model</w:t>
      </w:r>
      <w:r>
        <w:rPr>
          <w:noProof/>
          <w:webHidden/>
        </w:rPr>
        <w:tab/>
      </w:r>
      <w:r>
        <w:rPr>
          <w:noProof/>
          <w:webHidden/>
        </w:rPr>
        <w:fldChar w:fldCharType="begin"/>
      </w:r>
      <w:r>
        <w:rPr>
          <w:noProof/>
          <w:webHidden/>
        </w:rPr>
        <w:instrText xml:space="preserve"> PAGEREF _Toc213838276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"_Toc213838277" </w:instrText>
      </w:r>
      <w:r>
        <w:rPr/>
        <w:fldChar w:fldCharType="separate"/>
      </w:r>
      <w:r>
        <w:rPr>
          <w:rStyle w:val="style85"/>
          <w:noProof/>
        </w:rPr>
        <w:t>5.3 Personalised Care Operating Model</w:t>
      </w:r>
      <w:r>
        <w:rPr>
          <w:noProof/>
          <w:webHidden/>
        </w:rPr>
        <w:tab/>
      </w:r>
      <w:r>
        <w:rPr>
          <w:noProof/>
          <w:webHidden/>
        </w:rPr>
        <w:fldChar w:fldCharType="begin"/>
      </w:r>
      <w:r>
        <w:rPr>
          <w:noProof/>
          <w:webHidden/>
        </w:rPr>
        <w:instrText xml:space="preserve"> PAGEREF _Toc213838277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"_Toc213838278" </w:instrText>
      </w:r>
      <w:r>
        <w:rPr/>
        <w:fldChar w:fldCharType="separate"/>
      </w:r>
      <w:r>
        <w:rPr>
          <w:rStyle w:val="style85"/>
          <w:noProof/>
        </w:rPr>
        <w:t>5.4 Critical Comparison</w:t>
      </w:r>
      <w:r>
        <w:rPr>
          <w:noProof/>
          <w:webHidden/>
        </w:rPr>
        <w:tab/>
      </w:r>
      <w:r>
        <w:rPr>
          <w:noProof/>
          <w:webHidden/>
        </w:rPr>
        <w:fldChar w:fldCharType="begin"/>
      </w:r>
      <w:r>
        <w:rPr>
          <w:noProof/>
          <w:webHidden/>
        </w:rPr>
        <w:instrText xml:space="preserve"> PAGEREF _Toc213838278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"_Toc213838279" </w:instrText>
      </w:r>
      <w:r>
        <w:rPr/>
        <w:fldChar w:fldCharType="separate"/>
      </w:r>
      <w:r>
        <w:rPr>
          <w:rStyle w:val="style85"/>
          <w:noProof/>
        </w:rPr>
        <w:t>6.  Political, Local and National Health &amp; Social Care Agendas</w:t>
      </w:r>
      <w:r>
        <w:rPr>
          <w:noProof/>
          <w:webHidden/>
        </w:rPr>
        <w:tab/>
      </w:r>
      <w:r>
        <w:rPr>
          <w:noProof/>
          <w:webHidden/>
        </w:rPr>
        <w:fldChar w:fldCharType="begin"/>
      </w:r>
      <w:r>
        <w:rPr>
          <w:noProof/>
          <w:webHidden/>
        </w:rPr>
        <w:instrText xml:space="preserve"> PAGEREF _Toc213838279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"_Toc213838280" </w:instrText>
      </w:r>
      <w:r>
        <w:rPr/>
        <w:fldChar w:fldCharType="separate"/>
      </w:r>
      <w:r>
        <w:rPr>
          <w:rStyle w:val="style85"/>
          <w:noProof/>
        </w:rPr>
        <w:t>6.1 National Policies</w:t>
      </w:r>
      <w:r>
        <w:rPr>
          <w:noProof/>
          <w:webHidden/>
        </w:rPr>
        <w:tab/>
      </w:r>
      <w:r>
        <w:rPr>
          <w:noProof/>
          <w:webHidden/>
        </w:rPr>
        <w:fldChar w:fldCharType="begin"/>
      </w:r>
      <w:r>
        <w:rPr>
          <w:noProof/>
          <w:webHidden/>
        </w:rPr>
        <w:instrText xml:space="preserve"> PAGEREF _Toc213838280 \h </w:instrText>
      </w:r>
      <w:r>
        <w:rPr>
          <w:noProof/>
          <w:webHidden/>
        </w:rPr>
        <w:fldChar w:fldCharType="separate"/>
      </w:r>
      <w:r>
        <w:rPr>
          <w:noProof/>
          <w:webHidden/>
        </w:rPr>
        <w:t>13</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"_Toc213838281" </w:instrText>
      </w:r>
      <w:r>
        <w:rPr/>
        <w:fldChar w:fldCharType="separate"/>
      </w:r>
      <w:r>
        <w:rPr>
          <w:rStyle w:val="style85"/>
          <w:noProof/>
        </w:rPr>
        <w:t>6.2 Local Initiatives</w:t>
      </w:r>
      <w:r>
        <w:rPr>
          <w:noProof/>
          <w:webHidden/>
        </w:rPr>
        <w:tab/>
      </w:r>
      <w:r>
        <w:rPr>
          <w:noProof/>
          <w:webHidden/>
        </w:rPr>
        <w:fldChar w:fldCharType="begin"/>
      </w:r>
      <w:r>
        <w:rPr>
          <w:noProof/>
          <w:webHidden/>
        </w:rPr>
        <w:instrText xml:space="preserve"> PAGEREF _Toc213838281 \h </w:instrText>
      </w:r>
      <w:r>
        <w:rPr>
          <w:noProof/>
          <w:webHidden/>
        </w:rPr>
        <w:fldChar w:fldCharType="separate"/>
      </w:r>
      <w:r>
        <w:rPr>
          <w:noProof/>
          <w:webHidden/>
        </w:rPr>
        <w:t>14</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"_Toc213838282" </w:instrText>
      </w:r>
      <w:r>
        <w:rPr/>
        <w:fldChar w:fldCharType="separate"/>
      </w:r>
      <w:r>
        <w:rPr>
          <w:rStyle w:val="style85"/>
          <w:noProof/>
        </w:rPr>
        <w:t>6.3 Critical Analysis</w:t>
      </w:r>
      <w:r>
        <w:rPr>
          <w:noProof/>
          <w:webHidden/>
        </w:rPr>
        <w:tab/>
      </w:r>
      <w:r>
        <w:rPr>
          <w:noProof/>
          <w:webHidden/>
        </w:rPr>
        <w:fldChar w:fldCharType="begin"/>
      </w:r>
      <w:r>
        <w:rPr>
          <w:noProof/>
          <w:webHidden/>
        </w:rPr>
        <w:instrText xml:space="preserve"> PAGEREF _Toc213838282 \h </w:instrText>
      </w:r>
      <w:r>
        <w:rPr>
          <w:noProof/>
          <w:webHidden/>
        </w:rPr>
        <w:fldChar w:fldCharType="separate"/>
      </w:r>
      <w:r>
        <w:rPr>
          <w:noProof/>
          <w:webHidden/>
        </w:rPr>
        <w:t>15</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"_Toc213838283" </w:instrText>
      </w:r>
      <w:r>
        <w:rPr/>
        <w:fldChar w:fldCharType="separate"/>
      </w:r>
      <w:r>
        <w:rPr>
          <w:rStyle w:val="style85"/>
          <w:noProof/>
        </w:rPr>
        <w:t>7. Recommendations: Enhancing Person-Centred and Self-Management Approaches</w:t>
      </w:r>
      <w:r>
        <w:rPr>
          <w:noProof/>
          <w:webHidden/>
        </w:rPr>
        <w:tab/>
      </w:r>
      <w:r>
        <w:rPr>
          <w:noProof/>
          <w:webHidden/>
        </w:rPr>
        <w:fldChar w:fldCharType="begin"/>
      </w:r>
      <w:r>
        <w:rPr>
          <w:noProof/>
          <w:webHidden/>
        </w:rPr>
        <w:instrText xml:space="preserve"> PAGEREF _Toc213838283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"_Toc213838284" </w:instrText>
      </w:r>
      <w:r>
        <w:rPr/>
        <w:fldChar w:fldCharType="separate"/>
      </w:r>
      <w:r>
        <w:rPr>
          <w:rStyle w:val="style85"/>
          <w:noProof/>
        </w:rPr>
        <w:t>7.1 Person-Centred Care</w:t>
      </w:r>
      <w:r>
        <w:rPr>
          <w:noProof/>
          <w:webHidden/>
        </w:rPr>
        <w:tab/>
      </w:r>
      <w:r>
        <w:rPr>
          <w:noProof/>
          <w:webHidden/>
        </w:rPr>
        <w:fldChar w:fldCharType="begin"/>
      </w:r>
      <w:r>
        <w:rPr>
          <w:noProof/>
          <w:webHidden/>
        </w:rPr>
        <w:instrText xml:space="preserve"> PAGEREF _Toc213838284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"_Toc213838285" </w:instrText>
      </w:r>
      <w:r>
        <w:rPr/>
        <w:fldChar w:fldCharType="separate"/>
      </w:r>
      <w:r>
        <w:rPr>
          <w:rStyle w:val="style85"/>
          <w:noProof/>
        </w:rPr>
        <w:t>7.2 Self-Management Support</w:t>
      </w:r>
      <w:r>
        <w:rPr>
          <w:noProof/>
          <w:webHidden/>
        </w:rPr>
        <w:tab/>
      </w:r>
      <w:r>
        <w:rPr>
          <w:noProof/>
          <w:webHidden/>
        </w:rPr>
        <w:fldChar w:fldCharType="begin"/>
      </w:r>
      <w:r>
        <w:rPr>
          <w:noProof/>
          <w:webHidden/>
        </w:rPr>
        <w:instrText xml:space="preserve"> PAGEREF _Toc213838285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"_Toc213838286" </w:instrText>
      </w:r>
      <w:r>
        <w:rPr/>
        <w:fldChar w:fldCharType="separate"/>
      </w:r>
      <w:r>
        <w:rPr>
          <w:rStyle w:val="style85"/>
          <w:noProof/>
        </w:rPr>
        <w:t>7.3 End-of-Life and Palliative Care</w:t>
      </w:r>
      <w:r>
        <w:rPr>
          <w:noProof/>
          <w:webHidden/>
        </w:rPr>
        <w:tab/>
      </w:r>
      <w:r>
        <w:rPr>
          <w:noProof/>
          <w:webHidden/>
        </w:rPr>
        <w:fldChar w:fldCharType="begin"/>
      </w:r>
      <w:r>
        <w:rPr>
          <w:noProof/>
          <w:webHidden/>
        </w:rPr>
        <w:instrText xml:space="preserve"> PAGEREF _Toc213838286 \h </w:instrText>
      </w:r>
      <w:r>
        <w:rPr>
          <w:noProof/>
          <w:webHidden/>
        </w:rPr>
        <w:fldChar w:fldCharType="separate"/>
      </w:r>
      <w:r>
        <w:rPr>
          <w:noProof/>
          <w:webHidden/>
        </w:rPr>
        <w:t>16</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"_Toc213838287" </w:instrText>
      </w:r>
      <w:r>
        <w:rPr/>
        <w:fldChar w:fldCharType="separate"/>
      </w:r>
      <w:r>
        <w:rPr>
          <w:rStyle w:val="style85"/>
          <w:noProof/>
        </w:rPr>
        <w:t>7.4 Policy &amp; Practice Recommendations</w:t>
      </w:r>
      <w:r>
        <w:rPr>
          <w:noProof/>
          <w:webHidden/>
        </w:rPr>
        <w:tab/>
      </w:r>
      <w:r>
        <w:rPr>
          <w:noProof/>
          <w:webHidden/>
        </w:rPr>
        <w:fldChar w:fldCharType="begin"/>
      </w:r>
      <w:r>
        <w:rPr>
          <w:noProof/>
          <w:webHidden/>
        </w:rPr>
        <w:instrText xml:space="preserve"> PAGEREF _Toc213838287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"_Toc213838288" </w:instrText>
      </w:r>
      <w:r>
        <w:rPr/>
        <w:fldChar w:fldCharType="separate"/>
      </w:r>
      <w:r>
        <w:rPr>
          <w:rStyle w:val="style85"/>
          <w:noProof/>
        </w:rPr>
        <w:t>8. Conclusion</w:t>
      </w:r>
      <w:r>
        <w:rPr>
          <w:noProof/>
          <w:webHidden/>
        </w:rPr>
        <w:tab/>
      </w:r>
      <w:r>
        <w:rPr>
          <w:noProof/>
          <w:webHidden/>
        </w:rPr>
        <w:fldChar w:fldCharType="begin"/>
      </w:r>
      <w:r>
        <w:rPr>
          <w:noProof/>
          <w:webHidden/>
        </w:rPr>
        <w:instrText xml:space="preserve"> PAGEREF _Toc213838288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"_Toc213838289"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_Toc213838289 \h </w:instrText>
      </w:r>
      <w:r>
        <w:rPr>
          <w:noProof/>
          <w:webHidden/>
        </w:rPr>
        <w:fldChar w:fldCharType="separate"/>
      </w:r>
      <w:r>
        <w:rPr>
          <w:noProof/>
          <w:webHidden/>
        </w:rPr>
        <w:t>17</w:t>
      </w:r>
      <w:r>
        <w:rPr>
          <w:noProof/>
          <w:webHidden/>
        </w:rPr>
        <w:fldChar w:fldCharType="end"/>
      </w:r>
      <w:r>
        <w:rPr/>
        <w:fldChar w:fldCharType="end"/>
      </w:r>
    </w:p>
    <w:p>
      <w:pPr>
        <w:pStyle w:val="style19"/>
        <w:tabs>
          <w:tab w:val="right" w:leader="dot" w:pos="9019"/>
        </w:tabs>
        <w:rPr>
          <w:rFonts w:ascii="Cambria" w:cs="Shruti" w:eastAsia="宋体" w:hAnsi="Cambria"/>
          <w:noProof/>
        </w:rPr>
      </w:pPr>
      <w:r>
        <w:rPr/>
        <w:fldChar w:fldCharType="begin"/>
      </w:r>
      <w:r>
        <w:instrText xml:space="preserve"> HYPERLINK \l "_Toc213838290" </w:instrText>
      </w:r>
      <w:r>
        <w:rPr/>
        <w:fldChar w:fldCharType="separate"/>
      </w:r>
      <w:r>
        <w:rPr>
          <w:rStyle w:val="style85"/>
          <w:noProof/>
        </w:rPr>
        <w:t>Appendices</w:t>
      </w:r>
      <w:r>
        <w:rPr>
          <w:noProof/>
          <w:webHidden/>
        </w:rPr>
        <w:tab/>
      </w:r>
      <w:r>
        <w:rPr>
          <w:noProof/>
          <w:webHidden/>
        </w:rPr>
        <w:fldChar w:fldCharType="begin"/>
      </w:r>
      <w:r>
        <w:rPr>
          <w:noProof/>
          <w:webHidden/>
        </w:rPr>
        <w:instrText xml:space="preserve"> PAGEREF _Toc213838290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"_Toc213838291" </w:instrText>
      </w:r>
      <w:r>
        <w:rPr/>
        <w:fldChar w:fldCharType="separate"/>
      </w:r>
      <w:r>
        <w:rPr>
          <w:rStyle w:val="style85"/>
          <w:noProof/>
        </w:rPr>
        <w:t>Appendix 1: NHS Long Term Plan</w:t>
      </w:r>
      <w:r>
        <w:rPr>
          <w:noProof/>
          <w:webHidden/>
        </w:rPr>
        <w:tab/>
      </w:r>
      <w:r>
        <w:rPr>
          <w:noProof/>
          <w:webHidden/>
        </w:rPr>
        <w:fldChar w:fldCharType="begin"/>
      </w:r>
      <w:r>
        <w:rPr>
          <w:noProof/>
          <w:webHidden/>
        </w:rPr>
        <w:instrText xml:space="preserve"> PAGEREF _Toc213838291 \h </w:instrText>
      </w:r>
      <w:r>
        <w:rPr>
          <w:noProof/>
          <w:webHidden/>
        </w:rPr>
        <w:fldChar w:fldCharType="separate"/>
      </w:r>
      <w:r>
        <w:rPr>
          <w:noProof/>
          <w:webHidden/>
        </w:rPr>
        <w:t>21</w:t>
      </w:r>
      <w:r>
        <w:rPr>
          <w:noProof/>
          <w:webHidden/>
        </w:rPr>
        <w:fldChar w:fldCharType="end"/>
      </w:r>
      <w:r>
        <w:rPr/>
        <w:fldChar w:fldCharType="end"/>
      </w:r>
    </w:p>
    <w:p>
      <w:pPr>
        <w:pStyle w:val="style20"/>
        <w:tabs>
          <w:tab w:val="right" w:leader="dot" w:pos="9019"/>
        </w:tabs>
        <w:rPr>
          <w:rFonts w:ascii="Cambria" w:cs="Shruti" w:eastAsia="宋体" w:hAnsi="Cambria"/>
          <w:noProof/>
        </w:rPr>
      </w:pPr>
      <w:r>
        <w:rPr/>
        <w:fldChar w:fldCharType="begin"/>
      </w:r>
      <w:r>
        <w:instrText xml:space="preserve"> HYPERLINK \l "_Toc213838292" </w:instrText>
      </w:r>
      <w:r>
        <w:rPr/>
        <w:fldChar w:fldCharType="separate"/>
      </w:r>
      <w:r>
        <w:rPr>
          <w:rStyle w:val="style85"/>
          <w:noProof/>
        </w:rPr>
        <w:t>Appendix 2: Aim of NHS Long Term Plan</w:t>
      </w:r>
      <w:r>
        <w:rPr>
          <w:noProof/>
          <w:webHidden/>
        </w:rPr>
        <w:tab/>
      </w:r>
      <w:r>
        <w:rPr>
          <w:noProof/>
          <w:webHidden/>
        </w:rPr>
        <w:fldChar w:fldCharType="begin"/>
      </w:r>
      <w:r>
        <w:rPr>
          <w:noProof/>
          <w:webHidden/>
        </w:rPr>
        <w:instrText xml:space="preserve"> PAGEREF _Toc213838292 \h </w:instrText>
      </w:r>
      <w:r>
        <w:rPr>
          <w:noProof/>
          <w:webHidden/>
        </w:rPr>
        <w:fldChar w:fldCharType="separate"/>
      </w:r>
      <w:r>
        <w:rPr>
          <w:noProof/>
          <w:webHidden/>
        </w:rPr>
        <w:t>22</w:t>
      </w:r>
      <w:r>
        <w:rPr>
          <w:noProof/>
          <w:webHidden/>
        </w:rPr>
        <w:fldChar w:fldCharType="end"/>
      </w:r>
      <w:r>
        <w:rPr/>
        <w:fldChar w:fldCharType="end"/>
      </w:r>
    </w:p>
    <w:p>
      <w:pPr>
        <w:pStyle w:val="style0"/>
        <w:spacing w:after="240" w:lineRule="auto" w:line="360"/>
        <w:rPr/>
      </w:pPr>
      <w:r>
        <w:rPr/>
        <w:fldChar w:fldCharType="end"/>
      </w:r>
    </w:p>
    <w:p>
      <w:pPr>
        <w:pStyle w:val="style0"/>
        <w:spacing w:after="240" w:lineRule="auto" w:line="360"/>
        <w:rPr>
          <w:b/>
          <w:bCs/>
          <w:sz w:val="32"/>
          <w:szCs w:val="32"/>
        </w:rPr>
      </w:pPr>
    </w:p>
    <w:p>
      <w:pPr>
        <w:pStyle w:val="style0"/>
        <w:spacing w:after="240" w:lineRule="auto" w:line="360"/>
        <w:rPr>
          <w:b/>
          <w:bCs/>
        </w:rPr>
      </w:pPr>
      <w:r>
        <w:br w:type="page"/>
      </w:r>
    </w:p>
    <w:bookmarkStart w:id="1" w:name="_Toc213838259"/>
    <w:p>
      <w:pPr>
        <w:pStyle w:val="style1"/>
        <w:spacing w:before="0" w:after="240"/>
        <w:rPr/>
      </w:pPr>
      <w:r>
        <w:t>1. Introduction</w:t>
      </w:r>
      <w:bookmarkEnd w:id="1"/>
    </w:p>
    <w:p>
      <w:pPr>
        <w:pStyle w:val="style0"/>
        <w:spacing w:after="240" w:lineRule="auto" w:line="360"/>
        <w:jc w:val="both"/>
        <w:rPr/>
      </w:pPr>
      <w:r>
        <w:t xml:space="preserve">Long-term conditions are referred to as chronic diseases or conditions for which there is no cure, but they can be managed with the help of medications and other treatments (NHS, 2025). Basically, these conditions generally last for a year or longer and may also influence the everyday life of a person. Asthma, Stroke, Epilepsy, Coronary heart disease, Hypertension, COPD, and Diabetes are the crucial examples of this condition. Among these, Chronic Obstructive Pulmonary Disease, also known as COPD, stands out as a prior public health concern both nationally and globally. </w:t>
      </w:r>
    </w:p>
    <w:p>
      <w:pPr>
        <w:pStyle w:val="style0"/>
        <w:spacing w:after="240" w:lineRule="auto" w:line="360"/>
        <w:jc w:val="center"/>
        <w:rPr/>
      </w:pPr>
      <w:r>
        <w:rPr>
          <w:noProof/>
          <w:lang w:bidi="gu-IN"/>
        </w:rPr>
        <w:drawing>
          <wp:inline distL="0" distT="0" distB="0" distR="0">
            <wp:extent cx="5731200" cy="4127500"/>
            <wp:effectExtent l="38100" t="38100" r="38100" b="38100"/>
            <wp:docPr id="1026"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2" cstate="print"/>
                    <a:srcRect l="0" t="0" r="0" b="0"/>
                    <a:stretch/>
                  </pic:blipFill>
                  <pic:spPr>
                    <a:xfrm rot="0">
                      <a:off x="0" y="0"/>
                      <a:ext cx="5731200" cy="4127500"/>
                    </a:xfrm>
                    <a:prstGeom prst="rect"/>
                    <a:ln cmpd="sng" cap="flat" w="38100">
                      <a:solidFill>
                        <a:srgbClr val="000000"/>
                      </a:solidFill>
                      <a:prstDash val="solid"/>
                      <a:round/>
                      <a:headEnd/>
                      <a:tailEnd/>
                    </a:ln>
                  </pic:spPr>
                </pic:pic>
              </a:graphicData>
            </a:graphic>
          </wp:inline>
        </w:drawing>
      </w:r>
    </w:p>
    <w:p>
      <w:pPr>
        <w:pStyle w:val="style4"/>
        <w:spacing w:before="0" w:after="240"/>
        <w:rPr/>
      </w:pPr>
      <w:r>
        <w:t>Figure 1: Chronic Obstructive Pulmonary Disease (COPD)</w:t>
      </w:r>
    </w:p>
    <w:p>
      <w:pPr>
        <w:pStyle w:val="style0"/>
        <w:spacing w:after="240" w:lineRule="auto" w:line="360"/>
        <w:jc w:val="center"/>
        <w:rPr/>
      </w:pPr>
      <w:r>
        <w:t>(Source: Daley, 2025)</w:t>
      </w:r>
    </w:p>
    <w:p>
      <w:pPr>
        <w:pStyle w:val="style0"/>
        <w:spacing w:after="240" w:lineRule="auto" w:line="360"/>
        <w:jc w:val="both"/>
        <w:rPr/>
      </w:pPr>
      <w:r>
        <w:t>With respect to the UK, COPD is considered the main cause of morbidity and mortality, which remarkably influences the social care systems and the NHS. Therefore, the chronic and progressive nature of these diseases requires a proper multidisciplinary management which extends beyond the healthcare settings into a person-</w:t>
      </w:r>
      <w:r>
        <w:t>centred</w:t>
      </w:r>
      <w:r>
        <w:t xml:space="preserve"> as well as community-based care. </w:t>
      </w:r>
    </w:p>
    <w:p>
      <w:pPr>
        <w:pStyle w:val="style0"/>
        <w:spacing w:after="240" w:lineRule="auto" w:line="360"/>
        <w:jc w:val="both"/>
        <w:rPr/>
      </w:pPr>
      <w:r>
        <w:t>For the health and social care professionals who are actively engaged in supporting individuals living with COPD, this booklet is carefully designed. The key purpose of this study is to offer a holistic overview of the condition, its different implications and ultimately the effective management strategies. This study aims to investigate and analyses COPD as a long-term condition, critically assess the social, physical and psychological influence. It also seeks to travel over the evidence-based management approaches and professional frameworks and ultimately recommend some strategies for boosting self-management as well as person-</w:t>
      </w:r>
      <w:r>
        <w:t>centred</w:t>
      </w:r>
      <w:r>
        <w:t xml:space="preserve"> care. In essence, it can be asserted that effective management of COPD closely integrates with the Long Term Plan’s commitments of the NHS for decreasing the respiratory death while enhancing the quality of life for the people who are living their lives with COPD. </w:t>
      </w:r>
    </w:p>
    <w:bookmarkStart w:id="2" w:name="_Toc213838260"/>
    <w:p>
      <w:pPr>
        <w:pStyle w:val="style1"/>
        <w:spacing w:before="0" w:after="240"/>
        <w:rPr/>
      </w:pPr>
      <w:r>
        <w:t>2. Understanding COPD: Definition, Burden &amp; Risk Factors</w:t>
      </w:r>
      <w:bookmarkEnd w:id="2"/>
    </w:p>
    <w:bookmarkStart w:id="3" w:name="_Toc213838261"/>
    <w:p>
      <w:pPr>
        <w:pStyle w:val="style2"/>
        <w:spacing w:before="0" w:after="240"/>
        <w:rPr/>
      </w:pPr>
      <w:r>
        <w:t>2.1. Definition &amp; Nature of the Condition</w:t>
      </w:r>
      <w:bookmarkEnd w:id="3"/>
    </w:p>
    <w:p>
      <w:pPr>
        <w:pStyle w:val="style0"/>
        <w:spacing w:after="240" w:lineRule="auto" w:line="360"/>
        <w:jc w:val="both"/>
        <w:rPr/>
      </w:pPr>
      <w:r>
        <w:t xml:space="preserve">As per the WHO, Chronic obstructive pulmonary disease (COPD) can be explained as a common lung disease that causes breathing problems due to restricted airflows (WHO, 2024). Sometimes it is called chronic bronchitis or emphysema. </w:t>
      </w:r>
    </w:p>
    <w:p>
      <w:pPr>
        <w:pStyle w:val="style0"/>
        <w:spacing w:after="240" w:lineRule="auto" w:line="360"/>
        <w:jc w:val="center"/>
        <w:rPr>
          <w:b/>
          <w:bCs/>
        </w:rPr>
      </w:pPr>
      <w:r>
        <w:rPr>
          <w:b/>
          <w:bCs/>
          <w:noProof/>
          <w:lang w:bidi="gu-IN"/>
        </w:rPr>
        <w:drawing>
          <wp:inline distL="0" distT="0" distB="0" distR="0">
            <wp:extent cx="5572125" cy="3629025"/>
            <wp:effectExtent l="38100" t="38100" r="38100" b="3810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5572125" cy="3629025"/>
                    </a:xfrm>
                    <a:prstGeom prst="rect"/>
                    <a:ln cmpd="sng" cap="flat" w="38100">
                      <a:solidFill>
                        <a:srgbClr val="000000"/>
                      </a:solidFill>
                      <a:prstDash val="solid"/>
                      <a:round/>
                      <a:headEnd/>
                      <a:tailEnd/>
                    </a:ln>
                  </pic:spPr>
                </pic:pic>
              </a:graphicData>
            </a:graphic>
          </wp:inline>
        </w:drawing>
      </w:r>
    </w:p>
    <w:p>
      <w:pPr>
        <w:pStyle w:val="style4"/>
        <w:spacing w:before="0" w:after="240"/>
        <w:rPr/>
      </w:pPr>
      <w:r>
        <w:t>Figure 2: Annual no of COPD patients in the UK</w:t>
      </w:r>
    </w:p>
    <w:p>
      <w:pPr>
        <w:pStyle w:val="style0"/>
        <w:spacing w:after="240" w:lineRule="auto" w:line="360"/>
        <w:jc w:val="center"/>
        <w:rPr/>
      </w:pPr>
      <w:r>
        <w:t>(Source: Statista, 2016)</w:t>
      </w:r>
    </w:p>
    <w:p>
      <w:pPr>
        <w:pStyle w:val="style0"/>
        <w:spacing w:after="240" w:lineRule="auto" w:line="360"/>
        <w:jc w:val="both"/>
        <w:rPr/>
      </w:pPr>
      <w:r>
        <w:t xml:space="preserve">With respect to the UK, approximately 1.2 thousand people were diagnosed with COPD in the year 2011(Statista, 2016). However, COPD is not curable but its symptoms can be managed whether one avoids exposure to air pollution as well as smoking is vaccinated to prevent infections. Besides that, through pulmonary rehabilitation, oxygen and medicines, this long-term deceased can be improved. </w:t>
      </w:r>
    </w:p>
    <w:p>
      <w:pPr>
        <w:pStyle w:val="style0"/>
        <w:spacing w:after="240" w:lineRule="auto" w:line="360"/>
        <w:jc w:val="both"/>
        <w:rPr/>
      </w:pPr>
      <w:r>
        <w:t xml:space="preserve">Pathophysiological, the chronic inflammation of the airways alongside the lung tissues results in COPD, which is typically aggravated due to long-term exposure to smoking or air pollution. A report by NIH disclosed that this inflammation not only caused damage to the structure but also narrowed down the airways (National Library of Medicine, 2023). The surface area for exchange has decreased through the destruction of alveolar walls across emphysema, whereas the overproduction of mucus alongside airway obstruction caused through chronic bronchitis. Concurrently, these drastic changes often result in a limited airflow, damaged oxygen exchange and eventually progressive respiratory dysfunction. </w:t>
      </w:r>
    </w:p>
    <w:bookmarkStart w:id="4" w:name="_Toc213838262"/>
    <w:p>
      <w:pPr>
        <w:pStyle w:val="style2"/>
        <w:spacing w:before="0" w:after="240"/>
        <w:rPr/>
      </w:pPr>
      <w:r>
        <w:t>2.2. Epidemiology and Prevalence</w:t>
      </w:r>
      <w:bookmarkEnd w:id="4"/>
    </w:p>
    <w:p>
      <w:pPr>
        <w:pStyle w:val="style0"/>
        <w:spacing w:after="240" w:lineRule="auto" w:line="360"/>
        <w:jc w:val="both"/>
        <w:rPr/>
      </w:pPr>
      <w:r>
        <w:t xml:space="preserve">COPD, internationally, is represented as a fourth leading cause of death, which causes death of 3.5 million deaths in the financial year 2021, approximately 5% of all global deaths (WHO, 2024). On the other side, in the UK, approximately 1.2 million people are diagnosed, leading to estimated annual healthcare costs of £1.8 billion (Stone et al., 2022). Among the smokers, older adults and individuals who belong to the lower economic backgrounds, the prevalence of the risk is higher where exposure to the risk factors is more common. </w:t>
      </w:r>
    </w:p>
    <w:p>
      <w:pPr>
        <w:pStyle w:val="style0"/>
        <w:spacing w:after="240" w:lineRule="auto" w:line="360"/>
        <w:jc w:val="both"/>
        <w:rPr/>
      </w:pPr>
      <w:r>
        <w:t>During the winter months, when respiratory infections are more common, COPD poses as one of the primary causes of emergency hospital admission and causes strain on the NHS (</w:t>
      </w:r>
      <w:r>
        <w:t>Alwafi</w:t>
      </w:r>
      <w:r>
        <w:t xml:space="preserve"> et al., 2023). Therefore, an urgent need for early detection, profound management and ultimately public health initiatives with an aim for prevention of COPD cases is undermined through the high mortality alongside morbidity rates. </w:t>
      </w:r>
    </w:p>
    <w:bookmarkStart w:id="5" w:name="_Toc213838263"/>
    <w:p>
      <w:pPr>
        <w:pStyle w:val="style2"/>
        <w:spacing w:before="0" w:after="240"/>
        <w:rPr/>
      </w:pPr>
      <w:r>
        <w:t xml:space="preserve">2.3 Risk Factors / </w:t>
      </w:r>
      <w:r>
        <w:t>Aetiology</w:t>
      </w:r>
      <w:bookmarkEnd w:id="5"/>
    </w:p>
    <w:tbl>
      <w:tblPr>
        <w:tblStyle w:val="style4105"/>
        <w:tblW w:w="898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5985"/>
      </w:tblGrid>
      <w:tr>
        <w:trPr>
          <w:trHeight w:val="440" w:hRule="atLeast"/>
        </w:trPr>
        <w:tc>
          <w:tcPr>
            <w:tcW w:w="3000" w:type="dxa"/>
            <w:tcBorders/>
            <w:shd w:val="clear" w:color="auto" w:fill="d9ead3"/>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b/>
                <w:bCs/>
              </w:rPr>
            </w:pPr>
            <w:r>
              <w:rPr>
                <w:b/>
                <w:bCs/>
              </w:rPr>
              <w:t>Risk factors</w:t>
            </w:r>
          </w:p>
        </w:tc>
        <w:tc>
          <w:tcPr>
            <w:tcW w:w="5985" w:type="dxa"/>
            <w:tcBorders/>
            <w:shd w:val="clear" w:color="auto" w:fill="d9ead3"/>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b/>
                <w:bCs/>
              </w:rPr>
            </w:pPr>
            <w:r>
              <w:rPr>
                <w:b/>
                <w:bCs/>
              </w:rPr>
              <w:t>Description</w:t>
            </w:r>
          </w:p>
        </w:tc>
      </w:tr>
      <w:tr>
        <w:tblPrEx/>
        <w:trPr>
          <w:trHeight w:val="619" w:hRule="atLeast"/>
        </w:trPr>
        <w:tc>
          <w:tcPr>
            <w:tcW w:w="3000" w:type="dxa"/>
            <w:vMerge w:val="restart"/>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Primary factors:</w:t>
            </w:r>
          </w:p>
          <w:p>
            <w:pPr>
              <w:pStyle w:val="style0"/>
              <w:widowControl w:val="false"/>
              <w:spacing w:after="240" w:lineRule="auto" w:line="360"/>
              <w:jc w:val="both"/>
              <w:rPr>
                <w:b/>
                <w:bCs/>
              </w:rPr>
            </w:pPr>
          </w:p>
          <w:p>
            <w:pPr>
              <w:pStyle w:val="style0"/>
              <w:widowControl w:val="false"/>
              <w:numPr>
                <w:ilvl w:val="0"/>
                <w:numId w:val="1"/>
              </w:numPr>
              <w:spacing w:after="240" w:lineRule="auto" w:line="360"/>
              <w:jc w:val="both"/>
              <w:rPr/>
            </w:pPr>
            <w:r>
              <w:t xml:space="preserve">Smoking </w:t>
            </w:r>
          </w:p>
        </w:tc>
        <w:tc>
          <w:tcPr>
            <w:tcW w:w="5985" w:type="dxa"/>
            <w:vMerge w:val="restart"/>
            <w:tcBorders/>
            <w:shd w:val="clear" w:color="auto" w:fill="auto"/>
            <w:tcMar>
              <w:top w:w="100" w:type="dxa"/>
              <w:left w:w="100" w:type="dxa"/>
              <w:bottom w:w="100" w:type="dxa"/>
              <w:right w:w="100" w:type="dxa"/>
            </w:tcMar>
          </w:tcPr>
          <w:p>
            <w:pPr>
              <w:pStyle w:val="style0"/>
              <w:widowControl w:val="false"/>
              <w:numPr>
                <w:ilvl w:val="0"/>
                <w:numId w:val="2"/>
              </w:numPr>
              <w:pBdr>
                <w:left w:val="nil"/>
                <w:right w:val="nil"/>
                <w:top w:val="nil"/>
                <w:bottom w:val="nil"/>
                <w:between w:val="nil"/>
              </w:pBdr>
              <w:spacing w:after="240" w:lineRule="auto" w:line="360"/>
              <w:jc w:val="both"/>
              <w:rPr/>
            </w:pPr>
            <w:r>
              <w:t xml:space="preserve">It is responsible for 85-90% of COPD cases and also serves as a modifiable risk element. </w:t>
            </w:r>
          </w:p>
        </w:tc>
      </w:tr>
      <w:tr>
        <w:tblPrEx/>
        <w:trPr>
          <w:trHeight w:val="619" w:hRule="atLeast"/>
        </w:trPr>
        <w:tc>
          <w:tcPr>
            <w:tcW w:w="3000"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c>
          <w:tcPr>
            <w:tcW w:w="5985"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r>
      <w:tr>
        <w:tblPrEx/>
        <w:trPr>
          <w:trHeight w:val="619" w:hRule="atLeast"/>
        </w:trPr>
        <w:tc>
          <w:tcPr>
            <w:tcW w:w="3000" w:type="dxa"/>
            <w:vMerge w:val="restart"/>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 xml:space="preserve">Secondary factors: </w:t>
            </w:r>
          </w:p>
          <w:p>
            <w:pPr>
              <w:pStyle w:val="style0"/>
              <w:widowControl w:val="false"/>
              <w:numPr>
                <w:ilvl w:val="0"/>
                <w:numId w:val="3"/>
              </w:numPr>
              <w:pBdr>
                <w:left w:val="nil"/>
                <w:right w:val="nil"/>
                <w:top w:val="nil"/>
                <w:bottom w:val="nil"/>
                <w:between w:val="nil"/>
              </w:pBdr>
              <w:spacing w:after="240" w:lineRule="auto" w:line="360"/>
              <w:jc w:val="both"/>
              <w:rPr/>
            </w:pPr>
            <w:r>
              <w:t>Environmental pollutants</w:t>
            </w:r>
          </w:p>
          <w:p>
            <w:pPr>
              <w:pStyle w:val="style0"/>
              <w:widowControl w:val="false"/>
              <w:numPr>
                <w:ilvl w:val="0"/>
                <w:numId w:val="3"/>
              </w:numPr>
              <w:pBdr>
                <w:left w:val="nil"/>
                <w:right w:val="nil"/>
                <w:top w:val="nil"/>
                <w:bottom w:val="nil"/>
                <w:between w:val="nil"/>
              </w:pBdr>
              <w:spacing w:after="240" w:lineRule="auto" w:line="360"/>
              <w:jc w:val="both"/>
              <w:rPr/>
            </w:pPr>
            <w:r>
              <w:t>Occupational exposure</w:t>
            </w:r>
          </w:p>
          <w:p>
            <w:pPr>
              <w:pStyle w:val="style0"/>
              <w:widowControl w:val="false"/>
              <w:numPr>
                <w:ilvl w:val="0"/>
                <w:numId w:val="3"/>
              </w:numPr>
              <w:pBdr>
                <w:left w:val="nil"/>
                <w:right w:val="nil"/>
                <w:top w:val="nil"/>
                <w:bottom w:val="nil"/>
                <w:between w:val="nil"/>
              </w:pBdr>
              <w:spacing w:after="240" w:lineRule="auto" w:line="360"/>
              <w:jc w:val="both"/>
              <w:rPr/>
            </w:pPr>
            <w:r>
              <w:t>Genetic factor</w:t>
            </w:r>
          </w:p>
        </w:tc>
        <w:tc>
          <w:tcPr>
            <w:tcW w:w="5985" w:type="dxa"/>
            <w:vMerge w:val="restart"/>
            <w:tcBorders/>
            <w:shd w:val="clear" w:color="auto" w:fill="auto"/>
            <w:tcMar>
              <w:top w:w="100" w:type="dxa"/>
              <w:left w:w="100" w:type="dxa"/>
              <w:bottom w:w="100" w:type="dxa"/>
              <w:right w:w="100" w:type="dxa"/>
            </w:tcMar>
          </w:tcPr>
          <w:p>
            <w:pPr>
              <w:pStyle w:val="style0"/>
              <w:widowControl w:val="false"/>
              <w:numPr>
                <w:ilvl w:val="0"/>
                <w:numId w:val="4"/>
              </w:numPr>
              <w:pBdr>
                <w:left w:val="nil"/>
                <w:right w:val="nil"/>
                <w:top w:val="nil"/>
                <w:bottom w:val="nil"/>
                <w:between w:val="nil"/>
              </w:pBdr>
              <w:spacing w:after="240" w:lineRule="auto" w:line="360"/>
              <w:jc w:val="both"/>
              <w:rPr/>
            </w:pPr>
            <w:r>
              <w:t xml:space="preserve">Lung damage caused due to long-term exposure to indoor smoke and air pollution. </w:t>
            </w:r>
          </w:p>
          <w:p>
            <w:pPr>
              <w:pStyle w:val="style0"/>
              <w:widowControl w:val="false"/>
              <w:numPr>
                <w:ilvl w:val="0"/>
                <w:numId w:val="4"/>
              </w:numPr>
              <w:pBdr>
                <w:left w:val="nil"/>
                <w:right w:val="nil"/>
                <w:top w:val="nil"/>
                <w:bottom w:val="nil"/>
                <w:between w:val="nil"/>
              </w:pBdr>
              <w:spacing w:after="240" w:lineRule="auto" w:line="360"/>
              <w:jc w:val="both"/>
              <w:rPr/>
            </w:pPr>
            <w:r>
              <w:t xml:space="preserve">In prospect of manual as well as industrial jobs, dust, fumes, and chemicals </w:t>
            </w:r>
            <w:r>
              <w:t>maximise</w:t>
            </w:r>
            <w:r>
              <w:t xml:space="preserve"> the risk (</w:t>
            </w:r>
            <w:r>
              <w:t>Breathefree</w:t>
            </w:r>
            <w:r>
              <w:t xml:space="preserve">, 2025). </w:t>
            </w:r>
          </w:p>
          <w:p>
            <w:pPr>
              <w:pStyle w:val="style0"/>
              <w:widowControl w:val="false"/>
              <w:numPr>
                <w:ilvl w:val="0"/>
                <w:numId w:val="4"/>
              </w:numPr>
              <w:pBdr>
                <w:left w:val="nil"/>
                <w:right w:val="nil"/>
                <w:top w:val="nil"/>
                <w:bottom w:val="nil"/>
                <w:between w:val="nil"/>
              </w:pBdr>
              <w:spacing w:after="240" w:lineRule="auto" w:line="360"/>
              <w:jc w:val="both"/>
              <w:rPr/>
            </w:pPr>
            <w:r>
              <w:t>Individuals are exposed to early-onset emphysema because of Alpha-1 antitrypsin deficiency.</w:t>
            </w:r>
          </w:p>
        </w:tc>
      </w:tr>
      <w:tr>
        <w:tblPrEx/>
        <w:trPr>
          <w:trHeight w:val="619" w:hRule="atLeast"/>
        </w:trPr>
        <w:tc>
          <w:tcPr>
            <w:tcW w:w="3000"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c>
          <w:tcPr>
            <w:tcW w:w="5985"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r>
      <w:tr>
        <w:tblPrEx/>
        <w:trPr>
          <w:trHeight w:val="619" w:hRule="atLeast"/>
        </w:trPr>
        <w:tc>
          <w:tcPr>
            <w:tcW w:w="3000"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c>
          <w:tcPr>
            <w:tcW w:w="5985"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r>
      <w:tr>
        <w:tblPrEx/>
        <w:trPr>
          <w:trHeight w:val="619" w:hRule="atLeast"/>
        </w:trPr>
        <w:tc>
          <w:tcPr>
            <w:tcW w:w="3000"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c>
          <w:tcPr>
            <w:tcW w:w="5985" w:type="dxa"/>
            <w:vMerge w:val="continue"/>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rPr/>
            </w:pPr>
          </w:p>
        </w:tc>
      </w:tr>
      <w:tr>
        <w:tblPrEx/>
        <w:trPr>
          <w:trHeight w:val="440" w:hRule="atLeast"/>
        </w:trPr>
        <w:tc>
          <w:tcPr>
            <w:tcW w:w="30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Social inequalities:</w:t>
            </w:r>
          </w:p>
        </w:tc>
        <w:tc>
          <w:tcPr>
            <w:tcW w:w="598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 xml:space="preserve">In deprived rural and urban areas, the manual workers from different industries are exposed to these significant risk factors. </w:t>
            </w:r>
          </w:p>
        </w:tc>
      </w:tr>
    </w:tbl>
    <w:p>
      <w:pPr>
        <w:pStyle w:val="style5"/>
        <w:spacing w:before="0" w:after="240"/>
        <w:rPr/>
      </w:pPr>
      <w:r>
        <w:t xml:space="preserve">Table 1: Risk factors </w:t>
      </w:r>
    </w:p>
    <w:p>
      <w:pPr>
        <w:pStyle w:val="style0"/>
        <w:spacing w:after="240" w:lineRule="auto" w:line="360"/>
        <w:jc w:val="center"/>
        <w:rPr/>
      </w:pPr>
      <w:r>
        <w:t>(Source: Self-developed)</w:t>
      </w:r>
    </w:p>
    <w:p>
      <w:pPr>
        <w:pStyle w:val="style0"/>
        <w:spacing w:after="240" w:lineRule="auto" w:line="360"/>
        <w:jc w:val="both"/>
        <w:rPr/>
      </w:pPr>
      <w:r>
        <w:t xml:space="preserve">Concurrently, all of these risk elements significantly contribute to the development, progression, alongside disparities of COPD across the health outcomes. </w:t>
      </w:r>
    </w:p>
    <w:bookmarkStart w:id="6" w:name="_Toc213838264"/>
    <w:p>
      <w:pPr>
        <w:pStyle w:val="style2"/>
        <w:spacing w:before="0" w:after="240"/>
        <w:rPr/>
      </w:pPr>
      <w:r>
        <w:t>2.4 Burden on Healthcare</w:t>
      </w:r>
      <w:bookmarkEnd w:id="6"/>
    </w:p>
    <w:p>
      <w:pPr>
        <w:pStyle w:val="style0"/>
        <w:spacing w:after="240" w:lineRule="auto" w:line="360"/>
        <w:jc w:val="both"/>
        <w:rPr/>
      </w:pPr>
      <w:r>
        <w:t xml:space="preserve">COPD places a remarkable burden on the healthcare systems and society. A report by the NHS disclosed that, in respect of UK, COPD is the second largest cause of emergency hospital admissions, with the overall burden of costing the NHS £1.9 billion a year (NHS, 2025). In total, all lung conditions, incorporating lung cancer, directly cost the NHS across the UK an estimated at £11billion per annum. Therefore, effective management of these crucial issues requires decreasing the exacerbations, preventing the avoidable admissions and ultimately guiding the patients across the community and health setting with the help of a multidisciplinary approach. </w:t>
      </w:r>
    </w:p>
    <w:bookmarkStart w:id="7" w:name="_Toc213838265"/>
    <w:p>
      <w:pPr>
        <w:pStyle w:val="style1"/>
        <w:spacing w:before="0" w:after="240"/>
        <w:rPr/>
      </w:pPr>
      <w:r>
        <w:t>3. Impact of COPD on Individuals and Families</w:t>
      </w:r>
      <w:bookmarkEnd w:id="7"/>
    </w:p>
    <w:p>
      <w:pPr>
        <w:pStyle w:val="style0"/>
        <w:spacing w:after="240" w:lineRule="auto" w:line="360"/>
        <w:jc w:val="both"/>
        <w:rPr/>
      </w:pPr>
      <w:r>
        <w:t xml:space="preserve">Both the individuals and the families get affected through COPD in diverse domains like social, physical and psychological, which </w:t>
      </w:r>
      <w:r>
        <w:t>emphasises</w:t>
      </w:r>
      <w:r>
        <w:t xml:space="preserve"> the profound needs for a cohesive as well as person-</w:t>
      </w:r>
      <w:r>
        <w:t>centred</w:t>
      </w:r>
      <w:r>
        <w:t xml:space="preserve"> approach as highlighted in Engel’s Biopsychosocial Model (Engel, 2003).</w:t>
      </w:r>
    </w:p>
    <w:bookmarkStart w:id="8" w:name="_Toc213838266"/>
    <w:p>
      <w:pPr>
        <w:pStyle w:val="style2"/>
        <w:spacing w:before="0" w:after="240"/>
        <w:rPr/>
      </w:pPr>
      <w:r>
        <w:t>3.1 Physical Impacts</w:t>
      </w:r>
      <w:bookmarkEnd w:id="8"/>
    </w:p>
    <w:p>
      <w:pPr>
        <w:pStyle w:val="style0"/>
        <w:spacing w:after="240" w:lineRule="auto" w:line="360"/>
        <w:jc w:val="both"/>
        <w:rPr/>
      </w:pPr>
      <w:r>
        <w:t xml:space="preserve">Chronic cough, consistent breathlessness, fatigue, alongside progressive functional declines are the key physical impacts of COPD, which not only hamper the daily activities of individuals but also limit their independence. Due to these diseases, patients often experience a growing threat of respiratory infections, which sometimes trigger emergency admission to hospitals and long-term health issues. As illustrated by </w:t>
      </w:r>
      <w:r>
        <w:t>Berk</w:t>
      </w:r>
      <w:r>
        <w:t xml:space="preserve"> et al., (2023), this physical burden is further intensified through different comorbidities like depression, anxiety, and cardiovascular diseases. It significantly contributes to entangling both the management and recovery of diseases. Decline in physical resilience and quality of life occurred through the joint effects of these crucial symptoms.  </w:t>
      </w:r>
    </w:p>
    <w:p>
      <w:pPr>
        <w:pStyle w:val="style0"/>
        <w:spacing w:after="240" w:lineRule="auto" w:line="360"/>
        <w:jc w:val="both"/>
        <w:rPr/>
      </w:pPr>
      <w:r>
        <w:rPr>
          <w:noProof/>
        </w:rPr>
      </w:r>
      <w:r>
        <w:rPr>
          <w:noProof/>
        </w:rPr>
      </w:r>
      <w:r>
        <w:rPr>
          <w:noProof/>
        </w:rPr>
      </w:r>
      <w:r>
        <w:rPr>
          <w:noProof/>
        </w:rPr>
        <w:pict>
          <v:group id="1028" filled="f" stroked="f" style="margin-left:0.0pt;margin-top:0.0pt;width:486.75pt;height:252.0pt;mso-wrap-distance-left:0.0pt;mso-wrap-distance-right:0.0pt;visibility:visible;" coordsize="61817,32004">
            <v:group id="1029" filled="f" stroked="f" style="position:absolute;left:0;top:0;width:61817;height:32004;z-index:3;mso-position-horizontal-relative:text;mso-position-vertical-relative:text;mso-width-relative:page;mso-height-relative:page;visibility:visible;" coordsize="61817,32004">
              <v:rect id="1030" filled="f" stroked="f" style="position:absolute;left:0;top:0;width:61817;height:32004;z-index:4;mso-position-horizontal-relative:text;mso-position-vertical-relative:text;mso-width-relative:page;mso-height-relative:page;visibility:visible;v-text-anchor:middle;">
                <v:stroke on="f"/>
                <v:fill/>
                <v:textbox inset="7.2pt,7.2pt,7.2pt,7.2pt">
                  <w:txbxContent>
                    <w:p>
                      <w:pPr>
                        <w:pStyle w:val="style0"/>
                        <w:spacing w:lineRule="auto" w:line="240"/>
                        <w:textDirection w:val="btLr"/>
                        <w:rPr/>
                      </w:pP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032" type="#_x0000_t13" adj="19064,2700," fillcolor="white" style="position:absolute;left:25513;top:6799;width:32369;height:7604;z-index:5;mso-position-horizontal-relative:text;mso-position-vertical-relative:text;mso-width-relative:page;mso-height-relative:page;visibility:visible;v-text-anchor:middle;">
                <v:stroke startarrowwidth="narrow" startarrowlength="short" endarrowwidth="narrow" endarrowlength="short" color="#f79543" opacity="58853f" weight="2.0pt"/>
                <v:fill opacity="58853f"/>
                <v:path textboxrect="0,@1,@6,@2" o:connecttype="custom" o:connectlocs="@0,0;0,10800;@0,21600;21600,10800" o:connectangles="270.0,180.0,90.0,0.0"/>
                <v:textbox inset="7.2pt,7.2pt,7.2pt,7.2pt">
                  <w:txbxContent>
                    <w:p>
                      <w:pPr>
                        <w:pStyle w:val="style0"/>
                        <w:spacing w:lineRule="auto" w:line="240"/>
                        <w:textDirection w:val="btLr"/>
                        <w:rPr/>
                      </w:pPr>
                    </w:p>
                  </w:txbxContent>
                </v:textbox>
              </v:shape>
              <v:shapetype id="_x0000_t202" coordsize="21600,21600" o:spt="202" path="m,l,21600r21600,l21600,xe">
                <v:stroke joinstyle="miter"/>
                <v:path gradientshapeok="t" o:connecttype="rect"/>
              </v:shapetype>
              <v:shape id="1034" type="#_x0000_t202" filled="f" stroked="f" style="position:absolute;left:25513;top:7749;width:29517;height:5703;z-index:6;mso-position-horizontal-relative:text;mso-position-vertical-relative:text;mso-width-relative:page;mso-height-relative:page;visibility:visible;">
                <v:stroke on="f" joinstyle="miter"/>
                <v:fill/>
                <v:path o:connecttype="rect" gradientshapeok="t"/>
                <v:textbox inset="0.8pt,0.8pt,0.8pt,0.8pt">
                  <w:txbxContent>
                    <w:p>
                      <w:pPr>
                        <w:pStyle w:val="style0"/>
                        <w:spacing w:lineRule="auto" w:line="215"/>
                        <w:ind w:left="270" w:firstLine="160"/>
                        <w:textDirection w:val="btLr"/>
                        <w:rPr/>
                      </w:pPr>
                      <w:r>
                        <w:rPr>
                          <w:b/>
                          <w:color w:val="000000"/>
                          <w:sz w:val="32"/>
                        </w:rPr>
                        <w:t>Chronic cough</w:t>
                      </w:r>
                    </w:p>
                    <w:p>
                      <w:pPr>
                        <w:pStyle w:val="style0"/>
                        <w:spacing w:before="48" w:lineRule="auto" w:line="215"/>
                        <w:ind w:left="270" w:firstLine="160"/>
                        <w:textDirection w:val="btLr"/>
                        <w:rPr/>
                      </w:pPr>
                      <w:r>
                        <w:rPr>
                          <w:b/>
                          <w:color w:val="000000"/>
                          <w:sz w:val="32"/>
                        </w:rPr>
                        <w:t>Shortness of breath</w:t>
                      </w:r>
                    </w:p>
                  </w:txbxContent>
                </v:textbox>
              </v:shape>
              <v:roundrect id="1035" arcsize="0.16666667," stroked="t" style="position:absolute;left:3934;top:6799;width:21579;height:7604;z-index:7;mso-position-horizontal-relative:text;mso-position-vertical-relative:text;mso-width-relative:page;mso-height-relative:page;visibility:visible;v-text-anchor:middle;">
                <v:stroke startarrowwidth="narrow" startarrowlength="short" endarrowwidth="narrow" endarrowlength="short" color="#df873f" weight="3.0pt"/>
                <v:fill/>
                <v:shadow on="t" color="black" offset="0.0pt,1.5748158pt" offset2="-2.0pt,-2.0pt" opacity="24672f" origin=",0.5"/>
                <v:textbox inset="7.2pt,7.2pt,7.2pt,7.2pt">
                  <w:txbxContent>
                    <w:p>
                      <w:pPr>
                        <w:pStyle w:val="style0"/>
                        <w:spacing w:lineRule="auto" w:line="240"/>
                        <w:textDirection w:val="btLr"/>
                        <w:rPr/>
                      </w:pPr>
                    </w:p>
                  </w:txbxContent>
                </v:textbox>
              </v:roundrect>
              <v:shape id="1036" type="#_x0000_t202" filled="f" stroked="f" style="position:absolute;left:4306;top:7170;width:20836;height:6862;z-index:8;mso-position-horizontal-relative:text;mso-position-vertical-relative:text;mso-width-relative:page;mso-height-relative:page;visibility:visible;v-text-anchor:middle;">
                <v:stroke on="f" joinstyle="miter"/>
                <v:fill/>
                <v:path o:connecttype="rect" gradientshapeok="t"/>
                <v:textbox inset="4.8pt,2.4pt,4.8pt,2.4pt">
                  <w:txbxContent>
                    <w:p>
                      <w:pPr>
                        <w:pStyle w:val="style0"/>
                        <w:spacing w:lineRule="auto" w:line="215"/>
                        <w:jc w:val="center"/>
                        <w:textDirection w:val="btLr"/>
                        <w:rPr/>
                      </w:pPr>
                      <w:r>
                        <w:rPr>
                          <w:b/>
                          <w:color w:val="000000"/>
                          <w:sz w:val="32"/>
                        </w:rPr>
                        <w:t>Respiratory symptoms</w:t>
                      </w:r>
                    </w:p>
                  </w:txbxContent>
                </v:textbox>
              </v:shape>
              <v:shape id="1037" type="#_x0000_t13" adj="19064,2700," fillcolor="white" style="position:absolute;left:25513;top:17600;width:32369;height:7604;z-index:9;mso-position-horizontal-relative:text;mso-position-vertical-relative:text;mso-width-relative:page;mso-height-relative:page;visibility:visible;v-text-anchor:middle;">
                <v:stroke startarrowwidth="narrow" startarrowlength="short" endarrowwidth="narrow" endarrowlength="short" color="#f79543" opacity="58853f" weight="2.0pt"/>
                <v:fill opacity="58853f"/>
                <v:path textboxrect="0,@1,@6,@2" o:connecttype="custom" o:connectlocs="@0,0;0,10800;@0,21600;21600,10800" o:connectangles="270.0,180.0,90.0,0.0"/>
                <v:textbox inset="7.2pt,7.2pt,7.2pt,7.2pt">
                  <w:txbxContent>
                    <w:p>
                      <w:pPr>
                        <w:pStyle w:val="style0"/>
                        <w:spacing w:lineRule="auto" w:line="240"/>
                        <w:textDirection w:val="btLr"/>
                        <w:rPr/>
                      </w:pPr>
                    </w:p>
                  </w:txbxContent>
                </v:textbox>
              </v:shape>
              <v:shape id="1038" type="#_x0000_t202" filled="f" stroked="f" style="position:absolute;left:25513;top:18551;width:29517;height:5703;z-index:10;mso-position-horizontal-relative:text;mso-position-vertical-relative:text;mso-width-relative:page;mso-height-relative:page;visibility:visible;">
                <v:stroke on="f" joinstyle="miter"/>
                <v:fill/>
                <v:path o:connecttype="rect" gradientshapeok="t"/>
                <v:textbox inset="0.8pt,0.8pt,0.8pt,0.8pt">
                  <w:txbxContent>
                    <w:p>
                      <w:pPr>
                        <w:pStyle w:val="style0"/>
                        <w:spacing w:lineRule="auto" w:line="215"/>
                        <w:ind w:left="270" w:firstLine="160"/>
                        <w:textDirection w:val="btLr"/>
                        <w:rPr/>
                      </w:pPr>
                      <w:r>
                        <w:rPr>
                          <w:b/>
                          <w:color w:val="000000"/>
                          <w:sz w:val="32"/>
                        </w:rPr>
                        <w:t>Reduced physical ability</w:t>
                      </w:r>
                    </w:p>
                    <w:p>
                      <w:pPr>
                        <w:pStyle w:val="style0"/>
                        <w:spacing w:before="48" w:lineRule="auto" w:line="215"/>
                        <w:ind w:left="270" w:firstLine="160"/>
                        <w:textDirection w:val="btLr"/>
                        <w:rPr/>
                      </w:pPr>
                      <w:r>
                        <w:rPr>
                          <w:b/>
                          <w:color w:val="000000"/>
                          <w:sz w:val="32"/>
                        </w:rPr>
                        <w:t>Difficulty with daily tasks</w:t>
                      </w:r>
                    </w:p>
                  </w:txbxContent>
                </v:textbox>
              </v:shape>
              <v:roundrect id="1039" arcsize="0.16666667," stroked="t" style="position:absolute;left:3934;top:17600;width:21579;height:7604;z-index:11;mso-position-horizontal-relative:text;mso-position-vertical-relative:text;mso-width-relative:page;mso-height-relative:page;visibility:visible;v-text-anchor:middle;">
                <v:stroke startarrowwidth="narrow" startarrowlength="short" endarrowwidth="narrow" endarrowlength="short" color="#df873f" weight="3.0pt"/>
                <v:fill/>
                <v:shadow on="t" color="black" offset="0.0pt,1.5748158pt" offset2="-2.0pt,-2.0pt" opacity="24672f" origin=",0.5"/>
                <v:textbox inset="7.2pt,7.2pt,7.2pt,7.2pt">
                  <w:txbxContent>
                    <w:p>
                      <w:pPr>
                        <w:pStyle w:val="style0"/>
                        <w:spacing w:lineRule="auto" w:line="240"/>
                        <w:textDirection w:val="btLr"/>
                        <w:rPr/>
                      </w:pPr>
                    </w:p>
                  </w:txbxContent>
                </v:textbox>
              </v:roundrect>
              <v:shape id="1040" type="#_x0000_t202" filled="f" stroked="f" style="position:absolute;left:4306;top:17971;width:20836;height:6862;z-index:12;mso-position-horizontal-relative:text;mso-position-vertical-relative:text;mso-width-relative:page;mso-height-relative:page;visibility:visible;v-text-anchor:middle;">
                <v:stroke on="f" joinstyle="miter"/>
                <v:fill/>
                <v:path o:connecttype="rect" gradientshapeok="t"/>
                <v:textbox inset="4.8pt,2.4pt,4.8pt,2.4pt">
                  <w:txbxContent>
                    <w:p>
                      <w:pPr>
                        <w:pStyle w:val="style0"/>
                        <w:spacing w:lineRule="auto" w:line="215"/>
                        <w:jc w:val="center"/>
                        <w:textDirection w:val="btLr"/>
                        <w:rPr/>
                      </w:pPr>
                      <w:r>
                        <w:rPr>
                          <w:b/>
                          <w:color w:val="000000"/>
                          <w:sz w:val="32"/>
                        </w:rPr>
                        <w:t>Progressive functional limitations</w:t>
                      </w:r>
                    </w:p>
                  </w:txbxContent>
                </v:textbox>
              </v:shape>
              <v:fill/>
            </v:group>
            <w10:anchorlock/>
            <v:fill rotate="true"/>
          </v:group>
        </w:pict>
      </w:r>
      <w:r>
        <w:rPr>
          <w:noProof/>
        </w:rPr>
      </w:r>
      <w:r>
        <w:rPr>
          <w:noProof/>
        </w:rPr>
      </w:r>
    </w:p>
    <w:p>
      <w:pPr>
        <w:pStyle w:val="style4"/>
        <w:spacing w:before="0" w:after="240"/>
        <w:rPr>
          <w:sz w:val="22"/>
          <w:szCs w:val="22"/>
        </w:rPr>
      </w:pPr>
      <w:r>
        <w:t xml:space="preserve">Figure 3: </w:t>
      </w:r>
      <w:r>
        <w:rPr>
          <w:sz w:val="22"/>
          <w:szCs w:val="22"/>
        </w:rPr>
        <w:t>Physical Impacts</w:t>
      </w:r>
      <w:r>
        <w:t xml:space="preserve"> of COPD</w:t>
      </w:r>
    </w:p>
    <w:p>
      <w:pPr>
        <w:pStyle w:val="style0"/>
        <w:spacing w:after="240" w:lineRule="auto" w:line="360"/>
        <w:jc w:val="center"/>
        <w:rPr/>
      </w:pPr>
      <w:r>
        <w:t>(Source: Self-developed)</w:t>
      </w:r>
    </w:p>
    <w:bookmarkStart w:id="9" w:name="_Toc213838267"/>
    <w:p>
      <w:pPr>
        <w:pStyle w:val="style2"/>
        <w:spacing w:before="0" w:after="240"/>
        <w:rPr/>
      </w:pPr>
      <w:r>
        <w:t>3.2 Psychological Impacts</w:t>
      </w:r>
      <w:bookmarkEnd w:id="9"/>
    </w:p>
    <w:p>
      <w:pPr>
        <w:pStyle w:val="style0"/>
        <w:spacing w:after="240" w:lineRule="auto" w:line="360"/>
        <w:jc w:val="both"/>
        <w:rPr/>
      </w:pPr>
      <w:r>
        <w:t>COPD has a remarkable psychological influence on individuals, incorporating higher rates of anxiety and depression, which are connected to physical symptoms like fatigue and shortness of breath. Data disclosed that approximately 25% of individuals with severe COPD get affected by depression (</w:t>
      </w:r>
      <w:r>
        <w:t>Corlateanu</w:t>
      </w:r>
      <w:r>
        <w:t xml:space="preserve"> et al., 2025). Despite this significant influence, psychological distress within COPD is sometimes undertreated. Therefore, it can be asserted that managing the psychological influence of these crucial diseases requires a cohesive approach which will not only help in coping with a serious illness but also have a considerable influence on patients. </w:t>
      </w:r>
    </w:p>
    <w:bookmarkStart w:id="10" w:name="_Toc213838268"/>
    <w:p>
      <w:pPr>
        <w:pStyle w:val="style2"/>
        <w:spacing w:before="0" w:after="240"/>
        <w:rPr/>
      </w:pPr>
      <w:r>
        <w:t>3.3 Social Impacts</w:t>
      </w:r>
      <w:bookmarkEnd w:id="10"/>
    </w:p>
    <w:p>
      <w:pPr>
        <w:pStyle w:val="style0"/>
        <w:spacing w:after="240" w:lineRule="auto" w:line="360"/>
        <w:jc w:val="both"/>
        <w:rPr/>
      </w:pPr>
      <w:r>
        <w:t xml:space="preserve">Apart from the physical and psychological impact, COPD significantly influences the social life of individuals. Since COPD causes functional limitations, it leads patients towards early retirement or loss of employment, and thus it causes monetary constraints (Buttery et al., 2021). On the other side, families of the patients have to bear a huge cost of caregiving burden, managing oxygen therapy, and ultimately giving mobility assistance as well as emotional support. </w:t>
      </w:r>
      <w:r>
        <w:t>Punekar</w:t>
      </w:r>
      <w:r>
        <w:t xml:space="preserve"> et al., (2014) revealed in their research that managing COPD requires a high cost estimated as £2,063 for mild-moderate patients. Furthermore, different case studies from the NHS patient voices highlight the everyday issues of COPD patients, which </w:t>
      </w:r>
      <w:r>
        <w:t>emphasise</w:t>
      </w:r>
      <w:r>
        <w:t xml:space="preserve"> the need for a sense of integrated </w:t>
      </w:r>
    </w:p>
    <w:bookmarkStart w:id="11" w:name="_Toc213838269"/>
    <w:p>
      <w:pPr>
        <w:pStyle w:val="style1"/>
        <w:spacing w:before="0" w:after="240"/>
        <w:rPr/>
      </w:pPr>
      <w:r>
        <w:t>4. Evidence-Based Management and Treatment</w:t>
      </w:r>
      <w:bookmarkEnd w:id="11"/>
    </w:p>
    <w:p>
      <w:pPr>
        <w:pStyle w:val="style0"/>
        <w:spacing w:after="240" w:lineRule="auto" w:line="360"/>
        <w:jc w:val="both"/>
        <w:rPr/>
      </w:pPr>
      <w:r>
        <w:t>NICE NG115 (2023), which fosters a sense of holistic, evidence-based, as well as person-</w:t>
      </w:r>
      <w:r>
        <w:t>centred</w:t>
      </w:r>
      <w:r>
        <w:t xml:space="preserve"> approach, are responsible for effective management of COPD within the healthcare settings of the UK. </w:t>
      </w:r>
    </w:p>
    <w:bookmarkStart w:id="12" w:name="_Toc213838270"/>
    <w:p>
      <w:pPr>
        <w:pStyle w:val="style2"/>
        <w:spacing w:before="0" w:after="240"/>
        <w:rPr/>
      </w:pPr>
      <w:r>
        <w:t>4.1 Clinical Management – NICE NG115 (2023)</w:t>
      </w:r>
      <w:bookmarkEnd w:id="12"/>
    </w:p>
    <w:p>
      <w:pPr>
        <w:pStyle w:val="style0"/>
        <w:spacing w:after="240" w:lineRule="auto" w:line="360"/>
        <w:jc w:val="both"/>
        <w:rPr/>
      </w:pPr>
      <w:r>
        <w:t xml:space="preserve">NICE NG115 is a crucial guideline for the diagnosis as well as profound management of COPD in adults aged 16 and over. Initially updated in July 2019, these guidelines offer actionable recommendations for assisting patients who have received an earlier diagnosis and have benefited from treatments which not only diminish the symptoms but also enhance the quality of life. </w:t>
      </w:r>
    </w:p>
    <w:tbl>
      <w:tblPr>
        <w:tblStyle w:val="style4106"/>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00"/>
        <w:gridCol w:w="6600"/>
      </w:tblGrid>
      <w:tr>
        <w:trPr>
          <w:trHeight w:val="440" w:hRule="atLeast"/>
        </w:trPr>
        <w:tc>
          <w:tcPr>
            <w:tcW w:w="9000" w:type="dxa"/>
            <w:gridSpan w:val="2"/>
            <w:tcBorders/>
            <w:shd w:val="clear" w:color="auto" w:fill="fff2cc"/>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pPr>
            <w:r>
              <w:rPr>
                <w:b/>
                <w:bCs/>
              </w:rPr>
              <w:t>Initial treatment</w:t>
            </w:r>
          </w:p>
        </w:tc>
      </w:tr>
      <w:tr>
        <w:tblPrEx/>
        <w:trPr/>
        <w:tc>
          <w:tcPr>
            <w:tcW w:w="2400" w:type="dxa"/>
            <w:tcBorders/>
            <w:shd w:val="clear" w:color="auto" w:fill="d9ead3"/>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Group A</w:t>
            </w:r>
          </w:p>
        </w:tc>
        <w:tc>
          <w:tcPr>
            <w:tcW w:w="66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Bronchodilator (SABA, LABA, or LAMA).</w:t>
            </w:r>
          </w:p>
        </w:tc>
      </w:tr>
      <w:tr>
        <w:tblPrEx/>
        <w:trPr/>
        <w:tc>
          <w:tcPr>
            <w:tcW w:w="2400" w:type="dxa"/>
            <w:tcBorders/>
            <w:shd w:val="clear" w:color="auto" w:fill="d9ead3"/>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Group B</w:t>
            </w:r>
          </w:p>
        </w:tc>
        <w:tc>
          <w:tcPr>
            <w:tcW w:w="66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 xml:space="preserve">Long-acting bronchodilator amalgamation (LAMA and LABA), ideally across a single inhaler. </w:t>
            </w:r>
          </w:p>
        </w:tc>
      </w:tr>
      <w:tr>
        <w:tblPrEx/>
        <w:trPr/>
        <w:tc>
          <w:tcPr>
            <w:tcW w:w="2400" w:type="dxa"/>
            <w:tcBorders/>
            <w:shd w:val="clear" w:color="auto" w:fill="d9ead3"/>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b/>
                <w:bCs/>
              </w:rPr>
            </w:pPr>
            <w:r>
              <w:rPr>
                <w:b/>
                <w:bCs/>
              </w:rPr>
              <w:t>Group c</w:t>
            </w:r>
          </w:p>
        </w:tc>
        <w:tc>
          <w:tcPr>
            <w:tcW w:w="66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Amalgamation of LABA and LAMA, while considering adding inhaled corticosteroids, whether the count of eosinophils is over 300 (</w:t>
            </w:r>
            <w:r>
              <w:t>Savran</w:t>
            </w:r>
            <w:r>
              <w:t xml:space="preserve"> et al., 2021)</w:t>
            </w:r>
          </w:p>
        </w:tc>
      </w:tr>
    </w:tbl>
    <w:p>
      <w:pPr>
        <w:pStyle w:val="style5"/>
        <w:spacing w:before="0" w:after="240"/>
        <w:rPr/>
      </w:pPr>
      <w:r>
        <w:t xml:space="preserve">Table 2: Initial treatment </w:t>
      </w:r>
    </w:p>
    <w:p>
      <w:pPr>
        <w:pStyle w:val="style0"/>
        <w:spacing w:after="240" w:lineRule="auto" w:line="360"/>
        <w:jc w:val="center"/>
        <w:rPr/>
      </w:pPr>
      <w:r>
        <w:t>(Source: Self-developed)</w:t>
      </w:r>
    </w:p>
    <w:p>
      <w:pPr>
        <w:pStyle w:val="style0"/>
        <w:spacing w:after="240" w:lineRule="auto" w:line="360"/>
        <w:jc w:val="both"/>
        <w:rPr/>
      </w:pPr>
      <w:r>
        <w:t xml:space="preserve">Apart from this, Pharmacological interventions, non-pharmacological interventions, measures like vaccinations, oxygen therapy and pulmonary rehabilitation, also play a significant role across enhancing the quality of life. </w:t>
      </w:r>
    </w:p>
    <w:bookmarkStart w:id="13" w:name="_Toc213838271"/>
    <w:p>
      <w:pPr>
        <w:pStyle w:val="style2"/>
        <w:spacing w:before="0" w:after="240"/>
        <w:rPr/>
      </w:pPr>
      <w:r>
        <w:t>4.2 Multidisciplinary Team (MDT) Approach</w:t>
      </w:r>
      <w:bookmarkEnd w:id="13"/>
    </w:p>
    <w:p>
      <w:pPr>
        <w:pStyle w:val="style0"/>
        <w:spacing w:after="240" w:lineRule="auto" w:line="360"/>
        <w:jc w:val="both"/>
        <w:rPr/>
      </w:pPr>
      <w:r>
        <w:t xml:space="preserve">A coordinated MDT incorporating respiratory nurses, occupational therapists, dietitians, psychologists, and social workers alongside GPs is required for giving optimal care to COPD patients. As illustrated by </w:t>
      </w:r>
      <w:r>
        <w:t>Aitken</w:t>
      </w:r>
      <w:r>
        <w:t xml:space="preserve"> and </w:t>
      </w:r>
      <w:r>
        <w:t>Lavery</w:t>
      </w:r>
      <w:r>
        <w:t xml:space="preserve"> (2024) in this perspective, community matrons play a monumental role across providing patient-</w:t>
      </w:r>
      <w:r>
        <w:t>centred</w:t>
      </w:r>
      <w:r>
        <w:t xml:space="preserve"> care, especially to patients who have complex medical needs. Furthermore, for detecting the early increases alongside averting emergency admissions to hospitals, the healthcare settings of the UK are widely using methods like remote consultations and tele monitoring, which closely integrate with the Long Term Plan of the NHS on digital innovation. </w:t>
      </w:r>
    </w:p>
    <w:bookmarkStart w:id="14" w:name="_Toc213838272"/>
    <w:p>
      <w:pPr>
        <w:pStyle w:val="style2"/>
        <w:spacing w:before="0" w:after="240"/>
        <w:rPr/>
      </w:pPr>
      <w:r>
        <w:t>4.3 Self-Management and Rehabilitation</w:t>
      </w:r>
      <w:bookmarkEnd w:id="14"/>
    </w:p>
    <w:p>
      <w:pPr>
        <w:pStyle w:val="style0"/>
        <w:spacing w:after="240" w:lineRule="auto" w:line="360"/>
        <w:jc w:val="both"/>
        <w:rPr/>
      </w:pPr>
      <w:r>
        <w:t xml:space="preserve">Patients are now empowered within the UK with the help of self-management, in accordance with NICE QS10. The healthcare staff are providing proper education to the people regarding how the </w:t>
      </w:r>
      <w:r>
        <w:t>recognised</w:t>
      </w:r>
      <w:r>
        <w:t xml:space="preserve"> the early symptoms of COPD, correct </w:t>
      </w:r>
      <w:r>
        <w:t>utilisation</w:t>
      </w:r>
      <w:r>
        <w:t xml:space="preserve"> of the inhaler, physical activity, as well as control of anxiety (</w:t>
      </w:r>
      <w:r>
        <w:t>Siraj</w:t>
      </w:r>
      <w:r>
        <w:t xml:space="preserve">, 2025). Furthermore, the pulmonary rehabilitation, which basically incorporates a supervised exercise and educational approach, </w:t>
      </w:r>
      <w:r>
        <w:t xml:space="preserve">has powerful evidence for significantly decreasing the rates of </w:t>
      </w:r>
      <w:r>
        <w:t>hospitalisations</w:t>
      </w:r>
      <w:r>
        <w:t xml:space="preserve"> while enhancing the overall well-being of the patients, despite accessibility remaining varied within different regions of the UK, specifically across rural areas. </w:t>
      </w:r>
    </w:p>
    <w:bookmarkStart w:id="15" w:name="_Toc213838273"/>
    <w:p>
      <w:pPr>
        <w:pStyle w:val="style2"/>
        <w:spacing w:before="0" w:after="240"/>
        <w:rPr/>
      </w:pPr>
      <w:r>
        <w:t>4.4 Challenges in UK Care</w:t>
      </w:r>
      <w:bookmarkEnd w:id="15"/>
    </w:p>
    <w:p>
      <w:pPr>
        <w:pStyle w:val="style0"/>
        <w:spacing w:after="240" w:lineRule="auto" w:line="360"/>
        <w:jc w:val="both"/>
        <w:rPr/>
      </w:pPr>
      <w:r>
        <w:t xml:space="preserve">Despite offering clear guidance, there are several issues that persist across the diagnosis of these crucial diseases. In many cases, it has been found that the early detections are late, alongside the poor compliance with treatment significantly contributes across diminishing the effectiveness of the COPD therapy. Adding fuel to these issues, regional inequalities across pulmonary rehabilitation create a sense of discrepancy in patient outcomes. </w:t>
      </w:r>
    </w:p>
    <w:bookmarkStart w:id="16" w:name="_Toc213838274"/>
    <w:p>
      <w:pPr>
        <w:pStyle w:val="style1"/>
        <w:spacing w:before="0" w:after="240"/>
        <w:rPr/>
      </w:pPr>
      <w:r>
        <w:t>5. Theoretical Perspectives and Models for Improved Outcomes</w:t>
      </w:r>
      <w:bookmarkEnd w:id="16"/>
      <w:r>
        <w:t>  </w:t>
      </w:r>
    </w:p>
    <w:bookmarkStart w:id="17" w:name="_Toc213838275"/>
    <w:p>
      <w:pPr>
        <w:pStyle w:val="style2"/>
        <w:spacing w:before="0" w:after="240"/>
        <w:rPr/>
      </w:pPr>
      <w:r>
        <w:t xml:space="preserve">5.1 </w:t>
      </w:r>
      <w:r>
        <w:rPr>
          <w:color w:val="ff0000"/>
        </w:rPr>
        <w:t>10 year NHS England plan (House of Care Framework)</w:t>
      </w:r>
      <w:bookmarkEnd w:id="17"/>
    </w:p>
    <w:p>
      <w:pPr>
        <w:pStyle w:val="style0"/>
        <w:spacing w:after="240" w:lineRule="auto" w:line="360"/>
        <w:jc w:val="both"/>
        <w:rPr/>
      </w:pPr>
      <w:r>
        <w:rPr>
          <w:color w:val="000000"/>
        </w:rPr>
        <w:t>The UK based model such as the House of Care framework can provide a highlighting conceptual strategy to increase the patient outcomes by delivering person-</w:t>
      </w:r>
      <w:r>
        <w:rPr>
          <w:color w:val="000000"/>
        </w:rPr>
        <w:t>centred</w:t>
      </w:r>
      <w:r>
        <w:rPr>
          <w:color w:val="000000"/>
        </w:rPr>
        <w:t xml:space="preserve"> care in long-term conditions of COPD which was developed by NHS England (Charles and </w:t>
      </w:r>
      <w:r>
        <w:rPr>
          <w:color w:val="000000"/>
        </w:rPr>
        <w:t>Ochieng</w:t>
      </w:r>
      <w:r>
        <w:rPr>
          <w:color w:val="000000"/>
        </w:rPr>
        <w:t xml:space="preserve">, 2023). These components can lie with the </w:t>
      </w:r>
      <w:r>
        <w:rPr>
          <w:color w:val="000000"/>
        </w:rPr>
        <w:t>personalised</w:t>
      </w:r>
      <w:r>
        <w:rPr>
          <w:color w:val="000000"/>
        </w:rPr>
        <w:t xml:space="preserve"> care that support the planning process at the healthcare centre, where the patients can be active with partners for better decision-making strategy to improve. Moreover, the model can increase the self-management techniques, and develop shared decision-making for better care and outcomes.</w:t>
      </w:r>
    </w:p>
    <w:p>
      <w:pPr>
        <w:pStyle w:val="style0"/>
        <w:spacing w:after="240" w:lineRule="auto" w:line="360"/>
        <w:jc w:val="both"/>
        <w:rPr/>
      </w:pPr>
      <w:r>
        <w:rPr>
          <w:color w:val="000000"/>
        </w:rPr>
        <w:t xml:space="preserve">Strength: it can promote a holistic approach with </w:t>
      </w:r>
      <w:r>
        <w:rPr>
          <w:color w:val="000000"/>
        </w:rPr>
        <w:t>personalised</w:t>
      </w:r>
      <w:r>
        <w:rPr>
          <w:color w:val="000000"/>
        </w:rPr>
        <w:t xml:space="preserve"> care (</w:t>
      </w:r>
      <w:r>
        <w:rPr>
          <w:color w:val="000000"/>
        </w:rPr>
        <w:t>Alzeer</w:t>
      </w:r>
      <w:r>
        <w:rPr>
          <w:color w:val="000000"/>
        </w:rPr>
        <w:t>, 2023).</w:t>
      </w:r>
    </w:p>
    <w:p>
      <w:pPr>
        <w:pStyle w:val="style0"/>
        <w:spacing w:after="240" w:lineRule="auto" w:line="360"/>
        <w:jc w:val="both"/>
        <w:rPr/>
      </w:pPr>
      <w:r>
        <w:rPr>
          <w:color w:val="000000"/>
        </w:rPr>
        <w:t>Limitation: it can rely deeply on the </w:t>
      </w:r>
      <w:r>
        <w:rPr>
          <w:color w:val="000000"/>
        </w:rPr>
        <w:t>organisational</w:t>
      </w:r>
      <w:r>
        <w:rPr>
          <w:color w:val="000000"/>
        </w:rPr>
        <w:t xml:space="preserve"> resources by evaluating the staff training process (</w:t>
      </w:r>
      <w:r>
        <w:rPr>
          <w:color w:val="000000"/>
        </w:rPr>
        <w:t>Urbancová</w:t>
      </w:r>
      <w:r>
        <w:rPr>
          <w:color w:val="000000"/>
        </w:rPr>
        <w:t xml:space="preserve"> et al., 2021).</w:t>
      </w:r>
    </w:p>
    <w:bookmarkStart w:id="18" w:name="_Toc213838276"/>
    <w:p>
      <w:pPr>
        <w:pStyle w:val="style2"/>
        <w:spacing w:before="0" w:after="240"/>
        <w:rPr>
          <w:color w:val="ff0000"/>
        </w:rPr>
      </w:pPr>
      <w:r>
        <w:rPr>
          <w:color w:val="ff0000"/>
        </w:rPr>
        <w:t>5.2 Comprehensive Model</w:t>
      </w:r>
      <w:bookmarkEnd w:id="18"/>
    </w:p>
    <w:p>
      <w:pPr>
        <w:pStyle w:val="style0"/>
        <w:spacing w:after="240" w:lineRule="auto" w:line="360"/>
        <w:jc w:val="both"/>
        <w:rPr/>
      </w:pPr>
      <w:r>
        <w:rPr>
          <w:color w:val="000000"/>
        </w:rPr>
        <w:t xml:space="preserve">This globally </w:t>
      </w:r>
      <w:r>
        <w:rPr>
          <w:color w:val="000000"/>
        </w:rPr>
        <w:t>recognised</w:t>
      </w:r>
      <w:r>
        <w:rPr>
          <w:color w:val="000000"/>
        </w:rPr>
        <w:t xml:space="preserve"> framework indicates the CCM model which has improved the ultimate outcomes for chronic disease management (</w:t>
      </w:r>
      <w:r>
        <w:rPr>
          <w:color w:val="000000"/>
        </w:rPr>
        <w:t>Petrelli</w:t>
      </w:r>
      <w:r>
        <w:rPr>
          <w:color w:val="000000"/>
        </w:rPr>
        <w:t xml:space="preserve"> et al., 2021). This model is identified by six interrelated components such as healthcare organization with digital systems, community based policies and resources, design delivery system, support self-management and decision making process with clinical system (</w:t>
      </w:r>
      <w:r>
        <w:rPr>
          <w:color w:val="000000"/>
        </w:rPr>
        <w:t>Endalamaw</w:t>
      </w:r>
      <w:r>
        <w:rPr>
          <w:color w:val="000000"/>
        </w:rPr>
        <w:t xml:space="preserve"> et al., 2024). This international model can boost a structured follow-up in essence to effective and efficient </w:t>
      </w:r>
      <w:r>
        <w:rPr>
          <w:color w:val="000000"/>
        </w:rPr>
        <w:t>care due to multidisciplinary collaboration by increasing knowledge about patient education and understanding the focus of preventive management.</w:t>
      </w:r>
    </w:p>
    <w:p>
      <w:pPr>
        <w:pStyle w:val="style0"/>
        <w:spacing w:after="240" w:lineRule="auto" w:line="360"/>
        <w:jc w:val="both"/>
        <w:rPr/>
      </w:pPr>
      <w:r>
        <w:rPr>
          <w:color w:val="000000"/>
        </w:rPr>
        <w:t>Strength: it provides a systematic approach that boosts technological integration by monitoring the overall system towards the healthcare system (Di Falco et al., 2021).</w:t>
      </w:r>
    </w:p>
    <w:p>
      <w:pPr>
        <w:pStyle w:val="style0"/>
        <w:spacing w:after="240" w:lineRule="auto" w:line="360"/>
        <w:jc w:val="both"/>
        <w:rPr>
          <w:color w:val="000000"/>
        </w:rPr>
      </w:pPr>
      <w:r>
        <w:rPr>
          <w:color w:val="000000"/>
        </w:rPr>
        <w:t>Limitation: integration may depend on the regional healthcare funding and infrastructure. </w:t>
      </w:r>
    </w:p>
    <w:bookmarkStart w:id="19" w:name="_Toc213838277"/>
    <w:p>
      <w:pPr>
        <w:pStyle w:val="style2"/>
        <w:rPr>
          <w:color w:val="ff0000"/>
        </w:rPr>
      </w:pPr>
      <w:r>
        <w:rPr>
          <w:color w:val="ff0000"/>
        </w:rPr>
        <w:t xml:space="preserve">5.3 </w:t>
      </w:r>
      <w:r>
        <w:rPr>
          <w:color w:val="ff0000"/>
        </w:rPr>
        <w:t>Personalised</w:t>
      </w:r>
      <w:r>
        <w:rPr>
          <w:color w:val="ff0000"/>
        </w:rPr>
        <w:t xml:space="preserve"> Care Operating Model</w:t>
      </w:r>
      <w:bookmarkStart w:id="20" w:name="_heading=h.cmng5c7fynev" w:colFirst="0" w:colLast="0"/>
      <w:bookmarkEnd w:id="19"/>
      <w:bookmarkEnd w:id="20"/>
    </w:p>
    <w:p>
      <w:pPr>
        <w:pStyle w:val="style0"/>
        <w:spacing w:before="240" w:after="240" w:lineRule="auto" w:line="360"/>
        <w:jc w:val="both"/>
        <w:rPr/>
      </w:pPr>
      <w:r>
        <w:t xml:space="preserve">The Operating Model about personalized care can highlight multiple components of work that provide a joined-up strategy towards individuals needs within the healthcare </w:t>
      </w:r>
      <w:r>
        <w:rPr>
          <w:bCs/>
        </w:rPr>
        <w:t>systems (</w:t>
      </w:r>
      <w:r>
        <w:t xml:space="preserve">NHS, 2025). This model focuses on the patient's strength across their overall health condition and wellbeing, where individual preferences and needs support for the strength. There are six key components into the </w:t>
      </w:r>
      <w:r>
        <w:t>personalised</w:t>
      </w:r>
      <w:r>
        <w:t xml:space="preserve"> care such as shared decision-making, supported </w:t>
      </w:r>
      <w:r>
        <w:rPr>
          <w:bCs/>
        </w:rPr>
        <w:t>self-management</w:t>
      </w:r>
      <w:r>
        <w:t xml:space="preserve">, </w:t>
      </w:r>
      <w:r>
        <w:t>personalised</w:t>
      </w:r>
      <w:r>
        <w:t xml:space="preserve"> care and support planning, social prescribing, patient choice and personal health budgets which identifies the local populations (</w:t>
      </w:r>
      <w:r>
        <w:t>Busari</w:t>
      </w:r>
      <w:r>
        <w:t xml:space="preserve"> and Jane, 2025). </w:t>
      </w:r>
      <w:bookmarkStart w:id="21" w:name="_heading=h.372570puwyjp" w:colFirst="0" w:colLast="0"/>
      <w:bookmarkEnd w:id="21"/>
    </w:p>
    <w:p>
      <w:pPr>
        <w:pStyle w:val="style0"/>
        <w:spacing w:before="240" w:after="240" w:lineRule="auto" w:line="360"/>
        <w:jc w:val="both"/>
        <w:rPr/>
      </w:pPr>
      <w:r>
        <w:t>Strength: it can boost patient satisfactio</w:t>
      </w:r>
      <w:r>
        <w:rPr>
          <w:bCs/>
        </w:rPr>
        <w:t>n, and engagement, by tailoring individual interventions</w:t>
      </w:r>
      <w:r>
        <w:t xml:space="preserve"> (</w:t>
      </w:r>
      <w:r>
        <w:t>Nwosu</w:t>
      </w:r>
      <w:r>
        <w:t xml:space="preserve"> et al., 2024).</w:t>
      </w:r>
      <w:bookmarkStart w:id="22" w:name="_heading=h.d0gtc5331d4v" w:colFirst="0" w:colLast="0"/>
      <w:bookmarkEnd w:id="22"/>
    </w:p>
    <w:p>
      <w:pPr>
        <w:pStyle w:val="style0"/>
        <w:spacing w:before="240" w:after="240" w:lineRule="auto" w:line="360"/>
        <w:jc w:val="both"/>
        <w:rPr/>
      </w:pPr>
      <w:r>
        <w:t xml:space="preserve">Limitation: this model may require the changes of </w:t>
      </w:r>
      <w:r>
        <w:t>organisational</w:t>
      </w:r>
      <w:r>
        <w:t xml:space="preserve"> culture and employees training for continuous success of implementation within the healthcare services.</w:t>
      </w:r>
      <w:bookmarkStart w:id="23" w:name="_heading=h.h3092hdn8p9b" w:colFirst="0" w:colLast="0"/>
      <w:bookmarkEnd w:id="23"/>
    </w:p>
    <w:bookmarkStart w:id="24" w:name="_Toc213838278"/>
    <w:p>
      <w:pPr>
        <w:pStyle w:val="style2"/>
        <w:rPr/>
      </w:pPr>
      <w:r>
        <w:t>5.4 Critical Comparison</w:t>
      </w:r>
      <w:bookmarkEnd w:id="24"/>
    </w:p>
    <w:tbl>
      <w:tblPr>
        <w:tblStyle w:val="style4107"/>
        <w:tblpPr w:leftFromText="180" w:rightFromText="180" w:topFromText="0" w:bottomFromText="0" w:vertAnchor="text" w:horzAnchor="margin" w:tblpXSpec="left" w:tblpY="89"/>
        <w:tblW w:w="9389" w:type="dxa"/>
        <w:tblBorders>
          <w:top w:val="nil"/>
          <w:left w:val="nil"/>
          <w:bottom w:val="nil"/>
          <w:right w:val="nil"/>
          <w:insideH w:val="nil"/>
          <w:insideV w:val="nil"/>
        </w:tblBorders>
        <w:tblLayout w:type="fixed"/>
        <w:tblLook w:val="0600" w:firstRow="0" w:lastRow="0" w:firstColumn="0" w:lastColumn="0" w:noHBand="1" w:noVBand="1"/>
      </w:tblPr>
      <w:tblGrid>
        <w:gridCol w:w="2028"/>
        <w:gridCol w:w="2267"/>
        <w:gridCol w:w="2507"/>
        <w:gridCol w:w="2587"/>
      </w:tblGrid>
      <w:tr>
        <w:trPr>
          <w:trHeight w:val="557" w:hRule="atLeast"/>
        </w:trPr>
        <w:tc>
          <w:tcPr>
            <w:tcW w:w="202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center"/>
              <w:rPr>
                <w:b/>
              </w:rPr>
            </w:pPr>
            <w:r>
              <w:rPr>
                <w:b/>
              </w:rPr>
              <w:t>Aspect</w:t>
            </w:r>
          </w:p>
        </w:tc>
        <w:tc>
          <w:tcPr>
            <w:tcW w:w="22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center"/>
              <w:rPr>
                <w:b/>
              </w:rPr>
            </w:pPr>
            <w:r>
              <w:rPr>
                <w:b/>
              </w:rPr>
              <w:t>House of Care Framework</w:t>
            </w:r>
          </w:p>
        </w:tc>
        <w:tc>
          <w:tcPr>
            <w:tcW w:w="250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center"/>
              <w:rPr>
                <w:b/>
              </w:rPr>
            </w:pPr>
            <w:r>
              <w:rPr>
                <w:b/>
              </w:rPr>
              <w:t>Comprehensive Model</w:t>
            </w:r>
          </w:p>
        </w:tc>
        <w:tc>
          <w:tcPr>
            <w:tcW w:w="258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center"/>
              <w:rPr>
                <w:b/>
              </w:rPr>
            </w:pPr>
            <w:r>
              <w:rPr>
                <w:b/>
              </w:rPr>
              <w:t>Personalised</w:t>
            </w:r>
            <w:r>
              <w:rPr>
                <w:b/>
              </w:rPr>
              <w:t xml:space="preserve"> Care Operating Model</w:t>
            </w:r>
          </w:p>
        </w:tc>
      </w:tr>
      <w:tr>
        <w:tblPrEx/>
        <w:trPr>
          <w:trHeight w:val="2735" w:hRule="atLeast"/>
        </w:trPr>
        <w:tc>
          <w:tcPr>
            <w:tcW w:w="2028"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Core Components</w:t>
            </w:r>
          </w:p>
        </w:tc>
        <w:tc>
          <w:tcPr>
            <w:tcW w:w="226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 xml:space="preserve">Collaborative care planning, and self-management, </w:t>
            </w:r>
            <w:r>
              <w:t>organisational</w:t>
            </w:r>
            <w:r>
              <w:t xml:space="preserve"> support.</w:t>
            </w:r>
          </w:p>
        </w:tc>
        <w:tc>
          <w:tcPr>
            <w:tcW w:w="250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Digital systems, community resources, delivery design, decision support, and self-management.</w:t>
            </w:r>
          </w:p>
        </w:tc>
        <w:tc>
          <w:tcPr>
            <w:tcW w:w="258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 xml:space="preserve">Shared decision-making, </w:t>
            </w:r>
            <w:r>
              <w:t>personalised</w:t>
            </w:r>
            <w:r>
              <w:t xml:space="preserve"> care and support planning, social prescribing, supported self-management, patient choice, and personal health </w:t>
            </w:r>
            <w:r>
              <w:t>budgets.</w:t>
            </w:r>
          </w:p>
        </w:tc>
      </w:tr>
      <w:tr>
        <w:tblPrEx/>
        <w:trPr>
          <w:trHeight w:val="1646" w:hRule="atLeast"/>
        </w:trPr>
        <w:tc>
          <w:tcPr>
            <w:tcW w:w="2028"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Strengths</w:t>
            </w:r>
          </w:p>
        </w:tc>
        <w:tc>
          <w:tcPr>
            <w:tcW w:w="226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Promotes holistic, patient-</w:t>
            </w:r>
            <w:r>
              <w:t>centred</w:t>
            </w:r>
            <w:r>
              <w:t>, and coordinated care.</w:t>
            </w:r>
          </w:p>
        </w:tc>
        <w:tc>
          <w:tcPr>
            <w:tcW w:w="250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Provides a structured, integrated, and evidence-based system for chronic care.</w:t>
            </w:r>
          </w:p>
        </w:tc>
        <w:tc>
          <w:tcPr>
            <w:tcW w:w="258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Enhances patient engagement, satisfaction, and autonomy by tailoring interventions.</w:t>
            </w:r>
          </w:p>
        </w:tc>
      </w:tr>
      <w:tr>
        <w:tblPrEx/>
        <w:trPr>
          <w:trHeight w:val="1646" w:hRule="atLeast"/>
        </w:trPr>
        <w:tc>
          <w:tcPr>
            <w:tcW w:w="2028"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Limitations</w:t>
            </w:r>
          </w:p>
        </w:tc>
        <w:tc>
          <w:tcPr>
            <w:tcW w:w="226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 xml:space="preserve">Relies on adequate staff training and </w:t>
            </w:r>
            <w:r>
              <w:t>organisational</w:t>
            </w:r>
            <w:r>
              <w:t xml:space="preserve"> resources.</w:t>
            </w:r>
          </w:p>
        </w:tc>
        <w:tc>
          <w:tcPr>
            <w:tcW w:w="250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Dependent on funding, infrastructure, and regional healthcare capacity</w:t>
            </w:r>
          </w:p>
        </w:tc>
        <w:tc>
          <w:tcPr>
            <w:tcW w:w="258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 xml:space="preserve">Requires cultural and operational transformation across healthcare </w:t>
            </w:r>
            <w:r>
              <w:t>organisations</w:t>
            </w:r>
            <w:r>
              <w:t>.</w:t>
            </w:r>
          </w:p>
        </w:tc>
      </w:tr>
      <w:tr>
        <w:tblPrEx/>
        <w:trPr>
          <w:trHeight w:val="1374" w:hRule="atLeast"/>
        </w:trPr>
        <w:tc>
          <w:tcPr>
            <w:tcW w:w="2028" w:type="dxa"/>
            <w:tcBorders>
              <w:top w:val="nil"/>
              <w:left w:val="single" w:sz="8" w:space="0" w:color="000000"/>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Level of Implementation</w:t>
            </w:r>
          </w:p>
        </w:tc>
        <w:tc>
          <w:tcPr>
            <w:tcW w:w="226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Primarily clinical and local-level care delivery.</w:t>
            </w:r>
          </w:p>
        </w:tc>
        <w:tc>
          <w:tcPr>
            <w:tcW w:w="250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Macro-level system reform and health policy.</w:t>
            </w:r>
          </w:p>
          <w:bookmarkStart w:id="25" w:name="_heading=h.dj7e2jxsu2ms" w:colFirst="0" w:colLast="0"/>
          <w:bookmarkEnd w:id="25"/>
        </w:tc>
        <w:tc>
          <w:tcPr>
            <w:tcW w:w="2587" w:type="dxa"/>
            <w:tcBorders>
              <w:top w:val="nil"/>
              <w:left w:val="nil"/>
              <w:bottom w:val="single" w:sz="8" w:space="0" w:color="000000"/>
              <w:right w:val="single" w:sz="8" w:space="0" w:color="000000"/>
            </w:tcBorders>
            <w:tcMar>
              <w:top w:w="0" w:type="dxa"/>
              <w:left w:w="100" w:type="dxa"/>
              <w:bottom w:w="0" w:type="dxa"/>
              <w:right w:w="100" w:type="dxa"/>
            </w:tcMar>
          </w:tcPr>
          <w:p>
            <w:pPr>
              <w:pStyle w:val="style0"/>
              <w:spacing w:before="240" w:after="240" w:lineRule="auto" w:line="360"/>
              <w:jc w:val="both"/>
              <w:rPr>
                <w:b/>
                <w:bCs/>
              </w:rPr>
            </w:pPr>
            <w:r>
              <w:t xml:space="preserve">Operational and </w:t>
            </w:r>
            <w:r>
              <w:t>organisational</w:t>
            </w:r>
            <w:r>
              <w:t xml:space="preserve"> implementation.</w:t>
            </w:r>
          </w:p>
        </w:tc>
      </w:tr>
      <w:bookmarkStart w:id="26" w:name="_heading=h.r3tc40p2rylb" w:colFirst="0" w:colLast="0"/>
      <w:bookmarkEnd w:id="26"/>
    </w:tbl>
    <w:p>
      <w:pPr>
        <w:pStyle w:val="style0"/>
        <w:spacing w:lineRule="auto" w:line="360"/>
        <w:jc w:val="center"/>
        <w:rPr>
          <w:b/>
          <w:sz w:val="24"/>
        </w:rPr>
      </w:pPr>
    </w:p>
    <w:p>
      <w:pPr>
        <w:pStyle w:val="style0"/>
        <w:spacing w:lineRule="auto" w:line="360"/>
        <w:jc w:val="center"/>
        <w:rPr>
          <w:b/>
          <w:sz w:val="24"/>
        </w:rPr>
      </w:pPr>
      <w:r>
        <w:rPr>
          <w:b/>
          <w:sz w:val="24"/>
        </w:rPr>
        <w:t>Table 3: Comparison of Theoretical Models for COPD Management</w:t>
      </w:r>
    </w:p>
    <w:p>
      <w:pPr>
        <w:pStyle w:val="style0"/>
        <w:spacing w:after="240" w:lineRule="auto" w:line="360"/>
        <w:jc w:val="center"/>
        <w:rPr>
          <w:sz w:val="24"/>
          <w:szCs w:val="24"/>
        </w:rPr>
      </w:pPr>
      <w:r>
        <w:rPr>
          <w:color w:val="000000"/>
          <w:sz w:val="24"/>
          <w:szCs w:val="24"/>
        </w:rPr>
        <w:t>(Source: Self-developed) </w:t>
      </w:r>
    </w:p>
    <w:bookmarkStart w:id="27" w:name="_Toc213838279"/>
    <w:p>
      <w:pPr>
        <w:pStyle w:val="style1"/>
        <w:spacing w:before="0" w:after="240"/>
        <w:rPr/>
      </w:pPr>
      <w:r>
        <w:t>6.  Political, Local and National Health &amp; Social Care Agendas</w:t>
      </w:r>
      <w:bookmarkEnd w:id="27"/>
    </w:p>
    <w:bookmarkStart w:id="28" w:name="_Toc213838280"/>
    <w:p>
      <w:pPr>
        <w:pStyle w:val="style2"/>
        <w:spacing w:before="0" w:after="240"/>
        <w:rPr/>
      </w:pPr>
      <w:r>
        <w:t>6.1 National Policies</w:t>
      </w:r>
      <w:bookmarkEnd w:id="28"/>
    </w:p>
    <w:tbl>
      <w:tblPr>
        <w:tblStyle w:val="style4108"/>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1425"/>
        <w:gridCol w:w="4575"/>
      </w:tblGrid>
      <w:tr>
        <w:trPr/>
        <w:tc>
          <w:tcPr>
            <w:tcW w:w="3000" w:type="dxa"/>
            <w:tcBorders/>
            <w:shd w:val="clear" w:color="auto" w:fill="fce5cd"/>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b/>
                <w:bCs/>
              </w:rPr>
            </w:pPr>
            <w:r>
              <w:rPr>
                <w:b/>
                <w:bCs/>
              </w:rPr>
              <w:t>Policy</w:t>
            </w:r>
          </w:p>
        </w:tc>
        <w:tc>
          <w:tcPr>
            <w:tcW w:w="1425" w:type="dxa"/>
            <w:tcBorders/>
            <w:shd w:val="clear" w:color="auto" w:fill="fce5cd"/>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b/>
                <w:bCs/>
              </w:rPr>
            </w:pPr>
            <w:r>
              <w:rPr>
                <w:b/>
                <w:bCs/>
              </w:rPr>
              <w:t>Year</w:t>
            </w:r>
          </w:p>
        </w:tc>
        <w:tc>
          <w:tcPr>
            <w:tcW w:w="4575" w:type="dxa"/>
            <w:tcBorders/>
            <w:shd w:val="clear" w:color="auto" w:fill="fce5cd"/>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center"/>
              <w:rPr>
                <w:b/>
                <w:bCs/>
              </w:rPr>
            </w:pPr>
            <w:r>
              <w:rPr>
                <w:b/>
                <w:bCs/>
              </w:rPr>
              <w:t>Key aim</w:t>
            </w:r>
          </w:p>
        </w:tc>
      </w:tr>
      <w:tr>
        <w:tblPrEx/>
        <w:trPr/>
        <w:tc>
          <w:tcPr>
            <w:tcW w:w="30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NHS Long Term Plan</w:t>
            </w:r>
          </w:p>
        </w:tc>
        <w:tc>
          <w:tcPr>
            <w:tcW w:w="14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2019</w:t>
            </w:r>
          </w:p>
        </w:tc>
        <w:tc>
          <w:tcPr>
            <w:tcW w:w="457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 xml:space="preserve">It </w:t>
            </w:r>
            <w:r>
              <w:t>prioritises</w:t>
            </w:r>
            <w:r>
              <w:t xml:space="preserve"> respiratory health with the aim of diminishing emergency hospital admissions </w:t>
            </w:r>
            <w:r>
              <w:t xml:space="preserve">with an estimated rate of 25% through prevention and community-based management </w:t>
            </w:r>
            <w:r>
              <w:rPr>
                <w:b/>
                <w:bCs/>
                <w:i/>
                <w:iCs/>
              </w:rPr>
              <w:t>[Referred to Appendix 1].</w:t>
            </w:r>
            <w:r>
              <w:t xml:space="preserve">The key objectives of this plan are to </w:t>
            </w:r>
          </w:p>
          <w:p>
            <w:pPr>
              <w:pStyle w:val="style0"/>
              <w:widowControl w:val="false"/>
              <w:numPr>
                <w:ilvl w:val="0"/>
                <w:numId w:val="5"/>
              </w:numPr>
              <w:pBdr>
                <w:left w:val="nil"/>
                <w:right w:val="nil"/>
                <w:top w:val="nil"/>
                <w:bottom w:val="nil"/>
                <w:between w:val="nil"/>
              </w:pBdr>
              <w:spacing w:after="240" w:lineRule="auto" w:line="360"/>
              <w:jc w:val="both"/>
              <w:rPr/>
            </w:pPr>
            <w:r>
              <w:t>Allowing everyone to get the best start to life.</w:t>
            </w:r>
          </w:p>
          <w:p>
            <w:pPr>
              <w:pStyle w:val="style0"/>
              <w:widowControl w:val="false"/>
              <w:numPr>
                <w:ilvl w:val="0"/>
                <w:numId w:val="5"/>
              </w:numPr>
              <w:pBdr>
                <w:left w:val="nil"/>
                <w:right w:val="nil"/>
                <w:top w:val="nil"/>
                <w:bottom w:val="nil"/>
                <w:between w:val="nil"/>
              </w:pBdr>
              <w:spacing w:after="240" w:lineRule="auto" w:line="360"/>
              <w:jc w:val="both"/>
              <w:rPr/>
            </w:pPr>
            <w:r>
              <w:t>Assisting communities to live well (Department of Health and Social Care, 2019)</w:t>
            </w:r>
          </w:p>
          <w:p>
            <w:pPr>
              <w:pStyle w:val="style0"/>
              <w:widowControl w:val="false"/>
              <w:numPr>
                <w:ilvl w:val="0"/>
                <w:numId w:val="5"/>
              </w:numPr>
              <w:pBdr>
                <w:left w:val="nil"/>
                <w:right w:val="nil"/>
                <w:top w:val="nil"/>
                <w:bottom w:val="nil"/>
                <w:between w:val="nil"/>
              </w:pBdr>
              <w:spacing w:after="240" w:lineRule="auto" w:line="360"/>
              <w:jc w:val="both"/>
              <w:rPr/>
            </w:pPr>
            <w:r>
              <w:t xml:space="preserve">Assisting people to age well. </w:t>
            </w:r>
          </w:p>
        </w:tc>
      </w:tr>
      <w:tr>
        <w:tblPrEx/>
        <w:trPr/>
        <w:tc>
          <w:tcPr>
            <w:tcW w:w="30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NICE NG115</w:t>
            </w:r>
          </w:p>
        </w:tc>
        <w:tc>
          <w:tcPr>
            <w:tcW w:w="14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2023</w:t>
            </w:r>
          </w:p>
        </w:tc>
        <w:tc>
          <w:tcPr>
            <w:tcW w:w="457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 xml:space="preserve">It offers strong support for the management and diagnosis of COPD in individuals who are aged 16+. It also offers an evidence-based framework for long-term management to boost the quality of the care. </w:t>
            </w:r>
          </w:p>
        </w:tc>
      </w:tr>
      <w:tr>
        <w:tblPrEx/>
        <w:trPr/>
        <w:tc>
          <w:tcPr>
            <w:tcW w:w="30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Respiratory Disease Outcomes Strategy (Public Health England)</w:t>
            </w:r>
          </w:p>
        </w:tc>
        <w:tc>
          <w:tcPr>
            <w:tcW w:w="14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2012-2022</w:t>
            </w:r>
          </w:p>
        </w:tc>
        <w:tc>
          <w:tcPr>
            <w:tcW w:w="457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 xml:space="preserve">It clearly concentrates on early detection of COPD in individuals, prevention of diseases and enhanced final outcomes for the patients having chronic respiratory diseases. </w:t>
            </w:r>
          </w:p>
        </w:tc>
      </w:tr>
      <w:tr>
        <w:tblPrEx/>
        <w:trPr/>
        <w:tc>
          <w:tcPr>
            <w:tcW w:w="3000"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UK Tobacco Control Plan</w:t>
            </w:r>
          </w:p>
        </w:tc>
        <w:tc>
          <w:tcPr>
            <w:tcW w:w="142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2017</w:t>
            </w:r>
          </w:p>
        </w:tc>
        <w:tc>
          <w:tcPr>
            <w:tcW w:w="4575" w:type="dxa"/>
            <w:tcBorders/>
            <w:shd w:val="clear" w:color="auto" w:fill="auto"/>
            <w:tcMar>
              <w:top w:w="100" w:type="dxa"/>
              <w:left w:w="100" w:type="dxa"/>
              <w:bottom w:w="100" w:type="dxa"/>
              <w:right w:w="100" w:type="dxa"/>
            </w:tcMar>
          </w:tcPr>
          <w:p>
            <w:pPr>
              <w:pStyle w:val="style0"/>
              <w:widowControl w:val="false"/>
              <w:pBdr>
                <w:left w:val="nil"/>
                <w:right w:val="nil"/>
                <w:top w:val="nil"/>
                <w:bottom w:val="nil"/>
                <w:between w:val="nil"/>
              </w:pBdr>
              <w:spacing w:after="240" w:lineRule="auto" w:line="360"/>
              <w:jc w:val="both"/>
              <w:rPr/>
            </w:pPr>
            <w:r>
              <w:t>This policy aims to reduce the number of 15-year-olds who smoke on a consistent basis from 8-3%.</w:t>
            </w:r>
          </w:p>
          <w:p>
            <w:pPr>
              <w:pStyle w:val="style0"/>
              <w:widowControl w:val="false"/>
              <w:pBdr>
                <w:left w:val="nil"/>
                <w:right w:val="nil"/>
                <w:top w:val="nil"/>
                <w:bottom w:val="nil"/>
                <w:between w:val="nil"/>
              </w:pBdr>
              <w:spacing w:after="240" w:lineRule="auto" w:line="360"/>
              <w:jc w:val="both"/>
              <w:rPr/>
            </w:pPr>
            <w:r>
              <w:t xml:space="preserve">Diminish the smoking among the adults within England from 15.5% to 12% (Department of Health and Social Care, 2020). </w:t>
            </w:r>
          </w:p>
        </w:tc>
      </w:tr>
    </w:tbl>
    <w:p>
      <w:pPr>
        <w:pStyle w:val="style5"/>
        <w:spacing w:before="0" w:after="240"/>
        <w:rPr/>
      </w:pPr>
      <w:r>
        <w:t xml:space="preserve">Table 4: Policy of the UK </w:t>
      </w:r>
    </w:p>
    <w:p>
      <w:pPr>
        <w:pStyle w:val="style0"/>
        <w:spacing w:after="240" w:lineRule="auto" w:line="360"/>
        <w:jc w:val="center"/>
        <w:rPr/>
      </w:pPr>
      <w:r>
        <w:t>(Source: Self-developed)</w:t>
      </w:r>
    </w:p>
    <w:bookmarkStart w:id="29" w:name="_Toc213838281"/>
    <w:p>
      <w:pPr>
        <w:pStyle w:val="style2"/>
        <w:spacing w:before="0" w:after="240"/>
        <w:rPr/>
      </w:pPr>
      <w:r>
        <w:t>6.2 Local Initiatives</w:t>
      </w:r>
      <w:bookmarkEnd w:id="29"/>
    </w:p>
    <w:p>
      <w:pPr>
        <w:pStyle w:val="style0"/>
        <w:spacing w:after="240" w:lineRule="auto" w:line="360"/>
        <w:jc w:val="both"/>
        <w:rPr/>
      </w:pPr>
      <w:r>
        <w:t xml:space="preserve">At the local level, for successfully integrating a respiratory care pathway which can cater for the primary, secondary, as well as community services, an Integrated Care Board (ICBs) plays a crucial role. Since many regions have established community respiratory hubs for managing the complications of COPD, it is noticeably decreasing the intense pressures on the healthcare systems.  Furthermore, healthcare providers can now identify the symptoms of COPD through telehealth alongside remote monitoring. In essence, it can be asserted that local authorities also play a significant role in this prospect through delivering smoking cessation </w:t>
      </w:r>
      <w:r>
        <w:t>programmes</w:t>
      </w:r>
      <w:r>
        <w:t xml:space="preserve">. </w:t>
      </w:r>
    </w:p>
    <w:bookmarkStart w:id="30" w:name="_Toc213838282"/>
    <w:p>
      <w:pPr>
        <w:pStyle w:val="style2"/>
        <w:spacing w:before="0" w:after="240"/>
        <w:rPr/>
      </w:pPr>
      <w:r>
        <w:t>6.3 Critical Analysis</w:t>
      </w:r>
      <w:bookmarkEnd w:id="30"/>
    </w:p>
    <w:p>
      <w:pPr>
        <w:pStyle w:val="style0"/>
        <w:spacing w:after="240" w:lineRule="auto" w:line="360"/>
        <w:jc w:val="both"/>
        <w:rPr/>
      </w:pPr>
      <w:r>
        <w:t xml:space="preserve">Concurrently, not only the National strategies like NICE NG115, UK Tobacco Control Plan, Respiratory Disease Outcomes Strategy (Public Health England), and NHS Long Term Plan but also the different local initiatives of the UK government has notably contributed across enhancing the prevention of COPD, help with early detection of symptoms, and also boost the digital monitoring. Despite this improvement, these initiatives are not free of issues. As an example, the ongoing underfunding across the social care consistently places intense pressures on the NHS hospitals; as a result of this, the goals of this disease control plan are undermined (Ferreira and Collins, 2023). Furthermore, the anticipated pressures on the existing healthcare staff can wear away the quality of training alongside the quality of the healthcare services. Moreover, despite efforts towards the successful integration, social care sometimes remains not only underfunded but also poorly lined up with the pathways of effective healthcare services. </w:t>
      </w:r>
    </w:p>
    <w:bookmarkStart w:id="31" w:name="_Toc213838283"/>
    <w:p>
      <w:pPr>
        <w:pStyle w:val="style1"/>
        <w:spacing w:before="0" w:after="240"/>
        <w:rPr/>
      </w:pPr>
      <w:r>
        <w:t>7. Recommendations: Enhancing Person-</w:t>
      </w:r>
      <w:r>
        <w:t>Centred</w:t>
      </w:r>
      <w:r>
        <w:t xml:space="preserve"> and Self-Management Approaches</w:t>
      </w:r>
      <w:bookmarkEnd w:id="31"/>
    </w:p>
    <w:bookmarkStart w:id="32" w:name="_Toc213838284"/>
    <w:p>
      <w:pPr>
        <w:pStyle w:val="style2"/>
        <w:spacing w:before="0" w:after="240"/>
        <w:rPr/>
      </w:pPr>
      <w:r>
        <w:t>7.1 Person-</w:t>
      </w:r>
      <w:r>
        <w:t>Centred</w:t>
      </w:r>
      <w:r>
        <w:t xml:space="preserve"> Care</w:t>
      </w:r>
      <w:bookmarkEnd w:id="32"/>
    </w:p>
    <w:p>
      <w:pPr>
        <w:pStyle w:val="style0"/>
        <w:spacing w:after="240" w:lineRule="auto" w:line="360"/>
        <w:jc w:val="both"/>
        <w:rPr/>
      </w:pPr>
      <w:r>
        <w:t>While giving care to the COPD patients, the healthcare professionals are required to display respect towards the preferences of each patient, their cultural background and personal dignity (</w:t>
      </w:r>
      <w:r>
        <w:t>Madawala</w:t>
      </w:r>
      <w:r>
        <w:t xml:space="preserve"> et al., 2023). By leveraging the House of Care model, the healthcare staff of the UK is required to actively involve the patients in the decision-making along with </w:t>
      </w:r>
      <w:r>
        <w:t>personalised</w:t>
      </w:r>
      <w:r>
        <w:t xml:space="preserve"> care planning. This collaborative approach will surely assure that with each patient's values, lifestyles and support network, the treatment goals are aligned. </w:t>
      </w:r>
    </w:p>
    <w:bookmarkStart w:id="33" w:name="_Toc213838285"/>
    <w:p>
      <w:pPr>
        <w:pStyle w:val="style2"/>
        <w:spacing w:before="0" w:after="240"/>
        <w:rPr/>
      </w:pPr>
      <w:r>
        <w:t>7.2 Self-Management Support</w:t>
      </w:r>
      <w:bookmarkEnd w:id="33"/>
    </w:p>
    <w:p>
      <w:pPr>
        <w:pStyle w:val="style0"/>
        <w:spacing w:after="240" w:lineRule="auto" w:line="360"/>
        <w:jc w:val="both"/>
        <w:rPr/>
      </w:pPr>
      <w:r>
        <w:t>For navigating the regional inequalities, expansion of access towards pulmonary rehabilitation, incorporating the virtual and home-based delivery, is pivotal</w:t>
      </w:r>
      <w:r>
        <w:rPr>
          <w:b/>
          <w:bCs/>
          <w:i/>
          <w:iCs/>
        </w:rPr>
        <w:t xml:space="preserve"> [Referred to Appendix 2].</w:t>
      </w:r>
      <w:r>
        <w:t xml:space="preserve"> In this prospect, advanced tools like symptom tracking, mobile apps for inhaler reminders, alongside oxygen use monitoring; can boost strict compliance with medical standards (Matthew, 2025). Apart from this, for addressing the psychological well-being, decreasing the isolation and ultimately encouraging motivation, both peer-support groups and community medications are required. </w:t>
      </w:r>
    </w:p>
    <w:bookmarkStart w:id="34" w:name="_Toc213838286"/>
    <w:p>
      <w:pPr>
        <w:pStyle w:val="style2"/>
        <w:spacing w:before="0" w:after="240"/>
        <w:rPr/>
      </w:pPr>
      <w:r>
        <w:t>7.3 End-of-Life and Palliative Care</w:t>
      </w:r>
      <w:bookmarkEnd w:id="34"/>
    </w:p>
    <w:p>
      <w:pPr>
        <w:pStyle w:val="style0"/>
        <w:spacing w:after="240" w:lineRule="auto" w:line="360"/>
        <w:jc w:val="both"/>
        <w:rPr/>
      </w:pPr>
      <w:r>
        <w:t>With respect to disease trajectory, the discussions regarding Palliative care need to start at the early stages while assuring the patients and their families, so that they understand the options for controlling COPD symptoms and boost the quality of life (</w:t>
      </w:r>
      <w:r>
        <w:t>Iyer</w:t>
      </w:r>
      <w:r>
        <w:t xml:space="preserve"> et al., 2022). Furthermore, a close and strong partnership between the community nurse, palliative care teams and the respiratory specialists is pivotal for coping with the distress of CPD. </w:t>
      </w:r>
    </w:p>
    <w:bookmarkStart w:id="35" w:name="_Toc213838287"/>
    <w:p>
      <w:pPr>
        <w:pStyle w:val="style2"/>
        <w:spacing w:before="0" w:after="240"/>
        <w:rPr/>
      </w:pPr>
      <w:r>
        <w:t>7.4 Policy &amp; Practice Recommendations</w:t>
      </w:r>
      <w:bookmarkEnd w:id="35"/>
    </w:p>
    <w:p>
      <w:pPr>
        <w:pStyle w:val="style0"/>
        <w:spacing w:after="240" w:lineRule="auto" w:line="360"/>
        <w:jc w:val="both"/>
        <w:rPr/>
      </w:pPr>
      <w:r>
        <w:t>The healthcare professionals require investing a high amount of monetary resources across giving training to nurses, community infrastructures, alongside home-based oxygen and tele monitoring services, will contribute to strengthening the consistency of patient-</w:t>
      </w:r>
      <w:r>
        <w:t>centred</w:t>
      </w:r>
      <w:r>
        <w:t xml:space="preserve"> care. </w:t>
      </w:r>
    </w:p>
    <w:bookmarkStart w:id="36" w:name="_Toc213838288"/>
    <w:p>
      <w:pPr>
        <w:pStyle w:val="style1"/>
        <w:spacing w:before="0" w:after="240"/>
        <w:rPr/>
      </w:pPr>
      <w:r>
        <w:t>8. Conclusion</w:t>
      </w:r>
      <w:bookmarkEnd w:id="36"/>
    </w:p>
    <w:p>
      <w:pPr>
        <w:pStyle w:val="style0"/>
        <w:spacing w:after="240" w:lineRule="auto" w:line="360"/>
        <w:jc w:val="both"/>
        <w:rPr/>
      </w:pPr>
      <w:r>
        <w:t>It can be concluded that, this paper highlights the managing COPD in the multiple UK healthcare system, where the patients face the damaging air sacs in their both lungs that leads to chronic Bronchitis and Emphysema. This disease can be managed with proper treatment and special care to reduce exacerbation. By fostering an evidence, based holistic approach due to integrated person-</w:t>
      </w:r>
      <w:r>
        <w:t>centred</w:t>
      </w:r>
      <w:r>
        <w:t xml:space="preserve"> management care can help to reduce the effectiveness of the disease towards health systems that truly focus on service delivery for achieving this. To access person-centric care, everyone can increase the quality of health services everywhere as he or she need or when to need them. Therefore, reflecting the person </w:t>
      </w:r>
      <w:r>
        <w:t>centred</w:t>
      </w:r>
      <w:r>
        <w:t xml:space="preserve"> approach for managing the COPD that can improve the better outcomes by depending on empowerment and prevention due to the integration of strategic care.</w:t>
      </w:r>
    </w:p>
    <w:p>
      <w:pPr>
        <w:pStyle w:val="style0"/>
        <w:spacing w:after="240" w:lineRule="auto" w:line="360"/>
        <w:jc w:val="both"/>
        <w:rPr/>
      </w:pPr>
    </w:p>
    <w:p>
      <w:pPr>
        <w:pStyle w:val="style0"/>
        <w:spacing w:after="240" w:lineRule="auto" w:line="360"/>
        <w:jc w:val="both"/>
        <w:rPr/>
      </w:pPr>
    </w:p>
    <w:p>
      <w:pPr>
        <w:pStyle w:val="style0"/>
        <w:spacing w:after="240" w:lineRule="auto" w:line="360"/>
        <w:rPr/>
      </w:pPr>
      <w:r>
        <w:br w:type="page"/>
      </w:r>
    </w:p>
    <w:bookmarkStart w:id="37" w:name="_Toc213838289"/>
    <w:p>
      <w:pPr>
        <w:pStyle w:val="style1"/>
        <w:spacing w:before="0" w:after="240"/>
        <w:rPr/>
      </w:pPr>
      <w:r>
        <w:t>References</w:t>
      </w:r>
      <w:bookmarkStart w:id="38" w:name="_GoBack"/>
      <w:bookmarkEnd w:id="37"/>
      <w:bookmarkEnd w:id="38"/>
    </w:p>
    <w:p>
      <w:pPr>
        <w:pStyle w:val="style0"/>
        <w:pBdr>
          <w:left w:val="nil"/>
          <w:right w:val="nil"/>
          <w:top w:val="nil"/>
          <w:bottom w:val="nil"/>
          <w:between w:val="nil"/>
        </w:pBdr>
        <w:spacing w:after="240" w:lineRule="auto" w:line="360"/>
        <w:jc w:val="both"/>
        <w:rPr>
          <w:color w:val="000000"/>
        </w:rPr>
      </w:pPr>
      <w:r>
        <w:rPr>
          <w:color w:val="222222"/>
          <w:highlight w:val="white"/>
        </w:rPr>
        <w:t xml:space="preserve">Aitken, A. and </w:t>
      </w:r>
      <w:r>
        <w:rPr>
          <w:color w:val="222222"/>
          <w:highlight w:val="white"/>
        </w:rPr>
        <w:t>Lavery</w:t>
      </w:r>
      <w:r>
        <w:rPr>
          <w:color w:val="222222"/>
          <w:highlight w:val="white"/>
        </w:rPr>
        <w:t xml:space="preserve">, J., 2024. The specialist community practitioner district nurse's role in </w:t>
      </w:r>
      <w:r>
        <w:rPr>
          <w:color w:val="222222"/>
          <w:highlight w:val="white"/>
        </w:rPr>
        <w:t>optimising</w:t>
      </w:r>
      <w:r>
        <w:rPr>
          <w:color w:val="222222"/>
          <w:highlight w:val="white"/>
        </w:rPr>
        <w:t xml:space="preserve"> COPD. </w:t>
      </w:r>
      <w:r>
        <w:rPr>
          <w:i/>
          <w:iCs/>
          <w:color w:val="222222"/>
          <w:highlight w:val="white"/>
        </w:rPr>
        <w:t>British Journal of Community Nursing</w:t>
      </w:r>
      <w:r>
        <w:rPr>
          <w:color w:val="222222"/>
          <w:highlight w:val="white"/>
        </w:rPr>
        <w:t xml:space="preserve">, </w:t>
      </w:r>
      <w:r>
        <w:rPr>
          <w:i/>
          <w:iCs/>
          <w:color w:val="222222"/>
          <w:highlight w:val="white"/>
        </w:rPr>
        <w:t>29</w:t>
      </w:r>
      <w:r>
        <w:rPr>
          <w:color w:val="222222"/>
          <w:highlight w:val="white"/>
        </w:rPr>
        <w:t xml:space="preserve">(6), pp.275-281. </w:t>
      </w:r>
      <w:r>
        <w:rPr/>
        <w:fldChar w:fldCharType="begin"/>
      </w:r>
      <w:r>
        <w:instrText xml:space="preserve"> HYPERLINK "http://researchonline.ljmu.ac.uk/id/eprint/21232/1/The%20Specialist%20Community%20Practitioner%20District%20Nurse%20%20SCPDN%20role%20in%20the%20screening%20health%20promotion%20.pdf" </w:instrText>
      </w:r>
      <w:r>
        <w:rPr/>
        <w:fldChar w:fldCharType="separate"/>
      </w:r>
      <w:r>
        <w:rPr>
          <w:color w:val="1155cc"/>
          <w:highlight w:val="white"/>
          <w:u w:val="single"/>
        </w:rPr>
        <w:t>http://researchonline.ljmu.ac.uk/id/eprint/21232/1/The%20Specialist%20Community%20Practitioner%20District%20Nurse%20%20SCPDN%20role%20in%20the%20screening%20health%20promotion%20.pdf</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Alwafi</w:t>
      </w:r>
      <w:r>
        <w:rPr>
          <w:color w:val="222222"/>
          <w:highlight w:val="white"/>
        </w:rPr>
        <w:t xml:space="preserve">, H., </w:t>
      </w:r>
      <w:r>
        <w:rPr>
          <w:color w:val="222222"/>
          <w:highlight w:val="white"/>
        </w:rPr>
        <w:t>Naser</w:t>
      </w:r>
      <w:r>
        <w:rPr>
          <w:color w:val="222222"/>
          <w:highlight w:val="white"/>
        </w:rPr>
        <w:t xml:space="preserve">, A.Y., </w:t>
      </w:r>
      <w:r>
        <w:rPr>
          <w:color w:val="222222"/>
          <w:highlight w:val="white"/>
        </w:rPr>
        <w:t>Ashoor</w:t>
      </w:r>
      <w:r>
        <w:rPr>
          <w:color w:val="222222"/>
          <w:highlight w:val="white"/>
        </w:rPr>
        <w:t xml:space="preserve">, D.S., </w:t>
      </w:r>
      <w:r>
        <w:rPr>
          <w:color w:val="222222"/>
          <w:highlight w:val="white"/>
        </w:rPr>
        <w:t>Aldhahir</w:t>
      </w:r>
      <w:r>
        <w:rPr>
          <w:color w:val="222222"/>
          <w:highlight w:val="white"/>
        </w:rPr>
        <w:t xml:space="preserve">, A.M., </w:t>
      </w:r>
      <w:r>
        <w:rPr>
          <w:color w:val="222222"/>
          <w:highlight w:val="white"/>
        </w:rPr>
        <w:t>Alqahtani</w:t>
      </w:r>
      <w:r>
        <w:rPr>
          <w:color w:val="222222"/>
          <w:highlight w:val="white"/>
        </w:rPr>
        <w:t xml:space="preserve">, J.S., </w:t>
      </w:r>
      <w:r>
        <w:rPr>
          <w:color w:val="222222"/>
          <w:highlight w:val="white"/>
        </w:rPr>
        <w:t>Minshawi</w:t>
      </w:r>
      <w:r>
        <w:rPr>
          <w:color w:val="222222"/>
          <w:highlight w:val="white"/>
        </w:rPr>
        <w:t xml:space="preserve">, F., </w:t>
      </w:r>
      <w:r>
        <w:rPr>
          <w:color w:val="222222"/>
          <w:highlight w:val="white"/>
        </w:rPr>
        <w:t>Salawati</w:t>
      </w:r>
      <w:r>
        <w:rPr>
          <w:color w:val="222222"/>
          <w:highlight w:val="white"/>
        </w:rPr>
        <w:t xml:space="preserve">, E., </w:t>
      </w:r>
      <w:r>
        <w:rPr>
          <w:color w:val="222222"/>
          <w:highlight w:val="white"/>
        </w:rPr>
        <w:t>Samannodi</w:t>
      </w:r>
      <w:r>
        <w:rPr>
          <w:color w:val="222222"/>
          <w:highlight w:val="white"/>
        </w:rPr>
        <w:t xml:space="preserve">, M., </w:t>
      </w:r>
      <w:r>
        <w:rPr>
          <w:color w:val="222222"/>
          <w:highlight w:val="white"/>
        </w:rPr>
        <w:t>Dairi</w:t>
      </w:r>
      <w:r>
        <w:rPr>
          <w:color w:val="222222"/>
          <w:highlight w:val="white"/>
        </w:rPr>
        <w:t xml:space="preserve">, M.S., </w:t>
      </w:r>
      <w:r>
        <w:rPr>
          <w:color w:val="222222"/>
          <w:highlight w:val="white"/>
        </w:rPr>
        <w:t>Alansari</w:t>
      </w:r>
      <w:r>
        <w:rPr>
          <w:color w:val="222222"/>
          <w:highlight w:val="white"/>
        </w:rPr>
        <w:t xml:space="preserve">, A.K. and </w:t>
      </w:r>
      <w:r>
        <w:rPr>
          <w:color w:val="222222"/>
          <w:highlight w:val="white"/>
        </w:rPr>
        <w:t>Ekram</w:t>
      </w:r>
      <w:r>
        <w:rPr>
          <w:color w:val="222222"/>
          <w:highlight w:val="white"/>
        </w:rPr>
        <w:t xml:space="preserve">, R., (2023). Trends in hospital admissions and prescribing due to chronic obstructive pulmonary disease and asthma in England and Wales between 1999 and 2020: an ecological study. </w:t>
      </w:r>
      <w:r>
        <w:rPr>
          <w:i/>
          <w:iCs/>
          <w:color w:val="222222"/>
          <w:highlight w:val="white"/>
        </w:rPr>
        <w:t>BMC Pulmonary Medicine</w:t>
      </w:r>
      <w:r>
        <w:rPr>
          <w:color w:val="222222"/>
          <w:highlight w:val="white"/>
        </w:rPr>
        <w:t xml:space="preserve">, </w:t>
      </w:r>
      <w:r>
        <w:rPr>
          <w:i/>
          <w:iCs/>
          <w:color w:val="222222"/>
          <w:highlight w:val="white"/>
        </w:rPr>
        <w:t>23</w:t>
      </w:r>
      <w:r>
        <w:rPr>
          <w:color w:val="222222"/>
          <w:highlight w:val="white"/>
        </w:rPr>
        <w:t xml:space="preserve">(1), p.49. </w:t>
      </w:r>
      <w:r>
        <w:rPr/>
        <w:fldChar w:fldCharType="begin"/>
      </w:r>
      <w:r>
        <w:instrText xml:space="preserve"> HYPERLINK "https://link.springer.com/content/pdf/10.1186/s12890-023-02342-6.pdf" </w:instrText>
      </w:r>
      <w:r>
        <w:rPr/>
        <w:fldChar w:fldCharType="separate"/>
      </w:r>
      <w:r>
        <w:rPr>
          <w:color w:val="1155cc"/>
          <w:highlight w:val="white"/>
          <w:u w:val="single"/>
        </w:rPr>
        <w:t>https://link.springer.com/content/pdf/10.1186/s12890-023-02342-6.pdf</w:t>
      </w:r>
      <w:r>
        <w:rPr/>
        <w:fldChar w:fldCharType="end"/>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Alzeer</w:t>
      </w:r>
      <w:r>
        <w:rPr>
          <w:rFonts w:ascii="Times New Roman" w:cs="Times New Roman" w:eastAsia="Times New Roman" w:hAnsi="Times New Roman"/>
          <w:color w:val="000000"/>
          <w:sz w:val="24"/>
          <w:szCs w:val="24"/>
        </w:rPr>
        <w:t xml:space="preserve">, J., (2023). Integrating medicine with lifestyle for personalized and holistic healthcare. </w:t>
      </w:r>
      <w:r>
        <w:rPr>
          <w:rFonts w:ascii="Times New Roman" w:cs="Times New Roman" w:eastAsia="Times New Roman" w:hAnsi="Times New Roman"/>
          <w:i/>
          <w:iCs/>
          <w:color w:val="000000"/>
          <w:sz w:val="24"/>
          <w:szCs w:val="24"/>
        </w:rPr>
        <w:t>Journal of Public Health and Emergency</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iCs/>
          <w:color w:val="000000"/>
          <w:sz w:val="24"/>
          <w:szCs w:val="24"/>
        </w:rPr>
        <w:t>7</w:t>
      </w:r>
      <w:r>
        <w:rPr>
          <w:rFonts w:ascii="Times New Roman" w:cs="Times New Roman" w:eastAsia="Times New Roman" w:hAnsi="Times New Roman"/>
          <w:color w:val="000000"/>
          <w:sz w:val="24"/>
          <w:szCs w:val="24"/>
        </w:rPr>
        <w:t xml:space="preserve">.  </w:t>
      </w:r>
      <w:r>
        <w:rPr/>
        <w:fldChar w:fldCharType="begin"/>
      </w:r>
      <w:r>
        <w:instrText xml:space="preserve"> HYPERLINK "https://jphe.amegroups.org/article/view/9442/html" </w:instrText>
      </w:r>
      <w:r>
        <w:rPr/>
        <w:fldChar w:fldCharType="separate"/>
      </w:r>
      <w:r>
        <w:rPr>
          <w:rFonts w:ascii="Times New Roman" w:cs="Times New Roman" w:eastAsia="Times New Roman" w:hAnsi="Times New Roman"/>
          <w:color w:val="0000ff"/>
          <w:sz w:val="24"/>
          <w:szCs w:val="24"/>
          <w:u w:val="single"/>
        </w:rPr>
        <w:t>https://jphe.amegroups.org/article/view/9442/html</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color w:val="000000"/>
        </w:rPr>
      </w:pPr>
      <w:r>
        <w:rPr>
          <w:color w:val="222222"/>
          <w:highlight w:val="white"/>
        </w:rPr>
        <w:t>Berk</w:t>
      </w:r>
      <w:r>
        <w:rPr>
          <w:color w:val="222222"/>
          <w:highlight w:val="white"/>
        </w:rPr>
        <w:t xml:space="preserve">, M., </w:t>
      </w:r>
      <w:r>
        <w:rPr>
          <w:color w:val="222222"/>
          <w:highlight w:val="white"/>
        </w:rPr>
        <w:t>Köhler</w:t>
      </w:r>
      <w:r>
        <w:rPr>
          <w:rFonts w:ascii="Cambria Math" w:cs="Cambria Math" w:eastAsia="Cambria Math" w:hAnsi="Cambria Math"/>
          <w:color w:val="222222"/>
          <w:highlight w:val="white"/>
        </w:rPr>
        <w:t>‐</w:t>
      </w:r>
      <w:r>
        <w:rPr>
          <w:color w:val="222222"/>
          <w:highlight w:val="white"/>
        </w:rPr>
        <w:t xml:space="preserve">Forsberg, O., Turner, M., </w:t>
      </w:r>
      <w:r>
        <w:rPr>
          <w:color w:val="222222"/>
          <w:highlight w:val="white"/>
        </w:rPr>
        <w:t>Penninx</w:t>
      </w:r>
      <w:r>
        <w:rPr>
          <w:color w:val="222222"/>
          <w:highlight w:val="white"/>
        </w:rPr>
        <w:t xml:space="preserve">, B.W., </w:t>
      </w:r>
      <w:r>
        <w:rPr>
          <w:color w:val="222222"/>
          <w:highlight w:val="white"/>
        </w:rPr>
        <w:t>Wrobel</w:t>
      </w:r>
      <w:r>
        <w:rPr>
          <w:color w:val="222222"/>
          <w:highlight w:val="white"/>
        </w:rPr>
        <w:t xml:space="preserve">, A., Firth, J., </w:t>
      </w:r>
      <w:r>
        <w:rPr>
          <w:color w:val="222222"/>
          <w:highlight w:val="white"/>
        </w:rPr>
        <w:t>Loughman</w:t>
      </w:r>
      <w:r>
        <w:rPr>
          <w:color w:val="222222"/>
          <w:highlight w:val="white"/>
        </w:rPr>
        <w:t xml:space="preserve">, A., </w:t>
      </w:r>
      <w:r>
        <w:rPr>
          <w:color w:val="222222"/>
          <w:highlight w:val="white"/>
        </w:rPr>
        <w:t>Reavley</w:t>
      </w:r>
      <w:r>
        <w:rPr>
          <w:color w:val="222222"/>
          <w:highlight w:val="white"/>
        </w:rPr>
        <w:t xml:space="preserve">, N.J., McGrath, J.J., </w:t>
      </w:r>
      <w:r>
        <w:rPr>
          <w:color w:val="222222"/>
          <w:highlight w:val="white"/>
        </w:rPr>
        <w:t>Momen</w:t>
      </w:r>
      <w:r>
        <w:rPr>
          <w:color w:val="222222"/>
          <w:highlight w:val="white"/>
        </w:rPr>
        <w:t>, N.C. and Plana</w:t>
      </w:r>
      <w:r>
        <w:rPr>
          <w:rFonts w:ascii="Cambria Math" w:cs="Cambria Math" w:eastAsia="Cambria Math" w:hAnsi="Cambria Math"/>
          <w:color w:val="222222"/>
          <w:highlight w:val="white"/>
        </w:rPr>
        <w:t>‐</w:t>
      </w:r>
      <w:r>
        <w:rPr>
          <w:color w:val="222222"/>
          <w:highlight w:val="white"/>
        </w:rPr>
        <w:t xml:space="preserve">Ripoll, O., (2023). Comorbidity between major depressive disorder and physical diseases: a comprehensive review of epidemiology, mechanisms and management. </w:t>
      </w:r>
      <w:r>
        <w:rPr>
          <w:i/>
          <w:iCs/>
          <w:color w:val="222222"/>
          <w:highlight w:val="white"/>
        </w:rPr>
        <w:t>World psychiatry</w:t>
      </w:r>
      <w:r>
        <w:rPr>
          <w:color w:val="222222"/>
          <w:highlight w:val="white"/>
        </w:rPr>
        <w:t xml:space="preserve">, </w:t>
      </w:r>
      <w:r>
        <w:rPr>
          <w:i/>
          <w:iCs/>
          <w:color w:val="222222"/>
          <w:highlight w:val="white"/>
        </w:rPr>
        <w:t>22</w:t>
      </w:r>
      <w:r>
        <w:rPr>
          <w:color w:val="222222"/>
          <w:highlight w:val="white"/>
        </w:rPr>
        <w:t xml:space="preserve">(3), pp.366-387. </w:t>
      </w:r>
      <w:r>
        <w:rPr/>
        <w:fldChar w:fldCharType="begin"/>
      </w:r>
      <w:r>
        <w:instrText xml:space="preserve"> HYPERLINK "https://onlinelibrary.wiley.com/doi/pdfdirect/10.1002/wps.21110" </w:instrText>
      </w:r>
      <w:r>
        <w:rPr/>
        <w:fldChar w:fldCharType="separate"/>
      </w:r>
      <w:r>
        <w:rPr>
          <w:color w:val="1155cc"/>
          <w:highlight w:val="white"/>
          <w:u w:val="single"/>
        </w:rPr>
        <w:t>https://onlinelibrary.wiley.com/doi/pdfdirect/10.1002/wps.21110</w:t>
      </w:r>
      <w:r>
        <w:rPr/>
        <w:fldChar w:fldCharType="end"/>
      </w:r>
    </w:p>
    <w:p>
      <w:pPr>
        <w:pStyle w:val="style0"/>
        <w:pBdr>
          <w:left w:val="nil"/>
          <w:right w:val="nil"/>
          <w:top w:val="nil"/>
          <w:bottom w:val="nil"/>
          <w:between w:val="nil"/>
        </w:pBdr>
        <w:spacing w:after="240" w:lineRule="auto" w:line="360"/>
        <w:jc w:val="both"/>
        <w:rPr>
          <w:color w:val="000000"/>
        </w:rPr>
      </w:pPr>
      <w:r>
        <w:rPr>
          <w:color w:val="000000"/>
        </w:rPr>
        <w:t>Breathefree</w:t>
      </w:r>
      <w:r>
        <w:rPr>
          <w:color w:val="000000"/>
        </w:rPr>
        <w:t xml:space="preserve"> (2025). </w:t>
      </w:r>
      <w:r>
        <w:rPr>
          <w:i/>
          <w:iCs/>
          <w:color w:val="000000"/>
        </w:rPr>
        <w:t xml:space="preserve">Chronic Obstructive Pulmonary Disease (COPD). </w:t>
      </w:r>
      <w:r>
        <w:rPr>
          <w:color w:val="000000"/>
        </w:rPr>
        <w:t>Available from</w:t>
      </w:r>
      <w:r>
        <w:rPr/>
        <w:fldChar w:fldCharType="begin"/>
      </w:r>
      <w:r>
        <w:instrText xml:space="preserve"> HYPERLINK "https://www.breathefree.com/breathing-conditions/copd" </w:instrText>
      </w:r>
      <w:r>
        <w:rPr/>
        <w:fldChar w:fldCharType="separate"/>
      </w:r>
      <w:r>
        <w:rPr>
          <w:color w:val="1155cc"/>
          <w:u w:val="single"/>
        </w:rPr>
        <w:t>https://www.breathefree.com/breathing-conditions/copd</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r>
        <w:rPr>
          <w:color w:val="000000"/>
        </w:rPr>
        <w:t>Busari</w:t>
      </w:r>
      <w:r>
        <w:rPr>
          <w:color w:val="000000"/>
        </w:rPr>
        <w:t xml:space="preserve">, M. and Jane, B., (2025). Patient-Centered Care Models–Exploring Personalized Care, shared decision-making, and holistic treatment approaches. </w:t>
      </w:r>
      <w:r>
        <w:rPr/>
        <w:fldChar w:fldCharType="begin"/>
      </w:r>
      <w:r>
        <w:instrText xml:space="preserve"> HYPERLINK "https://www.researchgate.net/profile/Muhammed-Busari/publication/390696546_Patient-Centered_Care_Models_-Exploring_Personalized_Care_shared_decision-making_and_holistic_treatment_approaches/links/67f93de5df0e3f544f40bc1f/Patient-Centered-Care-Models-Exploring-Personalized-Care-shared-decision-making-and-holistic-treatment-approaches.pdf" </w:instrText>
      </w:r>
      <w:r>
        <w:rPr/>
        <w:fldChar w:fldCharType="separate"/>
      </w:r>
      <w:r>
        <w:rPr>
          <w:rStyle w:val="style85"/>
        </w:rPr>
        <w:t>https://www.researchgate.net/profile/Muhammed-Busari/publication/390696546_Patient-Centered_Care_Models_-Exploring_Personalized_Care_shared_decision-making_and_holistic_treatment_approaches/links/67f93de5df0e3f544f40bc1f/Patient-Centered-Care-Models-Exploring-Personalized-Care-shared-decision-making-and-holistic-treatment-approaches.pdf</w:t>
      </w:r>
      <w:r>
        <w:rPr/>
        <w:fldChar w:fldCharType="end"/>
      </w:r>
      <w:r>
        <w:rPr>
          <w:color w:val="000000"/>
        </w:rPr>
        <w:t> </w:t>
      </w:r>
    </w:p>
    <w:p>
      <w:pPr>
        <w:pStyle w:val="style0"/>
        <w:pBdr>
          <w:left w:val="nil"/>
          <w:right w:val="nil"/>
          <w:top w:val="nil"/>
          <w:bottom w:val="nil"/>
          <w:between w:val="nil"/>
        </w:pBdr>
        <w:spacing w:after="240" w:lineRule="auto" w:line="360"/>
        <w:jc w:val="both"/>
        <w:rPr>
          <w:color w:val="000000"/>
        </w:rPr>
      </w:pPr>
      <w:r>
        <w:rPr>
          <w:color w:val="222222"/>
          <w:highlight w:val="white"/>
        </w:rPr>
        <w:t xml:space="preserve">Buttery, S.C., </w:t>
      </w:r>
      <w:r>
        <w:rPr>
          <w:color w:val="222222"/>
          <w:highlight w:val="white"/>
        </w:rPr>
        <w:t>Zysman</w:t>
      </w:r>
      <w:r>
        <w:rPr>
          <w:color w:val="222222"/>
          <w:highlight w:val="white"/>
        </w:rPr>
        <w:t xml:space="preserve">, M., </w:t>
      </w:r>
      <w:r>
        <w:rPr>
          <w:color w:val="222222"/>
          <w:highlight w:val="white"/>
        </w:rPr>
        <w:t>Vikjord</w:t>
      </w:r>
      <w:r>
        <w:rPr>
          <w:color w:val="222222"/>
          <w:highlight w:val="white"/>
        </w:rPr>
        <w:t xml:space="preserve">, S.A., Hopkinson, N.S., Jenkins, C. and </w:t>
      </w:r>
      <w:r>
        <w:rPr>
          <w:color w:val="222222"/>
          <w:highlight w:val="white"/>
        </w:rPr>
        <w:t>Vanfleteren</w:t>
      </w:r>
      <w:r>
        <w:rPr>
          <w:color w:val="222222"/>
          <w:highlight w:val="white"/>
        </w:rPr>
        <w:t xml:space="preserve">, L.E., (2021). Contemporary perspectives in COPD: patient burden, the role of gender and trajectories of </w:t>
      </w:r>
      <w:r>
        <w:rPr>
          <w:color w:val="222222"/>
          <w:highlight w:val="white"/>
        </w:rPr>
        <w:t>multimorbidity</w:t>
      </w:r>
      <w:r>
        <w:rPr>
          <w:color w:val="222222"/>
          <w:highlight w:val="white"/>
        </w:rPr>
        <w:t xml:space="preserve">. </w:t>
      </w:r>
      <w:r>
        <w:rPr>
          <w:i/>
          <w:iCs/>
          <w:color w:val="222222"/>
          <w:highlight w:val="white"/>
        </w:rPr>
        <w:t>Respirology</w:t>
      </w:r>
      <w:r>
        <w:rPr>
          <w:color w:val="222222"/>
          <w:highlight w:val="white"/>
        </w:rPr>
        <w:t xml:space="preserve">, </w:t>
      </w:r>
      <w:r>
        <w:rPr>
          <w:i/>
          <w:iCs/>
          <w:color w:val="222222"/>
          <w:highlight w:val="white"/>
        </w:rPr>
        <w:t>26</w:t>
      </w:r>
      <w:r>
        <w:rPr>
          <w:color w:val="222222"/>
          <w:highlight w:val="white"/>
        </w:rPr>
        <w:t xml:space="preserve">(5), pp.419-441. </w:t>
      </w:r>
      <w:r>
        <w:rPr/>
        <w:fldChar w:fldCharType="begin"/>
      </w:r>
      <w:r>
        <w:instrText xml:space="preserve"> HYPERLINK "https://onlinelibrary.wiley.com/doi/pdf/10.1111/resp.14032" </w:instrText>
      </w:r>
      <w:r>
        <w:rPr/>
        <w:fldChar w:fldCharType="separate"/>
      </w:r>
      <w:r>
        <w:rPr>
          <w:color w:val="1155cc"/>
          <w:highlight w:val="white"/>
          <w:u w:val="single"/>
        </w:rPr>
        <w:t>https://onlinelibrary.wiley.com/doi/pdf/10.1111/resp.14032</w:t>
      </w:r>
      <w:r>
        <w:rPr/>
        <w:fldChar w:fldCharType="end"/>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 Charles, M. and </w:t>
      </w:r>
      <w:r>
        <w:rPr>
          <w:rFonts w:ascii="Times New Roman" w:cs="Times New Roman" w:eastAsia="Times New Roman" w:hAnsi="Times New Roman"/>
          <w:color w:val="000000"/>
          <w:sz w:val="24"/>
          <w:szCs w:val="24"/>
        </w:rPr>
        <w:t>Ochieng</w:t>
      </w:r>
      <w:r>
        <w:rPr>
          <w:rFonts w:ascii="Times New Roman" w:cs="Times New Roman" w:eastAsia="Times New Roman" w:hAnsi="Times New Roman"/>
          <w:color w:val="000000"/>
          <w:sz w:val="24"/>
          <w:szCs w:val="24"/>
        </w:rPr>
        <w:t xml:space="preserve">, S.B., (2023). Strategic outsourcing and firm performance: a review of literature. </w:t>
      </w:r>
      <w:r>
        <w:rPr>
          <w:rFonts w:ascii="Times New Roman" w:cs="Times New Roman" w:eastAsia="Times New Roman" w:hAnsi="Times New Roman"/>
          <w:i/>
          <w:iCs/>
          <w:color w:val="000000"/>
          <w:sz w:val="24"/>
          <w:szCs w:val="24"/>
        </w:rPr>
        <w:t>International Journal of Social Science and Humanities Research (IJSSHR)</w:t>
      </w:r>
      <w:r>
        <w:rPr>
          <w:rFonts w:ascii="Times New Roman" w:cs="Times New Roman" w:eastAsia="Times New Roman" w:hAnsi="Times New Roman"/>
          <w:i/>
          <w:iCs/>
          <w:color w:val="000000"/>
          <w:sz w:val="24"/>
          <w:szCs w:val="24"/>
        </w:rPr>
        <w:t>  ISSN</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iCs/>
          <w:color w:val="000000"/>
          <w:sz w:val="24"/>
          <w:szCs w:val="24"/>
        </w:rPr>
        <w:t>1</w:t>
      </w:r>
      <w:r>
        <w:rPr>
          <w:rFonts w:ascii="Times New Roman" w:cs="Times New Roman" w:eastAsia="Times New Roman" w:hAnsi="Times New Roman"/>
          <w:color w:val="000000"/>
          <w:sz w:val="24"/>
          <w:szCs w:val="24"/>
        </w:rPr>
        <w:t xml:space="preserve">(1), pp.20-29. </w:t>
      </w:r>
      <w:r>
        <w:rPr/>
        <w:fldChar w:fldCharType="begin"/>
      </w:r>
      <w:r>
        <w:instrText xml:space="preserve"> HYPERLINK "https://www.researchgate.net/profile/Muo-Charles/publication/372748300_Strategic_Outsourcing_and_Firm_Performance_A_Review_of_Literature/links/65e5a8d0c3b52a1170139c4f/Strategic-Outsourcing-and-Firm-Performance-A-Review-of-Literature.pdf" </w:instrText>
      </w:r>
      <w:r>
        <w:rPr/>
        <w:fldChar w:fldCharType="separate"/>
      </w:r>
      <w:r>
        <w:rPr>
          <w:rFonts w:ascii="Times New Roman" w:cs="Times New Roman" w:eastAsia="Times New Roman" w:hAnsi="Times New Roman"/>
          <w:color w:val="0000ff"/>
          <w:sz w:val="24"/>
          <w:szCs w:val="24"/>
          <w:u w:val="single"/>
        </w:rPr>
        <w:t>https://www.researchgate.net/profile/Muo-Charles/publication/372748300_Strategic_Outsourcing_and_Firm_Performance_A_Review_of_Literature/links/65e5a8d0c3b52a1170139c4f/Strategic-Outsourcing-and-Firm-Performance-A-Review-of-Literature.pdf</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color w:val="000000"/>
        </w:rPr>
      </w:pPr>
      <w:r>
        <w:rPr>
          <w:color w:val="222222"/>
          <w:highlight w:val="white"/>
        </w:rPr>
        <w:t>Corlateanu</w:t>
      </w:r>
      <w:r>
        <w:rPr>
          <w:color w:val="222222"/>
          <w:highlight w:val="white"/>
        </w:rPr>
        <w:t xml:space="preserve">, A., </w:t>
      </w:r>
      <w:r>
        <w:rPr>
          <w:color w:val="222222"/>
          <w:highlight w:val="white"/>
        </w:rPr>
        <w:t>Covantsev</w:t>
      </w:r>
      <w:r>
        <w:rPr>
          <w:color w:val="222222"/>
          <w:highlight w:val="white"/>
        </w:rPr>
        <w:t xml:space="preserve">, S., </w:t>
      </w:r>
      <w:r>
        <w:rPr>
          <w:color w:val="222222"/>
          <w:highlight w:val="white"/>
        </w:rPr>
        <w:t>Iasabash</w:t>
      </w:r>
      <w:r>
        <w:rPr>
          <w:color w:val="222222"/>
          <w:highlight w:val="white"/>
        </w:rPr>
        <w:t xml:space="preserve">, O., </w:t>
      </w:r>
      <w:r>
        <w:rPr>
          <w:color w:val="222222"/>
          <w:highlight w:val="white"/>
        </w:rPr>
        <w:t>Lupu</w:t>
      </w:r>
      <w:r>
        <w:rPr>
          <w:color w:val="222222"/>
          <w:highlight w:val="white"/>
        </w:rPr>
        <w:t xml:space="preserve">, L., </w:t>
      </w:r>
      <w:r>
        <w:rPr>
          <w:color w:val="222222"/>
          <w:highlight w:val="white"/>
        </w:rPr>
        <w:t>Avadanii</w:t>
      </w:r>
      <w:r>
        <w:rPr>
          <w:color w:val="222222"/>
          <w:highlight w:val="white"/>
        </w:rPr>
        <w:t xml:space="preserve">, M. and </w:t>
      </w:r>
      <w:r>
        <w:rPr>
          <w:color w:val="222222"/>
          <w:highlight w:val="white"/>
        </w:rPr>
        <w:t>Siafakas</w:t>
      </w:r>
      <w:r>
        <w:rPr>
          <w:color w:val="222222"/>
          <w:highlight w:val="white"/>
        </w:rPr>
        <w:t xml:space="preserve">, N., (2025), July. Chronic Obstructive Pulmonary Disease and Depression—The Vicious Mental Cycle. In </w:t>
      </w:r>
      <w:r>
        <w:rPr>
          <w:i/>
          <w:iCs/>
          <w:color w:val="222222"/>
          <w:highlight w:val="white"/>
        </w:rPr>
        <w:t>Healthcare</w:t>
      </w:r>
      <w:r>
        <w:rPr>
          <w:color w:val="222222"/>
          <w:highlight w:val="white"/>
        </w:rPr>
        <w:t xml:space="preserve"> (Vol. 13, No. 14, p. 1699). MDPI. </w:t>
      </w:r>
      <w:r>
        <w:rPr/>
        <w:fldChar w:fldCharType="begin"/>
      </w:r>
      <w:r>
        <w:instrText xml:space="preserve"> HYPERLINK "https://www.mdpi.com/2227-9032/13/14/1699" </w:instrText>
      </w:r>
      <w:r>
        <w:rPr/>
        <w:fldChar w:fldCharType="separate"/>
      </w:r>
      <w:r>
        <w:rPr>
          <w:color w:val="1155cc"/>
          <w:highlight w:val="white"/>
          <w:u w:val="single"/>
        </w:rPr>
        <w:t>https://www.mdpi.com/2227-9032/13/14/1699</w:t>
      </w:r>
      <w:r>
        <w:rPr/>
        <w:fldChar w:fldCharType="end"/>
      </w:r>
    </w:p>
    <w:p>
      <w:pPr>
        <w:pStyle w:val="style0"/>
        <w:pBdr>
          <w:left w:val="nil"/>
          <w:right w:val="nil"/>
          <w:top w:val="nil"/>
          <w:bottom w:val="nil"/>
          <w:between w:val="nil"/>
        </w:pBdr>
        <w:spacing w:after="240" w:lineRule="auto" w:line="360"/>
        <w:jc w:val="both"/>
        <w:rPr>
          <w:color w:val="000000"/>
        </w:rPr>
      </w:pPr>
      <w:r>
        <w:rPr>
          <w:color w:val="000000"/>
        </w:rPr>
        <w:t xml:space="preserve">Daley. M., (2025). </w:t>
      </w:r>
      <w:r>
        <w:rPr>
          <w:i/>
          <w:iCs/>
          <w:color w:val="000000"/>
        </w:rPr>
        <w:t>Better breathing: How we treat COPD.</w:t>
      </w:r>
      <w:r>
        <w:rPr>
          <w:color w:val="000000"/>
        </w:rPr>
        <w:t xml:space="preserve"> Available from</w:t>
      </w:r>
      <w:r>
        <w:rPr/>
        <w:fldChar w:fldCharType="begin"/>
      </w:r>
      <w:r>
        <w:instrText xml:space="preserve"> HYPERLINK "https://newsroom.osfhealthcare.org/better-breathing-how-we-treat-copd/" </w:instrText>
      </w:r>
      <w:r>
        <w:rPr/>
        <w:fldChar w:fldCharType="separate"/>
      </w:r>
      <w:r>
        <w:rPr>
          <w:color w:val="1155cc"/>
          <w:u w:val="single"/>
        </w:rPr>
        <w:t>https://newsroom.osfhealthcare.org/better-breathing-how-we-treat-copd/</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r>
        <w:rPr>
          <w:color w:val="000000"/>
        </w:rPr>
        <w:t xml:space="preserve">Department of Health and Social Care (2019). </w:t>
      </w:r>
      <w:r>
        <w:rPr>
          <w:i/>
          <w:iCs/>
          <w:color w:val="000000"/>
        </w:rPr>
        <w:t xml:space="preserve">NHS Long Term Plan launched. </w:t>
      </w:r>
      <w:r>
        <w:rPr>
          <w:color w:val="000000"/>
        </w:rPr>
        <w:t>Available from</w:t>
      </w:r>
      <w:r>
        <w:rPr/>
        <w:fldChar w:fldCharType="begin"/>
      </w:r>
      <w:r>
        <w:instrText xml:space="preserve"> HYPERLINK "https://www.gov.uk/government/news/nhs-long-term-plan-launched" </w:instrText>
      </w:r>
      <w:r>
        <w:rPr/>
        <w:fldChar w:fldCharType="separate"/>
      </w:r>
      <w:r>
        <w:rPr>
          <w:color w:val="1155cc"/>
          <w:highlight w:val="white"/>
          <w:u w:val="single"/>
        </w:rPr>
        <w:t>https://www.gov.uk/government/news/nhs-long-term-plan-launched</w:t>
      </w:r>
      <w:r>
        <w:rPr/>
        <w:fldChar w:fldCharType="end"/>
      </w:r>
      <w:r>
        <w:rPr>
          <w:color w:val="222222"/>
          <w:highlight w:val="white"/>
        </w:rPr>
        <w:t xml:space="preserve">. </w:t>
      </w:r>
      <w:r>
        <w:rPr>
          <w:color w:val="000000"/>
        </w:rPr>
        <w:t>Accessed on 6.11.2025</w:t>
      </w:r>
    </w:p>
    <w:p>
      <w:pPr>
        <w:pStyle w:val="style0"/>
        <w:pBdr>
          <w:left w:val="nil"/>
          <w:right w:val="nil"/>
          <w:top w:val="nil"/>
          <w:bottom w:val="nil"/>
          <w:between w:val="nil"/>
        </w:pBdr>
        <w:spacing w:after="240" w:lineRule="auto" w:line="360"/>
        <w:jc w:val="both"/>
        <w:rPr>
          <w:color w:val="000000"/>
        </w:rPr>
      </w:pPr>
      <w:r>
        <w:rPr>
          <w:color w:val="000000"/>
        </w:rPr>
        <w:t xml:space="preserve">Department of Health and Social Care (2020). </w:t>
      </w:r>
      <w:r>
        <w:rPr>
          <w:i/>
          <w:iCs/>
          <w:color w:val="000000"/>
        </w:rPr>
        <w:t xml:space="preserve">Smoke-free generation: tobacco control plan for England. </w:t>
      </w:r>
      <w:r>
        <w:rPr>
          <w:color w:val="000000"/>
        </w:rPr>
        <w:t> Available from</w:t>
      </w:r>
      <w:r>
        <w:rPr/>
        <w:fldChar w:fldCharType="begin"/>
      </w:r>
      <w:r>
        <w:instrText xml:space="preserve"> HYPERLINK "https://www.gov.uk/government/publications/towards-a-smoke-free-generation-tobacco-control-plan-for-england" </w:instrText>
      </w:r>
      <w:r>
        <w:rPr/>
        <w:fldChar w:fldCharType="separate"/>
      </w:r>
      <w:r>
        <w:rPr>
          <w:color w:val="1155cc"/>
          <w:highlight w:val="white"/>
          <w:u w:val="single"/>
        </w:rPr>
        <w:t>https://www.gov.uk/government/publications/towards-a-smoke-free-generation-tobacco-control-plan-for-england</w:t>
      </w:r>
      <w:r>
        <w:rPr/>
        <w:fldChar w:fldCharType="end"/>
      </w:r>
      <w:r>
        <w:rPr>
          <w:color w:val="222222"/>
          <w:highlight w:val="white"/>
        </w:rPr>
        <w:t>. </w:t>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 xml:space="preserve">Di Falco, C., Noto, G., </w:t>
      </w:r>
      <w:r>
        <w:rPr>
          <w:rFonts w:ascii="Times New Roman" w:cs="Times New Roman" w:eastAsia="Times New Roman" w:hAnsi="Times New Roman"/>
          <w:color w:val="000000"/>
          <w:sz w:val="24"/>
          <w:szCs w:val="24"/>
        </w:rPr>
        <w:t>Marisca</w:t>
      </w:r>
      <w:r>
        <w:rPr>
          <w:rFonts w:ascii="Times New Roman" w:cs="Times New Roman" w:eastAsia="Times New Roman" w:hAnsi="Times New Roman"/>
          <w:color w:val="000000"/>
          <w:sz w:val="24"/>
          <w:szCs w:val="24"/>
        </w:rPr>
        <w:t xml:space="preserve">, C. and Barresi, G., (2024). The contribution of information and communication technologies on performance management and measurement in healthcare: a systematic review of the literature. </w:t>
      </w:r>
      <w:r>
        <w:rPr>
          <w:rFonts w:ascii="Times New Roman" w:cs="Times New Roman" w:eastAsia="Times New Roman" w:hAnsi="Times New Roman"/>
          <w:i/>
          <w:iCs/>
          <w:color w:val="000000"/>
          <w:sz w:val="24"/>
          <w:szCs w:val="24"/>
        </w:rPr>
        <w:t>The TQM Journal</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iCs/>
          <w:color w:val="000000"/>
          <w:sz w:val="24"/>
          <w:szCs w:val="24"/>
        </w:rPr>
        <w:t>36</w:t>
      </w:r>
      <w:r>
        <w:rPr>
          <w:rFonts w:ascii="Times New Roman" w:cs="Times New Roman" w:eastAsia="Times New Roman" w:hAnsi="Times New Roman"/>
          <w:color w:val="000000"/>
          <w:sz w:val="24"/>
          <w:szCs w:val="24"/>
        </w:rPr>
        <w:t xml:space="preserve">(9), pp.371-391. </w:t>
      </w:r>
      <w:r>
        <w:rPr/>
        <w:fldChar w:fldCharType="begin"/>
      </w:r>
      <w:r>
        <w:instrText xml:space="preserve"> HYPERLINK "https://www.emerald.com/insight/content/doi/10.1108/tqm-12-2023-0425/full/pdf" </w:instrText>
      </w:r>
      <w:r>
        <w:rPr/>
        <w:fldChar w:fldCharType="separate"/>
      </w:r>
      <w:r>
        <w:rPr>
          <w:rFonts w:ascii="Times New Roman" w:cs="Times New Roman" w:eastAsia="Times New Roman" w:hAnsi="Times New Roman"/>
          <w:color w:val="0000ff"/>
          <w:sz w:val="24"/>
          <w:szCs w:val="24"/>
          <w:u w:val="single"/>
        </w:rPr>
        <w:t>https://www.emerald.com/insight/content/doi/10.1108/tqm-12-2023-0425/full/pdf</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Endalamaw</w:t>
      </w:r>
      <w:r>
        <w:rPr>
          <w:rFonts w:ascii="Times New Roman" w:cs="Times New Roman" w:eastAsia="Times New Roman" w:hAnsi="Times New Roman"/>
          <w:color w:val="000000"/>
          <w:sz w:val="24"/>
          <w:szCs w:val="24"/>
        </w:rPr>
        <w:t xml:space="preserve">, A., </w:t>
      </w:r>
      <w:r>
        <w:rPr>
          <w:rFonts w:ascii="Times New Roman" w:cs="Times New Roman" w:eastAsia="Times New Roman" w:hAnsi="Times New Roman"/>
          <w:color w:val="000000"/>
          <w:sz w:val="24"/>
          <w:szCs w:val="24"/>
        </w:rPr>
        <w:t>Zewdie</w:t>
      </w:r>
      <w:r>
        <w:rPr>
          <w:rFonts w:ascii="Times New Roman" w:cs="Times New Roman" w:eastAsia="Times New Roman" w:hAnsi="Times New Roman"/>
          <w:color w:val="000000"/>
          <w:sz w:val="24"/>
          <w:szCs w:val="24"/>
        </w:rPr>
        <w:t xml:space="preserve">, A., </w:t>
      </w:r>
      <w:r>
        <w:rPr>
          <w:rFonts w:ascii="Times New Roman" w:cs="Times New Roman" w:eastAsia="Times New Roman" w:hAnsi="Times New Roman"/>
          <w:color w:val="000000"/>
          <w:sz w:val="24"/>
          <w:szCs w:val="24"/>
        </w:rPr>
        <w:t>Wolka</w:t>
      </w:r>
      <w:r>
        <w:rPr>
          <w:rFonts w:ascii="Times New Roman" w:cs="Times New Roman" w:eastAsia="Times New Roman" w:hAnsi="Times New Roman"/>
          <w:color w:val="000000"/>
          <w:sz w:val="24"/>
          <w:szCs w:val="24"/>
        </w:rPr>
        <w:t xml:space="preserve">, E. and </w:t>
      </w:r>
      <w:r>
        <w:rPr>
          <w:rFonts w:ascii="Times New Roman" w:cs="Times New Roman" w:eastAsia="Times New Roman" w:hAnsi="Times New Roman"/>
          <w:color w:val="000000"/>
          <w:sz w:val="24"/>
          <w:szCs w:val="24"/>
        </w:rPr>
        <w:t>Assefa</w:t>
      </w:r>
      <w:r>
        <w:rPr>
          <w:rFonts w:ascii="Times New Roman" w:cs="Times New Roman" w:eastAsia="Times New Roman" w:hAnsi="Times New Roman"/>
          <w:color w:val="000000"/>
          <w:sz w:val="24"/>
          <w:szCs w:val="24"/>
        </w:rPr>
        <w:t xml:space="preserve">, Y., (2024). Care models for Individuals with Chronic </w:t>
      </w:r>
      <w:r>
        <w:rPr>
          <w:rFonts w:ascii="Times New Roman" w:cs="Times New Roman" w:eastAsia="Times New Roman" w:hAnsi="Times New Roman"/>
          <w:color w:val="000000"/>
          <w:sz w:val="24"/>
          <w:szCs w:val="24"/>
        </w:rPr>
        <w:t>Multimorbidity</w:t>
      </w:r>
      <w:r>
        <w:rPr>
          <w:rFonts w:ascii="Times New Roman" w:cs="Times New Roman" w:eastAsia="Times New Roman" w:hAnsi="Times New Roman"/>
          <w:color w:val="000000"/>
          <w:sz w:val="24"/>
          <w:szCs w:val="24"/>
        </w:rPr>
        <w:t xml:space="preserve">: Elements, Impact, Implementation Challenges and Facilitators. </w:t>
      </w:r>
      <w:r>
        <w:rPr/>
        <w:fldChar w:fldCharType="begin"/>
      </w:r>
      <w:r>
        <w:instrText xml:space="preserve"> HYPERLINK "https://www.researchsquare.com/article/rs-4511114" </w:instrText>
      </w:r>
      <w:r>
        <w:rPr/>
        <w:fldChar w:fldCharType="separate"/>
      </w:r>
      <w:r>
        <w:rPr>
          <w:rFonts w:ascii="Times New Roman" w:cs="Times New Roman" w:eastAsia="Times New Roman" w:hAnsi="Times New Roman"/>
          <w:color w:val="0000ff"/>
          <w:sz w:val="24"/>
          <w:szCs w:val="24"/>
          <w:u w:val="single"/>
        </w:rPr>
        <w:t>https://www.researchsquare.com/article/rs-4511114</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color w:val="000000"/>
        </w:rPr>
      </w:pPr>
      <w:r>
        <w:rPr>
          <w:color w:val="222222"/>
          <w:highlight w:val="white"/>
        </w:rPr>
        <w:t xml:space="preserve">Engel, G.L., (2003). The clinical application of the biopsychosocial model. </w:t>
      </w:r>
      <w:r>
        <w:rPr>
          <w:i/>
          <w:iCs/>
          <w:color w:val="222222"/>
          <w:highlight w:val="white"/>
        </w:rPr>
        <w:t>The biopsychosocial approach: Past, present, and future</w:t>
      </w:r>
      <w:r>
        <w:rPr>
          <w:color w:val="222222"/>
          <w:highlight w:val="white"/>
        </w:rPr>
        <w:t xml:space="preserve">, pp.1-20. </w:t>
      </w:r>
      <w:r>
        <w:rPr/>
        <w:fldChar w:fldCharType="begin"/>
      </w:r>
      <w:r>
        <w:instrText xml:space="preserve"> HYPERLINK "https://books.google.com/books?hl=en&amp;lr=&amp;id=hplwZAWGjcMC&amp;oi=fnd&amp;pg=PA1&amp;dq=Engel%E2%80%99s+Biopsychosocial+Model+by+engel+in+1977&amp;ots=Ub4Ke-D6QA&amp;sig=MZVc4H0cpoOcsFr8M8bGpM-l-oc" </w:instrText>
      </w:r>
      <w:r>
        <w:rPr/>
        <w:fldChar w:fldCharType="separate"/>
      </w:r>
      <w:r>
        <w:rPr>
          <w:color w:val="1155cc"/>
          <w:highlight w:val="white"/>
          <w:u w:val="single"/>
        </w:rPr>
        <w:t>https://books.google.com/books?hl=en&amp;lr=&amp;id=hplwZAWGjcMC&amp;oi=fnd&amp;pg=PA1&amp;dq=Engel%E2%80%99s+Biopsychosocial+Model+by+engel+in+1977&amp;ots=Ub4Ke-D6QA&amp;sig=MZVc4H0cpoOcsFr8M8bGpM-l-oc</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Ferreira, T. and Collins, A.M., 2023. The NHS Long Term Workforce Plan: an ambitious leap or a misstep</w:t>
      </w:r>
      <w:r>
        <w:rPr>
          <w:color w:val="222222"/>
          <w:highlight w:val="white"/>
        </w:rPr>
        <w:t>?.</w:t>
      </w:r>
      <w:r>
        <w:rPr>
          <w:i/>
          <w:iCs/>
          <w:color w:val="222222"/>
          <w:highlight w:val="white"/>
        </w:rPr>
        <w:t>Journal of the Royal Society of Medicine</w:t>
      </w:r>
      <w:r>
        <w:rPr>
          <w:color w:val="222222"/>
          <w:highlight w:val="white"/>
        </w:rPr>
        <w:t xml:space="preserve">, </w:t>
      </w:r>
      <w:r>
        <w:rPr>
          <w:i/>
          <w:iCs/>
          <w:color w:val="222222"/>
          <w:highlight w:val="white"/>
        </w:rPr>
        <w:t>116</w:t>
      </w:r>
      <w:r>
        <w:rPr>
          <w:color w:val="222222"/>
          <w:highlight w:val="white"/>
        </w:rPr>
        <w:t>(11), pp.368-370.</w:t>
      </w:r>
      <w:r>
        <w:rPr>
          <w:color w:val="222222"/>
          <w:highlight w:val="white"/>
        </w:rPr>
        <w:t xml:space="preserve"> </w:t>
      </w:r>
      <w:r>
        <w:rPr/>
        <w:fldChar w:fldCharType="begin"/>
      </w:r>
      <w:r>
        <w:instrText xml:space="preserve"> HYPERLINK "https://journals.sagepub.com/doi/pdf/10.1177/01410768231198373" </w:instrText>
      </w:r>
      <w:r>
        <w:rPr/>
        <w:fldChar w:fldCharType="separate"/>
      </w:r>
      <w:r>
        <w:rPr>
          <w:color w:val="1155cc"/>
          <w:highlight w:val="white"/>
          <w:u w:val="single"/>
        </w:rPr>
        <w:t>https://journals.sagepub.com/doi/pdf/10.1177/01410768231198373</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Iyer</w:t>
      </w:r>
      <w:r>
        <w:rPr>
          <w:color w:val="222222"/>
          <w:highlight w:val="white"/>
        </w:rPr>
        <w:t xml:space="preserve">, A.S., Sullivan, D.R., Lindell, K.O. and </w:t>
      </w:r>
      <w:r>
        <w:rPr>
          <w:color w:val="222222"/>
          <w:highlight w:val="white"/>
        </w:rPr>
        <w:t>Reinke</w:t>
      </w:r>
      <w:r>
        <w:rPr>
          <w:color w:val="222222"/>
          <w:highlight w:val="white"/>
        </w:rPr>
        <w:t xml:space="preserve">, L.F., 2022. The role of palliative care in COPD. </w:t>
      </w:r>
      <w:r>
        <w:rPr>
          <w:i/>
          <w:iCs/>
          <w:color w:val="222222"/>
          <w:highlight w:val="white"/>
        </w:rPr>
        <w:t>Chest</w:t>
      </w:r>
      <w:r>
        <w:rPr>
          <w:color w:val="222222"/>
          <w:highlight w:val="white"/>
        </w:rPr>
        <w:t xml:space="preserve">, </w:t>
      </w:r>
      <w:r>
        <w:rPr>
          <w:i/>
          <w:iCs/>
          <w:color w:val="222222"/>
          <w:highlight w:val="white"/>
        </w:rPr>
        <w:t>161</w:t>
      </w:r>
      <w:r>
        <w:rPr>
          <w:color w:val="222222"/>
          <w:highlight w:val="white"/>
        </w:rPr>
        <w:t xml:space="preserve">(5), pp.1250-1262. </w:t>
      </w:r>
      <w:r>
        <w:rPr/>
        <w:fldChar w:fldCharType="begin"/>
      </w:r>
      <w:r>
        <w:instrText xml:space="preserve"> HYPERLINK "https://pmc.ncbi.nlm.nih.gov/articles/PMC9131048/pdf/main.pdf" </w:instrText>
      </w:r>
      <w:r>
        <w:rPr/>
        <w:fldChar w:fldCharType="separate"/>
      </w:r>
      <w:r>
        <w:rPr>
          <w:color w:val="1155cc"/>
          <w:highlight w:val="white"/>
          <w:u w:val="single"/>
        </w:rPr>
        <w:t>https://pmc.ncbi.nlm.nih.gov/articles/PMC9131048/pdf/main.pdf</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Madawala</w:t>
      </w:r>
      <w:r>
        <w:rPr>
          <w:color w:val="222222"/>
          <w:highlight w:val="white"/>
        </w:rPr>
        <w:t xml:space="preserve">, S., </w:t>
      </w:r>
      <w:r>
        <w:rPr>
          <w:color w:val="222222"/>
          <w:highlight w:val="white"/>
        </w:rPr>
        <w:t>Osadnik</w:t>
      </w:r>
      <w:r>
        <w:rPr>
          <w:color w:val="222222"/>
          <w:highlight w:val="white"/>
        </w:rPr>
        <w:t xml:space="preserve">, C.R., Warren, N., </w:t>
      </w:r>
      <w:r>
        <w:rPr>
          <w:color w:val="222222"/>
          <w:highlight w:val="white"/>
        </w:rPr>
        <w:t>Kasiviswanathan</w:t>
      </w:r>
      <w:r>
        <w:rPr>
          <w:color w:val="222222"/>
          <w:highlight w:val="white"/>
        </w:rPr>
        <w:t xml:space="preserve">, K. and Barton, C., (2023). Healthcare experiences of adults with COPD across community care settings: a meta-ethnography. </w:t>
      </w:r>
      <w:r>
        <w:rPr>
          <w:i/>
          <w:iCs/>
          <w:color w:val="222222"/>
          <w:highlight w:val="white"/>
        </w:rPr>
        <w:t>ERJ Open Research</w:t>
      </w:r>
      <w:r>
        <w:rPr>
          <w:color w:val="222222"/>
          <w:highlight w:val="white"/>
        </w:rPr>
        <w:t xml:space="preserve">, </w:t>
      </w:r>
      <w:r>
        <w:rPr>
          <w:i/>
          <w:iCs/>
          <w:color w:val="222222"/>
          <w:highlight w:val="white"/>
        </w:rPr>
        <w:t>9</w:t>
      </w:r>
      <w:r>
        <w:rPr>
          <w:color w:val="222222"/>
          <w:highlight w:val="white"/>
        </w:rPr>
        <w:t xml:space="preserve">(1). </w:t>
      </w:r>
      <w:r>
        <w:rPr/>
        <w:fldChar w:fldCharType="begin"/>
      </w:r>
      <w:r>
        <w:instrText xml:space="preserve"> HYPERLINK "https://publications.ersnet.org/content/erjor/9/1/00581-2022.full.pdf" </w:instrText>
      </w:r>
      <w:r>
        <w:rPr/>
        <w:fldChar w:fldCharType="separate"/>
      </w:r>
      <w:r>
        <w:rPr>
          <w:color w:val="1155cc"/>
          <w:highlight w:val="white"/>
          <w:u w:val="single"/>
        </w:rPr>
        <w:t>https://publications.ersnet.org/content/erjor/9/1/00581-2022.full.pdf</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 xml:space="preserve">Matthew, B., 2025. Smart Inhalers and Respiratory </w:t>
      </w:r>
      <w:r>
        <w:rPr>
          <w:color w:val="222222"/>
          <w:highlight w:val="white"/>
        </w:rPr>
        <w:t>IoTs</w:t>
      </w:r>
      <w:r>
        <w:rPr>
          <w:color w:val="222222"/>
          <w:highlight w:val="white"/>
        </w:rPr>
        <w:t xml:space="preserve"> for Asthma Management Gene. </w:t>
      </w:r>
      <w:r>
        <w:rPr/>
        <w:fldChar w:fldCharType="begin"/>
      </w:r>
      <w:r>
        <w:instrText xml:space="preserve"> HYPERLINK "https://www.researchgate.net/profile/Ilesanmi-Michael-2/publication/393404629_Smart_Inhalers_and_Respiratory_IoTs_for_Asthma_Management_Gene/links/6867d101e4632b045dc9d534/Smart-Inhalers-and-Respiratory-IoTs-for-Asthma-Management-Gene.pdf" </w:instrText>
      </w:r>
      <w:r>
        <w:rPr/>
        <w:fldChar w:fldCharType="separate"/>
      </w:r>
      <w:r>
        <w:rPr>
          <w:color w:val="1155cc"/>
          <w:highlight w:val="white"/>
          <w:u w:val="single"/>
        </w:rPr>
        <w:t>https://www.researchgate.net/profile/Ilesanmi-Michael-2/publication/393404629_Smart_Inhalers_and_Respiratory_IoTs_for_Asthma_Management_Gene/links/6867d101e4632b045dc9d534/Smart-Inhalers-and-Respiratory-IoTs-for-Asthma-Management-Gene.pdf</w:t>
      </w:r>
      <w:r>
        <w:rPr/>
        <w:fldChar w:fldCharType="end"/>
      </w:r>
    </w:p>
    <w:p>
      <w:pPr>
        <w:pStyle w:val="style0"/>
        <w:pBdr>
          <w:left w:val="nil"/>
          <w:right w:val="nil"/>
          <w:top w:val="nil"/>
          <w:bottom w:val="nil"/>
          <w:between w:val="nil"/>
        </w:pBdr>
        <w:spacing w:after="240" w:lineRule="auto" w:line="360"/>
        <w:jc w:val="both"/>
        <w:rPr>
          <w:color w:val="000000"/>
        </w:rPr>
      </w:pPr>
      <w:r>
        <w:rPr>
          <w:color w:val="000000"/>
        </w:rPr>
        <w:t xml:space="preserve">National Library of Medicine (2023). </w:t>
      </w:r>
      <w:r>
        <w:rPr>
          <w:i/>
          <w:iCs/>
          <w:color w:val="000000"/>
        </w:rPr>
        <w:t xml:space="preserve">Mucus Hypersecretion in Chronic Obstructive Pulmonary Disease and Its Treatment. </w:t>
      </w:r>
      <w:r>
        <w:rPr>
          <w:color w:val="000000"/>
        </w:rPr>
        <w:t>Available from</w:t>
      </w:r>
      <w:r>
        <w:rPr/>
        <w:fldChar w:fldCharType="begin"/>
      </w:r>
      <w:r>
        <w:instrText xml:space="preserve"> HYPERLINK "https://pmc.ncbi.nlm.nih.gov/articles/PMC10344637/" </w:instrText>
      </w:r>
      <w:r>
        <w:rPr/>
        <w:fldChar w:fldCharType="separate"/>
      </w:r>
      <w:r>
        <w:rPr>
          <w:color w:val="1155cc"/>
          <w:u w:val="single"/>
        </w:rPr>
        <w:t>https://pmc.ncbi.nlm.nih.gov/articles/PMC10344637/</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r>
        <w:rPr>
          <w:color w:val="000000"/>
        </w:rPr>
        <w:t xml:space="preserve">NHS (2025). </w:t>
      </w:r>
      <w:r>
        <w:rPr>
          <w:i/>
          <w:iCs/>
          <w:color w:val="000000"/>
        </w:rPr>
        <w:t xml:space="preserve">Long-term conditions. </w:t>
      </w:r>
      <w:r>
        <w:rPr>
          <w:color w:val="000000"/>
        </w:rPr>
        <w:t>Available from</w:t>
      </w:r>
      <w:r>
        <w:rPr/>
        <w:fldChar w:fldCharType="begin"/>
      </w:r>
      <w:r>
        <w:instrText xml:space="preserve"> HYPERLINK "https://blackcountry.icb.nhs.uk/your-health/health-advice/long-term-conditions" </w:instrText>
      </w:r>
      <w:r>
        <w:rPr/>
        <w:fldChar w:fldCharType="separate"/>
      </w:r>
      <w:r>
        <w:rPr>
          <w:color w:val="1155cc"/>
          <w:u w:val="single"/>
        </w:rPr>
        <w:t>https://blackcountry.icb.nhs.uk/your-health/health-advice/long-term-conditions</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r>
        <w:rPr>
          <w:color w:val="000000"/>
        </w:rPr>
        <w:t xml:space="preserve">NHS (2025). </w:t>
      </w:r>
      <w:r>
        <w:rPr>
          <w:i/>
          <w:iCs/>
          <w:color w:val="000000"/>
        </w:rPr>
        <w:t xml:space="preserve">Respiratory disease. </w:t>
      </w:r>
      <w:r>
        <w:rPr>
          <w:color w:val="000000"/>
        </w:rPr>
        <w:t>Available from</w:t>
      </w:r>
      <w:r>
        <w:rPr/>
        <w:fldChar w:fldCharType="begin"/>
      </w:r>
      <w:r>
        <w:instrText xml:space="preserve"> HYPERLINK "https://www.england.nhs.uk/ourwork/clinical-policy/respiratory-disease/" </w:instrText>
      </w:r>
      <w:r>
        <w:rPr/>
        <w:fldChar w:fldCharType="separate"/>
      </w:r>
      <w:r>
        <w:rPr>
          <w:color w:val="1155cc"/>
          <w:highlight w:val="white"/>
          <w:u w:val="single"/>
        </w:rPr>
        <w:t>https://www.england.nhs.uk/ourwork/clinical-policy/respiratory-disease/</w:t>
      </w:r>
      <w:r>
        <w:rPr/>
        <w:fldChar w:fldCharType="end"/>
      </w:r>
      <w:r>
        <w:rPr>
          <w:color w:val="222222"/>
          <w:highlight w:val="white"/>
        </w:rPr>
        <w:t xml:space="preserve">. </w:t>
      </w:r>
      <w:r>
        <w:rPr>
          <w:color w:val="000000"/>
        </w:rPr>
        <w:t>Accessed on 6.11.2025</w:t>
      </w:r>
    </w:p>
    <w:p>
      <w:pPr>
        <w:pStyle w:val="style0"/>
        <w:pBdr>
          <w:left w:val="nil"/>
          <w:right w:val="nil"/>
          <w:top w:val="nil"/>
          <w:bottom w:val="nil"/>
          <w:between w:val="nil"/>
        </w:pBdr>
        <w:spacing w:after="240" w:lineRule="auto" w:line="360"/>
        <w:jc w:val="both"/>
        <w:rPr>
          <w:color w:val="000000"/>
        </w:rPr>
      </w:pPr>
      <w:r>
        <w:rPr>
          <w:color w:val="000000"/>
        </w:rPr>
        <w:t xml:space="preserve">NHS, (2025), </w:t>
      </w:r>
      <w:r>
        <w:rPr>
          <w:i/>
          <w:iCs/>
          <w:color w:val="000000"/>
        </w:rPr>
        <w:t>Personalised</w:t>
      </w:r>
      <w:r>
        <w:rPr>
          <w:i/>
          <w:iCs/>
          <w:color w:val="000000"/>
        </w:rPr>
        <w:t xml:space="preserve"> care operating model.</w:t>
      </w:r>
      <w:r>
        <w:rPr>
          <w:color w:val="000000"/>
        </w:rPr>
        <w:t xml:space="preserve"> Available from </w:t>
      </w:r>
      <w:r>
        <w:rPr/>
        <w:fldChar w:fldCharType="begin"/>
      </w:r>
      <w:r>
        <w:instrText xml:space="preserve"> HYPERLINK "https://www.england.nhs.uk/publication/personalised-care-operating-model/" </w:instrText>
      </w:r>
      <w:r>
        <w:rPr/>
        <w:fldChar w:fldCharType="separate"/>
      </w:r>
      <w:r>
        <w:rPr>
          <w:rStyle w:val="style85"/>
        </w:rPr>
        <w:t>https://www.england.nhs.uk/publication/personalised-care-operating-model/</w:t>
      </w:r>
      <w:r>
        <w:rPr/>
        <w:fldChar w:fldCharType="end"/>
      </w:r>
      <w:r>
        <w:rPr>
          <w:color w:val="000000"/>
        </w:rPr>
        <w:t>  Accessed on 12.11.2025. </w:t>
      </w:r>
    </w:p>
    <w:p>
      <w:pPr>
        <w:pStyle w:val="style0"/>
        <w:pBdr>
          <w:left w:val="nil"/>
          <w:right w:val="nil"/>
          <w:top w:val="nil"/>
          <w:bottom w:val="nil"/>
          <w:between w:val="nil"/>
        </w:pBdr>
        <w:spacing w:after="240" w:lineRule="auto" w:line="360"/>
        <w:jc w:val="both"/>
        <w:rPr>
          <w:color w:val="000000"/>
        </w:rPr>
      </w:pPr>
      <w:r>
        <w:rPr>
          <w:color w:val="000000"/>
        </w:rPr>
        <w:t>Nwosu</w:t>
      </w:r>
      <w:r>
        <w:rPr>
          <w:color w:val="000000"/>
        </w:rPr>
        <w:t xml:space="preserve">, N.T., </w:t>
      </w:r>
      <w:r>
        <w:rPr>
          <w:color w:val="000000"/>
        </w:rPr>
        <w:t>Babatunde</w:t>
      </w:r>
      <w:r>
        <w:rPr>
          <w:color w:val="000000"/>
        </w:rPr>
        <w:t xml:space="preserve">, S.O. and </w:t>
      </w:r>
      <w:r>
        <w:rPr>
          <w:color w:val="000000"/>
        </w:rPr>
        <w:t>Ijomah</w:t>
      </w:r>
      <w:r>
        <w:rPr>
          <w:color w:val="000000"/>
        </w:rPr>
        <w:t xml:space="preserve">, T., 2024. Enhancing customer experience and market penetration through advanced data analytics in the health industry. </w:t>
      </w:r>
      <w:r>
        <w:rPr>
          <w:i/>
          <w:iCs/>
          <w:color w:val="000000"/>
        </w:rPr>
        <w:t>World Journal of Advanced Research and Reviews</w:t>
      </w:r>
      <w:r>
        <w:rPr>
          <w:color w:val="000000"/>
        </w:rPr>
        <w:t xml:space="preserve">, </w:t>
      </w:r>
      <w:r>
        <w:rPr>
          <w:i/>
          <w:iCs/>
          <w:color w:val="000000"/>
        </w:rPr>
        <w:t>22</w:t>
      </w:r>
      <w:r>
        <w:rPr>
          <w:color w:val="000000"/>
        </w:rPr>
        <w:t xml:space="preserve">(3), pp.1157-1170. </w:t>
      </w:r>
      <w:r>
        <w:rPr/>
        <w:fldChar w:fldCharType="begin"/>
      </w:r>
      <w:r>
        <w:instrText xml:space="preserve"> HYPERLINK "https://www.researchgate.net/profile/Tochukwu-Ijomah-2/publication/383847388_Enhancing_customer_experience_and_market_penetration_through_advanced_data_analytics_in_the_health_industry/links/66dc439efa5e11512ca4ed44/Enhancing-customer-experience-and-market-penetration-through-advanced-data-analytics-in-the-health-industry.pdf" </w:instrText>
      </w:r>
      <w:r>
        <w:rPr/>
        <w:fldChar w:fldCharType="separate"/>
      </w:r>
      <w:r>
        <w:rPr>
          <w:rStyle w:val="style85"/>
        </w:rPr>
        <w:t>https://www.researchgate.net/profile/Tochukwu-Ijomah-2/publication/383847388_Enhancing_customer_experience_and_market_penetration_through_advanced_data_analytics_in_the_health_industry/links/66dc439efa5e11512ca4ed44/En</w:t>
      </w:r>
      <w:r>
        <w:rPr>
          <w:rStyle w:val="style85"/>
        </w:rPr>
        <w:t>hancing-customer-experience-and-market-penetration-through-advanced-data-analytics-in-the-health-industry.pdf</w:t>
      </w:r>
      <w:r>
        <w:rPr/>
        <w:fldChar w:fldCharType="end"/>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Petrelli</w:t>
      </w:r>
      <w:r>
        <w:rPr>
          <w:rFonts w:ascii="Times New Roman" w:cs="Times New Roman" w:eastAsia="Times New Roman" w:hAnsi="Times New Roman"/>
          <w:color w:val="000000"/>
          <w:sz w:val="24"/>
          <w:szCs w:val="24"/>
        </w:rPr>
        <w:t xml:space="preserve">, F., </w:t>
      </w:r>
      <w:r>
        <w:rPr>
          <w:rFonts w:ascii="Times New Roman" w:cs="Times New Roman" w:eastAsia="Times New Roman" w:hAnsi="Times New Roman"/>
          <w:color w:val="000000"/>
          <w:sz w:val="24"/>
          <w:szCs w:val="24"/>
        </w:rPr>
        <w:t>Cangelosi</w:t>
      </w:r>
      <w:r>
        <w:rPr>
          <w:rFonts w:ascii="Times New Roman" w:cs="Times New Roman" w:eastAsia="Times New Roman" w:hAnsi="Times New Roman"/>
          <w:color w:val="000000"/>
          <w:sz w:val="24"/>
          <w:szCs w:val="24"/>
        </w:rPr>
        <w:t xml:space="preserve">, G., </w:t>
      </w:r>
      <w:r>
        <w:rPr>
          <w:rFonts w:ascii="Times New Roman" w:cs="Times New Roman" w:eastAsia="Times New Roman" w:hAnsi="Times New Roman"/>
          <w:color w:val="000000"/>
          <w:sz w:val="24"/>
          <w:szCs w:val="24"/>
        </w:rPr>
        <w:t>Nittari</w:t>
      </w:r>
      <w:r>
        <w:rPr>
          <w:rFonts w:ascii="Times New Roman" w:cs="Times New Roman" w:eastAsia="Times New Roman" w:hAnsi="Times New Roman"/>
          <w:color w:val="000000"/>
          <w:sz w:val="24"/>
          <w:szCs w:val="24"/>
        </w:rPr>
        <w:t xml:space="preserve">, G., </w:t>
      </w:r>
      <w:r>
        <w:rPr>
          <w:rFonts w:ascii="Times New Roman" w:cs="Times New Roman" w:eastAsia="Times New Roman" w:hAnsi="Times New Roman"/>
          <w:color w:val="000000"/>
          <w:sz w:val="24"/>
          <w:szCs w:val="24"/>
        </w:rPr>
        <w:t>Pantanetti</w:t>
      </w:r>
      <w:r>
        <w:rPr>
          <w:rFonts w:ascii="Times New Roman" w:cs="Times New Roman" w:eastAsia="Times New Roman" w:hAnsi="Times New Roman"/>
          <w:color w:val="000000"/>
          <w:sz w:val="24"/>
          <w:szCs w:val="24"/>
        </w:rPr>
        <w:t xml:space="preserve">, P., </w:t>
      </w:r>
      <w:r>
        <w:rPr>
          <w:rFonts w:ascii="Times New Roman" w:cs="Times New Roman" w:eastAsia="Times New Roman" w:hAnsi="Times New Roman"/>
          <w:color w:val="000000"/>
          <w:sz w:val="24"/>
          <w:szCs w:val="24"/>
        </w:rPr>
        <w:t>Debernardi</w:t>
      </w:r>
      <w:r>
        <w:rPr>
          <w:rFonts w:ascii="Times New Roman" w:cs="Times New Roman" w:eastAsia="Times New Roman" w:hAnsi="Times New Roman"/>
          <w:color w:val="000000"/>
          <w:sz w:val="24"/>
          <w:szCs w:val="24"/>
        </w:rPr>
        <w:t xml:space="preserve">, G., </w:t>
      </w:r>
      <w:r>
        <w:rPr>
          <w:rFonts w:ascii="Times New Roman" w:cs="Times New Roman" w:eastAsia="Times New Roman" w:hAnsi="Times New Roman"/>
          <w:color w:val="000000"/>
          <w:sz w:val="24"/>
          <w:szCs w:val="24"/>
        </w:rPr>
        <w:t>Scuri</w:t>
      </w:r>
      <w:r>
        <w:rPr>
          <w:rFonts w:ascii="Times New Roman" w:cs="Times New Roman" w:eastAsia="Times New Roman" w:hAnsi="Times New Roman"/>
          <w:color w:val="000000"/>
          <w:sz w:val="24"/>
          <w:szCs w:val="24"/>
        </w:rPr>
        <w:t xml:space="preserve">, S., </w:t>
      </w:r>
      <w:r>
        <w:rPr>
          <w:rFonts w:ascii="Times New Roman" w:cs="Times New Roman" w:eastAsia="Times New Roman" w:hAnsi="Times New Roman"/>
          <w:color w:val="000000"/>
          <w:sz w:val="24"/>
          <w:szCs w:val="24"/>
        </w:rPr>
        <w:t>Sagaro</w:t>
      </w:r>
      <w:r>
        <w:rPr>
          <w:rFonts w:ascii="Times New Roman" w:cs="Times New Roman" w:eastAsia="Times New Roman" w:hAnsi="Times New Roman"/>
          <w:color w:val="000000"/>
          <w:sz w:val="24"/>
          <w:szCs w:val="24"/>
        </w:rPr>
        <w:t xml:space="preserve">, G.G., Nguyen, C.T.T. and </w:t>
      </w:r>
      <w:r>
        <w:rPr>
          <w:rFonts w:ascii="Times New Roman" w:cs="Times New Roman" w:eastAsia="Times New Roman" w:hAnsi="Times New Roman"/>
          <w:color w:val="000000"/>
          <w:sz w:val="24"/>
          <w:szCs w:val="24"/>
        </w:rPr>
        <w:t>Grappasonni</w:t>
      </w:r>
      <w:r>
        <w:rPr>
          <w:rFonts w:ascii="Times New Roman" w:cs="Times New Roman" w:eastAsia="Times New Roman" w:hAnsi="Times New Roman"/>
          <w:color w:val="000000"/>
          <w:sz w:val="24"/>
          <w:szCs w:val="24"/>
        </w:rPr>
        <w:t xml:space="preserve">, I., (2021). Chronic Care Model in Italy: a narrative review of the literature. </w:t>
      </w:r>
      <w:r>
        <w:rPr>
          <w:rFonts w:ascii="Times New Roman" w:cs="Times New Roman" w:eastAsia="Times New Roman" w:hAnsi="Times New Roman"/>
          <w:i/>
          <w:iCs/>
          <w:color w:val="000000"/>
          <w:sz w:val="24"/>
          <w:szCs w:val="24"/>
        </w:rPr>
        <w:t>Primary Health Care Research &amp; Development</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iCs/>
          <w:color w:val="000000"/>
          <w:sz w:val="24"/>
          <w:szCs w:val="24"/>
        </w:rPr>
        <w:t>22</w:t>
      </w:r>
      <w:r>
        <w:rPr>
          <w:rFonts w:ascii="Times New Roman" w:cs="Times New Roman" w:eastAsia="Times New Roman" w:hAnsi="Times New Roman"/>
          <w:color w:val="000000"/>
          <w:sz w:val="24"/>
          <w:szCs w:val="24"/>
        </w:rPr>
        <w:t xml:space="preserve">, p.e32. </w:t>
      </w:r>
      <w:r>
        <w:rPr/>
        <w:fldChar w:fldCharType="begin"/>
      </w:r>
      <w:r>
        <w:instrText xml:space="preserve"> HYPERLINK "https://www.cambridge.org/core/services/aop-cambridge-core/content/view/947A99472EB0B015527DC11898BC383D/S1463423621000268a.pdf/chronic_care_model_in_italy_a_narrative_review_of_the_literature.pdf" </w:instrText>
      </w:r>
      <w:r>
        <w:rPr/>
        <w:fldChar w:fldCharType="separate"/>
      </w:r>
      <w:r>
        <w:rPr>
          <w:rFonts w:ascii="Times New Roman" w:cs="Times New Roman" w:eastAsia="Times New Roman" w:hAnsi="Times New Roman"/>
          <w:color w:val="0000ff"/>
          <w:sz w:val="24"/>
          <w:szCs w:val="24"/>
          <w:u w:val="single"/>
        </w:rPr>
        <w:t>https://www.cambridge.org/core/services/aop-cambridge-core/content/view/947A99472EB0B015527DC11898BC383D/S1463423621000268a.pdf/chronic_care_model_in_italy_a_narrative_review_of_the_literature.pdf</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color w:val="000000"/>
        </w:rPr>
      </w:pPr>
      <w:r>
        <w:rPr>
          <w:color w:val="222222"/>
          <w:highlight w:val="white"/>
        </w:rPr>
        <w:t>Punekar</w:t>
      </w:r>
      <w:r>
        <w:rPr>
          <w:color w:val="222222"/>
          <w:highlight w:val="white"/>
        </w:rPr>
        <w:t xml:space="preserve">, Y.S., </w:t>
      </w:r>
      <w:r>
        <w:rPr>
          <w:color w:val="222222"/>
          <w:highlight w:val="white"/>
        </w:rPr>
        <w:t>Shukla</w:t>
      </w:r>
      <w:r>
        <w:rPr>
          <w:color w:val="222222"/>
          <w:highlight w:val="white"/>
        </w:rPr>
        <w:t xml:space="preserve">, A. and </w:t>
      </w:r>
      <w:r>
        <w:rPr>
          <w:color w:val="222222"/>
          <w:highlight w:val="white"/>
        </w:rPr>
        <w:t>Müllerova</w:t>
      </w:r>
      <w:r>
        <w:rPr>
          <w:color w:val="222222"/>
          <w:highlight w:val="white"/>
        </w:rPr>
        <w:t xml:space="preserve">, H., (2014). COPD management costs according to the frequency of COPD exacerbations in UK primary care. </w:t>
      </w:r>
      <w:r>
        <w:rPr>
          <w:i/>
          <w:iCs/>
          <w:color w:val="222222"/>
          <w:highlight w:val="white"/>
        </w:rPr>
        <w:t>International journal of chronic obstructive pulmonary disease</w:t>
      </w:r>
      <w:r>
        <w:rPr>
          <w:color w:val="222222"/>
          <w:highlight w:val="white"/>
        </w:rPr>
        <w:t xml:space="preserve">, pp.65-73. </w:t>
      </w:r>
      <w:r>
        <w:rPr/>
        <w:fldChar w:fldCharType="begin"/>
      </w:r>
      <w:r>
        <w:instrText xml:space="preserve"> HYPERLINK "https://www.tandfonline.com/doi/pdf/10.2147/copd.s54417" </w:instrText>
      </w:r>
      <w:r>
        <w:rPr/>
        <w:fldChar w:fldCharType="separate"/>
      </w:r>
      <w:r>
        <w:rPr>
          <w:color w:val="1155cc"/>
          <w:highlight w:val="white"/>
          <w:u w:val="single"/>
        </w:rPr>
        <w:t>https://www.tandfonline.com/doi/pdf/10.2147/copd.s54417</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Savran</w:t>
      </w:r>
      <w:r>
        <w:rPr>
          <w:color w:val="222222"/>
          <w:highlight w:val="white"/>
        </w:rPr>
        <w:t xml:space="preserve">, O., </w:t>
      </w:r>
      <w:r>
        <w:rPr>
          <w:color w:val="222222"/>
          <w:highlight w:val="white"/>
        </w:rPr>
        <w:t>Godtfredsen</w:t>
      </w:r>
      <w:r>
        <w:rPr>
          <w:color w:val="222222"/>
          <w:highlight w:val="white"/>
        </w:rPr>
        <w:t xml:space="preserve">, N., </w:t>
      </w:r>
      <w:r>
        <w:rPr>
          <w:color w:val="222222"/>
          <w:highlight w:val="white"/>
        </w:rPr>
        <w:t>Sørensen</w:t>
      </w:r>
      <w:r>
        <w:rPr>
          <w:color w:val="222222"/>
          <w:highlight w:val="white"/>
        </w:rPr>
        <w:t xml:space="preserve">, T., Jensen, C. and </w:t>
      </w:r>
      <w:r>
        <w:rPr>
          <w:color w:val="222222"/>
          <w:highlight w:val="white"/>
        </w:rPr>
        <w:t>Ulrik</w:t>
      </w:r>
      <w:r>
        <w:rPr>
          <w:color w:val="222222"/>
          <w:highlight w:val="white"/>
        </w:rPr>
        <w:t xml:space="preserve">, C.S., 2021. COPD patients prescribed inhaled corticosteroid in primary care: time for re-assessment based on exacerbation rate and blood </w:t>
      </w:r>
      <w:r>
        <w:rPr>
          <w:color w:val="222222"/>
          <w:highlight w:val="white"/>
        </w:rPr>
        <w:t>eosinophils</w:t>
      </w:r>
      <w:r>
        <w:rPr>
          <w:color w:val="222222"/>
          <w:highlight w:val="white"/>
        </w:rPr>
        <w:t>?.</w:t>
      </w:r>
      <w:r>
        <w:rPr>
          <w:i/>
          <w:iCs/>
          <w:color w:val="222222"/>
          <w:highlight w:val="white"/>
        </w:rPr>
        <w:t>Respiratory Research</w:t>
      </w:r>
      <w:r>
        <w:rPr>
          <w:color w:val="222222"/>
          <w:highlight w:val="white"/>
        </w:rPr>
        <w:t xml:space="preserve">, </w:t>
      </w:r>
      <w:r>
        <w:rPr>
          <w:i/>
          <w:iCs/>
          <w:color w:val="222222"/>
          <w:highlight w:val="white"/>
        </w:rPr>
        <w:t>22</w:t>
      </w:r>
      <w:r>
        <w:rPr>
          <w:color w:val="222222"/>
          <w:highlight w:val="white"/>
        </w:rPr>
        <w:t>(1), p.54.</w:t>
      </w:r>
      <w:r>
        <w:rPr/>
        <w:fldChar w:fldCharType="begin"/>
      </w:r>
      <w:r>
        <w:instrText xml:space="preserve"> HYPERLINK "https://link.springer.com/content/pdf/10.1186/s12931-021-01651-w.pdf" </w:instrText>
      </w:r>
      <w:r>
        <w:rPr/>
        <w:fldChar w:fldCharType="separate"/>
      </w:r>
      <w:r>
        <w:rPr>
          <w:color w:val="1155cc"/>
          <w:highlight w:val="white"/>
          <w:u w:val="single"/>
        </w:rPr>
        <w:t>https://link.springer.com/content/pdf/10.1186/s12931-021-01651-w.pdf</w:t>
      </w:r>
      <w:r>
        <w:rPr/>
        <w:fldChar w:fldCharType="end"/>
      </w:r>
    </w:p>
    <w:p>
      <w:pPr>
        <w:pStyle w:val="style0"/>
        <w:pBdr>
          <w:left w:val="nil"/>
          <w:right w:val="nil"/>
          <w:top w:val="nil"/>
          <w:bottom w:val="nil"/>
          <w:between w:val="nil"/>
        </w:pBdr>
        <w:spacing w:after="240" w:lineRule="auto" w:line="360"/>
        <w:jc w:val="both"/>
        <w:rPr>
          <w:color w:val="000000"/>
        </w:rPr>
      </w:pPr>
      <w:r>
        <w:rPr>
          <w:color w:val="222222"/>
          <w:highlight w:val="white"/>
        </w:rPr>
        <w:t>Siraj</w:t>
      </w:r>
      <w:r>
        <w:rPr>
          <w:color w:val="222222"/>
          <w:highlight w:val="white"/>
        </w:rPr>
        <w:t xml:space="preserve">, R.A., (2025). COPD and Comorbid Mental Health: Addressing Anxiety, and Depression, and Their Clinical Management. </w:t>
      </w:r>
      <w:r>
        <w:rPr>
          <w:i/>
          <w:iCs/>
          <w:color w:val="222222"/>
          <w:highlight w:val="white"/>
        </w:rPr>
        <w:t>Medicina</w:t>
      </w:r>
      <w:r>
        <w:rPr>
          <w:color w:val="222222"/>
          <w:highlight w:val="white"/>
        </w:rPr>
        <w:t xml:space="preserve">, </w:t>
      </w:r>
      <w:r>
        <w:rPr>
          <w:i/>
          <w:iCs/>
          <w:color w:val="222222"/>
          <w:highlight w:val="white"/>
        </w:rPr>
        <w:t>61</w:t>
      </w:r>
      <w:r>
        <w:rPr>
          <w:color w:val="222222"/>
          <w:highlight w:val="white"/>
        </w:rPr>
        <w:t xml:space="preserve">(8), p.1426. </w:t>
      </w:r>
      <w:r>
        <w:rPr/>
        <w:fldChar w:fldCharType="begin"/>
      </w:r>
      <w:r>
        <w:instrText xml:space="preserve"> HYPERLINK "https://www.mdpi.com/1648-9144/61/8/1426" </w:instrText>
      </w:r>
      <w:r>
        <w:rPr/>
        <w:fldChar w:fldCharType="separate"/>
      </w:r>
      <w:r>
        <w:rPr>
          <w:color w:val="1155cc"/>
          <w:highlight w:val="white"/>
          <w:u w:val="single"/>
        </w:rPr>
        <w:t>https://www.mdpi.com/1648-9144/61/8/1426</w:t>
      </w:r>
      <w:r>
        <w:rPr/>
        <w:fldChar w:fldCharType="end"/>
      </w:r>
    </w:p>
    <w:p>
      <w:pPr>
        <w:pStyle w:val="style0"/>
        <w:pBdr>
          <w:left w:val="nil"/>
          <w:right w:val="nil"/>
          <w:top w:val="nil"/>
          <w:bottom w:val="nil"/>
          <w:between w:val="nil"/>
        </w:pBdr>
        <w:spacing w:after="240" w:lineRule="auto" w:line="360"/>
        <w:jc w:val="both"/>
        <w:rPr>
          <w:color w:val="000000"/>
        </w:rPr>
      </w:pPr>
      <w:r>
        <w:rPr>
          <w:color w:val="000000"/>
        </w:rPr>
        <w:t xml:space="preserve">Statista (2016). </w:t>
      </w:r>
      <w:r>
        <w:rPr>
          <w:i/>
          <w:iCs/>
          <w:color w:val="000000"/>
        </w:rPr>
        <w:t xml:space="preserve">Annual number of people diagnosed with chronic obstructive pulmonary disease in the United Kingdom (UK) from 2004 to 2012. </w:t>
      </w:r>
      <w:r>
        <w:rPr>
          <w:color w:val="000000"/>
        </w:rPr>
        <w:t>Available from</w:t>
      </w:r>
      <w:r>
        <w:rPr/>
        <w:fldChar w:fldCharType="begin"/>
      </w:r>
      <w:r>
        <w:instrText xml:space="preserve"> HYPERLINK "https://www.statista.com/statistics/569925/individuals-diagnosed-with-copd-in-the-united-kingdom-uk/?srsltid=AfmBOoou9i1lKeeR-WoeFeC41TknkCTMHVY5WwpSfhHRGTJlKtc8rGBN" </w:instrText>
      </w:r>
      <w:r>
        <w:rPr/>
        <w:fldChar w:fldCharType="separate"/>
      </w:r>
      <w:r>
        <w:rPr>
          <w:color w:val="1155cc"/>
          <w:u w:val="single"/>
        </w:rPr>
        <w:t>https://www.statista.com/statistics/569925/individuals-diagnosed-with-copd-in-the-united-kingdom-uk/?srsltid=AfmBOoou9i1lKeeR-WoeFeC41TknkCTMHVY5WwpSfhHRGTJlKtc8rGBN</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r>
        <w:rPr>
          <w:color w:val="222222"/>
          <w:highlight w:val="white"/>
        </w:rPr>
        <w:t xml:space="preserve">Stone, P.W., Hickman, K., Holmes, S., </w:t>
      </w:r>
      <w:r>
        <w:rPr>
          <w:color w:val="222222"/>
          <w:highlight w:val="white"/>
        </w:rPr>
        <w:t>Feary</w:t>
      </w:r>
      <w:r>
        <w:rPr>
          <w:color w:val="222222"/>
          <w:highlight w:val="white"/>
        </w:rPr>
        <w:t xml:space="preserve">, J.R. and </w:t>
      </w:r>
      <w:r>
        <w:rPr>
          <w:color w:val="222222"/>
          <w:highlight w:val="white"/>
        </w:rPr>
        <w:t>Quint</w:t>
      </w:r>
      <w:r>
        <w:rPr>
          <w:color w:val="222222"/>
          <w:highlight w:val="white"/>
        </w:rPr>
        <w:t xml:space="preserve">, J.K., (2022). Comparison of COPD primary care in </w:t>
      </w:r>
      <w:r>
        <w:rPr>
          <w:color w:val="222222"/>
          <w:highlight w:val="white"/>
        </w:rPr>
        <w:t>england</w:t>
      </w:r>
      <w:r>
        <w:rPr>
          <w:color w:val="222222"/>
          <w:highlight w:val="white"/>
        </w:rPr>
        <w:t xml:space="preserve">, </w:t>
      </w:r>
      <w:r>
        <w:rPr>
          <w:color w:val="222222"/>
          <w:highlight w:val="white"/>
        </w:rPr>
        <w:t>scotland</w:t>
      </w:r>
      <w:r>
        <w:rPr>
          <w:color w:val="222222"/>
          <w:highlight w:val="white"/>
        </w:rPr>
        <w:t xml:space="preserve">, </w:t>
      </w:r>
      <w:r>
        <w:rPr>
          <w:color w:val="222222"/>
          <w:highlight w:val="white"/>
        </w:rPr>
        <w:t>wales</w:t>
      </w:r>
      <w:r>
        <w:rPr>
          <w:color w:val="222222"/>
          <w:highlight w:val="white"/>
        </w:rPr>
        <w:t xml:space="preserve">, and northern Ireland. </w:t>
      </w:r>
      <w:r>
        <w:rPr>
          <w:i/>
          <w:iCs/>
          <w:color w:val="222222"/>
          <w:highlight w:val="white"/>
        </w:rPr>
        <w:t>NPJ Primary Care Respiratory Medicine</w:t>
      </w:r>
      <w:r>
        <w:rPr>
          <w:color w:val="222222"/>
          <w:highlight w:val="white"/>
        </w:rPr>
        <w:t xml:space="preserve">, </w:t>
      </w:r>
      <w:r>
        <w:rPr>
          <w:i/>
          <w:iCs/>
          <w:color w:val="222222"/>
          <w:highlight w:val="white"/>
        </w:rPr>
        <w:t>32</w:t>
      </w:r>
      <w:r>
        <w:rPr>
          <w:color w:val="222222"/>
          <w:highlight w:val="white"/>
        </w:rPr>
        <w:t xml:space="preserve">(1), p.46. </w:t>
      </w:r>
      <w:r>
        <w:rPr/>
        <w:fldChar w:fldCharType="begin"/>
      </w:r>
      <w:r>
        <w:instrText xml:space="preserve"> HYPERLINK "https://www.nature.com/articles/s41533-022-00305-8.pdf" </w:instrText>
      </w:r>
      <w:r>
        <w:rPr/>
        <w:fldChar w:fldCharType="separate"/>
      </w:r>
      <w:r>
        <w:rPr>
          <w:color w:val="1155cc"/>
          <w:highlight w:val="white"/>
          <w:u w:val="single"/>
        </w:rPr>
        <w:t>https://www.nature.com/articles/s41533-022-00305-8.pdf</w:t>
      </w:r>
      <w:r>
        <w:rPr/>
        <w:fldChar w:fldCharType="end"/>
      </w:r>
    </w:p>
    <w:p>
      <w:pPr>
        <w:pStyle w:val="style0"/>
        <w:pBdr>
          <w:left w:val="nil"/>
          <w:right w:val="nil"/>
          <w:top w:val="nil"/>
          <w:bottom w:val="nil"/>
          <w:between w:val="nil"/>
        </w:pBdr>
        <w:spacing w:after="240" w:lineRule="auto" w:line="360"/>
        <w:jc w:val="both"/>
        <w:rPr>
          <w:rFonts w:ascii="Times New Roman" w:cs="Times New Roman" w:eastAsia="Times New Roman" w:hAnsi="Times New Roman"/>
          <w:color w:val="000000"/>
          <w:sz w:val="24"/>
          <w:szCs w:val="24"/>
        </w:rPr>
      </w:pPr>
      <w:r>
        <w:rPr>
          <w:rFonts w:ascii="Times New Roman" w:cs="Times New Roman" w:eastAsia="Times New Roman" w:hAnsi="Times New Roman"/>
          <w:color w:val="000000"/>
          <w:sz w:val="24"/>
          <w:szCs w:val="24"/>
        </w:rPr>
        <w:t>Urbancová</w:t>
      </w:r>
      <w:r>
        <w:rPr>
          <w:rFonts w:ascii="Times New Roman" w:cs="Times New Roman" w:eastAsia="Times New Roman" w:hAnsi="Times New Roman"/>
          <w:color w:val="000000"/>
          <w:sz w:val="24"/>
          <w:szCs w:val="24"/>
        </w:rPr>
        <w:t xml:space="preserve">, H., </w:t>
      </w:r>
      <w:r>
        <w:rPr>
          <w:rFonts w:ascii="Times New Roman" w:cs="Times New Roman" w:eastAsia="Times New Roman" w:hAnsi="Times New Roman"/>
          <w:color w:val="000000"/>
          <w:sz w:val="24"/>
          <w:szCs w:val="24"/>
        </w:rPr>
        <w:t>Vrabcová</w:t>
      </w:r>
      <w:r>
        <w:rPr>
          <w:rFonts w:ascii="Times New Roman" w:cs="Times New Roman" w:eastAsia="Times New Roman" w:hAnsi="Times New Roman"/>
          <w:color w:val="000000"/>
          <w:sz w:val="24"/>
          <w:szCs w:val="24"/>
        </w:rPr>
        <w:t xml:space="preserve">, P., </w:t>
      </w:r>
      <w:r>
        <w:rPr>
          <w:rFonts w:ascii="Times New Roman" w:cs="Times New Roman" w:eastAsia="Times New Roman" w:hAnsi="Times New Roman"/>
          <w:color w:val="000000"/>
          <w:sz w:val="24"/>
          <w:szCs w:val="24"/>
        </w:rPr>
        <w:t>Hudáková</w:t>
      </w:r>
      <w:r>
        <w:rPr>
          <w:rFonts w:ascii="Times New Roman" w:cs="Times New Roman" w:eastAsia="Times New Roman" w:hAnsi="Times New Roman"/>
          <w:color w:val="000000"/>
          <w:sz w:val="24"/>
          <w:szCs w:val="24"/>
        </w:rPr>
        <w:t xml:space="preserve">, M. and </w:t>
      </w:r>
      <w:r>
        <w:rPr>
          <w:rFonts w:ascii="Times New Roman" w:cs="Times New Roman" w:eastAsia="Times New Roman" w:hAnsi="Times New Roman"/>
          <w:color w:val="000000"/>
          <w:sz w:val="24"/>
          <w:szCs w:val="24"/>
        </w:rPr>
        <w:t>Petrů</w:t>
      </w:r>
      <w:r>
        <w:rPr>
          <w:rFonts w:ascii="Times New Roman" w:cs="Times New Roman" w:eastAsia="Times New Roman" w:hAnsi="Times New Roman"/>
          <w:color w:val="000000"/>
          <w:sz w:val="24"/>
          <w:szCs w:val="24"/>
        </w:rPr>
        <w:t xml:space="preserve">, G.J., (2021). Effective training evaluation: The role of factors influencing the evaluation of effectiveness of employee training and development. </w:t>
      </w:r>
      <w:r>
        <w:rPr>
          <w:rFonts w:ascii="Times New Roman" w:cs="Times New Roman" w:eastAsia="Times New Roman" w:hAnsi="Times New Roman"/>
          <w:i/>
          <w:iCs/>
          <w:color w:val="000000"/>
          <w:sz w:val="24"/>
          <w:szCs w:val="24"/>
        </w:rPr>
        <w:t>Sustainability</w:t>
      </w:r>
      <w:r>
        <w:rPr>
          <w:rFonts w:ascii="Times New Roman" w:cs="Times New Roman" w:eastAsia="Times New Roman" w:hAnsi="Times New Roman"/>
          <w:color w:val="000000"/>
          <w:sz w:val="24"/>
          <w:szCs w:val="24"/>
        </w:rPr>
        <w:t xml:space="preserve">, </w:t>
      </w:r>
      <w:r>
        <w:rPr>
          <w:rFonts w:ascii="Times New Roman" w:cs="Times New Roman" w:eastAsia="Times New Roman" w:hAnsi="Times New Roman"/>
          <w:i/>
          <w:iCs/>
          <w:color w:val="000000"/>
          <w:sz w:val="24"/>
          <w:szCs w:val="24"/>
        </w:rPr>
        <w:t>13</w:t>
      </w:r>
      <w:r>
        <w:rPr>
          <w:rFonts w:ascii="Times New Roman" w:cs="Times New Roman" w:eastAsia="Times New Roman" w:hAnsi="Times New Roman"/>
          <w:color w:val="000000"/>
          <w:sz w:val="24"/>
          <w:szCs w:val="24"/>
        </w:rPr>
        <w:t xml:space="preserve">(5), p.2721. </w:t>
      </w:r>
      <w:r>
        <w:rPr/>
        <w:fldChar w:fldCharType="begin"/>
      </w:r>
      <w:r>
        <w:instrText xml:space="preserve"> HYPERLINK "https://www.mdpi.com/2071-1050/13/5/2721" </w:instrText>
      </w:r>
      <w:r>
        <w:rPr/>
        <w:fldChar w:fldCharType="separate"/>
      </w:r>
      <w:r>
        <w:rPr>
          <w:rFonts w:ascii="Times New Roman" w:cs="Times New Roman" w:eastAsia="Times New Roman" w:hAnsi="Times New Roman"/>
          <w:color w:val="0000ff"/>
          <w:sz w:val="24"/>
          <w:szCs w:val="24"/>
          <w:u w:val="single"/>
        </w:rPr>
        <w:t>https://www.mdpi.com/2071-1050/13/5/2721</w:t>
      </w:r>
      <w:r>
        <w:rPr/>
        <w:fldChar w:fldCharType="end"/>
      </w:r>
      <w:r>
        <w:rPr>
          <w:rFonts w:ascii="Times New Roman" w:cs="Times New Roman" w:eastAsia="Times New Roman" w:hAnsi="Times New Roman"/>
          <w:color w:val="000000"/>
          <w:sz w:val="24"/>
          <w:szCs w:val="24"/>
        </w:rPr>
        <w:t> </w:t>
      </w:r>
    </w:p>
    <w:p>
      <w:pPr>
        <w:pStyle w:val="style0"/>
        <w:pBdr>
          <w:left w:val="nil"/>
          <w:right w:val="nil"/>
          <w:top w:val="nil"/>
          <w:bottom w:val="nil"/>
          <w:between w:val="nil"/>
        </w:pBdr>
        <w:spacing w:after="240" w:lineRule="auto" w:line="360"/>
        <w:jc w:val="both"/>
        <w:rPr>
          <w:color w:val="000000"/>
        </w:rPr>
      </w:pPr>
      <w:r>
        <w:rPr>
          <w:color w:val="000000"/>
        </w:rPr>
        <w:t xml:space="preserve">WHO (2024). </w:t>
      </w:r>
      <w:r>
        <w:rPr>
          <w:i/>
          <w:iCs/>
          <w:color w:val="000000"/>
        </w:rPr>
        <w:t xml:space="preserve">Chronic obstructive pulmonary disease (COPD). </w:t>
      </w:r>
      <w:r>
        <w:rPr>
          <w:color w:val="000000"/>
        </w:rPr>
        <w:t>Available from</w:t>
      </w:r>
      <w:r>
        <w:rPr/>
        <w:fldChar w:fldCharType="begin"/>
      </w:r>
      <w:r>
        <w:instrText xml:space="preserve"> HYPERLINK "https://www.who.int/news-room/fact-sheets/detail/chronic-obstructive-pulmonary-disease-(copd)" </w:instrText>
      </w:r>
      <w:r>
        <w:rPr/>
        <w:fldChar w:fldCharType="separate"/>
      </w:r>
      <w:r>
        <w:rPr>
          <w:color w:val="1155cc"/>
          <w:u w:val="single"/>
        </w:rPr>
        <w:t>https://www.who.int/news-room/fact-sheets/detail/chronic-obstructive-pulmonary-disease-(copd)</w:t>
      </w:r>
      <w:r>
        <w:rPr/>
        <w:fldChar w:fldCharType="end"/>
      </w:r>
      <w:r>
        <w:rPr>
          <w:color w:val="000000"/>
        </w:rPr>
        <w:t>. Accessed on 6.11.2025</w:t>
      </w:r>
    </w:p>
    <w:p>
      <w:pPr>
        <w:pStyle w:val="style0"/>
        <w:pBdr>
          <w:left w:val="nil"/>
          <w:right w:val="nil"/>
          <w:top w:val="nil"/>
          <w:bottom w:val="nil"/>
          <w:between w:val="nil"/>
        </w:pBdr>
        <w:spacing w:after="240" w:lineRule="auto" w:line="360"/>
        <w:jc w:val="both"/>
        <w:rPr>
          <w:color w:val="000000"/>
        </w:rPr>
      </w:pPr>
    </w:p>
    <w:p>
      <w:pPr>
        <w:pStyle w:val="style0"/>
        <w:spacing w:after="240" w:lineRule="auto" w:line="360"/>
        <w:rPr>
          <w:color w:val="000000"/>
        </w:rPr>
      </w:pPr>
      <w:r>
        <w:br w:type="page"/>
      </w:r>
    </w:p>
    <w:bookmarkStart w:id="39" w:name="_Toc213838290"/>
    <w:p>
      <w:pPr>
        <w:pStyle w:val="style1"/>
        <w:spacing w:before="0" w:after="240"/>
        <w:rPr/>
      </w:pPr>
      <w:r>
        <w:t>Appendices</w:t>
      </w:r>
      <w:bookmarkEnd w:id="39"/>
    </w:p>
    <w:bookmarkStart w:id="40" w:name="_Toc213838291"/>
    <w:p>
      <w:pPr>
        <w:pStyle w:val="style2"/>
        <w:spacing w:before="0" w:after="240"/>
        <w:rPr/>
      </w:pPr>
      <w:r>
        <w:t>Appendix 1: NHS Long Term Plan</w:t>
      </w:r>
      <w:bookmarkEnd w:id="40"/>
    </w:p>
    <w:p>
      <w:pPr>
        <w:pStyle w:val="style0"/>
        <w:spacing w:after="240" w:lineRule="auto" w:line="360"/>
        <w:jc w:val="center"/>
        <w:rPr/>
      </w:pPr>
      <w:r>
        <w:rPr>
          <w:noProof/>
          <w:lang w:bidi="gu-IN"/>
        </w:rPr>
        <w:drawing>
          <wp:inline distL="0" distT="0" distB="0" distR="0">
            <wp:extent cx="4419600" cy="5553075"/>
            <wp:effectExtent l="0" t="0" r="0" b="0"/>
            <wp:docPr id="1042" name="image3.png" descr="http://www.carnallfarrar.com/wp-content/uploads/2022/03/nhs-ltp.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4" cstate="print"/>
                    <a:srcRect l="0" t="0" r="0" b="0"/>
                    <a:stretch/>
                  </pic:blipFill>
                  <pic:spPr>
                    <a:xfrm rot="0">
                      <a:off x="0" y="0"/>
                      <a:ext cx="4419600" cy="5553075"/>
                    </a:xfrm>
                    <a:prstGeom prst="rect"/>
                    <a:ln cmpd="sng" cap="flat" w="9525">
                      <a:solidFill>
                        <a:srgbClr val="000000"/>
                      </a:solidFill>
                      <a:prstDash val="solid"/>
                      <a:round/>
                      <a:headEnd/>
                      <a:tailEnd/>
                    </a:ln>
                  </pic:spPr>
                </pic:pic>
              </a:graphicData>
            </a:graphic>
          </wp:inline>
        </w:drawing>
      </w:r>
    </w:p>
    <w:p>
      <w:pPr>
        <w:pStyle w:val="style0"/>
        <w:spacing w:after="240" w:lineRule="auto" w:line="360"/>
        <w:jc w:val="center"/>
        <w:rPr/>
      </w:pPr>
      <w:r>
        <w:t xml:space="preserve">(Source: </w:t>
      </w:r>
      <w:r>
        <w:rPr/>
        <w:fldChar w:fldCharType="begin"/>
      </w:r>
      <w:r>
        <w:instrText xml:space="preserve"> HYPERLINK "https://www.carnallfarrar.com/life-sciences-insights-nhs-long-term-plan-summary/" </w:instrText>
      </w:r>
      <w:r>
        <w:rPr/>
        <w:fldChar w:fldCharType="separate"/>
      </w:r>
      <w:r>
        <w:rPr>
          <w:color w:val="0000ff"/>
          <w:u w:val="single"/>
        </w:rPr>
        <w:t>https://www.carnallfarrar.com/life-sciences-insights-nhs-long-term-plan-summary/</w:t>
      </w:r>
      <w:r>
        <w:rPr/>
        <w:fldChar w:fldCharType="end"/>
      </w:r>
      <w:r>
        <w:t>. )</w:t>
      </w:r>
    </w:p>
    <w:bookmarkStart w:id="41" w:name="_Toc213838292"/>
    <w:p>
      <w:pPr>
        <w:pStyle w:val="style2"/>
        <w:spacing w:before="0" w:after="240"/>
        <w:rPr/>
      </w:pPr>
      <w:r>
        <w:t>Appendix 2: Aim of NHS Long Term Plan</w:t>
      </w:r>
      <w:bookmarkEnd w:id="41"/>
    </w:p>
    <w:p>
      <w:pPr>
        <w:pStyle w:val="style0"/>
        <w:spacing w:after="240" w:lineRule="auto" w:line="360"/>
        <w:jc w:val="center"/>
        <w:rPr/>
      </w:pPr>
      <w:r>
        <w:rPr>
          <w:noProof/>
          <w:lang w:bidi="gu-IN"/>
        </w:rPr>
        <w:drawing>
          <wp:inline distL="0" distT="0" distB="0" distR="0">
            <wp:extent cx="4956625" cy="4377534"/>
            <wp:effectExtent l="0" t="0" r="0" b="0"/>
            <wp:docPr id="1043" name="image4.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5" cstate="print"/>
                    <a:srcRect l="0" t="0" r="0" b="0"/>
                    <a:stretch/>
                  </pic:blipFill>
                  <pic:spPr>
                    <a:xfrm rot="0">
                      <a:off x="0" y="0"/>
                      <a:ext cx="4956625" cy="4377534"/>
                    </a:xfrm>
                    <a:prstGeom prst="rect"/>
                    <a:ln cmpd="sng" cap="flat" w="9525">
                      <a:solidFill>
                        <a:srgbClr val="000000"/>
                      </a:solidFill>
                      <a:prstDash val="solid"/>
                      <a:round/>
                      <a:headEnd/>
                      <a:tailEnd/>
                    </a:ln>
                  </pic:spPr>
                </pic:pic>
              </a:graphicData>
            </a:graphic>
          </wp:inline>
        </w:drawing>
      </w:r>
    </w:p>
    <w:p>
      <w:pPr>
        <w:pStyle w:val="style0"/>
        <w:spacing w:after="240" w:lineRule="auto" w:line="360"/>
        <w:ind w:left="720"/>
        <w:jc w:val="center"/>
        <w:rPr/>
      </w:pPr>
      <w:r>
        <w:t xml:space="preserve">(Source: </w:t>
      </w:r>
      <w:r>
        <w:rPr/>
        <w:fldChar w:fldCharType="begin"/>
      </w:r>
      <w:r>
        <w:instrText xml:space="preserve"> HYPERLINK "https://www.pcrs-uk.org/sites/default/files/National-COPD-Policy-Action-Plan.pdf" </w:instrText>
      </w:r>
      <w:r>
        <w:rPr/>
        <w:fldChar w:fldCharType="separate"/>
      </w:r>
      <w:r>
        <w:rPr>
          <w:color w:val="0000ff"/>
          <w:u w:val="single"/>
        </w:rPr>
        <w:t>https://www.pcrs-uk.org/sites/default/files/National-COPD-Policy-Action-Plan.pdf</w:t>
      </w:r>
      <w:r>
        <w:rPr/>
        <w:fldChar w:fldCharType="end"/>
      </w:r>
      <w:r>
        <w:t>)</w:t>
      </w:r>
    </w:p>
    <w:p>
      <w:pPr>
        <w:pStyle w:val="style0"/>
        <w:spacing w:after="240" w:lineRule="auto" w:line="360"/>
        <w:jc w:val="center"/>
        <w:rPr/>
      </w:pPr>
    </w:p>
    <w:sectPr>
      <w:footerReference w:type="default" r:id="rId6"/>
      <w:pgSz w:w="11909" w:h="16834"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200247B" w:usb2="00000009" w:usb3="00000000" w:csb0="000001FF" w:csb1="00000000"/>
  </w:font>
  <w:font w:name="Shruti">
    <w:altName w:val="Cambria Math"/>
    <w:panose1 w:val="02000500000000000000"/>
    <w:charset w:val="01"/>
    <w:family w:val="roman"/>
    <w:pitch w:val="variable"/>
    <w:sig w:usb0="00000000" w:usb1="00000000" w:usb2="00000000" w:usb3="00000000" w:csb0="00000000"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 w:name="Cambria Math">
    <w:altName w:val="Cambria Math"/>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pBdr>
        <w:left w:val="nil"/>
        <w:right w:val="nil"/>
        <w:top w:val="nil"/>
        <w:bottom w:val="nil"/>
        <w:between w:val="nil"/>
      </w:pBdr>
      <w:tabs>
        <w:tab w:val="center" w:leader="none" w:pos="4680"/>
        <w:tab w:val="right" w:leader="none" w:pos="9360"/>
      </w:tabs>
      <w:spacing w:lineRule="auto" w:line="240"/>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1</w:t>
    </w:r>
    <w:r>
      <w:rPr>
        <w:color w:val="000000"/>
        <w:sz w:val="20"/>
        <w:szCs w:val="20"/>
      </w:rPr>
      <w:fldChar w:fldCharType="end"/>
    </w:r>
  </w:p>
  <w:p>
    <w:pPr>
      <w:pStyle w:val="style0"/>
      <w:pBdr>
        <w:left w:val="nil"/>
        <w:right w:val="nil"/>
        <w:top w:val="nil"/>
        <w:bottom w:val="nil"/>
        <w:between w:val="nil"/>
      </w:pBdr>
      <w:tabs>
        <w:tab w:val="center" w:leader="none" w:pos="4680"/>
        <w:tab w:val="right" w:leader="none" w:pos="9360"/>
      </w:tabs>
      <w:spacing w:lineRule="auto" w:line="240"/>
      <w:rPr>
        <w:color w:val="00000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C4E89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0000001"/>
    <w:multiLevelType w:val="multilevel"/>
    <w:tmpl w:val="2B9E9E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0000002"/>
    <w:multiLevelType w:val="multilevel"/>
    <w:tmpl w:val="87D0E0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0000003"/>
    <w:multiLevelType w:val="multilevel"/>
    <w:tmpl w:val="D5A80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0000004"/>
    <w:multiLevelType w:val="multilevel"/>
    <w:tmpl w:val="B27CF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TrueType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sz w:val="22"/>
        <w:szCs w:val="22"/>
        <w:lang w:val="en-US" w:bidi="ar-SA" w:eastAsia="en-US"/>
      </w:rPr>
    </w:rPrDefault>
    <w:pPrDefault>
      <w:pPr>
        <w:spacing w:lineRule="auto" w:line="276"/>
      </w:pPr>
    </w:pPrDefault>
  </w:docDefaults>
  <w:style w:type="paragraph" w:default="1" w:styleId="style0">
    <w:name w:val="Normal"/>
    <w:next w:val="style0"/>
    <w:pPr/>
  </w:style>
  <w:style w:type="paragraph" w:styleId="style1">
    <w:name w:val="heading 1"/>
    <w:basedOn w:val="style0"/>
    <w:next w:val="style0"/>
    <w:pPr>
      <w:keepNext/>
      <w:keepLines/>
      <w:spacing w:before="120" w:after="120" w:lineRule="auto" w:line="360"/>
      <w:jc w:val="both"/>
      <w:outlineLvl w:val="0"/>
    </w:pPr>
    <w:rPr>
      <w:b/>
      <w:bCs/>
      <w:sz w:val="28"/>
      <w:szCs w:val="28"/>
    </w:rPr>
  </w:style>
  <w:style w:type="paragraph" w:styleId="style2">
    <w:name w:val="heading 2"/>
    <w:basedOn w:val="style0"/>
    <w:next w:val="style0"/>
    <w:pPr>
      <w:keepNext/>
      <w:keepLines/>
      <w:spacing w:before="120" w:after="120" w:lineRule="auto" w:line="360"/>
      <w:jc w:val="both"/>
      <w:outlineLvl w:val="1"/>
    </w:pPr>
    <w:rPr>
      <w:b/>
      <w:bCs/>
      <w:sz w:val="26"/>
      <w:szCs w:val="26"/>
    </w:rPr>
  </w:style>
  <w:style w:type="paragraph" w:styleId="style3">
    <w:name w:val="heading 3"/>
    <w:basedOn w:val="style0"/>
    <w:next w:val="style0"/>
    <w:pPr>
      <w:keepNext/>
      <w:keepLines/>
      <w:spacing w:before="320" w:after="80"/>
      <w:outlineLvl w:val="2"/>
    </w:pPr>
    <w:rPr>
      <w:color w:val="434343"/>
      <w:sz w:val="28"/>
      <w:szCs w:val="28"/>
    </w:rPr>
  </w:style>
  <w:style w:type="paragraph" w:styleId="style4">
    <w:name w:val="heading 4"/>
    <w:basedOn w:val="style0"/>
    <w:next w:val="style0"/>
    <w:pPr>
      <w:keepNext/>
      <w:keepLines/>
      <w:spacing w:before="120" w:after="120" w:lineRule="auto" w:line="360"/>
      <w:jc w:val="center"/>
      <w:outlineLvl w:val="3"/>
    </w:pPr>
    <w:rPr>
      <w:b/>
      <w:bCs/>
      <w:sz w:val="24"/>
      <w:szCs w:val="24"/>
    </w:rPr>
  </w:style>
  <w:style w:type="paragraph" w:styleId="style5">
    <w:name w:val="heading 5"/>
    <w:basedOn w:val="style0"/>
    <w:next w:val="style0"/>
    <w:pPr>
      <w:keepNext/>
      <w:keepLines/>
      <w:spacing w:before="120" w:after="120" w:lineRule="auto" w:line="360"/>
      <w:jc w:val="center"/>
      <w:outlineLvl w:val="4"/>
    </w:pPr>
    <w:rPr>
      <w:b/>
      <w:bCs/>
      <w:sz w:val="24"/>
      <w:szCs w:val="24"/>
    </w:rPr>
  </w:style>
  <w:style w:type="paragraph" w:styleId="style6">
    <w:name w:val="heading 6"/>
    <w:basedOn w:val="style0"/>
    <w:next w:val="style0"/>
    <w:pPr>
      <w:keepNext/>
      <w:keepLines/>
      <w:spacing w:before="240" w:after="80"/>
      <w:outlineLvl w:val="5"/>
    </w:pPr>
    <w:rPr>
      <w:i/>
      <w:iCs/>
      <w:color w:val="666666"/>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customStyle="1" w:styleId="style4097">
    <w:name w:val="TableNormal"/>
    <w:next w:val="style4097"/>
    <w:pPr/>
    <w:rPr/>
    <w:tblPr>
      <w:tblCellMar>
        <w:top w:w="100" w:type="dxa"/>
        <w:left w:w="100" w:type="dxa"/>
        <w:bottom w:w="100" w:type="dxa"/>
        <w:right w:w="100" w:type="dxa"/>
      </w:tblCellMar>
    </w:tblPr>
    <w:tcPr>
      <w:tcBorders/>
    </w:tcPr>
  </w:style>
  <w:style w:type="paragraph" w:styleId="style62">
    <w:name w:val="Title"/>
    <w:basedOn w:val="style0"/>
    <w:next w:val="style0"/>
    <w:pPr>
      <w:keepNext/>
      <w:keepLines/>
      <w:spacing w:after="60"/>
    </w:pPr>
    <w:rPr>
      <w:sz w:val="52"/>
      <w:szCs w:val="52"/>
    </w:rPr>
  </w:style>
  <w:style w:type="table" w:customStyle="1" w:styleId="style4098">
    <w:name w:val="TableNormal"/>
    <w:next w:val="style4098"/>
    <w:pPr/>
    <w:rPr/>
    <w:tblPr>
      <w:tblCellMar>
        <w:top w:w="100" w:type="dxa"/>
        <w:left w:w="100" w:type="dxa"/>
        <w:bottom w:w="100" w:type="dxa"/>
        <w:right w:w="100" w:type="dxa"/>
      </w:tblCellMar>
    </w:tblPr>
    <w:tcPr>
      <w:tcBorders/>
    </w:tcPr>
  </w:style>
  <w:style w:type="table" w:customStyle="1" w:styleId="style4099">
    <w:basedOn w:val="style4098"/>
    <w:next w:val="style4099"/>
    <w:pPr/>
    <w:rPr/>
    <w:tblPr>
      <w:tblStyleRowBandSize w:val="1"/>
      <w:tblStyleColBandSize w:val="1"/>
      <w:tblCellMar>
        <w:top w:w="100" w:type="dxa"/>
        <w:left w:w="100" w:type="dxa"/>
        <w:bottom w:w="100" w:type="dxa"/>
        <w:right w:w="100" w:type="dxa"/>
      </w:tblCellMar>
    </w:tblPr>
    <w:tcPr>
      <w:tcBorders/>
    </w:tcPr>
  </w:style>
  <w:style w:type="table" w:customStyle="1" w:styleId="style4100">
    <w:basedOn w:val="style4098"/>
    <w:next w:val="style4100"/>
    <w:pPr/>
    <w:rPr/>
    <w:tblPr>
      <w:tblStyleRowBandSize w:val="1"/>
      <w:tblStyleColBandSize w:val="1"/>
      <w:tblCellMar>
        <w:top w:w="100" w:type="dxa"/>
        <w:left w:w="100" w:type="dxa"/>
        <w:bottom w:w="100" w:type="dxa"/>
        <w:right w:w="100" w:type="dxa"/>
      </w:tblCellMar>
    </w:tblPr>
    <w:tcPr>
      <w:tcBorders/>
    </w:tcPr>
  </w:style>
  <w:style w:type="table" w:customStyle="1" w:styleId="style4101">
    <w:basedOn w:val="style4098"/>
    <w:next w:val="style4101"/>
    <w:pPr/>
    <w:rPr/>
    <w:tblPr>
      <w:tblStyleRowBandSize w:val="1"/>
      <w:tblStyleColBandSize w:val="1"/>
      <w:tblCellMar>
        <w:top w:w="100" w:type="dxa"/>
        <w:left w:w="100" w:type="dxa"/>
        <w:bottom w:w="100" w:type="dxa"/>
        <w:right w:w="100" w:type="dxa"/>
      </w:tblCellMar>
    </w:tblPr>
    <w:tcPr>
      <w:tcBorders/>
    </w:tc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rPr>
  </w:style>
  <w:style w:type="character" w:styleId="style85">
    <w:name w:val="Hyperlink"/>
    <w:basedOn w:val="style65"/>
    <w:next w:val="style85"/>
    <w:uiPriority w:val="99"/>
    <w:rPr>
      <w:color w:val="0000ff"/>
      <w:u w:val="single"/>
    </w:rPr>
  </w:style>
  <w:style w:type="paragraph" w:styleId="style31">
    <w:name w:val="header"/>
    <w:basedOn w:val="style0"/>
    <w:next w:val="style31"/>
    <w:link w:val="style4102"/>
    <w:uiPriority w:val="99"/>
    <w:pPr>
      <w:tabs>
        <w:tab w:val="center" w:leader="none" w:pos="4680"/>
        <w:tab w:val="right" w:leader="none" w:pos="9360"/>
      </w:tabs>
      <w:spacing w:lineRule="auto" w:line="240"/>
    </w:pPr>
    <w:rPr/>
  </w:style>
  <w:style w:type="character" w:customStyle="1" w:styleId="style4102">
    <w:name w:val="Header Char_80297807-80c4-438b-9a95-1d0c92809d5b"/>
    <w:basedOn w:val="style65"/>
    <w:next w:val="style4102"/>
    <w:link w:val="style31"/>
    <w:uiPriority w:val="99"/>
  </w:style>
  <w:style w:type="paragraph" w:styleId="style32">
    <w:name w:val="footer"/>
    <w:basedOn w:val="style0"/>
    <w:next w:val="style32"/>
    <w:link w:val="style4103"/>
    <w:uiPriority w:val="99"/>
    <w:pPr>
      <w:tabs>
        <w:tab w:val="center" w:leader="none" w:pos="4680"/>
        <w:tab w:val="right" w:leader="none" w:pos="9360"/>
      </w:tabs>
      <w:spacing w:lineRule="auto" w:line="240"/>
    </w:pPr>
    <w:rPr/>
  </w:style>
  <w:style w:type="character" w:customStyle="1" w:styleId="style4103">
    <w:name w:val="Footer Char_d083080b-4ef4-4109-a062-2ff72814a67c"/>
    <w:basedOn w:val="style65"/>
    <w:next w:val="style4103"/>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Calibri" w:cs="Shruti" w:eastAsia="宋体" w:hAnsi="Calibri"/>
      <w:b w:val="false"/>
      <w:color w:val="365f91"/>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153">
    <w:name w:val="Balloon Text"/>
    <w:basedOn w:val="style0"/>
    <w:next w:val="style153"/>
    <w:link w:val="style4104"/>
    <w:uiPriority w:val="99"/>
    <w:pPr>
      <w:spacing w:lineRule="auto" w:line="240"/>
    </w:pPr>
    <w:rPr>
      <w:rFonts w:ascii="Tahoma" w:cs="Tahoma" w:hAnsi="Tahoma"/>
      <w:sz w:val="16"/>
      <w:szCs w:val="16"/>
    </w:rPr>
  </w:style>
  <w:style w:type="character" w:customStyle="1" w:styleId="style4104">
    <w:name w:val="Balloon Text Char"/>
    <w:basedOn w:val="style65"/>
    <w:next w:val="style4104"/>
    <w:link w:val="style153"/>
    <w:uiPriority w:val="99"/>
    <w:rPr>
      <w:rFonts w:ascii="Tahoma" w:cs="Tahoma" w:hAnsi="Tahoma"/>
      <w:sz w:val="16"/>
      <w:szCs w:val="16"/>
    </w:rPr>
  </w:style>
  <w:style w:type="paragraph" w:styleId="style74">
    <w:name w:val="Subtitle"/>
    <w:basedOn w:val="style0"/>
    <w:next w:val="style0"/>
    <w:pPr>
      <w:keepNext/>
      <w:keepLines/>
      <w:spacing w:after="320"/>
    </w:pPr>
    <w:rPr>
      <w:color w:val="666666"/>
      <w:sz w:val="30"/>
      <w:szCs w:val="30"/>
    </w:rPr>
  </w:style>
  <w:style w:type="table" w:customStyle="1" w:styleId="style4105">
    <w:basedOn w:val="style105"/>
    <w:next w:val="style4105"/>
    <w:pPr/>
    <w:rPr/>
    <w:tblPr>
      <w:tblStyleRowBandSize w:val="1"/>
      <w:tblStyleColBandSize w:val="1"/>
      <w:tblInd w:w="0" w:type="dxa"/>
      <w:tblCellMar>
        <w:top w:w="0" w:type="dxa"/>
        <w:left w:w="108" w:type="dxa"/>
        <w:bottom w:w="0" w:type="dxa"/>
        <w:right w:w="108" w:type="dxa"/>
      </w:tblCellMar>
    </w:tblPr>
    <w:tcPr>
      <w:tcBorders/>
    </w:tcPr>
  </w:style>
  <w:style w:type="table" w:customStyle="1" w:styleId="style4106">
    <w:basedOn w:val="style105"/>
    <w:next w:val="style4106"/>
    <w:pPr/>
    <w:rPr/>
    <w:tblPr>
      <w:tblStyleRowBandSize w:val="1"/>
      <w:tblStyleColBandSize w:val="1"/>
      <w:tblInd w:w="0" w:type="dxa"/>
      <w:tblCellMar>
        <w:top w:w="0" w:type="dxa"/>
        <w:left w:w="108" w:type="dxa"/>
        <w:bottom w:w="0" w:type="dxa"/>
        <w:right w:w="108" w:type="dxa"/>
      </w:tblCellMar>
    </w:tblPr>
    <w:tcPr>
      <w:tcBorders/>
    </w:tcPr>
  </w:style>
  <w:style w:type="table" w:customStyle="1" w:styleId="style4107">
    <w:basedOn w:val="style105"/>
    <w:next w:val="style4107"/>
    <w:pPr/>
    <w:rPr/>
    <w:tblPr>
      <w:tblStyleRowBandSize w:val="1"/>
      <w:tblStyleColBandSize w:val="1"/>
      <w:tblInd w:w="0" w:type="dxa"/>
      <w:tblCellMar>
        <w:top w:w="0" w:type="dxa"/>
        <w:left w:w="108" w:type="dxa"/>
        <w:bottom w:w="0" w:type="dxa"/>
        <w:right w:w="108" w:type="dxa"/>
      </w:tblCellMar>
    </w:tblPr>
    <w:tcPr>
      <w:tcBorders/>
    </w:tcPr>
  </w:style>
  <w:style w:type="table" w:customStyle="1" w:styleId="style4108">
    <w:basedOn w:val="style105"/>
    <w:next w:val="style4108"/>
    <w:pPr/>
    <w:rPr/>
    <w:tblPr>
      <w:tblStyleRowBandSize w:val="1"/>
      <w:tblStyleColBandSize w:val="1"/>
      <w:tblInd w:w="0" w:type="dxa"/>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4.png"/><Relationship Id="rId6" Type="http://schemas.openxmlformats.org/officeDocument/2006/relationships/footer" Target="footer1.xml"/><Relationship Id="rId7" Type="http://schemas.openxmlformats.org/officeDocument/2006/relationships/styles" Target="styles.xml"/><Relationship Id="rId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SC3PzL6ioFv5SGYlVFD6FKhySA==">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Words>4180</Words>
  <Pages>24</Pages>
  <Characters>28586</Characters>
  <Application>WPS Office</Application>
  <DocSecurity>0</DocSecurity>
  <Paragraphs>293</Paragraphs>
  <ScaleCrop>false</ScaleCrop>
  <LinksUpToDate>false</LinksUpToDate>
  <CharactersWithSpaces>32604</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2025-11-12T11:22:00Z</dcterms:created>
  <dc:creator>MAHENDRA KACHWALA</dc:creator>
  <lastModifiedBy>V2029</lastModifiedBy>
  <dcterms:modified xsi:type="dcterms:W3CDTF">2025-11-12T18:16:29Z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a7d44477220a4f598b7eebc1fd4f9755</vt:lpwstr>
  </property>
</Properties>
</file>