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46A22A" w14:textId="77777777" w:rsidR="005600C5" w:rsidRPr="00B477A9" w:rsidRDefault="005600C5" w:rsidP="007850AC">
      <w:pPr>
        <w:spacing w:line="480" w:lineRule="auto"/>
        <w:jc w:val="both"/>
        <w:rPr>
          <w:b/>
          <w:sz w:val="24"/>
          <w:szCs w:val="24"/>
        </w:rPr>
      </w:pPr>
    </w:p>
    <w:p w14:paraId="07C7F8A8" w14:textId="77777777" w:rsidR="005600C5" w:rsidRPr="00B477A9" w:rsidRDefault="005600C5" w:rsidP="007850AC">
      <w:pPr>
        <w:spacing w:line="480" w:lineRule="auto"/>
        <w:jc w:val="both"/>
        <w:rPr>
          <w:b/>
          <w:sz w:val="24"/>
          <w:szCs w:val="24"/>
        </w:rPr>
      </w:pPr>
      <w:r>
        <w:rPr>
          <w:noProof/>
        </w:rPr>
        <mc:AlternateContent>
          <mc:Choice Requires="wps">
            <w:drawing>
              <wp:anchor distT="0" distB="0" distL="114300" distR="114300" simplePos="0" relativeHeight="251659264" behindDoc="0" locked="0" layoutInCell="1" allowOverlap="1" wp14:anchorId="5E532FE5" wp14:editId="38613BC9">
                <wp:simplePos x="0" y="0"/>
                <wp:positionH relativeFrom="margin">
                  <wp:posOffset>0</wp:posOffset>
                </wp:positionH>
                <wp:positionV relativeFrom="paragraph">
                  <wp:posOffset>56515</wp:posOffset>
                </wp:positionV>
                <wp:extent cx="5781675" cy="2943225"/>
                <wp:effectExtent l="76200" t="57150" r="104775" b="123825"/>
                <wp:wrapNone/>
                <wp:docPr id="1" name="Rounded Rectangle 1"/>
                <wp:cNvGraphicFramePr/>
                <a:graphic xmlns:a="http://schemas.openxmlformats.org/drawingml/2006/main">
                  <a:graphicData uri="http://schemas.microsoft.com/office/word/2010/wordprocessingShape">
                    <wps:wsp>
                      <wps:cNvSpPr/>
                      <wps:spPr>
                        <a:xfrm>
                          <a:off x="0" y="0"/>
                          <a:ext cx="5781675" cy="2943225"/>
                        </a:xfrm>
                        <a:prstGeom prst="roundRect">
                          <a:avLst/>
                        </a:prstGeom>
                        <a:solidFill>
                          <a:srgbClr val="00B0F0"/>
                        </a:solid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lnRef>
                        <a:fillRef idx="1">
                          <a:schemeClr val="lt1"/>
                        </a:fillRef>
                        <a:effectRef idx="0">
                          <a:schemeClr val="accent1"/>
                        </a:effectRef>
                        <a:fontRef idx="minor">
                          <a:schemeClr val="dk1"/>
                        </a:fontRef>
                      </wps:style>
                      <wps:txbx>
                        <w:txbxContent>
                          <w:p w14:paraId="035B0746" w14:textId="77777777" w:rsidR="005600C5" w:rsidRDefault="005600C5" w:rsidP="005600C5">
                            <w:pPr>
                              <w:jc w:val="center"/>
                              <w:rPr>
                                <w:b/>
                                <w:sz w:val="56"/>
                              </w:rPr>
                            </w:pPr>
                            <w:r>
                              <w:rPr>
                                <w:b/>
                                <w:sz w:val="56"/>
                              </w:rPr>
                              <w:t>Criminal Law</w:t>
                            </w:r>
                          </w:p>
                          <w:p w14:paraId="5632B589" w14:textId="77777777" w:rsidR="005600C5" w:rsidRPr="00B96F45" w:rsidRDefault="005600C5" w:rsidP="005600C5">
                            <w:pPr>
                              <w:spacing w:line="480" w:lineRule="auto"/>
                              <w:rPr>
                                <w:b/>
                                <w:bCs/>
                                <w:sz w:val="24"/>
                                <w:szCs w:val="24"/>
                              </w:rPr>
                            </w:pPr>
                            <w:r w:rsidRPr="008B6657">
                              <w:rPr>
                                <w:b/>
                                <w:color w:val="002060"/>
                                <w:sz w:val="56"/>
                              </w:rPr>
                              <w:t>Assignment:</w:t>
                            </w:r>
                            <w:r>
                              <w:rPr>
                                <w:b/>
                                <w:bCs/>
                                <w:sz w:val="24"/>
                                <w:szCs w:val="24"/>
                              </w:rPr>
                              <w:t xml:space="preserve"> </w:t>
                            </w:r>
                            <w:r w:rsidRPr="00B96F45">
                              <w:rPr>
                                <w:b/>
                                <w:sz w:val="24"/>
                                <w:szCs w:val="24"/>
                              </w:rPr>
                              <w:t>Reform of Non-Fatal Offences Against the Person</w:t>
                            </w:r>
                          </w:p>
                          <w:p w14:paraId="726B2FF1" w14:textId="77777777" w:rsidR="005600C5" w:rsidRPr="008B6657" w:rsidRDefault="005600C5" w:rsidP="005600C5">
                            <w:pPr>
                              <w:jc w:val="center"/>
                              <w:rPr>
                                <w:b/>
                                <w:color w:val="002060"/>
                                <w:sz w:val="56"/>
                              </w:rPr>
                            </w:pPr>
                          </w:p>
                          <w:p w14:paraId="151B3554" w14:textId="77777777" w:rsidR="005600C5" w:rsidRPr="008B6657" w:rsidRDefault="005600C5" w:rsidP="005600C5">
                            <w:pPr>
                              <w:jc w:val="center"/>
                              <w:rPr>
                                <w:b/>
                                <w:sz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E532FE5" id="Rounded Rectangle 1" o:spid="_x0000_s1026" style="position:absolute;left:0;text-align:left;margin-left:0;margin-top:4.45pt;width:455.25pt;height:231.7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" fillcolor="#00b0f0" stroked="f" strokeweight="1pt">
                <v:stroke joinstyle="miter"/>
                <v:shadow on="t" color="black" opacity="20971f" offset="0,2.2pt"/>
                <v:textbox>
                  <w:txbxContent>
                    <w:p w14:paraId="035B0746" w14:textId="77777777" w:rsidR="005600C5" w:rsidRDefault="005600C5" w:rsidP="005600C5">
                      <w:pPr>
                        <w:jc w:val="center"/>
                        <w:rPr>
                          <w:b/>
                          <w:sz w:val="56"/>
                        </w:rPr>
                      </w:pPr>
                      <w:r>
                        <w:rPr>
                          <w:b/>
                          <w:sz w:val="56"/>
                        </w:rPr>
                        <w:t>Criminal Law</w:t>
                      </w:r>
                    </w:p>
                    <w:p w14:paraId="5632B589" w14:textId="77777777" w:rsidR="005600C5" w:rsidRPr="00B96F45" w:rsidRDefault="005600C5" w:rsidP="005600C5">
                      <w:pPr>
                        <w:spacing w:line="480" w:lineRule="auto"/>
                        <w:rPr>
                          <w:b/>
                          <w:bCs/>
                          <w:sz w:val="24"/>
                          <w:szCs w:val="24"/>
                        </w:rPr>
                      </w:pPr>
                      <w:r w:rsidRPr="008B6657">
                        <w:rPr>
                          <w:b/>
                          <w:color w:val="002060"/>
                          <w:sz w:val="56"/>
                        </w:rPr>
                        <w:t>Assignment:</w:t>
                      </w:r>
                      <w:r>
                        <w:rPr>
                          <w:b/>
                          <w:bCs/>
                          <w:sz w:val="24"/>
                          <w:szCs w:val="24"/>
                        </w:rPr>
                        <w:t xml:space="preserve"> </w:t>
                      </w:r>
                      <w:r w:rsidRPr="00B96F45">
                        <w:rPr>
                          <w:b/>
                          <w:sz w:val="24"/>
                          <w:szCs w:val="24"/>
                        </w:rPr>
                        <w:t>Reform of Non-Fatal Offences Against the Person</w:t>
                      </w:r>
                    </w:p>
                    <w:p w14:paraId="726B2FF1" w14:textId="77777777" w:rsidR="005600C5" w:rsidRPr="008B6657" w:rsidRDefault="005600C5" w:rsidP="005600C5">
                      <w:pPr>
                        <w:jc w:val="center"/>
                        <w:rPr>
                          <w:b/>
                          <w:color w:val="002060"/>
                          <w:sz w:val="56"/>
                        </w:rPr>
                      </w:pPr>
                    </w:p>
                    <w:p w14:paraId="151B3554" w14:textId="77777777" w:rsidR="005600C5" w:rsidRPr="008B6657" w:rsidRDefault="005600C5" w:rsidP="005600C5">
                      <w:pPr>
                        <w:jc w:val="center"/>
                        <w:rPr>
                          <w:b/>
                          <w:sz w:val="56"/>
                        </w:rPr>
                      </w:pPr>
                    </w:p>
                  </w:txbxContent>
                </v:textbox>
                <w10:wrap anchorx="margin"/>
              </v:roundrect>
            </w:pict>
          </mc:Fallback>
        </mc:AlternateContent>
      </w:r>
    </w:p>
    <w:p w14:paraId="1D9AFEE1" w14:textId="77777777" w:rsidR="005600C5" w:rsidRPr="00B477A9" w:rsidRDefault="005600C5" w:rsidP="007850AC">
      <w:pPr>
        <w:spacing w:line="480" w:lineRule="auto"/>
        <w:jc w:val="both"/>
        <w:rPr>
          <w:b/>
          <w:sz w:val="24"/>
          <w:szCs w:val="24"/>
        </w:rPr>
      </w:pPr>
    </w:p>
    <w:p w14:paraId="5E30B9E7" w14:textId="77777777" w:rsidR="005600C5" w:rsidRPr="00B477A9" w:rsidRDefault="005600C5" w:rsidP="007850AC">
      <w:pPr>
        <w:spacing w:line="480" w:lineRule="auto"/>
        <w:jc w:val="both"/>
        <w:rPr>
          <w:b/>
          <w:sz w:val="24"/>
          <w:szCs w:val="24"/>
        </w:rPr>
      </w:pPr>
    </w:p>
    <w:p w14:paraId="0E58CDA7" w14:textId="77777777" w:rsidR="005600C5" w:rsidRPr="00B477A9" w:rsidRDefault="005600C5" w:rsidP="007850AC">
      <w:pPr>
        <w:spacing w:line="480" w:lineRule="auto"/>
        <w:jc w:val="both"/>
        <w:rPr>
          <w:b/>
          <w:sz w:val="24"/>
          <w:szCs w:val="24"/>
        </w:rPr>
      </w:pPr>
    </w:p>
    <w:p w14:paraId="7FD6475F" w14:textId="77777777" w:rsidR="005600C5" w:rsidRPr="00B477A9" w:rsidRDefault="005600C5" w:rsidP="007850AC">
      <w:pPr>
        <w:spacing w:line="480" w:lineRule="auto"/>
        <w:jc w:val="both"/>
        <w:rPr>
          <w:b/>
          <w:sz w:val="24"/>
          <w:szCs w:val="24"/>
        </w:rPr>
      </w:pPr>
    </w:p>
    <w:p w14:paraId="5A7D0132" w14:textId="77777777" w:rsidR="005600C5" w:rsidRPr="00B477A9" w:rsidRDefault="005600C5" w:rsidP="007850AC">
      <w:pPr>
        <w:spacing w:line="480" w:lineRule="auto"/>
        <w:jc w:val="both"/>
        <w:rPr>
          <w:b/>
          <w:sz w:val="24"/>
          <w:szCs w:val="24"/>
        </w:rPr>
      </w:pPr>
    </w:p>
    <w:p w14:paraId="08A3B468" w14:textId="77777777" w:rsidR="005600C5" w:rsidRPr="00B477A9" w:rsidRDefault="005600C5" w:rsidP="007850AC">
      <w:pPr>
        <w:spacing w:line="480" w:lineRule="auto"/>
        <w:jc w:val="both"/>
        <w:rPr>
          <w:b/>
          <w:sz w:val="24"/>
          <w:szCs w:val="24"/>
        </w:rPr>
      </w:pPr>
    </w:p>
    <w:p w14:paraId="0B4CBA13" w14:textId="77777777" w:rsidR="005600C5" w:rsidRPr="00B477A9" w:rsidRDefault="005600C5" w:rsidP="007850AC">
      <w:pPr>
        <w:spacing w:line="480" w:lineRule="auto"/>
        <w:jc w:val="both"/>
        <w:rPr>
          <w:b/>
          <w:sz w:val="24"/>
          <w:szCs w:val="24"/>
        </w:rPr>
      </w:pPr>
    </w:p>
    <w:p w14:paraId="198B1889" w14:textId="77777777" w:rsidR="005600C5" w:rsidRPr="00B477A9" w:rsidRDefault="005600C5" w:rsidP="007850AC">
      <w:pPr>
        <w:spacing w:line="480" w:lineRule="auto"/>
        <w:jc w:val="both"/>
        <w:rPr>
          <w:b/>
          <w:sz w:val="24"/>
          <w:szCs w:val="24"/>
        </w:rPr>
      </w:pPr>
    </w:p>
    <w:p w14:paraId="08390B00" w14:textId="77777777" w:rsidR="005600C5" w:rsidRPr="00B477A9" w:rsidRDefault="005600C5" w:rsidP="007850AC">
      <w:pPr>
        <w:spacing w:line="480" w:lineRule="auto"/>
        <w:jc w:val="both"/>
        <w:rPr>
          <w:b/>
          <w:bCs/>
          <w:sz w:val="24"/>
          <w:szCs w:val="24"/>
        </w:rPr>
      </w:pPr>
    </w:p>
    <w:p w14:paraId="0F67C091" w14:textId="77777777" w:rsidR="005600C5" w:rsidRPr="00B477A9" w:rsidRDefault="005600C5" w:rsidP="007850AC">
      <w:pPr>
        <w:spacing w:line="480" w:lineRule="auto"/>
        <w:jc w:val="both"/>
        <w:rPr>
          <w:b/>
          <w:bCs/>
          <w:sz w:val="24"/>
          <w:szCs w:val="24"/>
        </w:rPr>
      </w:pPr>
      <w:r>
        <w:rPr>
          <w:noProof/>
        </w:rPr>
        <mc:AlternateContent>
          <mc:Choice Requires="wps">
            <w:drawing>
              <wp:anchor distT="0" distB="0" distL="114300" distR="114300" simplePos="0" relativeHeight="251660288" behindDoc="0" locked="0" layoutInCell="1" allowOverlap="1" wp14:anchorId="053F4E76" wp14:editId="68B1C06F">
                <wp:simplePos x="0" y="0"/>
                <wp:positionH relativeFrom="margin">
                  <wp:posOffset>0</wp:posOffset>
                </wp:positionH>
                <wp:positionV relativeFrom="paragraph">
                  <wp:posOffset>57150</wp:posOffset>
                </wp:positionV>
                <wp:extent cx="5857875" cy="3105150"/>
                <wp:effectExtent l="76200" t="57150" r="104775" b="114300"/>
                <wp:wrapNone/>
                <wp:docPr id="3" name="Rectangle 3"/>
                <wp:cNvGraphicFramePr/>
                <a:graphic xmlns:a="http://schemas.openxmlformats.org/drawingml/2006/main">
                  <a:graphicData uri="http://schemas.microsoft.com/office/word/2010/wordprocessingShape">
                    <wps:wsp>
                      <wps:cNvSpPr/>
                      <wps:spPr>
                        <a:xfrm>
                          <a:off x="0" y="0"/>
                          <a:ext cx="5857875" cy="3105150"/>
                        </a:xfrm>
                        <a:prstGeom prst="rect">
                          <a:avLst/>
                        </a:prstGeom>
                        <a:solidFill>
                          <a:schemeClr val="accent4">
                            <a:lumMod val="60000"/>
                            <a:lumOff val="40000"/>
                          </a:schemeClr>
                        </a:solid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1">
                          <a:schemeClr val="accent2"/>
                        </a:lnRef>
                        <a:fillRef idx="2">
                          <a:schemeClr val="accent2"/>
                        </a:fillRef>
                        <a:effectRef idx="1">
                          <a:schemeClr val="accent2"/>
                        </a:effectRef>
                        <a:fontRef idx="minor">
                          <a:schemeClr val="dk1"/>
                        </a:fontRef>
                      </wps:style>
                      <wps:txbx>
                        <w:txbxContent>
                          <w:p w14:paraId="66F28CBD" w14:textId="77777777" w:rsidR="005600C5" w:rsidRPr="008D6921" w:rsidRDefault="005600C5" w:rsidP="005600C5">
                            <w:pPr>
                              <w:jc w:val="both"/>
                              <w:rPr>
                                <w:b/>
                                <w:sz w:val="40"/>
                              </w:rPr>
                            </w:pPr>
                            <w:r w:rsidRPr="008D6921">
                              <w:rPr>
                                <w:b/>
                                <w:sz w:val="40"/>
                              </w:rPr>
                              <w:t>Student Name:</w:t>
                            </w:r>
                            <w:r>
                              <w:rPr>
                                <w:b/>
                                <w:sz w:val="40"/>
                              </w:rPr>
                              <w:t xml:space="preserve"> MD ROSHID AHMED</w:t>
                            </w:r>
                          </w:p>
                          <w:p w14:paraId="020E13BE" w14:textId="77777777" w:rsidR="005600C5" w:rsidRPr="008D6921" w:rsidRDefault="005600C5" w:rsidP="005600C5">
                            <w:pPr>
                              <w:jc w:val="both"/>
                              <w:rPr>
                                <w:b/>
                                <w:sz w:val="40"/>
                              </w:rPr>
                            </w:pPr>
                            <w:r>
                              <w:rPr>
                                <w:b/>
                                <w:sz w:val="40"/>
                              </w:rPr>
                              <w:t xml:space="preserve">Student </w:t>
                            </w:r>
                            <w:r w:rsidRPr="008D6921">
                              <w:rPr>
                                <w:b/>
                                <w:sz w:val="40"/>
                              </w:rPr>
                              <w:t xml:space="preserve">ID: </w:t>
                            </w:r>
                            <w:r>
                              <w:rPr>
                                <w:b/>
                                <w:sz w:val="40"/>
                              </w:rPr>
                              <w:t>1922561</w:t>
                            </w:r>
                          </w:p>
                          <w:p w14:paraId="711814C5" w14:textId="77777777" w:rsidR="005600C5" w:rsidRPr="008D6921" w:rsidRDefault="005600C5" w:rsidP="005600C5">
                            <w:pPr>
                              <w:jc w:val="both"/>
                              <w:rPr>
                                <w:b/>
                                <w:sz w:val="40"/>
                              </w:rPr>
                            </w:pPr>
                            <w:r w:rsidRPr="008D6921">
                              <w:rPr>
                                <w:b/>
                                <w:sz w:val="40"/>
                              </w:rPr>
                              <w:t>Course Le</w:t>
                            </w:r>
                            <w:r>
                              <w:rPr>
                                <w:b/>
                                <w:sz w:val="40"/>
                              </w:rPr>
                              <w:t>cturer</w:t>
                            </w:r>
                            <w:r w:rsidRPr="008D6921">
                              <w:rPr>
                                <w:b/>
                                <w:sz w:val="40"/>
                              </w:rPr>
                              <w:t>:</w:t>
                            </w:r>
                            <w:r>
                              <w:rPr>
                                <w:b/>
                                <w:sz w:val="40"/>
                              </w:rPr>
                              <w:t xml:space="preserve"> Laura Knight</w:t>
                            </w:r>
                          </w:p>
                          <w:p w14:paraId="43E1C4FA" w14:textId="77777777" w:rsidR="005600C5" w:rsidRPr="008D6921" w:rsidRDefault="005600C5" w:rsidP="005600C5">
                            <w:pPr>
                              <w:jc w:val="both"/>
                              <w:rPr>
                                <w:b/>
                                <w:sz w:val="40"/>
                              </w:rPr>
                            </w:pPr>
                            <w:r w:rsidRPr="008D6921">
                              <w:rPr>
                                <w:b/>
                                <w:sz w:val="40"/>
                              </w:rPr>
                              <w:t>Course Module:</w:t>
                            </w:r>
                            <w:r>
                              <w:rPr>
                                <w:b/>
                                <w:sz w:val="40"/>
                              </w:rPr>
                              <w:t xml:space="preserve"> Criminal Law</w:t>
                            </w:r>
                          </w:p>
                          <w:p w14:paraId="474E7B85" w14:textId="77777777" w:rsidR="005600C5" w:rsidRDefault="005600C5" w:rsidP="005600C5">
                            <w:pPr>
                              <w:jc w:val="both"/>
                              <w:rPr>
                                <w:b/>
                                <w:sz w:val="40"/>
                              </w:rPr>
                            </w:pPr>
                            <w:r w:rsidRPr="008D6921">
                              <w:rPr>
                                <w:b/>
                                <w:sz w:val="40"/>
                              </w:rPr>
                              <w:t>Course Code:</w:t>
                            </w:r>
                            <w:r>
                              <w:rPr>
                                <w:b/>
                                <w:sz w:val="40"/>
                              </w:rPr>
                              <w:t xml:space="preserve"> BMLW4002</w:t>
                            </w:r>
                          </w:p>
                          <w:p w14:paraId="28E568D9" w14:textId="77777777" w:rsidR="005600C5" w:rsidRPr="008D6921" w:rsidRDefault="005600C5" w:rsidP="005600C5">
                            <w:pPr>
                              <w:jc w:val="both"/>
                              <w:rPr>
                                <w:b/>
                                <w:sz w:val="40"/>
                              </w:rPr>
                            </w:pPr>
                            <w:r>
                              <w:rPr>
                                <w:b/>
                                <w:sz w:val="40"/>
                              </w:rPr>
                              <w:t>Submission deadline: 5</w:t>
                            </w:r>
                            <w:r w:rsidRPr="00D7740D">
                              <w:rPr>
                                <w:b/>
                                <w:sz w:val="40"/>
                                <w:vertAlign w:val="superscript"/>
                              </w:rPr>
                              <w:t>th</w:t>
                            </w:r>
                            <w:r>
                              <w:rPr>
                                <w:b/>
                                <w:sz w:val="40"/>
                              </w:rPr>
                              <w:t xml:space="preserve"> March 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53F4E76" id="Rectangle 3" o:spid="_x0000_s1027" style="position:absolute;left:0;text-align:left;margin-left:0;margin-top:4.5pt;width:461.25pt;height:244.5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" fillcolor="#ffd966 [1943]" stroked="f" strokeweight=".5pt">
                <v:shadow on="t" color="black" opacity="20971f" offset="0,2.2pt"/>
                <v:textbox>
                  <w:txbxContent>
                    <w:p w14:paraId="66F28CBD" w14:textId="77777777" w:rsidR="005600C5" w:rsidRPr="008D6921" w:rsidRDefault="005600C5" w:rsidP="005600C5">
                      <w:pPr>
                        <w:jc w:val="both"/>
                        <w:rPr>
                          <w:b/>
                          <w:sz w:val="40"/>
                        </w:rPr>
                      </w:pPr>
                      <w:r w:rsidRPr="008D6921">
                        <w:rPr>
                          <w:b/>
                          <w:sz w:val="40"/>
                        </w:rPr>
                        <w:t>Student Name:</w:t>
                      </w:r>
                      <w:r>
                        <w:rPr>
                          <w:b/>
                          <w:sz w:val="40"/>
                        </w:rPr>
                        <w:t xml:space="preserve"> MD ROSHID AHMED</w:t>
                      </w:r>
                    </w:p>
                    <w:p w14:paraId="020E13BE" w14:textId="77777777" w:rsidR="005600C5" w:rsidRPr="008D6921" w:rsidRDefault="005600C5" w:rsidP="005600C5">
                      <w:pPr>
                        <w:jc w:val="both"/>
                        <w:rPr>
                          <w:b/>
                          <w:sz w:val="40"/>
                        </w:rPr>
                      </w:pPr>
                      <w:r>
                        <w:rPr>
                          <w:b/>
                          <w:sz w:val="40"/>
                        </w:rPr>
                        <w:t xml:space="preserve">Student </w:t>
                      </w:r>
                      <w:r w:rsidRPr="008D6921">
                        <w:rPr>
                          <w:b/>
                          <w:sz w:val="40"/>
                        </w:rPr>
                        <w:t xml:space="preserve">ID: </w:t>
                      </w:r>
                      <w:r>
                        <w:rPr>
                          <w:b/>
                          <w:sz w:val="40"/>
                        </w:rPr>
                        <w:t>1922561</w:t>
                      </w:r>
                    </w:p>
                    <w:p w14:paraId="711814C5" w14:textId="77777777" w:rsidR="005600C5" w:rsidRPr="008D6921" w:rsidRDefault="005600C5" w:rsidP="005600C5">
                      <w:pPr>
                        <w:jc w:val="both"/>
                        <w:rPr>
                          <w:b/>
                          <w:sz w:val="40"/>
                        </w:rPr>
                      </w:pPr>
                      <w:r w:rsidRPr="008D6921">
                        <w:rPr>
                          <w:b/>
                          <w:sz w:val="40"/>
                        </w:rPr>
                        <w:t>Course Le</w:t>
                      </w:r>
                      <w:r>
                        <w:rPr>
                          <w:b/>
                          <w:sz w:val="40"/>
                        </w:rPr>
                        <w:t>cturer</w:t>
                      </w:r>
                      <w:r w:rsidRPr="008D6921">
                        <w:rPr>
                          <w:b/>
                          <w:sz w:val="40"/>
                        </w:rPr>
                        <w:t>:</w:t>
                      </w:r>
                      <w:r>
                        <w:rPr>
                          <w:b/>
                          <w:sz w:val="40"/>
                        </w:rPr>
                        <w:t xml:space="preserve"> Laura Knight</w:t>
                      </w:r>
                    </w:p>
                    <w:p w14:paraId="43E1C4FA" w14:textId="77777777" w:rsidR="005600C5" w:rsidRPr="008D6921" w:rsidRDefault="005600C5" w:rsidP="005600C5">
                      <w:pPr>
                        <w:jc w:val="both"/>
                        <w:rPr>
                          <w:b/>
                          <w:sz w:val="40"/>
                        </w:rPr>
                      </w:pPr>
                      <w:r w:rsidRPr="008D6921">
                        <w:rPr>
                          <w:b/>
                          <w:sz w:val="40"/>
                        </w:rPr>
                        <w:t>Course Module:</w:t>
                      </w:r>
                      <w:r>
                        <w:rPr>
                          <w:b/>
                          <w:sz w:val="40"/>
                        </w:rPr>
                        <w:t xml:space="preserve"> Criminal Law</w:t>
                      </w:r>
                    </w:p>
                    <w:p w14:paraId="474E7B85" w14:textId="77777777" w:rsidR="005600C5" w:rsidRDefault="005600C5" w:rsidP="005600C5">
                      <w:pPr>
                        <w:jc w:val="both"/>
                        <w:rPr>
                          <w:b/>
                          <w:sz w:val="40"/>
                        </w:rPr>
                      </w:pPr>
                      <w:r w:rsidRPr="008D6921">
                        <w:rPr>
                          <w:b/>
                          <w:sz w:val="40"/>
                        </w:rPr>
                        <w:t>Course Code:</w:t>
                      </w:r>
                      <w:r>
                        <w:rPr>
                          <w:b/>
                          <w:sz w:val="40"/>
                        </w:rPr>
                        <w:t xml:space="preserve"> BMLW4002</w:t>
                      </w:r>
                    </w:p>
                    <w:p w14:paraId="28E568D9" w14:textId="77777777" w:rsidR="005600C5" w:rsidRPr="008D6921" w:rsidRDefault="005600C5" w:rsidP="005600C5">
                      <w:pPr>
                        <w:jc w:val="both"/>
                        <w:rPr>
                          <w:b/>
                          <w:sz w:val="40"/>
                        </w:rPr>
                      </w:pPr>
                      <w:r>
                        <w:rPr>
                          <w:b/>
                          <w:sz w:val="40"/>
                        </w:rPr>
                        <w:t>Submission deadline: 5</w:t>
                      </w:r>
                      <w:r w:rsidRPr="00D7740D">
                        <w:rPr>
                          <w:b/>
                          <w:sz w:val="40"/>
                          <w:vertAlign w:val="superscript"/>
                        </w:rPr>
                        <w:t>th</w:t>
                      </w:r>
                      <w:r>
                        <w:rPr>
                          <w:b/>
                          <w:sz w:val="40"/>
                        </w:rPr>
                        <w:t xml:space="preserve"> March 2021.</w:t>
                      </w:r>
                    </w:p>
                  </w:txbxContent>
                </v:textbox>
                <w10:wrap anchorx="margin"/>
              </v:rect>
            </w:pict>
          </mc:Fallback>
        </mc:AlternateContent>
      </w:r>
      <w:r w:rsidRPr="00B477A9">
        <w:rPr>
          <w:b/>
          <w:bCs/>
          <w:sz w:val="24"/>
          <w:szCs w:val="24"/>
        </w:rPr>
        <w:br w:type="page"/>
      </w:r>
    </w:p>
    <w:sdt>
      <w:sdtPr>
        <w:rPr>
          <w:rFonts w:ascii="Times New Roman" w:eastAsia="Times New Roman" w:hAnsi="Times New Roman" w:cs="Times New Roman"/>
          <w:b w:val="0"/>
          <w:bCs w:val="0"/>
          <w:color w:val="auto"/>
          <w:lang w:val="en-GB" w:eastAsia="en-GB"/>
        </w:rPr>
        <w:id w:val="514309954"/>
        <w:docPartObj>
          <w:docPartGallery w:val="Table of Contents"/>
          <w:docPartUnique/>
        </w:docPartObj>
      </w:sdtPr>
      <w:sdtEndPr/>
      <w:sdtContent>
        <w:p w14:paraId="1A532BAE" w14:textId="77777777" w:rsidR="005600C5" w:rsidRPr="007850AC" w:rsidRDefault="005600C5" w:rsidP="007850AC">
          <w:pPr>
            <w:pStyle w:val="TOCHeading"/>
            <w:spacing w:before="0" w:line="480" w:lineRule="auto"/>
            <w:jc w:val="both"/>
            <w:rPr>
              <w:rFonts w:ascii="Times New Roman" w:hAnsi="Times New Roman" w:cs="Times New Roman"/>
              <w:color w:val="0070C0"/>
              <w:lang w:val="en-GB"/>
            </w:rPr>
          </w:pPr>
          <w:r w:rsidRPr="007850AC">
            <w:rPr>
              <w:rFonts w:ascii="Times New Roman" w:hAnsi="Times New Roman" w:cs="Times New Roman"/>
              <w:color w:val="0070C0"/>
              <w:lang w:val="en-GB"/>
            </w:rPr>
            <w:t>Table of Contents</w:t>
          </w:r>
        </w:p>
        <w:p w14:paraId="03BF841D" w14:textId="77777777" w:rsidR="005600C5" w:rsidRPr="007850AC" w:rsidRDefault="00A32124" w:rsidP="007850AC">
          <w:pPr>
            <w:pStyle w:val="TOC1"/>
            <w:tabs>
              <w:tab w:val="right" w:leader="dot" w:pos="9350"/>
            </w:tabs>
            <w:spacing w:after="0" w:line="480" w:lineRule="auto"/>
            <w:jc w:val="both"/>
            <w:rPr>
              <w:sz w:val="28"/>
              <w:szCs w:val="28"/>
            </w:rPr>
          </w:pPr>
          <w:hyperlink w:anchor="_Toc64563492" w:history="1">
            <w:r w:rsidR="005600C5" w:rsidRPr="007850AC">
              <w:rPr>
                <w:rStyle w:val="Hyperlink"/>
                <w:color w:val="auto"/>
                <w:sz w:val="28"/>
                <w:szCs w:val="28"/>
              </w:rPr>
              <w:t>Introduction</w:t>
            </w:r>
            <w:r w:rsidR="005600C5" w:rsidRPr="007850AC">
              <w:rPr>
                <w:webHidden/>
                <w:sz w:val="28"/>
                <w:szCs w:val="28"/>
              </w:rPr>
              <w:tab/>
            </w:r>
            <w:r w:rsidR="005600C5" w:rsidRPr="007850AC">
              <w:rPr>
                <w:webHidden/>
                <w:sz w:val="28"/>
                <w:szCs w:val="28"/>
              </w:rPr>
              <w:fldChar w:fldCharType="begin"/>
            </w:r>
            <w:r w:rsidR="005600C5" w:rsidRPr="007850AC">
              <w:rPr>
                <w:webHidden/>
                <w:sz w:val="28"/>
                <w:szCs w:val="28"/>
              </w:rPr>
              <w:instrText xml:space="preserve"> PAGEREF _Toc64563492 \h </w:instrText>
            </w:r>
            <w:r w:rsidR="005600C5" w:rsidRPr="007850AC">
              <w:rPr>
                <w:webHidden/>
                <w:sz w:val="28"/>
                <w:szCs w:val="28"/>
              </w:rPr>
            </w:r>
            <w:r w:rsidR="005600C5" w:rsidRPr="007850AC">
              <w:rPr>
                <w:webHidden/>
                <w:sz w:val="28"/>
                <w:szCs w:val="28"/>
              </w:rPr>
              <w:fldChar w:fldCharType="separate"/>
            </w:r>
            <w:r w:rsidR="005600C5" w:rsidRPr="007850AC">
              <w:rPr>
                <w:webHidden/>
                <w:sz w:val="28"/>
                <w:szCs w:val="28"/>
              </w:rPr>
              <w:t>3</w:t>
            </w:r>
            <w:r w:rsidR="005600C5" w:rsidRPr="007850AC">
              <w:rPr>
                <w:webHidden/>
                <w:sz w:val="28"/>
                <w:szCs w:val="28"/>
              </w:rPr>
              <w:fldChar w:fldCharType="end"/>
            </w:r>
          </w:hyperlink>
        </w:p>
        <w:p w14:paraId="653BEE1A" w14:textId="42619B92" w:rsidR="005600C5" w:rsidRPr="007850AC" w:rsidRDefault="00A32124" w:rsidP="007850AC">
          <w:pPr>
            <w:pStyle w:val="TOC1"/>
            <w:tabs>
              <w:tab w:val="right" w:leader="dot" w:pos="9350"/>
            </w:tabs>
            <w:spacing w:after="0" w:line="480" w:lineRule="auto"/>
            <w:jc w:val="both"/>
            <w:rPr>
              <w:sz w:val="28"/>
              <w:szCs w:val="28"/>
            </w:rPr>
          </w:pPr>
          <w:hyperlink w:anchor="_Toc64563493" w:history="1">
            <w:r w:rsidR="005600C5" w:rsidRPr="007850AC">
              <w:rPr>
                <w:rStyle w:val="Hyperlink"/>
                <w:color w:val="auto"/>
                <w:sz w:val="28"/>
                <w:szCs w:val="28"/>
              </w:rPr>
              <w:t>Critically Discussing the Law in Association with the Purposefulness as well as Reformation-based Needs of the Non-Fatal Offences Against an Individual</w:t>
            </w:r>
            <w:r w:rsidR="005600C5" w:rsidRPr="007850AC">
              <w:rPr>
                <w:webHidden/>
                <w:sz w:val="28"/>
                <w:szCs w:val="28"/>
              </w:rPr>
              <w:tab/>
            </w:r>
            <w:r w:rsidR="006059A0">
              <w:rPr>
                <w:webHidden/>
                <w:sz w:val="28"/>
                <w:szCs w:val="28"/>
              </w:rPr>
              <w:t>4</w:t>
            </w:r>
          </w:hyperlink>
        </w:p>
        <w:p w14:paraId="472A43AC" w14:textId="77777777" w:rsidR="005600C5" w:rsidRPr="007850AC" w:rsidRDefault="00A32124" w:rsidP="007850AC">
          <w:pPr>
            <w:pStyle w:val="TOC1"/>
            <w:tabs>
              <w:tab w:val="right" w:leader="dot" w:pos="9350"/>
            </w:tabs>
            <w:spacing w:after="0" w:line="480" w:lineRule="auto"/>
            <w:jc w:val="both"/>
            <w:rPr>
              <w:sz w:val="28"/>
              <w:szCs w:val="28"/>
            </w:rPr>
          </w:pPr>
          <w:hyperlink w:anchor="_Toc64563494" w:history="1">
            <w:r w:rsidR="005600C5" w:rsidRPr="007850AC">
              <w:rPr>
                <w:rStyle w:val="Hyperlink"/>
                <w:color w:val="auto"/>
                <w:sz w:val="28"/>
                <w:szCs w:val="28"/>
              </w:rPr>
              <w:t>Conclusion and Recommendations</w:t>
            </w:r>
            <w:r w:rsidR="005600C5" w:rsidRPr="007850AC">
              <w:rPr>
                <w:webHidden/>
                <w:sz w:val="28"/>
                <w:szCs w:val="28"/>
              </w:rPr>
              <w:tab/>
              <w:t>10</w:t>
            </w:r>
          </w:hyperlink>
        </w:p>
        <w:p w14:paraId="3B72EA5D" w14:textId="77777777" w:rsidR="005600C5" w:rsidRPr="007850AC" w:rsidRDefault="00A32124" w:rsidP="007850AC">
          <w:pPr>
            <w:pStyle w:val="TOC1"/>
            <w:tabs>
              <w:tab w:val="right" w:leader="dot" w:pos="9350"/>
            </w:tabs>
            <w:spacing w:after="0" w:line="480" w:lineRule="auto"/>
            <w:jc w:val="both"/>
            <w:rPr>
              <w:sz w:val="28"/>
              <w:szCs w:val="28"/>
            </w:rPr>
          </w:pPr>
          <w:hyperlink w:anchor="_Toc64563495" w:history="1">
            <w:r w:rsidR="005600C5" w:rsidRPr="007850AC">
              <w:rPr>
                <w:rStyle w:val="Hyperlink"/>
                <w:color w:val="auto"/>
                <w:sz w:val="28"/>
                <w:szCs w:val="28"/>
              </w:rPr>
              <w:t>References</w:t>
            </w:r>
            <w:r w:rsidR="005600C5" w:rsidRPr="007850AC">
              <w:rPr>
                <w:webHidden/>
                <w:sz w:val="28"/>
                <w:szCs w:val="28"/>
              </w:rPr>
              <w:tab/>
              <w:t>12</w:t>
            </w:r>
          </w:hyperlink>
        </w:p>
        <w:p w14:paraId="4295B333" w14:textId="77777777" w:rsidR="005600C5" w:rsidRPr="007850AC" w:rsidRDefault="00A32124" w:rsidP="007850AC">
          <w:pPr>
            <w:spacing w:line="480" w:lineRule="auto"/>
            <w:jc w:val="both"/>
            <w:rPr>
              <w:sz w:val="28"/>
              <w:szCs w:val="28"/>
            </w:rPr>
          </w:pPr>
        </w:p>
      </w:sdtContent>
    </w:sdt>
    <w:p w14:paraId="537BB524" w14:textId="01397DE2" w:rsidR="005600C5" w:rsidRPr="008A783D" w:rsidRDefault="005600C5" w:rsidP="008A783D">
      <w:pPr>
        <w:spacing w:line="480" w:lineRule="auto"/>
        <w:jc w:val="both"/>
        <w:rPr>
          <w:b/>
          <w:bCs/>
          <w:sz w:val="28"/>
          <w:szCs w:val="28"/>
        </w:rPr>
      </w:pPr>
      <w:r w:rsidRPr="007850AC">
        <w:rPr>
          <w:b/>
          <w:bCs/>
          <w:sz w:val="28"/>
          <w:szCs w:val="28"/>
        </w:rPr>
        <w:br w:type="page"/>
      </w:r>
      <w:bookmarkStart w:id="0" w:name="_Toc64563492"/>
      <w:r w:rsidRPr="007850AC">
        <w:rPr>
          <w:color w:val="4472C4" w:themeColor="accent1"/>
          <w:sz w:val="28"/>
          <w:szCs w:val="28"/>
        </w:rPr>
        <w:lastRenderedPageBreak/>
        <w:t>Introduction</w:t>
      </w:r>
      <w:bookmarkEnd w:id="0"/>
    </w:p>
    <w:p w14:paraId="4BE1139F" w14:textId="3DC254E2" w:rsidR="005600C5" w:rsidRDefault="005600C5" w:rsidP="007850AC">
      <w:pPr>
        <w:spacing w:line="480" w:lineRule="auto"/>
        <w:jc w:val="both"/>
        <w:rPr>
          <w:sz w:val="28"/>
          <w:szCs w:val="28"/>
        </w:rPr>
      </w:pPr>
      <w:r w:rsidRPr="007850AC">
        <w:rPr>
          <w:sz w:val="28"/>
          <w:szCs w:val="28"/>
        </w:rPr>
        <w:tab/>
        <w:t xml:space="preserve">In the specific context of the English law, the non-fatal offences conducted against an individual correspond to a type of attack that does not cause the death of an individual. The criminal offences resulting in severe outcomes such as death are placed in the category of homicide. Apart from this, the criminal activities that correspond to the sexual offences are distinguished from the other forms of criminal acts (Ormerod and Laird, 2020). Offences that are non-fatal are dealt with the legal provisions outlined in one out of many types of non-fatal offence-based legislation named, Offences Against the Person Act (OAPA) 1861. OAPA 1861 comprise an insignificant type of battery as well as any unlawful form of touching of an individual. However, this law is not capable of providing a consolidated definition of a battery or an assault (Herring, 2020). </w:t>
      </w:r>
    </w:p>
    <w:p w14:paraId="633F2C81" w14:textId="099B38DE" w:rsidR="002345AD" w:rsidRDefault="002345AD" w:rsidP="007850AC">
      <w:pPr>
        <w:spacing w:line="480" w:lineRule="auto"/>
        <w:jc w:val="both"/>
        <w:rPr>
          <w:sz w:val="28"/>
          <w:szCs w:val="28"/>
        </w:rPr>
      </w:pPr>
    </w:p>
    <w:p w14:paraId="22E1549F" w14:textId="5B6F9864" w:rsidR="002345AD" w:rsidRDefault="002345AD" w:rsidP="007850AC">
      <w:pPr>
        <w:spacing w:line="480" w:lineRule="auto"/>
        <w:jc w:val="both"/>
        <w:rPr>
          <w:sz w:val="28"/>
          <w:szCs w:val="28"/>
        </w:rPr>
      </w:pPr>
    </w:p>
    <w:p w14:paraId="633612F6" w14:textId="05D2276C" w:rsidR="002345AD" w:rsidRDefault="002345AD" w:rsidP="007850AC">
      <w:pPr>
        <w:spacing w:line="480" w:lineRule="auto"/>
        <w:jc w:val="both"/>
        <w:rPr>
          <w:sz w:val="28"/>
          <w:szCs w:val="28"/>
        </w:rPr>
      </w:pPr>
    </w:p>
    <w:p w14:paraId="6A3F046B" w14:textId="6829D702" w:rsidR="002345AD" w:rsidRDefault="002345AD" w:rsidP="007850AC">
      <w:pPr>
        <w:spacing w:line="480" w:lineRule="auto"/>
        <w:jc w:val="both"/>
        <w:rPr>
          <w:sz w:val="28"/>
          <w:szCs w:val="28"/>
        </w:rPr>
      </w:pPr>
    </w:p>
    <w:p w14:paraId="282A6888" w14:textId="2BBFB4F2" w:rsidR="002345AD" w:rsidRDefault="002345AD" w:rsidP="007850AC">
      <w:pPr>
        <w:spacing w:line="480" w:lineRule="auto"/>
        <w:jc w:val="both"/>
        <w:rPr>
          <w:sz w:val="28"/>
          <w:szCs w:val="28"/>
        </w:rPr>
      </w:pPr>
    </w:p>
    <w:p w14:paraId="748D84D2" w14:textId="2F9E44A1" w:rsidR="002345AD" w:rsidRDefault="002345AD" w:rsidP="007850AC">
      <w:pPr>
        <w:spacing w:line="480" w:lineRule="auto"/>
        <w:jc w:val="both"/>
        <w:rPr>
          <w:sz w:val="28"/>
          <w:szCs w:val="28"/>
        </w:rPr>
      </w:pPr>
    </w:p>
    <w:p w14:paraId="65BBAC27" w14:textId="77777777" w:rsidR="002345AD" w:rsidRPr="007850AC" w:rsidRDefault="002345AD" w:rsidP="007850AC">
      <w:pPr>
        <w:spacing w:line="480" w:lineRule="auto"/>
        <w:jc w:val="both"/>
        <w:rPr>
          <w:sz w:val="28"/>
          <w:szCs w:val="28"/>
        </w:rPr>
      </w:pPr>
    </w:p>
    <w:p w14:paraId="14BAAA08" w14:textId="77777777" w:rsidR="005600C5" w:rsidRPr="007850AC" w:rsidRDefault="005600C5" w:rsidP="007850AC">
      <w:pPr>
        <w:pStyle w:val="Heading1"/>
        <w:spacing w:before="0" w:line="480" w:lineRule="auto"/>
        <w:jc w:val="both"/>
        <w:rPr>
          <w:rFonts w:ascii="Times New Roman" w:hAnsi="Times New Roman" w:cs="Times New Roman"/>
          <w:color w:val="4472C4" w:themeColor="accent1"/>
          <w:sz w:val="24"/>
          <w:szCs w:val="24"/>
        </w:rPr>
      </w:pPr>
      <w:bookmarkStart w:id="1" w:name="_Toc64563493"/>
      <w:r w:rsidRPr="007850AC">
        <w:rPr>
          <w:rFonts w:ascii="Times New Roman" w:hAnsi="Times New Roman" w:cs="Times New Roman"/>
          <w:color w:val="4472C4" w:themeColor="accent1"/>
          <w:sz w:val="24"/>
          <w:szCs w:val="24"/>
        </w:rPr>
        <w:lastRenderedPageBreak/>
        <w:t>Critically Discussing the Law in Association with the Purposefulness as well as Reformation-based Needs of the Non-Fatal Offences Against an Individual</w:t>
      </w:r>
      <w:bookmarkEnd w:id="1"/>
      <w:r w:rsidRPr="007850AC">
        <w:rPr>
          <w:rFonts w:ascii="Times New Roman" w:hAnsi="Times New Roman" w:cs="Times New Roman"/>
          <w:color w:val="4472C4" w:themeColor="accent1"/>
          <w:sz w:val="24"/>
          <w:szCs w:val="24"/>
        </w:rPr>
        <w:t xml:space="preserve"> </w:t>
      </w:r>
    </w:p>
    <w:p w14:paraId="5819C4A1" w14:textId="77777777" w:rsidR="005600C5" w:rsidRPr="007850AC" w:rsidRDefault="005600C5" w:rsidP="007850AC">
      <w:pPr>
        <w:spacing w:line="480" w:lineRule="auto"/>
        <w:jc w:val="both"/>
        <w:rPr>
          <w:sz w:val="28"/>
          <w:szCs w:val="28"/>
        </w:rPr>
      </w:pPr>
      <w:r w:rsidRPr="007850AC">
        <w:rPr>
          <w:sz w:val="28"/>
          <w:szCs w:val="28"/>
        </w:rPr>
        <w:tab/>
        <w:t>It is analysed that the OAPA 1861 is practised for a time period of more than 150 years and is identified to observe constant modifications. OAPA 1861 is criticised in terms of its capability of dealing with the assault or battery related crimes; however, it is widely applied for managing about 26,000 prosecutions on an annual basis. The frequent amendments of the OAPA 1861 result in the increased incoherence as well as the confusing state of the act (The Law Commission, 2015). From critical perspectives of Duff (2018), the OAPA 1861 is criticised to be of less suitability to the modern society in terms of its flawed structural hierarchy. The hierarchical distribution of the seriousness of the criminal offences is not categorised on the basis of a combinative criterion. The presented hierarchy is not outlined in an exclusive manner in link with factors like seriousness of the criminal activity, the generated harms as well as the perspective of the offender.  However, an undesirable state of negotiation is observed in terms of the above three factors (Duff, 2018).</w:t>
      </w:r>
    </w:p>
    <w:p w14:paraId="6F993884" w14:textId="77777777" w:rsidR="005600C5" w:rsidRPr="007850AC" w:rsidRDefault="005600C5" w:rsidP="007850AC">
      <w:pPr>
        <w:spacing w:line="480" w:lineRule="auto"/>
        <w:jc w:val="both"/>
        <w:rPr>
          <w:sz w:val="28"/>
          <w:szCs w:val="28"/>
        </w:rPr>
      </w:pPr>
      <w:r w:rsidRPr="007850AC">
        <w:rPr>
          <w:sz w:val="28"/>
          <w:szCs w:val="28"/>
        </w:rPr>
        <w:tab/>
        <w:t xml:space="preserve">In adherence to this, it can be discussed that the OAPA 1861 is problematic to be applied for the offences that are in relation to poisoning. In specific application to the case of </w:t>
      </w:r>
      <w:r w:rsidRPr="007850AC">
        <w:rPr>
          <w:i/>
          <w:iCs/>
          <w:sz w:val="28"/>
          <w:szCs w:val="28"/>
        </w:rPr>
        <w:t>R v Saunders</w:t>
      </w:r>
      <w:r w:rsidRPr="007850AC">
        <w:rPr>
          <w:sz w:val="28"/>
          <w:szCs w:val="28"/>
        </w:rPr>
        <w:t xml:space="preserve"> (1573), it is analysed that the defendant offered poisoned apple to his wife with the intent of killing her. However, the apple was also eaten by her daughter which resulted in her death. Hence as per section 23 of the OAPA 1861, the defendant is charged with a criminal offence </w:t>
      </w:r>
      <w:r w:rsidRPr="007850AC">
        <w:rPr>
          <w:sz w:val="28"/>
          <w:szCs w:val="28"/>
        </w:rPr>
        <w:lastRenderedPageBreak/>
        <w:t xml:space="preserve">in terms of the malicious administration of poison, to endanger the life. However, the OAPA 1861 is insufficient for outlining a clear basis for the infliction of the Grievous Bodily Harm abbreviated as GBH and it results in confusion (Baker, 2019). </w:t>
      </w:r>
    </w:p>
    <w:p w14:paraId="641A0C99" w14:textId="77777777" w:rsidR="005600C5" w:rsidRPr="007850AC" w:rsidRDefault="005600C5" w:rsidP="007850AC">
      <w:pPr>
        <w:spacing w:line="480" w:lineRule="auto"/>
        <w:jc w:val="both"/>
        <w:rPr>
          <w:sz w:val="28"/>
          <w:szCs w:val="28"/>
        </w:rPr>
      </w:pPr>
      <w:r w:rsidRPr="007850AC">
        <w:rPr>
          <w:sz w:val="28"/>
          <w:szCs w:val="28"/>
        </w:rPr>
        <w:tab/>
        <w:t xml:space="preserve">In contrast to above, the OAPA 1861 is also criticised in terms of its insufficient grading as well as unreliable seriousness in correspondence to the offences surrounding the actual body-specific harm. The projected order of the seriousness associated with the criminal offence is unclear in terms of the arbitrary as well as uneven grading (Allen and Edwards, 2019). For instance, the application of the OAPA 1861 is not considered to be applicable in terms of the seriousness of the Actual Bodily Harm abbreviated as the ABH. The ABH is identified to lie between the common assault or battery. Apart from this, the definition of the imposed GBH tends to be unclear and within the overlapping stage between both the battery and assault.  Furthermore, the penalty sentence for both the ABH as well as the GBH are ten times more in comparison to the battery or assault-related crimes that have the penalty of six months. It can be understood according to the case of </w:t>
      </w:r>
      <w:r w:rsidRPr="007850AC">
        <w:rPr>
          <w:i/>
          <w:iCs/>
          <w:sz w:val="28"/>
          <w:szCs w:val="28"/>
        </w:rPr>
        <w:t>R v. Bollom (2004)</w:t>
      </w:r>
      <w:r w:rsidRPr="007850AC">
        <w:rPr>
          <w:sz w:val="28"/>
          <w:szCs w:val="28"/>
        </w:rPr>
        <w:t xml:space="preserve"> where the section 18 in the OAPA 1861 is applied for directing the jury in order to assess whether the given injuries are serious to be considered as the GBH in less consideration with the victim's age (Martin and Storey, 2013). Section 18 defined under the OAPA 1861 is less applicable to identify the characteristics of the affected victim. With the application of this section, the judge has failed in terms of directing the jury that </w:t>
      </w:r>
      <w:r w:rsidRPr="007850AC">
        <w:rPr>
          <w:sz w:val="28"/>
          <w:szCs w:val="28"/>
        </w:rPr>
        <w:lastRenderedPageBreak/>
        <w:t>the wounds have raised from the singular assault. Thus, the convictions of the defendants are substituted for the ABH in comparison to the GBH (Cherkassky, 2015).</w:t>
      </w:r>
    </w:p>
    <w:p w14:paraId="5662321B" w14:textId="77777777" w:rsidR="005600C5" w:rsidRPr="007850AC" w:rsidRDefault="005600C5" w:rsidP="007850AC">
      <w:pPr>
        <w:spacing w:line="480" w:lineRule="auto"/>
        <w:jc w:val="both"/>
        <w:rPr>
          <w:sz w:val="28"/>
          <w:szCs w:val="28"/>
        </w:rPr>
      </w:pPr>
      <w:r w:rsidRPr="007850AC">
        <w:rPr>
          <w:sz w:val="28"/>
          <w:szCs w:val="28"/>
        </w:rPr>
        <w:tab/>
        <w:t xml:space="preserve">In comparison to the above case law, another case named </w:t>
      </w:r>
      <w:r w:rsidRPr="007850AC">
        <w:rPr>
          <w:i/>
          <w:iCs/>
          <w:sz w:val="28"/>
          <w:szCs w:val="28"/>
        </w:rPr>
        <w:t>R v Miller (1954)</w:t>
      </w:r>
      <w:r w:rsidRPr="007850AC">
        <w:rPr>
          <w:sz w:val="28"/>
          <w:szCs w:val="28"/>
        </w:rPr>
        <w:t xml:space="preserve"> described the application of section 47 of the OAPA 1861 where the defendant involved in the sexual intercourse with his wife before filing the petition of divorce. However, before the issuance of the divorce petition, the defendant performed sexual intercourse with this wife and he also hit his wife by throwing her three times on the ground that resulted in the nervous conditions. Therefore, it was held that there were no grounds to prevent the defendant in terms of their liability of the ABH as the individual is not accountable for committing rape. Hence, this case helps to understand that the ABH involves any form of injury that is calculated in interference with the comfort level of the injured party (Allen, 2020). Hence, ABH should be given more seriousness. However, according to the consideration of the OAPA 1861, the seriousness between ABH, assault, battery and GBH is confused (The Law Commission, 2015).</w:t>
      </w:r>
    </w:p>
    <w:p w14:paraId="10291E90" w14:textId="77777777" w:rsidR="005600C5" w:rsidRPr="007850AC" w:rsidRDefault="005600C5" w:rsidP="007850AC">
      <w:pPr>
        <w:spacing w:line="480" w:lineRule="auto"/>
        <w:jc w:val="both"/>
        <w:rPr>
          <w:sz w:val="28"/>
          <w:szCs w:val="28"/>
        </w:rPr>
      </w:pPr>
      <w:r w:rsidRPr="007850AC">
        <w:rPr>
          <w:sz w:val="28"/>
          <w:szCs w:val="28"/>
        </w:rPr>
        <w:tab/>
        <w:t xml:space="preserve">On the other hand, it is further analysed that the usage of the outdated language in the OAPA 1861 increases undesirability. The utilisation of the archaic language is performed in the OAPA 1861 and this results in the increased rate of obscurity. Complicated terminology that is antiqued is not applicable and appropriate in dealing with the criminal cases of the modernised 21st century (Sally and Kaye, 2020). There are several outdated terms in the legal provisions </w:t>
      </w:r>
      <w:r w:rsidRPr="007850AC">
        <w:rPr>
          <w:sz w:val="28"/>
          <w:szCs w:val="28"/>
        </w:rPr>
        <w:lastRenderedPageBreak/>
        <w:t>of the OAPA 1861 such as detainer that has originated from the long-dead linguistic terminology of the French Law (Monaghan, 2020). In addition to this, more obsolete terminologies like the penal servitude which simply means the incorporation of an intense degree of labour is outdated and is utilised for signifying the term imprisonment in the modern era (Morris and Jones, 2019). This results in confusion and incorrect interpretations of the legal provisions.</w:t>
      </w:r>
    </w:p>
    <w:p w14:paraId="14862B3E" w14:textId="77777777" w:rsidR="005600C5" w:rsidRPr="007850AC" w:rsidRDefault="005600C5" w:rsidP="007850AC">
      <w:pPr>
        <w:spacing w:line="480" w:lineRule="auto"/>
        <w:jc w:val="both"/>
        <w:rPr>
          <w:sz w:val="28"/>
          <w:szCs w:val="28"/>
        </w:rPr>
      </w:pPr>
      <w:r w:rsidRPr="007850AC">
        <w:rPr>
          <w:sz w:val="28"/>
          <w:szCs w:val="28"/>
        </w:rPr>
        <w:tab/>
        <w:t xml:space="preserve">Furthermore, utilisation of the old language is also confusing for the professionals, and it negatively affects the accessibility of law to the general individuals.  In the case of the increased number of the defendants that act as self-representatives, the utilisation of the incorrect technical terms, as well as the obsolete language, imposes negative impact. The presence of archaic terminology in section 20 of the OAPA 1861 raised issues for the determination for the type of criminal offence in the case of </w:t>
      </w:r>
      <w:r w:rsidRPr="007850AC">
        <w:rPr>
          <w:i/>
          <w:iCs/>
          <w:sz w:val="28"/>
          <w:szCs w:val="28"/>
        </w:rPr>
        <w:t>R v Ireland and Burstow (1997)</w:t>
      </w:r>
      <w:r w:rsidRPr="007850AC">
        <w:rPr>
          <w:sz w:val="28"/>
          <w:szCs w:val="28"/>
        </w:rPr>
        <w:t xml:space="preserve"> where the issues surrounding the consideration of the psychiatric injury as the offence revolving around the bodily harm, according to sections 18, 20, as well as section 47 in the OAPA 1861, are raised (Allen, Derry and Loveless, 2020; Ormerod and Laird, 2020).</w:t>
      </w:r>
    </w:p>
    <w:p w14:paraId="7A35B473" w14:textId="30417747" w:rsidR="005600C5" w:rsidRPr="007850AC" w:rsidRDefault="005600C5" w:rsidP="007850AC">
      <w:pPr>
        <w:spacing w:line="480" w:lineRule="auto"/>
        <w:jc w:val="both"/>
        <w:rPr>
          <w:sz w:val="28"/>
          <w:szCs w:val="28"/>
        </w:rPr>
      </w:pPr>
      <w:r w:rsidRPr="007850AC">
        <w:rPr>
          <w:sz w:val="28"/>
          <w:szCs w:val="28"/>
        </w:rPr>
        <w:tab/>
        <w:t xml:space="preserve">Further, the above-mentioned case also raised issues so as to determine whether or not it is possible for applying the charge of the ABH in close consideration with section 20, where there is a low amount of physical force applied by the defendant. However, the House of Lords remarked in this case that the psychiatric injuries are also feasible to be sufficed as bodily harm (Allen, </w:t>
      </w:r>
      <w:r w:rsidRPr="007850AC">
        <w:rPr>
          <w:sz w:val="28"/>
          <w:szCs w:val="28"/>
        </w:rPr>
        <w:lastRenderedPageBreak/>
        <w:t xml:space="preserve">Derry and Loveless, 2020). These decisions were said in the passing of the case namely R v Chan Fook (1994). In R v. </w:t>
      </w:r>
      <w:r w:rsidR="00E72AB3" w:rsidRPr="007850AC">
        <w:rPr>
          <w:sz w:val="28"/>
          <w:szCs w:val="28"/>
        </w:rPr>
        <w:t>Chan Fook,</w:t>
      </w:r>
      <w:r w:rsidRPr="007850AC">
        <w:rPr>
          <w:sz w:val="28"/>
          <w:szCs w:val="28"/>
        </w:rPr>
        <w:t xml:space="preserve"> it is determined that there is a possibility of considering a psychiatric injury as ABH according to section 20. However, due to the complexity raised in the interpretations of section 18, 47 as well as section 20 due to the presence of the old terms like the penal servitude it is interpreted that the psychiatric ailment can be regarded as the bodily harm (Allen, Derry and Loveless, 2020). Furthermore, interpretation for the technical term ‘inflict’ utilised in section 20, the jury stated that inflict does not always imply the usage of the physical force. However, the meaning of the term inflict could be understood as the actions performed by the defendant that can cause a severe injury (Allen and Edwards, 2019; Grevling, 2020). </w:t>
      </w:r>
    </w:p>
    <w:p w14:paraId="79589231" w14:textId="77777777" w:rsidR="005600C5" w:rsidRPr="007850AC" w:rsidRDefault="005600C5" w:rsidP="007850AC">
      <w:pPr>
        <w:spacing w:line="480" w:lineRule="auto"/>
        <w:jc w:val="both"/>
        <w:rPr>
          <w:sz w:val="28"/>
          <w:szCs w:val="28"/>
        </w:rPr>
      </w:pPr>
      <w:r w:rsidRPr="007850AC">
        <w:rPr>
          <w:sz w:val="28"/>
          <w:szCs w:val="28"/>
        </w:rPr>
        <w:tab/>
        <w:t>On the other hand, the OAPA 1861 also requires reformation in regard to the unwanted levels of complexities in terms of its criminal offences. Section 29 described in the OAPA 1861 is regarded to be complicated as it deals in covering the criminal offences that revolve around covering the materials that cause an explosion. It also the criminal activities that involve the supplying of explosive materials or any other form of noxious elements. Section 29 deals with the criminal offences surrounding the use of a corrosive agent or use of any type of destructive substance for the intention to burn the individuals and perform a GBH that can disfigure the physical structure of an individual. In this manner, section 29 is itself very intricate as it defines about 50 different methods surrounding the execution of the criminal offence (The Law Commission, 2015).</w:t>
      </w:r>
    </w:p>
    <w:p w14:paraId="55ED49BA" w14:textId="77777777" w:rsidR="005600C5" w:rsidRPr="007850AC" w:rsidRDefault="005600C5" w:rsidP="007850AC">
      <w:pPr>
        <w:spacing w:line="480" w:lineRule="auto"/>
        <w:jc w:val="both"/>
        <w:rPr>
          <w:sz w:val="28"/>
          <w:szCs w:val="28"/>
        </w:rPr>
      </w:pPr>
      <w:r w:rsidRPr="007850AC">
        <w:rPr>
          <w:sz w:val="28"/>
          <w:szCs w:val="28"/>
        </w:rPr>
        <w:lastRenderedPageBreak/>
        <w:tab/>
        <w:t xml:space="preserve">Application of section 29 defined in the OAPA 1861 is observed in the case of </w:t>
      </w:r>
      <w:r w:rsidRPr="007850AC">
        <w:rPr>
          <w:i/>
          <w:iCs/>
          <w:sz w:val="28"/>
          <w:szCs w:val="28"/>
        </w:rPr>
        <w:t xml:space="preserve">R v Adrian Kuti (1994) </w:t>
      </w:r>
      <w:r w:rsidRPr="007850AC">
        <w:rPr>
          <w:sz w:val="28"/>
          <w:szCs w:val="28"/>
        </w:rPr>
        <w:t>where the plaintiff is found guilty of throwing a corrosive liquid on the victim with the purpose of generating a GBH. A solution comprising 19% ammonia was thrown on the victim's face due to the occurrence of the driving-related dispute. Therefore, in this relation, the judges identified that the appellant had the intention of causing severe damage to the victim. Further, the court held that holding possession of the ammonia is not defensible. In addition to this, the placement of the ammonia solution in the container is dangerous and the squirting of the corrosive substance in the yes is even more harmful (Lawinsider, 2018).</w:t>
      </w:r>
    </w:p>
    <w:p w14:paraId="0B323C04" w14:textId="77777777" w:rsidR="005600C5" w:rsidRPr="007850AC" w:rsidRDefault="005600C5" w:rsidP="007850AC">
      <w:pPr>
        <w:spacing w:line="480" w:lineRule="auto"/>
        <w:jc w:val="both"/>
        <w:rPr>
          <w:sz w:val="28"/>
          <w:szCs w:val="28"/>
        </w:rPr>
      </w:pPr>
    </w:p>
    <w:p w14:paraId="213517F5" w14:textId="77777777" w:rsidR="005600C5" w:rsidRPr="007850AC" w:rsidRDefault="005600C5" w:rsidP="007850AC">
      <w:pPr>
        <w:spacing w:line="480" w:lineRule="auto"/>
        <w:jc w:val="both"/>
        <w:rPr>
          <w:sz w:val="28"/>
          <w:szCs w:val="28"/>
        </w:rPr>
      </w:pPr>
    </w:p>
    <w:p w14:paraId="0CE4D5D1" w14:textId="77777777" w:rsidR="005600C5" w:rsidRPr="007850AC" w:rsidRDefault="005600C5" w:rsidP="007850AC">
      <w:pPr>
        <w:spacing w:line="480" w:lineRule="auto"/>
        <w:jc w:val="both"/>
        <w:rPr>
          <w:sz w:val="28"/>
          <w:szCs w:val="28"/>
        </w:rPr>
      </w:pPr>
    </w:p>
    <w:p w14:paraId="41EB752A" w14:textId="77777777" w:rsidR="005600C5" w:rsidRPr="007850AC" w:rsidRDefault="005600C5" w:rsidP="007850AC">
      <w:pPr>
        <w:spacing w:line="480" w:lineRule="auto"/>
        <w:jc w:val="both"/>
        <w:rPr>
          <w:sz w:val="28"/>
          <w:szCs w:val="28"/>
        </w:rPr>
      </w:pPr>
    </w:p>
    <w:p w14:paraId="00FA959E" w14:textId="77777777" w:rsidR="005600C5" w:rsidRPr="007850AC" w:rsidRDefault="005600C5" w:rsidP="007850AC">
      <w:pPr>
        <w:spacing w:line="480" w:lineRule="auto"/>
        <w:jc w:val="both"/>
        <w:rPr>
          <w:sz w:val="28"/>
          <w:szCs w:val="28"/>
        </w:rPr>
      </w:pPr>
    </w:p>
    <w:p w14:paraId="284A7B35" w14:textId="77777777" w:rsidR="005600C5" w:rsidRPr="007850AC" w:rsidRDefault="005600C5" w:rsidP="007850AC">
      <w:pPr>
        <w:spacing w:line="480" w:lineRule="auto"/>
        <w:jc w:val="both"/>
        <w:rPr>
          <w:sz w:val="28"/>
          <w:szCs w:val="28"/>
        </w:rPr>
      </w:pPr>
    </w:p>
    <w:p w14:paraId="4C656B8F" w14:textId="77777777" w:rsidR="005600C5" w:rsidRPr="007850AC" w:rsidRDefault="005600C5" w:rsidP="007850AC">
      <w:pPr>
        <w:spacing w:line="480" w:lineRule="auto"/>
        <w:jc w:val="both"/>
        <w:rPr>
          <w:sz w:val="28"/>
          <w:szCs w:val="28"/>
        </w:rPr>
      </w:pPr>
    </w:p>
    <w:p w14:paraId="69DC20FB" w14:textId="0E371B1D" w:rsidR="005600C5" w:rsidRDefault="005600C5" w:rsidP="007850AC">
      <w:pPr>
        <w:spacing w:line="480" w:lineRule="auto"/>
        <w:jc w:val="both"/>
        <w:rPr>
          <w:sz w:val="28"/>
          <w:szCs w:val="28"/>
        </w:rPr>
      </w:pPr>
    </w:p>
    <w:p w14:paraId="7317CD39" w14:textId="7328EB8E" w:rsidR="00D33C21" w:rsidRDefault="00D33C21" w:rsidP="007850AC">
      <w:pPr>
        <w:spacing w:line="480" w:lineRule="auto"/>
        <w:jc w:val="both"/>
        <w:rPr>
          <w:sz w:val="28"/>
          <w:szCs w:val="28"/>
        </w:rPr>
      </w:pPr>
    </w:p>
    <w:p w14:paraId="03E19D80" w14:textId="0163F52C" w:rsidR="00D33C21" w:rsidRDefault="00D33C21" w:rsidP="007850AC">
      <w:pPr>
        <w:spacing w:line="480" w:lineRule="auto"/>
        <w:jc w:val="both"/>
        <w:rPr>
          <w:sz w:val="28"/>
          <w:szCs w:val="28"/>
        </w:rPr>
      </w:pPr>
    </w:p>
    <w:p w14:paraId="72C138E7" w14:textId="79B0DE4B" w:rsidR="00D33C21" w:rsidRDefault="00D33C21" w:rsidP="007850AC">
      <w:pPr>
        <w:spacing w:line="480" w:lineRule="auto"/>
        <w:jc w:val="both"/>
        <w:rPr>
          <w:sz w:val="28"/>
          <w:szCs w:val="28"/>
        </w:rPr>
      </w:pPr>
    </w:p>
    <w:p w14:paraId="3CEA1F0A" w14:textId="77777777" w:rsidR="005600C5" w:rsidRPr="007850AC" w:rsidRDefault="005600C5" w:rsidP="007850AC">
      <w:pPr>
        <w:spacing w:line="480" w:lineRule="auto"/>
        <w:jc w:val="both"/>
        <w:rPr>
          <w:sz w:val="28"/>
          <w:szCs w:val="28"/>
        </w:rPr>
      </w:pPr>
    </w:p>
    <w:p w14:paraId="7CB5A503" w14:textId="77777777" w:rsidR="005600C5" w:rsidRPr="00D33C21" w:rsidRDefault="005600C5" w:rsidP="007850AC">
      <w:pPr>
        <w:pStyle w:val="Heading1"/>
        <w:spacing w:before="0" w:line="480" w:lineRule="auto"/>
        <w:jc w:val="both"/>
        <w:rPr>
          <w:rFonts w:ascii="Times New Roman" w:hAnsi="Times New Roman" w:cs="Times New Roman"/>
          <w:color w:val="4472C4" w:themeColor="accent1"/>
        </w:rPr>
      </w:pPr>
      <w:bookmarkStart w:id="2" w:name="_Toc64563494"/>
      <w:r w:rsidRPr="00D33C21">
        <w:rPr>
          <w:rFonts w:ascii="Times New Roman" w:hAnsi="Times New Roman" w:cs="Times New Roman"/>
          <w:color w:val="4472C4" w:themeColor="accent1"/>
        </w:rPr>
        <w:lastRenderedPageBreak/>
        <w:t>Conclusion and Recommendations</w:t>
      </w:r>
      <w:bookmarkEnd w:id="2"/>
      <w:r w:rsidRPr="00D33C21">
        <w:rPr>
          <w:rFonts w:ascii="Times New Roman" w:hAnsi="Times New Roman" w:cs="Times New Roman"/>
          <w:color w:val="4472C4" w:themeColor="accent1"/>
        </w:rPr>
        <w:t xml:space="preserve"> </w:t>
      </w:r>
    </w:p>
    <w:p w14:paraId="5F8850E2" w14:textId="77777777" w:rsidR="005600C5" w:rsidRPr="007850AC" w:rsidRDefault="005600C5" w:rsidP="007850AC">
      <w:pPr>
        <w:spacing w:line="480" w:lineRule="auto"/>
        <w:jc w:val="both"/>
        <w:rPr>
          <w:sz w:val="28"/>
          <w:szCs w:val="28"/>
        </w:rPr>
      </w:pPr>
      <w:r w:rsidRPr="007850AC">
        <w:rPr>
          <w:sz w:val="28"/>
          <w:szCs w:val="28"/>
        </w:rPr>
        <w:tab/>
        <w:t>In the context of the obtained findings, it can be concluded that there is a need of reforming the OAPA 1861 in alignment with the modern era in terms of formulation of a logical hierarchical structure, curbing the application of the archaic terminologies and obsolete language from the legal provisions such as section 20 of the AOPA 1861 as well as eliminating the complicated sections such as section 29, which involves more than one criminal offence. The thesis statement can be reformulated as follows:</w:t>
      </w:r>
    </w:p>
    <w:p w14:paraId="0B93E46B" w14:textId="77777777" w:rsidR="005600C5" w:rsidRPr="007850AC" w:rsidRDefault="005600C5" w:rsidP="007850AC">
      <w:pPr>
        <w:spacing w:line="480" w:lineRule="auto"/>
        <w:jc w:val="both"/>
        <w:rPr>
          <w:sz w:val="28"/>
          <w:szCs w:val="28"/>
        </w:rPr>
      </w:pPr>
      <w:r w:rsidRPr="007850AC">
        <w:rPr>
          <w:i/>
          <w:iCs/>
          <w:sz w:val="28"/>
          <w:szCs w:val="28"/>
        </w:rPr>
        <w:t xml:space="preserve">"The OAPA 1861 law that deals with the non-fatal offences are not identified to suit the modern time and  it is in need of a reform in terms of its obsolete language, undesirable complexities and illogical structure." </w:t>
      </w:r>
    </w:p>
    <w:p w14:paraId="43AE8914" w14:textId="77777777" w:rsidR="005600C5" w:rsidRPr="007850AC" w:rsidRDefault="005600C5" w:rsidP="007850AC">
      <w:pPr>
        <w:spacing w:line="480" w:lineRule="auto"/>
        <w:jc w:val="both"/>
        <w:rPr>
          <w:sz w:val="28"/>
          <w:szCs w:val="28"/>
        </w:rPr>
      </w:pPr>
      <w:r w:rsidRPr="007850AC">
        <w:rPr>
          <w:sz w:val="28"/>
          <w:szCs w:val="28"/>
        </w:rPr>
        <w:tab/>
        <w:t>In this regard, it recommended that the OAPA 1861 can be improved by the adoption of the Home Office draft Bill of the year 1998. It is evaluated that the draft bill 1998 can be used as the model for reforming the existing illogical hierarchy of the OAPA, by the introduction of the distinguished hierarchy of offences that involve one offence surrounding the intentionally caused severe injury, the second injury involving the recklessly caused severe damage, as well as the third offence which comprise of the intentionally generated serious injury (The Law Commission, 2014; The Law Commission. 2015).</w:t>
      </w:r>
    </w:p>
    <w:p w14:paraId="19CDA48D" w14:textId="77777777" w:rsidR="005600C5" w:rsidRPr="007850AC" w:rsidRDefault="005600C5" w:rsidP="007850AC">
      <w:pPr>
        <w:spacing w:line="480" w:lineRule="auto"/>
        <w:jc w:val="both"/>
        <w:rPr>
          <w:sz w:val="28"/>
          <w:szCs w:val="28"/>
        </w:rPr>
      </w:pPr>
      <w:r w:rsidRPr="007850AC">
        <w:rPr>
          <w:sz w:val="28"/>
          <w:szCs w:val="28"/>
        </w:rPr>
        <w:tab/>
        <w:t xml:space="preserve">It is further recommended to revise the OAPA 1861 in regard to making revise the statutes revolving around the severe violence-inducing offences that incorporate the use of the external substance. It is evaluated that these reforms </w:t>
      </w:r>
      <w:r w:rsidRPr="007850AC">
        <w:rPr>
          <w:sz w:val="28"/>
          <w:szCs w:val="28"/>
        </w:rPr>
        <w:lastRenderedPageBreak/>
        <w:t>can be made in the light of clauses 8 and 9 that highlight separate and clear offences surrounding the administration of the harm causing substances and explosives (The Law Commission, 2015).</w:t>
      </w:r>
    </w:p>
    <w:p w14:paraId="012E785D" w14:textId="77777777" w:rsidR="005600C5" w:rsidRPr="007850AC" w:rsidRDefault="005600C5" w:rsidP="007850AC">
      <w:pPr>
        <w:spacing w:line="480" w:lineRule="auto"/>
        <w:jc w:val="both"/>
        <w:rPr>
          <w:sz w:val="28"/>
          <w:szCs w:val="28"/>
        </w:rPr>
      </w:pPr>
      <w:r w:rsidRPr="007850AC">
        <w:rPr>
          <w:sz w:val="28"/>
          <w:szCs w:val="28"/>
        </w:rPr>
        <w:tab/>
        <w:t xml:space="preserve">It is also recommended to simplify the intricate and obsolete terminologies by the use of descriptive labels. It is evaluated that using the modern terminologies in the OAPA 1861 can help in errorless interpretation and understanding of the legal provisions (Farmer, 2016).  </w:t>
      </w:r>
    </w:p>
    <w:p w14:paraId="6ECC31AB" w14:textId="77777777" w:rsidR="005600C5" w:rsidRPr="004446A1" w:rsidRDefault="005600C5" w:rsidP="007850AC">
      <w:pPr>
        <w:spacing w:line="480" w:lineRule="auto"/>
        <w:jc w:val="both"/>
        <w:rPr>
          <w:rFonts w:eastAsiaTheme="majorEastAsia"/>
          <w:b/>
          <w:bCs/>
          <w:sz w:val="28"/>
          <w:szCs w:val="28"/>
        </w:rPr>
      </w:pPr>
      <w:r w:rsidRPr="004446A1">
        <w:rPr>
          <w:sz w:val="28"/>
          <w:szCs w:val="28"/>
        </w:rPr>
        <w:br w:type="page"/>
      </w:r>
    </w:p>
    <w:p w14:paraId="2A9A5B91" w14:textId="77777777" w:rsidR="005600C5" w:rsidRDefault="005600C5" w:rsidP="007850AC">
      <w:pPr>
        <w:pStyle w:val="Heading1"/>
        <w:spacing w:before="0" w:line="480" w:lineRule="auto"/>
        <w:jc w:val="both"/>
        <w:rPr>
          <w:rFonts w:ascii="Times New Roman" w:hAnsi="Times New Roman" w:cs="Times New Roman"/>
          <w:color w:val="7030A0"/>
          <w:sz w:val="32"/>
          <w:szCs w:val="32"/>
        </w:rPr>
      </w:pPr>
      <w:bookmarkStart w:id="3" w:name="_Toc64563495"/>
      <w:r w:rsidRPr="00576860">
        <w:rPr>
          <w:rFonts w:ascii="Times New Roman" w:hAnsi="Times New Roman" w:cs="Times New Roman"/>
          <w:color w:val="7030A0"/>
          <w:sz w:val="32"/>
          <w:szCs w:val="32"/>
        </w:rPr>
        <w:lastRenderedPageBreak/>
        <w:t>References</w:t>
      </w:r>
      <w:bookmarkEnd w:id="3"/>
    </w:p>
    <w:p w14:paraId="7EB7A503" w14:textId="77777777" w:rsidR="005600C5" w:rsidRPr="00576860" w:rsidRDefault="005600C5" w:rsidP="007850AC">
      <w:pPr>
        <w:spacing w:line="480" w:lineRule="auto"/>
        <w:ind w:left="720" w:hanging="720"/>
        <w:jc w:val="both"/>
        <w:rPr>
          <w:rFonts w:eastAsiaTheme="minorHAnsi"/>
          <w:sz w:val="24"/>
          <w:szCs w:val="24"/>
          <w:lang w:eastAsia="en-US" w:bidi="hi-IN"/>
        </w:rPr>
      </w:pPr>
      <w:r w:rsidRPr="00576860">
        <w:rPr>
          <w:rFonts w:eastAsiaTheme="minorHAnsi"/>
          <w:sz w:val="24"/>
          <w:szCs w:val="24"/>
          <w:lang w:eastAsia="en-US" w:bidi="hi-IN"/>
        </w:rPr>
        <w:t xml:space="preserve">Allen, M. 2020. </w:t>
      </w:r>
      <w:r w:rsidRPr="00576860">
        <w:rPr>
          <w:rFonts w:eastAsiaTheme="minorHAnsi"/>
          <w:i/>
          <w:iCs/>
          <w:sz w:val="24"/>
          <w:szCs w:val="24"/>
          <w:lang w:eastAsia="en-US" w:bidi="hi-IN"/>
        </w:rPr>
        <w:t>Concentrate Questions and Answers Criminal Law</w:t>
      </w:r>
      <w:r w:rsidRPr="00576860">
        <w:rPr>
          <w:rFonts w:eastAsiaTheme="minorHAnsi"/>
          <w:sz w:val="24"/>
          <w:szCs w:val="24"/>
          <w:lang w:eastAsia="en-US" w:bidi="hi-IN"/>
        </w:rPr>
        <w:t>. England: Oxford University Press.</w:t>
      </w:r>
    </w:p>
    <w:p w14:paraId="66424E09" w14:textId="77777777" w:rsidR="005600C5" w:rsidRPr="00576860" w:rsidRDefault="005600C5" w:rsidP="007850AC">
      <w:pPr>
        <w:spacing w:line="480" w:lineRule="auto"/>
        <w:ind w:left="720" w:hanging="720"/>
        <w:jc w:val="both"/>
        <w:rPr>
          <w:rFonts w:eastAsiaTheme="minorHAnsi"/>
          <w:sz w:val="24"/>
          <w:szCs w:val="24"/>
          <w:lang w:eastAsia="en-US" w:bidi="hi-IN"/>
        </w:rPr>
      </w:pPr>
      <w:r w:rsidRPr="00576860">
        <w:rPr>
          <w:rFonts w:eastAsiaTheme="minorHAnsi"/>
          <w:sz w:val="24"/>
          <w:szCs w:val="24"/>
          <w:lang w:eastAsia="en-US" w:bidi="hi-IN"/>
        </w:rPr>
        <w:t xml:space="preserve">Allen, M. and Edwards, I. 2019. </w:t>
      </w:r>
      <w:r w:rsidRPr="00576860">
        <w:rPr>
          <w:rFonts w:eastAsiaTheme="minorHAnsi"/>
          <w:i/>
          <w:iCs/>
          <w:sz w:val="24"/>
          <w:szCs w:val="24"/>
          <w:lang w:eastAsia="en-US" w:bidi="hi-IN"/>
        </w:rPr>
        <w:t>Criminal Law</w:t>
      </w:r>
      <w:r w:rsidRPr="00576860">
        <w:rPr>
          <w:rFonts w:eastAsiaTheme="minorHAnsi"/>
          <w:sz w:val="24"/>
          <w:szCs w:val="24"/>
          <w:lang w:eastAsia="en-US" w:bidi="hi-IN"/>
        </w:rPr>
        <w:t xml:space="preserve">. England: Oxford University Press. </w:t>
      </w:r>
    </w:p>
    <w:p w14:paraId="18B8A97B" w14:textId="77777777" w:rsidR="005600C5" w:rsidRDefault="005600C5" w:rsidP="007850AC">
      <w:pPr>
        <w:spacing w:line="480" w:lineRule="auto"/>
        <w:ind w:left="720" w:hanging="720"/>
        <w:jc w:val="both"/>
        <w:rPr>
          <w:rFonts w:eastAsiaTheme="minorHAnsi"/>
          <w:sz w:val="24"/>
          <w:szCs w:val="24"/>
          <w:lang w:eastAsia="en-US" w:bidi="hi-IN"/>
        </w:rPr>
      </w:pPr>
      <w:r w:rsidRPr="00576860">
        <w:rPr>
          <w:rFonts w:eastAsiaTheme="minorHAnsi"/>
          <w:sz w:val="24"/>
          <w:szCs w:val="24"/>
          <w:lang w:eastAsia="en-US" w:bidi="hi-IN"/>
        </w:rPr>
        <w:t>Allen, M., Derry, C. and Loveless, J. 2020. </w:t>
      </w:r>
      <w:r w:rsidRPr="00576860">
        <w:rPr>
          <w:rFonts w:eastAsiaTheme="minorHAnsi"/>
          <w:i/>
          <w:iCs/>
          <w:sz w:val="24"/>
          <w:szCs w:val="24"/>
          <w:lang w:eastAsia="en-US" w:bidi="hi-IN"/>
        </w:rPr>
        <w:t>Complete criminal law: text, cases, and materials</w:t>
      </w:r>
      <w:r w:rsidRPr="00576860">
        <w:rPr>
          <w:rFonts w:eastAsiaTheme="minorHAnsi"/>
          <w:sz w:val="24"/>
          <w:szCs w:val="24"/>
          <w:lang w:eastAsia="en-US" w:bidi="hi-IN"/>
        </w:rPr>
        <w:t>. England Oxford university press.</w:t>
      </w:r>
    </w:p>
    <w:p w14:paraId="7F4A90F9" w14:textId="77777777" w:rsidR="005600C5" w:rsidRDefault="005600C5" w:rsidP="007850AC">
      <w:pPr>
        <w:jc w:val="both"/>
        <w:rPr>
          <w:sz w:val="24"/>
          <w:szCs w:val="24"/>
        </w:rPr>
      </w:pPr>
      <w:r w:rsidRPr="00BB5349">
        <w:rPr>
          <w:sz w:val="24"/>
          <w:szCs w:val="24"/>
        </w:rPr>
        <w:t xml:space="preserve">According to Journal </w:t>
      </w:r>
      <w:r>
        <w:rPr>
          <w:sz w:val="24"/>
          <w:szCs w:val="24"/>
        </w:rPr>
        <w:t xml:space="preserve">Article: </w:t>
      </w:r>
      <w:r>
        <w:rPr>
          <w:i/>
          <w:iCs/>
          <w:sz w:val="24"/>
          <w:szCs w:val="24"/>
        </w:rPr>
        <w:t>Gardener.</w:t>
      </w:r>
      <w:r w:rsidRPr="00BB5349">
        <w:rPr>
          <w:i/>
          <w:iCs/>
          <w:sz w:val="24"/>
          <w:szCs w:val="24"/>
        </w:rPr>
        <w:t xml:space="preserve"> /Criminal%20Law/Gardener%20[1994].pdf</w:t>
      </w:r>
      <w:r>
        <w:rPr>
          <w:i/>
          <w:iCs/>
          <w:sz w:val="24"/>
          <w:szCs w:val="24"/>
        </w:rPr>
        <w:t>.</w:t>
      </w:r>
      <w:r>
        <w:rPr>
          <w:sz w:val="24"/>
          <w:szCs w:val="24"/>
        </w:rPr>
        <w:t xml:space="preserve"> [ From the </w:t>
      </w:r>
    </w:p>
    <w:p w14:paraId="6AA8909F" w14:textId="77777777" w:rsidR="005600C5" w:rsidRDefault="005600C5" w:rsidP="007850AC">
      <w:pPr>
        <w:jc w:val="both"/>
        <w:rPr>
          <w:sz w:val="24"/>
          <w:szCs w:val="24"/>
        </w:rPr>
      </w:pPr>
      <w:r>
        <w:rPr>
          <w:sz w:val="24"/>
          <w:szCs w:val="24"/>
        </w:rPr>
        <w:t>Lecture note].</w:t>
      </w:r>
    </w:p>
    <w:p w14:paraId="5FC120D1" w14:textId="77777777" w:rsidR="005600C5" w:rsidRDefault="005600C5" w:rsidP="007850AC">
      <w:pPr>
        <w:jc w:val="both"/>
        <w:rPr>
          <w:sz w:val="24"/>
          <w:szCs w:val="24"/>
        </w:rPr>
      </w:pPr>
    </w:p>
    <w:p w14:paraId="0F14D1D6" w14:textId="77777777" w:rsidR="005600C5" w:rsidRPr="00E75F21" w:rsidRDefault="005600C5" w:rsidP="007850AC">
      <w:pPr>
        <w:jc w:val="both"/>
        <w:rPr>
          <w:sz w:val="24"/>
          <w:szCs w:val="24"/>
        </w:rPr>
      </w:pPr>
      <w:r w:rsidRPr="00E75F21">
        <w:rPr>
          <w:sz w:val="24"/>
          <w:szCs w:val="24"/>
        </w:rPr>
        <w:t>A. Ashworth &amp; J. Horder 2013 Principles of Criminal Law 7</w:t>
      </w:r>
      <w:r w:rsidRPr="00E75F21">
        <w:rPr>
          <w:sz w:val="24"/>
          <w:szCs w:val="24"/>
          <w:vertAlign w:val="superscript"/>
        </w:rPr>
        <w:t>th</w:t>
      </w:r>
      <w:r w:rsidRPr="00E75F21">
        <w:rPr>
          <w:sz w:val="24"/>
          <w:szCs w:val="24"/>
        </w:rPr>
        <w:t xml:space="preserve"> edition Oxford University Press </w:t>
      </w:r>
    </w:p>
    <w:p w14:paraId="2CC2C567" w14:textId="77777777" w:rsidR="005600C5" w:rsidRPr="00A15713" w:rsidRDefault="005600C5" w:rsidP="007850AC">
      <w:pPr>
        <w:jc w:val="both"/>
        <w:rPr>
          <w:sz w:val="24"/>
          <w:szCs w:val="24"/>
        </w:rPr>
      </w:pPr>
    </w:p>
    <w:p w14:paraId="471BBEE8" w14:textId="77777777" w:rsidR="005600C5" w:rsidRPr="00576860" w:rsidRDefault="005600C5" w:rsidP="007850AC">
      <w:pPr>
        <w:spacing w:line="480" w:lineRule="auto"/>
        <w:jc w:val="both"/>
        <w:rPr>
          <w:rFonts w:eastAsiaTheme="minorHAnsi"/>
          <w:sz w:val="24"/>
          <w:szCs w:val="24"/>
          <w:lang w:eastAsia="en-US" w:bidi="hi-IN"/>
        </w:rPr>
      </w:pPr>
      <w:r w:rsidRPr="00576860">
        <w:rPr>
          <w:rFonts w:eastAsiaTheme="minorHAnsi"/>
          <w:sz w:val="24"/>
          <w:szCs w:val="24"/>
          <w:lang w:eastAsia="en-US" w:bidi="hi-IN"/>
        </w:rPr>
        <w:t xml:space="preserve">Baker, J. 2019. </w:t>
      </w:r>
      <w:r w:rsidRPr="00576860">
        <w:rPr>
          <w:rFonts w:eastAsiaTheme="minorHAnsi"/>
          <w:i/>
          <w:iCs/>
          <w:sz w:val="24"/>
          <w:szCs w:val="24"/>
          <w:lang w:eastAsia="en-US" w:bidi="hi-IN"/>
        </w:rPr>
        <w:t>Introduction to English Legal History</w:t>
      </w:r>
      <w:r w:rsidRPr="00576860">
        <w:rPr>
          <w:rFonts w:eastAsiaTheme="minorHAnsi"/>
          <w:sz w:val="24"/>
          <w:szCs w:val="24"/>
          <w:lang w:eastAsia="en-US" w:bidi="hi-IN"/>
        </w:rPr>
        <w:t>. England Oxford University Press.</w:t>
      </w:r>
    </w:p>
    <w:p w14:paraId="0E77B6DB" w14:textId="77777777" w:rsidR="005600C5" w:rsidRPr="00576860" w:rsidRDefault="005600C5" w:rsidP="007850AC">
      <w:pPr>
        <w:spacing w:line="480" w:lineRule="auto"/>
        <w:ind w:left="720" w:hanging="720"/>
        <w:jc w:val="both"/>
        <w:rPr>
          <w:rFonts w:eastAsiaTheme="minorHAnsi"/>
          <w:sz w:val="24"/>
          <w:szCs w:val="24"/>
          <w:lang w:eastAsia="en-US" w:bidi="hi-IN"/>
        </w:rPr>
      </w:pPr>
      <w:r w:rsidRPr="00576860">
        <w:rPr>
          <w:rFonts w:eastAsiaTheme="minorHAnsi"/>
          <w:sz w:val="24"/>
          <w:szCs w:val="24"/>
          <w:lang w:eastAsia="en-US" w:bidi="hi-IN"/>
        </w:rPr>
        <w:t xml:space="preserve">Cherkassky, L. 2015. Selecting a disabled embryo can constitute grievous bodily harm. </w:t>
      </w:r>
      <w:r w:rsidRPr="00576860">
        <w:rPr>
          <w:rFonts w:eastAsiaTheme="minorHAnsi"/>
          <w:i/>
          <w:iCs/>
          <w:sz w:val="24"/>
          <w:szCs w:val="24"/>
          <w:lang w:eastAsia="en-US" w:bidi="hi-IN"/>
        </w:rPr>
        <w:t xml:space="preserve">Medico-Legal Journal of Ireland </w:t>
      </w:r>
      <w:r w:rsidRPr="00576860">
        <w:rPr>
          <w:rFonts w:eastAsiaTheme="minorHAnsi"/>
          <w:sz w:val="24"/>
          <w:szCs w:val="24"/>
          <w:lang w:eastAsia="en-US" w:bidi="hi-IN"/>
        </w:rPr>
        <w:t>21(1), pp. 16-21.</w:t>
      </w:r>
    </w:p>
    <w:p w14:paraId="21AEAA9B" w14:textId="77777777" w:rsidR="005600C5" w:rsidRPr="00576860" w:rsidRDefault="005600C5" w:rsidP="007850AC">
      <w:pPr>
        <w:spacing w:line="480" w:lineRule="auto"/>
        <w:ind w:left="720" w:hanging="720"/>
        <w:jc w:val="both"/>
        <w:rPr>
          <w:rFonts w:eastAsiaTheme="minorHAnsi"/>
          <w:sz w:val="24"/>
          <w:szCs w:val="24"/>
          <w:lang w:eastAsia="en-US" w:bidi="hi-IN"/>
        </w:rPr>
      </w:pPr>
      <w:r w:rsidRPr="00576860">
        <w:rPr>
          <w:rFonts w:eastAsiaTheme="minorHAnsi"/>
          <w:sz w:val="24"/>
          <w:szCs w:val="24"/>
          <w:lang w:eastAsia="en-US" w:bidi="hi-IN"/>
        </w:rPr>
        <w:t>Duff, R.A. 2018. </w:t>
      </w:r>
      <w:r w:rsidRPr="00576860">
        <w:rPr>
          <w:rFonts w:eastAsiaTheme="minorHAnsi"/>
          <w:i/>
          <w:iCs/>
          <w:sz w:val="24"/>
          <w:szCs w:val="24"/>
          <w:lang w:eastAsia="en-US" w:bidi="hi-IN"/>
        </w:rPr>
        <w:t>The realm of criminal law</w:t>
      </w:r>
      <w:r w:rsidRPr="00576860">
        <w:rPr>
          <w:rFonts w:eastAsiaTheme="minorHAnsi"/>
          <w:sz w:val="24"/>
          <w:szCs w:val="24"/>
          <w:lang w:eastAsia="en-US" w:bidi="hi-IN"/>
        </w:rPr>
        <w:t>. Oxford University Press.</w:t>
      </w:r>
    </w:p>
    <w:p w14:paraId="44D3B4E1" w14:textId="77777777" w:rsidR="005600C5" w:rsidRDefault="005600C5" w:rsidP="007850AC">
      <w:pPr>
        <w:spacing w:line="480" w:lineRule="auto"/>
        <w:ind w:left="720" w:hanging="720"/>
        <w:jc w:val="both"/>
        <w:rPr>
          <w:rFonts w:eastAsiaTheme="minorHAnsi"/>
          <w:sz w:val="24"/>
          <w:szCs w:val="24"/>
          <w:shd w:val="clear" w:color="auto" w:fill="FFFFFF"/>
          <w:lang w:eastAsia="en-US" w:bidi="hi-IN"/>
        </w:rPr>
      </w:pPr>
      <w:r w:rsidRPr="00576860">
        <w:rPr>
          <w:rFonts w:eastAsiaTheme="minorHAnsi"/>
          <w:sz w:val="24"/>
          <w:szCs w:val="24"/>
          <w:shd w:val="clear" w:color="auto" w:fill="FFFFFF"/>
          <w:lang w:eastAsia="en-US" w:bidi="hi-IN"/>
        </w:rPr>
        <w:t>Farmer, L. 2016. </w:t>
      </w:r>
      <w:r w:rsidRPr="00576860">
        <w:rPr>
          <w:rFonts w:eastAsiaTheme="minorHAnsi"/>
          <w:i/>
          <w:iCs/>
          <w:sz w:val="24"/>
          <w:szCs w:val="24"/>
          <w:shd w:val="clear" w:color="auto" w:fill="FFFFFF"/>
          <w:lang w:eastAsia="en-US" w:bidi="hi-IN"/>
        </w:rPr>
        <w:t>Making the modern criminal law: Criminalization and civil order</w:t>
      </w:r>
      <w:r w:rsidRPr="00576860">
        <w:rPr>
          <w:rFonts w:eastAsiaTheme="minorHAnsi"/>
          <w:sz w:val="24"/>
          <w:szCs w:val="24"/>
          <w:shd w:val="clear" w:color="auto" w:fill="FFFFFF"/>
          <w:lang w:eastAsia="en-US" w:bidi="hi-IN"/>
        </w:rPr>
        <w:t>. England: Oxford University Press.</w:t>
      </w:r>
    </w:p>
    <w:p w14:paraId="08CEFAE7" w14:textId="77777777" w:rsidR="005600C5" w:rsidRDefault="005600C5" w:rsidP="007850AC">
      <w:pPr>
        <w:jc w:val="both"/>
        <w:rPr>
          <w:sz w:val="24"/>
          <w:szCs w:val="24"/>
        </w:rPr>
      </w:pPr>
      <w:r w:rsidRPr="006662D6">
        <w:rPr>
          <w:sz w:val="24"/>
          <w:szCs w:val="24"/>
        </w:rPr>
        <w:t>J. Herring 2014 Criminal Law, texts, Cases and Materials 6</w:t>
      </w:r>
      <w:r w:rsidRPr="006662D6">
        <w:rPr>
          <w:sz w:val="24"/>
          <w:szCs w:val="24"/>
          <w:vertAlign w:val="superscript"/>
        </w:rPr>
        <w:t>th</w:t>
      </w:r>
      <w:r w:rsidRPr="006662D6">
        <w:rPr>
          <w:sz w:val="24"/>
          <w:szCs w:val="24"/>
        </w:rPr>
        <w:t xml:space="preserve"> edition Oxford University Press</w:t>
      </w:r>
    </w:p>
    <w:p w14:paraId="077C1742" w14:textId="77777777" w:rsidR="005600C5" w:rsidRDefault="005600C5" w:rsidP="007850AC">
      <w:pPr>
        <w:jc w:val="both"/>
        <w:rPr>
          <w:sz w:val="24"/>
          <w:szCs w:val="24"/>
        </w:rPr>
      </w:pPr>
    </w:p>
    <w:p w14:paraId="3E950050" w14:textId="77777777" w:rsidR="005600C5" w:rsidRPr="006662D6" w:rsidRDefault="005600C5" w:rsidP="007850AC">
      <w:pPr>
        <w:jc w:val="both"/>
        <w:rPr>
          <w:sz w:val="24"/>
          <w:szCs w:val="24"/>
        </w:rPr>
      </w:pPr>
      <w:r w:rsidRPr="006662D6">
        <w:rPr>
          <w:sz w:val="24"/>
          <w:szCs w:val="24"/>
        </w:rPr>
        <w:t>Blackstones’ Statutes on Criminal Law 2014-2015 42th Edition Oxford University Press</w:t>
      </w:r>
    </w:p>
    <w:p w14:paraId="7539E5E2" w14:textId="77777777" w:rsidR="005600C5" w:rsidRDefault="005600C5" w:rsidP="007850AC">
      <w:pPr>
        <w:spacing w:line="480" w:lineRule="auto"/>
        <w:ind w:left="720" w:hanging="720"/>
        <w:jc w:val="both"/>
        <w:rPr>
          <w:rFonts w:eastAsiaTheme="minorHAnsi"/>
          <w:sz w:val="24"/>
          <w:szCs w:val="24"/>
          <w:lang w:eastAsia="en-US" w:bidi="hi-IN"/>
        </w:rPr>
      </w:pPr>
    </w:p>
    <w:p w14:paraId="493513B9" w14:textId="77777777" w:rsidR="005600C5" w:rsidRPr="00576860" w:rsidRDefault="005600C5" w:rsidP="007850AC">
      <w:pPr>
        <w:spacing w:line="480" w:lineRule="auto"/>
        <w:ind w:left="720" w:hanging="720"/>
        <w:jc w:val="both"/>
        <w:rPr>
          <w:rFonts w:eastAsiaTheme="minorHAnsi"/>
          <w:sz w:val="24"/>
          <w:szCs w:val="24"/>
          <w:lang w:eastAsia="en-US" w:bidi="hi-IN"/>
        </w:rPr>
      </w:pPr>
      <w:r w:rsidRPr="00576860">
        <w:rPr>
          <w:rFonts w:eastAsiaTheme="minorHAnsi"/>
          <w:sz w:val="24"/>
          <w:szCs w:val="24"/>
          <w:lang w:eastAsia="en-US" w:bidi="hi-IN"/>
        </w:rPr>
        <w:t>Grevling, K. 2020. </w:t>
      </w:r>
      <w:r w:rsidRPr="00576860">
        <w:rPr>
          <w:rFonts w:eastAsiaTheme="minorHAnsi"/>
          <w:i/>
          <w:iCs/>
          <w:sz w:val="24"/>
          <w:szCs w:val="24"/>
          <w:lang w:eastAsia="en-US" w:bidi="hi-IN"/>
        </w:rPr>
        <w:t>Blackstone's Statutes on Evidence</w:t>
      </w:r>
      <w:r w:rsidRPr="00576860">
        <w:rPr>
          <w:rFonts w:eastAsiaTheme="minorHAnsi"/>
          <w:sz w:val="24"/>
          <w:szCs w:val="24"/>
          <w:lang w:eastAsia="en-US" w:bidi="hi-IN"/>
        </w:rPr>
        <w:t>. England: Oxford University Press.</w:t>
      </w:r>
    </w:p>
    <w:p w14:paraId="14428D88" w14:textId="77777777" w:rsidR="005600C5" w:rsidRPr="00576860" w:rsidRDefault="005600C5" w:rsidP="007850AC">
      <w:pPr>
        <w:spacing w:line="480" w:lineRule="auto"/>
        <w:ind w:left="720" w:hanging="720"/>
        <w:jc w:val="both"/>
        <w:rPr>
          <w:rFonts w:eastAsiaTheme="minorHAnsi"/>
          <w:sz w:val="24"/>
          <w:szCs w:val="24"/>
          <w:lang w:eastAsia="en-US" w:bidi="hi-IN"/>
        </w:rPr>
      </w:pPr>
      <w:r w:rsidRPr="00576860">
        <w:rPr>
          <w:rFonts w:eastAsiaTheme="minorHAnsi"/>
          <w:sz w:val="24"/>
          <w:szCs w:val="24"/>
          <w:lang w:eastAsia="en-US" w:bidi="hi-IN"/>
        </w:rPr>
        <w:t>Herring, J. 2020. </w:t>
      </w:r>
      <w:r w:rsidRPr="00576860">
        <w:rPr>
          <w:rFonts w:eastAsiaTheme="minorHAnsi"/>
          <w:i/>
          <w:iCs/>
          <w:sz w:val="24"/>
          <w:szCs w:val="24"/>
          <w:lang w:eastAsia="en-US" w:bidi="hi-IN"/>
        </w:rPr>
        <w:t>Criminal law: text, cases, and materials</w:t>
      </w:r>
      <w:r w:rsidRPr="00576860">
        <w:rPr>
          <w:rFonts w:eastAsiaTheme="minorHAnsi"/>
          <w:sz w:val="24"/>
          <w:szCs w:val="24"/>
          <w:lang w:eastAsia="en-US" w:bidi="hi-IN"/>
        </w:rPr>
        <w:t>. England: Oxford University Press, USA.</w:t>
      </w:r>
    </w:p>
    <w:p w14:paraId="583C4E68" w14:textId="77777777" w:rsidR="005600C5" w:rsidRPr="00576860" w:rsidRDefault="005600C5" w:rsidP="007850AC">
      <w:pPr>
        <w:spacing w:line="480" w:lineRule="auto"/>
        <w:ind w:left="720" w:hanging="720"/>
        <w:jc w:val="both"/>
        <w:rPr>
          <w:rFonts w:eastAsiaTheme="minorHAnsi"/>
          <w:sz w:val="24"/>
          <w:szCs w:val="24"/>
          <w:lang w:eastAsia="en-US" w:bidi="hi-IN"/>
        </w:rPr>
      </w:pPr>
      <w:r w:rsidRPr="00576860">
        <w:rPr>
          <w:rFonts w:eastAsiaTheme="minorHAnsi"/>
          <w:sz w:val="24"/>
          <w:szCs w:val="24"/>
          <w:lang w:eastAsia="en-US" w:bidi="hi-IN"/>
        </w:rPr>
        <w:t xml:space="preserve">Lawinsider. 2018. Offences against the Person, incorporating the Charging Standard. [Online]. Available at: https://www.lawinsider.com/documents/jBMaqZ1VW6W [Accessed on 21 February 2021]. </w:t>
      </w:r>
    </w:p>
    <w:p w14:paraId="1C98C7DF" w14:textId="77777777" w:rsidR="005600C5" w:rsidRPr="00576860" w:rsidRDefault="005600C5" w:rsidP="007850AC">
      <w:pPr>
        <w:spacing w:line="480" w:lineRule="auto"/>
        <w:ind w:left="720" w:hanging="720"/>
        <w:jc w:val="both"/>
        <w:rPr>
          <w:rFonts w:eastAsiaTheme="minorHAnsi"/>
          <w:sz w:val="24"/>
          <w:szCs w:val="24"/>
          <w:lang w:eastAsia="en-US" w:bidi="hi-IN"/>
        </w:rPr>
      </w:pPr>
      <w:r w:rsidRPr="00576860">
        <w:rPr>
          <w:rFonts w:eastAsiaTheme="minorHAnsi"/>
          <w:sz w:val="24"/>
          <w:szCs w:val="24"/>
          <w:lang w:eastAsia="en-US" w:bidi="hi-IN"/>
        </w:rPr>
        <w:t xml:space="preserve">Martin, J. and Storey, T. 2013. </w:t>
      </w:r>
      <w:r w:rsidRPr="00576860">
        <w:rPr>
          <w:rFonts w:eastAsiaTheme="minorHAnsi"/>
          <w:i/>
          <w:iCs/>
          <w:sz w:val="24"/>
          <w:szCs w:val="24"/>
          <w:lang w:eastAsia="en-US" w:bidi="hi-IN"/>
        </w:rPr>
        <w:t>Unlocking Criminal Law</w:t>
      </w:r>
      <w:r w:rsidRPr="00576860">
        <w:rPr>
          <w:rFonts w:eastAsiaTheme="minorHAnsi"/>
          <w:sz w:val="24"/>
          <w:szCs w:val="24"/>
          <w:lang w:eastAsia="en-US" w:bidi="hi-IN"/>
        </w:rPr>
        <w:t>. Milton Park: Taylor &amp; Francis.</w:t>
      </w:r>
    </w:p>
    <w:p w14:paraId="2C38728E" w14:textId="77777777" w:rsidR="005600C5" w:rsidRPr="00576860" w:rsidRDefault="005600C5" w:rsidP="007850AC">
      <w:pPr>
        <w:spacing w:line="480" w:lineRule="auto"/>
        <w:ind w:left="720" w:hanging="720"/>
        <w:jc w:val="both"/>
        <w:rPr>
          <w:rFonts w:eastAsiaTheme="minorHAnsi"/>
          <w:sz w:val="24"/>
          <w:szCs w:val="24"/>
          <w:lang w:eastAsia="en-US" w:bidi="hi-IN"/>
        </w:rPr>
      </w:pPr>
      <w:r w:rsidRPr="00576860">
        <w:rPr>
          <w:rFonts w:eastAsiaTheme="minorHAnsi"/>
          <w:sz w:val="24"/>
          <w:szCs w:val="24"/>
          <w:lang w:eastAsia="en-US" w:bidi="hi-IN"/>
        </w:rPr>
        <w:lastRenderedPageBreak/>
        <w:t xml:space="preserve">Monaghan, N. 2020. </w:t>
      </w:r>
      <w:r w:rsidRPr="00576860">
        <w:rPr>
          <w:rFonts w:eastAsiaTheme="minorHAnsi"/>
          <w:i/>
          <w:iCs/>
          <w:sz w:val="24"/>
          <w:szCs w:val="24"/>
          <w:lang w:eastAsia="en-US" w:bidi="hi-IN"/>
        </w:rPr>
        <w:t>Criminal Law Directions</w:t>
      </w:r>
      <w:r w:rsidRPr="00576860">
        <w:rPr>
          <w:rFonts w:eastAsiaTheme="minorHAnsi"/>
          <w:sz w:val="24"/>
          <w:szCs w:val="24"/>
          <w:lang w:eastAsia="en-US" w:bidi="hi-IN"/>
        </w:rPr>
        <w:t>. England: Oxford University Press.</w:t>
      </w:r>
    </w:p>
    <w:p w14:paraId="0C8F8270" w14:textId="77777777" w:rsidR="005600C5" w:rsidRDefault="005600C5" w:rsidP="007850AC">
      <w:pPr>
        <w:spacing w:line="480" w:lineRule="auto"/>
        <w:ind w:left="720" w:hanging="720"/>
        <w:jc w:val="both"/>
        <w:rPr>
          <w:rFonts w:eastAsiaTheme="minorHAnsi"/>
          <w:sz w:val="24"/>
          <w:szCs w:val="24"/>
          <w:lang w:eastAsia="en-US" w:bidi="hi-IN"/>
        </w:rPr>
      </w:pPr>
      <w:r w:rsidRPr="00576860">
        <w:rPr>
          <w:rFonts w:eastAsiaTheme="minorHAnsi"/>
          <w:sz w:val="24"/>
          <w:szCs w:val="24"/>
          <w:lang w:eastAsia="en-US" w:bidi="hi-IN"/>
        </w:rPr>
        <w:t xml:space="preserve">Morris, A.E. and Jones, M.A. 2019. </w:t>
      </w:r>
      <w:r w:rsidRPr="00576860">
        <w:rPr>
          <w:rFonts w:eastAsiaTheme="minorHAnsi"/>
          <w:i/>
          <w:iCs/>
          <w:sz w:val="24"/>
          <w:szCs w:val="24"/>
          <w:lang w:eastAsia="en-US" w:bidi="hi-IN"/>
        </w:rPr>
        <w:t>Blackstone's statutes on medical law</w:t>
      </w:r>
      <w:r w:rsidRPr="00576860">
        <w:rPr>
          <w:rFonts w:eastAsiaTheme="minorHAnsi"/>
          <w:sz w:val="24"/>
          <w:szCs w:val="24"/>
          <w:lang w:eastAsia="en-US" w:bidi="hi-IN"/>
        </w:rPr>
        <w:t>. England: Oxford University Press.</w:t>
      </w:r>
    </w:p>
    <w:p w14:paraId="788BB5C9" w14:textId="77777777" w:rsidR="005600C5" w:rsidRPr="00BF4346" w:rsidRDefault="005600C5" w:rsidP="007850AC">
      <w:pPr>
        <w:jc w:val="both"/>
        <w:rPr>
          <w:sz w:val="24"/>
          <w:szCs w:val="24"/>
        </w:rPr>
      </w:pPr>
      <w:r w:rsidRPr="00BF4346">
        <w:rPr>
          <w:sz w:val="24"/>
          <w:szCs w:val="24"/>
        </w:rPr>
        <w:t>N. Padfield 2014 Criminal Law 9</w:t>
      </w:r>
      <w:r w:rsidRPr="00BF4346">
        <w:rPr>
          <w:sz w:val="24"/>
          <w:szCs w:val="24"/>
          <w:vertAlign w:val="superscript"/>
        </w:rPr>
        <w:t>th</w:t>
      </w:r>
      <w:r w:rsidRPr="00BF4346">
        <w:rPr>
          <w:sz w:val="24"/>
          <w:szCs w:val="24"/>
        </w:rPr>
        <w:t xml:space="preserve"> Edition Oxford University Press </w:t>
      </w:r>
    </w:p>
    <w:p w14:paraId="22C9DB94" w14:textId="77777777" w:rsidR="005600C5" w:rsidRPr="00576860" w:rsidRDefault="005600C5" w:rsidP="007850AC">
      <w:pPr>
        <w:spacing w:line="480" w:lineRule="auto"/>
        <w:ind w:left="720" w:hanging="720"/>
        <w:jc w:val="both"/>
        <w:rPr>
          <w:rFonts w:eastAsiaTheme="minorHAnsi"/>
          <w:sz w:val="24"/>
          <w:szCs w:val="24"/>
          <w:lang w:eastAsia="en-US" w:bidi="hi-IN"/>
        </w:rPr>
      </w:pPr>
    </w:p>
    <w:p w14:paraId="34F98479" w14:textId="77777777" w:rsidR="005600C5" w:rsidRPr="00576860" w:rsidRDefault="005600C5" w:rsidP="007850AC">
      <w:pPr>
        <w:spacing w:line="480" w:lineRule="auto"/>
        <w:ind w:left="720" w:hanging="720"/>
        <w:jc w:val="both"/>
        <w:rPr>
          <w:rFonts w:eastAsiaTheme="minorHAnsi"/>
          <w:sz w:val="24"/>
          <w:szCs w:val="24"/>
          <w:lang w:eastAsia="en-US" w:bidi="hi-IN"/>
        </w:rPr>
      </w:pPr>
      <w:r w:rsidRPr="00576860">
        <w:rPr>
          <w:rFonts w:eastAsiaTheme="minorHAnsi"/>
          <w:sz w:val="24"/>
          <w:szCs w:val="24"/>
          <w:lang w:eastAsia="en-US" w:bidi="hi-IN"/>
        </w:rPr>
        <w:t xml:space="preserve">Ormerod, D. and Laird, K. 2020. </w:t>
      </w:r>
      <w:r w:rsidRPr="00576860">
        <w:rPr>
          <w:rFonts w:eastAsiaTheme="minorHAnsi"/>
          <w:i/>
          <w:iCs/>
          <w:sz w:val="24"/>
          <w:szCs w:val="24"/>
          <w:lang w:eastAsia="en-US" w:bidi="hi-IN"/>
        </w:rPr>
        <w:t>Smith, Hogan, and Ormerod's Text, Cases, and Materials on Criminal Law</w:t>
      </w:r>
      <w:r w:rsidRPr="00576860">
        <w:rPr>
          <w:rFonts w:eastAsiaTheme="minorHAnsi"/>
          <w:sz w:val="24"/>
          <w:szCs w:val="24"/>
          <w:lang w:eastAsia="en-US" w:bidi="hi-IN"/>
        </w:rPr>
        <w:t>. England: Oxford University Press.</w:t>
      </w:r>
    </w:p>
    <w:p w14:paraId="635BE947" w14:textId="77777777" w:rsidR="005600C5" w:rsidRPr="00576860" w:rsidRDefault="005600C5" w:rsidP="007850AC">
      <w:pPr>
        <w:spacing w:line="480" w:lineRule="auto"/>
        <w:ind w:left="720" w:hanging="720"/>
        <w:jc w:val="both"/>
        <w:rPr>
          <w:rFonts w:eastAsiaTheme="minorHAnsi"/>
          <w:sz w:val="24"/>
          <w:szCs w:val="24"/>
          <w:lang w:eastAsia="en-US" w:bidi="hi-IN"/>
        </w:rPr>
      </w:pPr>
      <w:r w:rsidRPr="00576860">
        <w:rPr>
          <w:rFonts w:eastAsiaTheme="minorHAnsi"/>
          <w:sz w:val="24"/>
          <w:szCs w:val="24"/>
          <w:lang w:eastAsia="en-US" w:bidi="hi-IN"/>
        </w:rPr>
        <w:t xml:space="preserve">Sally, S. and Kaye, W. 2020. </w:t>
      </w:r>
      <w:r w:rsidRPr="00576860">
        <w:rPr>
          <w:rFonts w:eastAsiaTheme="minorHAnsi"/>
          <w:i/>
          <w:iCs/>
          <w:sz w:val="24"/>
          <w:szCs w:val="24"/>
          <w:lang w:eastAsia="en-US" w:bidi="hi-IN"/>
        </w:rPr>
        <w:t>Decriminalising Abortion in the UK: What Would It Mean?</w:t>
      </w:r>
      <w:r w:rsidRPr="00576860">
        <w:rPr>
          <w:rFonts w:eastAsiaTheme="minorHAnsi"/>
          <w:sz w:val="24"/>
          <w:szCs w:val="24"/>
          <w:lang w:eastAsia="en-US" w:bidi="hi-IN"/>
        </w:rPr>
        <w:t xml:space="preserve"> Bristol: Policy Press.</w:t>
      </w:r>
    </w:p>
    <w:p w14:paraId="58112208" w14:textId="77777777" w:rsidR="005600C5" w:rsidRPr="00576860" w:rsidRDefault="005600C5" w:rsidP="007850AC">
      <w:pPr>
        <w:spacing w:line="480" w:lineRule="auto"/>
        <w:ind w:left="720" w:hanging="720"/>
        <w:jc w:val="both"/>
        <w:rPr>
          <w:rFonts w:eastAsiaTheme="minorHAnsi"/>
          <w:sz w:val="24"/>
          <w:szCs w:val="24"/>
          <w:lang w:eastAsia="en-US" w:bidi="hi-IN"/>
        </w:rPr>
      </w:pPr>
      <w:r w:rsidRPr="00576860">
        <w:rPr>
          <w:rFonts w:eastAsiaTheme="minorHAnsi"/>
          <w:sz w:val="24"/>
          <w:szCs w:val="24"/>
          <w:lang w:eastAsia="en-US" w:bidi="hi-IN"/>
        </w:rPr>
        <w:t xml:space="preserve">The Law Commission. 2014. REFORM OF OFFENCES AGAINST THE PERSON A SCOPING CONSULTATION PAPER . [Online]. Available at: https://s3-eu-west-2.amazonaws.com/lawcom-prod-storage-11jsxou24uy7q/uploads/2015/06/cp217_offences_against_the_person_summary.pdf [Accessed on 19 February 2021]. </w:t>
      </w:r>
    </w:p>
    <w:p w14:paraId="2453738F" w14:textId="77777777" w:rsidR="005600C5" w:rsidRPr="00576860" w:rsidRDefault="005600C5" w:rsidP="007850AC">
      <w:pPr>
        <w:spacing w:line="480" w:lineRule="auto"/>
        <w:ind w:left="720" w:hanging="720"/>
        <w:jc w:val="both"/>
        <w:rPr>
          <w:rFonts w:eastAsiaTheme="minorHAnsi"/>
          <w:sz w:val="24"/>
          <w:szCs w:val="24"/>
          <w:lang w:eastAsia="en-US" w:bidi="hi-IN"/>
        </w:rPr>
      </w:pPr>
      <w:r w:rsidRPr="00576860">
        <w:rPr>
          <w:rFonts w:eastAsiaTheme="minorHAnsi"/>
          <w:sz w:val="24"/>
          <w:szCs w:val="24"/>
          <w:lang w:eastAsia="en-US" w:bidi="hi-IN"/>
        </w:rPr>
        <w:t xml:space="preserve">The Law Commission. 2015. REFORM OF OFFENCES AGAINST THE PERSON. [Online]. Available at: https://assets.publishing.service.gov.uk/government/uploads/system/uploads/attachment_data/file/473403/51950_LC_HC555_Print.pdf [Accessed on 18 February 2021]. </w:t>
      </w:r>
    </w:p>
    <w:p w14:paraId="308508F2" w14:textId="77777777" w:rsidR="005600C5" w:rsidRPr="00576860" w:rsidRDefault="005600C5" w:rsidP="007850AC">
      <w:pPr>
        <w:spacing w:line="480" w:lineRule="auto"/>
        <w:ind w:left="720" w:hanging="720"/>
        <w:jc w:val="both"/>
        <w:rPr>
          <w:rFonts w:eastAsiaTheme="minorHAnsi"/>
          <w:sz w:val="24"/>
          <w:szCs w:val="24"/>
          <w:lang w:eastAsia="en-US" w:bidi="hi-IN"/>
        </w:rPr>
      </w:pPr>
    </w:p>
    <w:p w14:paraId="7AB4F724" w14:textId="77777777" w:rsidR="005600C5" w:rsidRPr="00576860" w:rsidRDefault="005600C5" w:rsidP="007850AC">
      <w:pPr>
        <w:spacing w:line="480" w:lineRule="auto"/>
        <w:ind w:left="720" w:hanging="720"/>
        <w:jc w:val="both"/>
        <w:rPr>
          <w:rFonts w:eastAsiaTheme="minorHAnsi"/>
          <w:sz w:val="24"/>
          <w:szCs w:val="24"/>
          <w:lang w:eastAsia="en-US" w:bidi="hi-IN"/>
        </w:rPr>
      </w:pPr>
    </w:p>
    <w:p w14:paraId="0B7A0802" w14:textId="77777777" w:rsidR="005600C5" w:rsidRPr="00576860" w:rsidRDefault="005600C5" w:rsidP="007850AC">
      <w:pPr>
        <w:spacing w:line="480" w:lineRule="auto"/>
        <w:ind w:left="720" w:hanging="720"/>
        <w:jc w:val="both"/>
        <w:rPr>
          <w:rFonts w:eastAsiaTheme="minorHAnsi"/>
          <w:sz w:val="24"/>
          <w:szCs w:val="24"/>
          <w:lang w:eastAsia="en-US" w:bidi="hi-IN"/>
        </w:rPr>
      </w:pPr>
      <w:bookmarkStart w:id="4" w:name="_Hlk65706851"/>
    </w:p>
    <w:p w14:paraId="6391E5CE" w14:textId="77777777" w:rsidR="005600C5" w:rsidRPr="00576860" w:rsidRDefault="005600C5" w:rsidP="007850AC">
      <w:pPr>
        <w:spacing w:line="480" w:lineRule="auto"/>
        <w:ind w:left="720" w:hanging="720"/>
        <w:jc w:val="both"/>
        <w:rPr>
          <w:rFonts w:eastAsiaTheme="minorHAnsi"/>
          <w:sz w:val="24"/>
          <w:szCs w:val="24"/>
          <w:lang w:eastAsia="en-US" w:bidi="hi-IN"/>
        </w:rPr>
      </w:pPr>
    </w:p>
    <w:p w14:paraId="6F29E8B3" w14:textId="77777777" w:rsidR="005600C5" w:rsidRPr="00576860" w:rsidRDefault="005600C5" w:rsidP="007850AC">
      <w:pPr>
        <w:spacing w:line="480" w:lineRule="auto"/>
        <w:ind w:left="720" w:hanging="720"/>
        <w:jc w:val="both"/>
        <w:rPr>
          <w:rFonts w:eastAsiaTheme="minorHAnsi"/>
          <w:sz w:val="24"/>
          <w:szCs w:val="24"/>
          <w:lang w:eastAsia="en-US" w:bidi="hi-IN"/>
        </w:rPr>
      </w:pPr>
    </w:p>
    <w:p w14:paraId="35D10534" w14:textId="77777777" w:rsidR="005600C5" w:rsidRPr="00576860" w:rsidRDefault="005600C5" w:rsidP="007850AC">
      <w:pPr>
        <w:spacing w:line="480" w:lineRule="auto"/>
        <w:ind w:left="720" w:hanging="720"/>
        <w:jc w:val="both"/>
        <w:rPr>
          <w:rFonts w:eastAsiaTheme="minorHAnsi"/>
          <w:sz w:val="24"/>
          <w:szCs w:val="24"/>
          <w:lang w:eastAsia="en-US" w:bidi="hi-IN"/>
        </w:rPr>
      </w:pPr>
    </w:p>
    <w:p w14:paraId="2EC15E34" w14:textId="77777777" w:rsidR="005600C5" w:rsidRPr="00576860" w:rsidRDefault="005600C5" w:rsidP="007850AC">
      <w:pPr>
        <w:spacing w:line="480" w:lineRule="auto"/>
        <w:ind w:left="720" w:hanging="720"/>
        <w:jc w:val="both"/>
        <w:rPr>
          <w:rFonts w:eastAsiaTheme="minorHAnsi"/>
          <w:sz w:val="24"/>
          <w:szCs w:val="24"/>
          <w:lang w:eastAsia="en-US" w:bidi="hi-IN"/>
        </w:rPr>
      </w:pPr>
    </w:p>
    <w:p w14:paraId="4B47C137" w14:textId="77777777" w:rsidR="005600C5" w:rsidRPr="00576860" w:rsidRDefault="005600C5" w:rsidP="007850AC">
      <w:pPr>
        <w:spacing w:line="480" w:lineRule="auto"/>
        <w:ind w:left="720" w:hanging="720"/>
        <w:jc w:val="both"/>
        <w:rPr>
          <w:rFonts w:eastAsiaTheme="minorHAnsi"/>
          <w:sz w:val="24"/>
          <w:szCs w:val="24"/>
          <w:lang w:eastAsia="en-US" w:bidi="hi-IN"/>
        </w:rPr>
      </w:pPr>
    </w:p>
    <w:p w14:paraId="1ACC2A08" w14:textId="77777777" w:rsidR="005600C5" w:rsidRPr="00576860" w:rsidRDefault="005600C5" w:rsidP="007850AC">
      <w:pPr>
        <w:spacing w:line="480" w:lineRule="auto"/>
        <w:ind w:left="720" w:hanging="720"/>
        <w:jc w:val="both"/>
        <w:rPr>
          <w:rFonts w:eastAsiaTheme="minorHAnsi"/>
          <w:sz w:val="24"/>
          <w:szCs w:val="24"/>
          <w:lang w:eastAsia="en-US" w:bidi="hi-IN"/>
        </w:rPr>
      </w:pPr>
    </w:p>
    <w:bookmarkEnd w:id="4"/>
    <w:p w14:paraId="25754096" w14:textId="77777777" w:rsidR="005600C5" w:rsidRPr="00576860" w:rsidRDefault="005600C5" w:rsidP="007850AC">
      <w:pPr>
        <w:spacing w:line="480" w:lineRule="auto"/>
        <w:jc w:val="both"/>
        <w:rPr>
          <w:rFonts w:eastAsiaTheme="minorHAnsi"/>
          <w:sz w:val="24"/>
          <w:szCs w:val="24"/>
          <w:lang w:eastAsia="en-US" w:bidi="hi-IN"/>
        </w:rPr>
      </w:pPr>
    </w:p>
    <w:p w14:paraId="1E3B7F81" w14:textId="77777777" w:rsidR="005600C5" w:rsidRDefault="005600C5" w:rsidP="007850AC">
      <w:pPr>
        <w:spacing w:line="480" w:lineRule="auto"/>
        <w:jc w:val="both"/>
        <w:rPr>
          <w:rFonts w:eastAsiaTheme="minorHAnsi"/>
          <w:b/>
          <w:bCs/>
          <w:i/>
          <w:iCs/>
          <w:color w:val="7030A0"/>
          <w:sz w:val="32"/>
          <w:szCs w:val="32"/>
          <w:lang w:eastAsia="en-US" w:bidi="hi-IN"/>
        </w:rPr>
      </w:pPr>
      <w:r w:rsidRPr="00576860">
        <w:rPr>
          <w:rFonts w:eastAsiaTheme="minorHAnsi"/>
          <w:b/>
          <w:bCs/>
          <w:i/>
          <w:iCs/>
          <w:color w:val="7030A0"/>
          <w:sz w:val="32"/>
          <w:szCs w:val="32"/>
          <w:lang w:eastAsia="en-US" w:bidi="hi-IN"/>
        </w:rPr>
        <w:t>Other Sources</w:t>
      </w:r>
    </w:p>
    <w:p w14:paraId="6B973680" w14:textId="77777777" w:rsidR="005600C5" w:rsidRPr="00E75F21" w:rsidRDefault="005600C5" w:rsidP="007850AC">
      <w:pPr>
        <w:tabs>
          <w:tab w:val="left" w:pos="720"/>
          <w:tab w:val="left" w:pos="1440"/>
          <w:tab w:val="left" w:pos="2160"/>
          <w:tab w:val="left" w:pos="2880"/>
        </w:tabs>
        <w:overflowPunct w:val="0"/>
        <w:autoSpaceDE w:val="0"/>
        <w:autoSpaceDN w:val="0"/>
        <w:adjustRightInd w:val="0"/>
        <w:ind w:left="3600" w:hanging="3600"/>
        <w:jc w:val="both"/>
        <w:textAlignment w:val="baseline"/>
        <w:rPr>
          <w:b/>
          <w:sz w:val="24"/>
          <w:szCs w:val="24"/>
        </w:rPr>
      </w:pPr>
      <w:r w:rsidRPr="00E75F21">
        <w:rPr>
          <w:b/>
          <w:sz w:val="24"/>
          <w:szCs w:val="24"/>
        </w:rPr>
        <w:t xml:space="preserve">Journals </w:t>
      </w:r>
    </w:p>
    <w:p w14:paraId="2312C703" w14:textId="77777777" w:rsidR="005600C5" w:rsidRDefault="005600C5" w:rsidP="007850AC">
      <w:pPr>
        <w:jc w:val="both"/>
        <w:rPr>
          <w:sz w:val="24"/>
          <w:szCs w:val="24"/>
        </w:rPr>
      </w:pPr>
    </w:p>
    <w:p w14:paraId="226970F8" w14:textId="77777777" w:rsidR="005600C5" w:rsidRPr="00E75F21" w:rsidRDefault="005600C5" w:rsidP="007850AC">
      <w:pPr>
        <w:jc w:val="both"/>
        <w:rPr>
          <w:sz w:val="24"/>
          <w:szCs w:val="24"/>
        </w:rPr>
      </w:pPr>
      <w:r w:rsidRPr="00E75F21">
        <w:rPr>
          <w:sz w:val="24"/>
          <w:szCs w:val="24"/>
        </w:rPr>
        <w:t>Journal of Criminal Law</w:t>
      </w:r>
    </w:p>
    <w:p w14:paraId="421F9A62" w14:textId="77777777" w:rsidR="005600C5" w:rsidRPr="00E75F21" w:rsidRDefault="005600C5" w:rsidP="007850AC">
      <w:pPr>
        <w:jc w:val="both"/>
        <w:rPr>
          <w:sz w:val="24"/>
          <w:szCs w:val="24"/>
        </w:rPr>
      </w:pPr>
    </w:p>
    <w:p w14:paraId="51727598" w14:textId="77777777" w:rsidR="005600C5" w:rsidRDefault="005600C5" w:rsidP="007850AC">
      <w:pPr>
        <w:jc w:val="both"/>
        <w:rPr>
          <w:sz w:val="24"/>
          <w:szCs w:val="24"/>
        </w:rPr>
      </w:pPr>
      <w:r w:rsidRPr="00E75F21">
        <w:rPr>
          <w:sz w:val="24"/>
          <w:szCs w:val="24"/>
        </w:rPr>
        <w:t>Modern Law Review</w:t>
      </w:r>
    </w:p>
    <w:p w14:paraId="2F1639D0" w14:textId="77777777" w:rsidR="005600C5" w:rsidRPr="00E75F21" w:rsidRDefault="005600C5" w:rsidP="007850AC">
      <w:pPr>
        <w:jc w:val="both"/>
        <w:rPr>
          <w:sz w:val="24"/>
          <w:szCs w:val="24"/>
        </w:rPr>
      </w:pPr>
    </w:p>
    <w:p w14:paraId="02B4A221" w14:textId="77777777" w:rsidR="005600C5" w:rsidRDefault="005600C5" w:rsidP="007850AC">
      <w:pPr>
        <w:jc w:val="both"/>
        <w:rPr>
          <w:sz w:val="24"/>
          <w:szCs w:val="24"/>
        </w:rPr>
      </w:pPr>
      <w:r w:rsidRPr="00E75F21">
        <w:rPr>
          <w:sz w:val="24"/>
          <w:szCs w:val="24"/>
        </w:rPr>
        <w:t>Cambridge Law Journal</w:t>
      </w:r>
    </w:p>
    <w:p w14:paraId="66BC7CFD" w14:textId="77777777" w:rsidR="005600C5" w:rsidRPr="00E75F21" w:rsidRDefault="005600C5" w:rsidP="007850AC">
      <w:pPr>
        <w:jc w:val="both"/>
        <w:rPr>
          <w:sz w:val="24"/>
          <w:szCs w:val="24"/>
        </w:rPr>
      </w:pPr>
    </w:p>
    <w:p w14:paraId="6813EE2C" w14:textId="77777777" w:rsidR="005600C5" w:rsidRDefault="005600C5" w:rsidP="007850AC">
      <w:pPr>
        <w:jc w:val="both"/>
        <w:rPr>
          <w:sz w:val="24"/>
          <w:szCs w:val="24"/>
        </w:rPr>
      </w:pPr>
      <w:r w:rsidRPr="00E75F21">
        <w:rPr>
          <w:sz w:val="24"/>
          <w:szCs w:val="24"/>
        </w:rPr>
        <w:t>Oxford Journal of Legal Studies</w:t>
      </w:r>
    </w:p>
    <w:p w14:paraId="5FA4ECEB" w14:textId="77777777" w:rsidR="005600C5" w:rsidRPr="00E75F21" w:rsidRDefault="005600C5" w:rsidP="007850AC">
      <w:pPr>
        <w:jc w:val="both"/>
        <w:rPr>
          <w:sz w:val="24"/>
          <w:szCs w:val="24"/>
        </w:rPr>
      </w:pPr>
    </w:p>
    <w:p w14:paraId="5521D287" w14:textId="77777777" w:rsidR="005600C5" w:rsidRPr="00E75F21" w:rsidRDefault="005600C5" w:rsidP="007850AC">
      <w:pPr>
        <w:jc w:val="both"/>
        <w:rPr>
          <w:sz w:val="24"/>
          <w:szCs w:val="24"/>
        </w:rPr>
      </w:pPr>
      <w:r w:rsidRPr="00E75F21">
        <w:rPr>
          <w:sz w:val="24"/>
          <w:szCs w:val="24"/>
        </w:rPr>
        <w:t>Northern Ireland Legal Quarterly</w:t>
      </w:r>
    </w:p>
    <w:p w14:paraId="0D96791C" w14:textId="77777777" w:rsidR="005600C5" w:rsidRPr="00E75F21" w:rsidRDefault="005600C5" w:rsidP="007850AC">
      <w:pPr>
        <w:jc w:val="both"/>
        <w:rPr>
          <w:sz w:val="24"/>
          <w:szCs w:val="24"/>
        </w:rPr>
      </w:pPr>
    </w:p>
    <w:p w14:paraId="60B0E882" w14:textId="77777777" w:rsidR="005600C5" w:rsidRPr="00E75F21" w:rsidRDefault="005600C5" w:rsidP="007850AC">
      <w:pPr>
        <w:jc w:val="both"/>
        <w:rPr>
          <w:sz w:val="24"/>
          <w:szCs w:val="24"/>
        </w:rPr>
      </w:pPr>
      <w:r w:rsidRPr="00E75F21">
        <w:rPr>
          <w:sz w:val="24"/>
          <w:szCs w:val="24"/>
        </w:rPr>
        <w:t>Journal of Law and Society</w:t>
      </w:r>
    </w:p>
    <w:p w14:paraId="7DD4AC0C" w14:textId="77777777" w:rsidR="005600C5" w:rsidRPr="00E75F21" w:rsidRDefault="005600C5" w:rsidP="007850AC">
      <w:pPr>
        <w:jc w:val="both"/>
        <w:rPr>
          <w:sz w:val="24"/>
          <w:szCs w:val="24"/>
        </w:rPr>
      </w:pPr>
    </w:p>
    <w:p w14:paraId="62D94CFB" w14:textId="77777777" w:rsidR="005600C5" w:rsidRPr="00E75F21" w:rsidRDefault="005600C5" w:rsidP="007850AC">
      <w:pPr>
        <w:jc w:val="both"/>
        <w:rPr>
          <w:sz w:val="24"/>
          <w:szCs w:val="24"/>
        </w:rPr>
      </w:pPr>
      <w:r w:rsidRPr="00E75F21">
        <w:rPr>
          <w:sz w:val="24"/>
          <w:szCs w:val="24"/>
        </w:rPr>
        <w:t>Criminal Law Review</w:t>
      </w:r>
    </w:p>
    <w:p w14:paraId="456B2681" w14:textId="77777777" w:rsidR="005600C5" w:rsidRPr="00E75F21" w:rsidRDefault="005600C5" w:rsidP="007850AC">
      <w:pPr>
        <w:jc w:val="both"/>
        <w:rPr>
          <w:i/>
          <w:sz w:val="24"/>
          <w:szCs w:val="24"/>
        </w:rPr>
      </w:pPr>
    </w:p>
    <w:p w14:paraId="3AB0FD3A" w14:textId="77777777" w:rsidR="005600C5" w:rsidRPr="00421775" w:rsidRDefault="005600C5" w:rsidP="007850AC">
      <w:pPr>
        <w:tabs>
          <w:tab w:val="left" w:pos="720"/>
          <w:tab w:val="left" w:pos="1440"/>
          <w:tab w:val="left" w:pos="2160"/>
          <w:tab w:val="left" w:pos="2880"/>
        </w:tabs>
        <w:overflowPunct w:val="0"/>
        <w:autoSpaceDE w:val="0"/>
        <w:autoSpaceDN w:val="0"/>
        <w:adjustRightInd w:val="0"/>
        <w:jc w:val="both"/>
        <w:textAlignment w:val="baseline"/>
        <w:rPr>
          <w:b/>
          <w:sz w:val="24"/>
          <w:szCs w:val="24"/>
        </w:rPr>
      </w:pPr>
    </w:p>
    <w:p w14:paraId="32EF7629" w14:textId="77777777" w:rsidR="005600C5" w:rsidRPr="00576860" w:rsidRDefault="005600C5" w:rsidP="007850AC">
      <w:pPr>
        <w:spacing w:line="480" w:lineRule="auto"/>
        <w:jc w:val="both"/>
        <w:rPr>
          <w:rFonts w:eastAsiaTheme="minorHAnsi"/>
          <w:b/>
          <w:bCs/>
          <w:i/>
          <w:iCs/>
          <w:sz w:val="24"/>
          <w:szCs w:val="24"/>
          <w:lang w:eastAsia="en-US" w:bidi="hi-IN"/>
        </w:rPr>
      </w:pPr>
      <w:r w:rsidRPr="00576860">
        <w:rPr>
          <w:rFonts w:eastAsiaTheme="minorHAnsi"/>
          <w:b/>
          <w:bCs/>
          <w:i/>
          <w:iCs/>
          <w:sz w:val="24"/>
          <w:szCs w:val="24"/>
          <w:lang w:eastAsia="en-US" w:bidi="hi-IN"/>
        </w:rPr>
        <w:t>Case Laws</w:t>
      </w:r>
    </w:p>
    <w:p w14:paraId="2794BF70" w14:textId="77777777" w:rsidR="005600C5" w:rsidRPr="00576860" w:rsidRDefault="005600C5" w:rsidP="007850AC">
      <w:pPr>
        <w:spacing w:line="480" w:lineRule="auto"/>
        <w:ind w:left="720" w:hanging="720"/>
        <w:jc w:val="both"/>
        <w:rPr>
          <w:rFonts w:eastAsiaTheme="minorHAnsi"/>
          <w:sz w:val="24"/>
          <w:szCs w:val="24"/>
          <w:lang w:eastAsia="en-US" w:bidi="hi-IN"/>
        </w:rPr>
      </w:pPr>
      <w:r w:rsidRPr="00576860">
        <w:rPr>
          <w:rFonts w:eastAsiaTheme="minorHAnsi"/>
          <w:sz w:val="24"/>
          <w:szCs w:val="24"/>
          <w:lang w:eastAsia="en-US" w:bidi="hi-IN"/>
        </w:rPr>
        <w:t>R v Adrian Kuti (1994) 15 Cr. App. R. (S.) 260</w:t>
      </w:r>
    </w:p>
    <w:p w14:paraId="1080FC8A" w14:textId="77777777" w:rsidR="005600C5" w:rsidRPr="00576860" w:rsidRDefault="005600C5" w:rsidP="007850AC">
      <w:pPr>
        <w:spacing w:line="480" w:lineRule="auto"/>
        <w:ind w:left="720" w:hanging="720"/>
        <w:jc w:val="both"/>
        <w:rPr>
          <w:rFonts w:eastAsiaTheme="minorHAnsi"/>
          <w:sz w:val="24"/>
          <w:szCs w:val="24"/>
          <w:lang w:eastAsia="en-US" w:bidi="hi-IN"/>
        </w:rPr>
      </w:pPr>
      <w:r w:rsidRPr="00576860">
        <w:rPr>
          <w:rFonts w:eastAsiaTheme="minorHAnsi"/>
          <w:sz w:val="24"/>
          <w:szCs w:val="24"/>
          <w:lang w:eastAsia="en-US" w:bidi="hi-IN"/>
        </w:rPr>
        <w:t>R v Bollom (2004) 2 Cr App R 6</w:t>
      </w:r>
    </w:p>
    <w:p w14:paraId="3F64ED3C" w14:textId="77777777" w:rsidR="005600C5" w:rsidRPr="00576860" w:rsidRDefault="005600C5" w:rsidP="007850AC">
      <w:pPr>
        <w:spacing w:line="480" w:lineRule="auto"/>
        <w:ind w:left="720" w:hanging="720"/>
        <w:jc w:val="both"/>
        <w:rPr>
          <w:rFonts w:eastAsiaTheme="minorHAnsi"/>
          <w:sz w:val="24"/>
          <w:szCs w:val="24"/>
          <w:lang w:eastAsia="en-US" w:bidi="hi-IN"/>
        </w:rPr>
      </w:pPr>
      <w:r w:rsidRPr="00576860">
        <w:rPr>
          <w:rFonts w:eastAsiaTheme="minorHAnsi"/>
          <w:sz w:val="24"/>
          <w:szCs w:val="24"/>
          <w:lang w:eastAsia="en-US" w:bidi="hi-IN"/>
        </w:rPr>
        <w:t>R v Chan Fook [1994] 1 WLR 689</w:t>
      </w:r>
    </w:p>
    <w:p w14:paraId="1DEDEBFE" w14:textId="77777777" w:rsidR="005600C5" w:rsidRPr="00576860" w:rsidRDefault="005600C5" w:rsidP="007850AC">
      <w:pPr>
        <w:spacing w:line="480" w:lineRule="auto"/>
        <w:ind w:left="720" w:hanging="720"/>
        <w:jc w:val="both"/>
        <w:rPr>
          <w:rFonts w:eastAsiaTheme="minorHAnsi"/>
          <w:sz w:val="24"/>
          <w:szCs w:val="24"/>
          <w:lang w:eastAsia="en-US" w:bidi="hi-IN"/>
        </w:rPr>
      </w:pPr>
      <w:r w:rsidRPr="00576860">
        <w:rPr>
          <w:rFonts w:eastAsiaTheme="minorHAnsi"/>
          <w:sz w:val="24"/>
          <w:szCs w:val="24"/>
          <w:lang w:eastAsia="en-US" w:bidi="hi-IN"/>
        </w:rPr>
        <w:t>R v Ireland and Burstow [1997] UKHL 34</w:t>
      </w:r>
    </w:p>
    <w:p w14:paraId="4B8336E8" w14:textId="77777777" w:rsidR="005600C5" w:rsidRPr="00576860" w:rsidRDefault="005600C5" w:rsidP="007850AC">
      <w:pPr>
        <w:spacing w:line="480" w:lineRule="auto"/>
        <w:ind w:left="720" w:hanging="720"/>
        <w:jc w:val="both"/>
        <w:rPr>
          <w:rFonts w:eastAsiaTheme="minorHAnsi"/>
          <w:sz w:val="24"/>
          <w:szCs w:val="24"/>
          <w:lang w:eastAsia="en-US" w:bidi="hi-IN"/>
        </w:rPr>
      </w:pPr>
      <w:r w:rsidRPr="00576860">
        <w:rPr>
          <w:rFonts w:eastAsiaTheme="minorHAnsi"/>
          <w:sz w:val="24"/>
          <w:szCs w:val="24"/>
          <w:lang w:eastAsia="en-US" w:bidi="hi-IN"/>
        </w:rPr>
        <w:t>R v Miller [1954] 2 All ER 529</w:t>
      </w:r>
    </w:p>
    <w:p w14:paraId="03DE2EA3" w14:textId="77777777" w:rsidR="005600C5" w:rsidRDefault="005600C5" w:rsidP="007850AC">
      <w:pPr>
        <w:spacing w:line="480" w:lineRule="auto"/>
        <w:ind w:left="720" w:hanging="720"/>
        <w:jc w:val="both"/>
        <w:rPr>
          <w:rFonts w:eastAsiaTheme="minorHAnsi"/>
          <w:sz w:val="24"/>
          <w:szCs w:val="24"/>
          <w:lang w:eastAsia="en-US" w:bidi="hi-IN"/>
        </w:rPr>
      </w:pPr>
      <w:r w:rsidRPr="00576860">
        <w:rPr>
          <w:rFonts w:eastAsiaTheme="minorHAnsi"/>
          <w:sz w:val="24"/>
          <w:szCs w:val="24"/>
          <w:lang w:eastAsia="en-US" w:bidi="hi-IN"/>
        </w:rPr>
        <w:t>R v Saunders [1573] 2 Plowd 473</w:t>
      </w:r>
    </w:p>
    <w:p w14:paraId="7DAFDA35" w14:textId="77777777" w:rsidR="005600C5" w:rsidRPr="00576860" w:rsidRDefault="005600C5" w:rsidP="007850AC">
      <w:pPr>
        <w:spacing w:line="480" w:lineRule="auto"/>
        <w:ind w:left="720" w:hanging="720"/>
        <w:jc w:val="both"/>
        <w:rPr>
          <w:rFonts w:eastAsiaTheme="minorHAnsi"/>
          <w:sz w:val="24"/>
          <w:szCs w:val="24"/>
          <w:lang w:eastAsia="en-US" w:bidi="hi-IN"/>
        </w:rPr>
      </w:pPr>
      <w:r>
        <w:rPr>
          <w:rFonts w:eastAsiaTheme="minorHAnsi"/>
          <w:sz w:val="24"/>
          <w:szCs w:val="24"/>
          <w:lang w:eastAsia="en-US" w:bidi="hi-IN"/>
        </w:rPr>
        <w:t>Woollin [1998]</w:t>
      </w:r>
    </w:p>
    <w:p w14:paraId="2A42FADE" w14:textId="77777777" w:rsidR="00AD4E3F" w:rsidRPr="005600C5" w:rsidRDefault="00AD4E3F" w:rsidP="007850AC">
      <w:pPr>
        <w:jc w:val="both"/>
      </w:pPr>
    </w:p>
    <w:sectPr w:rsidR="00AD4E3F" w:rsidRPr="005600C5">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2881C2" w14:textId="77777777" w:rsidR="00A32124" w:rsidRDefault="00A32124" w:rsidP="00A41453">
      <w:r>
        <w:separator/>
      </w:r>
    </w:p>
  </w:endnote>
  <w:endnote w:type="continuationSeparator" w:id="0">
    <w:p w14:paraId="7099353D" w14:textId="77777777" w:rsidR="00A32124" w:rsidRDefault="00A32124" w:rsidP="00A414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0"/>
      <w:gridCol w:w="4496"/>
    </w:tblGrid>
    <w:tr w:rsidR="00A41453" w14:paraId="7A7CDF24" w14:textId="77777777">
      <w:trPr>
        <w:trHeight w:hRule="exact" w:val="115"/>
        <w:jc w:val="center"/>
      </w:trPr>
      <w:tc>
        <w:tcPr>
          <w:tcW w:w="4686" w:type="dxa"/>
          <w:shd w:val="clear" w:color="auto" w:fill="4472C4" w:themeFill="accent1"/>
          <w:tcMar>
            <w:top w:w="0" w:type="dxa"/>
            <w:bottom w:w="0" w:type="dxa"/>
          </w:tcMar>
        </w:tcPr>
        <w:p w14:paraId="0A849831" w14:textId="77777777" w:rsidR="00A41453" w:rsidRDefault="00A41453">
          <w:pPr>
            <w:pStyle w:val="Header"/>
            <w:rPr>
              <w:caps/>
              <w:sz w:val="18"/>
            </w:rPr>
          </w:pPr>
        </w:p>
      </w:tc>
      <w:tc>
        <w:tcPr>
          <w:tcW w:w="4674" w:type="dxa"/>
          <w:shd w:val="clear" w:color="auto" w:fill="4472C4" w:themeFill="accent1"/>
          <w:tcMar>
            <w:top w:w="0" w:type="dxa"/>
            <w:bottom w:w="0" w:type="dxa"/>
          </w:tcMar>
        </w:tcPr>
        <w:p w14:paraId="1BCF4AFF" w14:textId="77777777" w:rsidR="00A41453" w:rsidRDefault="00A41453">
          <w:pPr>
            <w:pStyle w:val="Header"/>
            <w:jc w:val="right"/>
            <w:rPr>
              <w:caps/>
              <w:sz w:val="18"/>
            </w:rPr>
          </w:pPr>
        </w:p>
      </w:tc>
    </w:tr>
    <w:tr w:rsidR="00A41453" w14:paraId="17B273AC" w14:textId="77777777">
      <w:trPr>
        <w:jc w:val="center"/>
      </w:trPr>
      <w:sdt>
        <w:sdtPr>
          <w:rPr>
            <w:caps/>
            <w:color w:val="808080" w:themeColor="background1" w:themeShade="80"/>
            <w:sz w:val="18"/>
            <w:szCs w:val="18"/>
          </w:rPr>
          <w:alias w:val="Author"/>
          <w:tag w:val=""/>
          <w:id w:val="1534151868"/>
          <w:placeholder>
            <w:docPart w:val="CBFCCF1B1BB84803946C4C47CCBFA218"/>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2389655C" w14:textId="150CE88B" w:rsidR="00A41453" w:rsidRDefault="00A41453">
              <w:pPr>
                <w:pStyle w:val="Footer"/>
                <w:rPr>
                  <w:caps/>
                  <w:color w:val="808080" w:themeColor="background1" w:themeShade="80"/>
                  <w:sz w:val="18"/>
                  <w:szCs w:val="18"/>
                </w:rPr>
              </w:pPr>
              <w:r>
                <w:rPr>
                  <w:caps/>
                  <w:color w:val="808080" w:themeColor="background1" w:themeShade="80"/>
                  <w:sz w:val="18"/>
                  <w:szCs w:val="18"/>
                </w:rPr>
                <w:t>MD Ahmed</w:t>
              </w:r>
            </w:p>
          </w:tc>
        </w:sdtContent>
      </w:sdt>
      <w:tc>
        <w:tcPr>
          <w:tcW w:w="4674" w:type="dxa"/>
          <w:shd w:val="clear" w:color="auto" w:fill="auto"/>
          <w:vAlign w:val="center"/>
        </w:tcPr>
        <w:p w14:paraId="690248DF" w14:textId="77777777" w:rsidR="00A41453" w:rsidRDefault="00A41453">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370A8B8F" w14:textId="77777777" w:rsidR="00A41453" w:rsidRDefault="00A414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E09068" w14:textId="77777777" w:rsidR="00A32124" w:rsidRDefault="00A32124" w:rsidP="00A41453">
      <w:r>
        <w:separator/>
      </w:r>
    </w:p>
  </w:footnote>
  <w:footnote w:type="continuationSeparator" w:id="0">
    <w:p w14:paraId="447E3A0A" w14:textId="77777777" w:rsidR="00A32124" w:rsidRDefault="00A32124" w:rsidP="00A414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0C5"/>
    <w:rsid w:val="002345AD"/>
    <w:rsid w:val="005600C5"/>
    <w:rsid w:val="005B3DA6"/>
    <w:rsid w:val="006059A0"/>
    <w:rsid w:val="006F1FC8"/>
    <w:rsid w:val="007850AC"/>
    <w:rsid w:val="008A783D"/>
    <w:rsid w:val="00A32124"/>
    <w:rsid w:val="00A41453"/>
    <w:rsid w:val="00AD4E3F"/>
    <w:rsid w:val="00D33C21"/>
    <w:rsid w:val="00E72A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BE42E"/>
  <w15:chartTrackingRefBased/>
  <w15:docId w15:val="{8060F8E7-4ECD-4D84-9387-BAD4D744B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0C5"/>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5600C5"/>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00C5"/>
    <w:rPr>
      <w:rFonts w:asciiTheme="majorHAnsi" w:eastAsiaTheme="majorEastAsia" w:hAnsiTheme="majorHAnsi" w:cstheme="majorBidi"/>
      <w:b/>
      <w:bCs/>
      <w:color w:val="2F5496" w:themeColor="accent1" w:themeShade="BF"/>
      <w:sz w:val="28"/>
      <w:szCs w:val="28"/>
      <w:lang w:eastAsia="en-GB"/>
    </w:rPr>
  </w:style>
  <w:style w:type="paragraph" w:styleId="TOCHeading">
    <w:name w:val="TOC Heading"/>
    <w:basedOn w:val="Heading1"/>
    <w:next w:val="Normal"/>
    <w:uiPriority w:val="39"/>
    <w:semiHidden/>
    <w:unhideWhenUsed/>
    <w:qFormat/>
    <w:rsid w:val="005600C5"/>
    <w:pPr>
      <w:spacing w:line="276" w:lineRule="auto"/>
      <w:outlineLvl w:val="9"/>
    </w:pPr>
    <w:rPr>
      <w:lang w:val="en-US" w:eastAsia="en-US"/>
    </w:rPr>
  </w:style>
  <w:style w:type="paragraph" w:styleId="TOC1">
    <w:name w:val="toc 1"/>
    <w:basedOn w:val="Normal"/>
    <w:next w:val="Normal"/>
    <w:autoRedefine/>
    <w:uiPriority w:val="39"/>
    <w:unhideWhenUsed/>
    <w:rsid w:val="005600C5"/>
    <w:pPr>
      <w:spacing w:after="100"/>
    </w:pPr>
  </w:style>
  <w:style w:type="character" w:styleId="Hyperlink">
    <w:name w:val="Hyperlink"/>
    <w:basedOn w:val="DefaultParagraphFont"/>
    <w:uiPriority w:val="99"/>
    <w:unhideWhenUsed/>
    <w:rsid w:val="005600C5"/>
    <w:rPr>
      <w:color w:val="0563C1" w:themeColor="hyperlink"/>
      <w:u w:val="single"/>
    </w:rPr>
  </w:style>
  <w:style w:type="paragraph" w:styleId="Header">
    <w:name w:val="header"/>
    <w:basedOn w:val="Normal"/>
    <w:link w:val="HeaderChar"/>
    <w:uiPriority w:val="99"/>
    <w:unhideWhenUsed/>
    <w:rsid w:val="00A41453"/>
    <w:pPr>
      <w:tabs>
        <w:tab w:val="center" w:pos="4513"/>
        <w:tab w:val="right" w:pos="9026"/>
      </w:tabs>
    </w:pPr>
  </w:style>
  <w:style w:type="character" w:customStyle="1" w:styleId="HeaderChar">
    <w:name w:val="Header Char"/>
    <w:basedOn w:val="DefaultParagraphFont"/>
    <w:link w:val="Header"/>
    <w:uiPriority w:val="99"/>
    <w:rsid w:val="00A41453"/>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A41453"/>
    <w:pPr>
      <w:tabs>
        <w:tab w:val="center" w:pos="4513"/>
        <w:tab w:val="right" w:pos="9026"/>
      </w:tabs>
    </w:pPr>
  </w:style>
  <w:style w:type="character" w:customStyle="1" w:styleId="FooterChar">
    <w:name w:val="Footer Char"/>
    <w:basedOn w:val="DefaultParagraphFont"/>
    <w:link w:val="Footer"/>
    <w:uiPriority w:val="99"/>
    <w:rsid w:val="00A41453"/>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BFCCF1B1BB84803946C4C47CCBFA218"/>
        <w:category>
          <w:name w:val="General"/>
          <w:gallery w:val="placeholder"/>
        </w:category>
        <w:types>
          <w:type w:val="bbPlcHdr"/>
        </w:types>
        <w:behaviors>
          <w:behavior w:val="content"/>
        </w:behaviors>
        <w:guid w:val="{3F54542E-3BCB-48C6-B133-CDAD6B42DB4D}"/>
      </w:docPartPr>
      <w:docPartBody>
        <w:p w:rsidR="00000000" w:rsidRDefault="005260BC" w:rsidP="005260BC">
          <w:pPr>
            <w:pStyle w:val="CBFCCF1B1BB84803946C4C47CCBFA218"/>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0BC"/>
    <w:rsid w:val="004E3293"/>
    <w:rsid w:val="005260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260BC"/>
    <w:rPr>
      <w:color w:val="808080"/>
    </w:rPr>
  </w:style>
  <w:style w:type="paragraph" w:customStyle="1" w:styleId="CBFCCF1B1BB84803946C4C47CCBFA218">
    <w:name w:val="CBFCCF1B1BB84803946C4C47CCBFA218"/>
    <w:rsid w:val="005260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14</Pages>
  <Words>2326</Words>
  <Characters>13261</Characters>
  <Application>Microsoft Office Word</Application>
  <DocSecurity>0</DocSecurity>
  <Lines>110</Lines>
  <Paragraphs>31</Paragraphs>
  <ScaleCrop>false</ScaleCrop>
  <Company/>
  <LinksUpToDate>false</LinksUpToDate>
  <CharactersWithSpaces>15556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Ahmed</dc:creator>
  <cp:keywords/>
  <dc:description/>
  <cp:lastModifiedBy>Roshid Ahmed</cp:lastModifiedBy>
  <cp:revision>10</cp:revision>
  <dcterms:created xsi:type="dcterms:W3CDTF">2021-03-04T00:42:00Z</dcterms:created>
  <dcterms:modified xsi:type="dcterms:W3CDTF">2021-03-04T00:53:00Z</dcterms:modified>
</cp:coreProperties>
</file>