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D0F4A22" wp14:paraId="71BA435D" wp14:textId="4BC6A337">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b w:val="1"/>
          <w:bCs w:val="1"/>
          <w:noProof w:val="0"/>
          <w:color w:val="auto"/>
          <w:sz w:val="22"/>
          <w:szCs w:val="22"/>
          <w:lang w:val="en-GB"/>
        </w:rPr>
        <w:t>Name:</w:t>
      </w:r>
      <w:r>
        <w:tab/>
      </w:r>
      <w:r>
        <w:tab/>
      </w:r>
      <w:r>
        <w:tab/>
      </w:r>
      <w:r>
        <w:tab/>
      </w:r>
      <w:r w:rsidRPr="6D0F4A22" w:rsidR="0B3B777D">
        <w:rPr>
          <w:rFonts w:ascii="Arial" w:hAnsi="Arial" w:eastAsia="Arial" w:cs="Arial"/>
          <w:noProof w:val="0"/>
          <w:color w:val="auto"/>
          <w:sz w:val="22"/>
          <w:szCs w:val="22"/>
          <w:lang w:val="en-GB"/>
        </w:rPr>
        <w:t>Mahwish Asghar</w:t>
      </w:r>
    </w:p>
    <w:p xmlns:wp14="http://schemas.microsoft.com/office/word/2010/wordml" w:rsidP="6D0F4A22" wp14:paraId="0732B5D5" wp14:textId="4BEB6B2A">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b w:val="1"/>
          <w:bCs w:val="1"/>
          <w:noProof w:val="0"/>
          <w:color w:val="auto"/>
          <w:sz w:val="22"/>
          <w:szCs w:val="22"/>
          <w:lang w:val="en-GB"/>
        </w:rPr>
        <w:t>Student Number:</w:t>
      </w:r>
      <w:r w:rsidRPr="6D0F4A22" w:rsidR="0B3B777D">
        <w:rPr>
          <w:rFonts w:ascii="Arial" w:hAnsi="Arial" w:eastAsia="Arial" w:cs="Arial"/>
          <w:noProof w:val="0"/>
          <w:color w:val="auto"/>
          <w:sz w:val="22"/>
          <w:szCs w:val="22"/>
          <w:lang w:val="en-GB"/>
        </w:rPr>
        <w:t xml:space="preserve"> </w:t>
      </w:r>
      <w:r>
        <w:tab/>
      </w:r>
      <w:r>
        <w:tab/>
      </w:r>
      <w:r w:rsidRPr="6D0F4A22" w:rsidR="0B3B777D">
        <w:rPr>
          <w:rFonts w:ascii="Arial" w:hAnsi="Arial" w:eastAsia="Arial" w:cs="Arial"/>
          <w:noProof w:val="0"/>
          <w:color w:val="auto"/>
          <w:sz w:val="22"/>
          <w:szCs w:val="22"/>
          <w:lang w:val="en-GB"/>
        </w:rPr>
        <w:t>2323663</w:t>
      </w:r>
    </w:p>
    <w:p xmlns:wp14="http://schemas.microsoft.com/office/word/2010/wordml" w:rsidP="6D0F4A22" wp14:paraId="1BC4D41E" wp14:textId="273114D4">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b w:val="1"/>
          <w:bCs w:val="1"/>
          <w:noProof w:val="0"/>
          <w:color w:val="auto"/>
          <w:sz w:val="22"/>
          <w:szCs w:val="22"/>
          <w:lang w:val="en-GB"/>
        </w:rPr>
        <w:t>Module Code and Title:</w:t>
      </w:r>
      <w:r w:rsidRPr="6D0F4A22" w:rsidR="0B3B777D">
        <w:rPr>
          <w:rFonts w:ascii="Arial" w:hAnsi="Arial" w:eastAsia="Arial" w:cs="Arial"/>
          <w:noProof w:val="0"/>
          <w:color w:val="auto"/>
          <w:sz w:val="22"/>
          <w:szCs w:val="22"/>
          <w:lang w:val="en-GB"/>
        </w:rPr>
        <w:t xml:space="preserve"> </w:t>
      </w:r>
      <w:r>
        <w:tab/>
      </w:r>
      <w:r w:rsidRPr="6D0F4A22" w:rsidR="0B3B777D">
        <w:rPr>
          <w:rFonts w:ascii="Arial" w:hAnsi="Arial" w:eastAsia="Arial" w:cs="Arial"/>
          <w:noProof w:val="0"/>
          <w:color w:val="auto"/>
          <w:sz w:val="22"/>
          <w:szCs w:val="22"/>
          <w:lang w:val="en-GB"/>
        </w:rPr>
        <w:t>BMHP5019 – Introduction to Independent Research Skills</w:t>
      </w:r>
    </w:p>
    <w:p xmlns:wp14="http://schemas.microsoft.com/office/word/2010/wordml" w:rsidP="6D0F4A22" wp14:paraId="313A479F" wp14:textId="6F80C6DF">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b w:val="1"/>
          <w:bCs w:val="1"/>
          <w:noProof w:val="0"/>
          <w:color w:val="auto"/>
          <w:sz w:val="22"/>
          <w:szCs w:val="22"/>
          <w:lang w:val="en-GB"/>
        </w:rPr>
        <w:t>Assignment Title:</w:t>
      </w:r>
      <w:r w:rsidRPr="6D0F4A22" w:rsidR="0B3B777D">
        <w:rPr>
          <w:rFonts w:ascii="Arial" w:hAnsi="Arial" w:eastAsia="Arial" w:cs="Arial"/>
          <w:noProof w:val="0"/>
          <w:color w:val="auto"/>
          <w:sz w:val="22"/>
          <w:szCs w:val="22"/>
          <w:lang w:val="en-GB"/>
        </w:rPr>
        <w:t xml:space="preserve"> </w:t>
      </w:r>
      <w:r>
        <w:tab/>
      </w:r>
      <w:r>
        <w:tab/>
      </w:r>
      <w:r w:rsidRPr="6D0F4A22" w:rsidR="0B3B777D">
        <w:rPr>
          <w:rFonts w:ascii="Arial" w:hAnsi="Arial" w:eastAsia="Arial" w:cs="Arial"/>
          <w:noProof w:val="0"/>
          <w:color w:val="auto"/>
          <w:sz w:val="22"/>
          <w:szCs w:val="22"/>
          <w:lang w:val="en-GB"/>
        </w:rPr>
        <w:t>Component 2: Written Assignment (Research Report)</w:t>
      </w:r>
    </w:p>
    <w:p xmlns:wp14="http://schemas.microsoft.com/office/word/2010/wordml" w:rsidP="6D0F4A22" wp14:paraId="122B9126" wp14:textId="5581F13A">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4C5D7402" wp14:textId="1EEA8AA3">
      <w:pPr>
        <w:pStyle w:val="Heading1"/>
        <w:bidi w:val="0"/>
        <w:spacing w:before="30" w:beforeAutospacing="off" w:after="30" w:afterAutospacing="off"/>
        <w:rPr>
          <w:rFonts w:ascii="Arial" w:hAnsi="Arial" w:eastAsia="Arial" w:cs="Arial"/>
          <w:b w:val="1"/>
          <w:bCs w:val="1"/>
          <w:noProof w:val="0"/>
          <w:color w:val="auto"/>
          <w:sz w:val="22"/>
          <w:szCs w:val="22"/>
          <w:lang w:val="en-GB"/>
        </w:rPr>
      </w:pPr>
      <w:r w:rsidRPr="6D0F4A22" w:rsidR="74ECF5C9">
        <w:rPr>
          <w:rFonts w:ascii="Arial" w:hAnsi="Arial" w:eastAsia="Arial" w:cs="Arial"/>
          <w:b w:val="1"/>
          <w:bCs w:val="1"/>
          <w:noProof w:val="0"/>
          <w:color w:val="auto"/>
          <w:sz w:val="22"/>
          <w:szCs w:val="22"/>
          <w:lang w:val="en-GB"/>
        </w:rPr>
        <w:t>Digital Health Adoption Among Older Adults in the United Kingdom: A Scoping Review</w:t>
      </w:r>
    </w:p>
    <w:p xmlns:wp14="http://schemas.microsoft.com/office/word/2010/wordml" w:rsidP="6D0F4A22" wp14:paraId="0EC52DD8" wp14:textId="2F4E6620">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1D17A072" wp14:textId="7268125E">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279B38A9" wp14:textId="2911ECDF">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67BDDB5A" wp14:textId="26D75D7C">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02A33518" wp14:textId="6B1B15A7">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5576EB53" wp14:textId="4C2469B0">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777256DC" wp14:textId="0CCA13D3">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75A4C723" wp14:textId="7A33E76D">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38204391" wp14:textId="7D6FDF33">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7B984F34" wp14:textId="330F6227">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0CC19865" wp14:textId="33D6325E">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4447B644" wp14:textId="5DC04285">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416FEBC4" wp14:textId="72AE8B9C">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7B96564F" wp14:textId="7247CAF3">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386DD1DE" wp14:textId="0E8C70FC">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34112D52" wp14:textId="2509755D">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1642D69A" wp14:textId="1A6D6B13">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2F59206A" wp14:textId="0C2227C8">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204A62C8" wp14:textId="2876DA9F">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2DF0FB89" wp14:textId="74027841">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4FFD6E6A" wp14:textId="70D2C8B7">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25A61F93" wp14:textId="41DD69DC">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76A86ABD" wp14:textId="0DF904EE">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36DF93E9" wp14:textId="5AA11224">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3ACFF4C9" wp14:textId="25494228">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17CDD01D" wp14:textId="764258F9">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257054DB" wp14:textId="0B74E1C1">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143139DB" wp14:textId="409AB565">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4736C41E" wp14:textId="73353F53">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13B467BE" wp14:textId="1E88F4CD">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776456DA" wp14:textId="6B91CD38">
      <w:pPr>
        <w:pStyle w:val="Normal"/>
        <w:bidi w:val="0"/>
        <w:rPr>
          <w:noProof w:val="0"/>
          <w:lang w:val="en-GB"/>
        </w:rPr>
      </w:pPr>
    </w:p>
    <w:p xmlns:wp14="http://schemas.microsoft.com/office/word/2010/wordml" w:rsidP="6D0F4A22" wp14:paraId="6CE98568" wp14:textId="3A320607">
      <w:pPr>
        <w:pStyle w:val="Normal"/>
        <w:bidi w:val="0"/>
        <w:rPr>
          <w:noProof w:val="0"/>
          <w:lang w:val="en-GB"/>
        </w:rPr>
      </w:pPr>
    </w:p>
    <w:p xmlns:wp14="http://schemas.microsoft.com/office/word/2010/wordml" w:rsidP="6D0F4A22" wp14:paraId="49EE267B" wp14:textId="43D775DB">
      <w:pPr>
        <w:pStyle w:val="Heading2"/>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Introduction</w:t>
      </w:r>
      <w:r w:rsidRPr="6D0F4A22" w:rsidR="75513A24">
        <w:rPr>
          <w:rFonts w:ascii="Arial" w:hAnsi="Arial" w:eastAsia="Arial" w:cs="Arial"/>
          <w:b w:val="1"/>
          <w:bCs w:val="1"/>
          <w:noProof w:val="0"/>
          <w:color w:val="auto"/>
          <w:sz w:val="22"/>
          <w:szCs w:val="22"/>
          <w:lang w:val="en-GB"/>
        </w:rPr>
        <w:t>:</w:t>
      </w:r>
    </w:p>
    <w:p xmlns:wp14="http://schemas.microsoft.com/office/word/2010/wordml" w:rsidP="6D0F4A22" wp14:paraId="7A778314" wp14:textId="3690DEB9">
      <w:pPr>
        <w:pStyle w:val="Normal"/>
        <w:bidi w:val="0"/>
        <w:spacing w:before="30" w:beforeAutospacing="off" w:after="30" w:afterAutospacing="off"/>
        <w:rPr>
          <w:rFonts w:ascii="Arial" w:hAnsi="Arial" w:eastAsia="Arial" w:cs="Arial"/>
          <w:noProof w:val="0"/>
          <w:color w:val="auto"/>
          <w:sz w:val="22"/>
          <w:szCs w:val="22"/>
          <w:lang w:val="en-GB"/>
        </w:rPr>
      </w:pPr>
      <w:r w:rsidRPr="6D0F4A22" w:rsidR="6AFDD1E2">
        <w:rPr>
          <w:rFonts w:ascii="Arial" w:hAnsi="Arial" w:eastAsia="Arial" w:cs="Arial"/>
          <w:noProof w:val="0"/>
          <w:color w:val="auto"/>
          <w:sz w:val="22"/>
          <w:szCs w:val="22"/>
          <w:lang w:val="en-GB"/>
        </w:rPr>
        <w:t xml:space="preserve">In my research and </w:t>
      </w:r>
      <w:r w:rsidRPr="6D0F4A22" w:rsidR="6AFDD1E2">
        <w:rPr>
          <w:rFonts w:ascii="Arial" w:hAnsi="Arial" w:eastAsia="Arial" w:cs="Arial"/>
          <w:noProof w:val="0"/>
          <w:color w:val="auto"/>
          <w:sz w:val="22"/>
          <w:szCs w:val="22"/>
          <w:lang w:val="en-GB"/>
        </w:rPr>
        <w:t>analysis</w:t>
      </w:r>
      <w:r w:rsidRPr="6D0F4A22" w:rsidR="6AFDD1E2">
        <w:rPr>
          <w:rFonts w:ascii="Arial" w:hAnsi="Arial" w:eastAsia="Arial" w:cs="Arial"/>
          <w:noProof w:val="0"/>
          <w:color w:val="auto"/>
          <w:sz w:val="22"/>
          <w:szCs w:val="22"/>
          <w:lang w:val="en-GB"/>
        </w:rPr>
        <w:t xml:space="preserve"> I will explain how </w:t>
      </w:r>
      <w:r w:rsidRPr="6D0F4A22" w:rsidR="0B3B777D">
        <w:rPr>
          <w:rFonts w:ascii="Arial" w:hAnsi="Arial" w:eastAsia="Arial" w:cs="Arial"/>
          <w:noProof w:val="0"/>
          <w:color w:val="auto"/>
          <w:sz w:val="22"/>
          <w:szCs w:val="22"/>
          <w:lang w:val="en-GB"/>
        </w:rPr>
        <w:t xml:space="preserve">Digital health has become a central and rapidly expanding </w:t>
      </w:r>
      <w:r w:rsidRPr="6D0F4A22" w:rsidR="0B3B777D">
        <w:rPr>
          <w:rFonts w:ascii="Arial" w:hAnsi="Arial" w:eastAsia="Arial" w:cs="Arial"/>
          <w:noProof w:val="0"/>
          <w:color w:val="auto"/>
          <w:sz w:val="22"/>
          <w:szCs w:val="22"/>
          <w:lang w:val="en-GB"/>
        </w:rPr>
        <w:t>component</w:t>
      </w:r>
      <w:r w:rsidRPr="6D0F4A22" w:rsidR="0B3B777D">
        <w:rPr>
          <w:rFonts w:ascii="Arial" w:hAnsi="Arial" w:eastAsia="Arial" w:cs="Arial"/>
          <w:noProof w:val="0"/>
          <w:color w:val="auto"/>
          <w:sz w:val="22"/>
          <w:szCs w:val="22"/>
          <w:lang w:val="en-GB"/>
        </w:rPr>
        <w:t xml:space="preserve"> of healthcare delivery in the United Kingdom. This growth has been driven by technological innovation, increasing demand for services and national commitments to modernising the NHS. Digital health refers to the use of digital technologies</w:t>
      </w:r>
      <w:r w:rsidRPr="6D0F4A22" w:rsidR="597B16D6">
        <w:rPr>
          <w:rFonts w:ascii="Arial" w:hAnsi="Arial" w:eastAsia="Arial" w:cs="Arial"/>
          <w:noProof w:val="0"/>
          <w:color w:val="auto"/>
          <w:sz w:val="22"/>
          <w:szCs w:val="22"/>
          <w:lang w:val="en-GB"/>
        </w:rPr>
        <w:t xml:space="preserve"> which includes </w:t>
      </w:r>
      <w:r w:rsidRPr="6D0F4A22" w:rsidR="0B3B777D">
        <w:rPr>
          <w:rFonts w:ascii="Arial" w:hAnsi="Arial" w:eastAsia="Arial" w:cs="Arial"/>
          <w:noProof w:val="0"/>
          <w:color w:val="auto"/>
          <w:sz w:val="22"/>
          <w:szCs w:val="22"/>
          <w:lang w:val="en-GB"/>
        </w:rPr>
        <w:t xml:space="preserve">including telehealth, electronic health records, mobile health applications, patient </w:t>
      </w:r>
      <w:r w:rsidRPr="6D0F4A22" w:rsidR="0B3B777D">
        <w:rPr>
          <w:rFonts w:ascii="Arial" w:hAnsi="Arial" w:eastAsia="Arial" w:cs="Arial"/>
          <w:noProof w:val="0"/>
          <w:color w:val="auto"/>
          <w:sz w:val="22"/>
          <w:szCs w:val="22"/>
          <w:lang w:val="en-GB"/>
        </w:rPr>
        <w:t>portals</w:t>
      </w:r>
      <w:r w:rsidRPr="6D0F4A22" w:rsidR="0B3B777D">
        <w:rPr>
          <w:rFonts w:ascii="Arial" w:hAnsi="Arial" w:eastAsia="Arial" w:cs="Arial"/>
          <w:noProof w:val="0"/>
          <w:color w:val="auto"/>
          <w:sz w:val="22"/>
          <w:szCs w:val="22"/>
          <w:lang w:val="en-GB"/>
        </w:rPr>
        <w:t xml:space="preserve"> and remote monitoring systems</w:t>
      </w:r>
      <w:r w:rsidRPr="6D0F4A22" w:rsidR="1F1347BA">
        <w:rPr>
          <w:rFonts w:ascii="Arial" w:hAnsi="Arial" w:eastAsia="Arial" w:cs="Arial"/>
          <w:noProof w:val="0"/>
          <w:color w:val="auto"/>
          <w:sz w:val="22"/>
          <w:szCs w:val="22"/>
          <w:lang w:val="en-GB"/>
        </w:rPr>
        <w:t>. This helps with</w:t>
      </w:r>
      <w:r w:rsidRPr="6D0F4A22" w:rsidR="0B3B777D">
        <w:rPr>
          <w:rFonts w:ascii="Arial" w:hAnsi="Arial" w:eastAsia="Arial" w:cs="Arial"/>
          <w:noProof w:val="0"/>
          <w:color w:val="auto"/>
          <w:sz w:val="22"/>
          <w:szCs w:val="22"/>
          <w:lang w:val="en-GB"/>
        </w:rPr>
        <w:t xml:space="preserve"> support the delivery, </w:t>
      </w:r>
      <w:r w:rsidRPr="6D0F4A22" w:rsidR="0B3B777D">
        <w:rPr>
          <w:rFonts w:ascii="Arial" w:hAnsi="Arial" w:eastAsia="Arial" w:cs="Arial"/>
          <w:noProof w:val="0"/>
          <w:color w:val="auto"/>
          <w:sz w:val="22"/>
          <w:szCs w:val="22"/>
          <w:lang w:val="en-GB"/>
        </w:rPr>
        <w:t>coordination</w:t>
      </w:r>
      <w:r w:rsidRPr="6D0F4A22" w:rsidR="0CD75792">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 xml:space="preserve">and monitoring of healthcare (NHS England, 2023). These technologies are now embedded across many areas of UK health and social care, with the aim of improving access, enhancing efficiency, supporting patient </w:t>
      </w:r>
      <w:r w:rsidRPr="6D0F4A22" w:rsidR="0B3B777D">
        <w:rPr>
          <w:rFonts w:ascii="Arial" w:hAnsi="Arial" w:eastAsia="Arial" w:cs="Arial"/>
          <w:noProof w:val="0"/>
          <w:color w:val="auto"/>
          <w:sz w:val="22"/>
          <w:szCs w:val="22"/>
          <w:lang w:val="en-GB"/>
        </w:rPr>
        <w:t>autonomy</w:t>
      </w:r>
      <w:r w:rsidRPr="6D0F4A22" w:rsidR="0B3B777D">
        <w:rPr>
          <w:rFonts w:ascii="Arial" w:hAnsi="Arial" w:eastAsia="Arial" w:cs="Arial"/>
          <w:noProof w:val="0"/>
          <w:color w:val="auto"/>
          <w:sz w:val="22"/>
          <w:szCs w:val="22"/>
          <w:lang w:val="en-GB"/>
        </w:rPr>
        <w:t xml:space="preserve"> and raising the overall quality of care.</w:t>
      </w:r>
      <w:r w:rsidRPr="6D0F4A22" w:rsidR="22BAD667">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 xml:space="preserve">The UK’s healthcare system is also shaped by significant demographic change. The population is ageing and older adults </w:t>
      </w:r>
      <w:r w:rsidRPr="6D0F4A22" w:rsidR="0B3B777D">
        <w:rPr>
          <w:rFonts w:ascii="Arial" w:hAnsi="Arial" w:eastAsia="Arial" w:cs="Arial"/>
          <w:noProof w:val="0"/>
          <w:color w:val="auto"/>
          <w:sz w:val="22"/>
          <w:szCs w:val="22"/>
          <w:lang w:val="en-GB"/>
        </w:rPr>
        <w:t>represent</w:t>
      </w:r>
      <w:r w:rsidRPr="6D0F4A22" w:rsidR="0B3B777D">
        <w:rPr>
          <w:rFonts w:ascii="Arial" w:hAnsi="Arial" w:eastAsia="Arial" w:cs="Arial"/>
          <w:noProof w:val="0"/>
          <w:color w:val="auto"/>
          <w:sz w:val="22"/>
          <w:szCs w:val="22"/>
          <w:lang w:val="en-GB"/>
        </w:rPr>
        <w:t xml:space="preserve"> one of the largest groups accessing health </w:t>
      </w:r>
      <w:r w:rsidRPr="6D0F4A22" w:rsidR="46738F21">
        <w:rPr>
          <w:rFonts w:ascii="Arial" w:hAnsi="Arial" w:eastAsia="Arial" w:cs="Arial"/>
          <w:noProof w:val="0"/>
          <w:color w:val="auto"/>
          <w:sz w:val="22"/>
          <w:szCs w:val="22"/>
          <w:lang w:val="en-GB"/>
        </w:rPr>
        <w:t>&amp;</w:t>
      </w:r>
      <w:r w:rsidRPr="6D0F4A22" w:rsidR="0B3B777D">
        <w:rPr>
          <w:rFonts w:ascii="Arial" w:hAnsi="Arial" w:eastAsia="Arial" w:cs="Arial"/>
          <w:noProof w:val="0"/>
          <w:color w:val="auto"/>
          <w:sz w:val="22"/>
          <w:szCs w:val="22"/>
          <w:lang w:val="en-GB"/>
        </w:rPr>
        <w:t xml:space="preserve"> social care services. </w:t>
      </w:r>
      <w:r w:rsidRPr="6D0F4A22" w:rsidR="301C0CB9">
        <w:rPr>
          <w:rFonts w:ascii="Arial" w:hAnsi="Arial" w:eastAsia="Arial" w:cs="Arial"/>
          <w:noProof w:val="0"/>
          <w:sz w:val="22"/>
          <w:szCs w:val="22"/>
          <w:lang w:val="en-GB"/>
        </w:rPr>
        <w:t xml:space="preserve">Many older adults have long‑term health problems and </w:t>
      </w:r>
      <w:bookmarkStart w:name="_Int_jGITUCmb" w:id="643599238"/>
      <w:r w:rsidRPr="6D0F4A22" w:rsidR="301C0CB9">
        <w:rPr>
          <w:rFonts w:ascii="Arial" w:hAnsi="Arial" w:eastAsia="Arial" w:cs="Arial"/>
          <w:noProof w:val="0"/>
          <w:sz w:val="22"/>
          <w:szCs w:val="22"/>
          <w:lang w:val="en-GB"/>
        </w:rPr>
        <w:t>limitations</w:t>
      </w:r>
      <w:bookmarkEnd w:id="643599238"/>
      <w:r w:rsidRPr="6D0F4A22" w:rsidR="301C0CB9">
        <w:rPr>
          <w:rFonts w:ascii="Arial" w:hAnsi="Arial" w:eastAsia="Arial" w:cs="Arial"/>
          <w:noProof w:val="0"/>
          <w:sz w:val="22"/>
          <w:szCs w:val="22"/>
          <w:lang w:val="en-GB"/>
        </w:rPr>
        <w:t xml:space="preserve"> so they need regular support. As healthcare becomes more digital it is important that they can access and use digital health tools well</w:t>
      </w:r>
      <w:r w:rsidRPr="6D0F4A22" w:rsidR="0B3B777D">
        <w:rPr>
          <w:rFonts w:ascii="Arial" w:hAnsi="Arial" w:eastAsia="Arial" w:cs="Arial"/>
          <w:noProof w:val="0"/>
          <w:color w:val="auto"/>
          <w:sz w:val="22"/>
          <w:szCs w:val="22"/>
          <w:lang w:val="en-GB"/>
        </w:rPr>
        <w:t xml:space="preserve">. Digital health adoption refers to an individual’s willingness, </w:t>
      </w:r>
      <w:r w:rsidRPr="6D0F4A22" w:rsidR="0B3B777D">
        <w:rPr>
          <w:rFonts w:ascii="Arial" w:hAnsi="Arial" w:eastAsia="Arial" w:cs="Arial"/>
          <w:noProof w:val="0"/>
          <w:color w:val="auto"/>
          <w:sz w:val="22"/>
          <w:szCs w:val="22"/>
          <w:lang w:val="en-GB"/>
        </w:rPr>
        <w:t>capacity</w:t>
      </w:r>
      <w:r w:rsidRPr="6D0F4A22" w:rsidR="7327AD6C">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and confidence to use digital technologies for healthcare purposes</w:t>
      </w:r>
      <w:r w:rsidRPr="6D0F4A22" w:rsidR="62EC085A">
        <w:rPr>
          <w:rFonts w:ascii="Arial" w:hAnsi="Arial" w:eastAsia="Arial" w:cs="Arial"/>
          <w:noProof w:val="0"/>
          <w:color w:val="auto"/>
          <w:sz w:val="22"/>
          <w:szCs w:val="22"/>
          <w:lang w:val="en-GB"/>
        </w:rPr>
        <w:t>. This can include</w:t>
      </w:r>
      <w:r w:rsidRPr="6D0F4A22" w:rsidR="0B3B777D">
        <w:rPr>
          <w:rFonts w:ascii="Arial" w:hAnsi="Arial" w:eastAsia="Arial" w:cs="Arial"/>
          <w:noProof w:val="0"/>
          <w:color w:val="auto"/>
          <w:sz w:val="22"/>
          <w:szCs w:val="22"/>
          <w:lang w:val="en-GB"/>
        </w:rPr>
        <w:t xml:space="preserve"> booking appointments, accessing medical </w:t>
      </w:r>
      <w:r w:rsidRPr="6D0F4A22" w:rsidR="0B3B777D">
        <w:rPr>
          <w:rFonts w:ascii="Arial" w:hAnsi="Arial" w:eastAsia="Arial" w:cs="Arial"/>
          <w:noProof w:val="0"/>
          <w:color w:val="auto"/>
          <w:sz w:val="22"/>
          <w:szCs w:val="22"/>
          <w:lang w:val="en-GB"/>
        </w:rPr>
        <w:t>records</w:t>
      </w:r>
      <w:r w:rsidRPr="6D0F4A22" w:rsidR="55FA49F4">
        <w:rPr>
          <w:rFonts w:ascii="Arial" w:hAnsi="Arial" w:eastAsia="Arial" w:cs="Arial"/>
          <w:noProof w:val="0"/>
          <w:color w:val="auto"/>
          <w:sz w:val="22"/>
          <w:szCs w:val="22"/>
          <w:lang w:val="en-GB"/>
        </w:rPr>
        <w:t xml:space="preserve"> and</w:t>
      </w:r>
      <w:r w:rsidRPr="6D0F4A22" w:rsidR="0B3B777D">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participating</w:t>
      </w:r>
      <w:r w:rsidRPr="6D0F4A22" w:rsidR="0B3B777D">
        <w:rPr>
          <w:rFonts w:ascii="Arial" w:hAnsi="Arial" w:eastAsia="Arial" w:cs="Arial"/>
          <w:noProof w:val="0"/>
          <w:color w:val="auto"/>
          <w:sz w:val="22"/>
          <w:szCs w:val="22"/>
          <w:lang w:val="en-GB"/>
        </w:rPr>
        <w:t xml:space="preserve"> in remote consultations.</w:t>
      </w:r>
      <w:r w:rsidRPr="6D0F4A22" w:rsidR="269E8324">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Although digital health offers many potential benefits for older adults</w:t>
      </w:r>
      <w:r w:rsidRPr="6D0F4A22" w:rsidR="3420E9DD">
        <w:rPr>
          <w:rFonts w:ascii="Arial" w:hAnsi="Arial" w:eastAsia="Arial" w:cs="Arial"/>
          <w:noProof w:val="0"/>
          <w:color w:val="auto"/>
          <w:sz w:val="22"/>
          <w:szCs w:val="22"/>
          <w:lang w:val="en-GB"/>
        </w:rPr>
        <w:t xml:space="preserve"> which includes</w:t>
      </w:r>
      <w:r w:rsidRPr="6D0F4A22" w:rsidR="0B3B777D">
        <w:rPr>
          <w:rFonts w:ascii="Arial" w:hAnsi="Arial" w:eastAsia="Arial" w:cs="Arial"/>
          <w:noProof w:val="0"/>
          <w:color w:val="auto"/>
          <w:sz w:val="22"/>
          <w:szCs w:val="22"/>
          <w:lang w:val="en-GB"/>
        </w:rPr>
        <w:t xml:space="preserve"> improved access to care, reduced travel, enhanced self‑</w:t>
      </w:r>
      <w:r w:rsidRPr="6D0F4A22" w:rsidR="0B3B777D">
        <w:rPr>
          <w:rFonts w:ascii="Arial" w:hAnsi="Arial" w:eastAsia="Arial" w:cs="Arial"/>
          <w:noProof w:val="0"/>
          <w:color w:val="auto"/>
          <w:sz w:val="22"/>
          <w:szCs w:val="22"/>
          <w:lang w:val="en-GB"/>
        </w:rPr>
        <w:t>management</w:t>
      </w:r>
      <w:r w:rsidRPr="6D0F4A22" w:rsidR="7FF67B51">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and earlier detection of health issues</w:t>
      </w:r>
      <w:r w:rsidRPr="6D0F4A22" w:rsidR="22FF130C">
        <w:rPr>
          <w:rFonts w:ascii="Arial" w:hAnsi="Arial" w:eastAsia="Arial" w:cs="Arial"/>
          <w:noProof w:val="0"/>
          <w:color w:val="auto"/>
          <w:sz w:val="22"/>
          <w:szCs w:val="22"/>
          <w:lang w:val="en-GB"/>
        </w:rPr>
        <w:t>. Research also shows there are issues facing</w:t>
      </w:r>
      <w:r w:rsidRPr="6D0F4A22" w:rsidR="0B3B777D">
        <w:rPr>
          <w:rFonts w:ascii="Arial" w:hAnsi="Arial" w:eastAsia="Arial" w:cs="Arial"/>
          <w:noProof w:val="0"/>
          <w:color w:val="auto"/>
          <w:sz w:val="22"/>
          <w:szCs w:val="22"/>
          <w:lang w:val="en-GB"/>
        </w:rPr>
        <w:t xml:space="preserve"> older adults. The</w:t>
      </w:r>
      <w:r w:rsidRPr="6D0F4A22" w:rsidR="51A438C0">
        <w:rPr>
          <w:rFonts w:ascii="Arial" w:hAnsi="Arial" w:eastAsia="Arial" w:cs="Arial"/>
          <w:noProof w:val="0"/>
          <w:color w:val="auto"/>
          <w:sz w:val="22"/>
          <w:szCs w:val="22"/>
          <w:lang w:val="en-GB"/>
        </w:rPr>
        <w:t>y</w:t>
      </w:r>
      <w:r w:rsidRPr="6D0F4A22" w:rsidR="0B3B777D">
        <w:rPr>
          <w:rFonts w:ascii="Arial" w:hAnsi="Arial" w:eastAsia="Arial" w:cs="Arial"/>
          <w:noProof w:val="0"/>
          <w:color w:val="auto"/>
          <w:sz w:val="22"/>
          <w:szCs w:val="22"/>
          <w:lang w:val="en-GB"/>
        </w:rPr>
        <w:t xml:space="preserve"> include limited digital literacy, physical</w:t>
      </w:r>
      <w:r w:rsidRPr="6D0F4A22" w:rsidR="4A38A4D0">
        <w:rPr>
          <w:rFonts w:ascii="Arial" w:hAnsi="Arial" w:eastAsia="Arial" w:cs="Arial"/>
          <w:noProof w:val="0"/>
          <w:color w:val="auto"/>
          <w:sz w:val="22"/>
          <w:szCs w:val="22"/>
          <w:lang w:val="en-GB"/>
        </w:rPr>
        <w:t xml:space="preserve"> or</w:t>
      </w:r>
      <w:r w:rsidRPr="6D0F4A22" w:rsidR="0B3B777D">
        <w:rPr>
          <w:rFonts w:ascii="Arial" w:hAnsi="Arial" w:eastAsia="Arial" w:cs="Arial"/>
          <w:noProof w:val="0"/>
          <w:color w:val="auto"/>
          <w:sz w:val="22"/>
          <w:szCs w:val="22"/>
          <w:lang w:val="en-GB"/>
        </w:rPr>
        <w:t xml:space="preserve"> cognitive challenges, concerns about privacy</w:t>
      </w:r>
      <w:r w:rsidRPr="6D0F4A22" w:rsidR="05ACABE8">
        <w:rPr>
          <w:rFonts w:ascii="Arial" w:hAnsi="Arial" w:eastAsia="Arial" w:cs="Arial"/>
          <w:noProof w:val="0"/>
          <w:color w:val="auto"/>
          <w:sz w:val="22"/>
          <w:szCs w:val="22"/>
          <w:lang w:val="en-GB"/>
        </w:rPr>
        <w:t xml:space="preserve"> </w:t>
      </w:r>
      <w:r w:rsidRPr="6D0F4A22" w:rsidR="60DB3DBF">
        <w:rPr>
          <w:rFonts w:ascii="Arial" w:hAnsi="Arial" w:eastAsia="Arial" w:cs="Arial"/>
          <w:noProof w:val="0"/>
          <w:color w:val="auto"/>
          <w:sz w:val="22"/>
          <w:szCs w:val="22"/>
          <w:lang w:val="en-GB"/>
        </w:rPr>
        <w:t>and</w:t>
      </w:r>
      <w:r w:rsidRPr="6D0F4A22" w:rsidR="0B3B777D">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security</w:t>
      </w:r>
      <w:r w:rsidRPr="6D0F4A22" w:rsidR="0B3B777D">
        <w:rPr>
          <w:rFonts w:ascii="Arial" w:hAnsi="Arial" w:eastAsia="Arial" w:cs="Arial"/>
          <w:noProof w:val="0"/>
          <w:color w:val="auto"/>
          <w:sz w:val="22"/>
          <w:szCs w:val="22"/>
          <w:lang w:val="en-GB"/>
        </w:rPr>
        <w:t xml:space="preserve"> (Age UK, 2022; Seifert, Cotten &amp; Xie, 2020). As digital‑first models expand</w:t>
      </w:r>
      <w:r w:rsidRPr="6D0F4A22" w:rsidR="5A52D769">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these</w:t>
      </w:r>
      <w:r w:rsidRPr="6D0F4A22" w:rsidR="4E4D5146">
        <w:rPr>
          <w:rFonts w:ascii="Arial" w:hAnsi="Arial" w:eastAsia="Arial" w:cs="Arial"/>
          <w:noProof w:val="0"/>
          <w:color w:val="auto"/>
          <w:sz w:val="22"/>
          <w:szCs w:val="22"/>
          <w:lang w:val="en-GB"/>
        </w:rPr>
        <w:t xml:space="preserve"> issues</w:t>
      </w:r>
      <w:r w:rsidRPr="6D0F4A22" w:rsidR="0B3B777D">
        <w:rPr>
          <w:rFonts w:ascii="Arial" w:hAnsi="Arial" w:eastAsia="Arial" w:cs="Arial"/>
          <w:noProof w:val="0"/>
          <w:color w:val="auto"/>
          <w:sz w:val="22"/>
          <w:szCs w:val="22"/>
          <w:lang w:val="en-GB"/>
        </w:rPr>
        <w:t xml:space="preserve"> risk widening health inequalities and excluding older adults from essential services.</w:t>
      </w:r>
      <w:r w:rsidRPr="6D0F4A22" w:rsidR="3380081F">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 xml:space="preserve">Digital exclusion among older adults is particularly significant in the UK context. National strategies such as the NHS Long Term Plan emphasise digital‑first primary care, remote monitoring for long‑term conditions and expanded use of online communication platforms. While these developments aim to enhance patient convenience and reduce pressure on </w:t>
      </w:r>
      <w:bookmarkStart w:name="_Int_e5Ng88K2" w:id="1954038855"/>
      <w:r w:rsidRPr="6D0F4A22" w:rsidR="0B3B777D">
        <w:rPr>
          <w:rFonts w:ascii="Arial" w:hAnsi="Arial" w:eastAsia="Arial" w:cs="Arial"/>
          <w:noProof w:val="0"/>
          <w:color w:val="auto"/>
          <w:sz w:val="22"/>
          <w:szCs w:val="22"/>
          <w:lang w:val="en-GB"/>
        </w:rPr>
        <w:t>services</w:t>
      </w:r>
      <w:bookmarkEnd w:id="1954038855"/>
      <w:r w:rsidRPr="6D0F4A22" w:rsidR="43AA5571">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 xml:space="preserve">they also risk marginalising individuals who lack the skills, </w:t>
      </w:r>
      <w:r w:rsidRPr="6D0F4A22" w:rsidR="0B3B777D">
        <w:rPr>
          <w:rFonts w:ascii="Arial" w:hAnsi="Arial" w:eastAsia="Arial" w:cs="Arial"/>
          <w:noProof w:val="0"/>
          <w:color w:val="auto"/>
          <w:sz w:val="22"/>
          <w:szCs w:val="22"/>
          <w:lang w:val="en-GB"/>
        </w:rPr>
        <w:t>resources</w:t>
      </w:r>
      <w:r w:rsidRPr="6D0F4A22" w:rsidR="0B3B777D">
        <w:rPr>
          <w:rFonts w:ascii="Arial" w:hAnsi="Arial" w:eastAsia="Arial" w:cs="Arial"/>
          <w:noProof w:val="0"/>
          <w:color w:val="auto"/>
          <w:sz w:val="22"/>
          <w:szCs w:val="22"/>
          <w:lang w:val="en-GB"/>
        </w:rPr>
        <w:t xml:space="preserve"> or confidence to engage with digital tools. Older adults are disproportionately affected by digital exclusion due to lower exposure to technology, age‑related physical limitations and concerns about privacy and security (ONS, 2022).</w:t>
      </w:r>
      <w:r w:rsidRPr="6D0F4A22" w:rsidR="3588005C">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 xml:space="preserve">Understanding the barriers that older adults face is essential for ensuring that digital health technologies do not unintentionally reinforce existing inequalities. A scoping review is </w:t>
      </w:r>
      <w:r w:rsidRPr="6D0F4A22" w:rsidR="0B3B777D">
        <w:rPr>
          <w:rFonts w:ascii="Arial" w:hAnsi="Arial" w:eastAsia="Arial" w:cs="Arial"/>
          <w:noProof w:val="0"/>
          <w:color w:val="auto"/>
          <w:sz w:val="22"/>
          <w:szCs w:val="22"/>
          <w:lang w:val="en-GB"/>
        </w:rPr>
        <w:t>an appropriate method</w:t>
      </w:r>
      <w:r w:rsidRPr="6D0F4A22" w:rsidR="0B3B777D">
        <w:rPr>
          <w:rFonts w:ascii="Arial" w:hAnsi="Arial" w:eastAsia="Arial" w:cs="Arial"/>
          <w:noProof w:val="0"/>
          <w:color w:val="auto"/>
          <w:sz w:val="22"/>
          <w:szCs w:val="22"/>
          <w:lang w:val="en-GB"/>
        </w:rPr>
        <w:t xml:space="preserve"> for exploring this topic because it allows for a broad examination of the available literature, </w:t>
      </w:r>
      <w:r w:rsidRPr="6D0F4A22" w:rsidR="0B3B777D">
        <w:rPr>
          <w:rFonts w:ascii="Arial" w:hAnsi="Arial" w:eastAsia="Arial" w:cs="Arial"/>
          <w:noProof w:val="0"/>
          <w:color w:val="auto"/>
          <w:sz w:val="22"/>
          <w:szCs w:val="22"/>
          <w:lang w:val="en-GB"/>
        </w:rPr>
        <w:t>identifies</w:t>
      </w:r>
      <w:r w:rsidRPr="6D0F4A22" w:rsidR="0B3B777D">
        <w:rPr>
          <w:rFonts w:ascii="Arial" w:hAnsi="Arial" w:eastAsia="Arial" w:cs="Arial"/>
          <w:noProof w:val="0"/>
          <w:color w:val="auto"/>
          <w:sz w:val="22"/>
          <w:szCs w:val="22"/>
          <w:lang w:val="en-GB"/>
        </w:rPr>
        <w:t xml:space="preserve"> key themes</w:t>
      </w:r>
      <w:r w:rsidRPr="6D0F4A22" w:rsidR="0B3B777D">
        <w:rPr>
          <w:rFonts w:ascii="Arial" w:hAnsi="Arial" w:eastAsia="Arial" w:cs="Arial"/>
          <w:noProof w:val="0"/>
          <w:color w:val="auto"/>
          <w:sz w:val="22"/>
          <w:szCs w:val="22"/>
          <w:lang w:val="en-GB"/>
        </w:rPr>
        <w:t xml:space="preserve"> and highlights gaps in current knowledge (Arksey &amp; O’Malley, 2005). This approach supports the development of recommendations for policy, practice, and future research.</w:t>
      </w:r>
    </w:p>
    <w:p xmlns:wp14="http://schemas.microsoft.com/office/word/2010/wordml" w:rsidP="6D0F4A22" wp14:paraId="29D756DF" wp14:textId="11620218">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3403CB84" wp14:textId="53A81AA7">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06C2276F" wp14:textId="11105F8A">
      <w:pPr>
        <w:pStyle w:val="Normal"/>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2C50EAA3" wp14:textId="209725B8">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620068AC" wp14:textId="7DEE6A7D">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4A836E1D" wp14:textId="6E5F4877">
      <w:pPr>
        <w:pStyle w:val="Normal"/>
        <w:bidi w:val="0"/>
        <w:rPr>
          <w:noProof w:val="0"/>
          <w:lang w:val="en-GB"/>
        </w:rPr>
      </w:pPr>
    </w:p>
    <w:p xmlns:wp14="http://schemas.microsoft.com/office/word/2010/wordml" w:rsidP="6D0F4A22" wp14:paraId="5E926779" wp14:textId="257E1BD2">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4A1D5D29" wp14:textId="75B03743">
      <w:pPr>
        <w:pStyle w:val="Heading2"/>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Review Question</w:t>
      </w:r>
      <w:r w:rsidRPr="6D0F4A22" w:rsidR="09E2B290">
        <w:rPr>
          <w:rFonts w:ascii="Arial" w:hAnsi="Arial" w:eastAsia="Arial" w:cs="Arial"/>
          <w:b w:val="1"/>
          <w:bCs w:val="1"/>
          <w:noProof w:val="0"/>
          <w:color w:val="auto"/>
          <w:sz w:val="22"/>
          <w:szCs w:val="22"/>
          <w:lang w:val="en-GB"/>
        </w:rPr>
        <w:t>:</w:t>
      </w:r>
    </w:p>
    <w:p xmlns:wp14="http://schemas.microsoft.com/office/word/2010/wordml" w:rsidP="6D0F4A22" wp14:paraId="1148A370" wp14:textId="5F8F9C64">
      <w:pPr>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What are the major barriers that influence the adoption of digital health among older adults in the United Kingdom?</w:t>
      </w:r>
    </w:p>
    <w:p xmlns:wp14="http://schemas.microsoft.com/office/word/2010/wordml" w:rsidP="6D0F4A22" wp14:paraId="37C80772" wp14:textId="21381EB5">
      <w:pPr>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5CDBA0A7" wp14:textId="4F5E1C61">
      <w:pPr>
        <w:pStyle w:val="Heading2"/>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Objectives</w:t>
      </w:r>
      <w:r w:rsidRPr="6D0F4A22" w:rsidR="1857DD97">
        <w:rPr>
          <w:rFonts w:ascii="Arial" w:hAnsi="Arial" w:eastAsia="Arial" w:cs="Arial"/>
          <w:b w:val="1"/>
          <w:bCs w:val="1"/>
          <w:noProof w:val="0"/>
          <w:color w:val="auto"/>
          <w:sz w:val="22"/>
          <w:szCs w:val="22"/>
          <w:lang w:val="en-GB"/>
        </w:rPr>
        <w:t>: -</w:t>
      </w:r>
    </w:p>
    <w:p xmlns:wp14="http://schemas.microsoft.com/office/word/2010/wordml" w:rsidP="6D0F4A22" wp14:paraId="4B2B74E0" wp14:textId="3EB8EDF5">
      <w:pPr>
        <w:pStyle w:val="Normal"/>
        <w:bidi w:val="0"/>
        <w:rPr>
          <w:noProof w:val="0"/>
          <w:lang w:val="en-GB"/>
        </w:rPr>
      </w:pPr>
    </w:p>
    <w:p xmlns:wp14="http://schemas.microsoft.com/office/word/2010/wordml" w:rsidP="6D0F4A22" wp14:paraId="6B24DFF4" wp14:textId="06D3B675">
      <w:pPr>
        <w:pStyle w:val="ListParagraph"/>
        <w:numPr>
          <w:ilvl w:val="0"/>
          <w:numId w:val="16"/>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To </w:t>
      </w:r>
      <w:r w:rsidRPr="6D0F4A22" w:rsidR="0B3B777D">
        <w:rPr>
          <w:rFonts w:ascii="Arial" w:hAnsi="Arial" w:eastAsia="Arial" w:cs="Arial"/>
          <w:noProof w:val="0"/>
          <w:color w:val="auto"/>
          <w:sz w:val="22"/>
          <w:szCs w:val="22"/>
          <w:lang w:val="en-GB"/>
        </w:rPr>
        <w:t>identify</w:t>
      </w:r>
      <w:r w:rsidRPr="6D0F4A22" w:rsidR="0B3B777D">
        <w:rPr>
          <w:rFonts w:ascii="Arial" w:hAnsi="Arial" w:eastAsia="Arial" w:cs="Arial"/>
          <w:noProof w:val="0"/>
          <w:color w:val="auto"/>
          <w:sz w:val="22"/>
          <w:szCs w:val="22"/>
          <w:lang w:val="en-GB"/>
        </w:rPr>
        <w:t xml:space="preserve"> peer‑reviewed research studies examining digital health adoption among older adults in the UK.</w:t>
      </w:r>
    </w:p>
    <w:p xmlns:wp14="http://schemas.microsoft.com/office/word/2010/wordml" w:rsidP="6D0F4A22" wp14:paraId="54294638" wp14:textId="52D24D55">
      <w:pPr>
        <w:pStyle w:val="ListParagraph"/>
        <w:bidi w:val="0"/>
        <w:spacing w:before="30" w:beforeAutospacing="off" w:after="30" w:afterAutospacing="off"/>
        <w:ind w:left="1800"/>
        <w:rPr>
          <w:rFonts w:ascii="Arial" w:hAnsi="Arial" w:eastAsia="Arial" w:cs="Arial"/>
          <w:noProof w:val="0"/>
          <w:color w:val="auto"/>
          <w:sz w:val="22"/>
          <w:szCs w:val="22"/>
          <w:lang w:val="en-GB"/>
        </w:rPr>
      </w:pPr>
    </w:p>
    <w:p xmlns:wp14="http://schemas.microsoft.com/office/word/2010/wordml" w:rsidP="6D0F4A22" wp14:paraId="61962055" wp14:textId="4B98A8CE">
      <w:pPr>
        <w:pStyle w:val="ListParagraph"/>
        <w:numPr>
          <w:ilvl w:val="0"/>
          <w:numId w:val="16"/>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To examine the major barriers influencing digital health adoption in this population.</w:t>
      </w:r>
    </w:p>
    <w:p xmlns:wp14="http://schemas.microsoft.com/office/word/2010/wordml" w:rsidP="6D0F4A22" wp14:paraId="5B8CCA91" wp14:textId="110E44F6">
      <w:pPr>
        <w:pStyle w:val="ListParagraph"/>
        <w:bidi w:val="0"/>
        <w:spacing w:before="30" w:beforeAutospacing="off" w:after="30" w:afterAutospacing="off"/>
        <w:ind w:left="1800"/>
        <w:rPr>
          <w:rFonts w:ascii="Arial" w:hAnsi="Arial" w:eastAsia="Arial" w:cs="Arial"/>
          <w:noProof w:val="0"/>
          <w:color w:val="auto"/>
          <w:sz w:val="22"/>
          <w:szCs w:val="22"/>
          <w:lang w:val="en-GB"/>
        </w:rPr>
      </w:pPr>
    </w:p>
    <w:p xmlns:wp14="http://schemas.microsoft.com/office/word/2010/wordml" w:rsidP="6D0F4A22" wp14:paraId="0DC0AB57" wp14:textId="4ADE4D70">
      <w:pPr>
        <w:pStyle w:val="ListParagraph"/>
        <w:numPr>
          <w:ilvl w:val="0"/>
          <w:numId w:val="16"/>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To analyse themes </w:t>
      </w:r>
      <w:r w:rsidRPr="6D0F4A22" w:rsidR="0B3B777D">
        <w:rPr>
          <w:rFonts w:ascii="Arial" w:hAnsi="Arial" w:eastAsia="Arial" w:cs="Arial"/>
          <w:noProof w:val="0"/>
          <w:color w:val="auto"/>
          <w:sz w:val="22"/>
          <w:szCs w:val="22"/>
          <w:lang w:val="en-GB"/>
        </w:rPr>
        <w:t>emerging</w:t>
      </w:r>
      <w:r w:rsidRPr="6D0F4A22" w:rsidR="0B3B777D">
        <w:rPr>
          <w:rFonts w:ascii="Arial" w:hAnsi="Arial" w:eastAsia="Arial" w:cs="Arial"/>
          <w:noProof w:val="0"/>
          <w:color w:val="auto"/>
          <w:sz w:val="22"/>
          <w:szCs w:val="22"/>
          <w:lang w:val="en-GB"/>
        </w:rPr>
        <w:t xml:space="preserve"> from the selected studies using thematic analysis.</w:t>
      </w:r>
    </w:p>
    <w:p xmlns:wp14="http://schemas.microsoft.com/office/word/2010/wordml" w:rsidP="6D0F4A22" wp14:paraId="0CD5F5E0" wp14:textId="3D710074">
      <w:pPr>
        <w:pStyle w:val="ListParagraph"/>
        <w:bidi w:val="0"/>
        <w:spacing w:before="30" w:beforeAutospacing="off" w:after="30" w:afterAutospacing="off"/>
        <w:ind w:left="720"/>
        <w:rPr>
          <w:rFonts w:ascii="Arial" w:hAnsi="Arial" w:eastAsia="Arial" w:cs="Arial"/>
          <w:noProof w:val="0"/>
          <w:color w:val="auto"/>
          <w:sz w:val="22"/>
          <w:szCs w:val="22"/>
          <w:lang w:val="en-GB"/>
        </w:rPr>
      </w:pPr>
    </w:p>
    <w:p xmlns:wp14="http://schemas.microsoft.com/office/word/2010/wordml" w:rsidP="6D0F4A22" wp14:paraId="79BF1952" wp14:textId="049DAC6F">
      <w:pPr>
        <w:pStyle w:val="Heading2"/>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Background</w:t>
      </w:r>
      <w:r w:rsidRPr="6D0F4A22" w:rsidR="6F9EFC54">
        <w:rPr>
          <w:rFonts w:ascii="Arial" w:hAnsi="Arial" w:eastAsia="Arial" w:cs="Arial"/>
          <w:b w:val="1"/>
          <w:bCs w:val="1"/>
          <w:noProof w:val="0"/>
          <w:color w:val="auto"/>
          <w:sz w:val="22"/>
          <w:szCs w:val="22"/>
          <w:lang w:val="en-GB"/>
        </w:rPr>
        <w:t>:</w:t>
      </w:r>
    </w:p>
    <w:p xmlns:wp14="http://schemas.microsoft.com/office/word/2010/wordml" w:rsidP="6D0F4A22" wp14:paraId="62940F11" wp14:textId="23B224C5">
      <w:pPr>
        <w:pStyle w:val="Normal"/>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Digital health has become a central focus of healthcare transformation in the United Kingdom, supported by national strategies aimed at modernising services, improving efficiency</w:t>
      </w:r>
      <w:r w:rsidRPr="6D0F4A22" w:rsidR="0B3B777D">
        <w:rPr>
          <w:rFonts w:ascii="Arial" w:hAnsi="Arial" w:eastAsia="Arial" w:cs="Arial"/>
          <w:noProof w:val="0"/>
          <w:color w:val="auto"/>
          <w:sz w:val="22"/>
          <w:szCs w:val="22"/>
          <w:lang w:val="en-GB"/>
        </w:rPr>
        <w:t xml:space="preserve"> and expanding access. The NHS Long Term Plan emphasises the importance of digital‑first primary care, remote </w:t>
      </w:r>
      <w:r w:rsidRPr="6D0F4A22" w:rsidR="0B3B777D">
        <w:rPr>
          <w:rFonts w:ascii="Arial" w:hAnsi="Arial" w:eastAsia="Arial" w:cs="Arial"/>
          <w:noProof w:val="0"/>
          <w:color w:val="auto"/>
          <w:sz w:val="22"/>
          <w:szCs w:val="22"/>
          <w:lang w:val="en-GB"/>
        </w:rPr>
        <w:t>monitoring</w:t>
      </w:r>
      <w:r w:rsidRPr="6D0F4A22" w:rsidR="0B3B777D">
        <w:rPr>
          <w:rFonts w:ascii="Arial" w:hAnsi="Arial" w:eastAsia="Arial" w:cs="Arial"/>
          <w:noProof w:val="0"/>
          <w:color w:val="auto"/>
          <w:sz w:val="22"/>
          <w:szCs w:val="22"/>
          <w:lang w:val="en-GB"/>
        </w:rPr>
        <w:t xml:space="preserve"> and online communication systems as key components of future service delivery (NHS England, 2023). These developments are intended to reduce pressure on overstretched services, improve patient convenience and support individuals in managing long‑term conditions.</w:t>
      </w:r>
      <w:r w:rsidRPr="6D0F4A22" w:rsidR="435B9BE6">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 xml:space="preserve">The shift toward digital healthcare has been accelerated by the COVID‑19 pandemic, which led to a rapid expansion of remote consultations and online services. Many GP practices adopted video and telephone consultations as standard practice and digital triage systems became more widely used. While these changes increased accessibility for many </w:t>
      </w:r>
      <w:bookmarkStart w:name="_Int_V3VhI4CL" w:id="23082020"/>
      <w:r w:rsidRPr="6D0F4A22" w:rsidR="0B3B777D">
        <w:rPr>
          <w:rFonts w:ascii="Arial" w:hAnsi="Arial" w:eastAsia="Arial" w:cs="Arial"/>
          <w:noProof w:val="0"/>
          <w:color w:val="auto"/>
          <w:sz w:val="22"/>
          <w:szCs w:val="22"/>
          <w:lang w:val="en-GB"/>
        </w:rPr>
        <w:t>patients</w:t>
      </w:r>
      <w:bookmarkEnd w:id="23082020"/>
      <w:r w:rsidRPr="6D0F4A22" w:rsidR="0B3B777D">
        <w:rPr>
          <w:rFonts w:ascii="Arial" w:hAnsi="Arial" w:eastAsia="Arial" w:cs="Arial"/>
          <w:noProof w:val="0"/>
          <w:color w:val="auto"/>
          <w:sz w:val="22"/>
          <w:szCs w:val="22"/>
          <w:lang w:val="en-GB"/>
        </w:rPr>
        <w:t xml:space="preserve"> they also highlighted significant inequalities in digital readiness</w:t>
      </w:r>
      <w:r w:rsidRPr="6D0F4A22" w:rsidR="6425F05F">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particularly among older adults (Greenhalgh et al., 2020; Shaw et al., 2021).</w:t>
      </w:r>
      <w:r w:rsidRPr="6D0F4A22" w:rsidR="3AF54479">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 xml:space="preserve">The UK’s ageing population adds further urgency to this issue. </w:t>
      </w:r>
      <w:r w:rsidRPr="6D0F4A22" w:rsidR="71EEDDBE">
        <w:rPr>
          <w:rFonts w:ascii="Arial" w:hAnsi="Arial" w:eastAsia="Arial" w:cs="Arial"/>
          <w:noProof w:val="0"/>
          <w:sz w:val="22"/>
          <w:szCs w:val="22"/>
          <w:lang w:val="en-GB"/>
        </w:rPr>
        <w:t>Older adults make up a growing part of the population so they are more likely to have long‑term health conditions such as diabetes, heart disease, arthritis and cognitive decline</w:t>
      </w:r>
      <w:r w:rsidRPr="6D0F4A22" w:rsidR="0B3B777D">
        <w:rPr>
          <w:rFonts w:ascii="Arial" w:hAnsi="Arial" w:eastAsia="Arial" w:cs="Arial"/>
          <w:noProof w:val="0"/>
          <w:color w:val="auto"/>
          <w:sz w:val="22"/>
          <w:szCs w:val="22"/>
          <w:lang w:val="en-GB"/>
        </w:rPr>
        <w:t xml:space="preserve"> These conditions often require ongoing monitoring, regular appointments, and coordinated care</w:t>
      </w:r>
      <w:r w:rsidRPr="6D0F4A22" w:rsidR="0966AADA">
        <w:rPr>
          <w:rFonts w:ascii="Arial" w:hAnsi="Arial" w:eastAsia="Arial" w:cs="Arial"/>
          <w:noProof w:val="0"/>
          <w:color w:val="auto"/>
          <w:sz w:val="22"/>
          <w:szCs w:val="22"/>
          <w:lang w:val="en-GB"/>
        </w:rPr>
        <w:t xml:space="preserve"> in </w:t>
      </w:r>
      <w:r w:rsidRPr="6D0F4A22" w:rsidR="0B3B777D">
        <w:rPr>
          <w:rFonts w:ascii="Arial" w:hAnsi="Arial" w:eastAsia="Arial" w:cs="Arial"/>
          <w:noProof w:val="0"/>
          <w:color w:val="auto"/>
          <w:sz w:val="22"/>
          <w:szCs w:val="22"/>
          <w:lang w:val="en-GB"/>
        </w:rPr>
        <w:t xml:space="preserve">all areas where digital health technologies can offer substantial benefits. For example, remote monitoring devices can help clinicians track symptoms in real time, while online portals allow patients to access test results, medication </w:t>
      </w:r>
      <w:r w:rsidRPr="6D0F4A22" w:rsidR="0B3B777D">
        <w:rPr>
          <w:rFonts w:ascii="Arial" w:hAnsi="Arial" w:eastAsia="Arial" w:cs="Arial"/>
          <w:noProof w:val="0"/>
          <w:color w:val="auto"/>
          <w:sz w:val="22"/>
          <w:szCs w:val="22"/>
          <w:lang w:val="en-GB"/>
        </w:rPr>
        <w:t>information</w:t>
      </w:r>
      <w:r w:rsidRPr="6D0F4A22" w:rsidR="0B3B777D">
        <w:rPr>
          <w:rFonts w:ascii="Arial" w:hAnsi="Arial" w:eastAsia="Arial" w:cs="Arial"/>
          <w:noProof w:val="0"/>
          <w:color w:val="auto"/>
          <w:sz w:val="22"/>
          <w:szCs w:val="22"/>
          <w:lang w:val="en-GB"/>
        </w:rPr>
        <w:t xml:space="preserve"> and appointment details (Peek et al., 2014). Telehealth can reduce the need for travel which is particularly beneficial for individuals with mobility limitations.</w:t>
      </w:r>
      <w:r w:rsidRPr="6D0F4A22" w:rsidR="5FF18D4D">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However</w:t>
      </w:r>
      <w:r w:rsidRPr="6D0F4A22" w:rsidR="0B3B777D">
        <w:rPr>
          <w:rFonts w:ascii="Arial" w:hAnsi="Arial" w:eastAsia="Arial" w:cs="Arial"/>
          <w:noProof w:val="0"/>
          <w:color w:val="auto"/>
          <w:sz w:val="22"/>
          <w:szCs w:val="22"/>
          <w:lang w:val="en-GB"/>
        </w:rPr>
        <w:t xml:space="preserve"> despite these potential advantages</w:t>
      </w:r>
      <w:r w:rsidRPr="6D0F4A22" w:rsidR="3AA2E7C6">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older adults are also the group most at risk of digital exclusion. Digital exclusion refers to the inability to access or effectively use digital technologies due to factors such as limited digital literacy, lack of access to devices or internet, socioeconomic disadvantage, or low confidence (Friemel, 2016; Helsper, 2021). Research shows that older adults are less likely to own smartphones, tablets, or computers and less likely to have reliable internet access (ONS, 2022). They may also have limited experience with digital tools making it difficult to navigate complex interfaces or troubleshoot technical issues.</w:t>
      </w:r>
    </w:p>
    <w:p xmlns:wp14="http://schemas.microsoft.com/office/word/2010/wordml" w:rsidP="6D0F4A22" wp14:paraId="14EA47FF" wp14:textId="6AC2AB96">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Physical and cognitive changes associated with ageing can further complicate digital engagement. Reduced vision, hearing loss, memory </w:t>
      </w:r>
      <w:r w:rsidRPr="6D0F4A22" w:rsidR="0B3B777D">
        <w:rPr>
          <w:rFonts w:ascii="Arial" w:hAnsi="Arial" w:eastAsia="Arial" w:cs="Arial"/>
          <w:noProof w:val="0"/>
          <w:color w:val="auto"/>
          <w:sz w:val="22"/>
          <w:szCs w:val="22"/>
          <w:lang w:val="en-GB"/>
        </w:rPr>
        <w:t>difficulties</w:t>
      </w:r>
      <w:r w:rsidRPr="6D0F4A22" w:rsidR="614AB80A">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and reduced dexterity can make it challenging to use devices or interact with digital platforms (Barnard et al., 2013; V</w:t>
      </w:r>
      <w:r w:rsidRPr="6D0F4A22" w:rsidR="0B3B777D">
        <w:rPr>
          <w:rFonts w:ascii="Arial" w:hAnsi="Arial" w:eastAsia="Arial" w:cs="Arial"/>
          <w:noProof w:val="0"/>
          <w:color w:val="auto"/>
          <w:sz w:val="22"/>
          <w:szCs w:val="22"/>
          <w:lang w:val="en-GB"/>
        </w:rPr>
        <w:t>aportzis,</w:t>
      </w:r>
      <w:r w:rsidRPr="6D0F4A22" w:rsidR="0B3B777D">
        <w:rPr>
          <w:rFonts w:ascii="Arial" w:hAnsi="Arial" w:eastAsia="Arial" w:cs="Arial"/>
          <w:noProof w:val="0"/>
          <w:color w:val="auto"/>
          <w:sz w:val="22"/>
          <w:szCs w:val="22"/>
          <w:lang w:val="en-GB"/>
        </w:rPr>
        <w:t xml:space="preserve"> Clausen &amp; Gow, 2017). Concerns about privacy, data security and trust in digital systems also play a significant role in shaping attitudes toward digital health. Many older adults worry about the safety of their personal information or fear making mistakes that could compromise their care (Mitzner et al., 2019).</w:t>
      </w:r>
      <w:r w:rsidRPr="6D0F4A22" w:rsidR="6A0A71A6">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 xml:space="preserve">Rural areas may have limited broadband infrastructure, while individuals with lower incomes may struggle to afford devices or internet subscriptions (Watts et al., 2023). These factors intersect with age‑related challenges, creating a complex landscape of barriers that must be addressed to ensure </w:t>
      </w:r>
      <w:r w:rsidRPr="6D0F4A22" w:rsidR="0B3B777D">
        <w:rPr>
          <w:rFonts w:ascii="Arial" w:hAnsi="Arial" w:eastAsia="Arial" w:cs="Arial"/>
          <w:noProof w:val="0"/>
          <w:color w:val="auto"/>
          <w:sz w:val="22"/>
          <w:szCs w:val="22"/>
          <w:lang w:val="en-GB"/>
        </w:rPr>
        <w:t>equitable</w:t>
      </w:r>
      <w:r w:rsidRPr="6D0F4A22" w:rsidR="0B3B777D">
        <w:rPr>
          <w:rFonts w:ascii="Arial" w:hAnsi="Arial" w:eastAsia="Arial" w:cs="Arial"/>
          <w:noProof w:val="0"/>
          <w:color w:val="auto"/>
          <w:sz w:val="22"/>
          <w:szCs w:val="22"/>
          <w:lang w:val="en-GB"/>
        </w:rPr>
        <w:t xml:space="preserve"> access to digital health services.</w:t>
      </w:r>
      <w:r w:rsidRPr="6D0F4A22" w:rsidR="50516076">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 xml:space="preserve">Policy documents such as the NHS Digital Transformation Strategy, the Care Act 2014, and the Equality Act 2010 emphasise the importance of accessibility, </w:t>
      </w:r>
      <w:r w:rsidRPr="6D0F4A22" w:rsidR="0B3B777D">
        <w:rPr>
          <w:rFonts w:ascii="Arial" w:hAnsi="Arial" w:eastAsia="Arial" w:cs="Arial"/>
          <w:noProof w:val="0"/>
          <w:color w:val="auto"/>
          <w:sz w:val="22"/>
          <w:szCs w:val="22"/>
          <w:lang w:val="en-GB"/>
        </w:rPr>
        <w:t>inclusion</w:t>
      </w:r>
      <w:r w:rsidRPr="6D0F4A22" w:rsidR="0B3B777D">
        <w:rPr>
          <w:rFonts w:ascii="Arial" w:hAnsi="Arial" w:eastAsia="Arial" w:cs="Arial"/>
          <w:noProof w:val="0"/>
          <w:color w:val="auto"/>
          <w:sz w:val="22"/>
          <w:szCs w:val="22"/>
          <w:lang w:val="en-GB"/>
        </w:rPr>
        <w:t xml:space="preserve"> and patient empowerment. However</w:t>
      </w:r>
      <w:r w:rsidRPr="6D0F4A22" w:rsidR="0B3B777D">
        <w:rPr>
          <w:rFonts w:ascii="Arial" w:hAnsi="Arial" w:eastAsia="Arial" w:cs="Arial"/>
          <w:noProof w:val="0"/>
          <w:color w:val="auto"/>
          <w:sz w:val="22"/>
          <w:szCs w:val="22"/>
          <w:lang w:val="en-GB"/>
        </w:rPr>
        <w:t xml:space="preserve"> gaps remain in translating these principles into practice, particularly for older adults who may require additional support to engage with digital tools (DCMS, 2021; House of Lords, 2021). Understanding the barriers faced by older adults is essential for informing the design of digital health services, developing targeted interventions, and ensuring that digital transformation does not exacerbate existing health inequalities.</w:t>
      </w:r>
    </w:p>
    <w:p xmlns:wp14="http://schemas.microsoft.com/office/word/2010/wordml" w:rsidP="6D0F4A22" wp14:paraId="3B7057BA" wp14:textId="2F8EC3D4">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29C43FE7" wp14:textId="4A41BF3C">
      <w:pPr>
        <w:pStyle w:val="Heading2"/>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Methods</w:t>
      </w:r>
      <w:r w:rsidRPr="6D0F4A22" w:rsidR="1EC4E6A9">
        <w:rPr>
          <w:rFonts w:ascii="Arial" w:hAnsi="Arial" w:eastAsia="Arial" w:cs="Arial"/>
          <w:b w:val="1"/>
          <w:bCs w:val="1"/>
          <w:noProof w:val="0"/>
          <w:color w:val="auto"/>
          <w:sz w:val="22"/>
          <w:szCs w:val="22"/>
          <w:lang w:val="en-GB"/>
        </w:rPr>
        <w:t>:</w:t>
      </w:r>
    </w:p>
    <w:p xmlns:wp14="http://schemas.microsoft.com/office/word/2010/wordml" w:rsidP="6D0F4A22" wp14:paraId="36D18EAF" wp14:textId="2A70D93A">
      <w:pPr>
        <w:pStyle w:val="Normal"/>
        <w:bidi w:val="0"/>
        <w:rPr>
          <w:noProof w:val="0"/>
          <w:lang w:val="en-GB"/>
        </w:rPr>
      </w:pPr>
    </w:p>
    <w:p xmlns:wp14="http://schemas.microsoft.com/office/word/2010/wordml" w:rsidP="6D0F4A22" wp14:paraId="5CC8E66A" wp14:textId="0BAF7025">
      <w:pPr>
        <w:pStyle w:val="Heading3"/>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Research Design</w:t>
      </w:r>
      <w:r w:rsidRPr="6D0F4A22" w:rsidR="388ADA43">
        <w:rPr>
          <w:rFonts w:ascii="Arial" w:hAnsi="Arial" w:eastAsia="Arial" w:cs="Arial"/>
          <w:b w:val="1"/>
          <w:bCs w:val="1"/>
          <w:noProof w:val="0"/>
          <w:color w:val="auto"/>
          <w:sz w:val="22"/>
          <w:szCs w:val="22"/>
          <w:lang w:val="en-GB"/>
        </w:rPr>
        <w:t>:</w:t>
      </w:r>
    </w:p>
    <w:p xmlns:wp14="http://schemas.microsoft.com/office/word/2010/wordml" w:rsidP="6D0F4A22" wp14:paraId="49D5C2F4" wp14:textId="74088F62">
      <w:pPr>
        <w:pStyle w:val="Normal"/>
        <w:bidi w:val="0"/>
        <w:spacing w:before="30" w:beforeAutospacing="off" w:after="30" w:afterAutospacing="off"/>
      </w:pPr>
      <w:r w:rsidRPr="6D0F4A22" w:rsidR="7A95171B">
        <w:rPr>
          <w:rFonts w:ascii="Arial" w:hAnsi="Arial" w:eastAsia="Arial" w:cs="Arial"/>
          <w:noProof w:val="0"/>
          <w:sz w:val="22"/>
          <w:szCs w:val="22"/>
          <w:lang w:val="en-GB"/>
        </w:rPr>
        <w:t>For my research I used a scoping review to examine the range of existing studies on barriers to digital health adoption among older adults in the United Kingdom</w:t>
      </w:r>
      <w:r w:rsidRPr="6D0F4A22" w:rsidR="0B3B777D">
        <w:rPr>
          <w:rFonts w:ascii="Arial" w:hAnsi="Arial" w:eastAsia="Arial" w:cs="Arial"/>
          <w:noProof w:val="0"/>
          <w:color w:val="auto"/>
          <w:sz w:val="22"/>
          <w:szCs w:val="22"/>
          <w:lang w:val="en-GB"/>
        </w:rPr>
        <w:t xml:space="preserve">. Scoping reviews are particularly useful for examining emerging areas of research, mapping key concepts, and </w:t>
      </w:r>
      <w:r w:rsidRPr="6D0F4A22" w:rsidR="0B3B777D">
        <w:rPr>
          <w:rFonts w:ascii="Arial" w:hAnsi="Arial" w:eastAsia="Arial" w:cs="Arial"/>
          <w:noProof w:val="0"/>
          <w:color w:val="auto"/>
          <w:sz w:val="22"/>
          <w:szCs w:val="22"/>
          <w:lang w:val="en-GB"/>
        </w:rPr>
        <w:t>identifying</w:t>
      </w:r>
      <w:r w:rsidRPr="6D0F4A22" w:rsidR="0B3B777D">
        <w:rPr>
          <w:rFonts w:ascii="Arial" w:hAnsi="Arial" w:eastAsia="Arial" w:cs="Arial"/>
          <w:noProof w:val="0"/>
          <w:color w:val="auto"/>
          <w:sz w:val="22"/>
          <w:szCs w:val="22"/>
          <w:lang w:val="en-GB"/>
        </w:rPr>
        <w:t xml:space="preserve"> gaps in the evidence base. Unlike systematic reviews, which focus on answering narrowly defined questions, scoping reviews allow for a broader exploration of the literature and can include a wide range of study designs (Arksey &amp; O’Malley, 2005). This approach was </w:t>
      </w:r>
      <w:r w:rsidRPr="6D0F4A22" w:rsidR="0B3B777D">
        <w:rPr>
          <w:rFonts w:ascii="Arial" w:hAnsi="Arial" w:eastAsia="Arial" w:cs="Arial"/>
          <w:noProof w:val="0"/>
          <w:color w:val="auto"/>
          <w:sz w:val="22"/>
          <w:szCs w:val="22"/>
          <w:lang w:val="en-GB"/>
        </w:rPr>
        <w:t>appropriate for</w:t>
      </w:r>
      <w:r w:rsidRPr="6D0F4A22" w:rsidR="0B3B777D">
        <w:rPr>
          <w:rFonts w:ascii="Arial" w:hAnsi="Arial" w:eastAsia="Arial" w:cs="Arial"/>
          <w:noProof w:val="0"/>
          <w:color w:val="auto"/>
          <w:sz w:val="22"/>
          <w:szCs w:val="22"/>
          <w:lang w:val="en-GB"/>
        </w:rPr>
        <w:t xml:space="preserve"> the present study because digital health adoption among older adults is a complex, multifaceted issue that has been examined from various perspectives.</w:t>
      </w:r>
    </w:p>
    <w:p xmlns:wp14="http://schemas.microsoft.com/office/word/2010/wordml" w:rsidP="6D0F4A22" wp14:paraId="6E3D331D" wp14:textId="304216F6">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3F3AC1C3" wp14:textId="5FB8D4DA">
      <w:pPr>
        <w:pStyle w:val="Heading3"/>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Search Strategy</w:t>
      </w:r>
      <w:r w:rsidRPr="6D0F4A22" w:rsidR="13CF3E98">
        <w:rPr>
          <w:rFonts w:ascii="Arial" w:hAnsi="Arial" w:eastAsia="Arial" w:cs="Arial"/>
          <w:b w:val="1"/>
          <w:bCs w:val="1"/>
          <w:noProof w:val="0"/>
          <w:color w:val="auto"/>
          <w:sz w:val="22"/>
          <w:szCs w:val="22"/>
          <w:lang w:val="en-GB"/>
        </w:rPr>
        <w:t>:</w:t>
      </w:r>
    </w:p>
    <w:p xmlns:wp14="http://schemas.microsoft.com/office/word/2010/wordml" w:rsidP="6D0F4A22" wp14:paraId="491DD6EB" wp14:textId="2758497E">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A systematic search was conducted across several academic databases, including PubMed, CINAHL (EBSCOhost), SAGE Journals, and the UWTSD Library databases. These databases were selected because they </w:t>
      </w:r>
      <w:r w:rsidRPr="6D0F4A22" w:rsidR="0B3B777D">
        <w:rPr>
          <w:rFonts w:ascii="Arial" w:hAnsi="Arial" w:eastAsia="Arial" w:cs="Arial"/>
          <w:noProof w:val="0"/>
          <w:color w:val="auto"/>
          <w:sz w:val="22"/>
          <w:szCs w:val="22"/>
          <w:lang w:val="en-GB"/>
        </w:rPr>
        <w:t>contain</w:t>
      </w:r>
      <w:r w:rsidRPr="6D0F4A22" w:rsidR="0B3B777D">
        <w:rPr>
          <w:rFonts w:ascii="Arial" w:hAnsi="Arial" w:eastAsia="Arial" w:cs="Arial"/>
          <w:noProof w:val="0"/>
          <w:color w:val="auto"/>
          <w:sz w:val="22"/>
          <w:szCs w:val="22"/>
          <w:lang w:val="en-GB"/>
        </w:rPr>
        <w:t xml:space="preserve"> high‑quality, peer‑reviewed research relevant to healthcare, digital health, and ageing populations. Search terms included combinations of keywords such as “digital health,” “older adults,” “elderly,” “ageing population,” “United Kingdom,” “digital exclusion,” “digital divide,” and “barriers.” Boolean operators (AND/OR) were used to refine the search and ensure that relevant studies were captured.</w:t>
      </w:r>
    </w:p>
    <w:p xmlns:wp14="http://schemas.microsoft.com/office/word/2010/wordml" w:rsidP="6D0F4A22" wp14:paraId="26FE2ADD" wp14:textId="6CCCAC4B">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0FB5D639" wp14:textId="4217B860">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1AC3CEFC" wp14:textId="339E2FA6">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611DF5C3" wp14:textId="1766BFC8">
      <w:pPr>
        <w:pStyle w:val="Heading3"/>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Inclusion and Exclusion Criteria</w:t>
      </w:r>
      <w:r w:rsidRPr="6D0F4A22" w:rsidR="5D6D1BAC">
        <w:rPr>
          <w:rFonts w:ascii="Arial" w:hAnsi="Arial" w:eastAsia="Arial" w:cs="Arial"/>
          <w:b w:val="1"/>
          <w:bCs w:val="1"/>
          <w:noProof w:val="0"/>
          <w:color w:val="auto"/>
          <w:sz w:val="22"/>
          <w:szCs w:val="22"/>
          <w:lang w:val="en-GB"/>
        </w:rPr>
        <w:t>:</w:t>
      </w:r>
    </w:p>
    <w:p xmlns:wp14="http://schemas.microsoft.com/office/word/2010/wordml" w:rsidP="6D0F4A22" wp14:paraId="626BDA13" wp14:textId="4C51DAF6">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To ensure relevance and academic quality, the following inclusion criteria were applied:</w:t>
      </w:r>
    </w:p>
    <w:p xmlns:wp14="http://schemas.microsoft.com/office/word/2010/wordml" w:rsidP="6D0F4A22" wp14:paraId="5447FB4C" wp14:textId="0334AA0D">
      <w:pPr>
        <w:pStyle w:val="ListParagraph"/>
        <w:numPr>
          <w:ilvl w:val="0"/>
          <w:numId w:val="17"/>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Peer‑reviewed journal articles</w:t>
      </w:r>
    </w:p>
    <w:p xmlns:wp14="http://schemas.microsoft.com/office/word/2010/wordml" w:rsidP="6D0F4A22" wp14:paraId="431E3432" wp14:textId="42AC075E">
      <w:pPr>
        <w:pStyle w:val="ListParagraph"/>
        <w:numPr>
          <w:ilvl w:val="0"/>
          <w:numId w:val="17"/>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Primary or secondary research studies</w:t>
      </w:r>
    </w:p>
    <w:p xmlns:wp14="http://schemas.microsoft.com/office/word/2010/wordml" w:rsidP="6D0F4A22" wp14:paraId="6514A9E9" wp14:textId="092A9CA6">
      <w:pPr>
        <w:pStyle w:val="ListParagraph"/>
        <w:numPr>
          <w:ilvl w:val="0"/>
          <w:numId w:val="17"/>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Focus on digital health technologies or digital healthcare services</w:t>
      </w:r>
    </w:p>
    <w:p xmlns:wp14="http://schemas.microsoft.com/office/word/2010/wordml" w:rsidP="6D0F4A22" wp14:paraId="73CB4F9D" wp14:textId="4EF32C73">
      <w:pPr>
        <w:pStyle w:val="ListParagraph"/>
        <w:numPr>
          <w:ilvl w:val="0"/>
          <w:numId w:val="17"/>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Include older adults aged 60 or above</w:t>
      </w:r>
    </w:p>
    <w:p xmlns:wp14="http://schemas.microsoft.com/office/word/2010/wordml" w:rsidP="6D0F4A22" wp14:paraId="28B79DB5" wp14:textId="3DF2D14A">
      <w:pPr>
        <w:pStyle w:val="ListParagraph"/>
        <w:numPr>
          <w:ilvl w:val="0"/>
          <w:numId w:val="17"/>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Relevant to UK healthcare practice</w:t>
      </w:r>
    </w:p>
    <w:p xmlns:wp14="http://schemas.microsoft.com/office/word/2010/wordml" w:rsidP="6D0F4A22" wp14:paraId="0C9FBCCC" wp14:textId="5E9C3A81">
      <w:pPr>
        <w:pStyle w:val="ListParagraph"/>
        <w:numPr>
          <w:ilvl w:val="0"/>
          <w:numId w:val="17"/>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Published in English</w:t>
      </w:r>
    </w:p>
    <w:p xmlns:wp14="http://schemas.microsoft.com/office/word/2010/wordml" w:rsidP="6D0F4A22" wp14:paraId="1E4F5FC4" wp14:textId="7311948A">
      <w:pPr>
        <w:pStyle w:val="ListParagraph"/>
        <w:bidi w:val="0"/>
        <w:spacing w:before="30" w:beforeAutospacing="off" w:after="30" w:afterAutospacing="off"/>
        <w:ind w:left="2520"/>
        <w:rPr>
          <w:rFonts w:ascii="Arial" w:hAnsi="Arial" w:eastAsia="Arial" w:cs="Arial"/>
          <w:noProof w:val="0"/>
          <w:color w:val="auto"/>
          <w:sz w:val="22"/>
          <w:szCs w:val="22"/>
          <w:lang w:val="en-GB"/>
        </w:rPr>
      </w:pPr>
    </w:p>
    <w:p xmlns:wp14="http://schemas.microsoft.com/office/word/2010/wordml" w:rsidP="6D0F4A22" wp14:paraId="6C6F2225" wp14:textId="498185BB">
      <w:pPr>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Exclusion criteria included:</w:t>
      </w:r>
    </w:p>
    <w:p xmlns:wp14="http://schemas.microsoft.com/office/word/2010/wordml" w:rsidP="6D0F4A22" wp14:paraId="7BE6ECAE" wp14:textId="7179A962">
      <w:pPr>
        <w:pStyle w:val="ListParagraph"/>
        <w:numPr>
          <w:ilvl w:val="0"/>
          <w:numId w:val="18"/>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Editorials, commentaries, and opinion pieces</w:t>
      </w:r>
    </w:p>
    <w:p xmlns:wp14="http://schemas.microsoft.com/office/word/2010/wordml" w:rsidP="6D0F4A22" wp14:paraId="1DA40131" wp14:textId="62A8C3DC">
      <w:pPr>
        <w:pStyle w:val="ListParagraph"/>
        <w:numPr>
          <w:ilvl w:val="0"/>
          <w:numId w:val="18"/>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Policy documents</w:t>
      </w:r>
    </w:p>
    <w:p xmlns:wp14="http://schemas.microsoft.com/office/word/2010/wordml" w:rsidP="6D0F4A22" wp14:paraId="61CFD38C" wp14:textId="725D9E09">
      <w:pPr>
        <w:pStyle w:val="ListParagraph"/>
        <w:numPr>
          <w:ilvl w:val="0"/>
          <w:numId w:val="18"/>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Conference papers</w:t>
      </w:r>
    </w:p>
    <w:p xmlns:wp14="http://schemas.microsoft.com/office/word/2010/wordml" w:rsidP="6D0F4A22" wp14:paraId="20EAB11C" wp14:textId="4A6E77E1">
      <w:pPr>
        <w:pStyle w:val="ListParagraph"/>
        <w:numPr>
          <w:ilvl w:val="0"/>
          <w:numId w:val="18"/>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Non‑peer‑reviewed publications</w:t>
      </w:r>
    </w:p>
    <w:p xmlns:wp14="http://schemas.microsoft.com/office/word/2010/wordml" w:rsidP="6D0F4A22" wp14:paraId="2762EFAB" wp14:textId="513399A7">
      <w:pPr>
        <w:pStyle w:val="ListParagraph"/>
        <w:bidi w:val="0"/>
        <w:spacing w:before="30" w:beforeAutospacing="off" w:after="30" w:afterAutospacing="off"/>
        <w:ind w:left="2520"/>
        <w:rPr>
          <w:rFonts w:ascii="Arial" w:hAnsi="Arial" w:eastAsia="Arial" w:cs="Arial"/>
          <w:noProof w:val="0"/>
          <w:color w:val="auto"/>
          <w:sz w:val="22"/>
          <w:szCs w:val="22"/>
          <w:lang w:val="en-GB"/>
        </w:rPr>
      </w:pPr>
    </w:p>
    <w:p xmlns:wp14="http://schemas.microsoft.com/office/word/2010/wordml" w:rsidP="6D0F4A22" wp14:paraId="4BD8DB7A" wp14:textId="1A848D26">
      <w:pPr>
        <w:pStyle w:val="Heading3"/>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Study Selection</w:t>
      </w:r>
      <w:r w:rsidRPr="6D0F4A22" w:rsidR="597C30D4">
        <w:rPr>
          <w:rFonts w:ascii="Arial" w:hAnsi="Arial" w:eastAsia="Arial" w:cs="Arial"/>
          <w:b w:val="1"/>
          <w:bCs w:val="1"/>
          <w:noProof w:val="0"/>
          <w:color w:val="auto"/>
          <w:sz w:val="22"/>
          <w:szCs w:val="22"/>
          <w:lang w:val="en-GB"/>
        </w:rPr>
        <w:t>:</w:t>
      </w:r>
    </w:p>
    <w:p xmlns:wp14="http://schemas.microsoft.com/office/word/2010/wordml" w:rsidP="6D0F4A22" wp14:paraId="19E60017" wp14:textId="2AD44AFA">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The search results were screened by reviewing titles and abstracts to </w:t>
      </w:r>
      <w:r w:rsidRPr="6D0F4A22" w:rsidR="0B3B777D">
        <w:rPr>
          <w:rFonts w:ascii="Arial" w:hAnsi="Arial" w:eastAsia="Arial" w:cs="Arial"/>
          <w:noProof w:val="0"/>
          <w:color w:val="auto"/>
          <w:sz w:val="22"/>
          <w:szCs w:val="22"/>
          <w:lang w:val="en-GB"/>
        </w:rPr>
        <w:t>identify</w:t>
      </w:r>
      <w:r w:rsidRPr="6D0F4A22" w:rsidR="0B3B777D">
        <w:rPr>
          <w:rFonts w:ascii="Arial" w:hAnsi="Arial" w:eastAsia="Arial" w:cs="Arial"/>
          <w:noProof w:val="0"/>
          <w:color w:val="auto"/>
          <w:sz w:val="22"/>
          <w:szCs w:val="22"/>
          <w:lang w:val="en-GB"/>
        </w:rPr>
        <w:t xml:space="preserve"> studies relevant to the research question. Full texts of potentially relevant articles were then assessed against the inclusion and exclusion criteria. Five studies were selected for final analysis. These studies included a mix of primary and secondary research and provided a comprehensive overview of the barriers faced by older adults in adopting digital health technologies.</w:t>
      </w:r>
    </w:p>
    <w:p xmlns:wp14="http://schemas.microsoft.com/office/word/2010/wordml" w:rsidP="6D0F4A22" wp14:paraId="5D4DF7B1" wp14:textId="519952B3">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461502BF" wp14:textId="192291FD">
      <w:pPr>
        <w:pStyle w:val="Heading3"/>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Data Analysis</w:t>
      </w:r>
      <w:r w:rsidRPr="6D0F4A22" w:rsidR="0E89E6FE">
        <w:rPr>
          <w:rFonts w:ascii="Arial" w:hAnsi="Arial" w:eastAsia="Arial" w:cs="Arial"/>
          <w:b w:val="1"/>
          <w:bCs w:val="1"/>
          <w:noProof w:val="0"/>
          <w:color w:val="auto"/>
          <w:sz w:val="22"/>
          <w:szCs w:val="22"/>
          <w:lang w:val="en-GB"/>
        </w:rPr>
        <w:t>:</w:t>
      </w:r>
    </w:p>
    <w:p xmlns:wp14="http://schemas.microsoft.com/office/word/2010/wordml" w:rsidP="6D0F4A22" wp14:paraId="07406DF4" wp14:textId="62043572">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Thematic analysis was used to </w:t>
      </w:r>
      <w:r w:rsidRPr="6D0F4A22" w:rsidR="0B3B777D">
        <w:rPr>
          <w:rFonts w:ascii="Arial" w:hAnsi="Arial" w:eastAsia="Arial" w:cs="Arial"/>
          <w:noProof w:val="0"/>
          <w:color w:val="auto"/>
          <w:sz w:val="22"/>
          <w:szCs w:val="22"/>
          <w:lang w:val="en-GB"/>
        </w:rPr>
        <w:t>identify</w:t>
      </w:r>
      <w:r w:rsidRPr="6D0F4A22" w:rsidR="0B3B777D">
        <w:rPr>
          <w:rFonts w:ascii="Arial" w:hAnsi="Arial" w:eastAsia="Arial" w:cs="Arial"/>
          <w:noProof w:val="0"/>
          <w:color w:val="auto"/>
          <w:sz w:val="22"/>
          <w:szCs w:val="22"/>
          <w:lang w:val="en-GB"/>
        </w:rPr>
        <w:t xml:space="preserve"> patterns and themes across the selected studies. Key findings from each study were extracted and organised into a summary table. Themes were then developed by </w:t>
      </w:r>
      <w:r w:rsidRPr="6D0F4A22" w:rsidR="0B3B777D">
        <w:rPr>
          <w:rFonts w:ascii="Arial" w:hAnsi="Arial" w:eastAsia="Arial" w:cs="Arial"/>
          <w:noProof w:val="0"/>
          <w:color w:val="auto"/>
          <w:sz w:val="22"/>
          <w:szCs w:val="22"/>
          <w:lang w:val="en-GB"/>
        </w:rPr>
        <w:t>identifying</w:t>
      </w:r>
      <w:r w:rsidRPr="6D0F4A22" w:rsidR="0B3B777D">
        <w:rPr>
          <w:rFonts w:ascii="Arial" w:hAnsi="Arial" w:eastAsia="Arial" w:cs="Arial"/>
          <w:noProof w:val="0"/>
          <w:color w:val="auto"/>
          <w:sz w:val="22"/>
          <w:szCs w:val="22"/>
          <w:lang w:val="en-GB"/>
        </w:rPr>
        <w:t xml:space="preserve"> recurring concepts related to barriers to digital health adoption. This approach allowed for a structured synthesis of the evidence and supported the development of meaningful insights.</w:t>
      </w:r>
    </w:p>
    <w:p xmlns:wp14="http://schemas.microsoft.com/office/word/2010/wordml" w:rsidP="6D0F4A22" wp14:paraId="6F27E1CA" wp14:textId="41E0BDF9">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701B4E2E" wp14:textId="1F58F13D">
      <w:pPr>
        <w:pStyle w:val="Heading3"/>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Ethical Considerations</w:t>
      </w:r>
      <w:r w:rsidRPr="6D0F4A22" w:rsidR="6489B1E9">
        <w:rPr>
          <w:rFonts w:ascii="Arial" w:hAnsi="Arial" w:eastAsia="Arial" w:cs="Arial"/>
          <w:b w:val="1"/>
          <w:bCs w:val="1"/>
          <w:noProof w:val="0"/>
          <w:color w:val="auto"/>
          <w:sz w:val="22"/>
          <w:szCs w:val="22"/>
          <w:lang w:val="en-GB"/>
        </w:rPr>
        <w:t>:</w:t>
      </w:r>
    </w:p>
    <w:p xmlns:wp14="http://schemas.microsoft.com/office/word/2010/wordml" w:rsidP="6D0F4A22" wp14:paraId="4C9917AD" wp14:textId="45F7F9D7">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As this study involved secondary analysis of published literature, ethical approval was not </w:t>
      </w:r>
      <w:r w:rsidRPr="6D0F4A22" w:rsidR="0B3B777D">
        <w:rPr>
          <w:rFonts w:ascii="Arial" w:hAnsi="Arial" w:eastAsia="Arial" w:cs="Arial"/>
          <w:noProof w:val="0"/>
          <w:color w:val="auto"/>
          <w:sz w:val="22"/>
          <w:szCs w:val="22"/>
          <w:lang w:val="en-GB"/>
        </w:rPr>
        <w:t>required</w:t>
      </w:r>
      <w:r w:rsidRPr="6D0F4A22" w:rsidR="0B3B777D">
        <w:rPr>
          <w:rFonts w:ascii="Arial" w:hAnsi="Arial" w:eastAsia="Arial" w:cs="Arial"/>
          <w:noProof w:val="0"/>
          <w:color w:val="auto"/>
          <w:sz w:val="22"/>
          <w:szCs w:val="22"/>
          <w:lang w:val="en-GB"/>
        </w:rPr>
        <w:t xml:space="preserve">. Academic integrity was </w:t>
      </w:r>
      <w:r w:rsidRPr="6D0F4A22" w:rsidR="0B3B777D">
        <w:rPr>
          <w:rFonts w:ascii="Arial" w:hAnsi="Arial" w:eastAsia="Arial" w:cs="Arial"/>
          <w:noProof w:val="0"/>
          <w:color w:val="auto"/>
          <w:sz w:val="22"/>
          <w:szCs w:val="22"/>
          <w:lang w:val="en-GB"/>
        </w:rPr>
        <w:t>maintained</w:t>
      </w:r>
      <w:r w:rsidRPr="6D0F4A22" w:rsidR="0B3B777D">
        <w:rPr>
          <w:rFonts w:ascii="Arial" w:hAnsi="Arial" w:eastAsia="Arial" w:cs="Arial"/>
          <w:noProof w:val="0"/>
          <w:color w:val="auto"/>
          <w:sz w:val="22"/>
          <w:szCs w:val="22"/>
          <w:lang w:val="en-GB"/>
        </w:rPr>
        <w:t xml:space="preserve"> through </w:t>
      </w:r>
      <w:r w:rsidRPr="6D0F4A22" w:rsidR="0B3B777D">
        <w:rPr>
          <w:rFonts w:ascii="Arial" w:hAnsi="Arial" w:eastAsia="Arial" w:cs="Arial"/>
          <w:noProof w:val="0"/>
          <w:color w:val="auto"/>
          <w:sz w:val="22"/>
          <w:szCs w:val="22"/>
          <w:lang w:val="en-GB"/>
        </w:rPr>
        <w:t>accurate</w:t>
      </w:r>
      <w:r w:rsidRPr="6D0F4A22" w:rsidR="0B3B777D">
        <w:rPr>
          <w:rFonts w:ascii="Arial" w:hAnsi="Arial" w:eastAsia="Arial" w:cs="Arial"/>
          <w:noProof w:val="0"/>
          <w:color w:val="auto"/>
          <w:sz w:val="22"/>
          <w:szCs w:val="22"/>
          <w:lang w:val="en-GB"/>
        </w:rPr>
        <w:t xml:space="preserve"> citation and adherence to Harvard referencing guidelines.</w:t>
      </w:r>
    </w:p>
    <w:p xmlns:wp14="http://schemas.microsoft.com/office/word/2010/wordml" w:rsidP="6D0F4A22" wp14:paraId="0777135E" wp14:textId="38154C6E">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09F38438" wp14:textId="5F253759">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6C9C8101" wp14:textId="1CECAD66">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2B953AFA" wp14:textId="1E9E8DFC">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122051C6" wp14:textId="05BD12DF">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4B35F96D" wp14:textId="4465B9A2">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5C0E79E2" wp14:textId="3BB773B9">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24BC21F6" wp14:textId="0B36C9E1">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45DCE424" wp14:textId="7DC0EB84">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76063286" wp14:textId="58BE2961">
      <w:pPr>
        <w:pStyle w:val="Heading2"/>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Results</w:t>
      </w:r>
      <w:r w:rsidRPr="6D0F4A22" w:rsidR="7BB6BD02">
        <w:rPr>
          <w:rFonts w:ascii="Arial" w:hAnsi="Arial" w:eastAsia="Arial" w:cs="Arial"/>
          <w:b w:val="1"/>
          <w:bCs w:val="1"/>
          <w:noProof w:val="0"/>
          <w:color w:val="auto"/>
          <w:sz w:val="22"/>
          <w:szCs w:val="22"/>
          <w:lang w:val="en-GB"/>
        </w:rPr>
        <w:t>:</w:t>
      </w:r>
    </w:p>
    <w:p xmlns:wp14="http://schemas.microsoft.com/office/word/2010/wordml" w:rsidP="6D0F4A22" wp14:paraId="26F691F9" wp14:textId="4BE3B447">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Five peer‑reviewed studies were included in this scoping review. These studies explored </w:t>
      </w:r>
      <w:r w:rsidRPr="6D0F4A22" w:rsidR="0B3B777D">
        <w:rPr>
          <w:rFonts w:ascii="Arial" w:hAnsi="Arial" w:eastAsia="Arial" w:cs="Arial"/>
          <w:noProof w:val="0"/>
          <w:color w:val="auto"/>
          <w:sz w:val="22"/>
          <w:szCs w:val="22"/>
          <w:lang w:val="en-GB"/>
        </w:rPr>
        <w:t>different aspects</w:t>
      </w:r>
      <w:r w:rsidRPr="6D0F4A22" w:rsidR="0B3B777D">
        <w:rPr>
          <w:rFonts w:ascii="Arial" w:hAnsi="Arial" w:eastAsia="Arial" w:cs="Arial"/>
          <w:noProof w:val="0"/>
          <w:color w:val="auto"/>
          <w:sz w:val="22"/>
          <w:szCs w:val="22"/>
          <w:lang w:val="en-GB"/>
        </w:rPr>
        <w:t xml:space="preserve"> of digital health adoption among older adults, including digital literacy, access to technology, usability challenges, privacy concerns, and broader structural inequalities. Although the studies varied in design and scope, several consistent themes </w:t>
      </w:r>
      <w:r w:rsidRPr="6D0F4A22" w:rsidR="0B3B777D">
        <w:rPr>
          <w:rFonts w:ascii="Arial" w:hAnsi="Arial" w:eastAsia="Arial" w:cs="Arial"/>
          <w:noProof w:val="0"/>
          <w:color w:val="auto"/>
          <w:sz w:val="22"/>
          <w:szCs w:val="22"/>
          <w:lang w:val="en-GB"/>
        </w:rPr>
        <w:t>emerged</w:t>
      </w:r>
      <w:r w:rsidRPr="6D0F4A22" w:rsidR="0B3B777D">
        <w:rPr>
          <w:rFonts w:ascii="Arial" w:hAnsi="Arial" w:eastAsia="Arial" w:cs="Arial"/>
          <w:noProof w:val="0"/>
          <w:color w:val="auto"/>
          <w:sz w:val="22"/>
          <w:szCs w:val="22"/>
          <w:lang w:val="en-GB"/>
        </w:rPr>
        <w:t>.</w:t>
      </w:r>
    </w:p>
    <w:p xmlns:wp14="http://schemas.microsoft.com/office/word/2010/wordml" w:rsidP="6D0F4A22" wp14:paraId="23AED790" wp14:textId="0610E090">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5A83BE4B" wp14:textId="09CD25EA">
      <w:pPr>
        <w:bidi w:val="0"/>
        <w:spacing w:before="30" w:beforeAutospacing="off" w:after="30" w:afterAutospacing="off"/>
        <w:rPr>
          <w:rFonts w:ascii="Arial" w:hAnsi="Arial" w:eastAsia="Arial" w:cs="Arial"/>
          <w:b w:val="1"/>
          <w:bCs w:val="1"/>
          <w:noProof w:val="0"/>
          <w:color w:val="auto"/>
          <w:sz w:val="22"/>
          <w:szCs w:val="22"/>
          <w:lang w:val="en-GB"/>
        </w:rPr>
      </w:pPr>
      <w:r w:rsidRPr="6D0F4A22" w:rsidR="4212C85A">
        <w:rPr>
          <w:rFonts w:ascii="Arial" w:hAnsi="Arial" w:eastAsia="Arial" w:cs="Arial"/>
          <w:b w:val="1"/>
          <w:bCs w:val="1"/>
          <w:noProof w:val="0"/>
          <w:color w:val="auto"/>
          <w:sz w:val="22"/>
          <w:szCs w:val="22"/>
          <w:lang w:val="en-GB"/>
        </w:rPr>
        <w:t>Summary of Included Studies</w:t>
      </w:r>
    </w:p>
    <w:p xmlns:wp14="http://schemas.microsoft.com/office/word/2010/wordml" w:rsidP="6D0F4A22" wp14:paraId="552C9CEA" wp14:textId="2ABD913E">
      <w:pPr>
        <w:bidi w:val="0"/>
        <w:spacing w:before="30" w:beforeAutospacing="off" w:after="30" w:afterAutospacing="off"/>
        <w:rPr>
          <w:rFonts w:ascii="Arial" w:hAnsi="Arial" w:eastAsia="Arial" w:cs="Arial"/>
          <w:b w:val="1"/>
          <w:bCs w:val="1"/>
          <w:noProof w:val="0"/>
          <w:color w:val="auto"/>
          <w:sz w:val="22"/>
          <w:szCs w:val="22"/>
          <w:lang w:val="en-GB"/>
        </w:rPr>
      </w:pPr>
    </w:p>
    <w:tbl>
      <w:tblPr>
        <w:tblStyle w:val="TableGrid"/>
        <w:bidiVisual w:val="0"/>
        <w:tblW w:w="0" w:type="auto"/>
        <w:tblLook w:val="06A0" w:firstRow="1" w:lastRow="0" w:firstColumn="1" w:lastColumn="0" w:noHBand="1" w:noVBand="1"/>
      </w:tblPr>
      <w:tblGrid>
        <w:gridCol w:w="1803"/>
        <w:gridCol w:w="1803"/>
        <w:gridCol w:w="1803"/>
        <w:gridCol w:w="1803"/>
        <w:gridCol w:w="1803"/>
      </w:tblGrid>
      <w:tr w:rsidR="6D0F4A22" w:rsidTr="6D0F4A22" w14:paraId="1496331C">
        <w:trPr>
          <w:trHeight w:val="300"/>
        </w:trPr>
        <w:tc>
          <w:tcPr>
            <w:tcW w:w="1803" w:type="dxa"/>
            <w:tcMar/>
          </w:tcPr>
          <w:p w:rsidR="425A1FD8" w:rsidP="6D0F4A22" w:rsidRDefault="425A1FD8" w14:paraId="1859C8F0" w14:textId="2B120B20">
            <w:pPr>
              <w:pStyle w:val="Normal"/>
              <w:bidi w:val="0"/>
              <w:jc w:val="center"/>
              <w:rPr>
                <w:rFonts w:ascii="Arial" w:hAnsi="Arial" w:eastAsia="Arial" w:cs="Arial"/>
                <w:b w:val="1"/>
                <w:bCs w:val="1"/>
                <w:noProof w:val="0"/>
                <w:color w:val="auto"/>
                <w:sz w:val="22"/>
                <w:szCs w:val="22"/>
                <w:lang w:val="en-GB"/>
              </w:rPr>
            </w:pPr>
            <w:r w:rsidRPr="6D0F4A22" w:rsidR="425A1FD8">
              <w:rPr>
                <w:rFonts w:ascii="Arial" w:hAnsi="Arial" w:eastAsia="Arial" w:cs="Arial"/>
                <w:b w:val="1"/>
                <w:bCs w:val="1"/>
                <w:noProof w:val="0"/>
                <w:color w:val="auto"/>
                <w:sz w:val="22"/>
                <w:szCs w:val="22"/>
                <w:lang w:val="en-GB"/>
              </w:rPr>
              <w:t>Study</w:t>
            </w:r>
          </w:p>
        </w:tc>
        <w:tc>
          <w:tcPr>
            <w:tcW w:w="1803" w:type="dxa"/>
            <w:tcMar/>
          </w:tcPr>
          <w:p w:rsidR="425A1FD8" w:rsidP="6D0F4A22" w:rsidRDefault="425A1FD8" w14:paraId="6B3A8904" w14:textId="1EA3B0D5">
            <w:pPr>
              <w:pStyle w:val="Normal"/>
              <w:bidi w:val="0"/>
              <w:jc w:val="center"/>
              <w:rPr>
                <w:rFonts w:ascii="Arial" w:hAnsi="Arial" w:eastAsia="Arial" w:cs="Arial"/>
                <w:b w:val="1"/>
                <w:bCs w:val="1"/>
                <w:noProof w:val="0"/>
                <w:color w:val="auto"/>
                <w:sz w:val="22"/>
                <w:szCs w:val="22"/>
                <w:lang w:val="en-GB"/>
              </w:rPr>
            </w:pPr>
            <w:r w:rsidRPr="6D0F4A22" w:rsidR="425A1FD8">
              <w:rPr>
                <w:rFonts w:ascii="Arial" w:hAnsi="Arial" w:eastAsia="Arial" w:cs="Arial"/>
                <w:b w:val="1"/>
                <w:bCs w:val="1"/>
                <w:noProof w:val="0"/>
                <w:color w:val="auto"/>
                <w:sz w:val="22"/>
                <w:szCs w:val="22"/>
                <w:lang w:val="en-GB"/>
              </w:rPr>
              <w:t>Aim</w:t>
            </w:r>
          </w:p>
        </w:tc>
        <w:tc>
          <w:tcPr>
            <w:tcW w:w="1803" w:type="dxa"/>
            <w:tcMar/>
          </w:tcPr>
          <w:p w:rsidR="425A1FD8" w:rsidP="6D0F4A22" w:rsidRDefault="425A1FD8" w14:paraId="32DD4CCE" w14:textId="6B0AE7EC">
            <w:pPr>
              <w:pStyle w:val="Normal"/>
              <w:bidi w:val="0"/>
              <w:jc w:val="center"/>
              <w:rPr>
                <w:rFonts w:ascii="Arial" w:hAnsi="Arial" w:eastAsia="Arial" w:cs="Arial"/>
                <w:b w:val="1"/>
                <w:bCs w:val="1"/>
                <w:noProof w:val="0"/>
                <w:color w:val="auto"/>
                <w:sz w:val="22"/>
                <w:szCs w:val="22"/>
                <w:lang w:val="en-GB"/>
              </w:rPr>
            </w:pPr>
            <w:r w:rsidRPr="6D0F4A22" w:rsidR="425A1FD8">
              <w:rPr>
                <w:rFonts w:ascii="Arial" w:hAnsi="Arial" w:eastAsia="Arial" w:cs="Arial"/>
                <w:b w:val="1"/>
                <w:bCs w:val="1"/>
                <w:noProof w:val="0"/>
                <w:color w:val="auto"/>
                <w:sz w:val="22"/>
                <w:szCs w:val="22"/>
                <w:lang w:val="en-GB"/>
              </w:rPr>
              <w:t>Design &amp; Sample</w:t>
            </w:r>
          </w:p>
        </w:tc>
        <w:tc>
          <w:tcPr>
            <w:tcW w:w="1803" w:type="dxa"/>
            <w:tcMar/>
          </w:tcPr>
          <w:p w:rsidR="425A1FD8" w:rsidP="6D0F4A22" w:rsidRDefault="425A1FD8" w14:paraId="22A47057" w14:textId="65FF883A">
            <w:pPr>
              <w:pStyle w:val="Normal"/>
              <w:bidi w:val="0"/>
              <w:jc w:val="center"/>
              <w:rPr>
                <w:rFonts w:ascii="Arial" w:hAnsi="Arial" w:eastAsia="Arial" w:cs="Arial"/>
                <w:b w:val="1"/>
                <w:bCs w:val="1"/>
                <w:noProof w:val="0"/>
                <w:color w:val="auto"/>
                <w:sz w:val="22"/>
                <w:szCs w:val="22"/>
                <w:lang w:val="en-GB"/>
              </w:rPr>
            </w:pPr>
            <w:r w:rsidRPr="6D0F4A22" w:rsidR="425A1FD8">
              <w:rPr>
                <w:rFonts w:ascii="Arial" w:hAnsi="Arial" w:eastAsia="Arial" w:cs="Arial"/>
                <w:b w:val="1"/>
                <w:bCs w:val="1"/>
                <w:noProof w:val="0"/>
                <w:color w:val="auto"/>
                <w:sz w:val="22"/>
                <w:szCs w:val="22"/>
                <w:lang w:val="en-GB"/>
              </w:rPr>
              <w:t>Setting</w:t>
            </w:r>
          </w:p>
        </w:tc>
        <w:tc>
          <w:tcPr>
            <w:tcW w:w="1803" w:type="dxa"/>
            <w:tcMar/>
          </w:tcPr>
          <w:p w:rsidR="425A1FD8" w:rsidP="6D0F4A22" w:rsidRDefault="425A1FD8" w14:paraId="352BA193" w14:textId="69585242">
            <w:pPr>
              <w:pStyle w:val="Normal"/>
              <w:bidi w:val="0"/>
              <w:jc w:val="center"/>
              <w:rPr>
                <w:rFonts w:ascii="Arial" w:hAnsi="Arial" w:eastAsia="Arial" w:cs="Arial"/>
                <w:b w:val="1"/>
                <w:bCs w:val="1"/>
                <w:noProof w:val="0"/>
                <w:color w:val="auto"/>
                <w:sz w:val="22"/>
                <w:szCs w:val="22"/>
                <w:lang w:val="en-GB"/>
              </w:rPr>
            </w:pPr>
            <w:r w:rsidRPr="6D0F4A22" w:rsidR="425A1FD8">
              <w:rPr>
                <w:rFonts w:ascii="Arial" w:hAnsi="Arial" w:eastAsia="Arial" w:cs="Arial"/>
                <w:b w:val="1"/>
                <w:bCs w:val="1"/>
                <w:noProof w:val="0"/>
                <w:color w:val="auto"/>
                <w:sz w:val="22"/>
                <w:szCs w:val="22"/>
                <w:lang w:val="en-GB"/>
              </w:rPr>
              <w:t>Key Findings</w:t>
            </w:r>
          </w:p>
        </w:tc>
      </w:tr>
      <w:tr w:rsidR="6D0F4A22" w:rsidTr="6D0F4A22" w14:paraId="6F0F78D7">
        <w:trPr>
          <w:trHeight w:val="300"/>
        </w:trPr>
        <w:tc>
          <w:tcPr>
            <w:tcW w:w="1803" w:type="dxa"/>
            <w:tcMar/>
          </w:tcPr>
          <w:p w:rsidR="425A1FD8" w:rsidP="6D0F4A22" w:rsidRDefault="425A1FD8" w14:paraId="666F6CB7" w14:textId="239AE787">
            <w:pPr>
              <w:bidi w:val="0"/>
              <w:spacing w:before="30" w:beforeAutospacing="off" w:after="30" w:afterAutospacing="off"/>
              <w:rPr>
                <w:color w:val="auto"/>
                <w:sz w:val="22"/>
                <w:szCs w:val="22"/>
              </w:rPr>
            </w:pPr>
            <w:r w:rsidRPr="6D0F4A22" w:rsidR="425A1FD8">
              <w:rPr>
                <w:color w:val="auto"/>
                <w:sz w:val="22"/>
                <w:szCs w:val="22"/>
              </w:rPr>
              <w:t>Honeyman et al. (2020)</w:t>
            </w:r>
          </w:p>
        </w:tc>
        <w:tc>
          <w:tcPr>
            <w:tcW w:w="1803" w:type="dxa"/>
            <w:tcMar/>
          </w:tcPr>
          <w:p w:rsidR="425A1FD8" w:rsidP="6D0F4A22" w:rsidRDefault="425A1FD8" w14:paraId="7CADECE6" w14:textId="706E2838">
            <w:pPr>
              <w:bidi w:val="0"/>
              <w:spacing w:before="30" w:beforeAutospacing="off" w:after="30" w:afterAutospacing="off"/>
              <w:rPr>
                <w:color w:val="auto"/>
                <w:sz w:val="22"/>
                <w:szCs w:val="22"/>
              </w:rPr>
            </w:pPr>
            <w:r w:rsidRPr="6D0F4A22" w:rsidR="425A1FD8">
              <w:rPr>
                <w:color w:val="auto"/>
                <w:sz w:val="22"/>
                <w:szCs w:val="22"/>
              </w:rPr>
              <w:t>Explore how digital technology contributes to health inequalities.</w:t>
            </w:r>
          </w:p>
        </w:tc>
        <w:tc>
          <w:tcPr>
            <w:tcW w:w="1803" w:type="dxa"/>
            <w:tcMar/>
          </w:tcPr>
          <w:p w:rsidR="425A1FD8" w:rsidP="6D0F4A22" w:rsidRDefault="425A1FD8" w14:paraId="1B82EFF3" w14:textId="269C3A2D">
            <w:pPr>
              <w:bidi w:val="0"/>
              <w:spacing w:before="30" w:beforeAutospacing="off" w:after="30" w:afterAutospacing="off"/>
              <w:rPr>
                <w:color w:val="auto"/>
                <w:sz w:val="22"/>
                <w:szCs w:val="22"/>
              </w:rPr>
            </w:pPr>
            <w:r w:rsidRPr="6D0F4A22" w:rsidR="425A1FD8">
              <w:rPr>
                <w:color w:val="auto"/>
                <w:sz w:val="22"/>
                <w:szCs w:val="22"/>
              </w:rPr>
              <w:t>Scoping review</w:t>
            </w:r>
          </w:p>
        </w:tc>
        <w:tc>
          <w:tcPr>
            <w:tcW w:w="1803" w:type="dxa"/>
            <w:tcMar/>
          </w:tcPr>
          <w:p w:rsidR="425A1FD8" w:rsidP="6D0F4A22" w:rsidRDefault="425A1FD8" w14:paraId="34B8BCD4" w14:textId="0BB4CF2B">
            <w:pPr>
              <w:bidi w:val="0"/>
              <w:spacing w:before="30" w:beforeAutospacing="off" w:after="30" w:afterAutospacing="off"/>
              <w:rPr>
                <w:color w:val="auto"/>
                <w:sz w:val="22"/>
                <w:szCs w:val="22"/>
              </w:rPr>
            </w:pPr>
            <w:r w:rsidRPr="6D0F4A22" w:rsidR="425A1FD8">
              <w:rPr>
                <w:color w:val="auto"/>
                <w:sz w:val="22"/>
                <w:szCs w:val="22"/>
              </w:rPr>
              <w:t>UK</w:t>
            </w:r>
          </w:p>
        </w:tc>
        <w:tc>
          <w:tcPr>
            <w:tcW w:w="1803" w:type="dxa"/>
            <w:tcMar/>
          </w:tcPr>
          <w:p w:rsidR="425A1FD8" w:rsidP="6D0F4A22" w:rsidRDefault="425A1FD8" w14:paraId="449D6A67" w14:textId="1991C6C8">
            <w:pPr>
              <w:bidi w:val="0"/>
              <w:spacing w:before="30" w:beforeAutospacing="off" w:after="30" w:afterAutospacing="off"/>
              <w:rPr>
                <w:color w:val="auto"/>
                <w:sz w:val="22"/>
                <w:szCs w:val="22"/>
              </w:rPr>
            </w:pPr>
            <w:r w:rsidRPr="6D0F4A22" w:rsidR="425A1FD8">
              <w:rPr>
                <w:color w:val="auto"/>
                <w:sz w:val="22"/>
                <w:szCs w:val="22"/>
              </w:rPr>
              <w:t xml:space="preserve">Low skills, poor access, </w:t>
            </w:r>
            <w:r w:rsidRPr="6D0F4A22" w:rsidR="425A1FD8">
              <w:rPr>
                <w:color w:val="auto"/>
                <w:sz w:val="22"/>
                <w:szCs w:val="22"/>
              </w:rPr>
              <w:t>affordability</w:t>
            </w:r>
            <w:r w:rsidRPr="6D0F4A22" w:rsidR="425A1FD8">
              <w:rPr>
                <w:color w:val="auto"/>
                <w:sz w:val="22"/>
                <w:szCs w:val="22"/>
              </w:rPr>
              <w:t xml:space="preserve"> and lack of support</w:t>
            </w:r>
            <w:r w:rsidRPr="6D0F4A22" w:rsidR="16140FBC">
              <w:rPr>
                <w:color w:val="auto"/>
                <w:sz w:val="22"/>
                <w:szCs w:val="22"/>
              </w:rPr>
              <w:t>.</w:t>
            </w:r>
          </w:p>
        </w:tc>
      </w:tr>
      <w:tr w:rsidR="6D0F4A22" w:rsidTr="6D0F4A22" w14:paraId="790D6BBB">
        <w:trPr>
          <w:trHeight w:val="300"/>
        </w:trPr>
        <w:tc>
          <w:tcPr>
            <w:tcW w:w="1803" w:type="dxa"/>
            <w:tcMar/>
          </w:tcPr>
          <w:p w:rsidR="425A1FD8" w:rsidP="6D0F4A22" w:rsidRDefault="425A1FD8" w14:paraId="4678B2AD" w14:textId="7277DB60">
            <w:pPr>
              <w:bidi w:val="0"/>
              <w:spacing w:before="30" w:beforeAutospacing="off" w:after="30" w:afterAutospacing="off"/>
              <w:rPr>
                <w:color w:val="auto"/>
                <w:sz w:val="22"/>
                <w:szCs w:val="22"/>
              </w:rPr>
            </w:pPr>
            <w:r w:rsidRPr="6D0F4A22" w:rsidR="425A1FD8">
              <w:rPr>
                <w:color w:val="auto"/>
                <w:sz w:val="22"/>
                <w:szCs w:val="22"/>
              </w:rPr>
              <w:t>Greenhalgh et al. (2020)</w:t>
            </w:r>
          </w:p>
        </w:tc>
        <w:tc>
          <w:tcPr>
            <w:tcW w:w="1803" w:type="dxa"/>
            <w:tcMar/>
          </w:tcPr>
          <w:p w:rsidR="425A1FD8" w:rsidP="6D0F4A22" w:rsidRDefault="425A1FD8" w14:paraId="1ABEF2EB" w14:textId="067A245D">
            <w:pPr>
              <w:bidi w:val="0"/>
              <w:spacing w:before="30" w:beforeAutospacing="off" w:after="30" w:afterAutospacing="off"/>
              <w:rPr>
                <w:color w:val="auto"/>
                <w:sz w:val="22"/>
                <w:szCs w:val="22"/>
              </w:rPr>
            </w:pPr>
            <w:r w:rsidRPr="6D0F4A22" w:rsidR="425A1FD8">
              <w:rPr>
                <w:color w:val="auto"/>
                <w:sz w:val="22"/>
                <w:szCs w:val="22"/>
              </w:rPr>
              <w:t>Examine barriers to video consultations for older adults.</w:t>
            </w:r>
          </w:p>
        </w:tc>
        <w:tc>
          <w:tcPr>
            <w:tcW w:w="1803" w:type="dxa"/>
            <w:tcMar/>
          </w:tcPr>
          <w:p w:rsidR="425A1FD8" w:rsidP="6D0F4A22" w:rsidRDefault="425A1FD8" w14:paraId="2D2F053A" w14:textId="5E367065">
            <w:pPr>
              <w:pStyle w:val="Normal"/>
              <w:bidi w:val="0"/>
              <w:rPr>
                <w:color w:val="auto"/>
                <w:sz w:val="22"/>
                <w:szCs w:val="22"/>
              </w:rPr>
            </w:pPr>
            <w:r w:rsidRPr="6D0F4A22" w:rsidR="425A1FD8">
              <w:rPr>
                <w:color w:val="auto"/>
                <w:sz w:val="22"/>
                <w:szCs w:val="22"/>
              </w:rPr>
              <w:t>Qualitative interviews</w:t>
            </w:r>
          </w:p>
        </w:tc>
        <w:tc>
          <w:tcPr>
            <w:tcW w:w="1803" w:type="dxa"/>
            <w:tcMar/>
          </w:tcPr>
          <w:p w:rsidR="425A1FD8" w:rsidP="6D0F4A22" w:rsidRDefault="425A1FD8" w14:paraId="0257FAE0" w14:textId="2A22CA06">
            <w:pPr>
              <w:bidi w:val="0"/>
              <w:spacing w:before="30" w:beforeAutospacing="off" w:after="30" w:afterAutospacing="off"/>
              <w:rPr>
                <w:color w:val="auto"/>
                <w:sz w:val="22"/>
                <w:szCs w:val="22"/>
              </w:rPr>
            </w:pPr>
            <w:r w:rsidRPr="6D0F4A22" w:rsidR="425A1FD8">
              <w:rPr>
                <w:color w:val="auto"/>
                <w:sz w:val="22"/>
                <w:szCs w:val="22"/>
              </w:rPr>
              <w:t>UK primary care</w:t>
            </w:r>
          </w:p>
        </w:tc>
        <w:tc>
          <w:tcPr>
            <w:tcW w:w="1803" w:type="dxa"/>
            <w:tcMar/>
          </w:tcPr>
          <w:p w:rsidR="425A1FD8" w:rsidP="6D0F4A22" w:rsidRDefault="425A1FD8" w14:paraId="2C41F7B2" w14:textId="52584163">
            <w:pPr>
              <w:pStyle w:val="Normal"/>
              <w:bidi w:val="0"/>
              <w:rPr>
                <w:color w:val="auto"/>
                <w:sz w:val="22"/>
                <w:szCs w:val="22"/>
              </w:rPr>
            </w:pPr>
            <w:r w:rsidRPr="6D0F4A22" w:rsidR="425A1FD8">
              <w:rPr>
                <w:color w:val="auto"/>
                <w:sz w:val="22"/>
                <w:szCs w:val="22"/>
              </w:rPr>
              <w:t xml:space="preserve">Cognitive load, usability issues, </w:t>
            </w:r>
            <w:r w:rsidRPr="6D0F4A22" w:rsidR="425A1FD8">
              <w:rPr>
                <w:color w:val="auto"/>
                <w:sz w:val="22"/>
                <w:szCs w:val="22"/>
              </w:rPr>
              <w:t>anxiety</w:t>
            </w:r>
            <w:r w:rsidRPr="6D0F4A22" w:rsidR="7EB46DB4">
              <w:rPr>
                <w:color w:val="auto"/>
                <w:sz w:val="22"/>
                <w:szCs w:val="22"/>
              </w:rPr>
              <w:t xml:space="preserve"> and</w:t>
            </w:r>
            <w:r w:rsidRPr="6D0F4A22" w:rsidR="425A1FD8">
              <w:rPr>
                <w:color w:val="auto"/>
                <w:sz w:val="22"/>
                <w:szCs w:val="22"/>
              </w:rPr>
              <w:t xml:space="preserve"> physical limitations</w:t>
            </w:r>
            <w:r w:rsidRPr="6D0F4A22" w:rsidR="2EEC79EA">
              <w:rPr>
                <w:color w:val="auto"/>
                <w:sz w:val="22"/>
                <w:szCs w:val="22"/>
              </w:rPr>
              <w:t>.</w:t>
            </w:r>
          </w:p>
        </w:tc>
      </w:tr>
      <w:tr w:rsidR="6D0F4A22" w:rsidTr="6D0F4A22" w14:paraId="02296DF0">
        <w:trPr>
          <w:trHeight w:val="300"/>
        </w:trPr>
        <w:tc>
          <w:tcPr>
            <w:tcW w:w="1803" w:type="dxa"/>
            <w:tcMar/>
          </w:tcPr>
          <w:p w:rsidR="425A1FD8" w:rsidP="6D0F4A22" w:rsidRDefault="425A1FD8" w14:paraId="2DE2CE28" w14:textId="1F913863">
            <w:pPr>
              <w:bidi w:val="0"/>
              <w:spacing w:before="30" w:beforeAutospacing="off" w:after="30" w:afterAutospacing="off"/>
              <w:rPr>
                <w:color w:val="auto"/>
                <w:sz w:val="22"/>
                <w:szCs w:val="22"/>
              </w:rPr>
            </w:pPr>
            <w:r w:rsidRPr="6D0F4A22" w:rsidR="425A1FD8">
              <w:rPr>
                <w:color w:val="auto"/>
                <w:sz w:val="22"/>
                <w:szCs w:val="22"/>
              </w:rPr>
              <w:t>Friemel (2016)</w:t>
            </w:r>
          </w:p>
        </w:tc>
        <w:tc>
          <w:tcPr>
            <w:tcW w:w="1803" w:type="dxa"/>
            <w:tcMar/>
          </w:tcPr>
          <w:p w:rsidR="425A1FD8" w:rsidP="6D0F4A22" w:rsidRDefault="425A1FD8" w14:paraId="39647B8C" w14:textId="407686A5">
            <w:pPr>
              <w:bidi w:val="0"/>
              <w:spacing w:before="30" w:beforeAutospacing="off" w:after="30" w:afterAutospacing="off"/>
              <w:rPr>
                <w:color w:val="auto"/>
                <w:sz w:val="22"/>
                <w:szCs w:val="22"/>
              </w:rPr>
            </w:pPr>
            <w:r w:rsidRPr="6D0F4A22" w:rsidR="425A1FD8">
              <w:rPr>
                <w:color w:val="auto"/>
                <w:sz w:val="22"/>
                <w:szCs w:val="22"/>
              </w:rPr>
              <w:t>Investigate digital divide among older adults.</w:t>
            </w:r>
          </w:p>
        </w:tc>
        <w:tc>
          <w:tcPr>
            <w:tcW w:w="1803" w:type="dxa"/>
            <w:tcMar/>
          </w:tcPr>
          <w:p w:rsidR="425A1FD8" w:rsidP="6D0F4A22" w:rsidRDefault="425A1FD8" w14:paraId="20953AF2" w14:textId="5E24D675">
            <w:pPr>
              <w:pStyle w:val="Normal"/>
              <w:bidi w:val="0"/>
              <w:rPr>
                <w:color w:val="auto"/>
                <w:sz w:val="22"/>
                <w:szCs w:val="22"/>
              </w:rPr>
            </w:pPr>
            <w:r w:rsidRPr="6D0F4A22" w:rsidR="425A1FD8">
              <w:rPr>
                <w:color w:val="auto"/>
                <w:sz w:val="22"/>
                <w:szCs w:val="22"/>
              </w:rPr>
              <w:t>Quantitative survey</w:t>
            </w:r>
          </w:p>
        </w:tc>
        <w:tc>
          <w:tcPr>
            <w:tcW w:w="1803" w:type="dxa"/>
            <w:tcMar/>
          </w:tcPr>
          <w:p w:rsidR="425A1FD8" w:rsidP="6D0F4A22" w:rsidRDefault="425A1FD8" w14:paraId="0276DC4A" w14:textId="5ED90244">
            <w:pPr>
              <w:bidi w:val="0"/>
              <w:spacing w:before="30" w:beforeAutospacing="off" w:after="30" w:afterAutospacing="off"/>
              <w:rPr>
                <w:color w:val="auto"/>
                <w:sz w:val="22"/>
                <w:szCs w:val="22"/>
              </w:rPr>
            </w:pPr>
            <w:r w:rsidRPr="6D0F4A22" w:rsidR="425A1FD8">
              <w:rPr>
                <w:color w:val="auto"/>
                <w:sz w:val="22"/>
                <w:szCs w:val="22"/>
              </w:rPr>
              <w:t>Europe (UK‑relevant)</w:t>
            </w:r>
          </w:p>
        </w:tc>
        <w:tc>
          <w:tcPr>
            <w:tcW w:w="1803" w:type="dxa"/>
            <w:tcMar/>
          </w:tcPr>
          <w:p w:rsidR="425A1FD8" w:rsidP="6D0F4A22" w:rsidRDefault="425A1FD8" w14:paraId="611475FA" w14:textId="69B88162">
            <w:pPr>
              <w:pStyle w:val="Normal"/>
              <w:bidi w:val="0"/>
              <w:rPr>
                <w:color w:val="auto"/>
                <w:sz w:val="22"/>
                <w:szCs w:val="22"/>
              </w:rPr>
            </w:pPr>
            <w:r w:rsidRPr="6D0F4A22" w:rsidR="425A1FD8">
              <w:rPr>
                <w:color w:val="auto"/>
                <w:sz w:val="22"/>
                <w:szCs w:val="22"/>
              </w:rPr>
              <w:t>Low digital literacy</w:t>
            </w:r>
            <w:r w:rsidRPr="6D0F4A22" w:rsidR="2A9820A1">
              <w:rPr>
                <w:color w:val="auto"/>
                <w:sz w:val="22"/>
                <w:szCs w:val="22"/>
              </w:rPr>
              <w:t xml:space="preserve"> and </w:t>
            </w:r>
            <w:r w:rsidRPr="6D0F4A22" w:rsidR="425A1FD8">
              <w:rPr>
                <w:color w:val="auto"/>
                <w:sz w:val="22"/>
                <w:szCs w:val="22"/>
              </w:rPr>
              <w:t>low confidence</w:t>
            </w:r>
            <w:r w:rsidRPr="6D0F4A22" w:rsidR="47874311">
              <w:rPr>
                <w:color w:val="auto"/>
                <w:sz w:val="22"/>
                <w:szCs w:val="22"/>
              </w:rPr>
              <w:t>,</w:t>
            </w:r>
          </w:p>
        </w:tc>
      </w:tr>
      <w:tr w:rsidR="6D0F4A22" w:rsidTr="6D0F4A22" w14:paraId="737FFD16">
        <w:trPr>
          <w:trHeight w:val="300"/>
        </w:trPr>
        <w:tc>
          <w:tcPr>
            <w:tcW w:w="1803" w:type="dxa"/>
            <w:tcMar/>
          </w:tcPr>
          <w:p w:rsidR="425A1FD8" w:rsidP="6D0F4A22" w:rsidRDefault="425A1FD8" w14:paraId="00EB4B3C" w14:textId="16244600">
            <w:pPr>
              <w:bidi w:val="0"/>
              <w:spacing w:before="30" w:beforeAutospacing="off" w:after="30" w:afterAutospacing="off"/>
              <w:rPr>
                <w:color w:val="auto"/>
                <w:sz w:val="22"/>
                <w:szCs w:val="22"/>
              </w:rPr>
            </w:pPr>
            <w:r w:rsidRPr="6D0F4A22" w:rsidR="425A1FD8">
              <w:rPr>
                <w:color w:val="auto"/>
                <w:sz w:val="22"/>
                <w:szCs w:val="22"/>
              </w:rPr>
              <w:t>Watts et al. (2023)</w:t>
            </w:r>
          </w:p>
        </w:tc>
        <w:tc>
          <w:tcPr>
            <w:tcW w:w="1803" w:type="dxa"/>
            <w:tcMar/>
          </w:tcPr>
          <w:p w:rsidR="425A1FD8" w:rsidP="6D0F4A22" w:rsidRDefault="425A1FD8" w14:paraId="0B48F22D" w14:textId="3736A146">
            <w:pPr>
              <w:bidi w:val="0"/>
              <w:spacing w:before="30" w:beforeAutospacing="off" w:after="30" w:afterAutospacing="off"/>
              <w:rPr>
                <w:color w:val="auto"/>
                <w:sz w:val="22"/>
                <w:szCs w:val="22"/>
              </w:rPr>
            </w:pPr>
            <w:r w:rsidRPr="6D0F4A22" w:rsidR="425A1FD8">
              <w:rPr>
                <w:color w:val="auto"/>
                <w:sz w:val="22"/>
                <w:szCs w:val="22"/>
              </w:rPr>
              <w:t>Analyse digital health inequalities in ageing populations.</w:t>
            </w:r>
          </w:p>
        </w:tc>
        <w:tc>
          <w:tcPr>
            <w:tcW w:w="1803" w:type="dxa"/>
            <w:tcMar/>
          </w:tcPr>
          <w:p w:rsidR="425A1FD8" w:rsidP="6D0F4A22" w:rsidRDefault="425A1FD8" w14:paraId="2B374641" w14:textId="1156C3B9">
            <w:pPr>
              <w:pStyle w:val="Normal"/>
              <w:bidi w:val="0"/>
              <w:rPr>
                <w:color w:val="auto"/>
                <w:sz w:val="22"/>
                <w:szCs w:val="22"/>
              </w:rPr>
            </w:pPr>
            <w:r w:rsidRPr="6D0F4A22" w:rsidR="425A1FD8">
              <w:rPr>
                <w:color w:val="auto"/>
                <w:sz w:val="22"/>
                <w:szCs w:val="22"/>
              </w:rPr>
              <w:t>Narrative review</w:t>
            </w:r>
          </w:p>
        </w:tc>
        <w:tc>
          <w:tcPr>
            <w:tcW w:w="1803" w:type="dxa"/>
            <w:tcMar/>
          </w:tcPr>
          <w:p w:rsidR="425A1FD8" w:rsidP="6D0F4A22" w:rsidRDefault="425A1FD8" w14:paraId="6D13E509" w14:textId="18489BB6">
            <w:pPr>
              <w:bidi w:val="0"/>
              <w:spacing w:before="30" w:beforeAutospacing="off" w:after="30" w:afterAutospacing="off"/>
              <w:rPr>
                <w:color w:val="auto"/>
                <w:sz w:val="22"/>
                <w:szCs w:val="22"/>
              </w:rPr>
            </w:pPr>
            <w:r w:rsidRPr="6D0F4A22" w:rsidR="425A1FD8">
              <w:rPr>
                <w:color w:val="auto"/>
                <w:sz w:val="22"/>
                <w:szCs w:val="22"/>
              </w:rPr>
              <w:t>UK</w:t>
            </w:r>
          </w:p>
        </w:tc>
        <w:tc>
          <w:tcPr>
            <w:tcW w:w="1803" w:type="dxa"/>
            <w:tcMar/>
          </w:tcPr>
          <w:p w:rsidR="425A1FD8" w:rsidP="6D0F4A22" w:rsidRDefault="425A1FD8" w14:paraId="340A78DB" w14:textId="3AD18DA9">
            <w:pPr>
              <w:pStyle w:val="Normal"/>
              <w:bidi w:val="0"/>
              <w:rPr>
                <w:color w:val="auto"/>
                <w:sz w:val="22"/>
                <w:szCs w:val="22"/>
              </w:rPr>
            </w:pPr>
            <w:r w:rsidRPr="6D0F4A22" w:rsidR="425A1FD8">
              <w:rPr>
                <w:color w:val="auto"/>
                <w:sz w:val="22"/>
                <w:szCs w:val="22"/>
              </w:rPr>
              <w:t xml:space="preserve">Rural connectivity, cost </w:t>
            </w:r>
            <w:r w:rsidRPr="6D0F4A22" w:rsidR="425A1FD8">
              <w:rPr>
                <w:color w:val="auto"/>
                <w:sz w:val="22"/>
                <w:szCs w:val="22"/>
              </w:rPr>
              <w:t>barriers</w:t>
            </w:r>
            <w:r w:rsidRPr="6D0F4A22" w:rsidR="3C042901">
              <w:rPr>
                <w:color w:val="auto"/>
                <w:sz w:val="22"/>
                <w:szCs w:val="22"/>
              </w:rPr>
              <w:t xml:space="preserve"> and</w:t>
            </w:r>
            <w:r w:rsidRPr="6D0F4A22" w:rsidR="425A1FD8">
              <w:rPr>
                <w:color w:val="auto"/>
                <w:sz w:val="22"/>
                <w:szCs w:val="22"/>
              </w:rPr>
              <w:t xml:space="preserve"> service design issues</w:t>
            </w:r>
            <w:r w:rsidRPr="6D0F4A22" w:rsidR="2444EDDD">
              <w:rPr>
                <w:color w:val="auto"/>
                <w:sz w:val="22"/>
                <w:szCs w:val="22"/>
              </w:rPr>
              <w:t>.</w:t>
            </w:r>
          </w:p>
        </w:tc>
      </w:tr>
      <w:tr w:rsidR="6D0F4A22" w:rsidTr="6D0F4A22" w14:paraId="138BC258">
        <w:trPr>
          <w:trHeight w:val="300"/>
        </w:trPr>
        <w:tc>
          <w:tcPr>
            <w:tcW w:w="1803" w:type="dxa"/>
            <w:tcMar/>
          </w:tcPr>
          <w:p w:rsidR="425A1FD8" w:rsidP="6D0F4A22" w:rsidRDefault="425A1FD8" w14:paraId="7417E675" w14:textId="25BAC059">
            <w:pPr>
              <w:bidi w:val="0"/>
              <w:spacing w:before="30" w:beforeAutospacing="off" w:after="30" w:afterAutospacing="off"/>
              <w:rPr>
                <w:color w:val="auto"/>
                <w:sz w:val="22"/>
                <w:szCs w:val="22"/>
              </w:rPr>
            </w:pPr>
            <w:r w:rsidRPr="6D0F4A22" w:rsidR="425A1FD8">
              <w:rPr>
                <w:color w:val="auto"/>
                <w:sz w:val="22"/>
                <w:szCs w:val="22"/>
              </w:rPr>
              <w:t>Mitzner et al. (2019)</w:t>
            </w:r>
          </w:p>
        </w:tc>
        <w:tc>
          <w:tcPr>
            <w:tcW w:w="1803" w:type="dxa"/>
            <w:tcMar/>
          </w:tcPr>
          <w:p w:rsidR="425A1FD8" w:rsidP="6D0F4A22" w:rsidRDefault="425A1FD8" w14:paraId="17C50184" w14:textId="2CEBC5B5">
            <w:pPr>
              <w:bidi w:val="0"/>
              <w:spacing w:before="30" w:beforeAutospacing="off" w:after="30" w:afterAutospacing="off"/>
              <w:rPr>
                <w:color w:val="auto"/>
                <w:sz w:val="22"/>
                <w:szCs w:val="22"/>
              </w:rPr>
            </w:pPr>
            <w:r w:rsidRPr="6D0F4A22" w:rsidR="425A1FD8">
              <w:rPr>
                <w:color w:val="auto"/>
                <w:sz w:val="22"/>
                <w:szCs w:val="22"/>
              </w:rPr>
              <w:t>Explore privacy/security concerns in older adults.</w:t>
            </w:r>
          </w:p>
          <w:p w:rsidR="6D0F4A22" w:rsidP="6D0F4A22" w:rsidRDefault="6D0F4A22" w14:paraId="166F6B54" w14:textId="2C4496AF">
            <w:pPr>
              <w:pStyle w:val="Normal"/>
              <w:bidi w:val="0"/>
              <w:rPr>
                <w:rFonts w:ascii="Arial" w:hAnsi="Arial" w:eastAsia="Arial" w:cs="Arial"/>
                <w:b w:val="1"/>
                <w:bCs w:val="1"/>
                <w:noProof w:val="0"/>
                <w:color w:val="auto"/>
                <w:sz w:val="22"/>
                <w:szCs w:val="22"/>
                <w:lang w:val="en-GB"/>
              </w:rPr>
            </w:pPr>
          </w:p>
        </w:tc>
        <w:tc>
          <w:tcPr>
            <w:tcW w:w="1803" w:type="dxa"/>
            <w:tcMar/>
          </w:tcPr>
          <w:p w:rsidR="425A1FD8" w:rsidP="6D0F4A22" w:rsidRDefault="425A1FD8" w14:paraId="4AC3144F" w14:textId="398AE218">
            <w:pPr>
              <w:pStyle w:val="Normal"/>
              <w:bidi w:val="0"/>
              <w:rPr>
                <w:color w:val="auto"/>
                <w:sz w:val="22"/>
                <w:szCs w:val="22"/>
              </w:rPr>
            </w:pPr>
            <w:r w:rsidRPr="6D0F4A22" w:rsidR="425A1FD8">
              <w:rPr>
                <w:color w:val="auto"/>
                <w:sz w:val="22"/>
                <w:szCs w:val="22"/>
              </w:rPr>
              <w:t>Mixed methods</w:t>
            </w:r>
          </w:p>
        </w:tc>
        <w:tc>
          <w:tcPr>
            <w:tcW w:w="1803" w:type="dxa"/>
            <w:tcMar/>
          </w:tcPr>
          <w:p w:rsidR="425A1FD8" w:rsidP="6D0F4A22" w:rsidRDefault="425A1FD8" w14:paraId="4951E5A6" w14:textId="6ADDAD59">
            <w:pPr>
              <w:bidi w:val="0"/>
              <w:spacing w:before="30" w:beforeAutospacing="off" w:after="30" w:afterAutospacing="off"/>
              <w:rPr>
                <w:color w:val="auto"/>
                <w:sz w:val="22"/>
                <w:szCs w:val="22"/>
              </w:rPr>
            </w:pPr>
            <w:r w:rsidRPr="6D0F4A22" w:rsidR="425A1FD8">
              <w:rPr>
                <w:color w:val="auto"/>
                <w:sz w:val="22"/>
                <w:szCs w:val="22"/>
              </w:rPr>
              <w:t>International (UK‑relevant)</w:t>
            </w:r>
          </w:p>
        </w:tc>
        <w:tc>
          <w:tcPr>
            <w:tcW w:w="1803" w:type="dxa"/>
            <w:tcMar/>
          </w:tcPr>
          <w:p w:rsidR="425A1FD8" w:rsidP="6D0F4A22" w:rsidRDefault="425A1FD8" w14:paraId="1FFC029A" w14:textId="54EE1501">
            <w:pPr>
              <w:pStyle w:val="Normal"/>
              <w:bidi w:val="0"/>
              <w:rPr>
                <w:color w:val="auto"/>
                <w:sz w:val="22"/>
                <w:szCs w:val="22"/>
              </w:rPr>
            </w:pPr>
            <w:r w:rsidRPr="6D0F4A22" w:rsidR="425A1FD8">
              <w:rPr>
                <w:color w:val="auto"/>
                <w:sz w:val="22"/>
                <w:szCs w:val="22"/>
              </w:rPr>
              <w:t xml:space="preserve">Privacy fears, </w:t>
            </w:r>
            <w:r w:rsidRPr="6D0F4A22" w:rsidR="425A1FD8">
              <w:rPr>
                <w:color w:val="auto"/>
                <w:sz w:val="22"/>
                <w:szCs w:val="22"/>
              </w:rPr>
              <w:t>mistrust</w:t>
            </w:r>
            <w:r w:rsidRPr="6D0F4A22" w:rsidR="296FD866">
              <w:rPr>
                <w:color w:val="auto"/>
                <w:sz w:val="22"/>
                <w:szCs w:val="22"/>
              </w:rPr>
              <w:t xml:space="preserve"> and </w:t>
            </w:r>
            <w:r w:rsidRPr="6D0F4A22" w:rsidR="425A1FD8">
              <w:rPr>
                <w:color w:val="auto"/>
                <w:sz w:val="22"/>
                <w:szCs w:val="22"/>
              </w:rPr>
              <w:t>data security concerns</w:t>
            </w:r>
            <w:r w:rsidRPr="6D0F4A22" w:rsidR="463B9D0F">
              <w:rPr>
                <w:color w:val="auto"/>
                <w:sz w:val="22"/>
                <w:szCs w:val="22"/>
              </w:rPr>
              <w:t>.</w:t>
            </w:r>
          </w:p>
        </w:tc>
      </w:tr>
    </w:tbl>
    <w:p xmlns:wp14="http://schemas.microsoft.com/office/word/2010/wordml" w:rsidP="6D0F4A22" wp14:paraId="7B66FC32" wp14:textId="51845707">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1A7C0CCA" wp14:textId="67C1DF21">
      <w:pPr>
        <w:bidi w:val="0"/>
        <w:spacing w:before="30" w:beforeAutospacing="off" w:after="30" w:afterAutospacing="off"/>
        <w:rPr>
          <w:rFonts w:ascii="Arial" w:hAnsi="Arial" w:eastAsia="Arial" w:cs="Arial"/>
          <w:noProof w:val="0"/>
          <w:color w:val="auto"/>
          <w:sz w:val="22"/>
          <w:szCs w:val="22"/>
          <w:lang w:val="en-GB"/>
        </w:rPr>
      </w:pPr>
    </w:p>
    <w:tbl>
      <w:tblPr>
        <w:tblStyle w:val="TableNormal"/>
        <w:bidiVisual w:val="0"/>
        <w:tblW w:w="0" w:type="auto"/>
        <w:tblLook w:val="06A0" w:firstRow="1" w:lastRow="0" w:firstColumn="1" w:lastColumn="0" w:noHBand="1" w:noVBand="1"/>
      </w:tblPr>
      <w:tblGrid>
        <w:gridCol w:w="1114"/>
        <w:gridCol w:w="2930"/>
        <w:gridCol w:w="998"/>
        <w:gridCol w:w="1244"/>
        <w:gridCol w:w="2728"/>
      </w:tblGrid>
      <w:tr w:rsidR="6D0F4A22" w:rsidTr="6D0F4A22" w14:paraId="22AE1A21">
        <w:trPr>
          <w:trHeight w:val="300"/>
        </w:trPr>
        <w:tc>
          <w:tcPr>
            <w:tcW w:w="1114" w:type="dxa"/>
            <w:tcMar/>
            <w:vAlign w:val="center"/>
          </w:tcPr>
          <w:p w:rsidR="6D0F4A22" w:rsidP="6D0F4A22" w:rsidRDefault="6D0F4A22" w14:paraId="2609FC96" w14:textId="1A550291">
            <w:pPr>
              <w:bidi w:val="0"/>
              <w:spacing w:before="30" w:beforeAutospacing="off" w:after="30" w:afterAutospacing="off"/>
              <w:jc w:val="center"/>
              <w:rPr>
                <w:b w:val="1"/>
                <w:bCs w:val="1"/>
                <w:color w:val="auto"/>
                <w:sz w:val="22"/>
                <w:szCs w:val="22"/>
              </w:rPr>
            </w:pPr>
          </w:p>
        </w:tc>
        <w:tc>
          <w:tcPr>
            <w:tcW w:w="2930" w:type="dxa"/>
            <w:tcMar/>
            <w:vAlign w:val="center"/>
          </w:tcPr>
          <w:p w:rsidR="6D0F4A22" w:rsidP="6D0F4A22" w:rsidRDefault="6D0F4A22" w14:paraId="01483A40" w14:textId="5B14820D">
            <w:pPr>
              <w:bidi w:val="0"/>
              <w:spacing w:before="30" w:beforeAutospacing="off" w:after="30" w:afterAutospacing="off"/>
              <w:jc w:val="center"/>
              <w:rPr>
                <w:b w:val="1"/>
                <w:bCs w:val="1"/>
                <w:color w:val="auto"/>
                <w:sz w:val="22"/>
                <w:szCs w:val="22"/>
              </w:rPr>
            </w:pPr>
          </w:p>
        </w:tc>
        <w:tc>
          <w:tcPr>
            <w:tcW w:w="998" w:type="dxa"/>
            <w:tcMar/>
            <w:vAlign w:val="center"/>
          </w:tcPr>
          <w:p w:rsidR="6D0F4A22" w:rsidP="6D0F4A22" w:rsidRDefault="6D0F4A22" w14:paraId="37995CFE" w14:textId="71B8D581">
            <w:pPr>
              <w:bidi w:val="0"/>
              <w:spacing w:before="30" w:beforeAutospacing="off" w:after="30" w:afterAutospacing="off"/>
              <w:jc w:val="center"/>
              <w:rPr>
                <w:b w:val="1"/>
                <w:bCs w:val="1"/>
                <w:color w:val="auto"/>
                <w:sz w:val="22"/>
                <w:szCs w:val="22"/>
              </w:rPr>
            </w:pPr>
          </w:p>
        </w:tc>
        <w:tc>
          <w:tcPr>
            <w:tcW w:w="1244" w:type="dxa"/>
            <w:tcMar/>
            <w:vAlign w:val="center"/>
          </w:tcPr>
          <w:p w:rsidR="6D0F4A22" w:rsidP="6D0F4A22" w:rsidRDefault="6D0F4A22" w14:paraId="7F71899C" w14:textId="541F0B77">
            <w:pPr>
              <w:bidi w:val="0"/>
              <w:spacing w:before="30" w:beforeAutospacing="off" w:after="30" w:afterAutospacing="off"/>
              <w:jc w:val="center"/>
              <w:rPr>
                <w:b w:val="1"/>
                <w:bCs w:val="1"/>
                <w:color w:val="auto"/>
                <w:sz w:val="22"/>
                <w:szCs w:val="22"/>
              </w:rPr>
            </w:pPr>
          </w:p>
        </w:tc>
        <w:tc>
          <w:tcPr>
            <w:tcW w:w="2728" w:type="dxa"/>
            <w:tcMar/>
            <w:vAlign w:val="center"/>
          </w:tcPr>
          <w:p w:rsidR="6D0F4A22" w:rsidP="6D0F4A22" w:rsidRDefault="6D0F4A22" w14:paraId="38BFE77E" w14:textId="7B9A342E">
            <w:pPr>
              <w:bidi w:val="0"/>
              <w:spacing w:before="30" w:beforeAutospacing="off" w:after="30" w:afterAutospacing="off"/>
              <w:jc w:val="center"/>
              <w:rPr>
                <w:b w:val="1"/>
                <w:bCs w:val="1"/>
                <w:color w:val="auto"/>
                <w:sz w:val="22"/>
                <w:szCs w:val="22"/>
              </w:rPr>
            </w:pPr>
          </w:p>
        </w:tc>
      </w:tr>
      <w:tr w:rsidR="6D0F4A22" w:rsidTr="6D0F4A22" w14:paraId="06EED562">
        <w:trPr>
          <w:trHeight w:val="300"/>
        </w:trPr>
        <w:tc>
          <w:tcPr>
            <w:tcW w:w="1114" w:type="dxa"/>
            <w:tcMar/>
            <w:vAlign w:val="center"/>
          </w:tcPr>
          <w:p w:rsidR="6D0F4A22" w:rsidP="6D0F4A22" w:rsidRDefault="6D0F4A22" w14:paraId="12D3292F" w14:textId="3AF1F5B7">
            <w:pPr>
              <w:bidi w:val="0"/>
              <w:spacing w:before="30" w:beforeAutospacing="off" w:after="30" w:afterAutospacing="off"/>
              <w:rPr>
                <w:color w:val="auto"/>
                <w:sz w:val="22"/>
                <w:szCs w:val="22"/>
              </w:rPr>
            </w:pPr>
          </w:p>
        </w:tc>
        <w:tc>
          <w:tcPr>
            <w:tcW w:w="2930" w:type="dxa"/>
            <w:tcMar/>
            <w:vAlign w:val="center"/>
          </w:tcPr>
          <w:p w:rsidR="6D0F4A22" w:rsidP="6D0F4A22" w:rsidRDefault="6D0F4A22" w14:paraId="2497D452" w14:textId="3E5B7C70">
            <w:pPr>
              <w:bidi w:val="0"/>
              <w:spacing w:before="30" w:beforeAutospacing="off" w:after="30" w:afterAutospacing="off"/>
              <w:rPr>
                <w:color w:val="auto"/>
                <w:sz w:val="22"/>
                <w:szCs w:val="22"/>
              </w:rPr>
            </w:pPr>
          </w:p>
        </w:tc>
        <w:tc>
          <w:tcPr>
            <w:tcW w:w="998" w:type="dxa"/>
            <w:tcMar/>
            <w:vAlign w:val="center"/>
          </w:tcPr>
          <w:p w:rsidR="6D0F4A22" w:rsidP="6D0F4A22" w:rsidRDefault="6D0F4A22" w14:paraId="0B994DEA" w14:textId="22D9FE92">
            <w:pPr>
              <w:bidi w:val="0"/>
              <w:spacing w:before="30" w:beforeAutospacing="off" w:after="30" w:afterAutospacing="off"/>
              <w:rPr>
                <w:color w:val="auto"/>
                <w:sz w:val="22"/>
                <w:szCs w:val="22"/>
              </w:rPr>
            </w:pPr>
          </w:p>
        </w:tc>
        <w:tc>
          <w:tcPr>
            <w:tcW w:w="1244" w:type="dxa"/>
            <w:tcMar/>
            <w:vAlign w:val="center"/>
          </w:tcPr>
          <w:p w:rsidR="6D0F4A22" w:rsidP="6D0F4A22" w:rsidRDefault="6D0F4A22" w14:paraId="3279CC6F" w14:textId="2864AD4B">
            <w:pPr>
              <w:bidi w:val="0"/>
              <w:spacing w:before="30" w:beforeAutospacing="off" w:after="30" w:afterAutospacing="off"/>
              <w:rPr>
                <w:color w:val="auto"/>
                <w:sz w:val="22"/>
                <w:szCs w:val="22"/>
              </w:rPr>
            </w:pPr>
          </w:p>
        </w:tc>
        <w:tc>
          <w:tcPr>
            <w:tcW w:w="2728" w:type="dxa"/>
            <w:tcMar/>
            <w:vAlign w:val="center"/>
          </w:tcPr>
          <w:p w:rsidR="6D0F4A22" w:rsidP="6D0F4A22" w:rsidRDefault="6D0F4A22" w14:paraId="681293A0" w14:textId="01BE1709">
            <w:pPr>
              <w:bidi w:val="0"/>
              <w:spacing w:before="30" w:beforeAutospacing="off" w:after="30" w:afterAutospacing="off"/>
              <w:rPr>
                <w:color w:val="auto"/>
                <w:sz w:val="22"/>
                <w:szCs w:val="22"/>
              </w:rPr>
            </w:pPr>
          </w:p>
        </w:tc>
      </w:tr>
      <w:tr w:rsidR="6D0F4A22" w:rsidTr="6D0F4A22" w14:paraId="00548AB9">
        <w:trPr>
          <w:trHeight w:val="300"/>
        </w:trPr>
        <w:tc>
          <w:tcPr>
            <w:tcW w:w="1114" w:type="dxa"/>
            <w:tcMar/>
            <w:vAlign w:val="center"/>
          </w:tcPr>
          <w:p w:rsidR="6D0F4A22" w:rsidP="6D0F4A22" w:rsidRDefault="6D0F4A22" w14:paraId="29EA8BEC" w14:textId="448C6E25">
            <w:pPr>
              <w:bidi w:val="0"/>
              <w:spacing w:before="30" w:beforeAutospacing="off" w:after="30" w:afterAutospacing="off"/>
              <w:rPr>
                <w:color w:val="auto"/>
                <w:sz w:val="22"/>
                <w:szCs w:val="22"/>
              </w:rPr>
            </w:pPr>
          </w:p>
        </w:tc>
        <w:tc>
          <w:tcPr>
            <w:tcW w:w="2930" w:type="dxa"/>
            <w:tcMar/>
            <w:vAlign w:val="center"/>
          </w:tcPr>
          <w:p w:rsidR="6D0F4A22" w:rsidP="6D0F4A22" w:rsidRDefault="6D0F4A22" w14:paraId="479E2E98" w14:textId="774B82A0">
            <w:pPr>
              <w:bidi w:val="0"/>
              <w:spacing w:before="30" w:beforeAutospacing="off" w:after="30" w:afterAutospacing="off"/>
              <w:rPr>
                <w:color w:val="auto"/>
                <w:sz w:val="22"/>
                <w:szCs w:val="22"/>
              </w:rPr>
            </w:pPr>
          </w:p>
        </w:tc>
        <w:tc>
          <w:tcPr>
            <w:tcW w:w="998" w:type="dxa"/>
            <w:tcMar/>
            <w:vAlign w:val="center"/>
          </w:tcPr>
          <w:p w:rsidR="6D0F4A22" w:rsidP="6D0F4A22" w:rsidRDefault="6D0F4A22" w14:paraId="051E99C5" w14:textId="32D0F5E0">
            <w:pPr>
              <w:bidi w:val="0"/>
              <w:spacing w:before="30" w:beforeAutospacing="off" w:after="30" w:afterAutospacing="off"/>
              <w:rPr>
                <w:color w:val="auto"/>
                <w:sz w:val="22"/>
                <w:szCs w:val="22"/>
              </w:rPr>
            </w:pPr>
          </w:p>
        </w:tc>
        <w:tc>
          <w:tcPr>
            <w:tcW w:w="1244" w:type="dxa"/>
            <w:tcMar/>
            <w:vAlign w:val="center"/>
          </w:tcPr>
          <w:p w:rsidR="6D0F4A22" w:rsidP="6D0F4A22" w:rsidRDefault="6D0F4A22" w14:paraId="104541AB" w14:textId="2D35CD87">
            <w:pPr>
              <w:bidi w:val="0"/>
              <w:spacing w:before="30" w:beforeAutospacing="off" w:after="30" w:afterAutospacing="off"/>
              <w:rPr>
                <w:color w:val="auto"/>
                <w:sz w:val="22"/>
                <w:szCs w:val="22"/>
              </w:rPr>
            </w:pPr>
          </w:p>
        </w:tc>
        <w:tc>
          <w:tcPr>
            <w:tcW w:w="2728" w:type="dxa"/>
            <w:tcMar/>
            <w:vAlign w:val="center"/>
          </w:tcPr>
          <w:p w:rsidR="6D0F4A22" w:rsidP="6D0F4A22" w:rsidRDefault="6D0F4A22" w14:paraId="171AF057" w14:textId="2E711098">
            <w:pPr>
              <w:bidi w:val="0"/>
              <w:spacing w:before="30" w:beforeAutospacing="off" w:after="30" w:afterAutospacing="off"/>
              <w:rPr>
                <w:color w:val="auto"/>
                <w:sz w:val="22"/>
                <w:szCs w:val="22"/>
              </w:rPr>
            </w:pPr>
          </w:p>
        </w:tc>
      </w:tr>
      <w:tr w:rsidR="6D0F4A22" w:rsidTr="6D0F4A22" w14:paraId="00142FF2">
        <w:trPr>
          <w:trHeight w:val="300"/>
        </w:trPr>
        <w:tc>
          <w:tcPr>
            <w:tcW w:w="1114" w:type="dxa"/>
            <w:tcMar/>
            <w:vAlign w:val="center"/>
          </w:tcPr>
          <w:p w:rsidR="6D0F4A22" w:rsidP="6D0F4A22" w:rsidRDefault="6D0F4A22" w14:paraId="70F3B7A1" w14:textId="2B592264">
            <w:pPr>
              <w:bidi w:val="0"/>
              <w:spacing w:before="30" w:beforeAutospacing="off" w:after="30" w:afterAutospacing="off"/>
              <w:rPr>
                <w:color w:val="auto"/>
                <w:sz w:val="22"/>
                <w:szCs w:val="22"/>
              </w:rPr>
            </w:pPr>
          </w:p>
        </w:tc>
        <w:tc>
          <w:tcPr>
            <w:tcW w:w="2930" w:type="dxa"/>
            <w:tcMar/>
            <w:vAlign w:val="center"/>
          </w:tcPr>
          <w:p w:rsidR="6D0F4A22" w:rsidP="6D0F4A22" w:rsidRDefault="6D0F4A22" w14:paraId="5908DC7B" w14:textId="1E54ADD4">
            <w:pPr>
              <w:bidi w:val="0"/>
              <w:spacing w:before="30" w:beforeAutospacing="off" w:after="30" w:afterAutospacing="off"/>
              <w:rPr>
                <w:color w:val="auto"/>
                <w:sz w:val="22"/>
                <w:szCs w:val="22"/>
              </w:rPr>
            </w:pPr>
          </w:p>
        </w:tc>
        <w:tc>
          <w:tcPr>
            <w:tcW w:w="998" w:type="dxa"/>
            <w:tcMar/>
            <w:vAlign w:val="center"/>
          </w:tcPr>
          <w:p w:rsidR="6D0F4A22" w:rsidP="6D0F4A22" w:rsidRDefault="6D0F4A22" w14:paraId="74F96D5B" w14:textId="0322F6F1">
            <w:pPr>
              <w:bidi w:val="0"/>
              <w:spacing w:before="30" w:beforeAutospacing="off" w:after="30" w:afterAutospacing="off"/>
              <w:rPr>
                <w:color w:val="auto"/>
                <w:sz w:val="22"/>
                <w:szCs w:val="22"/>
              </w:rPr>
            </w:pPr>
          </w:p>
        </w:tc>
        <w:tc>
          <w:tcPr>
            <w:tcW w:w="1244" w:type="dxa"/>
            <w:tcMar/>
            <w:vAlign w:val="center"/>
          </w:tcPr>
          <w:p w:rsidR="6D0F4A22" w:rsidP="6D0F4A22" w:rsidRDefault="6D0F4A22" w14:paraId="3D0ED3DF" w14:textId="0A5A6769">
            <w:pPr>
              <w:bidi w:val="0"/>
              <w:spacing w:before="30" w:beforeAutospacing="off" w:after="30" w:afterAutospacing="off"/>
              <w:rPr>
                <w:color w:val="auto"/>
                <w:sz w:val="22"/>
                <w:szCs w:val="22"/>
              </w:rPr>
            </w:pPr>
          </w:p>
        </w:tc>
        <w:tc>
          <w:tcPr>
            <w:tcW w:w="2728" w:type="dxa"/>
            <w:tcMar/>
            <w:vAlign w:val="center"/>
          </w:tcPr>
          <w:p w:rsidR="6D0F4A22" w:rsidP="6D0F4A22" w:rsidRDefault="6D0F4A22" w14:paraId="363DA308" w14:textId="092A6904">
            <w:pPr>
              <w:bidi w:val="0"/>
              <w:spacing w:before="30" w:beforeAutospacing="off" w:after="30" w:afterAutospacing="off"/>
              <w:rPr>
                <w:color w:val="auto"/>
                <w:sz w:val="22"/>
                <w:szCs w:val="22"/>
              </w:rPr>
            </w:pPr>
          </w:p>
        </w:tc>
      </w:tr>
      <w:tr w:rsidR="6D0F4A22" w:rsidTr="6D0F4A22" w14:paraId="4210667C">
        <w:trPr>
          <w:trHeight w:val="300"/>
        </w:trPr>
        <w:tc>
          <w:tcPr>
            <w:tcW w:w="1114" w:type="dxa"/>
            <w:tcMar/>
            <w:vAlign w:val="center"/>
          </w:tcPr>
          <w:p w:rsidR="6D0F4A22" w:rsidP="6D0F4A22" w:rsidRDefault="6D0F4A22" w14:paraId="4B76EA29" w14:textId="4F28F7A3">
            <w:pPr>
              <w:bidi w:val="0"/>
              <w:spacing w:before="30" w:beforeAutospacing="off" w:after="30" w:afterAutospacing="off"/>
              <w:rPr>
                <w:color w:val="auto"/>
                <w:sz w:val="22"/>
                <w:szCs w:val="22"/>
              </w:rPr>
            </w:pPr>
          </w:p>
        </w:tc>
        <w:tc>
          <w:tcPr>
            <w:tcW w:w="2930" w:type="dxa"/>
            <w:tcMar/>
            <w:vAlign w:val="center"/>
          </w:tcPr>
          <w:p w:rsidR="6D0F4A22" w:rsidP="6D0F4A22" w:rsidRDefault="6D0F4A22" w14:paraId="3146D784" w14:textId="4F15C512">
            <w:pPr>
              <w:bidi w:val="0"/>
              <w:spacing w:before="30" w:beforeAutospacing="off" w:after="30" w:afterAutospacing="off"/>
              <w:rPr>
                <w:color w:val="auto"/>
                <w:sz w:val="22"/>
                <w:szCs w:val="22"/>
              </w:rPr>
            </w:pPr>
          </w:p>
        </w:tc>
        <w:tc>
          <w:tcPr>
            <w:tcW w:w="998" w:type="dxa"/>
            <w:tcMar/>
            <w:vAlign w:val="center"/>
          </w:tcPr>
          <w:p w:rsidR="6D0F4A22" w:rsidP="6D0F4A22" w:rsidRDefault="6D0F4A22" w14:paraId="7FF72C16" w14:textId="55E969AC">
            <w:pPr>
              <w:bidi w:val="0"/>
              <w:spacing w:before="30" w:beforeAutospacing="off" w:after="30" w:afterAutospacing="off"/>
              <w:rPr>
                <w:color w:val="auto"/>
                <w:sz w:val="22"/>
                <w:szCs w:val="22"/>
              </w:rPr>
            </w:pPr>
          </w:p>
        </w:tc>
        <w:tc>
          <w:tcPr>
            <w:tcW w:w="1244" w:type="dxa"/>
            <w:tcMar/>
            <w:vAlign w:val="center"/>
          </w:tcPr>
          <w:p w:rsidR="6D0F4A22" w:rsidP="6D0F4A22" w:rsidRDefault="6D0F4A22" w14:paraId="2A6A61C2" w14:textId="733F3AF7">
            <w:pPr>
              <w:bidi w:val="0"/>
              <w:spacing w:before="30" w:beforeAutospacing="off" w:after="30" w:afterAutospacing="off"/>
              <w:rPr>
                <w:color w:val="auto"/>
                <w:sz w:val="22"/>
                <w:szCs w:val="22"/>
              </w:rPr>
            </w:pPr>
          </w:p>
        </w:tc>
        <w:tc>
          <w:tcPr>
            <w:tcW w:w="2728" w:type="dxa"/>
            <w:tcMar/>
            <w:vAlign w:val="center"/>
          </w:tcPr>
          <w:p w:rsidR="6D0F4A22" w:rsidP="6D0F4A22" w:rsidRDefault="6D0F4A22" w14:paraId="36F801E6" w14:textId="24B17103">
            <w:pPr>
              <w:bidi w:val="0"/>
              <w:spacing w:before="30" w:beforeAutospacing="off" w:after="30" w:afterAutospacing="off"/>
              <w:rPr>
                <w:color w:val="auto"/>
                <w:sz w:val="22"/>
                <w:szCs w:val="22"/>
              </w:rPr>
            </w:pPr>
          </w:p>
        </w:tc>
      </w:tr>
      <w:tr w:rsidR="6D0F4A22" w:rsidTr="6D0F4A22" w14:paraId="30D17223">
        <w:trPr>
          <w:trHeight w:val="300"/>
        </w:trPr>
        <w:tc>
          <w:tcPr>
            <w:tcW w:w="1114" w:type="dxa"/>
            <w:tcMar/>
            <w:vAlign w:val="center"/>
          </w:tcPr>
          <w:p w:rsidR="6D0F4A22" w:rsidP="6D0F4A22" w:rsidRDefault="6D0F4A22" w14:paraId="413F96D0" w14:textId="7951946F">
            <w:pPr>
              <w:bidi w:val="0"/>
              <w:spacing w:before="30" w:beforeAutospacing="off" w:after="30" w:afterAutospacing="off"/>
              <w:rPr>
                <w:color w:val="auto"/>
                <w:sz w:val="22"/>
                <w:szCs w:val="22"/>
              </w:rPr>
            </w:pPr>
          </w:p>
        </w:tc>
        <w:tc>
          <w:tcPr>
            <w:tcW w:w="2930" w:type="dxa"/>
            <w:tcMar/>
            <w:vAlign w:val="center"/>
          </w:tcPr>
          <w:p w:rsidR="6D0F4A22" w:rsidP="6D0F4A22" w:rsidRDefault="6D0F4A22" w14:paraId="15F26561" w14:textId="3F3998CD">
            <w:pPr>
              <w:bidi w:val="0"/>
              <w:spacing w:before="30" w:beforeAutospacing="off" w:after="30" w:afterAutospacing="off"/>
              <w:rPr>
                <w:color w:val="auto"/>
                <w:sz w:val="22"/>
                <w:szCs w:val="22"/>
              </w:rPr>
            </w:pPr>
          </w:p>
        </w:tc>
        <w:tc>
          <w:tcPr>
            <w:tcW w:w="998" w:type="dxa"/>
            <w:tcMar/>
            <w:vAlign w:val="center"/>
          </w:tcPr>
          <w:p w:rsidR="6D0F4A22" w:rsidP="6D0F4A22" w:rsidRDefault="6D0F4A22" w14:paraId="390DB856" w14:textId="34F27F2E">
            <w:pPr>
              <w:bidi w:val="0"/>
              <w:spacing w:before="30" w:beforeAutospacing="off" w:after="30" w:afterAutospacing="off"/>
              <w:rPr>
                <w:color w:val="auto"/>
                <w:sz w:val="22"/>
                <w:szCs w:val="22"/>
              </w:rPr>
            </w:pPr>
          </w:p>
        </w:tc>
        <w:tc>
          <w:tcPr>
            <w:tcW w:w="1244" w:type="dxa"/>
            <w:tcMar/>
            <w:vAlign w:val="center"/>
          </w:tcPr>
          <w:p w:rsidR="6D0F4A22" w:rsidP="6D0F4A22" w:rsidRDefault="6D0F4A22" w14:paraId="01FF5C4A" w14:textId="1068DEBE">
            <w:pPr>
              <w:bidi w:val="0"/>
              <w:spacing w:before="30" w:beforeAutospacing="off" w:after="30" w:afterAutospacing="off"/>
              <w:rPr>
                <w:color w:val="auto"/>
                <w:sz w:val="22"/>
                <w:szCs w:val="22"/>
              </w:rPr>
            </w:pPr>
          </w:p>
        </w:tc>
        <w:tc>
          <w:tcPr>
            <w:tcW w:w="2728" w:type="dxa"/>
            <w:tcMar/>
            <w:vAlign w:val="center"/>
          </w:tcPr>
          <w:p w:rsidR="6D0F4A22" w:rsidP="6D0F4A22" w:rsidRDefault="6D0F4A22" w14:paraId="22550ED6" w14:textId="4205C6F3">
            <w:pPr>
              <w:bidi w:val="0"/>
              <w:spacing w:before="30" w:beforeAutospacing="off" w:after="30" w:afterAutospacing="off"/>
              <w:rPr>
                <w:color w:val="auto"/>
                <w:sz w:val="22"/>
                <w:szCs w:val="22"/>
              </w:rPr>
            </w:pPr>
          </w:p>
        </w:tc>
      </w:tr>
    </w:tbl>
    <w:p xmlns:wp14="http://schemas.microsoft.com/office/word/2010/wordml" w:rsidP="6D0F4A22" wp14:paraId="3907245F" wp14:textId="67507BB1">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43111C91" wp14:textId="6109C7E2">
      <w:pPr>
        <w:pStyle w:val="Heading2"/>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Thematic Analysis</w:t>
      </w:r>
      <w:r w:rsidRPr="6D0F4A22" w:rsidR="06E7E46D">
        <w:rPr>
          <w:rFonts w:ascii="Arial" w:hAnsi="Arial" w:eastAsia="Arial" w:cs="Arial"/>
          <w:b w:val="1"/>
          <w:bCs w:val="1"/>
          <w:noProof w:val="0"/>
          <w:color w:val="auto"/>
          <w:sz w:val="22"/>
          <w:szCs w:val="22"/>
          <w:lang w:val="en-GB"/>
        </w:rPr>
        <w:t>:</w:t>
      </w:r>
    </w:p>
    <w:p xmlns:wp14="http://schemas.microsoft.com/office/word/2010/wordml" w:rsidP="6D0F4A22" wp14:paraId="1C97F220" wp14:textId="2274BF00">
      <w:pPr>
        <w:pStyle w:val="Normal"/>
        <w:bidi w:val="0"/>
        <w:rPr>
          <w:noProof w:val="0"/>
          <w:lang w:val="en-GB"/>
        </w:rPr>
      </w:pPr>
    </w:p>
    <w:p xmlns:wp14="http://schemas.microsoft.com/office/word/2010/wordml" w:rsidP="6D0F4A22" wp14:paraId="2B4E75A6" wp14:textId="15D6198E">
      <w:pPr>
        <w:pStyle w:val="Heading3"/>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1. Digital Literacy and Confidence</w:t>
      </w:r>
    </w:p>
    <w:p xmlns:wp14="http://schemas.microsoft.com/office/word/2010/wordml" w:rsidP="6D0F4A22" wp14:paraId="3342088A" wp14:textId="68C5DBB5">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All five studies highlighted limited digital literacy as a major barrier. Older adults often lacked basic digital skills, such as navigating websites, using mobile applications or managing passwords. Friemel (2016) found that older adults had significantly lower levels of digital competence compared to younger groups, which reduced their ability to engage with digital health tools. Greenhalgh et al. (2020) reported that many older adults felt anxious about using technology, fearing they might “break” something or make mistakes that could affect their care. This lack of confidence often discouraged initial attempts to use digital services.</w:t>
      </w:r>
    </w:p>
    <w:p xmlns:wp14="http://schemas.microsoft.com/office/word/2010/wordml" w:rsidP="6D0F4A22" wp14:paraId="601E1DDA" wp14:textId="2E90D660">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7F0F3C65" wp14:textId="6D5A0B73">
      <w:pPr>
        <w:pStyle w:val="Heading3"/>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2. Access to Devices and Internet Connectivity</w:t>
      </w:r>
    </w:p>
    <w:p xmlns:wp14="http://schemas.microsoft.com/office/word/2010/wordml" w:rsidP="6D0F4A22" wp14:paraId="2455CF8C" wp14:textId="658FBC8F">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Access to </w:t>
      </w:r>
      <w:r w:rsidRPr="6D0F4A22" w:rsidR="0B3B777D">
        <w:rPr>
          <w:rFonts w:ascii="Arial" w:hAnsi="Arial" w:eastAsia="Arial" w:cs="Arial"/>
          <w:noProof w:val="0"/>
          <w:color w:val="auto"/>
          <w:sz w:val="22"/>
          <w:szCs w:val="22"/>
          <w:lang w:val="en-GB"/>
        </w:rPr>
        <w:t>appropriate devices</w:t>
      </w:r>
      <w:r w:rsidRPr="6D0F4A22" w:rsidR="0B3B777D">
        <w:rPr>
          <w:rFonts w:ascii="Arial" w:hAnsi="Arial" w:eastAsia="Arial" w:cs="Arial"/>
          <w:noProof w:val="0"/>
          <w:color w:val="auto"/>
          <w:sz w:val="22"/>
          <w:szCs w:val="22"/>
          <w:lang w:val="en-GB"/>
        </w:rPr>
        <w:t xml:space="preserve"> and reliable internet was another significant barrier. Honeyman et al. (2020) found that digital health services often assume universal access to smartphones, </w:t>
      </w:r>
      <w:r w:rsidRPr="6D0F4A22" w:rsidR="0B3B777D">
        <w:rPr>
          <w:rFonts w:ascii="Arial" w:hAnsi="Arial" w:eastAsia="Arial" w:cs="Arial"/>
          <w:noProof w:val="0"/>
          <w:color w:val="auto"/>
          <w:sz w:val="22"/>
          <w:szCs w:val="22"/>
          <w:lang w:val="en-GB"/>
        </w:rPr>
        <w:t>tablets</w:t>
      </w:r>
      <w:r w:rsidRPr="6D0F4A22" w:rsidR="0B3B777D">
        <w:rPr>
          <w:rFonts w:ascii="Arial" w:hAnsi="Arial" w:eastAsia="Arial" w:cs="Arial"/>
          <w:noProof w:val="0"/>
          <w:color w:val="auto"/>
          <w:sz w:val="22"/>
          <w:szCs w:val="22"/>
          <w:lang w:val="en-GB"/>
        </w:rPr>
        <w:t xml:space="preserve"> or computers, as well as stable broadband connections. However, many older adults</w:t>
      </w:r>
      <w:r w:rsidRPr="6D0F4A22" w:rsidR="65983256">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particularly those in low‑income households or rural areas</w:t>
      </w:r>
      <w:r w:rsidRPr="6D0F4A22" w:rsidR="120CC5E7">
        <w:rPr>
          <w:rFonts w:ascii="Arial" w:hAnsi="Arial" w:eastAsia="Arial" w:cs="Arial"/>
          <w:noProof w:val="0"/>
          <w:color w:val="auto"/>
          <w:sz w:val="22"/>
          <w:szCs w:val="22"/>
          <w:lang w:val="en-GB"/>
        </w:rPr>
        <w:t xml:space="preserve"> l</w:t>
      </w:r>
      <w:r w:rsidRPr="6D0F4A22" w:rsidR="0B3B777D">
        <w:rPr>
          <w:rFonts w:ascii="Arial" w:hAnsi="Arial" w:eastAsia="Arial" w:cs="Arial"/>
          <w:noProof w:val="0"/>
          <w:color w:val="auto"/>
          <w:sz w:val="22"/>
          <w:szCs w:val="22"/>
          <w:lang w:val="en-GB"/>
        </w:rPr>
        <w:t xml:space="preserve">ack these resources. Watts et al. (2023) emphasised that rural communities face </w:t>
      </w:r>
      <w:r w:rsidRPr="6D0F4A22" w:rsidR="295E8526">
        <w:rPr>
          <w:rFonts w:ascii="Arial" w:hAnsi="Arial" w:eastAsia="Arial" w:cs="Arial"/>
          <w:noProof w:val="0"/>
          <w:color w:val="auto"/>
          <w:sz w:val="22"/>
          <w:szCs w:val="22"/>
          <w:lang w:val="en-GB"/>
        </w:rPr>
        <w:t>challenges</w:t>
      </w:r>
      <w:r w:rsidRPr="6D0F4A22" w:rsidR="0B3B777D">
        <w:rPr>
          <w:rFonts w:ascii="Arial" w:hAnsi="Arial" w:eastAsia="Arial" w:cs="Arial"/>
          <w:noProof w:val="0"/>
          <w:color w:val="auto"/>
          <w:sz w:val="22"/>
          <w:szCs w:val="22"/>
          <w:lang w:val="en-GB"/>
        </w:rPr>
        <w:t xml:space="preserve"> due to limited broadband infrastructure, which restricts access to video consultations and online health services.</w:t>
      </w:r>
    </w:p>
    <w:p xmlns:wp14="http://schemas.microsoft.com/office/word/2010/wordml" w:rsidP="6D0F4A22" wp14:paraId="05DA3917" wp14:textId="7738A962">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63188171" wp14:textId="540BECFC">
      <w:pPr>
        <w:pStyle w:val="Heading3"/>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3. Privacy, Security, and Trust Concerns</w:t>
      </w:r>
    </w:p>
    <w:p xmlns:wp14="http://schemas.microsoft.com/office/word/2010/wordml" w:rsidP="6D0F4A22" wp14:paraId="6EBBA4BB" wp14:textId="476866DC">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Concerns about privacy and data security were prominent across the studies. Mitzner et al. (2019) found that older adults were often hesitant to share personal information online due to fears of data breaches, identity theft, or misuse of their information. Honeyman et al. (2020) similarly reported that mistrust of digital platforms reduced willingness to engage with digital health services. These concerns were heightened by limited understanding of how data is stored, protected, and used within digital systems.</w:t>
      </w:r>
    </w:p>
    <w:p xmlns:wp14="http://schemas.microsoft.com/office/word/2010/wordml" w:rsidP="6D0F4A22" wp14:paraId="69242303" wp14:textId="08887E50">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7530DD30" wp14:textId="6521A40E">
      <w:pPr>
        <w:pStyle w:val="Heading3"/>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4. Physical and Cognitive Barriers</w:t>
      </w:r>
    </w:p>
    <w:p xmlns:wp14="http://schemas.microsoft.com/office/word/2010/wordml" w:rsidP="6D0F4A22" wp14:paraId="34C77BC7" wp14:textId="7776BCA9">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Age‑related physical and cognitive changes also affected digital health adoption. Greenhalgh et al. (2020) found that older adults with reduced vision, hearing difficulties, memory challenges, or limited dexterity struggled to use digital devices and interfaces. Complex navigation, small text</w:t>
      </w:r>
      <w:r w:rsidRPr="6D0F4A22" w:rsidR="728BB7FB">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and multi‑step processes were particularly challenging. These usability issues often led to frustration and disengagement.</w:t>
      </w:r>
    </w:p>
    <w:p xmlns:wp14="http://schemas.microsoft.com/office/word/2010/wordml" w:rsidP="6D0F4A22" wp14:paraId="2A951A0B" wp14:textId="098A5383">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00FBB2B7" wp14:textId="5E571BB6">
      <w:pPr>
        <w:pStyle w:val="Heading2"/>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Discussion</w:t>
      </w:r>
      <w:r w:rsidRPr="6D0F4A22" w:rsidR="2C84D4E1">
        <w:rPr>
          <w:rFonts w:ascii="Arial" w:hAnsi="Arial" w:eastAsia="Arial" w:cs="Arial"/>
          <w:b w:val="1"/>
          <w:bCs w:val="1"/>
          <w:noProof w:val="0"/>
          <w:color w:val="auto"/>
          <w:sz w:val="22"/>
          <w:szCs w:val="22"/>
          <w:lang w:val="en-GB"/>
        </w:rPr>
        <w:t>:</w:t>
      </w:r>
    </w:p>
    <w:p xmlns:wp14="http://schemas.microsoft.com/office/word/2010/wordml" w:rsidP="6D0F4A22" wp14:paraId="0B65E6C7" wp14:textId="37AAAA4A">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The findings of this scoping review highlight multiple, interconnected barriers that limit digital health adoption among older adults in the United Kingdom. These barriers reflect broader issues of digital exclusion and health inequality, and they have important implications for policy, practice</w:t>
      </w:r>
      <w:r w:rsidRPr="6D0F4A22" w:rsidR="71CB618E">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and service design.</w:t>
      </w:r>
    </w:p>
    <w:p xmlns:wp14="http://schemas.microsoft.com/office/word/2010/wordml" w:rsidP="6D0F4A22" wp14:paraId="4B40B36F" wp14:textId="436255C7">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7ACE3A04" wp14:textId="189CEA9D">
      <w:pPr>
        <w:pStyle w:val="Heading3"/>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Digital Literacy and Confidence</w:t>
      </w:r>
    </w:p>
    <w:p xmlns:wp14="http://schemas.microsoft.com/office/word/2010/wordml" w:rsidP="6D0F4A22" wp14:paraId="6922E7F6" wp14:textId="194E7F17">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Limited digital literacy </w:t>
      </w:r>
      <w:r w:rsidRPr="6D0F4A22" w:rsidR="0B3B777D">
        <w:rPr>
          <w:rFonts w:ascii="Arial" w:hAnsi="Arial" w:eastAsia="Arial" w:cs="Arial"/>
          <w:noProof w:val="0"/>
          <w:color w:val="auto"/>
          <w:sz w:val="22"/>
          <w:szCs w:val="22"/>
          <w:lang w:val="en-GB"/>
        </w:rPr>
        <w:t>remains</w:t>
      </w:r>
      <w:r w:rsidRPr="6D0F4A22" w:rsidR="0B3B777D">
        <w:rPr>
          <w:rFonts w:ascii="Arial" w:hAnsi="Arial" w:eastAsia="Arial" w:cs="Arial"/>
          <w:noProof w:val="0"/>
          <w:color w:val="auto"/>
          <w:sz w:val="22"/>
          <w:szCs w:val="22"/>
          <w:lang w:val="en-GB"/>
        </w:rPr>
        <w:t xml:space="preserve"> one of the most significant barriers to digital health adoption. Older adults often lack the foundational skills needed to navigate digital platforms, which reduces their confidence and willingness to engage. This aligns with Friemel’s (2016) findings on the digital divide and suggests that digital literacy training must be </w:t>
      </w:r>
      <w:r w:rsidRPr="6D0F4A22" w:rsidR="0B3B777D">
        <w:rPr>
          <w:rFonts w:ascii="Arial" w:hAnsi="Arial" w:eastAsia="Arial" w:cs="Arial"/>
          <w:noProof w:val="0"/>
          <w:color w:val="auto"/>
          <w:sz w:val="22"/>
          <w:szCs w:val="22"/>
          <w:lang w:val="en-GB"/>
        </w:rPr>
        <w:t>a central component</w:t>
      </w:r>
      <w:r w:rsidRPr="6D0F4A22" w:rsidR="0B3B777D">
        <w:rPr>
          <w:rFonts w:ascii="Arial" w:hAnsi="Arial" w:eastAsia="Arial" w:cs="Arial"/>
          <w:noProof w:val="0"/>
          <w:color w:val="auto"/>
          <w:sz w:val="22"/>
          <w:szCs w:val="22"/>
          <w:lang w:val="en-GB"/>
        </w:rPr>
        <w:t xml:space="preserve"> of digital inclusion strategies.</w:t>
      </w:r>
    </w:p>
    <w:p xmlns:wp14="http://schemas.microsoft.com/office/word/2010/wordml" w:rsidP="6D0F4A22" wp14:paraId="0639A755" wp14:textId="719BF3FA">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625BAB0D" wp14:textId="5DF33A19">
      <w:pPr>
        <w:pStyle w:val="Heading3"/>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Access and Connectivity</w:t>
      </w:r>
    </w:p>
    <w:p xmlns:wp14="http://schemas.microsoft.com/office/word/2010/wordml" w:rsidP="6D0F4A22" wp14:paraId="06F033EC" wp14:textId="531B46E7">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Access to devices and reliable internet is essential for digital health adoption. However as Honeyman et al. (2020) and Watts et al. (2023) highlight</w:t>
      </w:r>
      <w:r w:rsidRPr="6D0F4A22" w:rsidR="697ED38B">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many older adults lack the necessary resources. This is particularly true for individuals living in rural areas or low‑income households. These findings suggest that digital health strategies must address socioeconomic and geographical inequalities. Subsidised devices, affordable broadband, and improved rural infrastructure could help reduce these barriers.</w:t>
      </w:r>
    </w:p>
    <w:p xmlns:wp14="http://schemas.microsoft.com/office/word/2010/wordml" w:rsidP="6D0F4A22" wp14:paraId="56EEDACE" wp14:textId="513AD7EF">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26C54B25" wp14:textId="58967A44">
      <w:pPr>
        <w:pStyle w:val="Heading3"/>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Privacy and Trust</w:t>
      </w:r>
    </w:p>
    <w:p xmlns:wp14="http://schemas.microsoft.com/office/word/2010/wordml" w:rsidP="6D0F4A22" wp14:paraId="71B6A6E0" wp14:textId="39AB3A9E">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Concerns about privacy and data security significantly influence digital health adoption. Mitzner et al. (2019) found that older adults were often reluctant to share personal information online due to fears of data breaches or misuse. These concerns are understandable given the increasing prevalence of cybercrime and the complexity of digital systems. Clear communication about data protection, transparent privacy policies and robust cybersecurity measures are essential for building trust.</w:t>
      </w:r>
    </w:p>
    <w:p xmlns:wp14="http://schemas.microsoft.com/office/word/2010/wordml" w:rsidP="6D0F4A22" wp14:paraId="4135B1B2" wp14:textId="3E885837">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71EF8D6C" wp14:textId="198280F9">
      <w:pPr>
        <w:pStyle w:val="Heading3"/>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Physical and Cognitive Barriers</w:t>
      </w:r>
    </w:p>
    <w:p xmlns:wp14="http://schemas.microsoft.com/office/word/2010/wordml" w:rsidP="6D0F4A22" wp14:paraId="177855A6" wp14:textId="6B301ADA">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Age‑related physical and cognitive limitations can make digital health tools difficult to use. Greenhalgh et al. (2020) highlight the need for accessible design, including larger fonts, simplified navigation, and voice‑assisted technologies. Co‑designing digital tools with older adults could help ensure that interfaces are intuitive and user‑friendly.</w:t>
      </w:r>
    </w:p>
    <w:p xmlns:wp14="http://schemas.microsoft.com/office/word/2010/wordml" w:rsidP="6D0F4A22" wp14:paraId="0C5F58B9" wp14:textId="30B215A0">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35F57885" wp14:textId="39D5CD45">
      <w:pPr>
        <w:pStyle w:val="Heading3"/>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Strengths and Limitations of the Evidence</w:t>
      </w:r>
    </w:p>
    <w:p xmlns:wp14="http://schemas.microsoft.com/office/word/2010/wordml" w:rsidP="6D0F4A22" wp14:paraId="0372EEAD" wp14:textId="794E6DAA">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The studies included in this review used diverse methodologies, which provided a broad understanding of the barriers faced by older adults. </w:t>
      </w:r>
      <w:r w:rsidRPr="6D0F4A22" w:rsidR="0B3B777D">
        <w:rPr>
          <w:rFonts w:ascii="Arial" w:hAnsi="Arial" w:eastAsia="Arial" w:cs="Arial"/>
          <w:noProof w:val="0"/>
          <w:color w:val="auto"/>
          <w:sz w:val="22"/>
          <w:szCs w:val="22"/>
          <w:lang w:val="en-GB"/>
        </w:rPr>
        <w:t>However</w:t>
      </w:r>
      <w:r w:rsidRPr="6D0F4A22" w:rsidR="55EDF71E">
        <w:rPr>
          <w:rFonts w:ascii="Arial" w:hAnsi="Arial" w:eastAsia="Arial" w:cs="Arial"/>
          <w:noProof w:val="0"/>
          <w:color w:val="auto"/>
          <w:sz w:val="22"/>
          <w:szCs w:val="22"/>
          <w:lang w:val="en-GB"/>
        </w:rPr>
        <w:t xml:space="preserve"> t</w:t>
      </w:r>
      <w:r w:rsidRPr="6D0F4A22" w:rsidR="0B3B777D">
        <w:rPr>
          <w:rFonts w:ascii="Arial" w:hAnsi="Arial" w:eastAsia="Arial" w:cs="Arial"/>
          <w:noProof w:val="0"/>
          <w:color w:val="auto"/>
          <w:sz w:val="22"/>
          <w:szCs w:val="22"/>
          <w:lang w:val="en-GB"/>
        </w:rPr>
        <w:t>here were limitations</w:t>
      </w:r>
      <w:r w:rsidRPr="6D0F4A22" w:rsidR="2B7F103B">
        <w:rPr>
          <w:rFonts w:ascii="Arial" w:hAnsi="Arial" w:eastAsia="Arial" w:cs="Arial"/>
          <w:noProof w:val="0"/>
          <w:color w:val="auto"/>
          <w:sz w:val="22"/>
          <w:szCs w:val="22"/>
          <w:lang w:val="en-GB"/>
        </w:rPr>
        <w:t xml:space="preserve"> as only</w:t>
      </w:r>
      <w:r w:rsidRPr="6D0F4A22" w:rsidR="0B3B777D">
        <w:rPr>
          <w:rFonts w:ascii="Arial" w:hAnsi="Arial" w:eastAsia="Arial" w:cs="Arial"/>
          <w:noProof w:val="0"/>
          <w:color w:val="auto"/>
          <w:sz w:val="22"/>
          <w:szCs w:val="22"/>
          <w:lang w:val="en-GB"/>
        </w:rPr>
        <w:t xml:space="preserve"> two studies were</w:t>
      </w:r>
      <w:r w:rsidRPr="6D0F4A22" w:rsidR="0EF6DDE6">
        <w:rPr>
          <w:rFonts w:ascii="Arial" w:hAnsi="Arial" w:eastAsia="Arial" w:cs="Arial"/>
          <w:noProof w:val="0"/>
          <w:color w:val="auto"/>
          <w:sz w:val="22"/>
          <w:szCs w:val="22"/>
          <w:lang w:val="en-GB"/>
        </w:rPr>
        <w:t xml:space="preserve"> in the</w:t>
      </w:r>
      <w:r w:rsidRPr="6D0F4A22" w:rsidR="0B3B777D">
        <w:rPr>
          <w:rFonts w:ascii="Arial" w:hAnsi="Arial" w:eastAsia="Arial" w:cs="Arial"/>
          <w:noProof w:val="0"/>
          <w:color w:val="auto"/>
          <w:sz w:val="22"/>
          <w:szCs w:val="22"/>
          <w:lang w:val="en-GB"/>
        </w:rPr>
        <w:t xml:space="preserve"> UK</w:t>
      </w:r>
      <w:r w:rsidRPr="6D0F4A22" w:rsidR="38669579">
        <w:rPr>
          <w:rFonts w:ascii="Arial" w:hAnsi="Arial" w:eastAsia="Arial" w:cs="Arial"/>
          <w:noProof w:val="0"/>
          <w:color w:val="auto"/>
          <w:sz w:val="22"/>
          <w:szCs w:val="22"/>
          <w:lang w:val="en-GB"/>
        </w:rPr>
        <w:t xml:space="preserve"> for</w:t>
      </w:r>
      <w:r w:rsidRPr="6D0F4A22" w:rsidR="0B3B777D">
        <w:rPr>
          <w:rFonts w:ascii="Arial" w:hAnsi="Arial" w:eastAsia="Arial" w:cs="Arial"/>
          <w:noProof w:val="0"/>
          <w:color w:val="auto"/>
          <w:sz w:val="22"/>
          <w:szCs w:val="22"/>
          <w:lang w:val="en-GB"/>
        </w:rPr>
        <w:t xml:space="preserve"> primary </w:t>
      </w:r>
      <w:r w:rsidRPr="6D0F4A22" w:rsidR="0B3B777D">
        <w:rPr>
          <w:rFonts w:ascii="Arial" w:hAnsi="Arial" w:eastAsia="Arial" w:cs="Arial"/>
          <w:noProof w:val="0"/>
          <w:color w:val="auto"/>
          <w:sz w:val="22"/>
          <w:szCs w:val="22"/>
          <w:lang w:val="en-GB"/>
        </w:rPr>
        <w:t>research</w:t>
      </w:r>
      <w:r w:rsidRPr="6D0F4A22" w:rsidR="0B3B777D">
        <w:rPr>
          <w:rFonts w:ascii="Arial" w:hAnsi="Arial" w:eastAsia="Arial" w:cs="Arial"/>
          <w:noProof w:val="0"/>
          <w:color w:val="auto"/>
          <w:sz w:val="22"/>
          <w:szCs w:val="22"/>
          <w:lang w:val="en-GB"/>
        </w:rPr>
        <w:t xml:space="preserve"> and some studies were international </w:t>
      </w:r>
      <w:r w:rsidRPr="6D0F4A22" w:rsidR="7511B5DE">
        <w:rPr>
          <w:rFonts w:ascii="Arial" w:hAnsi="Arial" w:eastAsia="Arial" w:cs="Arial"/>
          <w:noProof w:val="0"/>
          <w:color w:val="auto"/>
          <w:sz w:val="22"/>
          <w:szCs w:val="22"/>
          <w:lang w:val="en-GB"/>
        </w:rPr>
        <w:t xml:space="preserve">yet still </w:t>
      </w:r>
      <w:r w:rsidRPr="6D0F4A22" w:rsidR="0B3B777D">
        <w:rPr>
          <w:rFonts w:ascii="Arial" w:hAnsi="Arial" w:eastAsia="Arial" w:cs="Arial"/>
          <w:noProof w:val="0"/>
          <w:color w:val="auto"/>
          <w:sz w:val="22"/>
          <w:szCs w:val="22"/>
          <w:lang w:val="en-GB"/>
        </w:rPr>
        <w:t>UK</w:t>
      </w:r>
      <w:r w:rsidRPr="6D0F4A22" w:rsidR="6FFCCDEA">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relevant. Sample sizes in qualitative studies were small and some findings may not be generalisable. Despite these limitations the consistency of themes across studies strengthens the validity of the findings.</w:t>
      </w:r>
    </w:p>
    <w:p xmlns:wp14="http://schemas.microsoft.com/office/word/2010/wordml" w:rsidP="6D0F4A22" wp14:paraId="70DDD134" wp14:textId="0399CB5D">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560FE76A" wp14:textId="4B1E5B7D">
      <w:pPr>
        <w:pStyle w:val="Heading2"/>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Conclusion</w:t>
      </w:r>
      <w:r w:rsidRPr="6D0F4A22" w:rsidR="66C885C1">
        <w:rPr>
          <w:rFonts w:ascii="Arial" w:hAnsi="Arial" w:eastAsia="Arial" w:cs="Arial"/>
          <w:b w:val="1"/>
          <w:bCs w:val="1"/>
          <w:noProof w:val="0"/>
          <w:color w:val="auto"/>
          <w:sz w:val="22"/>
          <w:szCs w:val="22"/>
          <w:lang w:val="en-GB"/>
        </w:rPr>
        <w:t>:</w:t>
      </w:r>
    </w:p>
    <w:p xmlns:wp14="http://schemas.microsoft.com/office/word/2010/wordml" w:rsidP="6D0F4A22" wp14:paraId="0AA1F430" wp14:textId="1D36B9E0">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This scoping review explored the major barriers affecting digital health adoption among older adults in the United Kingdom. The findings </w:t>
      </w:r>
      <w:r w:rsidRPr="6D0F4A22" w:rsidR="0B3B777D">
        <w:rPr>
          <w:rFonts w:ascii="Arial" w:hAnsi="Arial" w:eastAsia="Arial" w:cs="Arial"/>
          <w:noProof w:val="0"/>
          <w:color w:val="auto"/>
          <w:sz w:val="22"/>
          <w:szCs w:val="22"/>
          <w:lang w:val="en-GB"/>
        </w:rPr>
        <w:t>demonstrate</w:t>
      </w:r>
      <w:r w:rsidRPr="6D0F4A22" w:rsidR="0B3B777D">
        <w:rPr>
          <w:rFonts w:ascii="Arial" w:hAnsi="Arial" w:eastAsia="Arial" w:cs="Arial"/>
          <w:noProof w:val="0"/>
          <w:color w:val="auto"/>
          <w:sz w:val="22"/>
          <w:szCs w:val="22"/>
          <w:lang w:val="en-GB"/>
        </w:rPr>
        <w:t xml:space="preserve"> that digital health technologies offer significant potential benefits, including improved access to care, enhanced self‑management</w:t>
      </w:r>
      <w:r w:rsidRPr="6D0F4A22" w:rsidR="73DE8445">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and reduced need for travel. However these benefits cannot be fully realised unless the barriers faced by older adults are addressed.</w:t>
      </w:r>
    </w:p>
    <w:p xmlns:wp14="http://schemas.microsoft.com/office/word/2010/wordml" w:rsidP="6D0F4A22" wp14:paraId="438AF2C4" wp14:textId="2F76AA77">
      <w:p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Across the five peer‑reviewed studies included in this review, four consistent themes </w:t>
      </w:r>
      <w:r w:rsidRPr="6D0F4A22" w:rsidR="0B3B777D">
        <w:rPr>
          <w:rFonts w:ascii="Arial" w:hAnsi="Arial" w:eastAsia="Arial" w:cs="Arial"/>
          <w:noProof w:val="0"/>
          <w:color w:val="auto"/>
          <w:sz w:val="22"/>
          <w:szCs w:val="22"/>
          <w:lang w:val="en-GB"/>
        </w:rPr>
        <w:t>emerged</w:t>
      </w:r>
      <w:r w:rsidRPr="6D0F4A22" w:rsidR="0B3B777D">
        <w:rPr>
          <w:rFonts w:ascii="Arial" w:hAnsi="Arial" w:eastAsia="Arial" w:cs="Arial"/>
          <w:noProof w:val="0"/>
          <w:color w:val="auto"/>
          <w:sz w:val="22"/>
          <w:szCs w:val="22"/>
          <w:lang w:val="en-GB"/>
        </w:rPr>
        <w:t>: limited digital literacy and confidence, unequal access to devices and internet connectivity, concerns about privacy and data security and age‑related physical and cognitive challenges. These barriers are interconnected and reflect broader issues of digital exclusion and health inequality. Older adults are disproportionately affected by these challenges placing them at risk of being left behind as healthcare services become increasingly digital.</w:t>
      </w:r>
      <w:r w:rsidRPr="6D0F4A22" w:rsidR="0CE401AF">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The finding</w:t>
      </w:r>
      <w:r w:rsidRPr="6D0F4A22" w:rsidR="0B3B777D">
        <w:rPr>
          <w:rFonts w:ascii="Arial" w:hAnsi="Arial" w:eastAsia="Arial" w:cs="Arial"/>
          <w:noProof w:val="0"/>
          <w:color w:val="auto"/>
          <w:sz w:val="22"/>
          <w:szCs w:val="22"/>
          <w:lang w:val="en-GB"/>
        </w:rPr>
        <w:t xml:space="preserve">s highlight the need for targeted interventions that support older adults in developing digital skills, accessing </w:t>
      </w:r>
      <w:r w:rsidRPr="6D0F4A22" w:rsidR="0B3B777D">
        <w:rPr>
          <w:rFonts w:ascii="Arial" w:hAnsi="Arial" w:eastAsia="Arial" w:cs="Arial"/>
          <w:noProof w:val="0"/>
          <w:color w:val="auto"/>
          <w:sz w:val="22"/>
          <w:szCs w:val="22"/>
          <w:lang w:val="en-GB"/>
        </w:rPr>
        <w:t>appropriate devices</w:t>
      </w:r>
      <w:r w:rsidRPr="6D0F4A22" w:rsidR="0B3B777D">
        <w:rPr>
          <w:rFonts w:ascii="Arial" w:hAnsi="Arial" w:eastAsia="Arial" w:cs="Arial"/>
          <w:noProof w:val="0"/>
          <w:color w:val="auto"/>
          <w:sz w:val="22"/>
          <w:szCs w:val="22"/>
          <w:lang w:val="en-GB"/>
        </w:rPr>
        <w:t xml:space="preserve"> and building trust in digital systems. Service design must prioritise accessibility, </w:t>
      </w:r>
      <w:r w:rsidRPr="6D0F4A22" w:rsidR="0B3B777D">
        <w:rPr>
          <w:rFonts w:ascii="Arial" w:hAnsi="Arial" w:eastAsia="Arial" w:cs="Arial"/>
          <w:noProof w:val="0"/>
          <w:color w:val="auto"/>
          <w:sz w:val="22"/>
          <w:szCs w:val="22"/>
          <w:lang w:val="en-GB"/>
        </w:rPr>
        <w:t>simplicity</w:t>
      </w:r>
      <w:r w:rsidRPr="6D0F4A22" w:rsidR="0B3B777D">
        <w:rPr>
          <w:rFonts w:ascii="Arial" w:hAnsi="Arial" w:eastAsia="Arial" w:cs="Arial"/>
          <w:noProof w:val="0"/>
          <w:color w:val="auto"/>
          <w:sz w:val="22"/>
          <w:szCs w:val="22"/>
          <w:lang w:val="en-GB"/>
        </w:rPr>
        <w:t xml:space="preserve"> and user‑friendliness, while policymakers must ensure that digital transformation strategies do not </w:t>
      </w:r>
      <w:r w:rsidRPr="6D0F4A22" w:rsidR="0B3B777D">
        <w:rPr>
          <w:rFonts w:ascii="Arial" w:hAnsi="Arial" w:eastAsia="Arial" w:cs="Arial"/>
          <w:noProof w:val="0"/>
          <w:color w:val="auto"/>
          <w:sz w:val="22"/>
          <w:szCs w:val="22"/>
          <w:lang w:val="en-GB"/>
        </w:rPr>
        <w:t>exacerbate</w:t>
      </w:r>
      <w:r w:rsidRPr="6D0F4A22" w:rsidR="0B3B777D">
        <w:rPr>
          <w:rFonts w:ascii="Arial" w:hAnsi="Arial" w:eastAsia="Arial" w:cs="Arial"/>
          <w:noProof w:val="0"/>
          <w:color w:val="auto"/>
          <w:sz w:val="22"/>
          <w:szCs w:val="22"/>
          <w:lang w:val="en-GB"/>
        </w:rPr>
        <w:t xml:space="preserve"> existing inequalities. Future research should focus on evaluating interventions that aim to improve digital inclusion and exploring the long‑term impacts of digital exclusion on health outcomes.</w:t>
      </w:r>
      <w:r w:rsidRPr="6D0F4A22" w:rsidR="39B6E9ED">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 xml:space="preserve">Overall, ensuring </w:t>
      </w:r>
      <w:r w:rsidRPr="6D0F4A22" w:rsidR="0B3B777D">
        <w:rPr>
          <w:rFonts w:ascii="Arial" w:hAnsi="Arial" w:eastAsia="Arial" w:cs="Arial"/>
          <w:noProof w:val="0"/>
          <w:color w:val="auto"/>
          <w:sz w:val="22"/>
          <w:szCs w:val="22"/>
          <w:lang w:val="en-GB"/>
        </w:rPr>
        <w:t>equitable</w:t>
      </w:r>
      <w:r w:rsidRPr="6D0F4A22" w:rsidR="0B3B777D">
        <w:rPr>
          <w:rFonts w:ascii="Arial" w:hAnsi="Arial" w:eastAsia="Arial" w:cs="Arial"/>
          <w:noProof w:val="0"/>
          <w:color w:val="auto"/>
          <w:sz w:val="22"/>
          <w:szCs w:val="22"/>
          <w:lang w:val="en-GB"/>
        </w:rPr>
        <w:t xml:space="preserve"> access to digital health for older adults is essential for achieving the goals of modern</w:t>
      </w:r>
      <w:r w:rsidRPr="6D0F4A22" w:rsidR="2060A1EA">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patient‑centred healthcare in the UK.</w:t>
      </w:r>
    </w:p>
    <w:p xmlns:wp14="http://schemas.microsoft.com/office/word/2010/wordml" w:rsidP="6D0F4A22" wp14:paraId="4003305F" wp14:textId="20FFAD8D">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0847BFC5" wp14:textId="240C52C1">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787CACC8" wp14:textId="1C7CBDDD">
      <w:pPr>
        <w:bidi w:val="0"/>
        <w:spacing w:before="30" w:beforeAutospacing="off" w:after="30" w:afterAutospacing="off"/>
        <w:rPr>
          <w:rFonts w:ascii="Arial" w:hAnsi="Arial" w:eastAsia="Arial" w:cs="Arial"/>
          <w:noProof w:val="0"/>
          <w:color w:val="auto"/>
          <w:sz w:val="22"/>
          <w:szCs w:val="22"/>
          <w:lang w:val="en-GB"/>
        </w:rPr>
      </w:pPr>
    </w:p>
    <w:p xmlns:wp14="http://schemas.microsoft.com/office/word/2010/wordml" w:rsidP="6D0F4A22" wp14:paraId="6786F43C" wp14:textId="3033CE42">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163F8A38" wp14:textId="032C229F">
      <w:pPr>
        <w:pStyle w:val="Heading2"/>
        <w:bidi w:val="0"/>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6D0F4A22" wp14:paraId="03530096" wp14:textId="429FBDD0">
      <w:pPr>
        <w:pStyle w:val="Heading2"/>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Recommendations</w:t>
      </w:r>
      <w:r w:rsidRPr="6D0F4A22" w:rsidR="114171E7">
        <w:rPr>
          <w:rFonts w:ascii="Arial" w:hAnsi="Arial" w:eastAsia="Arial" w:cs="Arial"/>
          <w:b w:val="1"/>
          <w:bCs w:val="1"/>
          <w:noProof w:val="0"/>
          <w:color w:val="auto"/>
          <w:sz w:val="22"/>
          <w:szCs w:val="22"/>
          <w:lang w:val="en-GB"/>
        </w:rPr>
        <w:t>: -</w:t>
      </w:r>
    </w:p>
    <w:p xmlns:wp14="http://schemas.microsoft.com/office/word/2010/wordml" w:rsidP="6D0F4A22" wp14:paraId="3DF3644A" wp14:textId="4AAA64EF">
      <w:pPr>
        <w:pStyle w:val="Normal"/>
        <w:bidi w:val="0"/>
        <w:rPr>
          <w:noProof w:val="0"/>
          <w:lang w:val="en-GB"/>
        </w:rPr>
      </w:pPr>
    </w:p>
    <w:p xmlns:wp14="http://schemas.microsoft.com/office/word/2010/wordml" w:rsidP="6D0F4A22" wp14:paraId="5A28BD3F" wp14:textId="44D37ADD">
      <w:pPr>
        <w:pStyle w:val="Heading3"/>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For Practice</w:t>
      </w:r>
      <w:r w:rsidRPr="6D0F4A22" w:rsidR="500F876A">
        <w:rPr>
          <w:rFonts w:ascii="Arial" w:hAnsi="Arial" w:eastAsia="Arial" w:cs="Arial"/>
          <w:b w:val="1"/>
          <w:bCs w:val="1"/>
          <w:noProof w:val="0"/>
          <w:color w:val="auto"/>
          <w:sz w:val="22"/>
          <w:szCs w:val="22"/>
          <w:lang w:val="en-GB"/>
        </w:rPr>
        <w:t>: -</w:t>
      </w:r>
    </w:p>
    <w:p xmlns:wp14="http://schemas.microsoft.com/office/word/2010/wordml" w:rsidP="6D0F4A22" wp14:paraId="2EA92D44" wp14:textId="6E4A580C">
      <w:pPr>
        <w:pStyle w:val="ListParagraph"/>
        <w:numPr>
          <w:ilvl w:val="0"/>
          <w:numId w:val="19"/>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Provide accessible digital literacy training through community centres, libraries, GP practices</w:t>
      </w:r>
      <w:r w:rsidRPr="6D0F4A22" w:rsidR="4ED0C6A0">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and voluntary organisations.</w:t>
      </w:r>
    </w:p>
    <w:p xmlns:wp14="http://schemas.microsoft.com/office/word/2010/wordml" w:rsidP="6D0F4A22" wp14:paraId="354B21BB" wp14:textId="21BDDDC2">
      <w:pPr>
        <w:pStyle w:val="ListParagraph"/>
        <w:numPr>
          <w:ilvl w:val="0"/>
          <w:numId w:val="19"/>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Offer one‑to‑one support, telephone helplines and in</w:t>
      </w:r>
      <w:r w:rsidRPr="6D0F4A22" w:rsidR="13B869B8">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 xml:space="preserve">person </w:t>
      </w:r>
      <w:r w:rsidRPr="6D0F4A22" w:rsidR="0B3B777D">
        <w:rPr>
          <w:rFonts w:ascii="Arial" w:hAnsi="Arial" w:eastAsia="Arial" w:cs="Arial"/>
          <w:noProof w:val="0"/>
          <w:color w:val="auto"/>
          <w:sz w:val="22"/>
          <w:szCs w:val="22"/>
          <w:lang w:val="en-GB"/>
        </w:rPr>
        <w:t>assistance</w:t>
      </w:r>
      <w:r w:rsidRPr="6D0F4A22" w:rsidR="0B3B777D">
        <w:rPr>
          <w:rFonts w:ascii="Arial" w:hAnsi="Arial" w:eastAsia="Arial" w:cs="Arial"/>
          <w:noProof w:val="0"/>
          <w:color w:val="auto"/>
          <w:sz w:val="22"/>
          <w:szCs w:val="22"/>
          <w:lang w:val="en-GB"/>
        </w:rPr>
        <w:t xml:space="preserve"> for older adults using digital health tools.</w:t>
      </w:r>
    </w:p>
    <w:p xmlns:wp14="http://schemas.microsoft.com/office/word/2010/wordml" w:rsidP="6D0F4A22" wp14:paraId="1246F81D" wp14:textId="6FDA8564">
      <w:pPr>
        <w:pStyle w:val="ListParagraph"/>
        <w:numPr>
          <w:ilvl w:val="0"/>
          <w:numId w:val="19"/>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Maintain blended models of care, ensuring that non</w:t>
      </w:r>
      <w:r w:rsidRPr="6D0F4A22" w:rsidR="421435DB">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 xml:space="preserve">digital options </w:t>
      </w:r>
      <w:r w:rsidRPr="6D0F4A22" w:rsidR="0B3B777D">
        <w:rPr>
          <w:rFonts w:ascii="Arial" w:hAnsi="Arial" w:eastAsia="Arial" w:cs="Arial"/>
          <w:noProof w:val="0"/>
          <w:color w:val="auto"/>
          <w:sz w:val="22"/>
          <w:szCs w:val="22"/>
          <w:lang w:val="en-GB"/>
        </w:rPr>
        <w:t>remain</w:t>
      </w:r>
      <w:r w:rsidRPr="6D0F4A22" w:rsidR="0B3B777D">
        <w:rPr>
          <w:rFonts w:ascii="Arial" w:hAnsi="Arial" w:eastAsia="Arial" w:cs="Arial"/>
          <w:noProof w:val="0"/>
          <w:color w:val="auto"/>
          <w:sz w:val="22"/>
          <w:szCs w:val="22"/>
          <w:lang w:val="en-GB"/>
        </w:rPr>
        <w:t xml:space="preserve"> available for those unable or unwilling to use digital services.</w:t>
      </w:r>
    </w:p>
    <w:p xmlns:wp14="http://schemas.microsoft.com/office/word/2010/wordml" w:rsidP="6D0F4A22" wp14:paraId="7FC35C2E" wp14:textId="743DBF54">
      <w:pPr>
        <w:pStyle w:val="ListParagraph"/>
        <w:numPr>
          <w:ilvl w:val="0"/>
          <w:numId w:val="19"/>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Encourage healthcare professionals to assess digital readiness and tailor support accordingly.</w:t>
      </w:r>
    </w:p>
    <w:p xmlns:wp14="http://schemas.microsoft.com/office/word/2010/wordml" w:rsidP="6D0F4A22" wp14:paraId="3CABCB7F" wp14:textId="69A813C7">
      <w:pPr>
        <w:pStyle w:val="ListParagraph"/>
        <w:bidi w:val="0"/>
        <w:spacing w:before="30" w:beforeAutospacing="off" w:after="30" w:afterAutospacing="off"/>
        <w:ind w:left="1080"/>
        <w:rPr>
          <w:rFonts w:ascii="Arial" w:hAnsi="Arial" w:eastAsia="Arial" w:cs="Arial"/>
          <w:noProof w:val="0"/>
          <w:color w:val="auto"/>
          <w:sz w:val="22"/>
          <w:szCs w:val="22"/>
          <w:lang w:val="en-GB"/>
        </w:rPr>
      </w:pPr>
    </w:p>
    <w:p xmlns:wp14="http://schemas.microsoft.com/office/word/2010/wordml" w:rsidP="6D0F4A22" wp14:paraId="473E7C36" wp14:textId="3B331247">
      <w:pPr>
        <w:pStyle w:val="Heading3"/>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For Policy</w:t>
      </w:r>
      <w:r w:rsidRPr="6D0F4A22" w:rsidR="4E0C5943">
        <w:rPr>
          <w:rFonts w:ascii="Arial" w:hAnsi="Arial" w:eastAsia="Arial" w:cs="Arial"/>
          <w:b w:val="1"/>
          <w:bCs w:val="1"/>
          <w:noProof w:val="0"/>
          <w:color w:val="auto"/>
          <w:sz w:val="22"/>
          <w:szCs w:val="22"/>
          <w:lang w:val="en-GB"/>
        </w:rPr>
        <w:t>: -</w:t>
      </w:r>
    </w:p>
    <w:p xmlns:wp14="http://schemas.microsoft.com/office/word/2010/wordml" w:rsidP="6D0F4A22" wp14:paraId="4DC38975" wp14:textId="4C3E8AA3">
      <w:pPr>
        <w:pStyle w:val="ListParagraph"/>
        <w:numPr>
          <w:ilvl w:val="0"/>
          <w:numId w:val="20"/>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Expand affordable broadband access, particularly in rural and deprived areas.</w:t>
      </w:r>
    </w:p>
    <w:p xmlns:wp14="http://schemas.microsoft.com/office/word/2010/wordml" w:rsidP="6D0F4A22" wp14:paraId="3705D6CD" wp14:textId="7B30E27F">
      <w:pPr>
        <w:pStyle w:val="ListParagraph"/>
        <w:numPr>
          <w:ilvl w:val="0"/>
          <w:numId w:val="20"/>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Introduce schemes to subsidise digital devices for low‑income older adults.</w:t>
      </w:r>
    </w:p>
    <w:p xmlns:wp14="http://schemas.microsoft.com/office/word/2010/wordml" w:rsidP="6D0F4A22" wp14:paraId="6423CD7A" wp14:textId="7F75153A">
      <w:pPr>
        <w:pStyle w:val="ListParagraph"/>
        <w:numPr>
          <w:ilvl w:val="0"/>
          <w:numId w:val="20"/>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Strengthen national digital inclusion strategies with a specific focus on older populations.</w:t>
      </w:r>
    </w:p>
    <w:p xmlns:wp14="http://schemas.microsoft.com/office/word/2010/wordml" w:rsidP="6D0F4A22" wp14:paraId="3A0C10B6" wp14:textId="5CABDB2B">
      <w:pPr>
        <w:pStyle w:val="ListParagraph"/>
        <w:numPr>
          <w:ilvl w:val="0"/>
          <w:numId w:val="20"/>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Ensure that digital health initiatives </w:t>
      </w:r>
      <w:r w:rsidRPr="6D0F4A22" w:rsidR="0B3B777D">
        <w:rPr>
          <w:rFonts w:ascii="Arial" w:hAnsi="Arial" w:eastAsia="Arial" w:cs="Arial"/>
          <w:noProof w:val="0"/>
          <w:color w:val="auto"/>
          <w:sz w:val="22"/>
          <w:szCs w:val="22"/>
          <w:lang w:val="en-GB"/>
        </w:rPr>
        <w:t>comply with</w:t>
      </w:r>
      <w:r w:rsidRPr="6D0F4A22" w:rsidR="0B3B777D">
        <w:rPr>
          <w:rFonts w:ascii="Arial" w:hAnsi="Arial" w:eastAsia="Arial" w:cs="Arial"/>
          <w:noProof w:val="0"/>
          <w:color w:val="auto"/>
          <w:sz w:val="22"/>
          <w:szCs w:val="22"/>
          <w:lang w:val="en-GB"/>
        </w:rPr>
        <w:t xml:space="preserve"> the Equality Act 2010 and promote accessibility.</w:t>
      </w:r>
    </w:p>
    <w:p xmlns:wp14="http://schemas.microsoft.com/office/word/2010/wordml" w:rsidP="6D0F4A22" wp14:paraId="7EC4DE8C" wp14:textId="39115806">
      <w:pPr>
        <w:pStyle w:val="ListParagraph"/>
        <w:bidi w:val="0"/>
        <w:spacing w:before="30" w:beforeAutospacing="off" w:after="30" w:afterAutospacing="off"/>
        <w:ind w:left="1080"/>
        <w:rPr>
          <w:rFonts w:ascii="Arial" w:hAnsi="Arial" w:eastAsia="Arial" w:cs="Arial"/>
          <w:noProof w:val="0"/>
          <w:color w:val="auto"/>
          <w:sz w:val="22"/>
          <w:szCs w:val="22"/>
          <w:lang w:val="en-GB"/>
        </w:rPr>
      </w:pPr>
    </w:p>
    <w:p xmlns:wp14="http://schemas.microsoft.com/office/word/2010/wordml" w:rsidP="6D0F4A22" wp14:paraId="100E19EA" wp14:textId="2328EFC3">
      <w:pPr>
        <w:pStyle w:val="Heading3"/>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For Technology Developers</w:t>
      </w:r>
      <w:r w:rsidRPr="6D0F4A22" w:rsidR="5B5D93FB">
        <w:rPr>
          <w:rFonts w:ascii="Arial" w:hAnsi="Arial" w:eastAsia="Arial" w:cs="Arial"/>
          <w:b w:val="1"/>
          <w:bCs w:val="1"/>
          <w:noProof w:val="0"/>
          <w:color w:val="auto"/>
          <w:sz w:val="22"/>
          <w:szCs w:val="22"/>
          <w:lang w:val="en-GB"/>
        </w:rPr>
        <w:t>: -</w:t>
      </w:r>
    </w:p>
    <w:p xmlns:wp14="http://schemas.microsoft.com/office/word/2010/wordml" w:rsidP="6D0F4A22" wp14:paraId="51537104" wp14:textId="01724E4C">
      <w:pPr>
        <w:pStyle w:val="ListParagraph"/>
        <w:numPr>
          <w:ilvl w:val="0"/>
          <w:numId w:val="21"/>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Apply age</w:t>
      </w:r>
      <w:r w:rsidRPr="6D0F4A22" w:rsidR="0C635C12">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 xml:space="preserve">friendly design principles, including large fonts, simple navigation, high‑contrast </w:t>
      </w:r>
      <w:r w:rsidRPr="6D0F4A22" w:rsidR="0B3B777D">
        <w:rPr>
          <w:rFonts w:ascii="Arial" w:hAnsi="Arial" w:eastAsia="Arial" w:cs="Arial"/>
          <w:noProof w:val="0"/>
          <w:color w:val="auto"/>
          <w:sz w:val="22"/>
          <w:szCs w:val="22"/>
          <w:lang w:val="en-GB"/>
        </w:rPr>
        <w:t>interfaces</w:t>
      </w:r>
      <w:r w:rsidRPr="6D0F4A22" w:rsidR="0B3B777D">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and voice</w:t>
      </w:r>
      <w:r w:rsidRPr="6D0F4A22" w:rsidR="2EB1236B">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assisted features.</w:t>
      </w:r>
    </w:p>
    <w:p xmlns:wp14="http://schemas.microsoft.com/office/word/2010/wordml" w:rsidP="6D0F4A22" wp14:paraId="1CDD9166" wp14:textId="1ECB519E">
      <w:pPr>
        <w:pStyle w:val="ListParagraph"/>
        <w:numPr>
          <w:ilvl w:val="0"/>
          <w:numId w:val="21"/>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Co‑design digital health tools with older adults to ensure usability and relevance.</w:t>
      </w:r>
    </w:p>
    <w:p xmlns:wp14="http://schemas.microsoft.com/office/word/2010/wordml" w:rsidP="6D0F4A22" wp14:paraId="55ED5DBA" wp14:textId="3314036E">
      <w:pPr>
        <w:pStyle w:val="ListParagraph"/>
        <w:numPr>
          <w:ilvl w:val="0"/>
          <w:numId w:val="21"/>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Improve transparency around data protection and privacy to build trust.</w:t>
      </w:r>
    </w:p>
    <w:p xmlns:wp14="http://schemas.microsoft.com/office/word/2010/wordml" w:rsidP="6D0F4A22" wp14:paraId="275379E3" wp14:textId="4BF7C48C">
      <w:pPr>
        <w:pStyle w:val="ListParagraph"/>
        <w:numPr>
          <w:ilvl w:val="0"/>
          <w:numId w:val="21"/>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Reduce the number of steps </w:t>
      </w:r>
      <w:r w:rsidRPr="6D0F4A22" w:rsidR="0B3B777D">
        <w:rPr>
          <w:rFonts w:ascii="Arial" w:hAnsi="Arial" w:eastAsia="Arial" w:cs="Arial"/>
          <w:noProof w:val="0"/>
          <w:color w:val="auto"/>
          <w:sz w:val="22"/>
          <w:szCs w:val="22"/>
          <w:lang w:val="en-GB"/>
        </w:rPr>
        <w:t>required</w:t>
      </w:r>
      <w:r w:rsidRPr="6D0F4A22" w:rsidR="0B3B777D">
        <w:rPr>
          <w:rFonts w:ascii="Arial" w:hAnsi="Arial" w:eastAsia="Arial" w:cs="Arial"/>
          <w:noProof w:val="0"/>
          <w:color w:val="auto"/>
          <w:sz w:val="22"/>
          <w:szCs w:val="22"/>
          <w:lang w:val="en-GB"/>
        </w:rPr>
        <w:t xml:space="preserve"> to complete tasks simplifying user journeys.</w:t>
      </w:r>
    </w:p>
    <w:p xmlns:wp14="http://schemas.microsoft.com/office/word/2010/wordml" w:rsidP="6D0F4A22" wp14:paraId="42F8E16D" wp14:textId="62CB1A7E">
      <w:pPr>
        <w:pStyle w:val="ListParagraph"/>
        <w:bidi w:val="0"/>
        <w:spacing w:before="30" w:beforeAutospacing="off" w:after="30" w:afterAutospacing="off"/>
        <w:ind w:left="720"/>
        <w:rPr>
          <w:rFonts w:ascii="Arial" w:hAnsi="Arial" w:eastAsia="Arial" w:cs="Arial"/>
          <w:noProof w:val="0"/>
          <w:color w:val="auto"/>
          <w:sz w:val="22"/>
          <w:szCs w:val="22"/>
          <w:lang w:val="en-GB"/>
        </w:rPr>
      </w:pPr>
    </w:p>
    <w:p xmlns:wp14="http://schemas.microsoft.com/office/word/2010/wordml" w:rsidP="6D0F4A22" wp14:paraId="3BB3290C" wp14:textId="7BC3F588">
      <w:pPr>
        <w:pStyle w:val="Heading3"/>
        <w:bidi w:val="0"/>
        <w:spacing w:before="30" w:beforeAutospacing="off" w:after="30" w:afterAutospacing="off"/>
        <w:rPr>
          <w:rFonts w:ascii="Arial" w:hAnsi="Arial" w:eastAsia="Arial" w:cs="Arial"/>
          <w:b w:val="1"/>
          <w:bCs w:val="1"/>
          <w:noProof w:val="0"/>
          <w:color w:val="auto"/>
          <w:sz w:val="22"/>
          <w:szCs w:val="22"/>
          <w:lang w:val="en-GB"/>
        </w:rPr>
      </w:pPr>
      <w:r w:rsidRPr="6D0F4A22" w:rsidR="0B3B777D">
        <w:rPr>
          <w:rFonts w:ascii="Arial" w:hAnsi="Arial" w:eastAsia="Arial" w:cs="Arial"/>
          <w:b w:val="1"/>
          <w:bCs w:val="1"/>
          <w:noProof w:val="0"/>
          <w:color w:val="auto"/>
          <w:sz w:val="22"/>
          <w:szCs w:val="22"/>
          <w:lang w:val="en-GB"/>
        </w:rPr>
        <w:t>For Future Research</w:t>
      </w:r>
      <w:r w:rsidRPr="6D0F4A22" w:rsidR="571B2A8A">
        <w:rPr>
          <w:rFonts w:ascii="Arial" w:hAnsi="Arial" w:eastAsia="Arial" w:cs="Arial"/>
          <w:b w:val="1"/>
          <w:bCs w:val="1"/>
          <w:noProof w:val="0"/>
          <w:color w:val="auto"/>
          <w:sz w:val="22"/>
          <w:szCs w:val="22"/>
          <w:lang w:val="en-GB"/>
        </w:rPr>
        <w:t>: -</w:t>
      </w:r>
    </w:p>
    <w:p xmlns:wp14="http://schemas.microsoft.com/office/word/2010/wordml" w:rsidP="6D0F4A22" wp14:paraId="471E7C5B" wp14:textId="00BCC5AD">
      <w:pPr>
        <w:pStyle w:val="ListParagraph"/>
        <w:numPr>
          <w:ilvl w:val="0"/>
          <w:numId w:val="22"/>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Conduct more UK</w:t>
      </w:r>
      <w:r w:rsidRPr="6D0F4A22" w:rsidR="584A268F">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based primary research involving diverse groups of older adults.</w:t>
      </w:r>
    </w:p>
    <w:p xmlns:wp14="http://schemas.microsoft.com/office/word/2010/wordml" w:rsidP="6D0F4A22" wp14:paraId="15BABDEB" wp14:textId="3300B426">
      <w:pPr>
        <w:pStyle w:val="ListParagraph"/>
        <w:numPr>
          <w:ilvl w:val="0"/>
          <w:numId w:val="22"/>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Evaluate the effectiveness of digital literacy and inclusion interventions.</w:t>
      </w:r>
    </w:p>
    <w:p xmlns:wp14="http://schemas.microsoft.com/office/word/2010/wordml" w:rsidP="6D0F4A22" wp14:paraId="172C22D5" wp14:textId="304AB75E">
      <w:pPr>
        <w:pStyle w:val="ListParagraph"/>
        <w:numPr>
          <w:ilvl w:val="0"/>
          <w:numId w:val="22"/>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Explore the long</w:t>
      </w:r>
      <w:r w:rsidRPr="6D0F4A22" w:rsidR="681B99F4">
        <w:rPr>
          <w:rFonts w:ascii="Arial" w:hAnsi="Arial" w:eastAsia="Arial" w:cs="Arial"/>
          <w:noProof w:val="0"/>
          <w:color w:val="auto"/>
          <w:sz w:val="22"/>
          <w:szCs w:val="22"/>
          <w:lang w:val="en-GB"/>
        </w:rPr>
        <w:t xml:space="preserve"> </w:t>
      </w:r>
      <w:r w:rsidRPr="6D0F4A22" w:rsidR="0B3B777D">
        <w:rPr>
          <w:rFonts w:ascii="Arial" w:hAnsi="Arial" w:eastAsia="Arial" w:cs="Arial"/>
          <w:noProof w:val="0"/>
          <w:color w:val="auto"/>
          <w:sz w:val="22"/>
          <w:szCs w:val="22"/>
          <w:lang w:val="en-GB"/>
        </w:rPr>
        <w:t>term health impacts of digital exclusion.</w:t>
      </w:r>
    </w:p>
    <w:p xmlns:wp14="http://schemas.microsoft.com/office/word/2010/wordml" w:rsidP="6D0F4A22" wp14:paraId="1FD385A9" wp14:textId="6DBD0EB4">
      <w:pPr>
        <w:pStyle w:val="ListParagraph"/>
        <w:numPr>
          <w:ilvl w:val="0"/>
          <w:numId w:val="22"/>
        </w:numPr>
        <w:bidi w:val="0"/>
        <w:spacing w:before="30" w:beforeAutospacing="off" w:after="30" w:afterAutospacing="off"/>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Investigate how cultural, socioeconomic and regional factors influence digital health adoption.</w:t>
      </w:r>
    </w:p>
    <w:p xmlns:wp14="http://schemas.microsoft.com/office/word/2010/wordml" w:rsidP="6D0F4A22" wp14:paraId="5E5787A5" wp14:textId="2522ADDE">
      <w:pPr>
        <w:bidi w:val="0"/>
        <w:spacing w:before="30" w:beforeAutospacing="off" w:after="30" w:afterAutospacing="off"/>
        <w:rPr>
          <w:rFonts w:ascii="Arial" w:hAnsi="Arial" w:eastAsia="Arial" w:cs="Arial"/>
          <w:noProof w:val="0"/>
          <w:color w:val="auto"/>
          <w:sz w:val="22"/>
          <w:szCs w:val="22"/>
          <w:lang w:val="en-GB"/>
        </w:rPr>
      </w:pPr>
    </w:p>
    <w:p w:rsidR="6D0F4A22" w:rsidP="6D0F4A22" w:rsidRDefault="6D0F4A22" w14:paraId="04CDE2DB" w14:textId="51EEC352">
      <w:pPr>
        <w:bidi w:val="0"/>
        <w:spacing w:before="30" w:beforeAutospacing="off" w:after="30" w:afterAutospacing="off"/>
        <w:rPr>
          <w:rFonts w:ascii="Arial" w:hAnsi="Arial" w:eastAsia="Arial" w:cs="Arial"/>
          <w:noProof w:val="0"/>
          <w:color w:val="auto"/>
          <w:sz w:val="22"/>
          <w:szCs w:val="22"/>
          <w:lang w:val="en-GB"/>
        </w:rPr>
      </w:pPr>
    </w:p>
    <w:p w:rsidR="6D0F4A22" w:rsidP="6D0F4A22" w:rsidRDefault="6D0F4A22" w14:paraId="7FDDCFEE" w14:textId="23DC0A1B">
      <w:pPr>
        <w:bidi w:val="0"/>
        <w:spacing w:before="30" w:beforeAutospacing="off" w:after="30" w:afterAutospacing="off"/>
        <w:rPr>
          <w:rFonts w:ascii="Arial" w:hAnsi="Arial" w:eastAsia="Arial" w:cs="Arial"/>
          <w:noProof w:val="0"/>
          <w:color w:val="auto"/>
          <w:sz w:val="22"/>
          <w:szCs w:val="22"/>
          <w:lang w:val="en-GB"/>
        </w:rPr>
      </w:pPr>
    </w:p>
    <w:p w:rsidR="6D0F4A22" w:rsidP="6D0F4A22" w:rsidRDefault="6D0F4A22" w14:paraId="25DEC152" w14:textId="0BD730B2">
      <w:pPr>
        <w:bidi w:val="0"/>
        <w:spacing w:before="30" w:beforeAutospacing="off" w:after="30" w:afterAutospacing="off"/>
        <w:rPr>
          <w:rFonts w:ascii="Arial" w:hAnsi="Arial" w:eastAsia="Arial" w:cs="Arial"/>
          <w:noProof w:val="0"/>
          <w:color w:val="auto"/>
          <w:sz w:val="22"/>
          <w:szCs w:val="22"/>
          <w:lang w:val="en-GB"/>
        </w:rPr>
      </w:pPr>
    </w:p>
    <w:p w:rsidR="6D0F4A22" w:rsidP="6D0F4A22" w:rsidRDefault="6D0F4A22" w14:paraId="24075463" w14:textId="3A64A339">
      <w:pPr>
        <w:bidi w:val="0"/>
        <w:spacing w:before="30" w:beforeAutospacing="off" w:after="30" w:afterAutospacing="off"/>
        <w:rPr>
          <w:rFonts w:ascii="Arial" w:hAnsi="Arial" w:eastAsia="Arial" w:cs="Arial"/>
          <w:noProof w:val="0"/>
          <w:color w:val="auto"/>
          <w:sz w:val="22"/>
          <w:szCs w:val="22"/>
          <w:lang w:val="en-GB"/>
        </w:rPr>
      </w:pPr>
    </w:p>
    <w:p w:rsidR="6D0F4A22" w:rsidP="6D0F4A22" w:rsidRDefault="6D0F4A22" w14:paraId="0AC275F6" w14:textId="49515F7F">
      <w:pPr>
        <w:bidi w:val="0"/>
        <w:spacing w:before="30" w:beforeAutospacing="off" w:after="30" w:afterAutospacing="off"/>
        <w:rPr>
          <w:rFonts w:ascii="Arial" w:hAnsi="Arial" w:eastAsia="Arial" w:cs="Arial"/>
          <w:noProof w:val="0"/>
          <w:color w:val="auto"/>
          <w:sz w:val="22"/>
          <w:szCs w:val="22"/>
          <w:lang w:val="en-GB"/>
        </w:rPr>
      </w:pPr>
    </w:p>
    <w:p w:rsidR="6D0F4A22" w:rsidP="6D0F4A22" w:rsidRDefault="6D0F4A22" w14:paraId="4FB883F1" w14:textId="45307308">
      <w:pPr>
        <w:bidi w:val="0"/>
        <w:spacing w:before="30" w:beforeAutospacing="off" w:after="30" w:afterAutospacing="off"/>
        <w:rPr>
          <w:rFonts w:ascii="Arial" w:hAnsi="Arial" w:eastAsia="Arial" w:cs="Arial"/>
          <w:noProof w:val="0"/>
          <w:color w:val="auto"/>
          <w:sz w:val="22"/>
          <w:szCs w:val="22"/>
          <w:lang w:val="en-GB"/>
        </w:rPr>
      </w:pPr>
    </w:p>
    <w:p w:rsidR="6D0F4A22" w:rsidP="6D0F4A22" w:rsidRDefault="6D0F4A22" w14:paraId="4852C6B9" w14:textId="74FB9CCD">
      <w:pPr>
        <w:pStyle w:val="Normal"/>
        <w:bidi w:val="0"/>
        <w:spacing w:before="30" w:beforeAutospacing="off" w:after="30" w:afterAutospacing="off"/>
        <w:rPr>
          <w:rFonts w:ascii="Arial" w:hAnsi="Arial" w:eastAsia="Arial" w:cs="Arial"/>
          <w:noProof w:val="0"/>
          <w:color w:val="auto"/>
          <w:sz w:val="22"/>
          <w:szCs w:val="22"/>
          <w:lang w:val="en-GB"/>
        </w:rPr>
      </w:pPr>
    </w:p>
    <w:p w:rsidR="6D0F4A22" w:rsidP="6D0F4A22" w:rsidRDefault="6D0F4A22" w14:paraId="254188BE" w14:textId="79E6E6A4">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0280530F" w14:textId="68B34A99">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0DC5E193" w14:textId="6C5FCFFE">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396AC8B1" w14:textId="6A3817E5">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4EDEE8BA" w14:textId="3366E559">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67AD74B7" w14:textId="079073A2">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5EA03730" w14:textId="1BE43D44">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570B7C55" w14:textId="7CAD4CEE">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4EEF3FC3" w14:textId="2706730E">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62FFB989" w14:textId="6693DFE8">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1646119B" w14:textId="7897544D">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0B64C481" w14:textId="3FFE189D">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061E0787" w14:textId="599E4E8A">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6DECA959" w14:textId="76994DC3">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2D0EC5B3" w14:textId="24BBA040">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717F39E9" w14:textId="690F72D6">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4F6DBA56" w14:textId="560AC017">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1F22F13C" w14:textId="7CD204E6">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339991E4" w14:textId="3E324C74">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78A82C86" w14:textId="00198E88">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3A8328D4" w14:textId="623A1F67">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76169850" w14:textId="18C1EEC6">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6D0F4A22" w:rsidP="6D0F4A22" w:rsidRDefault="6D0F4A22" w14:paraId="054AD53A" w14:textId="6CF60CC8">
      <w:pPr>
        <w:pStyle w:val="Normal"/>
        <w:bidi w:val="0"/>
        <w:spacing w:before="30" w:beforeAutospacing="off" w:after="30" w:afterAutospacing="off"/>
        <w:rPr>
          <w:rFonts w:ascii="Arial" w:hAnsi="Arial" w:eastAsia="Arial" w:cs="Arial"/>
          <w:b w:val="1"/>
          <w:bCs w:val="1"/>
          <w:noProof w:val="0"/>
          <w:color w:val="auto"/>
          <w:sz w:val="22"/>
          <w:szCs w:val="22"/>
          <w:lang w:val="en-GB"/>
        </w:rPr>
      </w:pPr>
    </w:p>
    <w:p w:rsidR="287AB9F7" w:rsidP="6D0F4A22" w:rsidRDefault="287AB9F7" w14:paraId="5F349FD0" w14:textId="3E2B5932">
      <w:pPr>
        <w:pStyle w:val="Normal"/>
        <w:bidi w:val="0"/>
        <w:spacing w:before="30" w:beforeAutospacing="off" w:after="30" w:afterAutospacing="off"/>
        <w:rPr>
          <w:rFonts w:ascii="Arial" w:hAnsi="Arial" w:eastAsia="Arial" w:cs="Arial"/>
          <w:b w:val="1"/>
          <w:bCs w:val="1"/>
          <w:noProof w:val="0"/>
          <w:color w:val="auto"/>
          <w:sz w:val="22"/>
          <w:szCs w:val="22"/>
          <w:lang w:val="en-GB"/>
        </w:rPr>
      </w:pPr>
      <w:r w:rsidRPr="6D0F4A22" w:rsidR="287AB9F7">
        <w:rPr>
          <w:rFonts w:ascii="Arial" w:hAnsi="Arial" w:eastAsia="Arial" w:cs="Arial"/>
          <w:b w:val="1"/>
          <w:bCs w:val="1"/>
          <w:noProof w:val="0"/>
          <w:color w:val="auto"/>
          <w:sz w:val="22"/>
          <w:szCs w:val="22"/>
          <w:lang w:val="en-GB"/>
        </w:rPr>
        <w:t>References:</w:t>
      </w:r>
    </w:p>
    <w:p w:rsidR="6D0F4A22" w:rsidP="6D0F4A22" w:rsidRDefault="6D0F4A22" w14:paraId="0D041474" w14:textId="7981148D">
      <w:pPr>
        <w:pStyle w:val="Normal"/>
        <w:bidi w:val="0"/>
        <w:spacing w:before="30" w:beforeAutospacing="off" w:after="30" w:afterAutospacing="off"/>
        <w:ind w:left="0"/>
        <w:rPr>
          <w:rFonts w:ascii="Arial" w:hAnsi="Arial" w:eastAsia="Arial" w:cs="Arial"/>
          <w:noProof w:val="0"/>
          <w:color w:val="auto"/>
          <w:sz w:val="22"/>
          <w:szCs w:val="22"/>
          <w:lang w:val="en-GB"/>
        </w:rPr>
      </w:pPr>
    </w:p>
    <w:p w:rsidR="0B3B777D" w:rsidP="6D0F4A22" w:rsidRDefault="0B3B777D" w14:paraId="26B29A83" w14:textId="04C7D3FE">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Age UK (2022) </w:t>
      </w:r>
      <w:r w:rsidRPr="6D0F4A22" w:rsidR="0B3B777D">
        <w:rPr>
          <w:rFonts w:ascii="Arial" w:hAnsi="Arial" w:eastAsia="Arial" w:cs="Arial"/>
          <w:i w:val="1"/>
          <w:iCs w:val="1"/>
          <w:noProof w:val="0"/>
          <w:color w:val="auto"/>
          <w:sz w:val="22"/>
          <w:szCs w:val="22"/>
          <w:lang w:val="en-GB"/>
        </w:rPr>
        <w:t>Digital inclusion and older people</w:t>
      </w:r>
      <w:r w:rsidRPr="6D0F4A22" w:rsidR="0B3B777D">
        <w:rPr>
          <w:rFonts w:ascii="Arial" w:hAnsi="Arial" w:eastAsia="Arial" w:cs="Arial"/>
          <w:noProof w:val="0"/>
          <w:color w:val="auto"/>
          <w:sz w:val="22"/>
          <w:szCs w:val="22"/>
          <w:lang w:val="en-GB"/>
        </w:rPr>
        <w:t xml:space="preserve">. Available at: </w:t>
      </w:r>
      <w:hyperlink r:id="R3b1e9b288fa24c72">
        <w:r w:rsidRPr="6D0F4A22" w:rsidR="0B3B777D">
          <w:rPr>
            <w:rStyle w:val="Hyperlink"/>
            <w:rFonts w:ascii="Arial" w:hAnsi="Arial" w:eastAsia="Arial" w:cs="Arial"/>
            <w:noProof w:val="0"/>
            <w:color w:val="auto"/>
            <w:sz w:val="22"/>
            <w:szCs w:val="22"/>
            <w:lang w:val="en-GB"/>
          </w:rPr>
          <w:t>https://www.ageuk.org.uk</w:t>
        </w:r>
      </w:hyperlink>
    </w:p>
    <w:p w:rsidR="6D0F4A22" w:rsidP="6D0F4A22" w:rsidRDefault="6D0F4A22" w14:paraId="2A217F09" w14:textId="69B84F6A">
      <w:pPr>
        <w:pStyle w:val="Normal"/>
        <w:bidi w:val="0"/>
        <w:spacing w:before="30" w:beforeAutospacing="off" w:after="30" w:afterAutospacing="off"/>
        <w:ind w:left="0"/>
        <w:rPr>
          <w:rFonts w:ascii="Arial" w:hAnsi="Arial" w:eastAsia="Arial" w:cs="Arial"/>
          <w:noProof w:val="0"/>
          <w:color w:val="auto"/>
          <w:sz w:val="22"/>
          <w:szCs w:val="22"/>
          <w:lang w:val="en-GB"/>
        </w:rPr>
      </w:pPr>
    </w:p>
    <w:p w:rsidR="0B3B777D" w:rsidP="6D0F4A22" w:rsidRDefault="0B3B777D" w14:paraId="475648F5" w14:textId="1DAEFB99">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Arksey, H. &amp; O’Malley, L. (2005) ‘Scoping studies: towards a methodological framework’, </w:t>
      </w:r>
      <w:r w:rsidRPr="6D0F4A22" w:rsidR="0B3B777D">
        <w:rPr>
          <w:rFonts w:ascii="Arial" w:hAnsi="Arial" w:eastAsia="Arial" w:cs="Arial"/>
          <w:i w:val="1"/>
          <w:iCs w:val="1"/>
          <w:noProof w:val="0"/>
          <w:color w:val="auto"/>
          <w:sz w:val="22"/>
          <w:szCs w:val="22"/>
          <w:lang w:val="en-GB"/>
        </w:rPr>
        <w:t>International Journal of Social Research Methodology</w:t>
      </w:r>
      <w:r w:rsidRPr="6D0F4A22" w:rsidR="0B3B777D">
        <w:rPr>
          <w:rFonts w:ascii="Arial" w:hAnsi="Arial" w:eastAsia="Arial" w:cs="Arial"/>
          <w:noProof w:val="0"/>
          <w:color w:val="auto"/>
          <w:sz w:val="22"/>
          <w:szCs w:val="22"/>
          <w:lang w:val="en-GB"/>
        </w:rPr>
        <w:t>, 8(1), pp. 19–32.</w:t>
      </w:r>
    </w:p>
    <w:p w:rsidR="6D0F4A22" w:rsidP="6D0F4A22" w:rsidRDefault="6D0F4A22" w14:paraId="06FC08B2" w14:textId="1E608FA2">
      <w:pPr>
        <w:pStyle w:val="Normal"/>
        <w:bidi w:val="0"/>
        <w:spacing w:before="30" w:beforeAutospacing="off" w:after="30" w:afterAutospacing="off"/>
        <w:ind w:left="0"/>
        <w:rPr>
          <w:rFonts w:ascii="Arial" w:hAnsi="Arial" w:eastAsia="Arial" w:cs="Arial"/>
          <w:noProof w:val="0"/>
          <w:color w:val="auto"/>
          <w:sz w:val="22"/>
          <w:szCs w:val="22"/>
          <w:lang w:val="en-GB"/>
        </w:rPr>
      </w:pPr>
    </w:p>
    <w:p w:rsidR="0B3B777D" w:rsidP="6D0F4A22" w:rsidRDefault="0B3B777D" w14:paraId="57424442" w14:textId="7F183934">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Barnard, Y., Bradley, M., Hodgson, F. &amp; Lloyd, A. (2013) ‘Learning to use new technologies by older adults: Perceived difficulties, experimentation behaviour and usability’, </w:t>
      </w:r>
      <w:r w:rsidRPr="6D0F4A22" w:rsidR="0B3B777D">
        <w:rPr>
          <w:rFonts w:ascii="Arial" w:hAnsi="Arial" w:eastAsia="Arial" w:cs="Arial"/>
          <w:i w:val="1"/>
          <w:iCs w:val="1"/>
          <w:noProof w:val="0"/>
          <w:color w:val="auto"/>
          <w:sz w:val="22"/>
          <w:szCs w:val="22"/>
          <w:lang w:val="en-GB"/>
        </w:rPr>
        <w:t xml:space="preserve">Computers in Human </w:t>
      </w:r>
      <w:r w:rsidRPr="6D0F4A22" w:rsidR="0B3B777D">
        <w:rPr>
          <w:rFonts w:ascii="Arial" w:hAnsi="Arial" w:eastAsia="Arial" w:cs="Arial"/>
          <w:i w:val="1"/>
          <w:iCs w:val="1"/>
          <w:noProof w:val="0"/>
          <w:color w:val="auto"/>
          <w:sz w:val="22"/>
          <w:szCs w:val="22"/>
          <w:lang w:val="en-GB"/>
        </w:rPr>
        <w:t>Behavior</w:t>
      </w:r>
      <w:r w:rsidRPr="6D0F4A22" w:rsidR="0B3B777D">
        <w:rPr>
          <w:rFonts w:ascii="Arial" w:hAnsi="Arial" w:eastAsia="Arial" w:cs="Arial"/>
          <w:noProof w:val="0"/>
          <w:color w:val="auto"/>
          <w:sz w:val="22"/>
          <w:szCs w:val="22"/>
          <w:lang w:val="en-GB"/>
        </w:rPr>
        <w:t>, 29(4), pp. 1715–1724.</w:t>
      </w:r>
    </w:p>
    <w:p w:rsidR="6D0F4A22" w:rsidP="6D0F4A22" w:rsidRDefault="6D0F4A22" w14:paraId="472FD589" w14:textId="499E5272">
      <w:pPr>
        <w:pStyle w:val="Normal"/>
        <w:bidi w:val="0"/>
        <w:spacing w:before="30" w:beforeAutospacing="off" w:after="30" w:afterAutospacing="off"/>
        <w:ind w:left="0"/>
        <w:rPr>
          <w:rFonts w:ascii="Arial" w:hAnsi="Arial" w:eastAsia="Arial" w:cs="Arial"/>
          <w:noProof w:val="0"/>
          <w:color w:val="auto"/>
          <w:sz w:val="22"/>
          <w:szCs w:val="22"/>
          <w:lang w:val="en-GB"/>
        </w:rPr>
      </w:pPr>
    </w:p>
    <w:p w:rsidR="0B3B777D" w:rsidP="6D0F4A22" w:rsidRDefault="0B3B777D" w14:paraId="7D8EE365" w14:textId="2E72CA6A">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Czaja, S. &amp; Lee, C. (2007) ‘The impact of aging on access to technology’, </w:t>
      </w:r>
      <w:r w:rsidRPr="6D0F4A22" w:rsidR="0B3B777D">
        <w:rPr>
          <w:rFonts w:ascii="Arial" w:hAnsi="Arial" w:eastAsia="Arial" w:cs="Arial"/>
          <w:i w:val="1"/>
          <w:iCs w:val="1"/>
          <w:noProof w:val="0"/>
          <w:color w:val="auto"/>
          <w:sz w:val="22"/>
          <w:szCs w:val="22"/>
          <w:lang w:val="en-GB"/>
        </w:rPr>
        <w:t>Universal Access in the Information Society</w:t>
      </w:r>
      <w:r w:rsidRPr="6D0F4A22" w:rsidR="0B3B777D">
        <w:rPr>
          <w:rFonts w:ascii="Arial" w:hAnsi="Arial" w:eastAsia="Arial" w:cs="Arial"/>
          <w:noProof w:val="0"/>
          <w:color w:val="auto"/>
          <w:sz w:val="22"/>
          <w:szCs w:val="22"/>
          <w:lang w:val="en-GB"/>
        </w:rPr>
        <w:t>, 5(4), pp. 341–349.</w:t>
      </w:r>
    </w:p>
    <w:p w:rsidR="6D0F4A22" w:rsidP="6D0F4A22" w:rsidRDefault="6D0F4A22" w14:paraId="102E54CF" w14:textId="76B8CDF4">
      <w:pPr>
        <w:pStyle w:val="Normal"/>
        <w:bidi w:val="0"/>
        <w:spacing w:before="30" w:beforeAutospacing="off" w:after="30" w:afterAutospacing="off"/>
        <w:ind w:left="0"/>
        <w:rPr>
          <w:rFonts w:ascii="Arial" w:hAnsi="Arial" w:eastAsia="Arial" w:cs="Arial"/>
          <w:noProof w:val="0"/>
          <w:color w:val="auto"/>
          <w:sz w:val="22"/>
          <w:szCs w:val="22"/>
          <w:lang w:val="en-GB"/>
        </w:rPr>
      </w:pPr>
    </w:p>
    <w:p w:rsidR="0B3B777D" w:rsidP="6D0F4A22" w:rsidRDefault="0B3B777D" w14:paraId="6A8F3443" w14:textId="6274ACD5">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Department for Digital, Culture, Media &amp; Sport (DCMS) (2021) </w:t>
      </w:r>
      <w:r w:rsidRPr="6D0F4A22" w:rsidR="0B3B777D">
        <w:rPr>
          <w:rFonts w:ascii="Arial" w:hAnsi="Arial" w:eastAsia="Arial" w:cs="Arial"/>
          <w:i w:val="1"/>
          <w:iCs w:val="1"/>
          <w:noProof w:val="0"/>
          <w:color w:val="auto"/>
          <w:sz w:val="22"/>
          <w:szCs w:val="22"/>
          <w:lang w:val="en-GB"/>
        </w:rPr>
        <w:t>UK Digital Strategy</w:t>
      </w:r>
      <w:r w:rsidRPr="6D0F4A22" w:rsidR="0B3B777D">
        <w:rPr>
          <w:rFonts w:ascii="Arial" w:hAnsi="Arial" w:eastAsia="Arial" w:cs="Arial"/>
          <w:noProof w:val="0"/>
          <w:color w:val="auto"/>
          <w:sz w:val="22"/>
          <w:szCs w:val="22"/>
          <w:lang w:val="en-GB"/>
        </w:rPr>
        <w:t>. London: HM Government.</w:t>
      </w:r>
    </w:p>
    <w:p w:rsidR="6D0F4A22" w:rsidP="6D0F4A22" w:rsidRDefault="6D0F4A22" w14:paraId="779DED38" w14:textId="5DB92ECD">
      <w:pPr>
        <w:pStyle w:val="Normal"/>
        <w:bidi w:val="0"/>
        <w:spacing w:before="30" w:beforeAutospacing="off" w:after="30" w:afterAutospacing="off"/>
        <w:ind w:left="0"/>
        <w:rPr>
          <w:rFonts w:ascii="Arial" w:hAnsi="Arial" w:eastAsia="Arial" w:cs="Arial"/>
          <w:noProof w:val="0"/>
          <w:color w:val="auto"/>
          <w:sz w:val="22"/>
          <w:szCs w:val="22"/>
          <w:lang w:val="en-GB"/>
        </w:rPr>
      </w:pPr>
    </w:p>
    <w:p w:rsidR="0B3B777D" w:rsidP="6D0F4A22" w:rsidRDefault="0B3B777D" w14:paraId="5A51C935" w14:textId="7CCCC2D0">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Friemel, T. (2016) ‘The digital divide among older adults’, </w:t>
      </w:r>
      <w:r w:rsidRPr="6D0F4A22" w:rsidR="0B3B777D">
        <w:rPr>
          <w:rFonts w:ascii="Arial" w:hAnsi="Arial" w:eastAsia="Arial" w:cs="Arial"/>
          <w:i w:val="1"/>
          <w:iCs w:val="1"/>
          <w:noProof w:val="0"/>
          <w:color w:val="auto"/>
          <w:sz w:val="22"/>
          <w:szCs w:val="22"/>
          <w:lang w:val="en-GB"/>
        </w:rPr>
        <w:t>Journal of Gerontology: Series B</w:t>
      </w:r>
      <w:r w:rsidRPr="6D0F4A22" w:rsidR="0B3B777D">
        <w:rPr>
          <w:rFonts w:ascii="Arial" w:hAnsi="Arial" w:eastAsia="Arial" w:cs="Arial"/>
          <w:noProof w:val="0"/>
          <w:color w:val="auto"/>
          <w:sz w:val="22"/>
          <w:szCs w:val="22"/>
          <w:lang w:val="en-GB"/>
        </w:rPr>
        <w:t>, 71(2), pp. 234–246.</w:t>
      </w:r>
    </w:p>
    <w:p w:rsidR="6D0F4A22" w:rsidP="6D0F4A22" w:rsidRDefault="6D0F4A22" w14:paraId="575B28F3" w14:textId="2A767826">
      <w:pPr>
        <w:pStyle w:val="Normal"/>
        <w:bidi w:val="0"/>
        <w:spacing w:before="30" w:beforeAutospacing="off" w:after="30" w:afterAutospacing="off"/>
        <w:ind w:left="0"/>
        <w:rPr>
          <w:rFonts w:ascii="Arial" w:hAnsi="Arial" w:eastAsia="Arial" w:cs="Arial"/>
          <w:noProof w:val="0"/>
          <w:color w:val="auto"/>
          <w:sz w:val="22"/>
          <w:szCs w:val="22"/>
          <w:lang w:val="en-GB"/>
        </w:rPr>
      </w:pPr>
    </w:p>
    <w:p w:rsidR="0B3B777D" w:rsidP="6D0F4A22" w:rsidRDefault="0B3B777D" w14:paraId="7DB55485" w14:textId="0710341A">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Greenhalgh, T., </w:t>
      </w:r>
      <w:r w:rsidRPr="6D0F4A22" w:rsidR="0B3B777D">
        <w:rPr>
          <w:rFonts w:ascii="Arial" w:hAnsi="Arial" w:eastAsia="Arial" w:cs="Arial"/>
          <w:noProof w:val="0"/>
          <w:color w:val="auto"/>
          <w:sz w:val="22"/>
          <w:szCs w:val="22"/>
          <w:lang w:val="en-GB"/>
        </w:rPr>
        <w:t>Wherton</w:t>
      </w:r>
      <w:r w:rsidRPr="6D0F4A22" w:rsidR="0B3B777D">
        <w:rPr>
          <w:rFonts w:ascii="Arial" w:hAnsi="Arial" w:eastAsia="Arial" w:cs="Arial"/>
          <w:noProof w:val="0"/>
          <w:color w:val="auto"/>
          <w:sz w:val="22"/>
          <w:szCs w:val="22"/>
          <w:lang w:val="en-GB"/>
        </w:rPr>
        <w:t xml:space="preserve">, J., Shaw, S. &amp; Morrison, C. (2020) ‘Video consultations for older adults: barriers and enablers’, </w:t>
      </w:r>
      <w:r w:rsidRPr="6D0F4A22" w:rsidR="0B3B777D">
        <w:rPr>
          <w:rFonts w:ascii="Arial" w:hAnsi="Arial" w:eastAsia="Arial" w:cs="Arial"/>
          <w:i w:val="1"/>
          <w:iCs w:val="1"/>
          <w:noProof w:val="0"/>
          <w:color w:val="auto"/>
          <w:sz w:val="22"/>
          <w:szCs w:val="22"/>
          <w:lang w:val="en-GB"/>
        </w:rPr>
        <w:t>BMJ</w:t>
      </w:r>
      <w:r w:rsidRPr="6D0F4A22" w:rsidR="0B3B777D">
        <w:rPr>
          <w:rFonts w:ascii="Arial" w:hAnsi="Arial" w:eastAsia="Arial" w:cs="Arial"/>
          <w:noProof w:val="0"/>
          <w:color w:val="auto"/>
          <w:sz w:val="22"/>
          <w:szCs w:val="22"/>
          <w:lang w:val="en-GB"/>
        </w:rPr>
        <w:t>, 368, m998.</w:t>
      </w:r>
    </w:p>
    <w:p w:rsidR="6D0F4A22" w:rsidP="6D0F4A22" w:rsidRDefault="6D0F4A22" w14:paraId="2FD01232" w14:textId="61CDEF0A">
      <w:pPr>
        <w:pStyle w:val="Normal"/>
        <w:bidi w:val="0"/>
        <w:spacing w:before="30" w:beforeAutospacing="off" w:after="30" w:afterAutospacing="off"/>
        <w:ind w:left="0"/>
        <w:rPr>
          <w:rFonts w:ascii="Arial" w:hAnsi="Arial" w:eastAsia="Arial" w:cs="Arial"/>
          <w:noProof w:val="0"/>
          <w:color w:val="auto"/>
          <w:sz w:val="22"/>
          <w:szCs w:val="22"/>
          <w:lang w:val="en-GB"/>
        </w:rPr>
      </w:pPr>
    </w:p>
    <w:p w:rsidR="0B3B777D" w:rsidP="6D0F4A22" w:rsidRDefault="0B3B777D" w14:paraId="1C99420C" w14:textId="4D9CC989">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Helsper, E. (2021) </w:t>
      </w:r>
      <w:r w:rsidRPr="6D0F4A22" w:rsidR="0B3B777D">
        <w:rPr>
          <w:rFonts w:ascii="Arial" w:hAnsi="Arial" w:eastAsia="Arial" w:cs="Arial"/>
          <w:i w:val="1"/>
          <w:iCs w:val="1"/>
          <w:noProof w:val="0"/>
          <w:color w:val="auto"/>
          <w:sz w:val="22"/>
          <w:szCs w:val="22"/>
          <w:lang w:val="en-GB"/>
        </w:rPr>
        <w:t>The Digital Disconnect: The Social Causes and Consequences of Digital Inequalities</w:t>
      </w:r>
      <w:r w:rsidRPr="6D0F4A22" w:rsidR="0B3B777D">
        <w:rPr>
          <w:rFonts w:ascii="Arial" w:hAnsi="Arial" w:eastAsia="Arial" w:cs="Arial"/>
          <w:noProof w:val="0"/>
          <w:color w:val="auto"/>
          <w:sz w:val="22"/>
          <w:szCs w:val="22"/>
          <w:lang w:val="en-GB"/>
        </w:rPr>
        <w:t>. London: SAGE.</w:t>
      </w:r>
    </w:p>
    <w:p w:rsidR="6D0F4A22" w:rsidP="6D0F4A22" w:rsidRDefault="6D0F4A22" w14:paraId="39150648" w14:textId="5044A9D8">
      <w:pPr>
        <w:pStyle w:val="Normal"/>
        <w:bidi w:val="0"/>
        <w:spacing w:before="30" w:beforeAutospacing="off" w:after="30" w:afterAutospacing="off"/>
        <w:ind w:left="0"/>
        <w:rPr>
          <w:rFonts w:ascii="Arial" w:hAnsi="Arial" w:eastAsia="Arial" w:cs="Arial"/>
          <w:noProof w:val="0"/>
          <w:color w:val="auto"/>
          <w:sz w:val="22"/>
          <w:szCs w:val="22"/>
          <w:lang w:val="en-GB"/>
        </w:rPr>
      </w:pPr>
    </w:p>
    <w:p w:rsidR="0B3B777D" w:rsidP="6D0F4A22" w:rsidRDefault="0B3B777D" w14:paraId="3253464C" w14:textId="1718569F">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Honeyman, M., Maguire, D., Evans, H. &amp; Davies, A. (2020) </w:t>
      </w:r>
      <w:r w:rsidRPr="6D0F4A22" w:rsidR="0B3B777D">
        <w:rPr>
          <w:rFonts w:ascii="Arial" w:hAnsi="Arial" w:eastAsia="Arial" w:cs="Arial"/>
          <w:i w:val="1"/>
          <w:iCs w:val="1"/>
          <w:noProof w:val="0"/>
          <w:color w:val="auto"/>
          <w:sz w:val="22"/>
          <w:szCs w:val="22"/>
          <w:lang w:val="en-GB"/>
        </w:rPr>
        <w:t xml:space="preserve">Digital </w:t>
      </w:r>
      <w:r w:rsidRPr="6D0F4A22" w:rsidR="0B3B777D">
        <w:rPr>
          <w:rFonts w:ascii="Arial" w:hAnsi="Arial" w:eastAsia="Arial" w:cs="Arial"/>
          <w:i w:val="1"/>
          <w:iCs w:val="1"/>
          <w:noProof w:val="0"/>
          <w:color w:val="auto"/>
          <w:sz w:val="22"/>
          <w:szCs w:val="22"/>
          <w:lang w:val="en-GB"/>
        </w:rPr>
        <w:t>technology</w:t>
      </w:r>
      <w:r w:rsidRPr="6D0F4A22" w:rsidR="0B3B777D">
        <w:rPr>
          <w:rFonts w:ascii="Arial" w:hAnsi="Arial" w:eastAsia="Arial" w:cs="Arial"/>
          <w:i w:val="1"/>
          <w:iCs w:val="1"/>
          <w:noProof w:val="0"/>
          <w:color w:val="auto"/>
          <w:sz w:val="22"/>
          <w:szCs w:val="22"/>
          <w:lang w:val="en-GB"/>
        </w:rPr>
        <w:t xml:space="preserve"> and health inequalities: a scoping review</w:t>
      </w:r>
      <w:r w:rsidRPr="6D0F4A22" w:rsidR="0B3B777D">
        <w:rPr>
          <w:rFonts w:ascii="Arial" w:hAnsi="Arial" w:eastAsia="Arial" w:cs="Arial"/>
          <w:noProof w:val="0"/>
          <w:color w:val="auto"/>
          <w:sz w:val="22"/>
          <w:szCs w:val="22"/>
          <w:lang w:val="en-GB"/>
        </w:rPr>
        <w:t>. London: The King’s Fund.</w:t>
      </w:r>
    </w:p>
    <w:p w:rsidR="6D0F4A22" w:rsidP="6D0F4A22" w:rsidRDefault="6D0F4A22" w14:paraId="07658A97" w14:textId="0D361C4A">
      <w:pPr>
        <w:pStyle w:val="Normal"/>
        <w:bidi w:val="0"/>
        <w:spacing w:before="30" w:beforeAutospacing="off" w:after="30" w:afterAutospacing="off"/>
        <w:ind w:left="0"/>
        <w:rPr>
          <w:rFonts w:ascii="Arial" w:hAnsi="Arial" w:eastAsia="Arial" w:cs="Arial"/>
          <w:noProof w:val="0"/>
          <w:color w:val="auto"/>
          <w:sz w:val="22"/>
          <w:szCs w:val="22"/>
          <w:lang w:val="en-GB"/>
        </w:rPr>
      </w:pPr>
    </w:p>
    <w:p w:rsidR="0B3B777D" w:rsidP="6D0F4A22" w:rsidRDefault="0B3B777D" w14:paraId="2ACAEE15" w14:textId="322D33CD">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House of Lords (2021) </w:t>
      </w:r>
      <w:r w:rsidRPr="6D0F4A22" w:rsidR="0B3B777D">
        <w:rPr>
          <w:rFonts w:ascii="Arial" w:hAnsi="Arial" w:eastAsia="Arial" w:cs="Arial"/>
          <w:i w:val="1"/>
          <w:iCs w:val="1"/>
          <w:noProof w:val="0"/>
          <w:color w:val="auto"/>
          <w:sz w:val="22"/>
          <w:szCs w:val="22"/>
          <w:lang w:val="en-GB"/>
        </w:rPr>
        <w:t>Beyond Digital: Planning for a Hybrid World</w:t>
      </w:r>
      <w:r w:rsidRPr="6D0F4A22" w:rsidR="0B3B777D">
        <w:rPr>
          <w:rFonts w:ascii="Arial" w:hAnsi="Arial" w:eastAsia="Arial" w:cs="Arial"/>
          <w:noProof w:val="0"/>
          <w:color w:val="auto"/>
          <w:sz w:val="22"/>
          <w:szCs w:val="22"/>
          <w:lang w:val="en-GB"/>
        </w:rPr>
        <w:t>. London: UK Parliament.</w:t>
      </w:r>
    </w:p>
    <w:p w:rsidR="6D0F4A22" w:rsidP="6D0F4A22" w:rsidRDefault="6D0F4A22" w14:paraId="4066D1E8" w14:textId="35BE81D4">
      <w:pPr>
        <w:pStyle w:val="Normal"/>
        <w:bidi w:val="0"/>
        <w:spacing w:before="30" w:beforeAutospacing="off" w:after="30" w:afterAutospacing="off"/>
        <w:ind w:left="0"/>
        <w:rPr>
          <w:rFonts w:ascii="Arial" w:hAnsi="Arial" w:eastAsia="Arial" w:cs="Arial"/>
          <w:noProof w:val="0"/>
          <w:color w:val="auto"/>
          <w:sz w:val="22"/>
          <w:szCs w:val="22"/>
          <w:lang w:val="en-GB"/>
        </w:rPr>
      </w:pPr>
    </w:p>
    <w:p w:rsidR="0B3B777D" w:rsidP="6D0F4A22" w:rsidRDefault="0B3B777D" w14:paraId="731F8A3C" w14:textId="41876F43">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Mitzner, T. et al. (2019) ‘Older adults’ concerns about privacy and security in digital health’, </w:t>
      </w:r>
      <w:r w:rsidRPr="6D0F4A22" w:rsidR="0B3B777D">
        <w:rPr>
          <w:rFonts w:ascii="Arial" w:hAnsi="Arial" w:eastAsia="Arial" w:cs="Arial"/>
          <w:i w:val="1"/>
          <w:iCs w:val="1"/>
          <w:noProof w:val="0"/>
          <w:color w:val="auto"/>
          <w:sz w:val="22"/>
          <w:szCs w:val="22"/>
          <w:lang w:val="en-GB"/>
        </w:rPr>
        <w:t>Gerontechnology</w:t>
      </w:r>
      <w:r w:rsidRPr="6D0F4A22" w:rsidR="0B3B777D">
        <w:rPr>
          <w:rFonts w:ascii="Arial" w:hAnsi="Arial" w:eastAsia="Arial" w:cs="Arial"/>
          <w:noProof w:val="0"/>
          <w:color w:val="auto"/>
          <w:sz w:val="22"/>
          <w:szCs w:val="22"/>
          <w:lang w:val="en-GB"/>
        </w:rPr>
        <w:t>, 18(3), pp. 142–154.</w:t>
      </w:r>
    </w:p>
    <w:p w:rsidR="6D0F4A22" w:rsidP="6D0F4A22" w:rsidRDefault="6D0F4A22" w14:paraId="700FF14F" w14:textId="09DF3451">
      <w:pPr>
        <w:pStyle w:val="Normal"/>
        <w:bidi w:val="0"/>
        <w:spacing w:before="30" w:beforeAutospacing="off" w:after="30" w:afterAutospacing="off"/>
        <w:ind w:left="0"/>
        <w:rPr>
          <w:rFonts w:ascii="Arial" w:hAnsi="Arial" w:eastAsia="Arial" w:cs="Arial"/>
          <w:noProof w:val="0"/>
          <w:color w:val="auto"/>
          <w:sz w:val="22"/>
          <w:szCs w:val="22"/>
          <w:lang w:val="en-GB"/>
        </w:rPr>
      </w:pPr>
    </w:p>
    <w:p w:rsidR="0B3B777D" w:rsidP="6D0F4A22" w:rsidRDefault="0B3B777D" w14:paraId="63F9AAB8" w14:textId="21BE987D">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NHS England (2023) </w:t>
      </w:r>
      <w:r w:rsidRPr="6D0F4A22" w:rsidR="0B3B777D">
        <w:rPr>
          <w:rFonts w:ascii="Arial" w:hAnsi="Arial" w:eastAsia="Arial" w:cs="Arial"/>
          <w:i w:val="1"/>
          <w:iCs w:val="1"/>
          <w:noProof w:val="0"/>
          <w:color w:val="auto"/>
          <w:sz w:val="22"/>
          <w:szCs w:val="22"/>
          <w:lang w:val="en-GB"/>
        </w:rPr>
        <w:t>Digital transformation in the NHS</w:t>
      </w:r>
      <w:r w:rsidRPr="6D0F4A22" w:rsidR="0B3B777D">
        <w:rPr>
          <w:rFonts w:ascii="Arial" w:hAnsi="Arial" w:eastAsia="Arial" w:cs="Arial"/>
          <w:noProof w:val="0"/>
          <w:color w:val="auto"/>
          <w:sz w:val="22"/>
          <w:szCs w:val="22"/>
          <w:lang w:val="en-GB"/>
        </w:rPr>
        <w:t xml:space="preserve">. Available at: </w:t>
      </w:r>
      <w:hyperlink r:id="Rf5b13881c3d042d7">
        <w:r w:rsidRPr="6D0F4A22" w:rsidR="0B3B777D">
          <w:rPr>
            <w:rStyle w:val="Hyperlink"/>
            <w:rFonts w:ascii="Arial" w:hAnsi="Arial" w:eastAsia="Arial" w:cs="Arial"/>
            <w:noProof w:val="0"/>
            <w:color w:val="auto"/>
            <w:sz w:val="22"/>
            <w:szCs w:val="22"/>
            <w:lang w:val="en-GB"/>
          </w:rPr>
          <w:t>https://www.england.nhs.uk</w:t>
        </w:r>
      </w:hyperlink>
    </w:p>
    <w:p w:rsidR="6D0F4A22" w:rsidP="6D0F4A22" w:rsidRDefault="6D0F4A22" w14:paraId="236BE286" w14:textId="3BB00748">
      <w:pPr>
        <w:pStyle w:val="Normal"/>
        <w:bidi w:val="0"/>
        <w:spacing w:before="30" w:beforeAutospacing="off" w:after="30" w:afterAutospacing="off"/>
        <w:ind w:left="0"/>
        <w:rPr>
          <w:rFonts w:ascii="Arial" w:hAnsi="Arial" w:eastAsia="Arial" w:cs="Arial"/>
          <w:noProof w:val="0"/>
          <w:color w:val="auto"/>
          <w:sz w:val="22"/>
          <w:szCs w:val="22"/>
          <w:lang w:val="en-GB"/>
        </w:rPr>
      </w:pPr>
    </w:p>
    <w:p w:rsidR="0B3B777D" w:rsidP="6D0F4A22" w:rsidRDefault="0B3B777D" w14:paraId="6636CEC9" w14:textId="293C7DF2">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Office for National Statistics (ONS) (2022) </w:t>
      </w:r>
      <w:r w:rsidRPr="6D0F4A22" w:rsidR="0B3B777D">
        <w:rPr>
          <w:rFonts w:ascii="Arial" w:hAnsi="Arial" w:eastAsia="Arial" w:cs="Arial"/>
          <w:i w:val="1"/>
          <w:iCs w:val="1"/>
          <w:noProof w:val="0"/>
          <w:color w:val="auto"/>
          <w:sz w:val="22"/>
          <w:szCs w:val="22"/>
          <w:lang w:val="en-GB"/>
        </w:rPr>
        <w:t>Internet access – households and individuals</w:t>
      </w:r>
      <w:r w:rsidRPr="6D0F4A22" w:rsidR="0B3B777D">
        <w:rPr>
          <w:rFonts w:ascii="Arial" w:hAnsi="Arial" w:eastAsia="Arial" w:cs="Arial"/>
          <w:noProof w:val="0"/>
          <w:color w:val="auto"/>
          <w:sz w:val="22"/>
          <w:szCs w:val="22"/>
          <w:lang w:val="en-GB"/>
        </w:rPr>
        <w:t>. London: ONS.</w:t>
      </w:r>
    </w:p>
    <w:p w:rsidR="6D0F4A22" w:rsidP="6D0F4A22" w:rsidRDefault="6D0F4A22" w14:paraId="4CC26721" w14:textId="7452D327">
      <w:pPr>
        <w:pStyle w:val="Normal"/>
        <w:bidi w:val="0"/>
        <w:spacing w:before="30" w:beforeAutospacing="off" w:after="30" w:afterAutospacing="off"/>
        <w:ind w:left="0"/>
        <w:rPr>
          <w:rFonts w:ascii="Arial" w:hAnsi="Arial" w:eastAsia="Arial" w:cs="Arial"/>
          <w:noProof w:val="0"/>
          <w:color w:val="auto"/>
          <w:sz w:val="22"/>
          <w:szCs w:val="22"/>
          <w:lang w:val="en-GB"/>
        </w:rPr>
      </w:pPr>
    </w:p>
    <w:p w:rsidR="0B3B777D" w:rsidP="6D0F4A22" w:rsidRDefault="0B3B777D" w14:paraId="1451111A" w14:textId="4216FFEB">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Peek, S. et al. (2014) ‘Factors influencing acceptance of technology for ageing in place’, </w:t>
      </w:r>
      <w:r w:rsidRPr="6D0F4A22" w:rsidR="0B3B777D">
        <w:rPr>
          <w:rFonts w:ascii="Arial" w:hAnsi="Arial" w:eastAsia="Arial" w:cs="Arial"/>
          <w:i w:val="1"/>
          <w:iCs w:val="1"/>
          <w:noProof w:val="0"/>
          <w:color w:val="auto"/>
          <w:sz w:val="22"/>
          <w:szCs w:val="22"/>
          <w:lang w:val="en-GB"/>
        </w:rPr>
        <w:t>Journal of Aging and Health</w:t>
      </w:r>
      <w:r w:rsidRPr="6D0F4A22" w:rsidR="0B3B777D">
        <w:rPr>
          <w:rFonts w:ascii="Arial" w:hAnsi="Arial" w:eastAsia="Arial" w:cs="Arial"/>
          <w:noProof w:val="0"/>
          <w:color w:val="auto"/>
          <w:sz w:val="22"/>
          <w:szCs w:val="22"/>
          <w:lang w:val="en-GB"/>
        </w:rPr>
        <w:t>, 26(3), pp. 1–29.</w:t>
      </w:r>
    </w:p>
    <w:p w:rsidR="0B3B777D" w:rsidP="6D0F4A22" w:rsidRDefault="0B3B777D" w14:paraId="7A96D203" w14:textId="27F692D9">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Seifert, A., Cotten, S. &amp; Xie, B. (2020) ‘A double burden of exclusion? Digital and social exclusion of older adults</w:t>
      </w:r>
      <w:r w:rsidRPr="6D0F4A22" w:rsidR="0B3B777D">
        <w:rPr>
          <w:rFonts w:ascii="Arial" w:hAnsi="Arial" w:eastAsia="Arial" w:cs="Arial"/>
          <w:noProof w:val="0"/>
          <w:color w:val="auto"/>
          <w:sz w:val="22"/>
          <w:szCs w:val="22"/>
          <w:lang w:val="en-GB"/>
        </w:rPr>
        <w:t>’,</w:t>
      </w:r>
      <w:r w:rsidRPr="6D0F4A22" w:rsidR="0B3B777D">
        <w:rPr>
          <w:rFonts w:ascii="Arial" w:hAnsi="Arial" w:eastAsia="Arial" w:cs="Arial"/>
          <w:noProof w:val="0"/>
          <w:color w:val="auto"/>
          <w:sz w:val="22"/>
          <w:szCs w:val="22"/>
          <w:lang w:val="en-GB"/>
        </w:rPr>
        <w:t xml:space="preserve"> </w:t>
      </w:r>
      <w:r w:rsidRPr="6D0F4A22" w:rsidR="0B3B777D">
        <w:rPr>
          <w:rFonts w:ascii="Arial" w:hAnsi="Arial" w:eastAsia="Arial" w:cs="Arial"/>
          <w:i w:val="1"/>
          <w:iCs w:val="1"/>
          <w:noProof w:val="0"/>
          <w:color w:val="auto"/>
          <w:sz w:val="22"/>
          <w:szCs w:val="22"/>
          <w:lang w:val="en-GB"/>
        </w:rPr>
        <w:t>Journal of Gerontology: Series B</w:t>
      </w:r>
      <w:r w:rsidRPr="6D0F4A22" w:rsidR="0B3B777D">
        <w:rPr>
          <w:rFonts w:ascii="Arial" w:hAnsi="Arial" w:eastAsia="Arial" w:cs="Arial"/>
          <w:noProof w:val="0"/>
          <w:color w:val="auto"/>
          <w:sz w:val="22"/>
          <w:szCs w:val="22"/>
          <w:lang w:val="en-GB"/>
        </w:rPr>
        <w:t>, 75(3), pp. 236–244.</w:t>
      </w:r>
    </w:p>
    <w:p w:rsidR="6D0F4A22" w:rsidP="6D0F4A22" w:rsidRDefault="6D0F4A22" w14:paraId="584382AB" w14:textId="3D5F1BF8">
      <w:pPr>
        <w:pStyle w:val="Normal"/>
        <w:bidi w:val="0"/>
        <w:spacing w:before="30" w:beforeAutospacing="off" w:after="30" w:afterAutospacing="off"/>
        <w:ind w:left="0"/>
        <w:rPr>
          <w:rFonts w:ascii="Arial" w:hAnsi="Arial" w:eastAsia="Arial" w:cs="Arial"/>
          <w:noProof w:val="0"/>
          <w:color w:val="auto"/>
          <w:sz w:val="22"/>
          <w:szCs w:val="22"/>
          <w:lang w:val="en-GB"/>
        </w:rPr>
      </w:pPr>
    </w:p>
    <w:p w:rsidR="0B3B777D" w:rsidP="6D0F4A22" w:rsidRDefault="0B3B777D" w14:paraId="110D85ED" w14:textId="018ED049">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Shaw, S., </w:t>
      </w:r>
      <w:r w:rsidRPr="6D0F4A22" w:rsidR="0B3B777D">
        <w:rPr>
          <w:rFonts w:ascii="Arial" w:hAnsi="Arial" w:eastAsia="Arial" w:cs="Arial"/>
          <w:noProof w:val="0"/>
          <w:color w:val="auto"/>
          <w:sz w:val="22"/>
          <w:szCs w:val="22"/>
          <w:lang w:val="en-GB"/>
        </w:rPr>
        <w:t>Wherton</w:t>
      </w:r>
      <w:r w:rsidRPr="6D0F4A22" w:rsidR="0B3B777D">
        <w:rPr>
          <w:rFonts w:ascii="Arial" w:hAnsi="Arial" w:eastAsia="Arial" w:cs="Arial"/>
          <w:noProof w:val="0"/>
          <w:color w:val="auto"/>
          <w:sz w:val="22"/>
          <w:szCs w:val="22"/>
          <w:lang w:val="en-GB"/>
        </w:rPr>
        <w:t xml:space="preserve">, J., Vijayaraghavan, S. &amp; Greenhalgh, T. (2021) ‘Advantages and limitations of virtual primary care’, </w:t>
      </w:r>
      <w:r w:rsidRPr="6D0F4A22" w:rsidR="0B3B777D">
        <w:rPr>
          <w:rFonts w:ascii="Arial" w:hAnsi="Arial" w:eastAsia="Arial" w:cs="Arial"/>
          <w:i w:val="1"/>
          <w:iCs w:val="1"/>
          <w:noProof w:val="0"/>
          <w:color w:val="auto"/>
          <w:sz w:val="22"/>
          <w:szCs w:val="22"/>
          <w:lang w:val="en-GB"/>
        </w:rPr>
        <w:t>The Lancet Digital Health</w:t>
      </w:r>
      <w:r w:rsidRPr="6D0F4A22" w:rsidR="0B3B777D">
        <w:rPr>
          <w:rFonts w:ascii="Arial" w:hAnsi="Arial" w:eastAsia="Arial" w:cs="Arial"/>
          <w:noProof w:val="0"/>
          <w:color w:val="auto"/>
          <w:sz w:val="22"/>
          <w:szCs w:val="22"/>
          <w:lang w:val="en-GB"/>
        </w:rPr>
        <w:t>, 3(9), pp. e501–e512.</w:t>
      </w:r>
    </w:p>
    <w:p w:rsidR="6D0F4A22" w:rsidP="6D0F4A22" w:rsidRDefault="6D0F4A22" w14:paraId="479B3E8A" w14:textId="7204B530">
      <w:pPr>
        <w:pStyle w:val="Normal"/>
        <w:bidi w:val="0"/>
        <w:spacing w:before="30" w:beforeAutospacing="off" w:after="30" w:afterAutospacing="off"/>
        <w:ind w:left="0"/>
        <w:rPr>
          <w:rFonts w:ascii="Arial" w:hAnsi="Arial" w:eastAsia="Arial" w:cs="Arial"/>
          <w:noProof w:val="0"/>
          <w:color w:val="auto"/>
          <w:sz w:val="22"/>
          <w:szCs w:val="22"/>
          <w:lang w:val="en-GB"/>
        </w:rPr>
      </w:pPr>
    </w:p>
    <w:p w:rsidR="0B3B777D" w:rsidP="6D0F4A22" w:rsidRDefault="0B3B777D" w14:paraId="7A171502" w14:textId="63E2EB14">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van Deursen, A. &amp; Helsper, E. (2015) ‘The third-level digital divide: Who benefits most from being online?’, </w:t>
      </w:r>
      <w:r w:rsidRPr="6D0F4A22" w:rsidR="0B3B777D">
        <w:rPr>
          <w:rFonts w:ascii="Arial" w:hAnsi="Arial" w:eastAsia="Arial" w:cs="Arial"/>
          <w:i w:val="1"/>
          <w:iCs w:val="1"/>
          <w:noProof w:val="0"/>
          <w:color w:val="auto"/>
          <w:sz w:val="22"/>
          <w:szCs w:val="22"/>
          <w:lang w:val="en-GB"/>
        </w:rPr>
        <w:t>Communication and Information Technologies Annual</w:t>
      </w:r>
      <w:r w:rsidRPr="6D0F4A22" w:rsidR="0B3B777D">
        <w:rPr>
          <w:rFonts w:ascii="Arial" w:hAnsi="Arial" w:eastAsia="Arial" w:cs="Arial"/>
          <w:noProof w:val="0"/>
          <w:color w:val="auto"/>
          <w:sz w:val="22"/>
          <w:szCs w:val="22"/>
          <w:lang w:val="en-GB"/>
        </w:rPr>
        <w:t>, 10, pp. 29–52.</w:t>
      </w:r>
    </w:p>
    <w:p w:rsidR="6D0F4A22" w:rsidP="6D0F4A22" w:rsidRDefault="6D0F4A22" w14:paraId="0EE96452" w14:textId="76841BB9">
      <w:pPr>
        <w:pStyle w:val="Normal"/>
        <w:bidi w:val="0"/>
        <w:spacing w:before="30" w:beforeAutospacing="off" w:after="30" w:afterAutospacing="off"/>
        <w:ind w:left="0"/>
        <w:rPr>
          <w:rFonts w:ascii="Arial" w:hAnsi="Arial" w:eastAsia="Arial" w:cs="Arial"/>
          <w:noProof w:val="0"/>
          <w:color w:val="auto"/>
          <w:sz w:val="22"/>
          <w:szCs w:val="22"/>
          <w:lang w:val="en-GB"/>
        </w:rPr>
      </w:pPr>
    </w:p>
    <w:p w:rsidR="0B3B777D" w:rsidP="6D0F4A22" w:rsidRDefault="0B3B777D" w14:paraId="7EFA3474" w14:textId="7171E461">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Vaportzis</w:t>
      </w:r>
      <w:r w:rsidRPr="6D0F4A22" w:rsidR="0B3B777D">
        <w:rPr>
          <w:rFonts w:ascii="Arial" w:hAnsi="Arial" w:eastAsia="Arial" w:cs="Arial"/>
          <w:noProof w:val="0"/>
          <w:color w:val="auto"/>
          <w:sz w:val="22"/>
          <w:szCs w:val="22"/>
          <w:lang w:val="en-GB"/>
        </w:rPr>
        <w:t xml:space="preserve">, E., Clausen, M. &amp; Gow, A. (2017) ‘Older adults’ </w:t>
      </w:r>
      <w:r w:rsidRPr="6D0F4A22" w:rsidR="0B3B777D">
        <w:rPr>
          <w:rFonts w:ascii="Arial" w:hAnsi="Arial" w:eastAsia="Arial" w:cs="Arial"/>
          <w:noProof w:val="0"/>
          <w:color w:val="auto"/>
          <w:sz w:val="22"/>
          <w:szCs w:val="22"/>
          <w:lang w:val="en-GB"/>
        </w:rPr>
        <w:t>perceptions</w:t>
      </w:r>
      <w:r w:rsidRPr="6D0F4A22" w:rsidR="0B3B777D">
        <w:rPr>
          <w:rFonts w:ascii="Arial" w:hAnsi="Arial" w:eastAsia="Arial" w:cs="Arial"/>
          <w:noProof w:val="0"/>
          <w:color w:val="auto"/>
          <w:sz w:val="22"/>
          <w:szCs w:val="22"/>
          <w:lang w:val="en-GB"/>
        </w:rPr>
        <w:t xml:space="preserve"> of technology and barriers to interacting with tablet computers’, </w:t>
      </w:r>
      <w:r w:rsidRPr="6D0F4A22" w:rsidR="0B3B777D">
        <w:rPr>
          <w:rFonts w:ascii="Arial" w:hAnsi="Arial" w:eastAsia="Arial" w:cs="Arial"/>
          <w:i w:val="1"/>
          <w:iCs w:val="1"/>
          <w:noProof w:val="0"/>
          <w:color w:val="auto"/>
          <w:sz w:val="22"/>
          <w:szCs w:val="22"/>
          <w:lang w:val="en-GB"/>
        </w:rPr>
        <w:t xml:space="preserve">Computers in Human </w:t>
      </w:r>
      <w:r w:rsidRPr="6D0F4A22" w:rsidR="0B3B777D">
        <w:rPr>
          <w:rFonts w:ascii="Arial" w:hAnsi="Arial" w:eastAsia="Arial" w:cs="Arial"/>
          <w:i w:val="1"/>
          <w:iCs w:val="1"/>
          <w:noProof w:val="0"/>
          <w:color w:val="auto"/>
          <w:sz w:val="22"/>
          <w:szCs w:val="22"/>
          <w:lang w:val="en-GB"/>
        </w:rPr>
        <w:t>Behavior</w:t>
      </w:r>
      <w:r w:rsidRPr="6D0F4A22" w:rsidR="0B3B777D">
        <w:rPr>
          <w:rFonts w:ascii="Arial" w:hAnsi="Arial" w:eastAsia="Arial" w:cs="Arial"/>
          <w:noProof w:val="0"/>
          <w:color w:val="auto"/>
          <w:sz w:val="22"/>
          <w:szCs w:val="22"/>
          <w:lang w:val="en-GB"/>
        </w:rPr>
        <w:t>, 70, pp. 1–10.</w:t>
      </w:r>
    </w:p>
    <w:p w:rsidR="6D0F4A22" w:rsidP="6D0F4A22" w:rsidRDefault="6D0F4A22" w14:paraId="22BF8F6A" w14:textId="1CDD3EDF">
      <w:pPr>
        <w:pStyle w:val="Normal"/>
        <w:bidi w:val="0"/>
        <w:spacing w:before="30" w:beforeAutospacing="off" w:after="30" w:afterAutospacing="off"/>
        <w:ind w:left="0"/>
        <w:rPr>
          <w:rFonts w:ascii="Arial" w:hAnsi="Arial" w:eastAsia="Arial" w:cs="Arial"/>
          <w:noProof w:val="0"/>
          <w:color w:val="auto"/>
          <w:sz w:val="22"/>
          <w:szCs w:val="22"/>
          <w:lang w:val="en-GB"/>
        </w:rPr>
      </w:pPr>
    </w:p>
    <w:p w:rsidR="0B3B777D" w:rsidP="6D0F4A22" w:rsidRDefault="0B3B777D" w14:paraId="337DEC91" w14:textId="55E99BA9">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Watts, G. et al. (2023) ‘Digital health inequalities in ageing populations’, </w:t>
      </w:r>
      <w:r w:rsidRPr="6D0F4A22" w:rsidR="0B3B777D">
        <w:rPr>
          <w:rFonts w:ascii="Arial" w:hAnsi="Arial" w:eastAsia="Arial" w:cs="Arial"/>
          <w:i w:val="1"/>
          <w:iCs w:val="1"/>
          <w:noProof w:val="0"/>
          <w:color w:val="auto"/>
          <w:sz w:val="22"/>
          <w:szCs w:val="22"/>
          <w:lang w:val="en-GB"/>
        </w:rPr>
        <w:t>BMJ</w:t>
      </w:r>
      <w:r w:rsidRPr="6D0F4A22" w:rsidR="0B3B777D">
        <w:rPr>
          <w:rFonts w:ascii="Arial" w:hAnsi="Arial" w:eastAsia="Arial" w:cs="Arial"/>
          <w:noProof w:val="0"/>
          <w:color w:val="auto"/>
          <w:sz w:val="22"/>
          <w:szCs w:val="22"/>
          <w:lang w:val="en-GB"/>
        </w:rPr>
        <w:t>, 381, p. 1124.</w:t>
      </w:r>
    </w:p>
    <w:p w:rsidR="6D0F4A22" w:rsidP="6D0F4A22" w:rsidRDefault="6D0F4A22" w14:paraId="7EC8DFCC" w14:textId="47521CA7">
      <w:pPr>
        <w:pStyle w:val="Normal"/>
        <w:bidi w:val="0"/>
        <w:spacing w:before="30" w:beforeAutospacing="off" w:after="30" w:afterAutospacing="off"/>
        <w:ind w:left="0"/>
        <w:rPr>
          <w:rFonts w:ascii="Arial" w:hAnsi="Arial" w:eastAsia="Arial" w:cs="Arial"/>
          <w:noProof w:val="0"/>
          <w:color w:val="auto"/>
          <w:sz w:val="22"/>
          <w:szCs w:val="22"/>
          <w:lang w:val="en-GB"/>
        </w:rPr>
      </w:pPr>
    </w:p>
    <w:p w:rsidR="0B3B777D" w:rsidP="6D0F4A22" w:rsidRDefault="0B3B777D" w14:paraId="48BBDDBE" w14:textId="7F7A9912">
      <w:pPr>
        <w:pStyle w:val="Normal"/>
        <w:bidi w:val="0"/>
        <w:spacing w:before="30" w:beforeAutospacing="off" w:after="30" w:afterAutospacing="off"/>
        <w:ind w:left="0"/>
        <w:rPr>
          <w:rFonts w:ascii="Arial" w:hAnsi="Arial" w:eastAsia="Arial" w:cs="Arial"/>
          <w:noProof w:val="0"/>
          <w:color w:val="auto"/>
          <w:sz w:val="22"/>
          <w:szCs w:val="22"/>
          <w:lang w:val="en-GB"/>
        </w:rPr>
      </w:pPr>
      <w:r w:rsidRPr="6D0F4A22" w:rsidR="0B3B777D">
        <w:rPr>
          <w:rFonts w:ascii="Arial" w:hAnsi="Arial" w:eastAsia="Arial" w:cs="Arial"/>
          <w:noProof w:val="0"/>
          <w:color w:val="auto"/>
          <w:sz w:val="22"/>
          <w:szCs w:val="22"/>
          <w:lang w:val="en-GB"/>
        </w:rPr>
        <w:t xml:space="preserve">World Health Organization (WHO) (2020) </w:t>
      </w:r>
      <w:r w:rsidRPr="6D0F4A22" w:rsidR="0B3B777D">
        <w:rPr>
          <w:rFonts w:ascii="Arial" w:hAnsi="Arial" w:eastAsia="Arial" w:cs="Arial"/>
          <w:i w:val="1"/>
          <w:iCs w:val="1"/>
          <w:noProof w:val="0"/>
          <w:color w:val="auto"/>
          <w:sz w:val="22"/>
          <w:szCs w:val="22"/>
          <w:lang w:val="en-GB"/>
        </w:rPr>
        <w:t>Global Strategy on Digital Health 2020–2025</w:t>
      </w:r>
      <w:r w:rsidRPr="6D0F4A22" w:rsidR="0B3B777D">
        <w:rPr>
          <w:rFonts w:ascii="Arial" w:hAnsi="Arial" w:eastAsia="Arial" w:cs="Arial"/>
          <w:noProof w:val="0"/>
          <w:color w:val="auto"/>
          <w:sz w:val="22"/>
          <w:szCs w:val="22"/>
          <w:lang w:val="en-GB"/>
        </w:rPr>
        <w:t>. Geneva: WHO.</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jGITUCmb" int2:invalidationBookmarkName="" int2:hashCode="yYl4MnVTdXsVSK" int2:id="5tbDSAoB">
      <int2:state int2:type="gram" int2:value="Rejected"/>
    </int2:bookmark>
    <int2:bookmark int2:bookmarkName="_Int_V3VhI4CL" int2:invalidationBookmarkName="" int2:hashCode="ZammAZHv0Pqe4T" int2:id="MI44R5qS">
      <int2:state int2:type="gram" int2:value="Rejected"/>
    </int2:bookmark>
    <int2:bookmark int2:bookmarkName="_Int_e5Ng88K2" int2:invalidationBookmarkName="" int2:hashCode="PnqqeWAa2bV38z" int2:id="ycTjgneO">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2">
    <w:nsid w:val="59989e0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1">
    <w:nsid w:val="5bd2bbc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0">
    <w:nsid w:val="7681620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9">
    <w:nsid w:val="d09000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
    <w:nsid w:val="7ca059d7"/>
    <w:multiLevelType xmlns:w="http://schemas.openxmlformats.org/wordprocessingml/2006/main" w:val="hybridMultilevel"/>
    <w:lvl xmlns:w="http://schemas.openxmlformats.org/wordprocessingml/2006/main" w:ilvl="0">
      <w:start w:val="1"/>
      <w:numFmt w:val="bullet"/>
      <w:lvlText w:val=""/>
      <w:lvlJc w:val="left"/>
      <w:pPr>
        <w:ind w:left="2520" w:hanging="360"/>
      </w:pPr>
      <w:rPr>
        <w:rFonts w:hint="default" w:ascii="Symbol" w:hAnsi="Symbol"/>
      </w:rPr>
    </w:lvl>
    <w:lvl xmlns:w="http://schemas.openxmlformats.org/wordprocessingml/2006/main" w:ilvl="1">
      <w:start w:val="1"/>
      <w:numFmt w:val="bullet"/>
      <w:lvlText w:val="o"/>
      <w:lvlJc w:val="left"/>
      <w:pPr>
        <w:ind w:left="3240" w:hanging="360"/>
      </w:pPr>
      <w:rPr>
        <w:rFonts w:hint="default" w:ascii="Courier New" w:hAnsi="Courier New"/>
      </w:rPr>
    </w:lvl>
    <w:lvl xmlns:w="http://schemas.openxmlformats.org/wordprocessingml/2006/main" w:ilvl="2">
      <w:start w:val="1"/>
      <w:numFmt w:val="bullet"/>
      <w:lvlText w:val=""/>
      <w:lvlJc w:val="left"/>
      <w:pPr>
        <w:ind w:left="3960" w:hanging="360"/>
      </w:pPr>
      <w:rPr>
        <w:rFonts w:hint="default" w:ascii="Wingdings" w:hAnsi="Wingdings"/>
      </w:rPr>
    </w:lvl>
    <w:lvl xmlns:w="http://schemas.openxmlformats.org/wordprocessingml/2006/main" w:ilvl="3">
      <w:start w:val="1"/>
      <w:numFmt w:val="bullet"/>
      <w:lvlText w:val=""/>
      <w:lvlJc w:val="left"/>
      <w:pPr>
        <w:ind w:left="4680" w:hanging="360"/>
      </w:pPr>
      <w:rPr>
        <w:rFonts w:hint="default" w:ascii="Symbol" w:hAnsi="Symbol"/>
      </w:rPr>
    </w:lvl>
    <w:lvl xmlns:w="http://schemas.openxmlformats.org/wordprocessingml/2006/main" w:ilvl="4">
      <w:start w:val="1"/>
      <w:numFmt w:val="bullet"/>
      <w:lvlText w:val="o"/>
      <w:lvlJc w:val="left"/>
      <w:pPr>
        <w:ind w:left="5400" w:hanging="360"/>
      </w:pPr>
      <w:rPr>
        <w:rFonts w:hint="default" w:ascii="Courier New" w:hAnsi="Courier New"/>
      </w:rPr>
    </w:lvl>
    <w:lvl xmlns:w="http://schemas.openxmlformats.org/wordprocessingml/2006/main" w:ilvl="5">
      <w:start w:val="1"/>
      <w:numFmt w:val="bullet"/>
      <w:lvlText w:val=""/>
      <w:lvlJc w:val="left"/>
      <w:pPr>
        <w:ind w:left="6120" w:hanging="360"/>
      </w:pPr>
      <w:rPr>
        <w:rFonts w:hint="default" w:ascii="Wingdings" w:hAnsi="Wingdings"/>
      </w:rPr>
    </w:lvl>
    <w:lvl xmlns:w="http://schemas.openxmlformats.org/wordprocessingml/2006/main" w:ilvl="6">
      <w:start w:val="1"/>
      <w:numFmt w:val="bullet"/>
      <w:lvlText w:val=""/>
      <w:lvlJc w:val="left"/>
      <w:pPr>
        <w:ind w:left="6840" w:hanging="360"/>
      </w:pPr>
      <w:rPr>
        <w:rFonts w:hint="default" w:ascii="Symbol" w:hAnsi="Symbol"/>
      </w:rPr>
    </w:lvl>
    <w:lvl xmlns:w="http://schemas.openxmlformats.org/wordprocessingml/2006/main" w:ilvl="7">
      <w:start w:val="1"/>
      <w:numFmt w:val="bullet"/>
      <w:lvlText w:val="o"/>
      <w:lvlJc w:val="left"/>
      <w:pPr>
        <w:ind w:left="7560" w:hanging="360"/>
      </w:pPr>
      <w:rPr>
        <w:rFonts w:hint="default" w:ascii="Courier New" w:hAnsi="Courier New"/>
      </w:rPr>
    </w:lvl>
    <w:lvl xmlns:w="http://schemas.openxmlformats.org/wordprocessingml/2006/main" w:ilvl="8">
      <w:start w:val="1"/>
      <w:numFmt w:val="bullet"/>
      <w:lvlText w:val=""/>
      <w:lvlJc w:val="left"/>
      <w:pPr>
        <w:ind w:left="8280" w:hanging="360"/>
      </w:pPr>
      <w:rPr>
        <w:rFonts w:hint="default" w:ascii="Wingdings" w:hAnsi="Wingdings"/>
      </w:rPr>
    </w:lvl>
  </w:abstractNum>
  <w:abstractNum xmlns:w="http://schemas.openxmlformats.org/wordprocessingml/2006/main" w:abstractNumId="17">
    <w:nsid w:val="26e0339a"/>
    <w:multiLevelType xmlns:w="http://schemas.openxmlformats.org/wordprocessingml/2006/main" w:val="hybridMultilevel"/>
    <w:lvl xmlns:w="http://schemas.openxmlformats.org/wordprocessingml/2006/main" w:ilvl="0">
      <w:start w:val="1"/>
      <w:numFmt w:val="bullet"/>
      <w:lvlText w:val=""/>
      <w:lvlJc w:val="left"/>
      <w:pPr>
        <w:ind w:left="2520" w:hanging="360"/>
      </w:pPr>
      <w:rPr>
        <w:rFonts w:hint="default" w:ascii="Symbol" w:hAnsi="Symbol"/>
      </w:rPr>
    </w:lvl>
    <w:lvl xmlns:w="http://schemas.openxmlformats.org/wordprocessingml/2006/main" w:ilvl="1">
      <w:start w:val="1"/>
      <w:numFmt w:val="bullet"/>
      <w:lvlText w:val="o"/>
      <w:lvlJc w:val="left"/>
      <w:pPr>
        <w:ind w:left="3240" w:hanging="360"/>
      </w:pPr>
      <w:rPr>
        <w:rFonts w:hint="default" w:ascii="Courier New" w:hAnsi="Courier New"/>
      </w:rPr>
    </w:lvl>
    <w:lvl xmlns:w="http://schemas.openxmlformats.org/wordprocessingml/2006/main" w:ilvl="2">
      <w:start w:val="1"/>
      <w:numFmt w:val="bullet"/>
      <w:lvlText w:val=""/>
      <w:lvlJc w:val="left"/>
      <w:pPr>
        <w:ind w:left="3960" w:hanging="360"/>
      </w:pPr>
      <w:rPr>
        <w:rFonts w:hint="default" w:ascii="Wingdings" w:hAnsi="Wingdings"/>
      </w:rPr>
    </w:lvl>
    <w:lvl xmlns:w="http://schemas.openxmlformats.org/wordprocessingml/2006/main" w:ilvl="3">
      <w:start w:val="1"/>
      <w:numFmt w:val="bullet"/>
      <w:lvlText w:val=""/>
      <w:lvlJc w:val="left"/>
      <w:pPr>
        <w:ind w:left="4680" w:hanging="360"/>
      </w:pPr>
      <w:rPr>
        <w:rFonts w:hint="default" w:ascii="Symbol" w:hAnsi="Symbol"/>
      </w:rPr>
    </w:lvl>
    <w:lvl xmlns:w="http://schemas.openxmlformats.org/wordprocessingml/2006/main" w:ilvl="4">
      <w:start w:val="1"/>
      <w:numFmt w:val="bullet"/>
      <w:lvlText w:val="o"/>
      <w:lvlJc w:val="left"/>
      <w:pPr>
        <w:ind w:left="5400" w:hanging="360"/>
      </w:pPr>
      <w:rPr>
        <w:rFonts w:hint="default" w:ascii="Courier New" w:hAnsi="Courier New"/>
      </w:rPr>
    </w:lvl>
    <w:lvl xmlns:w="http://schemas.openxmlformats.org/wordprocessingml/2006/main" w:ilvl="5">
      <w:start w:val="1"/>
      <w:numFmt w:val="bullet"/>
      <w:lvlText w:val=""/>
      <w:lvlJc w:val="left"/>
      <w:pPr>
        <w:ind w:left="6120" w:hanging="360"/>
      </w:pPr>
      <w:rPr>
        <w:rFonts w:hint="default" w:ascii="Wingdings" w:hAnsi="Wingdings"/>
      </w:rPr>
    </w:lvl>
    <w:lvl xmlns:w="http://schemas.openxmlformats.org/wordprocessingml/2006/main" w:ilvl="6">
      <w:start w:val="1"/>
      <w:numFmt w:val="bullet"/>
      <w:lvlText w:val=""/>
      <w:lvlJc w:val="left"/>
      <w:pPr>
        <w:ind w:left="6840" w:hanging="360"/>
      </w:pPr>
      <w:rPr>
        <w:rFonts w:hint="default" w:ascii="Symbol" w:hAnsi="Symbol"/>
      </w:rPr>
    </w:lvl>
    <w:lvl xmlns:w="http://schemas.openxmlformats.org/wordprocessingml/2006/main" w:ilvl="7">
      <w:start w:val="1"/>
      <w:numFmt w:val="bullet"/>
      <w:lvlText w:val="o"/>
      <w:lvlJc w:val="left"/>
      <w:pPr>
        <w:ind w:left="7560" w:hanging="360"/>
      </w:pPr>
      <w:rPr>
        <w:rFonts w:hint="default" w:ascii="Courier New" w:hAnsi="Courier New"/>
      </w:rPr>
    </w:lvl>
    <w:lvl xmlns:w="http://schemas.openxmlformats.org/wordprocessingml/2006/main" w:ilvl="8">
      <w:start w:val="1"/>
      <w:numFmt w:val="bullet"/>
      <w:lvlText w:val=""/>
      <w:lvlJc w:val="left"/>
      <w:pPr>
        <w:ind w:left="8280" w:hanging="360"/>
      </w:pPr>
      <w:rPr>
        <w:rFonts w:hint="default" w:ascii="Wingdings" w:hAnsi="Wingdings"/>
      </w:rPr>
    </w:lvl>
  </w:abstractNum>
  <w:abstractNum xmlns:w="http://schemas.openxmlformats.org/wordprocessingml/2006/main" w:abstractNumId="16">
    <w:nsid w:val="70a60bea"/>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5">
    <w:nsid w:val="594d4a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ca46b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d80bc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f9fb3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3a836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a9d64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c014b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b8930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52b7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4bd1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c785e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443a6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b57f6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bce0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5bde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4551E5"/>
    <w:rsid w:val="00827275"/>
    <w:rsid w:val="00BA11BD"/>
    <w:rsid w:val="01238FF5"/>
    <w:rsid w:val="0134E519"/>
    <w:rsid w:val="033915FC"/>
    <w:rsid w:val="04142DD5"/>
    <w:rsid w:val="04142DD5"/>
    <w:rsid w:val="042ECA5C"/>
    <w:rsid w:val="05ACABE8"/>
    <w:rsid w:val="06E7E46D"/>
    <w:rsid w:val="0700A69C"/>
    <w:rsid w:val="073E4280"/>
    <w:rsid w:val="07575D06"/>
    <w:rsid w:val="0966AADA"/>
    <w:rsid w:val="09A55423"/>
    <w:rsid w:val="09E2B290"/>
    <w:rsid w:val="0B3B777D"/>
    <w:rsid w:val="0C635C12"/>
    <w:rsid w:val="0CD75792"/>
    <w:rsid w:val="0CE401AF"/>
    <w:rsid w:val="0E111FE7"/>
    <w:rsid w:val="0E89E6FE"/>
    <w:rsid w:val="0EF6DDE6"/>
    <w:rsid w:val="0FFF0F34"/>
    <w:rsid w:val="105CB639"/>
    <w:rsid w:val="114171E7"/>
    <w:rsid w:val="1152FCCD"/>
    <w:rsid w:val="120CC5E7"/>
    <w:rsid w:val="120EBF10"/>
    <w:rsid w:val="135AA925"/>
    <w:rsid w:val="138EAE80"/>
    <w:rsid w:val="13B869B8"/>
    <w:rsid w:val="13CF3E98"/>
    <w:rsid w:val="1411FDAD"/>
    <w:rsid w:val="1571C55D"/>
    <w:rsid w:val="159B10CC"/>
    <w:rsid w:val="16140FBC"/>
    <w:rsid w:val="16D3B433"/>
    <w:rsid w:val="1857DD97"/>
    <w:rsid w:val="1BBA15F4"/>
    <w:rsid w:val="1E9E9BF1"/>
    <w:rsid w:val="1EC4E6A9"/>
    <w:rsid w:val="1F1347BA"/>
    <w:rsid w:val="1F4C9BF0"/>
    <w:rsid w:val="2060A1EA"/>
    <w:rsid w:val="2298202E"/>
    <w:rsid w:val="22BAD667"/>
    <w:rsid w:val="22FF130C"/>
    <w:rsid w:val="2444EDDD"/>
    <w:rsid w:val="250C425D"/>
    <w:rsid w:val="2535EB86"/>
    <w:rsid w:val="25427F65"/>
    <w:rsid w:val="25D2DF36"/>
    <w:rsid w:val="266B1082"/>
    <w:rsid w:val="2671B719"/>
    <w:rsid w:val="2671B719"/>
    <w:rsid w:val="269E8324"/>
    <w:rsid w:val="287AB9F7"/>
    <w:rsid w:val="28FCF19C"/>
    <w:rsid w:val="295E8526"/>
    <w:rsid w:val="296FD866"/>
    <w:rsid w:val="2A9820A1"/>
    <w:rsid w:val="2B7F103B"/>
    <w:rsid w:val="2C46F90C"/>
    <w:rsid w:val="2C84D4E1"/>
    <w:rsid w:val="2EB1236B"/>
    <w:rsid w:val="2EEC79EA"/>
    <w:rsid w:val="2EFC8CB0"/>
    <w:rsid w:val="301C0CB9"/>
    <w:rsid w:val="30E6FF71"/>
    <w:rsid w:val="30E6FF71"/>
    <w:rsid w:val="3380081F"/>
    <w:rsid w:val="33D693D7"/>
    <w:rsid w:val="3420E9DD"/>
    <w:rsid w:val="34FEFE4E"/>
    <w:rsid w:val="3588005C"/>
    <w:rsid w:val="3678359E"/>
    <w:rsid w:val="37A599A9"/>
    <w:rsid w:val="381B9942"/>
    <w:rsid w:val="38669579"/>
    <w:rsid w:val="388ADA43"/>
    <w:rsid w:val="39086157"/>
    <w:rsid w:val="39B6E9ED"/>
    <w:rsid w:val="39C08585"/>
    <w:rsid w:val="3AA2E7C6"/>
    <w:rsid w:val="3ADFA23A"/>
    <w:rsid w:val="3AE96FC6"/>
    <w:rsid w:val="3AF54479"/>
    <w:rsid w:val="3B97ECEC"/>
    <w:rsid w:val="3C042901"/>
    <w:rsid w:val="3C0A9B65"/>
    <w:rsid w:val="3CFC46BC"/>
    <w:rsid w:val="3CFC46BC"/>
    <w:rsid w:val="3E38AF26"/>
    <w:rsid w:val="3E504389"/>
    <w:rsid w:val="3E504389"/>
    <w:rsid w:val="3E560AA5"/>
    <w:rsid w:val="3F0AB70D"/>
    <w:rsid w:val="3FE28A60"/>
    <w:rsid w:val="4212C85A"/>
    <w:rsid w:val="421435DB"/>
    <w:rsid w:val="425A1FD8"/>
    <w:rsid w:val="42E1B9EC"/>
    <w:rsid w:val="42E1B9EC"/>
    <w:rsid w:val="431F1D7A"/>
    <w:rsid w:val="435B9BE6"/>
    <w:rsid w:val="43AA5571"/>
    <w:rsid w:val="44BC32E9"/>
    <w:rsid w:val="44BC32E9"/>
    <w:rsid w:val="45B0F7AC"/>
    <w:rsid w:val="45B0F7AC"/>
    <w:rsid w:val="463B9D0F"/>
    <w:rsid w:val="46738F21"/>
    <w:rsid w:val="47874311"/>
    <w:rsid w:val="48101BBE"/>
    <w:rsid w:val="481BEC0C"/>
    <w:rsid w:val="4A38A4D0"/>
    <w:rsid w:val="4A9FA3A1"/>
    <w:rsid w:val="4E0C5943"/>
    <w:rsid w:val="4E4D5146"/>
    <w:rsid w:val="4EBE5B92"/>
    <w:rsid w:val="4ED0C6A0"/>
    <w:rsid w:val="500F876A"/>
    <w:rsid w:val="50516076"/>
    <w:rsid w:val="51A438C0"/>
    <w:rsid w:val="52CA6BE2"/>
    <w:rsid w:val="534551E5"/>
    <w:rsid w:val="53FF1771"/>
    <w:rsid w:val="5417F5A9"/>
    <w:rsid w:val="5417F5A9"/>
    <w:rsid w:val="553F65A2"/>
    <w:rsid w:val="556EACA7"/>
    <w:rsid w:val="55EDF71E"/>
    <w:rsid w:val="55FA49F4"/>
    <w:rsid w:val="571B2A8A"/>
    <w:rsid w:val="5806D4FE"/>
    <w:rsid w:val="584A268F"/>
    <w:rsid w:val="58868A6F"/>
    <w:rsid w:val="597B16D6"/>
    <w:rsid w:val="597C30D4"/>
    <w:rsid w:val="59E31BAE"/>
    <w:rsid w:val="5A52D769"/>
    <w:rsid w:val="5AA2E419"/>
    <w:rsid w:val="5B5D93FB"/>
    <w:rsid w:val="5BAFE3A0"/>
    <w:rsid w:val="5D6D1BAC"/>
    <w:rsid w:val="5E4FD7E4"/>
    <w:rsid w:val="5E8C9C18"/>
    <w:rsid w:val="5F42C667"/>
    <w:rsid w:val="5FAE54DD"/>
    <w:rsid w:val="5FF18D4D"/>
    <w:rsid w:val="60DB3DBF"/>
    <w:rsid w:val="614AB80A"/>
    <w:rsid w:val="625F1AB3"/>
    <w:rsid w:val="626AB3DB"/>
    <w:rsid w:val="626AB3DB"/>
    <w:rsid w:val="62EC085A"/>
    <w:rsid w:val="6425F05F"/>
    <w:rsid w:val="6489B1E9"/>
    <w:rsid w:val="65983256"/>
    <w:rsid w:val="661F76F0"/>
    <w:rsid w:val="66C885C1"/>
    <w:rsid w:val="67E0C5C8"/>
    <w:rsid w:val="681B99F4"/>
    <w:rsid w:val="697ED38B"/>
    <w:rsid w:val="6A0A71A6"/>
    <w:rsid w:val="6A43A2AE"/>
    <w:rsid w:val="6A43A2AE"/>
    <w:rsid w:val="6AFDD1E2"/>
    <w:rsid w:val="6C282E5E"/>
    <w:rsid w:val="6CD4F456"/>
    <w:rsid w:val="6D0F4A22"/>
    <w:rsid w:val="6E76B5B4"/>
    <w:rsid w:val="6EA6014B"/>
    <w:rsid w:val="6EBF0E08"/>
    <w:rsid w:val="6EC74958"/>
    <w:rsid w:val="6EC74958"/>
    <w:rsid w:val="6F3744B5"/>
    <w:rsid w:val="6F3744B5"/>
    <w:rsid w:val="6F9EFC54"/>
    <w:rsid w:val="6FFCCDEA"/>
    <w:rsid w:val="70408FE4"/>
    <w:rsid w:val="70408FE4"/>
    <w:rsid w:val="71CB618E"/>
    <w:rsid w:val="71D03697"/>
    <w:rsid w:val="71EEDDBE"/>
    <w:rsid w:val="723FC9BD"/>
    <w:rsid w:val="724B41E6"/>
    <w:rsid w:val="728BB7FB"/>
    <w:rsid w:val="72917E82"/>
    <w:rsid w:val="73251AF1"/>
    <w:rsid w:val="7327AD6C"/>
    <w:rsid w:val="73DD2C85"/>
    <w:rsid w:val="73DE8445"/>
    <w:rsid w:val="74D60C5D"/>
    <w:rsid w:val="74E29194"/>
    <w:rsid w:val="74ECF5C9"/>
    <w:rsid w:val="7511B5DE"/>
    <w:rsid w:val="75513A24"/>
    <w:rsid w:val="76B41DE7"/>
    <w:rsid w:val="771E0F27"/>
    <w:rsid w:val="78660635"/>
    <w:rsid w:val="78D6EB80"/>
    <w:rsid w:val="7A3F9075"/>
    <w:rsid w:val="7A6811C8"/>
    <w:rsid w:val="7A95171B"/>
    <w:rsid w:val="7BB6BD02"/>
    <w:rsid w:val="7C618782"/>
    <w:rsid w:val="7C618782"/>
    <w:rsid w:val="7CB91CAA"/>
    <w:rsid w:val="7CFAB93B"/>
    <w:rsid w:val="7D510C61"/>
    <w:rsid w:val="7D510C61"/>
    <w:rsid w:val="7DE6B209"/>
    <w:rsid w:val="7EB46DB4"/>
    <w:rsid w:val="7EFF54E2"/>
    <w:rsid w:val="7F2447F2"/>
    <w:rsid w:val="7FF67B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2A49E"/>
  <w15:chartTrackingRefBased/>
  <w15:docId w15:val="{1FD260AC-6553-458D-8061-0AE677A9B7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D0F4A2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D0F4A2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D0F4A2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D0F4A22"/>
    <w:pPr>
      <w:spacing/>
      <w:ind w:left="720"/>
      <w:contextualSpacing/>
    </w:pPr>
  </w:style>
  <w:style w:type="character" w:styleId="Hyperlink">
    <w:uiPriority w:val="99"/>
    <w:name w:val="Hyperlink"/>
    <w:basedOn w:val="DefaultParagraphFont"/>
    <w:unhideWhenUsed/>
    <w:rsid w:val="6D0F4A2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geuk.org.uk" TargetMode="External" Id="R3b1e9b288fa24c72" /><Relationship Type="http://schemas.openxmlformats.org/officeDocument/2006/relationships/hyperlink" Target="https://www.england.nhs.uk" TargetMode="External" Id="Rf5b13881c3d042d7" /><Relationship Type="http://schemas.microsoft.com/office/2020/10/relationships/intelligence" Target="/word/intelligence2.xml" Id="R1cd0e78dbf154c34" /><Relationship Type="http://schemas.openxmlformats.org/officeDocument/2006/relationships/numbering" Target="/word/numbering.xml" Id="R6bc5879860c1414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Mahwish Asghar (2323663)</dc:creator>
  <keywords/>
  <dc:description/>
  <lastModifiedBy>Mahwish Asghar (2323663)</lastModifiedBy>
  <revision>2</revision>
  <dcterms:created xsi:type="dcterms:W3CDTF">2026-03-22T19:18:31.1974936Z</dcterms:created>
  <dcterms:modified xsi:type="dcterms:W3CDTF">2026-03-22T21:05:25.9232300Z</dcterms:modified>
</coreProperties>
</file>