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551E7B" w14:textId="481DC132" w:rsidR="000326E4" w:rsidRDefault="000326E4" w:rsidP="000326E4">
      <w:pPr>
        <w:spacing w:line="360" w:lineRule="auto"/>
        <w:jc w:val="center"/>
        <w:rPr>
          <w:rFonts w:ascii="Arial" w:hAnsi="Arial" w:cs="Arial"/>
        </w:rPr>
      </w:pPr>
      <w:r>
        <w:rPr>
          <w:rFonts w:ascii="Arial" w:hAnsi="Arial" w:cs="Arial"/>
          <w:noProof/>
        </w:rPr>
        <w:drawing>
          <wp:anchor distT="0" distB="0" distL="114300" distR="114300" simplePos="0" relativeHeight="251658240" behindDoc="0" locked="0" layoutInCell="1" allowOverlap="1" wp14:anchorId="6445CE12" wp14:editId="0041CEF2">
            <wp:simplePos x="0" y="0"/>
            <wp:positionH relativeFrom="column">
              <wp:posOffset>-292100</wp:posOffset>
            </wp:positionH>
            <wp:positionV relativeFrom="paragraph">
              <wp:posOffset>-558800</wp:posOffset>
            </wp:positionV>
            <wp:extent cx="1270000" cy="1270000"/>
            <wp:effectExtent l="0" t="0" r="6350" b="6350"/>
            <wp:wrapNone/>
            <wp:docPr id="1" name="Picture 1" descr="A blue background with a black and yellow sh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jpg"/>
                    <pic:cNvPicPr/>
                  </pic:nvPicPr>
                  <pic:blipFill>
                    <a:blip r:embed="rId8">
                      <a:extLst>
                        <a:ext uri="{28A0092B-C50C-407E-A947-70E740481C1C}">
                          <a14:useLocalDpi xmlns:a14="http://schemas.microsoft.com/office/drawing/2010/main" val="0"/>
                        </a:ext>
                      </a:extLst>
                    </a:blip>
                    <a:stretch>
                      <a:fillRect/>
                    </a:stretch>
                  </pic:blipFill>
                  <pic:spPr>
                    <a:xfrm>
                      <a:off x="0" y="0"/>
                      <a:ext cx="1270000" cy="1270000"/>
                    </a:xfrm>
                    <a:prstGeom prst="rect">
                      <a:avLst/>
                    </a:prstGeom>
                  </pic:spPr>
                </pic:pic>
              </a:graphicData>
            </a:graphic>
            <wp14:sizeRelH relativeFrom="margin">
              <wp14:pctWidth>0</wp14:pctWidth>
            </wp14:sizeRelH>
            <wp14:sizeRelV relativeFrom="margin">
              <wp14:pctHeight>0</wp14:pctHeight>
            </wp14:sizeRelV>
          </wp:anchor>
        </w:drawing>
      </w:r>
      <w:bookmarkStart w:id="0" w:name="_GoBack"/>
      <w:bookmarkEnd w:id="0"/>
    </w:p>
    <w:p w14:paraId="39F21F7C" w14:textId="77777777" w:rsidR="000326E4" w:rsidRDefault="000326E4" w:rsidP="000326E4">
      <w:pPr>
        <w:spacing w:line="360" w:lineRule="auto"/>
        <w:rPr>
          <w:rFonts w:ascii="Arial" w:hAnsi="Arial" w:cs="Arial"/>
        </w:rPr>
      </w:pPr>
    </w:p>
    <w:p w14:paraId="399189C4" w14:textId="79A7A0C8" w:rsidR="003060BA" w:rsidRPr="00473E06" w:rsidRDefault="00473E06" w:rsidP="00473E06">
      <w:pPr>
        <w:spacing w:line="360" w:lineRule="auto"/>
        <w:jc w:val="center"/>
        <w:rPr>
          <w:rFonts w:ascii="Arial" w:hAnsi="Arial" w:cs="Arial"/>
        </w:rPr>
      </w:pPr>
      <w:r w:rsidRPr="00473E06">
        <w:rPr>
          <w:rFonts w:ascii="Arial" w:hAnsi="Arial" w:cs="Arial"/>
        </w:rPr>
        <w:t>Student name: Mrs Reda Juciute</w:t>
      </w:r>
    </w:p>
    <w:p w14:paraId="7328D65C" w14:textId="00BB1D39" w:rsidR="00473E06" w:rsidRDefault="00473E06" w:rsidP="00473E06">
      <w:pPr>
        <w:spacing w:line="360" w:lineRule="auto"/>
        <w:jc w:val="center"/>
        <w:rPr>
          <w:rFonts w:ascii="Arial" w:hAnsi="Arial" w:cs="Arial"/>
        </w:rPr>
      </w:pPr>
      <w:proofErr w:type="spellStart"/>
      <w:r w:rsidRPr="00473E06">
        <w:rPr>
          <w:rFonts w:ascii="Arial" w:hAnsi="Arial" w:cs="Arial"/>
        </w:rPr>
        <w:t>Studend</w:t>
      </w:r>
      <w:proofErr w:type="spellEnd"/>
      <w:r w:rsidRPr="00473E06">
        <w:rPr>
          <w:rFonts w:ascii="Arial" w:hAnsi="Arial" w:cs="Arial"/>
        </w:rPr>
        <w:t xml:space="preserve"> ID: 2213928</w:t>
      </w:r>
    </w:p>
    <w:p w14:paraId="255CB786" w14:textId="4140EB32" w:rsidR="000326E4" w:rsidRPr="00473E06" w:rsidRDefault="000326E4" w:rsidP="00473E06">
      <w:pPr>
        <w:spacing w:line="360" w:lineRule="auto"/>
        <w:jc w:val="center"/>
        <w:rPr>
          <w:rFonts w:ascii="Arial" w:hAnsi="Arial" w:cs="Arial"/>
        </w:rPr>
      </w:pPr>
      <w:r>
        <w:rPr>
          <w:rFonts w:ascii="Arial" w:hAnsi="Arial" w:cs="Arial"/>
        </w:rPr>
        <w:t>Programme name: Master of Business Administration</w:t>
      </w:r>
    </w:p>
    <w:p w14:paraId="103A0C1E" w14:textId="27D2E554" w:rsidR="00473E06" w:rsidRPr="00473E06" w:rsidRDefault="00473E06" w:rsidP="00473E06">
      <w:pPr>
        <w:spacing w:line="360" w:lineRule="auto"/>
        <w:jc w:val="center"/>
        <w:rPr>
          <w:rFonts w:ascii="Arial" w:hAnsi="Arial" w:cs="Arial"/>
        </w:rPr>
      </w:pPr>
      <w:r w:rsidRPr="00473E06">
        <w:rPr>
          <w:rFonts w:ascii="Arial" w:hAnsi="Arial" w:cs="Arial"/>
        </w:rPr>
        <w:t>Module</w:t>
      </w:r>
      <w:r w:rsidR="000326E4">
        <w:rPr>
          <w:rFonts w:ascii="Arial" w:hAnsi="Arial" w:cs="Arial"/>
        </w:rPr>
        <w:t xml:space="preserve"> name</w:t>
      </w:r>
      <w:r w:rsidRPr="00473E06">
        <w:rPr>
          <w:rFonts w:ascii="Arial" w:hAnsi="Arial" w:cs="Arial"/>
        </w:rPr>
        <w:t>: Marketing Management</w:t>
      </w:r>
    </w:p>
    <w:p w14:paraId="0C6A32D2" w14:textId="728BC04B" w:rsidR="00473E06" w:rsidRDefault="00473E06" w:rsidP="00473E06">
      <w:pPr>
        <w:spacing w:line="360" w:lineRule="auto"/>
        <w:jc w:val="center"/>
        <w:rPr>
          <w:rFonts w:ascii="Arial" w:hAnsi="Arial" w:cs="Arial"/>
        </w:rPr>
      </w:pPr>
      <w:r w:rsidRPr="00473E06">
        <w:rPr>
          <w:rFonts w:ascii="Arial" w:hAnsi="Arial" w:cs="Arial"/>
        </w:rPr>
        <w:t>Module Code: LCMB7024</w:t>
      </w:r>
    </w:p>
    <w:p w14:paraId="765CE2FF" w14:textId="7EF7F829" w:rsidR="000326E4" w:rsidRPr="00473E06" w:rsidRDefault="000326E4" w:rsidP="00473E06">
      <w:pPr>
        <w:spacing w:line="360" w:lineRule="auto"/>
        <w:jc w:val="center"/>
        <w:rPr>
          <w:rFonts w:ascii="Arial" w:hAnsi="Arial" w:cs="Arial"/>
        </w:rPr>
      </w:pPr>
      <w:proofErr w:type="spellStart"/>
      <w:r>
        <w:rPr>
          <w:rFonts w:ascii="Arial" w:hAnsi="Arial" w:cs="Arial"/>
        </w:rPr>
        <w:t>Submision</w:t>
      </w:r>
      <w:proofErr w:type="spellEnd"/>
      <w:r>
        <w:rPr>
          <w:rFonts w:ascii="Arial" w:hAnsi="Arial" w:cs="Arial"/>
        </w:rPr>
        <w:t xml:space="preserve"> date: 24 October 2025</w:t>
      </w:r>
    </w:p>
    <w:p w14:paraId="55829258" w14:textId="6DAC8F37" w:rsidR="00473E06" w:rsidRDefault="00473E06" w:rsidP="00473E06">
      <w:pPr>
        <w:spacing w:line="360" w:lineRule="auto"/>
        <w:jc w:val="center"/>
        <w:rPr>
          <w:rFonts w:ascii="Arial" w:hAnsi="Arial" w:cs="Arial"/>
        </w:rPr>
      </w:pPr>
      <w:r w:rsidRPr="00473E06">
        <w:rPr>
          <w:rFonts w:ascii="Arial" w:hAnsi="Arial" w:cs="Arial"/>
        </w:rPr>
        <w:t xml:space="preserve">Lector: Dian </w:t>
      </w:r>
      <w:proofErr w:type="spellStart"/>
      <w:r w:rsidRPr="00473E06">
        <w:rPr>
          <w:rFonts w:ascii="Arial" w:hAnsi="Arial" w:cs="Arial"/>
        </w:rPr>
        <w:t>Mayasari</w:t>
      </w:r>
      <w:proofErr w:type="spellEnd"/>
    </w:p>
    <w:p w14:paraId="010E1120" w14:textId="77777777" w:rsidR="00FD0FED" w:rsidRDefault="00FD0FED" w:rsidP="000326E4">
      <w:pPr>
        <w:spacing w:line="360" w:lineRule="auto"/>
        <w:rPr>
          <w:rFonts w:ascii="Arial" w:hAnsi="Arial" w:cs="Arial"/>
        </w:rPr>
      </w:pPr>
    </w:p>
    <w:p w14:paraId="154719C7" w14:textId="63B4A1A9" w:rsidR="00473E06" w:rsidRDefault="00473E06" w:rsidP="00473E06">
      <w:pPr>
        <w:spacing w:line="360" w:lineRule="auto"/>
        <w:jc w:val="center"/>
        <w:rPr>
          <w:rFonts w:ascii="Arial" w:hAnsi="Arial" w:cs="Arial"/>
        </w:rPr>
      </w:pPr>
    </w:p>
    <w:p w14:paraId="23AABD58" w14:textId="682E907D" w:rsidR="00473E06" w:rsidRDefault="00473E06" w:rsidP="00473E06">
      <w:pPr>
        <w:spacing w:line="360" w:lineRule="auto"/>
        <w:jc w:val="center"/>
        <w:rPr>
          <w:rFonts w:ascii="Arial" w:hAnsi="Arial" w:cs="Arial"/>
        </w:rPr>
      </w:pPr>
    </w:p>
    <w:p w14:paraId="5D69FC1A" w14:textId="0014E718" w:rsidR="00473E06" w:rsidRDefault="00473E06" w:rsidP="00473E06">
      <w:pPr>
        <w:spacing w:line="360" w:lineRule="auto"/>
        <w:jc w:val="center"/>
        <w:rPr>
          <w:rFonts w:ascii="Arial" w:hAnsi="Arial" w:cs="Arial"/>
          <w:b/>
          <w:bCs/>
          <w:sz w:val="28"/>
          <w:szCs w:val="28"/>
        </w:rPr>
      </w:pPr>
      <w:r w:rsidRPr="00473E06">
        <w:rPr>
          <w:rFonts w:ascii="Arial" w:hAnsi="Arial" w:cs="Arial"/>
          <w:b/>
          <w:bCs/>
          <w:sz w:val="28"/>
          <w:szCs w:val="28"/>
        </w:rPr>
        <w:t xml:space="preserve">Marketing </w:t>
      </w:r>
      <w:r>
        <w:rPr>
          <w:rFonts w:ascii="Arial" w:hAnsi="Arial" w:cs="Arial"/>
          <w:b/>
          <w:bCs/>
          <w:sz w:val="28"/>
          <w:szCs w:val="28"/>
        </w:rPr>
        <w:t>E</w:t>
      </w:r>
      <w:r w:rsidRPr="00473E06">
        <w:rPr>
          <w:rFonts w:ascii="Arial" w:hAnsi="Arial" w:cs="Arial"/>
          <w:b/>
          <w:bCs/>
          <w:sz w:val="28"/>
          <w:szCs w:val="28"/>
        </w:rPr>
        <w:t xml:space="preserve">nvironment </w:t>
      </w:r>
      <w:r>
        <w:rPr>
          <w:rFonts w:ascii="Arial" w:hAnsi="Arial" w:cs="Arial"/>
          <w:b/>
          <w:bCs/>
          <w:sz w:val="28"/>
          <w:szCs w:val="28"/>
        </w:rPr>
        <w:t>A</w:t>
      </w:r>
      <w:r w:rsidRPr="00473E06">
        <w:rPr>
          <w:rFonts w:ascii="Arial" w:hAnsi="Arial" w:cs="Arial"/>
          <w:b/>
          <w:bCs/>
          <w:sz w:val="28"/>
          <w:szCs w:val="28"/>
        </w:rPr>
        <w:t>nalysis</w:t>
      </w:r>
      <w:r>
        <w:rPr>
          <w:rFonts w:ascii="Arial" w:hAnsi="Arial" w:cs="Arial"/>
          <w:b/>
          <w:bCs/>
          <w:sz w:val="28"/>
          <w:szCs w:val="28"/>
        </w:rPr>
        <w:t xml:space="preserve"> for Pioneers and Followers</w:t>
      </w:r>
    </w:p>
    <w:p w14:paraId="3CF2279C" w14:textId="02C64D7C" w:rsidR="00473E06" w:rsidRDefault="00473E06" w:rsidP="00473E06">
      <w:pPr>
        <w:spacing w:line="360" w:lineRule="auto"/>
        <w:jc w:val="center"/>
        <w:rPr>
          <w:rFonts w:ascii="Arial" w:hAnsi="Arial" w:cs="Arial"/>
          <w:b/>
          <w:bCs/>
          <w:sz w:val="28"/>
          <w:szCs w:val="28"/>
        </w:rPr>
      </w:pPr>
      <w:r>
        <w:rPr>
          <w:rFonts w:ascii="Arial" w:hAnsi="Arial" w:cs="Arial"/>
          <w:b/>
          <w:bCs/>
          <w:sz w:val="28"/>
          <w:szCs w:val="28"/>
        </w:rPr>
        <w:t>Tesco and Lidl</w:t>
      </w:r>
    </w:p>
    <w:p w14:paraId="5530794A" w14:textId="3FA9ED4A" w:rsidR="00473E06" w:rsidRDefault="00473E06" w:rsidP="00473E06">
      <w:pPr>
        <w:spacing w:line="360" w:lineRule="auto"/>
        <w:jc w:val="center"/>
        <w:rPr>
          <w:rFonts w:ascii="Arial" w:hAnsi="Arial" w:cs="Arial"/>
          <w:b/>
          <w:bCs/>
          <w:sz w:val="28"/>
          <w:szCs w:val="28"/>
        </w:rPr>
      </w:pPr>
    </w:p>
    <w:p w14:paraId="75010ED0" w14:textId="44A24716" w:rsidR="00473E06" w:rsidRDefault="00473E06" w:rsidP="00473E06">
      <w:pPr>
        <w:spacing w:line="360" w:lineRule="auto"/>
        <w:jc w:val="center"/>
        <w:rPr>
          <w:rFonts w:ascii="Arial" w:hAnsi="Arial" w:cs="Arial"/>
          <w:b/>
          <w:bCs/>
          <w:sz w:val="28"/>
          <w:szCs w:val="28"/>
        </w:rPr>
      </w:pPr>
    </w:p>
    <w:p w14:paraId="208DE4D8" w14:textId="7E9101BD" w:rsidR="00473E06" w:rsidRDefault="00473E06" w:rsidP="00473E06">
      <w:pPr>
        <w:spacing w:line="360" w:lineRule="auto"/>
        <w:jc w:val="center"/>
        <w:rPr>
          <w:rFonts w:ascii="Arial" w:hAnsi="Arial" w:cs="Arial"/>
          <w:b/>
          <w:bCs/>
          <w:sz w:val="28"/>
          <w:szCs w:val="28"/>
        </w:rPr>
      </w:pPr>
    </w:p>
    <w:p w14:paraId="1BFCB69C" w14:textId="48F63764" w:rsidR="00473E06" w:rsidRDefault="00473E06" w:rsidP="00473E06">
      <w:pPr>
        <w:spacing w:line="360" w:lineRule="auto"/>
        <w:jc w:val="center"/>
        <w:rPr>
          <w:rFonts w:ascii="Arial" w:hAnsi="Arial" w:cs="Arial"/>
          <w:b/>
          <w:bCs/>
          <w:sz w:val="28"/>
          <w:szCs w:val="28"/>
        </w:rPr>
      </w:pPr>
    </w:p>
    <w:p w14:paraId="28B7E46D" w14:textId="31C2EF0F" w:rsidR="00473E06" w:rsidRDefault="00473E06" w:rsidP="00473E06">
      <w:pPr>
        <w:spacing w:line="360" w:lineRule="auto"/>
        <w:jc w:val="center"/>
        <w:rPr>
          <w:rFonts w:ascii="Arial" w:hAnsi="Arial" w:cs="Arial"/>
          <w:b/>
          <w:bCs/>
          <w:sz w:val="28"/>
          <w:szCs w:val="28"/>
        </w:rPr>
      </w:pPr>
    </w:p>
    <w:p w14:paraId="1E59D48A" w14:textId="773B6D8C" w:rsidR="00473E06" w:rsidRDefault="00473E06" w:rsidP="00473E06">
      <w:pPr>
        <w:spacing w:line="360" w:lineRule="auto"/>
        <w:jc w:val="center"/>
        <w:rPr>
          <w:rFonts w:ascii="Arial" w:hAnsi="Arial" w:cs="Arial"/>
          <w:b/>
          <w:bCs/>
          <w:sz w:val="28"/>
          <w:szCs w:val="28"/>
        </w:rPr>
      </w:pPr>
    </w:p>
    <w:p w14:paraId="3DE695A3" w14:textId="0C9733F7" w:rsidR="00473E06" w:rsidRDefault="00473E06" w:rsidP="00473E06">
      <w:pPr>
        <w:spacing w:line="360" w:lineRule="auto"/>
        <w:jc w:val="center"/>
        <w:rPr>
          <w:rFonts w:ascii="Arial" w:hAnsi="Arial" w:cs="Arial"/>
          <w:b/>
          <w:bCs/>
          <w:sz w:val="28"/>
          <w:szCs w:val="28"/>
        </w:rPr>
      </w:pPr>
    </w:p>
    <w:p w14:paraId="1FB13AC4" w14:textId="6D2825DE" w:rsidR="00473E06" w:rsidRDefault="00473E06" w:rsidP="00473E06">
      <w:pPr>
        <w:spacing w:line="360" w:lineRule="auto"/>
        <w:jc w:val="center"/>
        <w:rPr>
          <w:rFonts w:ascii="Arial" w:hAnsi="Arial" w:cs="Arial"/>
          <w:b/>
          <w:bCs/>
          <w:sz w:val="28"/>
          <w:szCs w:val="28"/>
        </w:rPr>
      </w:pPr>
    </w:p>
    <w:p w14:paraId="38419AD7" w14:textId="47DDFC9A" w:rsidR="00473E06" w:rsidRDefault="00473E06" w:rsidP="00473E06">
      <w:pPr>
        <w:spacing w:line="360" w:lineRule="auto"/>
        <w:jc w:val="center"/>
        <w:rPr>
          <w:rFonts w:ascii="Arial" w:hAnsi="Arial" w:cs="Arial"/>
          <w:b/>
          <w:bCs/>
          <w:sz w:val="28"/>
          <w:szCs w:val="28"/>
        </w:rPr>
      </w:pPr>
    </w:p>
    <w:p w14:paraId="609FAB3F" w14:textId="68798C7E" w:rsidR="00473E06" w:rsidRDefault="00473E06" w:rsidP="008470B7">
      <w:pPr>
        <w:spacing w:line="360" w:lineRule="auto"/>
        <w:rPr>
          <w:rFonts w:ascii="Arial" w:hAnsi="Arial" w:cs="Arial"/>
          <w:b/>
          <w:bCs/>
          <w:sz w:val="28"/>
          <w:szCs w:val="28"/>
        </w:rPr>
      </w:pPr>
    </w:p>
    <w:p w14:paraId="1A0F9A3D" w14:textId="639CCF2E" w:rsidR="00473E06" w:rsidRDefault="00473E06" w:rsidP="00473E06">
      <w:pPr>
        <w:spacing w:line="360" w:lineRule="auto"/>
        <w:jc w:val="center"/>
        <w:rPr>
          <w:rFonts w:ascii="Arial" w:hAnsi="Arial" w:cs="Arial"/>
          <w:b/>
          <w:bCs/>
          <w:sz w:val="28"/>
          <w:szCs w:val="28"/>
        </w:rPr>
      </w:pPr>
    </w:p>
    <w:sdt>
      <w:sdtPr>
        <w:rPr>
          <w:rFonts w:asciiTheme="minorHAnsi" w:eastAsiaTheme="minorHAnsi" w:hAnsiTheme="minorHAnsi" w:cstheme="minorBidi"/>
          <w:color w:val="auto"/>
          <w:sz w:val="22"/>
          <w:szCs w:val="22"/>
          <w:lang w:val="en-GB"/>
        </w:rPr>
        <w:id w:val="-418406879"/>
        <w:docPartObj>
          <w:docPartGallery w:val="Table of Contents"/>
          <w:docPartUnique/>
        </w:docPartObj>
      </w:sdtPr>
      <w:sdtEndPr>
        <w:rPr>
          <w:b/>
          <w:bCs/>
          <w:noProof/>
        </w:rPr>
      </w:sdtEndPr>
      <w:sdtContent>
        <w:p w14:paraId="298BDC0B" w14:textId="5FD2D287" w:rsidR="003319AA" w:rsidRDefault="003319AA">
          <w:pPr>
            <w:pStyle w:val="TOCHeading"/>
          </w:pPr>
          <w:r>
            <w:t>Table of Contents</w:t>
          </w:r>
        </w:p>
        <w:p w14:paraId="35E35BD0" w14:textId="77777777" w:rsidR="003319AA" w:rsidRPr="003319AA" w:rsidRDefault="003319AA" w:rsidP="003319AA">
          <w:pPr>
            <w:rPr>
              <w:lang w:val="en-US"/>
            </w:rPr>
          </w:pPr>
        </w:p>
        <w:p w14:paraId="39AD388A" w14:textId="0D37CF15" w:rsidR="0042407D" w:rsidRDefault="003319A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2143969" w:history="1">
            <w:r w:rsidR="0042407D" w:rsidRPr="003F6B87">
              <w:rPr>
                <w:rStyle w:val="Hyperlink"/>
                <w:rFonts w:ascii="Arial" w:hAnsi="Arial" w:cs="Arial"/>
                <w:noProof/>
              </w:rPr>
              <w:t>Introduction</w:t>
            </w:r>
            <w:r w:rsidR="0042407D">
              <w:rPr>
                <w:noProof/>
                <w:webHidden/>
              </w:rPr>
              <w:tab/>
            </w:r>
            <w:r w:rsidR="0042407D">
              <w:rPr>
                <w:noProof/>
                <w:webHidden/>
              </w:rPr>
              <w:fldChar w:fldCharType="begin"/>
            </w:r>
            <w:r w:rsidR="0042407D">
              <w:rPr>
                <w:noProof/>
                <w:webHidden/>
              </w:rPr>
              <w:instrText xml:space="preserve"> PAGEREF _Toc212143969 \h </w:instrText>
            </w:r>
            <w:r w:rsidR="0042407D">
              <w:rPr>
                <w:noProof/>
                <w:webHidden/>
              </w:rPr>
            </w:r>
            <w:r w:rsidR="0042407D">
              <w:rPr>
                <w:noProof/>
                <w:webHidden/>
              </w:rPr>
              <w:fldChar w:fldCharType="separate"/>
            </w:r>
            <w:r w:rsidR="000326E4">
              <w:rPr>
                <w:noProof/>
                <w:webHidden/>
              </w:rPr>
              <w:t>3</w:t>
            </w:r>
            <w:r w:rsidR="0042407D">
              <w:rPr>
                <w:noProof/>
                <w:webHidden/>
              </w:rPr>
              <w:fldChar w:fldCharType="end"/>
            </w:r>
          </w:hyperlink>
        </w:p>
        <w:p w14:paraId="455EE24B" w14:textId="25891892" w:rsidR="0042407D" w:rsidRDefault="005F43C1">
          <w:pPr>
            <w:pStyle w:val="TOC1"/>
            <w:tabs>
              <w:tab w:val="right" w:leader="dot" w:pos="9016"/>
            </w:tabs>
            <w:rPr>
              <w:rFonts w:eastAsiaTheme="minorEastAsia"/>
              <w:noProof/>
              <w:lang w:eastAsia="en-GB"/>
            </w:rPr>
          </w:pPr>
          <w:hyperlink w:anchor="_Toc212143970" w:history="1">
            <w:r w:rsidR="0042407D" w:rsidRPr="003F6B87">
              <w:rPr>
                <w:rStyle w:val="Hyperlink"/>
                <w:rFonts w:ascii="Arial" w:hAnsi="Arial" w:cs="Arial"/>
                <w:b/>
                <w:bCs/>
                <w:noProof/>
              </w:rPr>
              <w:t>TASK 1</w:t>
            </w:r>
            <w:r w:rsidR="0042407D">
              <w:rPr>
                <w:noProof/>
                <w:webHidden/>
              </w:rPr>
              <w:tab/>
            </w:r>
            <w:r w:rsidR="0042407D">
              <w:rPr>
                <w:noProof/>
                <w:webHidden/>
              </w:rPr>
              <w:fldChar w:fldCharType="begin"/>
            </w:r>
            <w:r w:rsidR="0042407D">
              <w:rPr>
                <w:noProof/>
                <w:webHidden/>
              </w:rPr>
              <w:instrText xml:space="preserve"> PAGEREF _Toc212143970 \h </w:instrText>
            </w:r>
            <w:r w:rsidR="0042407D">
              <w:rPr>
                <w:noProof/>
                <w:webHidden/>
              </w:rPr>
            </w:r>
            <w:r w:rsidR="0042407D">
              <w:rPr>
                <w:noProof/>
                <w:webHidden/>
              </w:rPr>
              <w:fldChar w:fldCharType="separate"/>
            </w:r>
            <w:r w:rsidR="000326E4">
              <w:rPr>
                <w:noProof/>
                <w:webHidden/>
              </w:rPr>
              <w:t>4</w:t>
            </w:r>
            <w:r w:rsidR="0042407D">
              <w:rPr>
                <w:noProof/>
                <w:webHidden/>
              </w:rPr>
              <w:fldChar w:fldCharType="end"/>
            </w:r>
          </w:hyperlink>
        </w:p>
        <w:p w14:paraId="641C411E" w14:textId="309F6EA5" w:rsidR="0042407D" w:rsidRDefault="005F43C1">
          <w:pPr>
            <w:pStyle w:val="TOC1"/>
            <w:tabs>
              <w:tab w:val="right" w:leader="dot" w:pos="9016"/>
            </w:tabs>
            <w:rPr>
              <w:rFonts w:eastAsiaTheme="minorEastAsia"/>
              <w:noProof/>
              <w:lang w:eastAsia="en-GB"/>
            </w:rPr>
          </w:pPr>
          <w:hyperlink w:anchor="_Toc212143971" w:history="1">
            <w:r w:rsidR="0042407D" w:rsidRPr="003F6B87">
              <w:rPr>
                <w:rStyle w:val="Hyperlink"/>
                <w:rFonts w:ascii="Arial" w:hAnsi="Arial" w:cs="Arial"/>
                <w:noProof/>
              </w:rPr>
              <w:t>Macro marketing environment analysis</w:t>
            </w:r>
            <w:r w:rsidR="0042407D">
              <w:rPr>
                <w:noProof/>
                <w:webHidden/>
              </w:rPr>
              <w:tab/>
            </w:r>
            <w:r w:rsidR="0042407D">
              <w:rPr>
                <w:noProof/>
                <w:webHidden/>
              </w:rPr>
              <w:fldChar w:fldCharType="begin"/>
            </w:r>
            <w:r w:rsidR="0042407D">
              <w:rPr>
                <w:noProof/>
                <w:webHidden/>
              </w:rPr>
              <w:instrText xml:space="preserve"> PAGEREF _Toc212143971 \h </w:instrText>
            </w:r>
            <w:r w:rsidR="0042407D">
              <w:rPr>
                <w:noProof/>
                <w:webHidden/>
              </w:rPr>
            </w:r>
            <w:r w:rsidR="0042407D">
              <w:rPr>
                <w:noProof/>
                <w:webHidden/>
              </w:rPr>
              <w:fldChar w:fldCharType="separate"/>
            </w:r>
            <w:r w:rsidR="000326E4">
              <w:rPr>
                <w:noProof/>
                <w:webHidden/>
              </w:rPr>
              <w:t>4</w:t>
            </w:r>
            <w:r w:rsidR="0042407D">
              <w:rPr>
                <w:noProof/>
                <w:webHidden/>
              </w:rPr>
              <w:fldChar w:fldCharType="end"/>
            </w:r>
          </w:hyperlink>
        </w:p>
        <w:p w14:paraId="2AFB0EFD" w14:textId="7A5AC520" w:rsidR="0042407D" w:rsidRDefault="005F43C1">
          <w:pPr>
            <w:pStyle w:val="TOC2"/>
            <w:tabs>
              <w:tab w:val="right" w:leader="dot" w:pos="9016"/>
            </w:tabs>
            <w:rPr>
              <w:rFonts w:eastAsiaTheme="minorEastAsia"/>
              <w:noProof/>
              <w:lang w:eastAsia="en-GB"/>
            </w:rPr>
          </w:pPr>
          <w:hyperlink w:anchor="_Toc212143972" w:history="1">
            <w:r w:rsidR="0042407D" w:rsidRPr="003F6B87">
              <w:rPr>
                <w:rStyle w:val="Hyperlink"/>
                <w:rFonts w:ascii="Arial" w:eastAsia="Times New Roman" w:hAnsi="Arial" w:cs="Arial"/>
                <w:noProof/>
                <w:lang w:eastAsia="en-GB"/>
              </w:rPr>
              <w:t>Technological Factor Analysis</w:t>
            </w:r>
            <w:r w:rsidR="0042407D">
              <w:rPr>
                <w:noProof/>
                <w:webHidden/>
              </w:rPr>
              <w:tab/>
            </w:r>
            <w:r w:rsidR="0042407D">
              <w:rPr>
                <w:noProof/>
                <w:webHidden/>
              </w:rPr>
              <w:fldChar w:fldCharType="begin"/>
            </w:r>
            <w:r w:rsidR="0042407D">
              <w:rPr>
                <w:noProof/>
                <w:webHidden/>
              </w:rPr>
              <w:instrText xml:space="preserve"> PAGEREF _Toc212143972 \h </w:instrText>
            </w:r>
            <w:r w:rsidR="0042407D">
              <w:rPr>
                <w:noProof/>
                <w:webHidden/>
              </w:rPr>
            </w:r>
            <w:r w:rsidR="0042407D">
              <w:rPr>
                <w:noProof/>
                <w:webHidden/>
              </w:rPr>
              <w:fldChar w:fldCharType="separate"/>
            </w:r>
            <w:r w:rsidR="000326E4">
              <w:rPr>
                <w:noProof/>
                <w:webHidden/>
              </w:rPr>
              <w:t>4</w:t>
            </w:r>
            <w:r w:rsidR="0042407D">
              <w:rPr>
                <w:noProof/>
                <w:webHidden/>
              </w:rPr>
              <w:fldChar w:fldCharType="end"/>
            </w:r>
          </w:hyperlink>
        </w:p>
        <w:p w14:paraId="7C7AD9BF" w14:textId="22A397F9" w:rsidR="0042407D" w:rsidRDefault="005F43C1">
          <w:pPr>
            <w:pStyle w:val="TOC2"/>
            <w:tabs>
              <w:tab w:val="right" w:leader="dot" w:pos="9016"/>
            </w:tabs>
            <w:rPr>
              <w:rFonts w:eastAsiaTheme="minorEastAsia"/>
              <w:noProof/>
              <w:lang w:eastAsia="en-GB"/>
            </w:rPr>
          </w:pPr>
          <w:hyperlink w:anchor="_Toc212143973" w:history="1">
            <w:r w:rsidR="0042407D" w:rsidRPr="003F6B87">
              <w:rPr>
                <w:rStyle w:val="Hyperlink"/>
                <w:rFonts w:ascii="Arial" w:eastAsia="Times New Roman" w:hAnsi="Arial" w:cs="Arial"/>
                <w:noProof/>
                <w:lang w:eastAsia="en-GB"/>
              </w:rPr>
              <w:t>Economic Environment Analysis</w:t>
            </w:r>
            <w:r w:rsidR="0042407D">
              <w:rPr>
                <w:noProof/>
                <w:webHidden/>
              </w:rPr>
              <w:tab/>
            </w:r>
            <w:r w:rsidR="0042407D">
              <w:rPr>
                <w:noProof/>
                <w:webHidden/>
              </w:rPr>
              <w:fldChar w:fldCharType="begin"/>
            </w:r>
            <w:r w:rsidR="0042407D">
              <w:rPr>
                <w:noProof/>
                <w:webHidden/>
              </w:rPr>
              <w:instrText xml:space="preserve"> PAGEREF _Toc212143973 \h </w:instrText>
            </w:r>
            <w:r w:rsidR="0042407D">
              <w:rPr>
                <w:noProof/>
                <w:webHidden/>
              </w:rPr>
            </w:r>
            <w:r w:rsidR="0042407D">
              <w:rPr>
                <w:noProof/>
                <w:webHidden/>
              </w:rPr>
              <w:fldChar w:fldCharType="separate"/>
            </w:r>
            <w:r w:rsidR="000326E4">
              <w:rPr>
                <w:noProof/>
                <w:webHidden/>
              </w:rPr>
              <w:t>6</w:t>
            </w:r>
            <w:r w:rsidR="0042407D">
              <w:rPr>
                <w:noProof/>
                <w:webHidden/>
              </w:rPr>
              <w:fldChar w:fldCharType="end"/>
            </w:r>
          </w:hyperlink>
        </w:p>
        <w:p w14:paraId="10006C6D" w14:textId="0F40B462" w:rsidR="0042407D" w:rsidRDefault="005F43C1">
          <w:pPr>
            <w:pStyle w:val="TOC2"/>
            <w:tabs>
              <w:tab w:val="right" w:leader="dot" w:pos="9016"/>
            </w:tabs>
            <w:rPr>
              <w:rFonts w:eastAsiaTheme="minorEastAsia"/>
              <w:noProof/>
              <w:lang w:eastAsia="en-GB"/>
            </w:rPr>
          </w:pPr>
          <w:hyperlink w:anchor="_Toc212143974" w:history="1">
            <w:r w:rsidR="0042407D" w:rsidRPr="003F6B87">
              <w:rPr>
                <w:rStyle w:val="Hyperlink"/>
                <w:rFonts w:ascii="Arial" w:eastAsia="Times New Roman" w:hAnsi="Arial" w:cs="Arial"/>
                <w:noProof/>
                <w:lang w:eastAsia="en-GB"/>
              </w:rPr>
              <w:t>Synthesis</w:t>
            </w:r>
            <w:r w:rsidR="0042407D">
              <w:rPr>
                <w:noProof/>
                <w:webHidden/>
              </w:rPr>
              <w:tab/>
            </w:r>
            <w:r w:rsidR="0042407D">
              <w:rPr>
                <w:noProof/>
                <w:webHidden/>
              </w:rPr>
              <w:fldChar w:fldCharType="begin"/>
            </w:r>
            <w:r w:rsidR="0042407D">
              <w:rPr>
                <w:noProof/>
                <w:webHidden/>
              </w:rPr>
              <w:instrText xml:space="preserve"> PAGEREF _Toc212143974 \h </w:instrText>
            </w:r>
            <w:r w:rsidR="0042407D">
              <w:rPr>
                <w:noProof/>
                <w:webHidden/>
              </w:rPr>
            </w:r>
            <w:r w:rsidR="0042407D">
              <w:rPr>
                <w:noProof/>
                <w:webHidden/>
              </w:rPr>
              <w:fldChar w:fldCharType="separate"/>
            </w:r>
            <w:r w:rsidR="000326E4">
              <w:rPr>
                <w:noProof/>
                <w:webHidden/>
              </w:rPr>
              <w:t>7</w:t>
            </w:r>
            <w:r w:rsidR="0042407D">
              <w:rPr>
                <w:noProof/>
                <w:webHidden/>
              </w:rPr>
              <w:fldChar w:fldCharType="end"/>
            </w:r>
          </w:hyperlink>
        </w:p>
        <w:p w14:paraId="7B4C44C5" w14:textId="0DAB6FDB" w:rsidR="0042407D" w:rsidRDefault="005F43C1">
          <w:pPr>
            <w:pStyle w:val="TOC1"/>
            <w:tabs>
              <w:tab w:val="right" w:leader="dot" w:pos="9016"/>
            </w:tabs>
            <w:rPr>
              <w:rFonts w:eastAsiaTheme="minorEastAsia"/>
              <w:noProof/>
              <w:lang w:eastAsia="en-GB"/>
            </w:rPr>
          </w:pPr>
          <w:hyperlink w:anchor="_Toc212143975" w:history="1">
            <w:r w:rsidR="0042407D" w:rsidRPr="003F6B87">
              <w:rPr>
                <w:rStyle w:val="Hyperlink"/>
                <w:rFonts w:ascii="Arial" w:hAnsi="Arial" w:cs="Arial"/>
                <w:noProof/>
              </w:rPr>
              <w:t>Task 2</w:t>
            </w:r>
            <w:r w:rsidR="0042407D">
              <w:rPr>
                <w:noProof/>
                <w:webHidden/>
              </w:rPr>
              <w:tab/>
            </w:r>
            <w:r w:rsidR="0042407D">
              <w:rPr>
                <w:noProof/>
                <w:webHidden/>
              </w:rPr>
              <w:fldChar w:fldCharType="begin"/>
            </w:r>
            <w:r w:rsidR="0042407D">
              <w:rPr>
                <w:noProof/>
                <w:webHidden/>
              </w:rPr>
              <w:instrText xml:space="preserve"> PAGEREF _Toc212143975 \h </w:instrText>
            </w:r>
            <w:r w:rsidR="0042407D">
              <w:rPr>
                <w:noProof/>
                <w:webHidden/>
              </w:rPr>
            </w:r>
            <w:r w:rsidR="0042407D">
              <w:rPr>
                <w:noProof/>
                <w:webHidden/>
              </w:rPr>
              <w:fldChar w:fldCharType="separate"/>
            </w:r>
            <w:r w:rsidR="000326E4">
              <w:rPr>
                <w:noProof/>
                <w:webHidden/>
              </w:rPr>
              <w:t>8</w:t>
            </w:r>
            <w:r w:rsidR="0042407D">
              <w:rPr>
                <w:noProof/>
                <w:webHidden/>
              </w:rPr>
              <w:fldChar w:fldCharType="end"/>
            </w:r>
          </w:hyperlink>
        </w:p>
        <w:p w14:paraId="37F73C18" w14:textId="5CF07FC3" w:rsidR="0042407D" w:rsidRDefault="005F43C1">
          <w:pPr>
            <w:pStyle w:val="TOC2"/>
            <w:tabs>
              <w:tab w:val="right" w:leader="dot" w:pos="9016"/>
            </w:tabs>
            <w:rPr>
              <w:rFonts w:eastAsiaTheme="minorEastAsia"/>
              <w:noProof/>
              <w:lang w:eastAsia="en-GB"/>
            </w:rPr>
          </w:pPr>
          <w:hyperlink w:anchor="_Toc212143976" w:history="1">
            <w:r w:rsidR="0042407D" w:rsidRPr="003F6B87">
              <w:rPr>
                <w:rStyle w:val="Hyperlink"/>
                <w:rFonts w:ascii="Arial" w:hAnsi="Arial" w:cs="Arial"/>
                <w:noProof/>
              </w:rPr>
              <w:t>Analysis for</w:t>
            </w:r>
            <w:r w:rsidR="0042407D" w:rsidRPr="003F6B87">
              <w:rPr>
                <w:rStyle w:val="Hyperlink"/>
                <w:b/>
                <w:bCs/>
                <w:noProof/>
              </w:rPr>
              <w:t xml:space="preserve"> </w:t>
            </w:r>
            <w:r w:rsidR="0042407D" w:rsidRPr="003F6B87">
              <w:rPr>
                <w:rStyle w:val="Hyperlink"/>
                <w:rFonts w:ascii="Arial" w:hAnsi="Arial" w:cs="Arial"/>
                <w:noProof/>
              </w:rPr>
              <w:t>Tesco and Lidl</w:t>
            </w:r>
            <w:r w:rsidR="0042407D" w:rsidRPr="003F6B87">
              <w:rPr>
                <w:rStyle w:val="Hyperlink"/>
                <w:b/>
                <w:bCs/>
                <w:noProof/>
              </w:rPr>
              <w:t xml:space="preserve">, </w:t>
            </w:r>
            <w:r w:rsidR="0042407D" w:rsidRPr="003F6B87">
              <w:rPr>
                <w:rStyle w:val="Hyperlink"/>
                <w:rFonts w:ascii="Arial" w:hAnsi="Arial" w:cs="Arial"/>
                <w:noProof/>
              </w:rPr>
              <w:t>critically evaluation how pioneering and follower organisations strategically respond to the selected external factors to maintain competitiveness</w:t>
            </w:r>
            <w:r w:rsidR="0042407D" w:rsidRPr="003F6B87">
              <w:rPr>
                <w:rStyle w:val="Hyperlink"/>
                <w:b/>
                <w:bCs/>
                <w:noProof/>
              </w:rPr>
              <w:t>.</w:t>
            </w:r>
            <w:r w:rsidR="0042407D">
              <w:rPr>
                <w:noProof/>
                <w:webHidden/>
              </w:rPr>
              <w:tab/>
            </w:r>
            <w:r w:rsidR="0042407D">
              <w:rPr>
                <w:noProof/>
                <w:webHidden/>
              </w:rPr>
              <w:fldChar w:fldCharType="begin"/>
            </w:r>
            <w:r w:rsidR="0042407D">
              <w:rPr>
                <w:noProof/>
                <w:webHidden/>
              </w:rPr>
              <w:instrText xml:space="preserve"> PAGEREF _Toc212143976 \h </w:instrText>
            </w:r>
            <w:r w:rsidR="0042407D">
              <w:rPr>
                <w:noProof/>
                <w:webHidden/>
              </w:rPr>
            </w:r>
            <w:r w:rsidR="0042407D">
              <w:rPr>
                <w:noProof/>
                <w:webHidden/>
              </w:rPr>
              <w:fldChar w:fldCharType="separate"/>
            </w:r>
            <w:r w:rsidR="000326E4">
              <w:rPr>
                <w:noProof/>
                <w:webHidden/>
              </w:rPr>
              <w:t>8</w:t>
            </w:r>
            <w:r w:rsidR="0042407D">
              <w:rPr>
                <w:noProof/>
                <w:webHidden/>
              </w:rPr>
              <w:fldChar w:fldCharType="end"/>
            </w:r>
          </w:hyperlink>
        </w:p>
        <w:p w14:paraId="22C92862" w14:textId="041EB2EF" w:rsidR="0042407D" w:rsidRDefault="005F43C1">
          <w:pPr>
            <w:pStyle w:val="TOC2"/>
            <w:tabs>
              <w:tab w:val="right" w:leader="dot" w:pos="9016"/>
            </w:tabs>
            <w:rPr>
              <w:rFonts w:eastAsiaTheme="minorEastAsia"/>
              <w:noProof/>
              <w:lang w:eastAsia="en-GB"/>
            </w:rPr>
          </w:pPr>
          <w:hyperlink w:anchor="_Toc212143977" w:history="1">
            <w:r w:rsidR="0042407D" w:rsidRPr="003F6B87">
              <w:rPr>
                <w:rStyle w:val="Hyperlink"/>
                <w:rFonts w:ascii="Arial" w:eastAsia="Times New Roman" w:hAnsi="Arial" w:cs="Arial"/>
                <w:noProof/>
                <w:lang w:eastAsia="en-GB"/>
              </w:rPr>
              <w:t>Technological Responses and Competitive Strategy</w:t>
            </w:r>
            <w:r w:rsidR="0042407D">
              <w:rPr>
                <w:noProof/>
                <w:webHidden/>
              </w:rPr>
              <w:tab/>
            </w:r>
            <w:r w:rsidR="0042407D">
              <w:rPr>
                <w:noProof/>
                <w:webHidden/>
              </w:rPr>
              <w:fldChar w:fldCharType="begin"/>
            </w:r>
            <w:r w:rsidR="0042407D">
              <w:rPr>
                <w:noProof/>
                <w:webHidden/>
              </w:rPr>
              <w:instrText xml:space="preserve"> PAGEREF _Toc212143977 \h </w:instrText>
            </w:r>
            <w:r w:rsidR="0042407D">
              <w:rPr>
                <w:noProof/>
                <w:webHidden/>
              </w:rPr>
            </w:r>
            <w:r w:rsidR="0042407D">
              <w:rPr>
                <w:noProof/>
                <w:webHidden/>
              </w:rPr>
              <w:fldChar w:fldCharType="separate"/>
            </w:r>
            <w:r w:rsidR="000326E4">
              <w:rPr>
                <w:noProof/>
                <w:webHidden/>
              </w:rPr>
              <w:t>8</w:t>
            </w:r>
            <w:r w:rsidR="0042407D">
              <w:rPr>
                <w:noProof/>
                <w:webHidden/>
              </w:rPr>
              <w:fldChar w:fldCharType="end"/>
            </w:r>
          </w:hyperlink>
        </w:p>
        <w:p w14:paraId="1A1EEBE7" w14:textId="60E5A7E3" w:rsidR="0042407D" w:rsidRDefault="005F43C1">
          <w:pPr>
            <w:pStyle w:val="TOC2"/>
            <w:tabs>
              <w:tab w:val="right" w:leader="dot" w:pos="9016"/>
            </w:tabs>
            <w:rPr>
              <w:rFonts w:eastAsiaTheme="minorEastAsia"/>
              <w:noProof/>
              <w:lang w:eastAsia="en-GB"/>
            </w:rPr>
          </w:pPr>
          <w:hyperlink w:anchor="_Toc212143978" w:history="1">
            <w:r w:rsidR="0042407D" w:rsidRPr="003F6B87">
              <w:rPr>
                <w:rStyle w:val="Hyperlink"/>
                <w:rFonts w:ascii="Arial" w:eastAsia="Times New Roman" w:hAnsi="Arial" w:cs="Arial"/>
                <w:noProof/>
                <w:lang w:eastAsia="en-GB"/>
              </w:rPr>
              <w:t>Strategic Responses to Economic Change</w:t>
            </w:r>
            <w:r w:rsidR="0042407D">
              <w:rPr>
                <w:noProof/>
                <w:webHidden/>
              </w:rPr>
              <w:tab/>
            </w:r>
            <w:r w:rsidR="0042407D">
              <w:rPr>
                <w:noProof/>
                <w:webHidden/>
              </w:rPr>
              <w:fldChar w:fldCharType="begin"/>
            </w:r>
            <w:r w:rsidR="0042407D">
              <w:rPr>
                <w:noProof/>
                <w:webHidden/>
              </w:rPr>
              <w:instrText xml:space="preserve"> PAGEREF _Toc212143978 \h </w:instrText>
            </w:r>
            <w:r w:rsidR="0042407D">
              <w:rPr>
                <w:noProof/>
                <w:webHidden/>
              </w:rPr>
            </w:r>
            <w:r w:rsidR="0042407D">
              <w:rPr>
                <w:noProof/>
                <w:webHidden/>
              </w:rPr>
              <w:fldChar w:fldCharType="separate"/>
            </w:r>
            <w:r w:rsidR="000326E4">
              <w:rPr>
                <w:noProof/>
                <w:webHidden/>
              </w:rPr>
              <w:t>9</w:t>
            </w:r>
            <w:r w:rsidR="0042407D">
              <w:rPr>
                <w:noProof/>
                <w:webHidden/>
              </w:rPr>
              <w:fldChar w:fldCharType="end"/>
            </w:r>
          </w:hyperlink>
        </w:p>
        <w:p w14:paraId="2F4CCE84" w14:textId="2C5A683B" w:rsidR="0042407D" w:rsidRDefault="005F43C1">
          <w:pPr>
            <w:pStyle w:val="TOC2"/>
            <w:tabs>
              <w:tab w:val="right" w:leader="dot" w:pos="9016"/>
            </w:tabs>
            <w:rPr>
              <w:rFonts w:eastAsiaTheme="minorEastAsia"/>
              <w:noProof/>
              <w:lang w:eastAsia="en-GB"/>
            </w:rPr>
          </w:pPr>
          <w:hyperlink w:anchor="_Toc212143979" w:history="1">
            <w:r w:rsidR="0042407D" w:rsidRPr="003F6B87">
              <w:rPr>
                <w:rStyle w:val="Hyperlink"/>
                <w:rFonts w:ascii="Arial" w:eastAsia="Times New Roman" w:hAnsi="Arial" w:cs="Arial"/>
                <w:noProof/>
                <w:lang w:eastAsia="en-GB"/>
              </w:rPr>
              <w:t>Comparative Evaluation</w:t>
            </w:r>
            <w:r w:rsidR="0042407D">
              <w:rPr>
                <w:noProof/>
                <w:webHidden/>
              </w:rPr>
              <w:tab/>
            </w:r>
            <w:r w:rsidR="0042407D">
              <w:rPr>
                <w:noProof/>
                <w:webHidden/>
              </w:rPr>
              <w:fldChar w:fldCharType="begin"/>
            </w:r>
            <w:r w:rsidR="0042407D">
              <w:rPr>
                <w:noProof/>
                <w:webHidden/>
              </w:rPr>
              <w:instrText xml:space="preserve"> PAGEREF _Toc212143979 \h </w:instrText>
            </w:r>
            <w:r w:rsidR="0042407D">
              <w:rPr>
                <w:noProof/>
                <w:webHidden/>
              </w:rPr>
            </w:r>
            <w:r w:rsidR="0042407D">
              <w:rPr>
                <w:noProof/>
                <w:webHidden/>
              </w:rPr>
              <w:fldChar w:fldCharType="separate"/>
            </w:r>
            <w:r w:rsidR="000326E4">
              <w:rPr>
                <w:noProof/>
                <w:webHidden/>
              </w:rPr>
              <w:t>11</w:t>
            </w:r>
            <w:r w:rsidR="0042407D">
              <w:rPr>
                <w:noProof/>
                <w:webHidden/>
              </w:rPr>
              <w:fldChar w:fldCharType="end"/>
            </w:r>
          </w:hyperlink>
        </w:p>
        <w:p w14:paraId="309B7060" w14:textId="50AF6A62" w:rsidR="0042407D" w:rsidRDefault="005F43C1">
          <w:pPr>
            <w:pStyle w:val="TOC1"/>
            <w:tabs>
              <w:tab w:val="right" w:leader="dot" w:pos="9016"/>
            </w:tabs>
            <w:rPr>
              <w:rFonts w:eastAsiaTheme="minorEastAsia"/>
              <w:noProof/>
              <w:lang w:eastAsia="en-GB"/>
            </w:rPr>
          </w:pPr>
          <w:hyperlink w:anchor="_Toc212143980" w:history="1">
            <w:r w:rsidR="0042407D" w:rsidRPr="003F6B87">
              <w:rPr>
                <w:rStyle w:val="Hyperlink"/>
                <w:rFonts w:ascii="Arial" w:eastAsia="Times New Roman" w:hAnsi="Arial" w:cs="Arial"/>
                <w:noProof/>
                <w:lang w:eastAsia="en-GB"/>
              </w:rPr>
              <w:t>Conclusion</w:t>
            </w:r>
            <w:r w:rsidR="0042407D">
              <w:rPr>
                <w:noProof/>
                <w:webHidden/>
              </w:rPr>
              <w:tab/>
            </w:r>
            <w:r w:rsidR="0042407D">
              <w:rPr>
                <w:noProof/>
                <w:webHidden/>
              </w:rPr>
              <w:fldChar w:fldCharType="begin"/>
            </w:r>
            <w:r w:rsidR="0042407D">
              <w:rPr>
                <w:noProof/>
                <w:webHidden/>
              </w:rPr>
              <w:instrText xml:space="preserve"> PAGEREF _Toc212143980 \h </w:instrText>
            </w:r>
            <w:r w:rsidR="0042407D">
              <w:rPr>
                <w:noProof/>
                <w:webHidden/>
              </w:rPr>
            </w:r>
            <w:r w:rsidR="0042407D">
              <w:rPr>
                <w:noProof/>
                <w:webHidden/>
              </w:rPr>
              <w:fldChar w:fldCharType="separate"/>
            </w:r>
            <w:r w:rsidR="000326E4">
              <w:rPr>
                <w:noProof/>
                <w:webHidden/>
              </w:rPr>
              <w:t>11</w:t>
            </w:r>
            <w:r w:rsidR="0042407D">
              <w:rPr>
                <w:noProof/>
                <w:webHidden/>
              </w:rPr>
              <w:fldChar w:fldCharType="end"/>
            </w:r>
          </w:hyperlink>
        </w:p>
        <w:p w14:paraId="5632E538" w14:textId="7A348DF2" w:rsidR="0042407D" w:rsidRDefault="005F43C1">
          <w:pPr>
            <w:pStyle w:val="TOC1"/>
            <w:tabs>
              <w:tab w:val="right" w:leader="dot" w:pos="9016"/>
            </w:tabs>
            <w:rPr>
              <w:rFonts w:eastAsiaTheme="minorEastAsia"/>
              <w:noProof/>
              <w:lang w:eastAsia="en-GB"/>
            </w:rPr>
          </w:pPr>
          <w:hyperlink w:anchor="_Toc212143981" w:history="1">
            <w:r w:rsidR="0042407D" w:rsidRPr="003F6B87">
              <w:rPr>
                <w:rStyle w:val="Hyperlink"/>
                <w:rFonts w:ascii="Arial" w:hAnsi="Arial" w:cs="Arial"/>
                <w:noProof/>
              </w:rPr>
              <w:t>Referencing list</w:t>
            </w:r>
            <w:r w:rsidR="0042407D">
              <w:rPr>
                <w:noProof/>
                <w:webHidden/>
              </w:rPr>
              <w:tab/>
            </w:r>
            <w:r w:rsidR="0042407D">
              <w:rPr>
                <w:noProof/>
                <w:webHidden/>
              </w:rPr>
              <w:fldChar w:fldCharType="begin"/>
            </w:r>
            <w:r w:rsidR="0042407D">
              <w:rPr>
                <w:noProof/>
                <w:webHidden/>
              </w:rPr>
              <w:instrText xml:space="preserve"> PAGEREF _Toc212143981 \h </w:instrText>
            </w:r>
            <w:r w:rsidR="0042407D">
              <w:rPr>
                <w:noProof/>
                <w:webHidden/>
              </w:rPr>
            </w:r>
            <w:r w:rsidR="0042407D">
              <w:rPr>
                <w:noProof/>
                <w:webHidden/>
              </w:rPr>
              <w:fldChar w:fldCharType="separate"/>
            </w:r>
            <w:r w:rsidR="000326E4">
              <w:rPr>
                <w:noProof/>
                <w:webHidden/>
              </w:rPr>
              <w:t>12</w:t>
            </w:r>
            <w:r w:rsidR="0042407D">
              <w:rPr>
                <w:noProof/>
                <w:webHidden/>
              </w:rPr>
              <w:fldChar w:fldCharType="end"/>
            </w:r>
          </w:hyperlink>
        </w:p>
        <w:p w14:paraId="75854FBC" w14:textId="79908715" w:rsidR="003319AA" w:rsidRDefault="003319AA">
          <w:r>
            <w:rPr>
              <w:b/>
              <w:bCs/>
              <w:noProof/>
            </w:rPr>
            <w:fldChar w:fldCharType="end"/>
          </w:r>
        </w:p>
      </w:sdtContent>
    </w:sdt>
    <w:p w14:paraId="11C4FA52" w14:textId="4CC3D0C3" w:rsidR="00473E06" w:rsidRDefault="00473E06" w:rsidP="003319AA">
      <w:pPr>
        <w:spacing w:line="360" w:lineRule="auto"/>
        <w:rPr>
          <w:rFonts w:ascii="Arial" w:hAnsi="Arial" w:cs="Arial"/>
          <w:b/>
          <w:bCs/>
          <w:sz w:val="28"/>
          <w:szCs w:val="28"/>
        </w:rPr>
      </w:pPr>
    </w:p>
    <w:p w14:paraId="0F2CB2CB" w14:textId="40D3C314" w:rsidR="00473E06" w:rsidRDefault="00473E06" w:rsidP="00473E06">
      <w:pPr>
        <w:spacing w:line="360" w:lineRule="auto"/>
        <w:jc w:val="center"/>
        <w:rPr>
          <w:rFonts w:ascii="Arial" w:hAnsi="Arial" w:cs="Arial"/>
          <w:b/>
          <w:bCs/>
          <w:sz w:val="28"/>
          <w:szCs w:val="28"/>
        </w:rPr>
      </w:pPr>
    </w:p>
    <w:p w14:paraId="16EFABFD" w14:textId="03A5B499" w:rsidR="00473E06" w:rsidRDefault="00473E06" w:rsidP="00473E06">
      <w:pPr>
        <w:spacing w:line="360" w:lineRule="auto"/>
        <w:jc w:val="center"/>
        <w:rPr>
          <w:rFonts w:ascii="Arial" w:hAnsi="Arial" w:cs="Arial"/>
          <w:b/>
          <w:bCs/>
          <w:sz w:val="28"/>
          <w:szCs w:val="28"/>
        </w:rPr>
      </w:pPr>
    </w:p>
    <w:p w14:paraId="070E0117" w14:textId="3F4C88FA" w:rsidR="00473E06" w:rsidRDefault="00473E06" w:rsidP="00473E06">
      <w:pPr>
        <w:spacing w:line="360" w:lineRule="auto"/>
        <w:jc w:val="center"/>
        <w:rPr>
          <w:rFonts w:ascii="Arial" w:hAnsi="Arial" w:cs="Arial"/>
          <w:b/>
          <w:bCs/>
          <w:sz w:val="28"/>
          <w:szCs w:val="28"/>
        </w:rPr>
      </w:pPr>
    </w:p>
    <w:p w14:paraId="762FAC71" w14:textId="1DF77226" w:rsidR="00473E06" w:rsidRDefault="00473E06" w:rsidP="00473E06">
      <w:pPr>
        <w:spacing w:line="360" w:lineRule="auto"/>
        <w:jc w:val="center"/>
        <w:rPr>
          <w:rFonts w:ascii="Arial" w:hAnsi="Arial" w:cs="Arial"/>
          <w:b/>
          <w:bCs/>
          <w:sz w:val="28"/>
          <w:szCs w:val="28"/>
        </w:rPr>
      </w:pPr>
    </w:p>
    <w:p w14:paraId="38E2E276" w14:textId="7316ADB8" w:rsidR="00473E06" w:rsidRDefault="00473E06" w:rsidP="00473E06">
      <w:pPr>
        <w:spacing w:line="360" w:lineRule="auto"/>
        <w:jc w:val="center"/>
        <w:rPr>
          <w:rFonts w:ascii="Arial" w:hAnsi="Arial" w:cs="Arial"/>
          <w:b/>
          <w:bCs/>
          <w:sz w:val="28"/>
          <w:szCs w:val="28"/>
        </w:rPr>
      </w:pPr>
    </w:p>
    <w:p w14:paraId="4813586A" w14:textId="2933BBFE" w:rsidR="00473E06" w:rsidRDefault="00473E06" w:rsidP="00473E06">
      <w:pPr>
        <w:spacing w:line="360" w:lineRule="auto"/>
        <w:jc w:val="center"/>
        <w:rPr>
          <w:rFonts w:ascii="Arial" w:hAnsi="Arial" w:cs="Arial"/>
          <w:b/>
          <w:bCs/>
          <w:sz w:val="28"/>
          <w:szCs w:val="28"/>
        </w:rPr>
      </w:pPr>
    </w:p>
    <w:p w14:paraId="40BFBED0" w14:textId="17080C9A" w:rsidR="00473E06" w:rsidRDefault="00473E06" w:rsidP="00473E06">
      <w:pPr>
        <w:spacing w:line="360" w:lineRule="auto"/>
        <w:jc w:val="center"/>
        <w:rPr>
          <w:rFonts w:ascii="Arial" w:hAnsi="Arial" w:cs="Arial"/>
          <w:b/>
          <w:bCs/>
          <w:sz w:val="28"/>
          <w:szCs w:val="28"/>
        </w:rPr>
      </w:pPr>
    </w:p>
    <w:p w14:paraId="2AD83E06" w14:textId="44D029FF" w:rsidR="00473E06" w:rsidRDefault="00473E06" w:rsidP="00473E06">
      <w:pPr>
        <w:spacing w:line="360" w:lineRule="auto"/>
        <w:jc w:val="center"/>
        <w:rPr>
          <w:rFonts w:ascii="Arial" w:hAnsi="Arial" w:cs="Arial"/>
          <w:b/>
          <w:bCs/>
          <w:sz w:val="28"/>
          <w:szCs w:val="28"/>
        </w:rPr>
      </w:pPr>
    </w:p>
    <w:p w14:paraId="00E7EFDC" w14:textId="5CE984B1" w:rsidR="00473E06" w:rsidRDefault="00473E06" w:rsidP="00473E06">
      <w:pPr>
        <w:spacing w:line="360" w:lineRule="auto"/>
        <w:jc w:val="center"/>
        <w:rPr>
          <w:rFonts w:ascii="Arial" w:hAnsi="Arial" w:cs="Arial"/>
          <w:b/>
          <w:bCs/>
          <w:sz w:val="28"/>
          <w:szCs w:val="28"/>
        </w:rPr>
      </w:pPr>
    </w:p>
    <w:p w14:paraId="7AF5D370" w14:textId="025C6F0A" w:rsidR="00473E06" w:rsidRDefault="00473E06" w:rsidP="00473E06">
      <w:pPr>
        <w:spacing w:line="360" w:lineRule="auto"/>
        <w:rPr>
          <w:rFonts w:ascii="Arial" w:hAnsi="Arial" w:cs="Arial"/>
          <w:b/>
          <w:bCs/>
          <w:sz w:val="28"/>
          <w:szCs w:val="28"/>
        </w:rPr>
      </w:pPr>
    </w:p>
    <w:p w14:paraId="2F1C8270" w14:textId="07FACCCF" w:rsidR="003319AA" w:rsidRDefault="003319AA" w:rsidP="00114BA4">
      <w:pPr>
        <w:pStyle w:val="Heading1"/>
        <w:spacing w:line="360" w:lineRule="auto"/>
        <w:rPr>
          <w:rFonts w:ascii="Arial" w:hAnsi="Arial" w:cs="Arial"/>
          <w:color w:val="auto"/>
        </w:rPr>
      </w:pPr>
      <w:bookmarkStart w:id="1" w:name="_Toc212143969"/>
      <w:r w:rsidRPr="003319AA">
        <w:rPr>
          <w:rFonts w:ascii="Arial" w:hAnsi="Arial" w:cs="Arial"/>
          <w:color w:val="auto"/>
        </w:rPr>
        <w:t>Introduction</w:t>
      </w:r>
      <w:bookmarkEnd w:id="1"/>
    </w:p>
    <w:p w14:paraId="3B8FE4C9" w14:textId="1A48C6B8" w:rsidR="00114BA4" w:rsidRDefault="00114BA4" w:rsidP="00114BA4"/>
    <w:p w14:paraId="7A6B04F0" w14:textId="33283BFD" w:rsidR="00114BA4" w:rsidRPr="008470B7" w:rsidRDefault="00114BA4" w:rsidP="00114BA4">
      <w:pPr>
        <w:pStyle w:val="NormalWeb"/>
        <w:spacing w:line="360" w:lineRule="auto"/>
        <w:rPr>
          <w:rFonts w:ascii="Arial" w:hAnsi="Arial" w:cs="Arial"/>
        </w:rPr>
      </w:pPr>
      <w:r w:rsidRPr="008470B7">
        <w:rPr>
          <w:rFonts w:ascii="Arial" w:hAnsi="Arial" w:cs="Arial"/>
        </w:rPr>
        <w:t xml:space="preserve">In today’s competitive retail landscape, organisations must continuously adapt to changes in the macro marketing environment to remain relevant and profitable. Two prominent players in the UK grocery sector </w:t>
      </w:r>
      <w:r w:rsidRPr="008470B7">
        <w:rPr>
          <w:rStyle w:val="Strong"/>
          <w:rFonts w:ascii="Arial" w:eastAsiaTheme="majorEastAsia" w:hAnsi="Arial" w:cs="Arial"/>
          <w:b w:val="0"/>
          <w:bCs w:val="0"/>
        </w:rPr>
        <w:t>Tesco</w:t>
      </w:r>
      <w:r w:rsidRPr="008470B7">
        <w:rPr>
          <w:rFonts w:ascii="Arial" w:hAnsi="Arial" w:cs="Arial"/>
        </w:rPr>
        <w:t xml:space="preserve"> and </w:t>
      </w:r>
      <w:r w:rsidRPr="008470B7">
        <w:rPr>
          <w:rStyle w:val="Strong"/>
          <w:rFonts w:ascii="Arial" w:eastAsiaTheme="majorEastAsia" w:hAnsi="Arial" w:cs="Arial"/>
          <w:b w:val="0"/>
          <w:bCs w:val="0"/>
        </w:rPr>
        <w:t>Lidl</w:t>
      </w:r>
      <w:r w:rsidRPr="008470B7">
        <w:rPr>
          <w:rFonts w:ascii="Arial" w:hAnsi="Arial" w:cs="Arial"/>
        </w:rPr>
        <w:t xml:space="preserve">, offer contrasting strategic approaches that illustrate the roles of </w:t>
      </w:r>
      <w:r w:rsidRPr="008470B7">
        <w:rPr>
          <w:rStyle w:val="Strong"/>
          <w:rFonts w:ascii="Arial" w:eastAsiaTheme="majorEastAsia" w:hAnsi="Arial" w:cs="Arial"/>
          <w:b w:val="0"/>
          <w:bCs w:val="0"/>
        </w:rPr>
        <w:t>pioneers</w:t>
      </w:r>
      <w:r w:rsidRPr="008470B7">
        <w:rPr>
          <w:rFonts w:ascii="Arial" w:hAnsi="Arial" w:cs="Arial"/>
        </w:rPr>
        <w:t xml:space="preserve"> and </w:t>
      </w:r>
      <w:r w:rsidRPr="008470B7">
        <w:rPr>
          <w:rStyle w:val="Strong"/>
          <w:rFonts w:ascii="Arial" w:eastAsiaTheme="majorEastAsia" w:hAnsi="Arial" w:cs="Arial"/>
          <w:b w:val="0"/>
          <w:bCs w:val="0"/>
        </w:rPr>
        <w:t>followers</w:t>
      </w:r>
      <w:r w:rsidRPr="008470B7">
        <w:rPr>
          <w:rFonts w:ascii="Arial" w:hAnsi="Arial" w:cs="Arial"/>
          <w:b/>
          <w:bCs/>
        </w:rPr>
        <w:t>.</w:t>
      </w:r>
      <w:r w:rsidRPr="008470B7">
        <w:rPr>
          <w:rFonts w:ascii="Arial" w:hAnsi="Arial" w:cs="Arial"/>
        </w:rPr>
        <w:t xml:space="preserve"> Tesco, as a pioneer, has historically led the market through innovations such as the Clubcard loyalty scheme and early adoption of online grocery platforms. (Kotler, Armstrong and Balasubramanian, 2024). In contrast, Lidl has positioned itself as a strategic follower, entering the UK market later and refining cost-leadership tactics to appeal to value-conscious consumers (Jobber and Ellis-Chadwick, 2019). Analysing how macro environmental factors such as </w:t>
      </w:r>
      <w:r w:rsidRPr="008470B7">
        <w:rPr>
          <w:rStyle w:val="Strong"/>
          <w:rFonts w:ascii="Arial" w:eastAsiaTheme="majorEastAsia" w:hAnsi="Arial" w:cs="Arial"/>
          <w:b w:val="0"/>
          <w:bCs w:val="0"/>
        </w:rPr>
        <w:t>technological</w:t>
      </w:r>
      <w:r w:rsidRPr="008470B7">
        <w:rPr>
          <w:rFonts w:ascii="Arial" w:hAnsi="Arial" w:cs="Arial"/>
        </w:rPr>
        <w:t xml:space="preserve"> and </w:t>
      </w:r>
      <w:r w:rsidRPr="008470B7">
        <w:rPr>
          <w:rStyle w:val="Strong"/>
          <w:rFonts w:ascii="Arial" w:eastAsiaTheme="majorEastAsia" w:hAnsi="Arial" w:cs="Arial"/>
          <w:b w:val="0"/>
          <w:bCs w:val="0"/>
        </w:rPr>
        <w:t>economic</w:t>
      </w:r>
      <w:r w:rsidRPr="008470B7">
        <w:rPr>
          <w:rFonts w:ascii="Arial" w:hAnsi="Arial" w:cs="Arial"/>
        </w:rPr>
        <w:t xml:space="preserve"> changes impact these organisations provides insight into the opportunities and threats faced by both pioneers and followers in the same industry (Hooley et al., 2024; </w:t>
      </w:r>
      <w:proofErr w:type="spellStart"/>
      <w:r w:rsidRPr="008470B7">
        <w:rPr>
          <w:rFonts w:ascii="Arial" w:hAnsi="Arial" w:cs="Arial"/>
        </w:rPr>
        <w:t>Kalicanin</w:t>
      </w:r>
      <w:proofErr w:type="spellEnd"/>
      <w:r w:rsidRPr="008470B7">
        <w:rPr>
          <w:rFonts w:ascii="Arial" w:hAnsi="Arial" w:cs="Arial"/>
        </w:rPr>
        <w:t>, 2008).</w:t>
      </w:r>
    </w:p>
    <w:p w14:paraId="5945D2EA" w14:textId="09A36780" w:rsidR="003319AA" w:rsidRPr="008470B7" w:rsidRDefault="00114BA4" w:rsidP="00114BA4">
      <w:pPr>
        <w:pStyle w:val="NormalWeb"/>
        <w:spacing w:line="360" w:lineRule="auto"/>
        <w:rPr>
          <w:rFonts w:ascii="Arial" w:hAnsi="Arial" w:cs="Arial"/>
        </w:rPr>
      </w:pPr>
      <w:r w:rsidRPr="008470B7">
        <w:rPr>
          <w:rFonts w:ascii="Arial" w:hAnsi="Arial" w:cs="Arial"/>
        </w:rPr>
        <w:t>PESTLE analysis is a vital strategic tool in marketing that enables organisations to systematically evaluate external macro-environmental factors, Political, Economic, Social, Technological, Legal, and Environmental, that influence decision-making and market performance. By identifying trends and disruptions in these areas, marketers can anticipate consumer behaviour shifts, regulatory changes, and technological advancements, allowing for more informed strategic planning. For example, understanding economic conditions such as inflation or recession helps firms adjust pricing strategies and product offerings to maintain competitiveness (Kotler, Armstrong and Balasubramanian, 2024). Similarly, monitoring technological developments enables organisations to innovate or adapt digital platforms to meet evolving customer expectations (Hooley et al., 2024). As Jobber and Ellis-Chadwick (2019) emphasise, integrating PESTLE analysis into marketing strategy enhances environmental scanning and supports long-term positioning in dynamic markets</w:t>
      </w:r>
    </w:p>
    <w:p w14:paraId="5B5A8E8B" w14:textId="29921D2C" w:rsidR="00114BA4" w:rsidRDefault="00114BA4" w:rsidP="00114BA4">
      <w:pPr>
        <w:pStyle w:val="NormalWeb"/>
        <w:spacing w:line="360" w:lineRule="auto"/>
        <w:rPr>
          <w:rFonts w:ascii="Arial" w:hAnsi="Arial" w:cs="Arial"/>
        </w:rPr>
      </w:pPr>
    </w:p>
    <w:p w14:paraId="6575E6AA" w14:textId="42DA8DCF" w:rsidR="00114BA4" w:rsidRPr="00FD0FED" w:rsidRDefault="00FD0FED" w:rsidP="00FD0FED">
      <w:pPr>
        <w:pStyle w:val="Heading1"/>
        <w:spacing w:line="360" w:lineRule="auto"/>
        <w:rPr>
          <w:rFonts w:ascii="Arial" w:hAnsi="Arial" w:cs="Arial"/>
          <w:b/>
          <w:bCs/>
          <w:color w:val="auto"/>
        </w:rPr>
      </w:pPr>
      <w:bookmarkStart w:id="2" w:name="_Toc212143970"/>
      <w:r w:rsidRPr="00FD0FED">
        <w:rPr>
          <w:rFonts w:ascii="Arial" w:hAnsi="Arial" w:cs="Arial"/>
          <w:b/>
          <w:bCs/>
          <w:color w:val="auto"/>
        </w:rPr>
        <w:lastRenderedPageBreak/>
        <w:t>TASK 1</w:t>
      </w:r>
      <w:bookmarkEnd w:id="2"/>
    </w:p>
    <w:p w14:paraId="54637C32" w14:textId="49953D4F" w:rsidR="00473E06" w:rsidRDefault="00473E06" w:rsidP="003319AA">
      <w:pPr>
        <w:pStyle w:val="Heading1"/>
        <w:spacing w:line="360" w:lineRule="auto"/>
        <w:rPr>
          <w:rFonts w:ascii="Arial" w:hAnsi="Arial" w:cs="Arial"/>
          <w:color w:val="auto"/>
        </w:rPr>
      </w:pPr>
      <w:bookmarkStart w:id="3" w:name="_Toc212143971"/>
      <w:r w:rsidRPr="003319AA">
        <w:rPr>
          <w:rFonts w:ascii="Arial" w:hAnsi="Arial" w:cs="Arial"/>
          <w:color w:val="auto"/>
        </w:rPr>
        <w:t>Macro marketing environment analysis</w:t>
      </w:r>
      <w:bookmarkEnd w:id="3"/>
    </w:p>
    <w:p w14:paraId="7CFE5B7B" w14:textId="48E2D672"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The macro marketing environment comprises external forces that influence strategic marketing decisions yet remain largely beyond the control of individual firms. These forces shape both pioneering and follower organisations</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competitive strategies, determining how effectively they adapt to change and sustain performance in dynamic industries such as retail. According to Kotler, Armstrong and Balasubramanian (2024), systematic scanning of the external environment enables firms to anticipate shifts in consumer behaviour, technology, and the economy</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factors that can either drive growth or create substantial threats.</w:t>
      </w:r>
    </w:p>
    <w:p w14:paraId="72DAB350" w14:textId="33092E5F"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For this analysis, two macro-environmental factors</w:t>
      </w:r>
      <w:r>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technological and economic</w:t>
      </w:r>
      <w:r>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have been selected. Both are among the most influential components of the PESTLE framework and have significantly impacted the strategic directions of Tesco (as a pioneer) and Lidl (as a follower). These dimensions not only shape the competitive landscape but also determine how organisations position themselves in relation to innovation, pricing, and customer engagement.</w:t>
      </w:r>
    </w:p>
    <w:p w14:paraId="4B1DE8EA" w14:textId="634439BA" w:rsidR="00506FC9" w:rsidRDefault="00506FC9" w:rsidP="00506FC9">
      <w:pPr>
        <w:pStyle w:val="Heading2"/>
        <w:spacing w:line="360" w:lineRule="auto"/>
        <w:rPr>
          <w:rFonts w:ascii="Arial" w:eastAsia="Times New Roman" w:hAnsi="Arial" w:cs="Arial"/>
          <w:color w:val="auto"/>
          <w:sz w:val="28"/>
          <w:szCs w:val="28"/>
          <w:lang w:eastAsia="en-GB"/>
        </w:rPr>
      </w:pPr>
      <w:bookmarkStart w:id="4" w:name="_Toc212143972"/>
      <w:r w:rsidRPr="00506FC9">
        <w:rPr>
          <w:rFonts w:ascii="Arial" w:eastAsia="Times New Roman" w:hAnsi="Arial" w:cs="Arial"/>
          <w:color w:val="auto"/>
          <w:sz w:val="28"/>
          <w:szCs w:val="28"/>
          <w:lang w:eastAsia="en-GB"/>
        </w:rPr>
        <w:t>Technological Factor Analysis</w:t>
      </w:r>
      <w:bookmarkEnd w:id="4"/>
    </w:p>
    <w:p w14:paraId="4B677826" w14:textId="5B793301" w:rsidR="00B57B45" w:rsidRDefault="00B57B45" w:rsidP="00B57B45">
      <w:pPr>
        <w:rPr>
          <w:lang w:eastAsia="en-GB"/>
        </w:rPr>
      </w:pPr>
    </w:p>
    <w:tbl>
      <w:tblPr>
        <w:tblStyle w:val="TableGrid"/>
        <w:tblW w:w="0" w:type="auto"/>
        <w:tblLook w:val="04A0" w:firstRow="1" w:lastRow="0" w:firstColumn="1" w:lastColumn="0" w:noHBand="0" w:noVBand="1"/>
      </w:tblPr>
      <w:tblGrid>
        <w:gridCol w:w="3005"/>
        <w:gridCol w:w="3005"/>
        <w:gridCol w:w="3006"/>
      </w:tblGrid>
      <w:tr w:rsidR="00B57B45" w14:paraId="3AB8ADFE" w14:textId="77777777" w:rsidTr="002510E6">
        <w:tc>
          <w:tcPr>
            <w:tcW w:w="3005" w:type="dxa"/>
          </w:tcPr>
          <w:p w14:paraId="64DCC47B" w14:textId="77777777" w:rsidR="00B57B45" w:rsidRPr="00FD0FED" w:rsidRDefault="00B57B45" w:rsidP="002510E6">
            <w:pPr>
              <w:spacing w:line="360" w:lineRule="auto"/>
              <w:rPr>
                <w:rFonts w:ascii="Arial" w:hAnsi="Arial" w:cs="Arial"/>
                <w:b/>
                <w:bCs/>
                <w:sz w:val="28"/>
                <w:szCs w:val="28"/>
              </w:rPr>
            </w:pPr>
            <w:r w:rsidRPr="00FD0FED">
              <w:rPr>
                <w:rFonts w:ascii="Arial" w:hAnsi="Arial" w:cs="Arial"/>
                <w:b/>
                <w:bCs/>
                <w:sz w:val="28"/>
                <w:szCs w:val="28"/>
              </w:rPr>
              <w:t>Technological Factor</w:t>
            </w:r>
          </w:p>
        </w:tc>
        <w:tc>
          <w:tcPr>
            <w:tcW w:w="3005" w:type="dxa"/>
          </w:tcPr>
          <w:p w14:paraId="046A8A50" w14:textId="77777777" w:rsidR="00B57B45" w:rsidRPr="00FD0FED" w:rsidRDefault="00B57B45" w:rsidP="002510E6">
            <w:pPr>
              <w:spacing w:line="360" w:lineRule="auto"/>
              <w:jc w:val="center"/>
              <w:rPr>
                <w:rFonts w:ascii="Arial" w:hAnsi="Arial" w:cs="Arial"/>
                <w:b/>
                <w:bCs/>
                <w:sz w:val="28"/>
                <w:szCs w:val="28"/>
              </w:rPr>
            </w:pPr>
            <w:r w:rsidRPr="00FD0FED">
              <w:rPr>
                <w:rFonts w:ascii="Arial" w:hAnsi="Arial" w:cs="Arial"/>
                <w:b/>
                <w:bCs/>
                <w:sz w:val="28"/>
                <w:szCs w:val="28"/>
              </w:rPr>
              <w:t>Tesco</w:t>
            </w:r>
          </w:p>
          <w:p w14:paraId="0648DA8F" w14:textId="77777777" w:rsidR="00B57B45" w:rsidRPr="00FD0FED" w:rsidRDefault="00B57B45" w:rsidP="002510E6">
            <w:pPr>
              <w:spacing w:line="360" w:lineRule="auto"/>
              <w:jc w:val="center"/>
              <w:rPr>
                <w:rFonts w:ascii="Arial" w:hAnsi="Arial" w:cs="Arial"/>
                <w:b/>
                <w:bCs/>
                <w:sz w:val="28"/>
                <w:szCs w:val="28"/>
              </w:rPr>
            </w:pPr>
            <w:r w:rsidRPr="00FD0FED">
              <w:rPr>
                <w:rFonts w:ascii="Arial" w:hAnsi="Arial" w:cs="Arial"/>
                <w:b/>
                <w:bCs/>
                <w:sz w:val="28"/>
                <w:szCs w:val="28"/>
              </w:rPr>
              <w:t>Pioneer</w:t>
            </w:r>
          </w:p>
        </w:tc>
        <w:tc>
          <w:tcPr>
            <w:tcW w:w="3006" w:type="dxa"/>
          </w:tcPr>
          <w:p w14:paraId="33F55BF8" w14:textId="77777777" w:rsidR="00B57B45" w:rsidRPr="00FD0FED" w:rsidRDefault="00B57B45" w:rsidP="002510E6">
            <w:pPr>
              <w:spacing w:line="360" w:lineRule="auto"/>
              <w:jc w:val="center"/>
              <w:rPr>
                <w:rFonts w:ascii="Arial" w:hAnsi="Arial" w:cs="Arial"/>
                <w:b/>
                <w:bCs/>
                <w:sz w:val="28"/>
                <w:szCs w:val="28"/>
              </w:rPr>
            </w:pPr>
            <w:r w:rsidRPr="00FD0FED">
              <w:rPr>
                <w:rFonts w:ascii="Arial" w:hAnsi="Arial" w:cs="Arial"/>
                <w:b/>
                <w:bCs/>
                <w:sz w:val="28"/>
                <w:szCs w:val="28"/>
              </w:rPr>
              <w:t>Lidl</w:t>
            </w:r>
          </w:p>
          <w:p w14:paraId="66D5FF86" w14:textId="77777777" w:rsidR="00B57B45" w:rsidRPr="00FD0FED" w:rsidRDefault="00B57B45" w:rsidP="002510E6">
            <w:pPr>
              <w:spacing w:line="360" w:lineRule="auto"/>
              <w:jc w:val="center"/>
              <w:rPr>
                <w:rFonts w:ascii="Arial" w:hAnsi="Arial" w:cs="Arial"/>
                <w:b/>
                <w:bCs/>
                <w:sz w:val="28"/>
                <w:szCs w:val="28"/>
              </w:rPr>
            </w:pPr>
            <w:r w:rsidRPr="00FD0FED">
              <w:rPr>
                <w:rFonts w:ascii="Arial" w:hAnsi="Arial" w:cs="Arial"/>
                <w:b/>
                <w:bCs/>
                <w:sz w:val="28"/>
                <w:szCs w:val="28"/>
              </w:rPr>
              <w:t>Follower</w:t>
            </w:r>
          </w:p>
        </w:tc>
      </w:tr>
      <w:tr w:rsidR="00B57B45" w14:paraId="156F4F80" w14:textId="77777777" w:rsidTr="002510E6">
        <w:tc>
          <w:tcPr>
            <w:tcW w:w="3005" w:type="dxa"/>
          </w:tcPr>
          <w:p w14:paraId="59F7BBD8" w14:textId="77777777" w:rsidR="00B57B45" w:rsidRPr="00FD0FED" w:rsidRDefault="00B57B45" w:rsidP="002510E6">
            <w:pPr>
              <w:spacing w:line="360" w:lineRule="auto"/>
              <w:rPr>
                <w:rFonts w:ascii="Arial" w:hAnsi="Arial" w:cs="Arial"/>
                <w:b/>
                <w:bCs/>
                <w:sz w:val="28"/>
                <w:szCs w:val="28"/>
              </w:rPr>
            </w:pPr>
            <w:proofErr w:type="spellStart"/>
            <w:r w:rsidRPr="00FD0FED">
              <w:rPr>
                <w:rFonts w:ascii="Arial" w:hAnsi="Arial" w:cs="Arial"/>
                <w:b/>
                <w:bCs/>
                <w:sz w:val="28"/>
                <w:szCs w:val="28"/>
              </w:rPr>
              <w:t>Oportunities</w:t>
            </w:r>
            <w:proofErr w:type="spellEnd"/>
          </w:p>
        </w:tc>
        <w:tc>
          <w:tcPr>
            <w:tcW w:w="3005" w:type="dxa"/>
          </w:tcPr>
          <w:p w14:paraId="0FEE2DC1" w14:textId="77777777" w:rsidR="00B57B45" w:rsidRPr="006B1E7A" w:rsidRDefault="00B57B45" w:rsidP="002510E6">
            <w:pPr>
              <w:spacing w:line="360" w:lineRule="auto"/>
              <w:rPr>
                <w:rFonts w:ascii="Arial" w:hAnsi="Arial" w:cs="Arial"/>
                <w:sz w:val="24"/>
                <w:szCs w:val="24"/>
              </w:rPr>
            </w:pPr>
            <w:r w:rsidRPr="006B1E7A">
              <w:rPr>
                <w:rStyle w:val="Strong"/>
                <w:rFonts w:ascii="Arial" w:hAnsi="Arial" w:cs="Arial"/>
                <w:b w:val="0"/>
                <w:bCs w:val="0"/>
                <w:sz w:val="24"/>
                <w:szCs w:val="24"/>
              </w:rPr>
              <w:t>Pioneers</w:t>
            </w:r>
            <w:r w:rsidRPr="006B1E7A">
              <w:rPr>
                <w:rFonts w:ascii="Arial" w:hAnsi="Arial" w:cs="Arial"/>
                <w:sz w:val="24"/>
                <w:szCs w:val="24"/>
              </w:rPr>
              <w:t xml:space="preserve"> like </w:t>
            </w:r>
            <w:r w:rsidRPr="006B1E7A">
              <w:rPr>
                <w:rStyle w:val="Strong"/>
                <w:rFonts w:ascii="Arial" w:hAnsi="Arial" w:cs="Arial"/>
                <w:b w:val="0"/>
                <w:bCs w:val="0"/>
                <w:sz w:val="24"/>
                <w:szCs w:val="24"/>
              </w:rPr>
              <w:t>Tesco</w:t>
            </w:r>
            <w:r w:rsidRPr="006B1E7A">
              <w:rPr>
                <w:rFonts w:ascii="Arial" w:hAnsi="Arial" w:cs="Arial"/>
                <w:b/>
                <w:bCs/>
                <w:sz w:val="24"/>
                <w:szCs w:val="24"/>
              </w:rPr>
              <w:t xml:space="preserve"> </w:t>
            </w:r>
            <w:r w:rsidRPr="006B1E7A">
              <w:rPr>
                <w:rFonts w:ascii="Arial" w:hAnsi="Arial" w:cs="Arial"/>
                <w:sz w:val="24"/>
                <w:szCs w:val="24"/>
              </w:rPr>
              <w:t xml:space="preserve">leveraged early adoption of </w:t>
            </w:r>
            <w:r w:rsidRPr="006B1E7A">
              <w:rPr>
                <w:rStyle w:val="Strong"/>
                <w:rFonts w:ascii="Arial" w:hAnsi="Arial" w:cs="Arial"/>
                <w:b w:val="0"/>
                <w:bCs w:val="0"/>
                <w:sz w:val="24"/>
                <w:szCs w:val="24"/>
              </w:rPr>
              <w:t>online grocery platforms</w:t>
            </w:r>
            <w:r w:rsidRPr="006B1E7A">
              <w:rPr>
                <w:rFonts w:ascii="Arial" w:hAnsi="Arial" w:cs="Arial"/>
                <w:sz w:val="24"/>
                <w:szCs w:val="24"/>
              </w:rPr>
              <w:t xml:space="preserve"> and </w:t>
            </w:r>
            <w:r w:rsidRPr="006B1E7A">
              <w:rPr>
                <w:rStyle w:val="Strong"/>
                <w:rFonts w:ascii="Arial" w:hAnsi="Arial" w:cs="Arial"/>
                <w:b w:val="0"/>
                <w:bCs w:val="0"/>
                <w:sz w:val="24"/>
                <w:szCs w:val="24"/>
              </w:rPr>
              <w:t>data analytics</w:t>
            </w:r>
            <w:r w:rsidRPr="006B1E7A">
              <w:rPr>
                <w:rFonts w:ascii="Arial" w:hAnsi="Arial" w:cs="Arial"/>
                <w:sz w:val="24"/>
                <w:szCs w:val="24"/>
              </w:rPr>
              <w:t xml:space="preserve"> to gain competitive advantage (Kotler et al., 2024)</w:t>
            </w:r>
          </w:p>
        </w:tc>
        <w:tc>
          <w:tcPr>
            <w:tcW w:w="3006" w:type="dxa"/>
          </w:tcPr>
          <w:p w14:paraId="3F5E0840" w14:textId="77777777" w:rsidR="00B57B45" w:rsidRPr="006B1E7A" w:rsidRDefault="00B57B45" w:rsidP="002510E6">
            <w:pPr>
              <w:spacing w:line="360" w:lineRule="auto"/>
              <w:rPr>
                <w:rFonts w:ascii="Arial" w:hAnsi="Arial" w:cs="Arial"/>
                <w:b/>
                <w:bCs/>
                <w:sz w:val="24"/>
                <w:szCs w:val="24"/>
              </w:rPr>
            </w:pPr>
            <w:r w:rsidRPr="006B1E7A">
              <w:rPr>
                <w:rFonts w:ascii="Arial" w:hAnsi="Arial" w:cs="Arial"/>
                <w:sz w:val="24"/>
                <w:szCs w:val="24"/>
              </w:rPr>
              <w:t xml:space="preserve">Followers like </w:t>
            </w:r>
            <w:r w:rsidRPr="006B1E7A">
              <w:rPr>
                <w:rStyle w:val="Strong"/>
                <w:rFonts w:ascii="Arial" w:hAnsi="Arial" w:cs="Arial"/>
                <w:b w:val="0"/>
                <w:bCs w:val="0"/>
                <w:sz w:val="24"/>
                <w:szCs w:val="24"/>
              </w:rPr>
              <w:t>Lidl</w:t>
            </w:r>
            <w:r w:rsidRPr="006B1E7A">
              <w:rPr>
                <w:rFonts w:ascii="Arial" w:hAnsi="Arial" w:cs="Arial"/>
                <w:sz w:val="24"/>
                <w:szCs w:val="24"/>
              </w:rPr>
              <w:t xml:space="preserve"> later launched </w:t>
            </w:r>
            <w:r w:rsidRPr="006B1E7A">
              <w:rPr>
                <w:rStyle w:val="Strong"/>
                <w:rFonts w:ascii="Arial" w:hAnsi="Arial" w:cs="Arial"/>
                <w:b w:val="0"/>
                <w:bCs w:val="0"/>
                <w:sz w:val="24"/>
                <w:szCs w:val="24"/>
              </w:rPr>
              <w:t>Lidl Plus</w:t>
            </w:r>
            <w:r w:rsidRPr="006B1E7A">
              <w:rPr>
                <w:rFonts w:ascii="Arial" w:hAnsi="Arial" w:cs="Arial"/>
                <w:sz w:val="24"/>
                <w:szCs w:val="24"/>
              </w:rPr>
              <w:t>, benefiting from consumer readiness and lower development costs (Jobber and Ellis-Chadwick, 2019).</w:t>
            </w:r>
          </w:p>
        </w:tc>
      </w:tr>
      <w:tr w:rsidR="00B57B45" w14:paraId="73089C3E" w14:textId="77777777" w:rsidTr="002510E6">
        <w:tc>
          <w:tcPr>
            <w:tcW w:w="3005" w:type="dxa"/>
          </w:tcPr>
          <w:p w14:paraId="6A49A994" w14:textId="77777777" w:rsidR="00B57B45" w:rsidRPr="00FD0FED" w:rsidRDefault="00B57B45" w:rsidP="002510E6">
            <w:pPr>
              <w:spacing w:line="360" w:lineRule="auto"/>
              <w:rPr>
                <w:rFonts w:ascii="Arial" w:hAnsi="Arial" w:cs="Arial"/>
                <w:b/>
                <w:bCs/>
                <w:sz w:val="28"/>
                <w:szCs w:val="28"/>
              </w:rPr>
            </w:pPr>
            <w:r w:rsidRPr="00FD0FED">
              <w:rPr>
                <w:rFonts w:ascii="Arial" w:hAnsi="Arial" w:cs="Arial"/>
                <w:b/>
                <w:bCs/>
                <w:sz w:val="28"/>
                <w:szCs w:val="28"/>
              </w:rPr>
              <w:t>Threats</w:t>
            </w:r>
          </w:p>
        </w:tc>
        <w:tc>
          <w:tcPr>
            <w:tcW w:w="3005" w:type="dxa"/>
          </w:tcPr>
          <w:p w14:paraId="26FB88EE" w14:textId="77777777" w:rsidR="00B57B45" w:rsidRPr="006B1E7A" w:rsidRDefault="00B57B45" w:rsidP="002510E6">
            <w:pPr>
              <w:spacing w:line="360" w:lineRule="auto"/>
              <w:rPr>
                <w:rFonts w:ascii="Arial" w:hAnsi="Arial" w:cs="Arial"/>
                <w:b/>
                <w:bCs/>
                <w:sz w:val="24"/>
                <w:szCs w:val="24"/>
              </w:rPr>
            </w:pPr>
            <w:r w:rsidRPr="006B1E7A">
              <w:rPr>
                <w:rFonts w:ascii="Arial" w:hAnsi="Arial" w:cs="Arial"/>
                <w:sz w:val="24"/>
                <w:szCs w:val="24"/>
              </w:rPr>
              <w:t xml:space="preserve">Pioneers face high R&amp;D costs and risk of </w:t>
            </w:r>
            <w:r w:rsidRPr="006B1E7A">
              <w:rPr>
                <w:rFonts w:ascii="Arial" w:hAnsi="Arial" w:cs="Arial"/>
                <w:sz w:val="24"/>
                <w:szCs w:val="24"/>
              </w:rPr>
              <w:lastRenderedPageBreak/>
              <w:t>technological obsolescence.</w:t>
            </w:r>
          </w:p>
        </w:tc>
        <w:tc>
          <w:tcPr>
            <w:tcW w:w="3006" w:type="dxa"/>
          </w:tcPr>
          <w:p w14:paraId="1AC0D719" w14:textId="77777777" w:rsidR="00B57B45" w:rsidRPr="006B1E7A" w:rsidRDefault="00B57B45" w:rsidP="002510E6">
            <w:pPr>
              <w:spacing w:line="360" w:lineRule="auto"/>
              <w:rPr>
                <w:rFonts w:ascii="Arial" w:hAnsi="Arial" w:cs="Arial"/>
                <w:b/>
                <w:bCs/>
                <w:sz w:val="24"/>
                <w:szCs w:val="24"/>
              </w:rPr>
            </w:pPr>
            <w:r w:rsidRPr="006B1E7A">
              <w:rPr>
                <w:rFonts w:ascii="Arial" w:hAnsi="Arial" w:cs="Arial"/>
                <w:sz w:val="24"/>
                <w:szCs w:val="24"/>
              </w:rPr>
              <w:lastRenderedPageBreak/>
              <w:t xml:space="preserve">Followers risk falling behind if adoption is </w:t>
            </w:r>
            <w:r w:rsidRPr="006B1E7A">
              <w:rPr>
                <w:rFonts w:ascii="Arial" w:hAnsi="Arial" w:cs="Arial"/>
                <w:sz w:val="24"/>
                <w:szCs w:val="24"/>
              </w:rPr>
              <w:lastRenderedPageBreak/>
              <w:t>delayed or misaligned with consumer expectations.</w:t>
            </w:r>
          </w:p>
        </w:tc>
      </w:tr>
    </w:tbl>
    <w:p w14:paraId="1BB8B495" w14:textId="17F47306" w:rsidR="00B57B45" w:rsidRDefault="00B57B45" w:rsidP="00B57B45">
      <w:pPr>
        <w:rPr>
          <w:lang w:eastAsia="en-GB"/>
        </w:rPr>
      </w:pPr>
    </w:p>
    <w:p w14:paraId="4285A92A" w14:textId="77777777" w:rsidR="00B57B45" w:rsidRPr="00B57B45" w:rsidRDefault="00B57B45" w:rsidP="00B57B45">
      <w:pPr>
        <w:rPr>
          <w:lang w:eastAsia="en-GB"/>
        </w:rPr>
      </w:pPr>
    </w:p>
    <w:p w14:paraId="557D45BA" w14:textId="7AFEC222"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Technological change is a primary catalyst for transformation in the retail sector, influencing operations, consumer engagement, and competitive differentiation. For pioneering firms such as Tesco, technological advancement provides a platform for innovation and first-mover advantage. Tesco’s early introduction of online grocery platforms and the Clubcard loyalty programme demonstrates its proactive approach to technology-led marketing (Gupta, 2024). These initiatives enabled data-driven decision-making, customer segmentation, and personalised marketing, key drivers of long-term customer loyalty. However, pioneering carries inherent risks, including high R&amp;D costs and the potential for technological obsolescence as innovations quickly become industry norms (</w:t>
      </w:r>
      <w:proofErr w:type="spellStart"/>
      <w:r w:rsidRPr="00506FC9">
        <w:rPr>
          <w:rFonts w:ascii="Arial" w:eastAsia="Times New Roman" w:hAnsi="Arial" w:cs="Arial"/>
          <w:sz w:val="24"/>
          <w:szCs w:val="24"/>
          <w:lang w:eastAsia="en-GB"/>
        </w:rPr>
        <w:t>Kalicanin</w:t>
      </w:r>
      <w:proofErr w:type="spellEnd"/>
      <w:r w:rsidRPr="00506FC9">
        <w:rPr>
          <w:rFonts w:ascii="Arial" w:eastAsia="Times New Roman" w:hAnsi="Arial" w:cs="Arial"/>
          <w:sz w:val="24"/>
          <w:szCs w:val="24"/>
          <w:lang w:eastAsia="en-GB"/>
        </w:rPr>
        <w:t>, 2008).</w:t>
      </w:r>
    </w:p>
    <w:p w14:paraId="41E8DFEA" w14:textId="20BB9F77"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In contrast, follower organisations like Lidl adopt a more calculated approach to technological change. Instead of initiating new technologies, Lidl focuses on selective adoption</w:t>
      </w:r>
      <w:r>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 xml:space="preserve">implementing proven innovations at lower cost and with reduced uncertainty. The Lidl Plus mobile app exemplifies this strategy, offering digital coupons and customer data insights </w:t>
      </w:r>
      <w:proofErr w:type="gramStart"/>
      <w:r w:rsidRPr="00506FC9">
        <w:rPr>
          <w:rFonts w:ascii="Arial" w:eastAsia="Times New Roman" w:hAnsi="Arial" w:cs="Arial"/>
          <w:sz w:val="24"/>
          <w:szCs w:val="24"/>
          <w:lang w:eastAsia="en-GB"/>
        </w:rPr>
        <w:t>similar to</w:t>
      </w:r>
      <w:proofErr w:type="gramEnd"/>
      <w:r w:rsidRPr="00506FC9">
        <w:rPr>
          <w:rFonts w:ascii="Arial" w:eastAsia="Times New Roman" w:hAnsi="Arial" w:cs="Arial"/>
          <w:sz w:val="24"/>
          <w:szCs w:val="24"/>
          <w:lang w:eastAsia="en-GB"/>
        </w:rPr>
        <w:t xml:space="preserve"> Tesco’s Clubcard but launched after consumer familiarity had been established (Jobber and Ellis-Chadwick, 2019). This approach aligns with the principles of strategic imitation, which allow followers to optimise efficiency and reduce risk by learning from pioneers’ experiences (Lieberman and Montgomery, 1988).</w:t>
      </w:r>
    </w:p>
    <w:p w14:paraId="1DE2EAB4" w14:textId="77777777"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From a strategic perspective, both organisations demonstrate distinct uses of technology consistent with their competitive positioning. Tesco’s approach aligns with Porter’s differentiation strategy, leveraging innovation to create unique value propositions. Lidl’s method reflects cost leadership, where technology supports lean operations and efficiency. As Cripps LLP (2025) highlights, digitalisation in retail now extends beyond transactions to integrated supply chain management, predictive analytics, and sustainability monitoring. Pioneers must therefore continuously </w:t>
      </w:r>
      <w:r w:rsidRPr="00506FC9">
        <w:rPr>
          <w:rFonts w:ascii="Arial" w:eastAsia="Times New Roman" w:hAnsi="Arial" w:cs="Arial"/>
          <w:sz w:val="24"/>
          <w:szCs w:val="24"/>
          <w:lang w:eastAsia="en-GB"/>
        </w:rPr>
        <w:lastRenderedPageBreak/>
        <w:t>reinvest to maintain technological leadership, whereas followers can exploit timing advantages by adopting mature, cost-efficient systems.</w:t>
      </w:r>
    </w:p>
    <w:p w14:paraId="70F421D8" w14:textId="6E22A6AC"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However, the technological environment also presents shared threats. Both retailers face cybersecurity risks, rising customer expectations for omnichannel integration, and competitive disruption from online-only entrants such as Amazon Fresh. Therefore, success depends not only on adopting technology but on aligning digital transformation with consumer value creation and strategic agility.</w:t>
      </w:r>
    </w:p>
    <w:p w14:paraId="60C34052" w14:textId="77777777" w:rsidR="00506FC9" w:rsidRPr="00AB4DDC" w:rsidRDefault="00506FC9" w:rsidP="00AB4DDC">
      <w:pPr>
        <w:pStyle w:val="Heading2"/>
        <w:spacing w:line="360" w:lineRule="auto"/>
        <w:rPr>
          <w:rFonts w:ascii="Arial" w:eastAsia="Times New Roman" w:hAnsi="Arial" w:cs="Arial"/>
          <w:color w:val="auto"/>
          <w:sz w:val="28"/>
          <w:szCs w:val="28"/>
          <w:lang w:eastAsia="en-GB"/>
        </w:rPr>
      </w:pPr>
      <w:bookmarkStart w:id="5" w:name="_Toc212143973"/>
      <w:r w:rsidRPr="00AB4DDC">
        <w:rPr>
          <w:rFonts w:ascii="Arial" w:eastAsia="Times New Roman" w:hAnsi="Arial" w:cs="Arial"/>
          <w:color w:val="auto"/>
          <w:sz w:val="28"/>
          <w:szCs w:val="28"/>
          <w:lang w:eastAsia="en-GB"/>
        </w:rPr>
        <w:t>Economic Environment Analysis</w:t>
      </w:r>
      <w:bookmarkEnd w:id="5"/>
    </w:p>
    <w:p w14:paraId="3D877683" w14:textId="77777777"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Economic conditions exert profound influence on retail strategy, affecting consumer purchasing power, demand elasticity, and pricing decisions. In periods of growth, pioneering organisations like Tesco exploit favourable market conditions to invest in innovation and expand premium offerings. During its growth phases, Tesco has diversified into higher-margin product lines such as </w:t>
      </w:r>
      <w:r w:rsidRPr="00506FC9">
        <w:rPr>
          <w:rFonts w:ascii="Arial" w:eastAsia="Times New Roman" w:hAnsi="Arial" w:cs="Arial"/>
          <w:i/>
          <w:iCs/>
          <w:sz w:val="24"/>
          <w:szCs w:val="24"/>
          <w:lang w:eastAsia="en-GB"/>
        </w:rPr>
        <w:t>Tesco Finest</w:t>
      </w:r>
      <w:r w:rsidRPr="00506FC9">
        <w:rPr>
          <w:rFonts w:ascii="Arial" w:eastAsia="Times New Roman" w:hAnsi="Arial" w:cs="Arial"/>
          <w:sz w:val="24"/>
          <w:szCs w:val="24"/>
          <w:lang w:eastAsia="en-GB"/>
        </w:rPr>
        <w:t xml:space="preserve"> and enhanced store experiences to attract middle- and upper-income consumers (Hooley et al., 2024). This aligns with the Ansoff Matrix’s product development strategy, which focuses on expanding value through innovation within existing markets.</w:t>
      </w:r>
    </w:p>
    <w:p w14:paraId="10DA4893" w14:textId="4F768E58"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Conversely, Lidl’s follower strategy thrives in challenging economic environments. Its success during periods of inflation and economic downturn reflects its value-based positioning, which resonates with price-sensitive consumers (Retail Economics, 2025). Lidl’s operational efficiency, achieved through private-label dominance, limited SKU ranges, and tight cost control, enables it to maintain profitability even when market conditions deteriorate. This resilience was evident during the UK’s recent cost-of-living crisis, where discount retailers gained market share as consumers traded down from premium brands (McKinsey &amp; Company, 2022).</w:t>
      </w:r>
    </w:p>
    <w:p w14:paraId="211EDFBC" w14:textId="43C26ED4" w:rsid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Nonetheless, economic volatility creates risks for both models. For Tesco, inflationary pressures can erode consumer demand for premium offerings and compress profit margins. For Lidl, rising logistics and energy costs can undermine its low-cost advantage. Both companies must therefore manage cost structures and supply chains strategically to safeguard competitiveness. According to Hooley et al. (2024), organisations that effectively align marketing strategies with macroeconomic </w:t>
      </w:r>
      <w:r w:rsidRPr="00506FC9">
        <w:rPr>
          <w:rFonts w:ascii="Arial" w:eastAsia="Times New Roman" w:hAnsi="Arial" w:cs="Arial"/>
          <w:sz w:val="24"/>
          <w:szCs w:val="24"/>
          <w:lang w:eastAsia="en-GB"/>
        </w:rPr>
        <w:lastRenderedPageBreak/>
        <w:t>trends</w:t>
      </w:r>
      <w:r>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through pricing flexibility, diversification, and strategic partnerships</w:t>
      </w:r>
      <w:r>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are better positioned to sustain performance during volatility.</w:t>
      </w:r>
    </w:p>
    <w:tbl>
      <w:tblPr>
        <w:tblStyle w:val="TableGrid"/>
        <w:tblW w:w="0" w:type="auto"/>
        <w:tblLook w:val="04A0" w:firstRow="1" w:lastRow="0" w:firstColumn="1" w:lastColumn="0" w:noHBand="0" w:noVBand="1"/>
      </w:tblPr>
      <w:tblGrid>
        <w:gridCol w:w="3005"/>
        <w:gridCol w:w="3005"/>
        <w:gridCol w:w="3006"/>
      </w:tblGrid>
      <w:tr w:rsidR="00B57B45" w14:paraId="553F1A7B" w14:textId="77777777" w:rsidTr="002510E6">
        <w:tc>
          <w:tcPr>
            <w:tcW w:w="3005" w:type="dxa"/>
          </w:tcPr>
          <w:p w14:paraId="43CE4A60" w14:textId="77777777" w:rsidR="00B57B45" w:rsidRPr="00A91C5E" w:rsidRDefault="00B57B45" w:rsidP="002510E6">
            <w:pPr>
              <w:spacing w:line="360" w:lineRule="auto"/>
              <w:jc w:val="center"/>
              <w:rPr>
                <w:rFonts w:ascii="Arial" w:hAnsi="Arial" w:cs="Arial"/>
                <w:b/>
                <w:bCs/>
                <w:sz w:val="28"/>
                <w:szCs w:val="28"/>
              </w:rPr>
            </w:pPr>
            <w:r w:rsidRPr="00A91C5E">
              <w:rPr>
                <w:rFonts w:ascii="Arial" w:hAnsi="Arial" w:cs="Arial"/>
                <w:b/>
                <w:bCs/>
                <w:sz w:val="28"/>
                <w:szCs w:val="28"/>
              </w:rPr>
              <w:t>Economic factor</w:t>
            </w:r>
          </w:p>
        </w:tc>
        <w:tc>
          <w:tcPr>
            <w:tcW w:w="3005" w:type="dxa"/>
          </w:tcPr>
          <w:p w14:paraId="5C0824EF" w14:textId="77777777" w:rsidR="00B57B45" w:rsidRPr="00A91C5E" w:rsidRDefault="00B57B45" w:rsidP="002510E6">
            <w:pPr>
              <w:spacing w:line="360" w:lineRule="auto"/>
              <w:jc w:val="center"/>
              <w:rPr>
                <w:rFonts w:ascii="Arial" w:hAnsi="Arial" w:cs="Arial"/>
                <w:b/>
                <w:bCs/>
                <w:sz w:val="28"/>
                <w:szCs w:val="28"/>
              </w:rPr>
            </w:pPr>
            <w:r w:rsidRPr="00A91C5E">
              <w:rPr>
                <w:rFonts w:ascii="Arial" w:hAnsi="Arial" w:cs="Arial"/>
                <w:b/>
                <w:bCs/>
                <w:sz w:val="28"/>
                <w:szCs w:val="28"/>
              </w:rPr>
              <w:t>Tesco</w:t>
            </w:r>
          </w:p>
        </w:tc>
        <w:tc>
          <w:tcPr>
            <w:tcW w:w="3006" w:type="dxa"/>
          </w:tcPr>
          <w:p w14:paraId="3F7DB96B" w14:textId="77777777" w:rsidR="00B57B45" w:rsidRPr="00A91C5E" w:rsidRDefault="00B57B45" w:rsidP="002510E6">
            <w:pPr>
              <w:spacing w:line="360" w:lineRule="auto"/>
              <w:jc w:val="center"/>
              <w:rPr>
                <w:rFonts w:ascii="Arial" w:hAnsi="Arial" w:cs="Arial"/>
                <w:b/>
                <w:bCs/>
                <w:sz w:val="28"/>
                <w:szCs w:val="28"/>
              </w:rPr>
            </w:pPr>
            <w:r w:rsidRPr="00A91C5E">
              <w:rPr>
                <w:rFonts w:ascii="Arial" w:hAnsi="Arial" w:cs="Arial"/>
                <w:b/>
                <w:bCs/>
                <w:sz w:val="28"/>
                <w:szCs w:val="28"/>
              </w:rPr>
              <w:t>Lidl</w:t>
            </w:r>
          </w:p>
        </w:tc>
      </w:tr>
      <w:tr w:rsidR="00B57B45" w14:paraId="6C669F36" w14:textId="77777777" w:rsidTr="002510E6">
        <w:tc>
          <w:tcPr>
            <w:tcW w:w="3005" w:type="dxa"/>
          </w:tcPr>
          <w:p w14:paraId="70E7CE00" w14:textId="77777777" w:rsidR="00B57B45" w:rsidRPr="00A91C5E" w:rsidRDefault="00B57B45" w:rsidP="002510E6">
            <w:pPr>
              <w:spacing w:line="360" w:lineRule="auto"/>
              <w:rPr>
                <w:rFonts w:ascii="Arial" w:hAnsi="Arial" w:cs="Arial"/>
                <w:b/>
                <w:bCs/>
                <w:sz w:val="28"/>
                <w:szCs w:val="28"/>
              </w:rPr>
            </w:pPr>
            <w:proofErr w:type="spellStart"/>
            <w:r w:rsidRPr="00A91C5E">
              <w:rPr>
                <w:rFonts w:ascii="Arial" w:hAnsi="Arial" w:cs="Arial"/>
                <w:b/>
                <w:bCs/>
                <w:sz w:val="28"/>
                <w:szCs w:val="28"/>
              </w:rPr>
              <w:t>Oportunities</w:t>
            </w:r>
            <w:proofErr w:type="spellEnd"/>
          </w:p>
        </w:tc>
        <w:tc>
          <w:tcPr>
            <w:tcW w:w="3005" w:type="dxa"/>
          </w:tcPr>
          <w:p w14:paraId="07D6D6BB" w14:textId="77777777" w:rsidR="00B57B45" w:rsidRPr="00A91C5E" w:rsidRDefault="00B57B45" w:rsidP="002510E6">
            <w:pPr>
              <w:pStyle w:val="NormalWeb"/>
              <w:spacing w:line="360" w:lineRule="auto"/>
              <w:rPr>
                <w:rFonts w:ascii="Arial" w:hAnsi="Arial" w:cs="Arial"/>
              </w:rPr>
            </w:pPr>
            <w:r w:rsidRPr="00A91C5E">
              <w:rPr>
                <w:rFonts w:ascii="Arial" w:hAnsi="Arial" w:cs="Arial"/>
              </w:rPr>
              <w:t>Pioneers can introduce premium innovations during economic growth phases.</w:t>
            </w:r>
          </w:p>
          <w:p w14:paraId="57F879CE" w14:textId="77777777" w:rsidR="00B57B45" w:rsidRPr="00A91C5E" w:rsidRDefault="00B57B45" w:rsidP="002510E6">
            <w:pPr>
              <w:pStyle w:val="NormalWeb"/>
              <w:spacing w:line="360" w:lineRule="auto"/>
            </w:pPr>
          </w:p>
        </w:tc>
        <w:tc>
          <w:tcPr>
            <w:tcW w:w="3006" w:type="dxa"/>
          </w:tcPr>
          <w:p w14:paraId="7265C4AD" w14:textId="77777777" w:rsidR="00B57B45" w:rsidRPr="00A91C5E" w:rsidRDefault="00B57B45" w:rsidP="002510E6">
            <w:pPr>
              <w:pStyle w:val="NormalWeb"/>
              <w:spacing w:line="360" w:lineRule="auto"/>
              <w:rPr>
                <w:rFonts w:ascii="Arial" w:hAnsi="Arial" w:cs="Arial"/>
              </w:rPr>
            </w:pPr>
            <w:r w:rsidRPr="00A91C5E">
              <w:rPr>
                <w:rFonts w:ascii="Arial" w:hAnsi="Arial" w:cs="Arial"/>
              </w:rPr>
              <w:t xml:space="preserve">Followers like </w:t>
            </w:r>
            <w:r w:rsidRPr="00A91C5E">
              <w:rPr>
                <w:rStyle w:val="Strong"/>
                <w:rFonts w:ascii="Arial" w:eastAsiaTheme="majorEastAsia" w:hAnsi="Arial" w:cs="Arial"/>
                <w:b w:val="0"/>
                <w:bCs w:val="0"/>
              </w:rPr>
              <w:t>Lidl</w:t>
            </w:r>
            <w:r w:rsidRPr="00A91C5E">
              <w:rPr>
                <w:rFonts w:ascii="Arial" w:hAnsi="Arial" w:cs="Arial"/>
              </w:rPr>
              <w:t xml:space="preserve"> thrive during downturns by offering value-based pricing and lean operations (Hooley et al., 2024).</w:t>
            </w:r>
          </w:p>
          <w:p w14:paraId="45370FD1" w14:textId="77777777" w:rsidR="00B57B45" w:rsidRPr="00A91C5E" w:rsidRDefault="00B57B45" w:rsidP="002510E6">
            <w:pPr>
              <w:spacing w:line="360" w:lineRule="auto"/>
              <w:rPr>
                <w:sz w:val="24"/>
                <w:szCs w:val="24"/>
              </w:rPr>
            </w:pPr>
          </w:p>
        </w:tc>
      </w:tr>
      <w:tr w:rsidR="00B57B45" w14:paraId="2C41D4EE" w14:textId="77777777" w:rsidTr="002510E6">
        <w:tc>
          <w:tcPr>
            <w:tcW w:w="3005" w:type="dxa"/>
          </w:tcPr>
          <w:p w14:paraId="37F6D61A" w14:textId="77777777" w:rsidR="00B57B45" w:rsidRPr="00A91C5E" w:rsidRDefault="00B57B45" w:rsidP="002510E6">
            <w:pPr>
              <w:spacing w:line="360" w:lineRule="auto"/>
              <w:rPr>
                <w:rFonts w:ascii="Arial" w:hAnsi="Arial" w:cs="Arial"/>
                <w:b/>
                <w:bCs/>
                <w:sz w:val="28"/>
                <w:szCs w:val="28"/>
              </w:rPr>
            </w:pPr>
            <w:r w:rsidRPr="00A91C5E">
              <w:rPr>
                <w:rFonts w:ascii="Arial" w:hAnsi="Arial" w:cs="Arial"/>
                <w:b/>
                <w:bCs/>
                <w:sz w:val="28"/>
                <w:szCs w:val="28"/>
              </w:rPr>
              <w:t>Threats</w:t>
            </w:r>
          </w:p>
        </w:tc>
        <w:tc>
          <w:tcPr>
            <w:tcW w:w="3005" w:type="dxa"/>
          </w:tcPr>
          <w:p w14:paraId="1380641D" w14:textId="77777777" w:rsidR="00B57B45" w:rsidRPr="00A91C5E" w:rsidRDefault="00B57B45" w:rsidP="002510E6">
            <w:pPr>
              <w:spacing w:line="360" w:lineRule="auto"/>
              <w:rPr>
                <w:rFonts w:ascii="Arial" w:hAnsi="Arial" w:cs="Arial"/>
                <w:sz w:val="24"/>
                <w:szCs w:val="24"/>
              </w:rPr>
            </w:pPr>
            <w:r w:rsidRPr="00A91C5E">
              <w:rPr>
                <w:rFonts w:ascii="Arial" w:hAnsi="Arial" w:cs="Arial"/>
                <w:sz w:val="24"/>
                <w:szCs w:val="24"/>
              </w:rPr>
              <w:t>Economic downturns reduce demand for premium pioneer offerings.</w:t>
            </w:r>
          </w:p>
        </w:tc>
        <w:tc>
          <w:tcPr>
            <w:tcW w:w="3006" w:type="dxa"/>
          </w:tcPr>
          <w:p w14:paraId="3F8D56A5" w14:textId="77777777" w:rsidR="00B57B45" w:rsidRPr="00A91C5E" w:rsidRDefault="00B57B45" w:rsidP="002510E6">
            <w:pPr>
              <w:spacing w:line="360" w:lineRule="auto"/>
              <w:rPr>
                <w:rFonts w:ascii="Arial" w:hAnsi="Arial" w:cs="Arial"/>
                <w:sz w:val="24"/>
                <w:szCs w:val="24"/>
              </w:rPr>
            </w:pPr>
            <w:r w:rsidRPr="00A91C5E">
              <w:rPr>
                <w:rFonts w:ascii="Arial" w:hAnsi="Arial" w:cs="Arial"/>
                <w:sz w:val="24"/>
                <w:szCs w:val="24"/>
              </w:rPr>
              <w:t>Followers may struggle with cost pressures and supply chain volatility.</w:t>
            </w:r>
          </w:p>
        </w:tc>
      </w:tr>
    </w:tbl>
    <w:p w14:paraId="3879E8D8" w14:textId="77777777" w:rsidR="00506FC9" w:rsidRPr="00506FC9" w:rsidRDefault="00506FC9" w:rsidP="00506FC9">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In summary, economic forces present both opportunities and constraints depending on a firm’s strategic orientation. Pioneers like Tesco use economic upturns to innovate and expand, while followers like Lidl leverage downturns to consolidate market share. This interdependence highlights the cyclical nature of competition in retail: pioneering creates innovation that followers refine and democratise, ensuring market evolution continues across economic cycles.</w:t>
      </w:r>
    </w:p>
    <w:p w14:paraId="1DF5497B" w14:textId="77777777" w:rsidR="00506FC9" w:rsidRPr="00AB4DDC" w:rsidRDefault="00506FC9" w:rsidP="00AB4DDC">
      <w:pPr>
        <w:pStyle w:val="Heading2"/>
        <w:spacing w:line="360" w:lineRule="auto"/>
        <w:rPr>
          <w:rFonts w:ascii="Arial" w:eastAsia="Times New Roman" w:hAnsi="Arial" w:cs="Arial"/>
          <w:sz w:val="28"/>
          <w:szCs w:val="28"/>
          <w:lang w:eastAsia="en-GB"/>
        </w:rPr>
      </w:pPr>
      <w:bookmarkStart w:id="6" w:name="_Toc212143974"/>
      <w:r w:rsidRPr="00AB4DDC">
        <w:rPr>
          <w:rFonts w:ascii="Arial" w:eastAsia="Times New Roman" w:hAnsi="Arial" w:cs="Arial"/>
          <w:color w:val="auto"/>
          <w:sz w:val="28"/>
          <w:szCs w:val="28"/>
          <w:lang w:eastAsia="en-GB"/>
        </w:rPr>
        <w:t>Synthesis</w:t>
      </w:r>
      <w:bookmarkEnd w:id="6"/>
    </w:p>
    <w:p w14:paraId="2CDAA86B" w14:textId="6CEA9B0D" w:rsidR="00DC0BD2" w:rsidRPr="00B57B45" w:rsidRDefault="00506FC9" w:rsidP="00B57B45">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Technological and economic factors collectively shape the strategic responses of pioneer and follower organisations. Tesco’s pioneering strategy emphasises innovation, differentiation, and customer intimacy through technology and diversified product offerings. Lidl’s follower approach focuses on cost efficiency, selective innovation, and resilience in price-sensitive markets. Both strategies demonstrate how firms can interpret external environmental forces differently to achieve sustainable competitive advantage. As the marketing environment continues to evolve through digitalisation and economic uncertainty, adaptability and strategic </w:t>
      </w:r>
      <w:r w:rsidRPr="00506FC9">
        <w:rPr>
          <w:rFonts w:ascii="Arial" w:eastAsia="Times New Roman" w:hAnsi="Arial" w:cs="Arial"/>
          <w:sz w:val="24"/>
          <w:szCs w:val="24"/>
          <w:lang w:eastAsia="en-GB"/>
        </w:rPr>
        <w:lastRenderedPageBreak/>
        <w:t>foresight will remain critical to maintaining market relevance and long-term profitability</w:t>
      </w:r>
      <w:r w:rsidR="00B57B45">
        <w:rPr>
          <w:rFonts w:ascii="Arial" w:eastAsia="Times New Roman" w:hAnsi="Arial" w:cs="Arial"/>
          <w:sz w:val="24"/>
          <w:szCs w:val="24"/>
          <w:lang w:eastAsia="en-GB"/>
        </w:rPr>
        <w:t>.</w:t>
      </w:r>
    </w:p>
    <w:p w14:paraId="1C08A8E4" w14:textId="3C245D1B" w:rsidR="0037437B" w:rsidRPr="00B57B45" w:rsidRDefault="006B1E7A" w:rsidP="00B57B45">
      <w:pPr>
        <w:spacing w:line="360" w:lineRule="auto"/>
        <w:rPr>
          <w:rFonts w:ascii="Arial" w:hAnsi="Arial" w:cs="Arial"/>
          <w:sz w:val="24"/>
          <w:szCs w:val="24"/>
        </w:rPr>
      </w:pPr>
      <w:proofErr w:type="spellStart"/>
      <w:r w:rsidRPr="00114BA4">
        <w:rPr>
          <w:rFonts w:ascii="Arial" w:hAnsi="Arial" w:cs="Arial"/>
          <w:sz w:val="24"/>
          <w:szCs w:val="24"/>
        </w:rPr>
        <w:t>Kalicanin</w:t>
      </w:r>
      <w:proofErr w:type="spellEnd"/>
      <w:r w:rsidRPr="00114BA4">
        <w:rPr>
          <w:rFonts w:ascii="Arial" w:hAnsi="Arial" w:cs="Arial"/>
          <w:sz w:val="24"/>
          <w:szCs w:val="24"/>
        </w:rPr>
        <w:t xml:space="preserve"> (2008) argues that pioneers shape consumer expectations but face greater uncertainty, while followers benefit from strategic imitation.</w:t>
      </w:r>
    </w:p>
    <w:p w14:paraId="4E425B97" w14:textId="5941762F" w:rsidR="00F76EC1" w:rsidRDefault="0037437B" w:rsidP="00B57B45">
      <w:pPr>
        <w:pStyle w:val="Heading1"/>
        <w:rPr>
          <w:rFonts w:ascii="Arial" w:hAnsi="Arial" w:cs="Arial"/>
          <w:color w:val="auto"/>
        </w:rPr>
      </w:pPr>
      <w:bookmarkStart w:id="7" w:name="_Toc212143975"/>
      <w:r w:rsidRPr="00B57B45">
        <w:rPr>
          <w:rFonts w:ascii="Arial" w:hAnsi="Arial" w:cs="Arial"/>
          <w:color w:val="auto"/>
        </w:rPr>
        <w:t>Task 2</w:t>
      </w:r>
      <w:bookmarkEnd w:id="7"/>
    </w:p>
    <w:p w14:paraId="3F5FCD67" w14:textId="77777777" w:rsidR="00B57B45" w:rsidRPr="00B57B45" w:rsidRDefault="00B57B45" w:rsidP="00B57B45"/>
    <w:p w14:paraId="0CE85E6A" w14:textId="002329B0" w:rsidR="0037437B" w:rsidRDefault="00F76EC1" w:rsidP="00F76EC1">
      <w:pPr>
        <w:pStyle w:val="Heading2"/>
        <w:spacing w:line="360" w:lineRule="auto"/>
        <w:rPr>
          <w:b/>
          <w:bCs/>
        </w:rPr>
      </w:pPr>
      <w:bookmarkStart w:id="8" w:name="_Toc212143976"/>
      <w:r w:rsidRPr="00F76EC1">
        <w:rPr>
          <w:rFonts w:ascii="Arial" w:hAnsi="Arial" w:cs="Arial"/>
          <w:color w:val="auto"/>
          <w:sz w:val="28"/>
          <w:szCs w:val="28"/>
        </w:rPr>
        <w:t>Analysis for</w:t>
      </w:r>
      <w:r w:rsidRPr="00F76EC1">
        <w:rPr>
          <w:b/>
          <w:bCs/>
          <w:color w:val="auto"/>
        </w:rPr>
        <w:t xml:space="preserve"> </w:t>
      </w:r>
      <w:r w:rsidRPr="00F76EC1">
        <w:rPr>
          <w:rStyle w:val="Strong"/>
          <w:rFonts w:ascii="Arial" w:hAnsi="Arial" w:cs="Arial"/>
          <w:b w:val="0"/>
          <w:bCs w:val="0"/>
          <w:color w:val="auto"/>
          <w:sz w:val="28"/>
          <w:szCs w:val="28"/>
        </w:rPr>
        <w:t>Tesco and Lidl</w:t>
      </w:r>
      <w:r w:rsidRPr="00F76EC1">
        <w:rPr>
          <w:b/>
          <w:bCs/>
        </w:rPr>
        <w:t xml:space="preserve">, </w:t>
      </w:r>
      <w:r w:rsidRPr="00F76EC1">
        <w:rPr>
          <w:rStyle w:val="Strong"/>
          <w:rFonts w:ascii="Arial" w:hAnsi="Arial" w:cs="Arial"/>
          <w:b w:val="0"/>
          <w:bCs w:val="0"/>
          <w:color w:val="auto"/>
          <w:sz w:val="28"/>
          <w:szCs w:val="28"/>
        </w:rPr>
        <w:t>critically evaluation how pioneering and follower organisations strategically respond to the selected external factors to maintain competitiveness</w:t>
      </w:r>
      <w:r w:rsidRPr="00F76EC1">
        <w:rPr>
          <w:b/>
          <w:bCs/>
        </w:rPr>
        <w:t>.</w:t>
      </w:r>
      <w:bookmarkEnd w:id="8"/>
    </w:p>
    <w:p w14:paraId="650E4992"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Building on the analysis of technological and economic factors in Task 1, this section critically evaluates how pioneering and follower organisations strategically respond to these external influences to sustain competitiveness in the UK retail sector. Tesco represents a pioneer, characterised by early innovation and market leadership, while Lidl exemplifies a strategic follower, leveraging efficiency and cost-based positioning to compete effectively.</w:t>
      </w:r>
    </w:p>
    <w:p w14:paraId="702964BD" w14:textId="7F43FBFC" w:rsidR="00506FC9" w:rsidRPr="00506FC9" w:rsidRDefault="00506FC9" w:rsidP="00506FC9">
      <w:pPr>
        <w:spacing w:after="0" w:line="240" w:lineRule="auto"/>
        <w:rPr>
          <w:rFonts w:ascii="Times New Roman" w:eastAsia="Times New Roman" w:hAnsi="Times New Roman" w:cs="Times New Roman"/>
          <w:sz w:val="24"/>
          <w:szCs w:val="24"/>
          <w:lang w:eastAsia="en-GB"/>
        </w:rPr>
      </w:pPr>
    </w:p>
    <w:p w14:paraId="7F0AACC7" w14:textId="77777777" w:rsidR="00506FC9" w:rsidRPr="002F7ACA" w:rsidRDefault="00506FC9" w:rsidP="002F7ACA">
      <w:pPr>
        <w:pStyle w:val="Heading2"/>
        <w:rPr>
          <w:rFonts w:ascii="Arial" w:eastAsia="Times New Roman" w:hAnsi="Arial" w:cs="Arial"/>
          <w:color w:val="auto"/>
          <w:sz w:val="28"/>
          <w:szCs w:val="28"/>
          <w:lang w:eastAsia="en-GB"/>
        </w:rPr>
      </w:pPr>
      <w:bookmarkStart w:id="9" w:name="_Toc212143977"/>
      <w:r w:rsidRPr="002F7ACA">
        <w:rPr>
          <w:rFonts w:ascii="Arial" w:eastAsia="Times New Roman" w:hAnsi="Arial" w:cs="Arial"/>
          <w:color w:val="auto"/>
          <w:sz w:val="28"/>
          <w:szCs w:val="28"/>
          <w:lang w:eastAsia="en-GB"/>
        </w:rPr>
        <w:t>Technological Responses and Competitive Strategy</w:t>
      </w:r>
      <w:bookmarkEnd w:id="9"/>
    </w:p>
    <w:p w14:paraId="579353E4"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Technological advancement remains a critical determinant of competitive advantage in retail, shaping customer experience, operations, and value delivery. Pioneers such as Tesco adopt proactive technological innovation to differentiate themselves through superior customer engagement and operational intelligence. Tesco’s early investment in online grocery retailing and the Clubcard loyalty programme demonstrated how technology could transform data into insight, establishing an enduring relationship with customers (Kotler, Armstrong and Balasubramanian, 2024). More recently, Tesco has implemented AI-driven demand forecasting and automated supply-chain systems to reduce waste and increase responsiveness (Gupta, 2024). This reflects the application of Porter’s differentiation strategy, where innovation becomes a source of sustained value creation.</w:t>
      </w:r>
    </w:p>
    <w:p w14:paraId="4A062692" w14:textId="57694135"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lastRenderedPageBreak/>
        <w:t xml:space="preserve">However, pioneering also introduces risk. As </w:t>
      </w:r>
      <w:proofErr w:type="spellStart"/>
      <w:r w:rsidRPr="00506FC9">
        <w:rPr>
          <w:rFonts w:ascii="Arial" w:eastAsia="Times New Roman" w:hAnsi="Arial" w:cs="Arial"/>
          <w:sz w:val="24"/>
          <w:szCs w:val="24"/>
          <w:lang w:eastAsia="en-GB"/>
        </w:rPr>
        <w:t>Kalicanin</w:t>
      </w:r>
      <w:proofErr w:type="spellEnd"/>
      <w:r w:rsidRPr="00506FC9">
        <w:rPr>
          <w:rFonts w:ascii="Arial" w:eastAsia="Times New Roman" w:hAnsi="Arial" w:cs="Arial"/>
          <w:sz w:val="24"/>
          <w:szCs w:val="24"/>
          <w:lang w:eastAsia="en-GB"/>
        </w:rPr>
        <w:t xml:space="preserve"> (2008) notes, pioneers often face uncertainty and high sunk costs when technologies become obsolete. Tesco’s need for continuous technological reinvestment</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such as the integration of digital self-service, cloud logistics, and omnichannel platforms</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illustrates this vulnerability.</w:t>
      </w:r>
    </w:p>
    <w:p w14:paraId="69029996"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In contrast, Lidl’s follower strategy emphasises strategic imitation and cost efficiency. The company carefully observes market trends and selectively implements technologies once their commercial viability is proven (Jobber and Ellis-Chadwick, 2023). The Lidl Plus app, introduced years after Tesco’s Clubcard, capitalised on consumer readiness for digital loyalty tools while minimising R&amp;D costs. This mirrors the concept of second-mover advantage (Lieberman and Montgomery, 1988), where followers exploit the pioneers’ learning curve to achieve comparable results with lower risk.</w:t>
      </w:r>
    </w:p>
    <w:p w14:paraId="23CAF493"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Lidl also applies technology to optimise logistics and inventory management, deploying data-driven forecasting to maintain lean operations. This reinforces its cost-leadership positioning (Hooley et al., 2024). Yet, over-reliance on imitation limits Lidl’s ability to shape market trends or strengthen brand differentiation. As Drummond et al. (2007) argue, followers must eventually transition from adaptation to innovation to avoid strategic stagnation.</w:t>
      </w:r>
    </w:p>
    <w:p w14:paraId="3C156027"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Both firms, however, face common technological pressures: the acceleration of digital commerce, cybersecurity threats, and evolving consumer expectations for sustainability and convenience. Effective strategic response thus requires continuous alignment between technological adoption and customer value creation, supported by long-term investment in organisational learning and digital capability.</w:t>
      </w:r>
    </w:p>
    <w:p w14:paraId="1B168D37" w14:textId="746D50E8" w:rsidR="00506FC9" w:rsidRPr="00506FC9" w:rsidRDefault="00506FC9" w:rsidP="00506FC9">
      <w:pPr>
        <w:spacing w:after="0" w:line="240" w:lineRule="auto"/>
        <w:rPr>
          <w:rFonts w:ascii="Times New Roman" w:eastAsia="Times New Roman" w:hAnsi="Times New Roman" w:cs="Times New Roman"/>
          <w:sz w:val="24"/>
          <w:szCs w:val="24"/>
          <w:lang w:eastAsia="en-GB"/>
        </w:rPr>
      </w:pPr>
    </w:p>
    <w:p w14:paraId="4B3430AD" w14:textId="77777777" w:rsidR="00506FC9" w:rsidRPr="002F7ACA" w:rsidRDefault="00506FC9" w:rsidP="002F7ACA">
      <w:pPr>
        <w:pStyle w:val="Heading2"/>
        <w:spacing w:line="360" w:lineRule="auto"/>
        <w:rPr>
          <w:rFonts w:ascii="Arial" w:eastAsia="Times New Roman" w:hAnsi="Arial" w:cs="Arial"/>
          <w:color w:val="auto"/>
          <w:sz w:val="28"/>
          <w:szCs w:val="28"/>
          <w:lang w:eastAsia="en-GB"/>
        </w:rPr>
      </w:pPr>
      <w:bookmarkStart w:id="10" w:name="_Toc212143978"/>
      <w:r w:rsidRPr="002F7ACA">
        <w:rPr>
          <w:rFonts w:ascii="Arial" w:eastAsia="Times New Roman" w:hAnsi="Arial" w:cs="Arial"/>
          <w:color w:val="auto"/>
          <w:sz w:val="28"/>
          <w:szCs w:val="28"/>
          <w:lang w:eastAsia="en-GB"/>
        </w:rPr>
        <w:t>Strategic Responses to Economic Change</w:t>
      </w:r>
      <w:bookmarkEnd w:id="10"/>
    </w:p>
    <w:p w14:paraId="2C3C3171"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Economic fluctuations, including inflation, recession, and shifts in disposable income, significantly influence consumer spending and strategic marketing choices. Tesco’s </w:t>
      </w:r>
      <w:r w:rsidRPr="00D62BEA">
        <w:rPr>
          <w:rFonts w:ascii="Arial" w:eastAsia="Times New Roman" w:hAnsi="Arial" w:cs="Arial"/>
          <w:sz w:val="24"/>
          <w:szCs w:val="24"/>
          <w:lang w:eastAsia="en-GB"/>
        </w:rPr>
        <w:t>pioneering strategy</w:t>
      </w:r>
      <w:r w:rsidRPr="00506FC9">
        <w:rPr>
          <w:rFonts w:ascii="Arial" w:eastAsia="Times New Roman" w:hAnsi="Arial" w:cs="Arial"/>
          <w:sz w:val="24"/>
          <w:szCs w:val="24"/>
          <w:lang w:eastAsia="en-GB"/>
        </w:rPr>
        <w:t xml:space="preserve"> is characterised by adaptability across economic cycles. During periods of expansion, it launches </w:t>
      </w:r>
      <w:r w:rsidRPr="00D62BEA">
        <w:rPr>
          <w:rFonts w:ascii="Arial" w:eastAsia="Times New Roman" w:hAnsi="Arial" w:cs="Arial"/>
          <w:sz w:val="24"/>
          <w:szCs w:val="24"/>
          <w:lang w:eastAsia="en-GB"/>
        </w:rPr>
        <w:t>premium ranges</w:t>
      </w:r>
      <w:r w:rsidRPr="00506FC9">
        <w:rPr>
          <w:rFonts w:ascii="Arial" w:eastAsia="Times New Roman" w:hAnsi="Arial" w:cs="Arial"/>
          <w:sz w:val="24"/>
          <w:szCs w:val="24"/>
          <w:lang w:eastAsia="en-GB"/>
        </w:rPr>
        <w:t xml:space="preserve"> (e.g. Tesco Finest) and experiential retail initiatives to target higher-income segments (Hooley et al., 2024). </w:t>
      </w:r>
      <w:r w:rsidRPr="00506FC9">
        <w:rPr>
          <w:rFonts w:ascii="Arial" w:eastAsia="Times New Roman" w:hAnsi="Arial" w:cs="Arial"/>
          <w:sz w:val="24"/>
          <w:szCs w:val="24"/>
          <w:lang w:eastAsia="en-GB"/>
        </w:rPr>
        <w:lastRenderedPageBreak/>
        <w:t xml:space="preserve">In downturns, Tesco uses its scale advantage to pursue </w:t>
      </w:r>
      <w:r w:rsidRPr="00140164">
        <w:rPr>
          <w:rFonts w:ascii="Arial" w:eastAsia="Times New Roman" w:hAnsi="Arial" w:cs="Arial"/>
          <w:sz w:val="24"/>
          <w:szCs w:val="24"/>
          <w:lang w:eastAsia="en-GB"/>
        </w:rPr>
        <w:t>hybrid positioning</w:t>
      </w:r>
      <w:r w:rsidRPr="00506FC9">
        <w:rPr>
          <w:rFonts w:ascii="Arial" w:eastAsia="Times New Roman" w:hAnsi="Arial" w:cs="Arial"/>
          <w:sz w:val="24"/>
          <w:szCs w:val="24"/>
          <w:lang w:eastAsia="en-GB"/>
        </w:rPr>
        <w:t xml:space="preserve">, balancing quality with affordability through loyalty promotions and flexible pricing (McKinsey &amp; Company, 2022). This dual approach reflects the </w:t>
      </w:r>
      <w:r w:rsidRPr="00140164">
        <w:rPr>
          <w:rFonts w:ascii="Arial" w:eastAsia="Times New Roman" w:hAnsi="Arial" w:cs="Arial"/>
          <w:sz w:val="24"/>
          <w:szCs w:val="24"/>
          <w:lang w:eastAsia="en-GB"/>
        </w:rPr>
        <w:t>Ansoff Matrix’s</w:t>
      </w:r>
      <w:r w:rsidRPr="00506FC9">
        <w:rPr>
          <w:rFonts w:ascii="Arial" w:eastAsia="Times New Roman" w:hAnsi="Arial" w:cs="Arial"/>
          <w:sz w:val="24"/>
          <w:szCs w:val="24"/>
          <w:lang w:eastAsia="en-GB"/>
        </w:rPr>
        <w:t xml:space="preserve"> product-development and market-penetration strategies, allowing Tesco to retain customer loyalty while defending market share.</w:t>
      </w:r>
    </w:p>
    <w:p w14:paraId="1C4198AA" w14:textId="5B8B5E2C"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Nevertheless, Tesco’s large operational footprint exposes it to macroeconomic volatility. Inflationary pressures and high energy costs can erode profit margins, forcing the company to rationalise operations. Hooley et al. (2024) suggest that strategic resilience in such contexts requires leveraging economies of scale while maintaining cost discipline</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something Tesco achieves through its integrated supply-chain partnerships.</w:t>
      </w:r>
    </w:p>
    <w:p w14:paraId="1B8A78B8" w14:textId="73FD7E65"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Lidl, by contrast, thrives in economically constrained environments. Its value-oriented model</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based on private labels, limited product assortments, and efficient supply chains</w:t>
      </w:r>
      <w:r w:rsidR="002F7ACA">
        <w:rPr>
          <w:rFonts w:ascii="Arial" w:eastAsia="Times New Roman" w:hAnsi="Arial" w:cs="Arial"/>
          <w:sz w:val="24"/>
          <w:szCs w:val="24"/>
          <w:lang w:eastAsia="en-GB"/>
        </w:rPr>
        <w:t xml:space="preserve">, </w:t>
      </w:r>
      <w:r w:rsidRPr="00506FC9">
        <w:rPr>
          <w:rFonts w:ascii="Arial" w:eastAsia="Times New Roman" w:hAnsi="Arial" w:cs="Arial"/>
          <w:sz w:val="24"/>
          <w:szCs w:val="24"/>
          <w:lang w:eastAsia="en-GB"/>
        </w:rPr>
        <w:t>aligns with consumers’ pursuit of affordability during downturns (Retail Economics, 2025). This is consistent with Porter’s cost-leadership framework, enabling Lidl to expand market share as consumers trade down from premium brands. During the UK cost-of-living crisis, Lidl reported double-digit growth, demonstrating its agility in capitalising on economic adversity (</w:t>
      </w:r>
      <w:proofErr w:type="spellStart"/>
      <w:r w:rsidRPr="00506FC9">
        <w:rPr>
          <w:rFonts w:ascii="Arial" w:eastAsia="Times New Roman" w:hAnsi="Arial" w:cs="Arial"/>
          <w:sz w:val="24"/>
          <w:szCs w:val="24"/>
          <w:lang w:eastAsia="en-GB"/>
        </w:rPr>
        <w:t>Czinkota</w:t>
      </w:r>
      <w:proofErr w:type="spellEnd"/>
      <w:r w:rsidRPr="00506FC9">
        <w:rPr>
          <w:rFonts w:ascii="Arial" w:eastAsia="Times New Roman" w:hAnsi="Arial" w:cs="Arial"/>
          <w:sz w:val="24"/>
          <w:szCs w:val="24"/>
          <w:lang w:eastAsia="en-GB"/>
        </w:rPr>
        <w:t xml:space="preserve"> et al., 2023).</w:t>
      </w:r>
    </w:p>
    <w:p w14:paraId="2A45DED8"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However, Lidl’s reliance on low-cost operations makes it vulnerable to supply-chain disruptions and inflation-driven input costs. To counter this, Lidl increasingly integrates technology into procurement and distribution, achieving efficiency gains that offset external pressures. Still, limited diversification and brand perception as a discount retailer may restrict its ability to attract higher-income consumers once economic conditions improve.</w:t>
      </w:r>
    </w:p>
    <w:p w14:paraId="5582E08E"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Both firms exemplify strategic agility, adjusting resource allocation, pricing, and marketing communication to reflect economic realities. The key difference lies in strategic intent: Tesco focuses on value creation through innovation and brand equity, while Lidl pursues value extraction through efficiency and scalability.</w:t>
      </w:r>
    </w:p>
    <w:p w14:paraId="18ED8A7E" w14:textId="7364FBBB" w:rsidR="00506FC9" w:rsidRPr="00506FC9" w:rsidRDefault="00506FC9" w:rsidP="002F7ACA">
      <w:pPr>
        <w:spacing w:after="0" w:line="360" w:lineRule="auto"/>
        <w:rPr>
          <w:rFonts w:ascii="Times New Roman" w:eastAsia="Times New Roman" w:hAnsi="Times New Roman" w:cs="Times New Roman"/>
          <w:sz w:val="24"/>
          <w:szCs w:val="24"/>
          <w:lang w:eastAsia="en-GB"/>
        </w:rPr>
      </w:pPr>
    </w:p>
    <w:p w14:paraId="6BE6D49E" w14:textId="77777777" w:rsidR="00506FC9" w:rsidRPr="002F7ACA" w:rsidRDefault="00506FC9" w:rsidP="002F7ACA">
      <w:pPr>
        <w:pStyle w:val="Heading2"/>
        <w:spacing w:line="360" w:lineRule="auto"/>
        <w:rPr>
          <w:rFonts w:ascii="Arial" w:eastAsia="Times New Roman" w:hAnsi="Arial" w:cs="Arial"/>
          <w:color w:val="auto"/>
          <w:sz w:val="28"/>
          <w:szCs w:val="28"/>
          <w:lang w:eastAsia="en-GB"/>
        </w:rPr>
      </w:pPr>
      <w:bookmarkStart w:id="11" w:name="_Toc212143979"/>
      <w:r w:rsidRPr="002F7ACA">
        <w:rPr>
          <w:rFonts w:ascii="Arial" w:eastAsia="Times New Roman" w:hAnsi="Arial" w:cs="Arial"/>
          <w:color w:val="auto"/>
          <w:sz w:val="28"/>
          <w:szCs w:val="28"/>
          <w:lang w:eastAsia="en-GB"/>
        </w:rPr>
        <w:lastRenderedPageBreak/>
        <w:t>Comparative Evaluation</w:t>
      </w:r>
      <w:bookmarkEnd w:id="11"/>
    </w:p>
    <w:p w14:paraId="1177B13B"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The contrasting responses of Tesco and Lidl illustrate the strategic duality between pioneers and followers in navigating external macro-environmental forces. Tesco’s approach embodies innovation-driven differentiation, underpinned by continual investment in technology and adaptive pricing mechanisms. Lidl’s strategy exemplifies value-driven imitation, emphasising operational excellence and affordability.</w:t>
      </w:r>
    </w:p>
    <w:p w14:paraId="37D6D36A" w14:textId="77777777" w:rsidR="00506FC9" w:rsidRPr="00506FC9" w:rsidRDefault="00506FC9" w:rsidP="002F7ACA">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 xml:space="preserve">Critically, both strategies are effective within their respective competitive logics. Tesco’s pioneering delivers long-term brand equity but requires high financial commitment and carries greater risk. Lidl’s follower model ensures resilience and cost control but constrains its ability to lead innovation. As </w:t>
      </w:r>
      <w:proofErr w:type="spellStart"/>
      <w:r w:rsidRPr="00506FC9">
        <w:rPr>
          <w:rFonts w:ascii="Arial" w:eastAsia="Times New Roman" w:hAnsi="Arial" w:cs="Arial"/>
          <w:sz w:val="24"/>
          <w:szCs w:val="24"/>
          <w:lang w:eastAsia="en-GB"/>
        </w:rPr>
        <w:t>Samanta</w:t>
      </w:r>
      <w:proofErr w:type="spellEnd"/>
      <w:r w:rsidRPr="00506FC9">
        <w:rPr>
          <w:rFonts w:ascii="Arial" w:eastAsia="Times New Roman" w:hAnsi="Arial" w:cs="Arial"/>
          <w:sz w:val="24"/>
          <w:szCs w:val="24"/>
          <w:lang w:eastAsia="en-GB"/>
        </w:rPr>
        <w:t xml:space="preserve"> and Chaudhuri (2014) observe, sustainable competitiveness in volatile environments depends on an organisation’s capacity to balance innovation with efficiency.</w:t>
      </w:r>
    </w:p>
    <w:p w14:paraId="5E1EC41F" w14:textId="3678B084" w:rsidR="00A91C5E" w:rsidRDefault="00506FC9" w:rsidP="00395B65">
      <w:pPr>
        <w:spacing w:before="100" w:beforeAutospacing="1" w:after="100" w:afterAutospacing="1" w:line="360" w:lineRule="auto"/>
        <w:rPr>
          <w:rFonts w:ascii="Arial" w:eastAsia="Times New Roman" w:hAnsi="Arial" w:cs="Arial"/>
          <w:sz w:val="24"/>
          <w:szCs w:val="24"/>
          <w:lang w:eastAsia="en-GB"/>
        </w:rPr>
      </w:pPr>
      <w:r w:rsidRPr="00506FC9">
        <w:rPr>
          <w:rFonts w:ascii="Arial" w:eastAsia="Times New Roman" w:hAnsi="Arial" w:cs="Arial"/>
          <w:sz w:val="24"/>
          <w:szCs w:val="24"/>
          <w:lang w:eastAsia="en-GB"/>
        </w:rPr>
        <w:t>Ultimately, successful strategic response in the retail industry depends not on whether a firm is a pioneer or a follower, but on how effectively it aligns technological and economic strategies with customer expectations and market realities. Tesco’s and Lidl’s contrasting yet complementary approaches exemplify two viable pathways to achieving and sustaining competitive advantage in a continuously evolving marketing environment.</w:t>
      </w:r>
    </w:p>
    <w:p w14:paraId="4F188E45" w14:textId="1DE5E741" w:rsidR="00395B65" w:rsidRDefault="00395B65" w:rsidP="00395B65">
      <w:pPr>
        <w:pStyle w:val="Heading1"/>
        <w:spacing w:line="360" w:lineRule="auto"/>
        <w:rPr>
          <w:rFonts w:ascii="Arial" w:eastAsia="Times New Roman" w:hAnsi="Arial" w:cs="Arial"/>
          <w:color w:val="auto"/>
          <w:lang w:eastAsia="en-GB"/>
        </w:rPr>
      </w:pPr>
      <w:bookmarkStart w:id="12" w:name="_Toc212143980"/>
      <w:r w:rsidRPr="00395B65">
        <w:rPr>
          <w:rFonts w:ascii="Arial" w:eastAsia="Times New Roman" w:hAnsi="Arial" w:cs="Arial"/>
          <w:color w:val="auto"/>
          <w:lang w:eastAsia="en-GB"/>
        </w:rPr>
        <w:t>Conclusion</w:t>
      </w:r>
      <w:bookmarkEnd w:id="12"/>
    </w:p>
    <w:p w14:paraId="17E57C63" w14:textId="04EEFD3B" w:rsidR="00395B65" w:rsidRPr="00395B65" w:rsidRDefault="00395B65" w:rsidP="00395B65">
      <w:pPr>
        <w:spacing w:line="360" w:lineRule="auto"/>
        <w:rPr>
          <w:rFonts w:ascii="Arial" w:hAnsi="Arial" w:cs="Arial"/>
          <w:sz w:val="24"/>
          <w:szCs w:val="24"/>
          <w:lang w:eastAsia="en-GB"/>
        </w:rPr>
      </w:pPr>
      <w:r w:rsidRPr="00395B65">
        <w:rPr>
          <w:rFonts w:ascii="Arial" w:hAnsi="Arial" w:cs="Arial"/>
          <w:sz w:val="24"/>
          <w:szCs w:val="24"/>
        </w:rPr>
        <w:t>In conclusion, Tesco and Lidl demonstrate how pioneering and follower strategies can both lead to competitive success when aligned with macro-environmental factors. Tesco’s innovation-driven approach leverages technology and premium offerings to build brand equity, while Lidl’s cost-focused model thrives on efficiency and adaptability during economic uncertainty. By responding strategically to technological and economic changes, both retailers sustain relevance and resilience in a dynamic market landscape.</w:t>
      </w:r>
    </w:p>
    <w:p w14:paraId="3E9C1CCF" w14:textId="060A0772" w:rsidR="00395B65" w:rsidRDefault="00395B65" w:rsidP="00395B65">
      <w:pPr>
        <w:rPr>
          <w:lang w:eastAsia="en-GB"/>
        </w:rPr>
      </w:pPr>
    </w:p>
    <w:p w14:paraId="49CC5683" w14:textId="3F1FBEF9" w:rsidR="00395B65" w:rsidRDefault="00395B65" w:rsidP="00395B65">
      <w:pPr>
        <w:rPr>
          <w:lang w:eastAsia="en-GB"/>
        </w:rPr>
      </w:pPr>
    </w:p>
    <w:p w14:paraId="292C1EDC" w14:textId="77777777" w:rsidR="00395B65" w:rsidRPr="00395B65" w:rsidRDefault="00395B65" w:rsidP="00395B65">
      <w:pPr>
        <w:rPr>
          <w:lang w:eastAsia="en-GB"/>
        </w:rPr>
      </w:pPr>
    </w:p>
    <w:p w14:paraId="08C53363" w14:textId="605F8330" w:rsidR="00A91C5E" w:rsidRPr="00395B65" w:rsidRDefault="00A91C5E" w:rsidP="00395B65">
      <w:pPr>
        <w:pStyle w:val="Heading1"/>
        <w:spacing w:line="360" w:lineRule="auto"/>
        <w:rPr>
          <w:rFonts w:ascii="Arial" w:hAnsi="Arial" w:cs="Arial"/>
          <w:color w:val="auto"/>
        </w:rPr>
      </w:pPr>
      <w:bookmarkStart w:id="13" w:name="_Toc212143981"/>
      <w:r w:rsidRPr="00395B65">
        <w:rPr>
          <w:rFonts w:ascii="Arial" w:hAnsi="Arial" w:cs="Arial"/>
          <w:color w:val="auto"/>
        </w:rPr>
        <w:lastRenderedPageBreak/>
        <w:t>Referencing list</w:t>
      </w:r>
      <w:bookmarkEnd w:id="13"/>
    </w:p>
    <w:p w14:paraId="0593D324" w14:textId="20F224C5" w:rsidR="00D44969" w:rsidRPr="00D44969" w:rsidRDefault="00D44969" w:rsidP="00D44969">
      <w:pPr>
        <w:pStyle w:val="NormalWeb"/>
        <w:numPr>
          <w:ilvl w:val="0"/>
          <w:numId w:val="9"/>
        </w:numPr>
        <w:spacing w:line="360" w:lineRule="auto"/>
        <w:rPr>
          <w:rFonts w:ascii="Arial" w:hAnsi="Arial" w:cs="Arial"/>
        </w:rPr>
      </w:pPr>
      <w:proofErr w:type="spellStart"/>
      <w:r w:rsidRPr="00D44969">
        <w:rPr>
          <w:rFonts w:ascii="Arial" w:hAnsi="Arial" w:cs="Arial"/>
        </w:rPr>
        <w:t>Bhasin</w:t>
      </w:r>
      <w:proofErr w:type="spellEnd"/>
      <w:r w:rsidRPr="00D44969">
        <w:rPr>
          <w:rFonts w:ascii="Arial" w:hAnsi="Arial" w:cs="Arial"/>
        </w:rPr>
        <w:t xml:space="preserve">, H. (2024) </w:t>
      </w:r>
      <w:r w:rsidRPr="00D44969">
        <w:rPr>
          <w:rStyle w:val="Emphasis"/>
          <w:rFonts w:ascii="Arial" w:eastAsiaTheme="majorEastAsia" w:hAnsi="Arial" w:cs="Arial"/>
        </w:rPr>
        <w:t>Marketing mix of LIDL and 7Ps</w:t>
      </w:r>
      <w:r w:rsidRPr="00D44969">
        <w:rPr>
          <w:rFonts w:ascii="Arial" w:hAnsi="Arial" w:cs="Arial"/>
        </w:rPr>
        <w:t xml:space="preserve">. Available at: </w:t>
      </w:r>
      <w:hyperlink r:id="rId9" w:history="1">
        <w:r w:rsidRPr="00D44969">
          <w:rPr>
            <w:rStyle w:val="Hyperlink"/>
            <w:rFonts w:ascii="Arial" w:hAnsi="Arial" w:cs="Arial"/>
          </w:rPr>
          <w:t>https://www.marketing91.com/marketing-mix-of-lidl/</w:t>
        </w:r>
      </w:hyperlink>
      <w:r w:rsidRPr="00D44969">
        <w:rPr>
          <w:rFonts w:ascii="Arial" w:hAnsi="Arial" w:cs="Arial"/>
        </w:rPr>
        <w:t xml:space="preserve"> (Accessed: 23 October 2025).</w:t>
      </w:r>
    </w:p>
    <w:p w14:paraId="1317CE65" w14:textId="6AA438E0"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Cripps LLP (2025) </w:t>
      </w:r>
      <w:r w:rsidRPr="00D44969">
        <w:rPr>
          <w:rStyle w:val="Emphasis"/>
          <w:rFonts w:ascii="Arial" w:eastAsiaTheme="majorEastAsia" w:hAnsi="Arial" w:cs="Arial"/>
        </w:rPr>
        <w:t>The evolution of retail: How technology is transforming the retail industry</w:t>
      </w:r>
      <w:r w:rsidRPr="00D44969">
        <w:rPr>
          <w:rFonts w:ascii="Arial" w:hAnsi="Arial" w:cs="Arial"/>
        </w:rPr>
        <w:t xml:space="preserve">. Available at: </w:t>
      </w:r>
      <w:hyperlink r:id="rId10" w:history="1">
        <w:r w:rsidRPr="00D44969">
          <w:rPr>
            <w:rStyle w:val="Hyperlink"/>
            <w:rFonts w:ascii="Arial" w:hAnsi="Arial" w:cs="Arial"/>
          </w:rPr>
          <w:t>https://www.cripps.co.uk/thinking/the-evolution-of-retail-how-technology-is-transforming-the-retail-industry/</w:t>
        </w:r>
      </w:hyperlink>
      <w:r w:rsidRPr="00D44969">
        <w:rPr>
          <w:rFonts w:ascii="Arial" w:hAnsi="Arial" w:cs="Arial"/>
        </w:rPr>
        <w:t xml:space="preserve"> (Accessed: 23 October 2025).</w:t>
      </w:r>
    </w:p>
    <w:p w14:paraId="1355A2A8" w14:textId="77777777" w:rsidR="00D44969" w:rsidRPr="00D44969" w:rsidRDefault="00D44969" w:rsidP="00D44969">
      <w:pPr>
        <w:pStyle w:val="NormalWeb"/>
        <w:numPr>
          <w:ilvl w:val="0"/>
          <w:numId w:val="9"/>
        </w:numPr>
        <w:spacing w:line="360" w:lineRule="auto"/>
        <w:rPr>
          <w:rFonts w:ascii="Arial" w:hAnsi="Arial" w:cs="Arial"/>
        </w:rPr>
      </w:pPr>
      <w:proofErr w:type="spellStart"/>
      <w:r w:rsidRPr="00D44969">
        <w:rPr>
          <w:rFonts w:ascii="Arial" w:hAnsi="Arial" w:cs="Arial"/>
        </w:rPr>
        <w:t>Czinkota</w:t>
      </w:r>
      <w:proofErr w:type="spellEnd"/>
      <w:r w:rsidRPr="00D44969">
        <w:rPr>
          <w:rFonts w:ascii="Arial" w:hAnsi="Arial" w:cs="Arial"/>
        </w:rPr>
        <w:t xml:space="preserve">, M.R., </w:t>
      </w:r>
      <w:proofErr w:type="spellStart"/>
      <w:r w:rsidRPr="00D44969">
        <w:rPr>
          <w:rFonts w:ascii="Arial" w:hAnsi="Arial" w:cs="Arial"/>
        </w:rPr>
        <w:t>Ronkainen</w:t>
      </w:r>
      <w:proofErr w:type="spellEnd"/>
      <w:r w:rsidRPr="00D44969">
        <w:rPr>
          <w:rFonts w:ascii="Arial" w:hAnsi="Arial" w:cs="Arial"/>
        </w:rPr>
        <w:t xml:space="preserve">, I.A. and Sui, A.P. (2023) </w:t>
      </w:r>
      <w:r w:rsidRPr="00D44969">
        <w:rPr>
          <w:rStyle w:val="Emphasis"/>
          <w:rFonts w:ascii="Arial" w:eastAsiaTheme="majorEastAsia" w:hAnsi="Arial" w:cs="Arial"/>
        </w:rPr>
        <w:t>International marketing</w:t>
      </w:r>
      <w:r w:rsidRPr="00D44969">
        <w:rPr>
          <w:rFonts w:ascii="Arial" w:hAnsi="Arial" w:cs="Arial"/>
        </w:rPr>
        <w:t xml:space="preserve">. 11th </w:t>
      </w:r>
      <w:proofErr w:type="spellStart"/>
      <w:r w:rsidRPr="00D44969">
        <w:rPr>
          <w:rFonts w:ascii="Arial" w:hAnsi="Arial" w:cs="Arial"/>
        </w:rPr>
        <w:t>edn</w:t>
      </w:r>
      <w:proofErr w:type="spellEnd"/>
      <w:r w:rsidRPr="00D44969">
        <w:rPr>
          <w:rFonts w:ascii="Arial" w:hAnsi="Arial" w:cs="Arial"/>
        </w:rPr>
        <w:t>. Boston, MA: Cengage.</w:t>
      </w:r>
    </w:p>
    <w:p w14:paraId="574DAFB7" w14:textId="77777777"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Drummond, G., Ensor, J. and Ashford, R. (2007) </w:t>
      </w:r>
      <w:r w:rsidRPr="00D44969">
        <w:rPr>
          <w:rStyle w:val="Emphasis"/>
          <w:rFonts w:ascii="Arial" w:eastAsiaTheme="majorEastAsia" w:hAnsi="Arial" w:cs="Arial"/>
        </w:rPr>
        <w:t>Strategic marketing: Planning and control</w:t>
      </w:r>
      <w:r w:rsidRPr="00D44969">
        <w:rPr>
          <w:rFonts w:ascii="Arial" w:hAnsi="Arial" w:cs="Arial"/>
        </w:rPr>
        <w:t xml:space="preserve">. 3rd </w:t>
      </w:r>
      <w:proofErr w:type="spellStart"/>
      <w:r w:rsidRPr="00D44969">
        <w:rPr>
          <w:rFonts w:ascii="Arial" w:hAnsi="Arial" w:cs="Arial"/>
        </w:rPr>
        <w:t>edn</w:t>
      </w:r>
      <w:proofErr w:type="spellEnd"/>
      <w:r w:rsidRPr="00D44969">
        <w:rPr>
          <w:rFonts w:ascii="Arial" w:hAnsi="Arial" w:cs="Arial"/>
        </w:rPr>
        <w:t>. London: Routledge.</w:t>
      </w:r>
    </w:p>
    <w:p w14:paraId="5A5AF185" w14:textId="3A40BD83"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Gupta, S. (2024) ‘Tesco’s success: Innovation, strategy and market leadership’, </w:t>
      </w:r>
      <w:r w:rsidRPr="00D44969">
        <w:rPr>
          <w:rStyle w:val="Emphasis"/>
          <w:rFonts w:ascii="Arial" w:eastAsiaTheme="majorEastAsia" w:hAnsi="Arial" w:cs="Arial"/>
        </w:rPr>
        <w:t>Grocery Doppio</w:t>
      </w:r>
      <w:r w:rsidRPr="00D44969">
        <w:rPr>
          <w:rFonts w:ascii="Arial" w:hAnsi="Arial" w:cs="Arial"/>
        </w:rPr>
        <w:t xml:space="preserve">. Available at: </w:t>
      </w:r>
      <w:hyperlink r:id="rId11" w:history="1">
        <w:r w:rsidRPr="00D44969">
          <w:rPr>
            <w:rStyle w:val="Hyperlink"/>
            <w:rFonts w:ascii="Arial" w:hAnsi="Arial" w:cs="Arial"/>
          </w:rPr>
          <w:t>https://www.grocerydoppio.com/articles/tesco-the-pillars-of-success-and-market-leadership</w:t>
        </w:r>
      </w:hyperlink>
      <w:r w:rsidRPr="00D44969">
        <w:rPr>
          <w:rFonts w:ascii="Arial" w:hAnsi="Arial" w:cs="Arial"/>
        </w:rPr>
        <w:t xml:space="preserve"> (Accessed: 23 October 2025).</w:t>
      </w:r>
    </w:p>
    <w:p w14:paraId="6DF066B0" w14:textId="77777777"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Hooley, G.J., </w:t>
      </w:r>
      <w:proofErr w:type="spellStart"/>
      <w:r w:rsidRPr="00D44969">
        <w:rPr>
          <w:rFonts w:ascii="Arial" w:hAnsi="Arial" w:cs="Arial"/>
        </w:rPr>
        <w:t>Nicoulaud</w:t>
      </w:r>
      <w:proofErr w:type="spellEnd"/>
      <w:r w:rsidRPr="00D44969">
        <w:rPr>
          <w:rFonts w:ascii="Arial" w:hAnsi="Arial" w:cs="Arial"/>
        </w:rPr>
        <w:t xml:space="preserve">, B., Rudd, J.M. and Lee, N. (2024) </w:t>
      </w:r>
      <w:r w:rsidRPr="00D44969">
        <w:rPr>
          <w:rStyle w:val="Emphasis"/>
          <w:rFonts w:ascii="Arial" w:eastAsiaTheme="majorEastAsia" w:hAnsi="Arial" w:cs="Arial"/>
        </w:rPr>
        <w:t>Marketing strategy and competitive positioning</w:t>
      </w:r>
      <w:r w:rsidRPr="00D44969">
        <w:rPr>
          <w:rFonts w:ascii="Arial" w:hAnsi="Arial" w:cs="Arial"/>
        </w:rPr>
        <w:t xml:space="preserve">. 8th </w:t>
      </w:r>
      <w:proofErr w:type="spellStart"/>
      <w:r w:rsidRPr="00D44969">
        <w:rPr>
          <w:rFonts w:ascii="Arial" w:hAnsi="Arial" w:cs="Arial"/>
        </w:rPr>
        <w:t>edn</w:t>
      </w:r>
      <w:proofErr w:type="spellEnd"/>
      <w:r w:rsidRPr="00D44969">
        <w:rPr>
          <w:rFonts w:ascii="Arial" w:hAnsi="Arial" w:cs="Arial"/>
        </w:rPr>
        <w:t>. Harlow: Pearson.</w:t>
      </w:r>
    </w:p>
    <w:p w14:paraId="3AA052F1" w14:textId="77777777"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Jobber, D. and Ellis-Chadwick, F. (2019) </w:t>
      </w:r>
      <w:r w:rsidRPr="00D44969">
        <w:rPr>
          <w:rStyle w:val="Emphasis"/>
          <w:rFonts w:ascii="Arial" w:eastAsiaTheme="majorEastAsia" w:hAnsi="Arial" w:cs="Arial"/>
        </w:rPr>
        <w:t>Principles and practice of marketing</w:t>
      </w:r>
      <w:r w:rsidRPr="00D44969">
        <w:rPr>
          <w:rFonts w:ascii="Arial" w:hAnsi="Arial" w:cs="Arial"/>
        </w:rPr>
        <w:t xml:space="preserve">. 9th </w:t>
      </w:r>
      <w:proofErr w:type="spellStart"/>
      <w:r w:rsidRPr="00D44969">
        <w:rPr>
          <w:rFonts w:ascii="Arial" w:hAnsi="Arial" w:cs="Arial"/>
        </w:rPr>
        <w:t>edn</w:t>
      </w:r>
      <w:proofErr w:type="spellEnd"/>
      <w:r w:rsidRPr="00D44969">
        <w:rPr>
          <w:rFonts w:ascii="Arial" w:hAnsi="Arial" w:cs="Arial"/>
        </w:rPr>
        <w:t>. Maidenhead: McGraw-Hill Education.</w:t>
      </w:r>
    </w:p>
    <w:p w14:paraId="339ABBB2" w14:textId="77777777" w:rsidR="00D44969" w:rsidRPr="00D44969" w:rsidRDefault="00D44969" w:rsidP="00D44969">
      <w:pPr>
        <w:pStyle w:val="NormalWeb"/>
        <w:numPr>
          <w:ilvl w:val="0"/>
          <w:numId w:val="9"/>
        </w:numPr>
        <w:spacing w:line="360" w:lineRule="auto"/>
        <w:rPr>
          <w:rFonts w:ascii="Arial" w:hAnsi="Arial" w:cs="Arial"/>
        </w:rPr>
      </w:pPr>
      <w:r w:rsidRPr="00D44969">
        <w:rPr>
          <w:rFonts w:ascii="Arial" w:hAnsi="Arial" w:cs="Arial"/>
        </w:rPr>
        <w:t xml:space="preserve">Jobber, D. and Ellis-Chadwick, F. (2023) </w:t>
      </w:r>
      <w:r w:rsidRPr="00D44969">
        <w:rPr>
          <w:rStyle w:val="Emphasis"/>
          <w:rFonts w:ascii="Arial" w:eastAsiaTheme="majorEastAsia" w:hAnsi="Arial" w:cs="Arial"/>
        </w:rPr>
        <w:t>Principles and practice of marketing</w:t>
      </w:r>
      <w:r w:rsidRPr="00D44969">
        <w:rPr>
          <w:rFonts w:ascii="Arial" w:hAnsi="Arial" w:cs="Arial"/>
        </w:rPr>
        <w:t xml:space="preserve">. 10th </w:t>
      </w:r>
      <w:proofErr w:type="spellStart"/>
      <w:r w:rsidRPr="00D44969">
        <w:rPr>
          <w:rFonts w:ascii="Arial" w:hAnsi="Arial" w:cs="Arial"/>
        </w:rPr>
        <w:t>edn</w:t>
      </w:r>
      <w:proofErr w:type="spellEnd"/>
      <w:r w:rsidRPr="00D44969">
        <w:rPr>
          <w:rFonts w:ascii="Arial" w:hAnsi="Arial" w:cs="Arial"/>
        </w:rPr>
        <w:t>. London: McGraw Hill.</w:t>
      </w:r>
    </w:p>
    <w:p w14:paraId="25C77519" w14:textId="77777777" w:rsidR="00D44969" w:rsidRPr="00D44969" w:rsidRDefault="00D44969" w:rsidP="00D44969">
      <w:pPr>
        <w:pStyle w:val="NormalWeb"/>
        <w:numPr>
          <w:ilvl w:val="0"/>
          <w:numId w:val="9"/>
        </w:numPr>
        <w:spacing w:line="360" w:lineRule="auto"/>
        <w:rPr>
          <w:rFonts w:ascii="Arial" w:hAnsi="Arial" w:cs="Arial"/>
        </w:rPr>
      </w:pPr>
      <w:proofErr w:type="spellStart"/>
      <w:r w:rsidRPr="00D44969">
        <w:rPr>
          <w:rFonts w:ascii="Arial" w:hAnsi="Arial" w:cs="Arial"/>
        </w:rPr>
        <w:t>Kalicanin</w:t>
      </w:r>
      <w:proofErr w:type="spellEnd"/>
      <w:r w:rsidRPr="00D44969">
        <w:rPr>
          <w:rFonts w:ascii="Arial" w:hAnsi="Arial" w:cs="Arial"/>
        </w:rPr>
        <w:t xml:space="preserve">, D. (2008) ‘A question of strategy: To be a pioneer or a follower?’, </w:t>
      </w:r>
      <w:proofErr w:type="spellStart"/>
      <w:r w:rsidRPr="00D44969">
        <w:rPr>
          <w:rStyle w:val="Emphasis"/>
          <w:rFonts w:ascii="Arial" w:eastAsiaTheme="majorEastAsia" w:hAnsi="Arial" w:cs="Arial"/>
        </w:rPr>
        <w:t>Ekonomski</w:t>
      </w:r>
      <w:proofErr w:type="spellEnd"/>
      <w:r w:rsidRPr="00D44969">
        <w:rPr>
          <w:rStyle w:val="Emphasis"/>
          <w:rFonts w:ascii="Arial" w:eastAsiaTheme="majorEastAsia" w:hAnsi="Arial" w:cs="Arial"/>
        </w:rPr>
        <w:t xml:space="preserve"> </w:t>
      </w:r>
      <w:proofErr w:type="spellStart"/>
      <w:r w:rsidRPr="00D44969">
        <w:rPr>
          <w:rStyle w:val="Emphasis"/>
          <w:rFonts w:ascii="Arial" w:eastAsiaTheme="majorEastAsia" w:hAnsi="Arial" w:cs="Arial"/>
        </w:rPr>
        <w:t>anali</w:t>
      </w:r>
      <w:proofErr w:type="spellEnd"/>
      <w:r w:rsidRPr="00D44969">
        <w:rPr>
          <w:rFonts w:ascii="Arial" w:hAnsi="Arial" w:cs="Arial"/>
        </w:rPr>
        <w:t>, 53(177), pp. 89–102.</w:t>
      </w:r>
    </w:p>
    <w:p w14:paraId="4280CA16" w14:textId="77777777" w:rsidR="00D44969" w:rsidRPr="00D44969" w:rsidRDefault="00D44969" w:rsidP="00D44969">
      <w:pPr>
        <w:pStyle w:val="NormalWeb"/>
        <w:spacing w:line="360" w:lineRule="auto"/>
        <w:ind w:left="360"/>
        <w:rPr>
          <w:rFonts w:ascii="Arial" w:hAnsi="Arial" w:cs="Arial"/>
        </w:rPr>
      </w:pPr>
      <w:r w:rsidRPr="00D44969">
        <w:rPr>
          <w:rFonts w:ascii="Arial" w:hAnsi="Arial" w:cs="Arial"/>
        </w:rPr>
        <w:t xml:space="preserve">10.Kotler, P., Armstrong, G. and Balasubramanian, S. (2024) </w:t>
      </w:r>
      <w:r w:rsidRPr="00D44969">
        <w:rPr>
          <w:rStyle w:val="Emphasis"/>
          <w:rFonts w:ascii="Arial" w:eastAsiaTheme="majorEastAsia" w:hAnsi="Arial" w:cs="Arial"/>
        </w:rPr>
        <w:t>Principles of marketing</w:t>
      </w:r>
      <w:r w:rsidRPr="00D44969">
        <w:rPr>
          <w:rFonts w:ascii="Arial" w:hAnsi="Arial" w:cs="Arial"/>
        </w:rPr>
        <w:t xml:space="preserve">. 19th </w:t>
      </w:r>
      <w:proofErr w:type="spellStart"/>
      <w:r w:rsidRPr="00D44969">
        <w:rPr>
          <w:rFonts w:ascii="Arial" w:hAnsi="Arial" w:cs="Arial"/>
        </w:rPr>
        <w:t>edn</w:t>
      </w:r>
      <w:proofErr w:type="spellEnd"/>
      <w:r w:rsidRPr="00D44969">
        <w:rPr>
          <w:rFonts w:ascii="Arial" w:hAnsi="Arial" w:cs="Arial"/>
        </w:rPr>
        <w:t>. Harlow: Pearson.</w:t>
      </w:r>
    </w:p>
    <w:p w14:paraId="63CE3135" w14:textId="77777777" w:rsidR="00D44969" w:rsidRPr="00D44969" w:rsidRDefault="00D44969" w:rsidP="00D44969">
      <w:pPr>
        <w:pStyle w:val="NormalWeb"/>
        <w:spacing w:line="360" w:lineRule="auto"/>
        <w:ind w:left="360"/>
        <w:rPr>
          <w:rFonts w:ascii="Arial" w:hAnsi="Arial" w:cs="Arial"/>
        </w:rPr>
      </w:pPr>
      <w:r w:rsidRPr="00D44969">
        <w:rPr>
          <w:rFonts w:ascii="Arial" w:hAnsi="Arial" w:cs="Arial"/>
        </w:rPr>
        <w:t xml:space="preserve">11. Lieberman, M.B. and Montgomery, D.B. (1988) ‘First-mover advantages’, </w:t>
      </w:r>
      <w:r w:rsidRPr="00D44969">
        <w:rPr>
          <w:rStyle w:val="Emphasis"/>
          <w:rFonts w:ascii="Arial" w:eastAsiaTheme="majorEastAsia" w:hAnsi="Arial" w:cs="Arial"/>
        </w:rPr>
        <w:t>Strategic Management Journal</w:t>
      </w:r>
      <w:r w:rsidRPr="00D44969">
        <w:rPr>
          <w:rFonts w:ascii="Arial" w:hAnsi="Arial" w:cs="Arial"/>
        </w:rPr>
        <w:t>, 9(S1), pp. 41–58.</w:t>
      </w:r>
    </w:p>
    <w:p w14:paraId="4C3B7D4B" w14:textId="3DA4ABBD" w:rsidR="00D44969" w:rsidRPr="00D44969" w:rsidRDefault="00D44969" w:rsidP="00D44969">
      <w:pPr>
        <w:pStyle w:val="NormalWeb"/>
        <w:spacing w:line="360" w:lineRule="auto"/>
        <w:ind w:left="360"/>
        <w:rPr>
          <w:rFonts w:ascii="Arial" w:hAnsi="Arial" w:cs="Arial"/>
        </w:rPr>
      </w:pPr>
      <w:r w:rsidRPr="00D44969">
        <w:rPr>
          <w:rFonts w:ascii="Arial" w:hAnsi="Arial" w:cs="Arial"/>
        </w:rPr>
        <w:t xml:space="preserve">12. McKinsey &amp; Company (2022) </w:t>
      </w:r>
      <w:r w:rsidRPr="00D44969">
        <w:rPr>
          <w:rStyle w:val="Emphasis"/>
          <w:rFonts w:ascii="Arial" w:eastAsiaTheme="majorEastAsia" w:hAnsi="Arial" w:cs="Arial"/>
        </w:rPr>
        <w:t>Navigating inflation in retail: Six actions for retailers</w:t>
      </w:r>
      <w:r w:rsidRPr="00D44969">
        <w:rPr>
          <w:rFonts w:ascii="Arial" w:hAnsi="Arial" w:cs="Arial"/>
        </w:rPr>
        <w:t xml:space="preserve">. Available at: </w:t>
      </w:r>
      <w:hyperlink r:id="rId12" w:history="1">
        <w:r w:rsidRPr="00D44969">
          <w:rPr>
            <w:rStyle w:val="Hyperlink"/>
            <w:rFonts w:ascii="Arial" w:hAnsi="Arial" w:cs="Arial"/>
          </w:rPr>
          <w:t>https://www.mckinsey.com/industries/retail/our-</w:t>
        </w:r>
        <w:r w:rsidRPr="00D44969">
          <w:rPr>
            <w:rStyle w:val="Hyperlink"/>
            <w:rFonts w:ascii="Arial" w:hAnsi="Arial" w:cs="Arial"/>
          </w:rPr>
          <w:lastRenderedPageBreak/>
          <w:t>insights/navigating-inflation-in-retail-six-actions-for-retailers</w:t>
        </w:r>
      </w:hyperlink>
      <w:r w:rsidRPr="00D44969">
        <w:rPr>
          <w:rFonts w:ascii="Arial" w:hAnsi="Arial" w:cs="Arial"/>
        </w:rPr>
        <w:t xml:space="preserve"> (Accessed: 23 October 2025).</w:t>
      </w:r>
    </w:p>
    <w:p w14:paraId="214291B2" w14:textId="69BAC857" w:rsidR="00D44969" w:rsidRPr="00D44969" w:rsidRDefault="00D44969" w:rsidP="00D44969">
      <w:pPr>
        <w:pStyle w:val="NormalWeb"/>
        <w:numPr>
          <w:ilvl w:val="0"/>
          <w:numId w:val="10"/>
        </w:numPr>
        <w:spacing w:line="360" w:lineRule="auto"/>
        <w:rPr>
          <w:rFonts w:ascii="Arial" w:hAnsi="Arial" w:cs="Arial"/>
        </w:rPr>
      </w:pPr>
      <w:r w:rsidRPr="00D44969">
        <w:rPr>
          <w:rFonts w:ascii="Arial" w:hAnsi="Arial" w:cs="Arial"/>
        </w:rPr>
        <w:t xml:space="preserve">Retail Economics (2025) </w:t>
      </w:r>
      <w:r w:rsidRPr="00D44969">
        <w:rPr>
          <w:rStyle w:val="Emphasis"/>
          <w:rFonts w:ascii="Arial" w:eastAsiaTheme="majorEastAsia" w:hAnsi="Arial" w:cs="Arial"/>
        </w:rPr>
        <w:t>5 strategies to combat inflation</w:t>
      </w:r>
      <w:r w:rsidRPr="00D44969">
        <w:rPr>
          <w:rFonts w:ascii="Arial" w:hAnsi="Arial" w:cs="Arial"/>
        </w:rPr>
        <w:t xml:space="preserve">. Available at: </w:t>
      </w:r>
      <w:hyperlink r:id="rId13" w:history="1">
        <w:r w:rsidRPr="00D44969">
          <w:rPr>
            <w:rStyle w:val="Hyperlink"/>
            <w:rFonts w:ascii="Arial" w:hAnsi="Arial" w:cs="Arial"/>
          </w:rPr>
          <w:t>https://www.retaileconomics.co.uk/retail-insights/thought-leadership-reports/top-5-strategies-for-retailers-and-brands-to-combat-rising-inflation-and-operating-costs</w:t>
        </w:r>
      </w:hyperlink>
      <w:r w:rsidRPr="00D44969">
        <w:rPr>
          <w:rFonts w:ascii="Arial" w:hAnsi="Arial" w:cs="Arial"/>
        </w:rPr>
        <w:t xml:space="preserve"> (Accessed: 23 October 2025).</w:t>
      </w:r>
    </w:p>
    <w:p w14:paraId="11DC1F47" w14:textId="77777777" w:rsidR="00D44969" w:rsidRPr="00D44969" w:rsidRDefault="00D44969" w:rsidP="00D44969">
      <w:pPr>
        <w:pStyle w:val="NormalWeb"/>
        <w:numPr>
          <w:ilvl w:val="0"/>
          <w:numId w:val="10"/>
        </w:numPr>
        <w:spacing w:line="360" w:lineRule="auto"/>
        <w:rPr>
          <w:rFonts w:ascii="Arial" w:hAnsi="Arial" w:cs="Arial"/>
        </w:rPr>
      </w:pPr>
      <w:proofErr w:type="spellStart"/>
      <w:r w:rsidRPr="00D44969">
        <w:rPr>
          <w:rFonts w:ascii="Arial" w:hAnsi="Arial" w:cs="Arial"/>
        </w:rPr>
        <w:t>Samanta</w:t>
      </w:r>
      <w:proofErr w:type="spellEnd"/>
      <w:r w:rsidRPr="00D44969">
        <w:rPr>
          <w:rFonts w:ascii="Arial" w:hAnsi="Arial" w:cs="Arial"/>
        </w:rPr>
        <w:t xml:space="preserve">, I. and Chaudhuri, S. (2014) </w:t>
      </w:r>
      <w:r w:rsidRPr="00D44969">
        <w:rPr>
          <w:rStyle w:val="Emphasis"/>
          <w:rFonts w:ascii="Arial" w:eastAsiaTheme="majorEastAsia" w:hAnsi="Arial" w:cs="Arial"/>
        </w:rPr>
        <w:t>Strategic marketing in fragile economic conditions</w:t>
      </w:r>
      <w:r w:rsidRPr="00D44969">
        <w:rPr>
          <w:rFonts w:ascii="Arial" w:hAnsi="Arial" w:cs="Arial"/>
        </w:rPr>
        <w:t>. Hershey, PA: Business Science Reference.</w:t>
      </w:r>
    </w:p>
    <w:p w14:paraId="58CB139C" w14:textId="01BC2962" w:rsidR="00473E06" w:rsidRPr="00262E7D" w:rsidRDefault="00473E06" w:rsidP="00B57B45">
      <w:pPr>
        <w:spacing w:line="360" w:lineRule="auto"/>
        <w:rPr>
          <w:rFonts w:ascii="Arial" w:hAnsi="Arial" w:cs="Arial"/>
          <w:b/>
          <w:bCs/>
          <w:sz w:val="28"/>
          <w:szCs w:val="28"/>
        </w:rPr>
      </w:pPr>
    </w:p>
    <w:p w14:paraId="2A8C42AF" w14:textId="61E70240" w:rsidR="00473E06" w:rsidRDefault="00473E06" w:rsidP="00473E06">
      <w:pPr>
        <w:spacing w:line="360" w:lineRule="auto"/>
        <w:jc w:val="center"/>
        <w:rPr>
          <w:rFonts w:ascii="Arial" w:hAnsi="Arial" w:cs="Arial"/>
          <w:b/>
          <w:bCs/>
          <w:sz w:val="28"/>
          <w:szCs w:val="28"/>
        </w:rPr>
      </w:pPr>
    </w:p>
    <w:p w14:paraId="764E3773" w14:textId="31B22DB1" w:rsidR="00473E06" w:rsidRDefault="00473E06" w:rsidP="00473E06">
      <w:pPr>
        <w:spacing w:line="360" w:lineRule="auto"/>
        <w:jc w:val="center"/>
        <w:rPr>
          <w:rFonts w:ascii="Arial" w:hAnsi="Arial" w:cs="Arial"/>
          <w:b/>
          <w:bCs/>
          <w:sz w:val="28"/>
          <w:szCs w:val="28"/>
        </w:rPr>
      </w:pPr>
    </w:p>
    <w:p w14:paraId="73CCF73F" w14:textId="19362D24" w:rsidR="00473E06" w:rsidRDefault="00473E06" w:rsidP="00473E06">
      <w:pPr>
        <w:spacing w:line="360" w:lineRule="auto"/>
        <w:jc w:val="center"/>
        <w:rPr>
          <w:rFonts w:ascii="Arial" w:hAnsi="Arial" w:cs="Arial"/>
          <w:b/>
          <w:bCs/>
          <w:sz w:val="28"/>
          <w:szCs w:val="28"/>
        </w:rPr>
      </w:pPr>
    </w:p>
    <w:p w14:paraId="4E6E7E4B" w14:textId="7FEFD045" w:rsidR="00473E06" w:rsidRDefault="00473E06" w:rsidP="00473E06">
      <w:pPr>
        <w:spacing w:line="360" w:lineRule="auto"/>
        <w:jc w:val="center"/>
        <w:rPr>
          <w:rFonts w:ascii="Arial" w:hAnsi="Arial" w:cs="Arial"/>
          <w:b/>
          <w:bCs/>
          <w:sz w:val="28"/>
          <w:szCs w:val="28"/>
        </w:rPr>
      </w:pPr>
    </w:p>
    <w:p w14:paraId="2E15DCC8" w14:textId="17C3A5EC" w:rsidR="00473E06" w:rsidRDefault="00473E06" w:rsidP="00473E06">
      <w:pPr>
        <w:spacing w:line="360" w:lineRule="auto"/>
        <w:jc w:val="center"/>
        <w:rPr>
          <w:rFonts w:ascii="Arial" w:hAnsi="Arial" w:cs="Arial"/>
          <w:b/>
          <w:bCs/>
          <w:sz w:val="28"/>
          <w:szCs w:val="28"/>
        </w:rPr>
      </w:pPr>
    </w:p>
    <w:p w14:paraId="47C10A3A" w14:textId="53B23573" w:rsidR="00473E06" w:rsidRDefault="00473E06" w:rsidP="00473E06">
      <w:pPr>
        <w:spacing w:line="360" w:lineRule="auto"/>
        <w:jc w:val="center"/>
        <w:rPr>
          <w:rFonts w:ascii="Arial" w:hAnsi="Arial" w:cs="Arial"/>
          <w:b/>
          <w:bCs/>
          <w:sz w:val="28"/>
          <w:szCs w:val="28"/>
        </w:rPr>
      </w:pPr>
    </w:p>
    <w:p w14:paraId="76B96992" w14:textId="4213FC5A" w:rsidR="00473E06" w:rsidRDefault="00473E06" w:rsidP="00473E06">
      <w:pPr>
        <w:spacing w:line="360" w:lineRule="auto"/>
        <w:jc w:val="center"/>
        <w:rPr>
          <w:rFonts w:ascii="Arial" w:hAnsi="Arial" w:cs="Arial"/>
          <w:b/>
          <w:bCs/>
          <w:sz w:val="28"/>
          <w:szCs w:val="28"/>
        </w:rPr>
      </w:pPr>
    </w:p>
    <w:p w14:paraId="13C4DB58" w14:textId="021F7FDC" w:rsidR="00473E06" w:rsidRDefault="00473E06" w:rsidP="00473E06">
      <w:pPr>
        <w:spacing w:line="360" w:lineRule="auto"/>
        <w:jc w:val="center"/>
        <w:rPr>
          <w:rFonts w:ascii="Arial" w:hAnsi="Arial" w:cs="Arial"/>
          <w:b/>
          <w:bCs/>
          <w:sz w:val="28"/>
          <w:szCs w:val="28"/>
        </w:rPr>
      </w:pPr>
    </w:p>
    <w:p w14:paraId="0D78D9F1" w14:textId="704D9CCF" w:rsidR="00473E06" w:rsidRDefault="00473E06" w:rsidP="00473E06">
      <w:pPr>
        <w:spacing w:line="360" w:lineRule="auto"/>
        <w:jc w:val="center"/>
        <w:rPr>
          <w:rFonts w:ascii="Arial" w:hAnsi="Arial" w:cs="Arial"/>
          <w:b/>
          <w:bCs/>
          <w:sz w:val="28"/>
          <w:szCs w:val="28"/>
        </w:rPr>
      </w:pPr>
    </w:p>
    <w:p w14:paraId="6C85B31F" w14:textId="6035AB43" w:rsidR="00473E06" w:rsidRDefault="00473E06" w:rsidP="00473E06">
      <w:pPr>
        <w:spacing w:line="360" w:lineRule="auto"/>
        <w:jc w:val="center"/>
        <w:rPr>
          <w:rFonts w:ascii="Arial" w:hAnsi="Arial" w:cs="Arial"/>
          <w:b/>
          <w:bCs/>
          <w:sz w:val="28"/>
          <w:szCs w:val="28"/>
        </w:rPr>
      </w:pPr>
    </w:p>
    <w:p w14:paraId="05F8250D" w14:textId="1BB212EE" w:rsidR="00473E06" w:rsidRDefault="00473E06" w:rsidP="00473E06">
      <w:pPr>
        <w:spacing w:line="360" w:lineRule="auto"/>
        <w:jc w:val="center"/>
        <w:rPr>
          <w:rFonts w:ascii="Arial" w:hAnsi="Arial" w:cs="Arial"/>
          <w:b/>
          <w:bCs/>
          <w:sz w:val="28"/>
          <w:szCs w:val="28"/>
        </w:rPr>
      </w:pPr>
    </w:p>
    <w:p w14:paraId="198CF893" w14:textId="5028D726" w:rsidR="00473E06" w:rsidRDefault="00473E06" w:rsidP="00473E06">
      <w:pPr>
        <w:spacing w:line="360" w:lineRule="auto"/>
        <w:jc w:val="center"/>
        <w:rPr>
          <w:rFonts w:ascii="Arial" w:hAnsi="Arial" w:cs="Arial"/>
          <w:b/>
          <w:bCs/>
          <w:sz w:val="28"/>
          <w:szCs w:val="28"/>
        </w:rPr>
      </w:pPr>
    </w:p>
    <w:p w14:paraId="49D2AC0A" w14:textId="321ED04E" w:rsidR="00473E06" w:rsidRDefault="00473E06" w:rsidP="00473E06">
      <w:pPr>
        <w:spacing w:line="360" w:lineRule="auto"/>
        <w:jc w:val="center"/>
        <w:rPr>
          <w:rFonts w:ascii="Arial" w:hAnsi="Arial" w:cs="Arial"/>
          <w:b/>
          <w:bCs/>
          <w:sz w:val="28"/>
          <w:szCs w:val="28"/>
        </w:rPr>
      </w:pPr>
    </w:p>
    <w:p w14:paraId="6329FD8D" w14:textId="5CF0F36C" w:rsidR="00473E06" w:rsidRDefault="00473E06" w:rsidP="00473E06">
      <w:pPr>
        <w:spacing w:line="360" w:lineRule="auto"/>
        <w:jc w:val="center"/>
        <w:rPr>
          <w:rFonts w:ascii="Arial" w:hAnsi="Arial" w:cs="Arial"/>
          <w:b/>
          <w:bCs/>
          <w:sz w:val="28"/>
          <w:szCs w:val="28"/>
        </w:rPr>
      </w:pPr>
    </w:p>
    <w:p w14:paraId="22B750FA" w14:textId="6DAA3905" w:rsidR="00473E06" w:rsidRDefault="00473E06" w:rsidP="00473E06">
      <w:pPr>
        <w:spacing w:line="360" w:lineRule="auto"/>
        <w:jc w:val="center"/>
        <w:rPr>
          <w:rFonts w:ascii="Arial" w:hAnsi="Arial" w:cs="Arial"/>
          <w:b/>
          <w:bCs/>
          <w:sz w:val="28"/>
          <w:szCs w:val="28"/>
        </w:rPr>
      </w:pPr>
    </w:p>
    <w:p w14:paraId="365A697B" w14:textId="458D667B" w:rsidR="00473E06" w:rsidRDefault="00473E06" w:rsidP="00473E06">
      <w:pPr>
        <w:spacing w:line="360" w:lineRule="auto"/>
        <w:jc w:val="center"/>
        <w:rPr>
          <w:rFonts w:ascii="Arial" w:hAnsi="Arial" w:cs="Arial"/>
          <w:b/>
          <w:bCs/>
          <w:sz w:val="28"/>
          <w:szCs w:val="28"/>
        </w:rPr>
      </w:pPr>
    </w:p>
    <w:p w14:paraId="5CA14B82" w14:textId="32DA975D" w:rsidR="00473E06" w:rsidRDefault="00473E06" w:rsidP="00473E06">
      <w:pPr>
        <w:spacing w:line="360" w:lineRule="auto"/>
        <w:jc w:val="center"/>
        <w:rPr>
          <w:rFonts w:ascii="Arial" w:hAnsi="Arial" w:cs="Arial"/>
          <w:b/>
          <w:bCs/>
          <w:sz w:val="28"/>
          <w:szCs w:val="28"/>
        </w:rPr>
      </w:pPr>
    </w:p>
    <w:p w14:paraId="06ED9C29" w14:textId="648C8E69" w:rsidR="00473E06" w:rsidRDefault="00473E06" w:rsidP="00473E06">
      <w:pPr>
        <w:spacing w:line="360" w:lineRule="auto"/>
        <w:jc w:val="center"/>
        <w:rPr>
          <w:rFonts w:ascii="Arial" w:hAnsi="Arial" w:cs="Arial"/>
          <w:b/>
          <w:bCs/>
          <w:sz w:val="28"/>
          <w:szCs w:val="28"/>
        </w:rPr>
      </w:pPr>
    </w:p>
    <w:p w14:paraId="7F4030DA" w14:textId="5C9F0BD0" w:rsidR="00473E06" w:rsidRDefault="00473E06" w:rsidP="00473E06">
      <w:pPr>
        <w:spacing w:line="360" w:lineRule="auto"/>
        <w:jc w:val="center"/>
        <w:rPr>
          <w:rFonts w:ascii="Arial" w:hAnsi="Arial" w:cs="Arial"/>
          <w:b/>
          <w:bCs/>
          <w:sz w:val="28"/>
          <w:szCs w:val="28"/>
        </w:rPr>
      </w:pPr>
    </w:p>
    <w:p w14:paraId="5C9504B3" w14:textId="5BE23492" w:rsidR="00473E06" w:rsidRDefault="00473E06" w:rsidP="00473E06">
      <w:pPr>
        <w:spacing w:line="360" w:lineRule="auto"/>
        <w:jc w:val="center"/>
        <w:rPr>
          <w:rFonts w:ascii="Arial" w:hAnsi="Arial" w:cs="Arial"/>
          <w:b/>
          <w:bCs/>
          <w:sz w:val="28"/>
          <w:szCs w:val="28"/>
        </w:rPr>
      </w:pPr>
    </w:p>
    <w:p w14:paraId="1007B450" w14:textId="129D0A6D" w:rsidR="00473E06" w:rsidRDefault="00473E06" w:rsidP="00473E06">
      <w:pPr>
        <w:spacing w:line="360" w:lineRule="auto"/>
        <w:jc w:val="center"/>
        <w:rPr>
          <w:rFonts w:ascii="Arial" w:hAnsi="Arial" w:cs="Arial"/>
          <w:b/>
          <w:bCs/>
          <w:sz w:val="28"/>
          <w:szCs w:val="28"/>
        </w:rPr>
      </w:pPr>
    </w:p>
    <w:p w14:paraId="2DA5B544" w14:textId="4927B7FC" w:rsidR="00473E06" w:rsidRDefault="00473E06" w:rsidP="00473E06">
      <w:pPr>
        <w:spacing w:line="360" w:lineRule="auto"/>
        <w:jc w:val="center"/>
        <w:rPr>
          <w:rFonts w:ascii="Arial" w:hAnsi="Arial" w:cs="Arial"/>
          <w:b/>
          <w:bCs/>
          <w:sz w:val="28"/>
          <w:szCs w:val="28"/>
        </w:rPr>
      </w:pPr>
    </w:p>
    <w:p w14:paraId="13CA26ED" w14:textId="4D44068C" w:rsidR="00473E06" w:rsidRDefault="00473E06" w:rsidP="00473E06">
      <w:pPr>
        <w:spacing w:line="360" w:lineRule="auto"/>
        <w:jc w:val="center"/>
        <w:rPr>
          <w:rFonts w:ascii="Arial" w:hAnsi="Arial" w:cs="Arial"/>
          <w:b/>
          <w:bCs/>
          <w:sz w:val="28"/>
          <w:szCs w:val="28"/>
        </w:rPr>
      </w:pPr>
    </w:p>
    <w:p w14:paraId="45BC0865" w14:textId="599AD4DF" w:rsidR="00473E06" w:rsidRDefault="00473E06" w:rsidP="00473E06">
      <w:pPr>
        <w:spacing w:line="360" w:lineRule="auto"/>
        <w:jc w:val="center"/>
        <w:rPr>
          <w:rFonts w:ascii="Arial" w:hAnsi="Arial" w:cs="Arial"/>
          <w:b/>
          <w:bCs/>
          <w:sz w:val="28"/>
          <w:szCs w:val="28"/>
        </w:rPr>
      </w:pPr>
    </w:p>
    <w:p w14:paraId="23E5421C" w14:textId="77777777" w:rsidR="00473E06" w:rsidRPr="00473E06" w:rsidRDefault="00473E06" w:rsidP="00473E06">
      <w:pPr>
        <w:spacing w:line="360" w:lineRule="auto"/>
        <w:jc w:val="center"/>
        <w:rPr>
          <w:rFonts w:ascii="Arial" w:hAnsi="Arial" w:cs="Arial"/>
          <w:b/>
          <w:bCs/>
          <w:sz w:val="28"/>
          <w:szCs w:val="28"/>
        </w:rPr>
      </w:pPr>
    </w:p>
    <w:sectPr w:rsidR="00473E06" w:rsidRPr="00473E0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5D1E00" w14:textId="77777777" w:rsidR="005F43C1" w:rsidRDefault="005F43C1" w:rsidP="003319AA">
      <w:pPr>
        <w:spacing w:after="0" w:line="240" w:lineRule="auto"/>
      </w:pPr>
      <w:r>
        <w:separator/>
      </w:r>
    </w:p>
  </w:endnote>
  <w:endnote w:type="continuationSeparator" w:id="0">
    <w:p w14:paraId="14EE0323" w14:textId="77777777" w:rsidR="005F43C1" w:rsidRDefault="005F43C1" w:rsidP="0033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okmarkStart w:id="14" w:name="_Toc211433416" w:displacedByCustomXml="next"/>
  <w:sdt>
    <w:sdtPr>
      <w:id w:val="-1908209234"/>
      <w:docPartObj>
        <w:docPartGallery w:val="Page Numbers (Bottom of Page)"/>
        <w:docPartUnique/>
      </w:docPartObj>
    </w:sdtPr>
    <w:sdtEndPr>
      <w:rPr>
        <w:noProof/>
      </w:rPr>
    </w:sdtEndPr>
    <w:sdtContent>
      <w:p w14:paraId="251A89DC" w14:textId="77777777" w:rsidR="008470B7" w:rsidRDefault="008470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bookmarkEnd w:id="14"/>
  <w:p w14:paraId="6183D6B6" w14:textId="77777777" w:rsidR="003319AA" w:rsidRDefault="00331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AED3A4" w14:textId="77777777" w:rsidR="005F43C1" w:rsidRDefault="005F43C1" w:rsidP="003319AA">
      <w:pPr>
        <w:spacing w:after="0" w:line="240" w:lineRule="auto"/>
      </w:pPr>
      <w:r>
        <w:separator/>
      </w:r>
    </w:p>
  </w:footnote>
  <w:footnote w:type="continuationSeparator" w:id="0">
    <w:p w14:paraId="5F14AD6E" w14:textId="77777777" w:rsidR="005F43C1" w:rsidRDefault="005F43C1" w:rsidP="003319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AC4862"/>
    <w:multiLevelType w:val="multilevel"/>
    <w:tmpl w:val="50368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746465"/>
    <w:multiLevelType w:val="hybridMultilevel"/>
    <w:tmpl w:val="89D2A8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50968D1"/>
    <w:multiLevelType w:val="hybridMultilevel"/>
    <w:tmpl w:val="B0AA1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A56627"/>
    <w:multiLevelType w:val="hybridMultilevel"/>
    <w:tmpl w:val="5C48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B78F9"/>
    <w:multiLevelType w:val="hybridMultilevel"/>
    <w:tmpl w:val="5BF89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5C4B20"/>
    <w:multiLevelType w:val="hybridMultilevel"/>
    <w:tmpl w:val="B2F02F10"/>
    <w:lvl w:ilvl="0" w:tplc="6B040B8E">
      <w:start w:val="13"/>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442C4A"/>
    <w:multiLevelType w:val="multilevel"/>
    <w:tmpl w:val="81005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571803"/>
    <w:multiLevelType w:val="hybridMultilevel"/>
    <w:tmpl w:val="9FD88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F65F66"/>
    <w:multiLevelType w:val="multilevel"/>
    <w:tmpl w:val="2B6C5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D4B1A3C"/>
    <w:multiLevelType w:val="multilevel"/>
    <w:tmpl w:val="32CC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9"/>
  </w:num>
  <w:num w:numId="4">
    <w:abstractNumId w:val="1"/>
  </w:num>
  <w:num w:numId="5">
    <w:abstractNumId w:val="2"/>
  </w:num>
  <w:num w:numId="6">
    <w:abstractNumId w:val="4"/>
  </w:num>
  <w:num w:numId="7">
    <w:abstractNumId w:val="3"/>
  </w:num>
  <w:num w:numId="8">
    <w:abstractNumId w:val="7"/>
  </w:num>
  <w:num w:numId="9">
    <w:abstractNumId w:va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E06"/>
    <w:rsid w:val="000326E4"/>
    <w:rsid w:val="00114BA4"/>
    <w:rsid w:val="00140164"/>
    <w:rsid w:val="001575C7"/>
    <w:rsid w:val="001D5B2F"/>
    <w:rsid w:val="0025023E"/>
    <w:rsid w:val="00262E7D"/>
    <w:rsid w:val="002F2AF4"/>
    <w:rsid w:val="002F7ACA"/>
    <w:rsid w:val="003060BA"/>
    <w:rsid w:val="003319AA"/>
    <w:rsid w:val="0037437B"/>
    <w:rsid w:val="00395B65"/>
    <w:rsid w:val="0042407D"/>
    <w:rsid w:val="00473E06"/>
    <w:rsid w:val="00506FC9"/>
    <w:rsid w:val="005F43C1"/>
    <w:rsid w:val="006B1E7A"/>
    <w:rsid w:val="008470B7"/>
    <w:rsid w:val="009B6503"/>
    <w:rsid w:val="00A91C5E"/>
    <w:rsid w:val="00A92A7E"/>
    <w:rsid w:val="00AB4DDC"/>
    <w:rsid w:val="00B57B45"/>
    <w:rsid w:val="00C77269"/>
    <w:rsid w:val="00CF5BF6"/>
    <w:rsid w:val="00D44969"/>
    <w:rsid w:val="00D62BEA"/>
    <w:rsid w:val="00DC0BD2"/>
    <w:rsid w:val="00E324F4"/>
    <w:rsid w:val="00E54016"/>
    <w:rsid w:val="00F76EC1"/>
    <w:rsid w:val="00FD0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E2D68F"/>
  <w15:chartTrackingRefBased/>
  <w15:docId w15:val="{FC74E0DB-42F5-4A8E-8FCC-67AF03173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0B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1E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06F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C0BD2"/>
    <w:rPr>
      <w:b/>
      <w:bCs/>
    </w:rPr>
  </w:style>
  <w:style w:type="table" w:styleId="TableGrid">
    <w:name w:val="Table Grid"/>
    <w:basedOn w:val="TableNormal"/>
    <w:uiPriority w:val="39"/>
    <w:rsid w:val="00DC0B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C0BD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1E7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6B1E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31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9AA"/>
  </w:style>
  <w:style w:type="paragraph" w:styleId="Footer">
    <w:name w:val="footer"/>
    <w:basedOn w:val="Normal"/>
    <w:link w:val="FooterChar"/>
    <w:uiPriority w:val="99"/>
    <w:unhideWhenUsed/>
    <w:rsid w:val="00331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9AA"/>
  </w:style>
  <w:style w:type="paragraph" w:styleId="TOCHeading">
    <w:name w:val="TOC Heading"/>
    <w:basedOn w:val="Heading1"/>
    <w:next w:val="Normal"/>
    <w:uiPriority w:val="39"/>
    <w:unhideWhenUsed/>
    <w:qFormat/>
    <w:rsid w:val="003319AA"/>
    <w:pPr>
      <w:outlineLvl w:val="9"/>
    </w:pPr>
    <w:rPr>
      <w:lang w:val="en-US"/>
    </w:rPr>
  </w:style>
  <w:style w:type="paragraph" w:styleId="TOC1">
    <w:name w:val="toc 1"/>
    <w:basedOn w:val="Normal"/>
    <w:next w:val="Normal"/>
    <w:autoRedefine/>
    <w:uiPriority w:val="39"/>
    <w:unhideWhenUsed/>
    <w:rsid w:val="003319AA"/>
    <w:pPr>
      <w:spacing w:after="100"/>
    </w:pPr>
  </w:style>
  <w:style w:type="paragraph" w:styleId="TOC2">
    <w:name w:val="toc 2"/>
    <w:basedOn w:val="Normal"/>
    <w:next w:val="Normal"/>
    <w:autoRedefine/>
    <w:uiPriority w:val="39"/>
    <w:unhideWhenUsed/>
    <w:rsid w:val="003319AA"/>
    <w:pPr>
      <w:spacing w:after="100"/>
      <w:ind w:left="220"/>
    </w:pPr>
  </w:style>
  <w:style w:type="character" w:styleId="Hyperlink">
    <w:name w:val="Hyperlink"/>
    <w:basedOn w:val="DefaultParagraphFont"/>
    <w:uiPriority w:val="99"/>
    <w:unhideWhenUsed/>
    <w:rsid w:val="003319AA"/>
    <w:rPr>
      <w:color w:val="0563C1" w:themeColor="hyperlink"/>
      <w:u w:val="single"/>
    </w:rPr>
  </w:style>
  <w:style w:type="character" w:styleId="Emphasis">
    <w:name w:val="Emphasis"/>
    <w:basedOn w:val="DefaultParagraphFont"/>
    <w:uiPriority w:val="20"/>
    <w:qFormat/>
    <w:rsid w:val="00A91C5E"/>
    <w:rPr>
      <w:i/>
      <w:iCs/>
    </w:rPr>
  </w:style>
  <w:style w:type="paragraph" w:styleId="ListParagraph">
    <w:name w:val="List Paragraph"/>
    <w:basedOn w:val="Normal"/>
    <w:uiPriority w:val="34"/>
    <w:qFormat/>
    <w:rsid w:val="00262E7D"/>
    <w:pPr>
      <w:ind w:left="720"/>
      <w:contextualSpacing/>
    </w:pPr>
  </w:style>
  <w:style w:type="character" w:styleId="UnresolvedMention">
    <w:name w:val="Unresolved Mention"/>
    <w:basedOn w:val="DefaultParagraphFont"/>
    <w:uiPriority w:val="99"/>
    <w:semiHidden/>
    <w:unhideWhenUsed/>
    <w:rsid w:val="00262E7D"/>
    <w:rPr>
      <w:color w:val="605E5C"/>
      <w:shd w:val="clear" w:color="auto" w:fill="E1DFDD"/>
    </w:rPr>
  </w:style>
  <w:style w:type="character" w:customStyle="1" w:styleId="Heading3Char">
    <w:name w:val="Heading 3 Char"/>
    <w:basedOn w:val="DefaultParagraphFont"/>
    <w:link w:val="Heading3"/>
    <w:uiPriority w:val="9"/>
    <w:semiHidden/>
    <w:rsid w:val="00506FC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B4DD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80620">
      <w:bodyDiv w:val="1"/>
      <w:marLeft w:val="0"/>
      <w:marRight w:val="0"/>
      <w:marTop w:val="0"/>
      <w:marBottom w:val="0"/>
      <w:divBdr>
        <w:top w:val="none" w:sz="0" w:space="0" w:color="auto"/>
        <w:left w:val="none" w:sz="0" w:space="0" w:color="auto"/>
        <w:bottom w:val="none" w:sz="0" w:space="0" w:color="auto"/>
        <w:right w:val="none" w:sz="0" w:space="0" w:color="auto"/>
      </w:divBdr>
    </w:div>
    <w:div w:id="303971806">
      <w:bodyDiv w:val="1"/>
      <w:marLeft w:val="0"/>
      <w:marRight w:val="0"/>
      <w:marTop w:val="0"/>
      <w:marBottom w:val="0"/>
      <w:divBdr>
        <w:top w:val="none" w:sz="0" w:space="0" w:color="auto"/>
        <w:left w:val="none" w:sz="0" w:space="0" w:color="auto"/>
        <w:bottom w:val="none" w:sz="0" w:space="0" w:color="auto"/>
        <w:right w:val="none" w:sz="0" w:space="0" w:color="auto"/>
      </w:divBdr>
    </w:div>
    <w:div w:id="309480412">
      <w:bodyDiv w:val="1"/>
      <w:marLeft w:val="0"/>
      <w:marRight w:val="0"/>
      <w:marTop w:val="0"/>
      <w:marBottom w:val="0"/>
      <w:divBdr>
        <w:top w:val="none" w:sz="0" w:space="0" w:color="auto"/>
        <w:left w:val="none" w:sz="0" w:space="0" w:color="auto"/>
        <w:bottom w:val="none" w:sz="0" w:space="0" w:color="auto"/>
        <w:right w:val="none" w:sz="0" w:space="0" w:color="auto"/>
      </w:divBdr>
    </w:div>
    <w:div w:id="461578446">
      <w:bodyDiv w:val="1"/>
      <w:marLeft w:val="0"/>
      <w:marRight w:val="0"/>
      <w:marTop w:val="0"/>
      <w:marBottom w:val="0"/>
      <w:divBdr>
        <w:top w:val="none" w:sz="0" w:space="0" w:color="auto"/>
        <w:left w:val="none" w:sz="0" w:space="0" w:color="auto"/>
        <w:bottom w:val="none" w:sz="0" w:space="0" w:color="auto"/>
        <w:right w:val="none" w:sz="0" w:space="0" w:color="auto"/>
      </w:divBdr>
    </w:div>
    <w:div w:id="558708461">
      <w:bodyDiv w:val="1"/>
      <w:marLeft w:val="0"/>
      <w:marRight w:val="0"/>
      <w:marTop w:val="0"/>
      <w:marBottom w:val="0"/>
      <w:divBdr>
        <w:top w:val="none" w:sz="0" w:space="0" w:color="auto"/>
        <w:left w:val="none" w:sz="0" w:space="0" w:color="auto"/>
        <w:bottom w:val="none" w:sz="0" w:space="0" w:color="auto"/>
        <w:right w:val="none" w:sz="0" w:space="0" w:color="auto"/>
      </w:divBdr>
    </w:div>
    <w:div w:id="650061591">
      <w:bodyDiv w:val="1"/>
      <w:marLeft w:val="0"/>
      <w:marRight w:val="0"/>
      <w:marTop w:val="0"/>
      <w:marBottom w:val="0"/>
      <w:divBdr>
        <w:top w:val="none" w:sz="0" w:space="0" w:color="auto"/>
        <w:left w:val="none" w:sz="0" w:space="0" w:color="auto"/>
        <w:bottom w:val="none" w:sz="0" w:space="0" w:color="auto"/>
        <w:right w:val="none" w:sz="0" w:space="0" w:color="auto"/>
      </w:divBdr>
    </w:div>
    <w:div w:id="1024743248">
      <w:bodyDiv w:val="1"/>
      <w:marLeft w:val="0"/>
      <w:marRight w:val="0"/>
      <w:marTop w:val="0"/>
      <w:marBottom w:val="0"/>
      <w:divBdr>
        <w:top w:val="none" w:sz="0" w:space="0" w:color="auto"/>
        <w:left w:val="none" w:sz="0" w:space="0" w:color="auto"/>
        <w:bottom w:val="none" w:sz="0" w:space="0" w:color="auto"/>
        <w:right w:val="none" w:sz="0" w:space="0" w:color="auto"/>
      </w:divBdr>
    </w:div>
    <w:div w:id="1030300832">
      <w:bodyDiv w:val="1"/>
      <w:marLeft w:val="0"/>
      <w:marRight w:val="0"/>
      <w:marTop w:val="0"/>
      <w:marBottom w:val="0"/>
      <w:divBdr>
        <w:top w:val="none" w:sz="0" w:space="0" w:color="auto"/>
        <w:left w:val="none" w:sz="0" w:space="0" w:color="auto"/>
        <w:bottom w:val="none" w:sz="0" w:space="0" w:color="auto"/>
        <w:right w:val="none" w:sz="0" w:space="0" w:color="auto"/>
      </w:divBdr>
    </w:div>
    <w:div w:id="1441798945">
      <w:bodyDiv w:val="1"/>
      <w:marLeft w:val="0"/>
      <w:marRight w:val="0"/>
      <w:marTop w:val="0"/>
      <w:marBottom w:val="0"/>
      <w:divBdr>
        <w:top w:val="none" w:sz="0" w:space="0" w:color="auto"/>
        <w:left w:val="none" w:sz="0" w:space="0" w:color="auto"/>
        <w:bottom w:val="none" w:sz="0" w:space="0" w:color="auto"/>
        <w:right w:val="none" w:sz="0" w:space="0" w:color="auto"/>
      </w:divBdr>
    </w:div>
    <w:div w:id="1500777740">
      <w:bodyDiv w:val="1"/>
      <w:marLeft w:val="0"/>
      <w:marRight w:val="0"/>
      <w:marTop w:val="0"/>
      <w:marBottom w:val="0"/>
      <w:divBdr>
        <w:top w:val="none" w:sz="0" w:space="0" w:color="auto"/>
        <w:left w:val="none" w:sz="0" w:space="0" w:color="auto"/>
        <w:bottom w:val="none" w:sz="0" w:space="0" w:color="auto"/>
        <w:right w:val="none" w:sz="0" w:space="0" w:color="auto"/>
      </w:divBdr>
      <w:divsChild>
        <w:div w:id="3357652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4788014">
      <w:bodyDiv w:val="1"/>
      <w:marLeft w:val="0"/>
      <w:marRight w:val="0"/>
      <w:marTop w:val="0"/>
      <w:marBottom w:val="0"/>
      <w:divBdr>
        <w:top w:val="none" w:sz="0" w:space="0" w:color="auto"/>
        <w:left w:val="none" w:sz="0" w:space="0" w:color="auto"/>
        <w:bottom w:val="none" w:sz="0" w:space="0" w:color="auto"/>
        <w:right w:val="none" w:sz="0" w:space="0" w:color="auto"/>
      </w:divBdr>
      <w:divsChild>
        <w:div w:id="16287318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retaileconomics.co.uk/retail-insights/thought-leadership-reports/top-5-strategies-for-retailers-and-brands-to-combat-rising-inflation-and-operating-cos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retail/our-insights/navigating-inflation-in-retail-six-actions-for-retailer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rocerydoppio.com/articles/tesco-the-pillars-of-success-and-market-leadership"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ripps.co.uk/thinking/the-evolution-of-retail-how-technology-is-transforming-the-retail-industry/" TargetMode="External"/><Relationship Id="rId4" Type="http://schemas.openxmlformats.org/officeDocument/2006/relationships/settings" Target="settings.xml"/><Relationship Id="rId9" Type="http://schemas.openxmlformats.org/officeDocument/2006/relationships/hyperlink" Target="https://www.marketing91.com/marketing-mix-of-lid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605BC-A4D0-4EF9-8464-7409AB221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14</Pages>
  <Words>3326</Words>
  <Characters>18959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Reda</dc:creator>
  <cp:keywords/>
  <dc:description/>
  <cp:lastModifiedBy>Reda</cp:lastModifiedBy>
  <cp:revision>15</cp:revision>
  <dcterms:created xsi:type="dcterms:W3CDTF">2025-10-15T13:08:00Z</dcterms:created>
  <dcterms:modified xsi:type="dcterms:W3CDTF">2025-10-23T19:44:00Z</dcterms:modified>
</cp:coreProperties>
</file>