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72819757"/>
        <w:docPartObj>
          <w:docPartGallery w:val="Cover Pages"/>
          <w:docPartUnique/>
        </w:docPartObj>
      </w:sdtPr>
      <w:sdtEndPr>
        <w:rPr>
          <w:rFonts w:ascii="Arial Black" w:eastAsiaTheme="minorHAnsi" w:hAnsi="Arial Black" w:cs="Arial"/>
          <w:color w:val="4C94D8" w:themeColor="text2" w:themeTint="80"/>
          <w:kern w:val="2"/>
          <w:sz w:val="24"/>
          <w:szCs w:val="24"/>
          <w:lang w:val="en-GB"/>
          <w14:ligatures w14:val="standardContextual"/>
        </w:rPr>
      </w:sdtEndPr>
      <w:sdtContent>
        <w:p w14:paraId="237582BF" w14:textId="0B64EADE" w:rsidR="00F67E31" w:rsidRDefault="00F67E31">
          <w:pPr>
            <w:pStyle w:val="NoSpacing"/>
          </w:pPr>
          <w:r>
            <w:rPr>
              <w:noProof/>
            </w:rPr>
            <mc:AlternateContent>
              <mc:Choice Requires="wpg">
                <w:drawing>
                  <wp:anchor distT="0" distB="0" distL="114300" distR="114300" simplePos="0" relativeHeight="251659264" behindDoc="1" locked="0" layoutInCell="1" allowOverlap="1" wp14:anchorId="6E2593AE" wp14:editId="2D3039E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032636" cy="9125712"/>
                    <wp:effectExtent l="0" t="0" r="24765" b="15240"/>
                    <wp:wrapNone/>
                    <wp:docPr id="2" name="Group 26"/>
                    <wp:cNvGraphicFramePr/>
                    <a:graphic xmlns:a="http://schemas.openxmlformats.org/drawingml/2006/main">
                      <a:graphicData uri="http://schemas.microsoft.com/office/word/2010/wordprocessingGroup">
                        <wpg:wgp>
                          <wpg:cNvGrpSpPr/>
                          <wpg:grpSpPr>
                            <a:xfrm>
                              <a:off x="0" y="0"/>
                              <a:ext cx="2032636" cy="9125712"/>
                              <a:chOff x="0" y="0"/>
                              <a:chExt cx="893934"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7" name="Group 7"/>
                            <wpg:cNvGrpSpPr>
                              <a:grpSpLocks noChangeAspect="1"/>
                            </wpg:cNvGrpSpPr>
                            <wpg:grpSpPr>
                              <a:xfrm>
                                <a:off x="76200" y="6024567"/>
                                <a:ext cx="817734" cy="3095803"/>
                                <a:chOff x="80645" y="5010327"/>
                                <a:chExt cx="347663" cy="1317625"/>
                              </a:xfrm>
                            </wpg:grpSpPr>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wgp>
                      </a:graphicData>
                    </a:graphic>
                    <wp14:sizeRelH relativeFrom="page">
                      <wp14:pctWidth>0</wp14:pctWidth>
                    </wp14:sizeRelH>
                    <wp14:sizeRelV relativeFrom="page">
                      <wp14:pctHeight>95000</wp14:pctHeight>
                    </wp14:sizeRelV>
                  </wp:anchor>
                </w:drawing>
              </mc:Choice>
              <mc:Fallback>
                <w:pict>
                  <v:group w14:anchorId="72FE5B4F" id="Group 26" o:spid="_x0000_s1026" style="position:absolute;margin-left:0;margin-top:0;width:160.05pt;height:718.55pt;z-index:-251657216;mso-height-percent:950;mso-left-percent:40;mso-position-horizontal-relative:page;mso-position-vertical:center;mso-position-vertical-relative:page;mso-height-percent:950;mso-left-percent:40" coordsize="8939,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group id="Group 7" o:spid="_x0000_s1028" style="position:absolute;left:762;top:60245;width:8177;height:30958" coordorigin="806,50103" coordsize="3476,13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10" o:spid="_x0000_s1029"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3" o:spid="_x0000_s103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3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6" o:spid="_x0000_s103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3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3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group>
                    <w10:wrap anchorx="page" anchory="page"/>
                  </v:group>
                </w:pict>
              </mc:Fallback>
            </mc:AlternateContent>
          </w:r>
        </w:p>
        <w:p w14:paraId="75640437" w14:textId="589331B4" w:rsidR="00F67E31" w:rsidRDefault="00F67E31" w:rsidP="00F67E31">
          <w:pPr>
            <w:pStyle w:val="NoSpacing"/>
            <w:rPr>
              <w:rFonts w:ascii="Arial Black" w:eastAsiaTheme="minorHAnsi" w:hAnsi="Arial Black" w:cs="Arial"/>
              <w:color w:val="4C94D8" w:themeColor="text2" w:themeTint="80"/>
              <w:kern w:val="2"/>
              <w:sz w:val="24"/>
              <w:szCs w:val="24"/>
              <w:lang w:val="en-GB"/>
              <w14:ligatures w14:val="standardContextual"/>
            </w:rPr>
          </w:pPr>
          <w:r w:rsidRPr="00F67E31">
            <w:rPr>
              <w:rFonts w:ascii="Arial Black" w:eastAsiaTheme="minorHAnsi" w:hAnsi="Arial Black" w:cs="Arial"/>
              <w:color w:val="4C94D8" w:themeColor="text2" w:themeTint="80"/>
              <w:kern w:val="2"/>
              <w:sz w:val="24"/>
              <w:szCs w:val="24"/>
              <w:lang w:val="en-GB"/>
              <w14:ligatures w14:val="standardContextual"/>
            </w:rPr>
            <w:t>Student name:</w:t>
          </w:r>
          <w:r>
            <w:rPr>
              <w:rFonts w:ascii="Arial Black" w:eastAsiaTheme="minorHAnsi" w:hAnsi="Arial Black" w:cs="Arial"/>
              <w:color w:val="4C94D8" w:themeColor="text2" w:themeTint="80"/>
              <w:kern w:val="2"/>
              <w:sz w:val="24"/>
              <w:szCs w:val="24"/>
              <w:lang w:val="en-GB"/>
              <w14:ligatures w14:val="standardContextual"/>
            </w:rPr>
            <w:t xml:space="preserve"> </w:t>
          </w:r>
          <w:r w:rsidR="006A5A63">
            <w:rPr>
              <w:rFonts w:ascii="Arial Black" w:eastAsiaTheme="minorHAnsi" w:hAnsi="Arial Black" w:cs="Arial"/>
              <w:color w:val="4C94D8" w:themeColor="text2" w:themeTint="80"/>
              <w:kern w:val="2"/>
              <w:sz w:val="24"/>
              <w:szCs w:val="24"/>
              <w:lang w:val="en-GB"/>
              <w14:ligatures w14:val="standardContextual"/>
            </w:rPr>
            <w:t xml:space="preserve">Teodora Zenaida Goleanu </w:t>
          </w:r>
        </w:p>
        <w:p w14:paraId="2A300062" w14:textId="2B39F21D" w:rsidR="00F67E31" w:rsidRPr="00F67E31" w:rsidRDefault="00F67E31" w:rsidP="00F67E31">
          <w:pPr>
            <w:pStyle w:val="NoSpacing"/>
            <w:rPr>
              <w:rFonts w:ascii="Arial Black" w:eastAsiaTheme="minorHAnsi" w:hAnsi="Arial Black" w:cs="Arial"/>
              <w:color w:val="4C94D8" w:themeColor="text2" w:themeTint="80"/>
              <w:kern w:val="2"/>
              <w:sz w:val="24"/>
              <w:szCs w:val="24"/>
              <w:lang w:val="en-GB"/>
              <w14:ligatures w14:val="standardContextual"/>
            </w:rPr>
          </w:pPr>
          <w:r>
            <w:rPr>
              <w:rFonts w:ascii="Arial Black" w:eastAsiaTheme="minorHAnsi" w:hAnsi="Arial Black" w:cs="Arial"/>
              <w:color w:val="4C94D8" w:themeColor="text2" w:themeTint="80"/>
              <w:kern w:val="2"/>
              <w:sz w:val="24"/>
              <w:szCs w:val="24"/>
              <w:lang w:val="en-GB"/>
              <w14:ligatures w14:val="standardContextual"/>
            </w:rPr>
            <w:t>Student number</w:t>
          </w:r>
          <w:r w:rsidR="006A5A63">
            <w:rPr>
              <w:rFonts w:ascii="Arial Black" w:eastAsiaTheme="minorHAnsi" w:hAnsi="Arial Black" w:cs="Arial"/>
              <w:color w:val="4C94D8" w:themeColor="text2" w:themeTint="80"/>
              <w:kern w:val="2"/>
              <w:sz w:val="24"/>
              <w:szCs w:val="24"/>
              <w:lang w:val="en-GB"/>
              <w14:ligatures w14:val="standardContextual"/>
            </w:rPr>
            <w:t>: 2414914</w:t>
          </w:r>
          <w:r w:rsidRPr="00F67E31">
            <w:rPr>
              <w:rFonts w:ascii="Arial Black" w:eastAsiaTheme="minorHAnsi" w:hAnsi="Arial Black" w:cs="Arial"/>
              <w:color w:val="4C94D8" w:themeColor="text2" w:themeTint="80"/>
              <w:kern w:val="2"/>
              <w:sz w:val="24"/>
              <w:szCs w:val="24"/>
              <w:lang w:val="en-GB"/>
              <w14:ligatures w14:val="standardContextual"/>
            </w:rPr>
            <w:t xml:space="preserve">   </w:t>
          </w:r>
        </w:p>
        <w:p w14:paraId="0E8B67F3" w14:textId="54DF9746" w:rsidR="00F67E31" w:rsidRPr="00F67E31" w:rsidRDefault="00F67E31" w:rsidP="00F67E31">
          <w:pPr>
            <w:pStyle w:val="NoSpacing"/>
            <w:rPr>
              <w:rFonts w:ascii="Arial Black" w:eastAsiaTheme="minorHAnsi" w:hAnsi="Arial Black" w:cs="Arial"/>
              <w:color w:val="4C94D8" w:themeColor="text2" w:themeTint="80"/>
              <w:kern w:val="2"/>
              <w:sz w:val="24"/>
              <w:szCs w:val="24"/>
              <w:lang w:val="en-GB"/>
              <w14:ligatures w14:val="standardContextual"/>
            </w:rPr>
          </w:pPr>
          <w:r w:rsidRPr="00F67E31">
            <w:rPr>
              <w:rFonts w:ascii="Arial Black" w:eastAsiaTheme="minorHAnsi" w:hAnsi="Arial Black" w:cs="Arial"/>
              <w:color w:val="4C94D8" w:themeColor="text2" w:themeTint="80"/>
              <w:kern w:val="2"/>
              <w:sz w:val="24"/>
              <w:szCs w:val="24"/>
              <w:lang w:val="en-GB"/>
              <w14:ligatures w14:val="standardContextual"/>
            </w:rPr>
            <w:t>Programme:</w:t>
          </w:r>
          <w:r>
            <w:rPr>
              <w:rFonts w:ascii="Arial Black" w:eastAsiaTheme="minorHAnsi" w:hAnsi="Arial Black" w:cs="Arial"/>
              <w:color w:val="4C94D8" w:themeColor="text2" w:themeTint="80"/>
              <w:kern w:val="2"/>
              <w:sz w:val="24"/>
              <w:szCs w:val="24"/>
              <w:lang w:val="en-GB"/>
              <w14:ligatures w14:val="standardContextual"/>
            </w:rPr>
            <w:t xml:space="preserve"> </w:t>
          </w:r>
          <w:r w:rsidRPr="00F67E31">
            <w:rPr>
              <w:rFonts w:ascii="Arial Black" w:eastAsiaTheme="minorHAnsi" w:hAnsi="Arial Black" w:cs="Arial"/>
              <w:color w:val="4C94D8" w:themeColor="text2" w:themeTint="80"/>
              <w:kern w:val="2"/>
              <w:sz w:val="24"/>
              <w:szCs w:val="24"/>
              <w:lang w:val="en-GB"/>
              <w14:ligatures w14:val="standardContextual"/>
            </w:rPr>
            <w:t>CERT HE Social Enterprise Management</w:t>
          </w:r>
        </w:p>
        <w:p w14:paraId="151F9F89" w14:textId="48E04E99" w:rsidR="00F67E31" w:rsidRPr="00F67E31" w:rsidRDefault="00F67E31" w:rsidP="00F67E31">
          <w:pPr>
            <w:pStyle w:val="NoSpacing"/>
            <w:rPr>
              <w:rFonts w:ascii="Arial Black" w:eastAsiaTheme="minorHAnsi" w:hAnsi="Arial Black" w:cs="Arial"/>
              <w:color w:val="4C94D8" w:themeColor="text2" w:themeTint="80"/>
              <w:kern w:val="2"/>
              <w:sz w:val="24"/>
              <w:szCs w:val="24"/>
              <w:lang w:val="en-GB"/>
              <w14:ligatures w14:val="standardContextual"/>
            </w:rPr>
          </w:pPr>
          <w:r w:rsidRPr="00F67E31">
            <w:rPr>
              <w:rFonts w:ascii="Arial Black" w:eastAsiaTheme="minorHAnsi" w:hAnsi="Arial Black" w:cs="Arial"/>
              <w:color w:val="4C94D8" w:themeColor="text2" w:themeTint="80"/>
              <w:kern w:val="2"/>
              <w:sz w:val="24"/>
              <w:szCs w:val="24"/>
              <w:lang w:val="en-GB"/>
              <w14:ligatures w14:val="standardContextual"/>
            </w:rPr>
            <w:t>Module:</w:t>
          </w:r>
          <w:r>
            <w:rPr>
              <w:rFonts w:ascii="Arial Black" w:eastAsiaTheme="minorHAnsi" w:hAnsi="Arial Black" w:cs="Arial"/>
              <w:color w:val="4C94D8" w:themeColor="text2" w:themeTint="80"/>
              <w:kern w:val="2"/>
              <w:sz w:val="24"/>
              <w:szCs w:val="24"/>
              <w:lang w:val="en-GB"/>
              <w14:ligatures w14:val="standardContextual"/>
            </w:rPr>
            <w:t xml:space="preserve"> </w:t>
          </w:r>
          <w:r w:rsidRPr="00F67E31">
            <w:rPr>
              <w:rFonts w:ascii="Arial Black" w:eastAsiaTheme="minorHAnsi" w:hAnsi="Arial Black" w:cs="Arial"/>
              <w:color w:val="4C94D8" w:themeColor="text2" w:themeTint="80"/>
              <w:kern w:val="2"/>
              <w:sz w:val="24"/>
              <w:szCs w:val="24"/>
              <w:lang w:val="en-GB"/>
              <w14:ligatures w14:val="standardContextual"/>
            </w:rPr>
            <w:t>Social Enterprise: Theory and Practise</w:t>
          </w:r>
        </w:p>
        <w:p w14:paraId="7937FE78" w14:textId="4D842570" w:rsidR="00F67E31" w:rsidRPr="00F67E31" w:rsidRDefault="00F67E31" w:rsidP="00F67E31">
          <w:pPr>
            <w:pStyle w:val="NoSpacing"/>
            <w:rPr>
              <w:rFonts w:ascii="Arial Black" w:eastAsiaTheme="minorHAnsi" w:hAnsi="Arial Black" w:cs="Arial"/>
              <w:color w:val="4C94D8" w:themeColor="text2" w:themeTint="80"/>
              <w:kern w:val="2"/>
              <w:sz w:val="24"/>
              <w:szCs w:val="24"/>
              <w:lang w:val="en-GB"/>
              <w14:ligatures w14:val="standardContextual"/>
            </w:rPr>
          </w:pPr>
          <w:r w:rsidRPr="00F67E31">
            <w:rPr>
              <w:rFonts w:ascii="Arial Black" w:eastAsiaTheme="minorHAnsi" w:hAnsi="Arial Black" w:cs="Arial"/>
              <w:color w:val="4C94D8" w:themeColor="text2" w:themeTint="80"/>
              <w:kern w:val="2"/>
              <w:sz w:val="24"/>
              <w:szCs w:val="24"/>
              <w:lang w:val="en-GB"/>
              <w14:ligatures w14:val="standardContextual"/>
            </w:rPr>
            <w:t>Module code:</w:t>
          </w:r>
          <w:r>
            <w:rPr>
              <w:rFonts w:ascii="Arial Black" w:eastAsiaTheme="minorHAnsi" w:hAnsi="Arial Black" w:cs="Arial"/>
              <w:color w:val="4C94D8" w:themeColor="text2" w:themeTint="80"/>
              <w:kern w:val="2"/>
              <w:sz w:val="24"/>
              <w:szCs w:val="24"/>
              <w:lang w:val="en-GB"/>
              <w14:ligatures w14:val="standardContextual"/>
            </w:rPr>
            <w:t xml:space="preserve"> </w:t>
          </w:r>
          <w:r w:rsidRPr="00F67E31">
            <w:rPr>
              <w:rFonts w:ascii="Arial Black" w:eastAsiaTheme="minorHAnsi" w:hAnsi="Arial Black" w:cs="Arial"/>
              <w:color w:val="4C94D8" w:themeColor="text2" w:themeTint="80"/>
              <w:kern w:val="2"/>
              <w:sz w:val="24"/>
              <w:szCs w:val="24"/>
              <w:lang w:val="en-GB"/>
              <w14:ligatures w14:val="standardContextual"/>
            </w:rPr>
            <w:t>BMSE4009D</w:t>
          </w:r>
        </w:p>
        <w:p w14:paraId="365628F2" w14:textId="604287E3" w:rsidR="00F67E31" w:rsidRDefault="00F67E31" w:rsidP="00F67E31">
          <w:pPr>
            <w:rPr>
              <w:rFonts w:ascii="Arial Black" w:hAnsi="Arial Black" w:cs="Arial"/>
              <w:color w:val="4C94D8" w:themeColor="text2" w:themeTint="80"/>
            </w:rPr>
          </w:pPr>
          <w:r w:rsidRPr="00F67E31">
            <w:rPr>
              <w:rFonts w:ascii="Arial Black" w:hAnsi="Arial Black" w:cs="Arial"/>
              <w:color w:val="4C94D8" w:themeColor="text2" w:themeTint="80"/>
            </w:rPr>
            <w:t>Lecturer:</w:t>
          </w:r>
          <w:r>
            <w:rPr>
              <w:rFonts w:ascii="Arial Black" w:hAnsi="Arial Black" w:cs="Arial"/>
              <w:color w:val="4C94D8" w:themeColor="text2" w:themeTint="80"/>
            </w:rPr>
            <w:t xml:space="preserve"> </w:t>
          </w:r>
          <w:r w:rsidRPr="00F67E31">
            <w:rPr>
              <w:rFonts w:ascii="Arial Black" w:hAnsi="Arial Black" w:cs="Arial"/>
              <w:color w:val="4C94D8" w:themeColor="text2" w:themeTint="80"/>
            </w:rPr>
            <w:t>Jessica Shore</w:t>
          </w:r>
          <w:r>
            <w:rPr>
              <w:noProof/>
            </w:rPr>
            <mc:AlternateContent>
              <mc:Choice Requires="wps">
                <w:drawing>
                  <wp:anchor distT="0" distB="0" distL="114300" distR="114300" simplePos="0" relativeHeight="251660288" behindDoc="0" locked="0" layoutInCell="1" allowOverlap="1" wp14:anchorId="343C3298" wp14:editId="3FF39C80">
                    <wp:simplePos x="0" y="0"/>
                    <wp:positionH relativeFrom="margin">
                      <wp:posOffset>586105</wp:posOffset>
                    </wp:positionH>
                    <wp:positionV relativeFrom="page">
                      <wp:posOffset>6623050</wp:posOffset>
                    </wp:positionV>
                    <wp:extent cx="5090160" cy="1155700"/>
                    <wp:effectExtent l="0" t="0" r="15240" b="6350"/>
                    <wp:wrapNone/>
                    <wp:docPr id="1" name="Text Box 30"/>
                    <wp:cNvGraphicFramePr/>
                    <a:graphic xmlns:a="http://schemas.openxmlformats.org/drawingml/2006/main">
                      <a:graphicData uri="http://schemas.microsoft.com/office/word/2010/wordprocessingShape">
                        <wps:wsp>
                          <wps:cNvSpPr txBox="1"/>
                          <wps:spPr>
                            <a:xfrm>
                              <a:off x="0" y="0"/>
                              <a:ext cx="5090160" cy="1155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C8DC9C" w14:textId="239E088B" w:rsidR="00F67E31" w:rsidRPr="00F67E31" w:rsidRDefault="00F67E31" w:rsidP="00F67E31">
                                <w:pPr>
                                  <w:pStyle w:val="NoSpacing"/>
                                  <w:rPr>
                                    <w:rFonts w:asciiTheme="majorHAnsi" w:eastAsiaTheme="majorEastAsia" w:hAnsiTheme="majorHAnsi" w:cstheme="majorBidi"/>
                                    <w:color w:val="262626" w:themeColor="text1" w:themeTint="D9"/>
                                    <w:sz w:val="72"/>
                                  </w:rPr>
                                </w:pPr>
                                <w:sdt>
                                  <w:sdtPr>
                                    <w:rPr>
                                      <w:rFonts w:ascii="Arial Black" w:eastAsiaTheme="majorEastAsia" w:hAnsi="Arial Black"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F67E31">
                                      <w:rPr>
                                        <w:rFonts w:ascii="Arial Black" w:eastAsiaTheme="majorEastAsia" w:hAnsi="Arial Black" w:cstheme="majorBidi"/>
                                        <w:color w:val="262626" w:themeColor="text1" w:themeTint="D9"/>
                                        <w:sz w:val="52"/>
                                        <w:szCs w:val="52"/>
                                      </w:rPr>
                                      <w:t>Social Impact Measurement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43C3298" id="_x0000_t202" coordsize="21600,21600" o:spt="202" path="m,l,21600r21600,l21600,xe">
                    <v:stroke joinstyle="miter"/>
                    <v:path gradientshapeok="t" o:connecttype="rect"/>
                  </v:shapetype>
                  <v:shape id="Text Box 30" o:spid="_x0000_s1026" type="#_x0000_t202" style="position:absolute;margin-left:46.15pt;margin-top:521.5pt;width:400.8pt;height:91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" filled="f" stroked="f" strokeweight=".5pt">
                    <v:textbox inset="0,0,0,0">
                      <w:txbxContent>
                        <w:p w14:paraId="6AC8DC9C" w14:textId="239E088B" w:rsidR="00F67E31" w:rsidRPr="00F67E31" w:rsidRDefault="00F67E31" w:rsidP="00F67E31">
                          <w:pPr>
                            <w:pStyle w:val="NoSpacing"/>
                            <w:rPr>
                              <w:rFonts w:asciiTheme="majorHAnsi" w:eastAsiaTheme="majorEastAsia" w:hAnsiTheme="majorHAnsi" w:cstheme="majorBidi"/>
                              <w:color w:val="262626" w:themeColor="text1" w:themeTint="D9"/>
                              <w:sz w:val="72"/>
                            </w:rPr>
                          </w:pPr>
                          <w:sdt>
                            <w:sdtPr>
                              <w:rPr>
                                <w:rFonts w:ascii="Arial Black" w:eastAsiaTheme="majorEastAsia" w:hAnsi="Arial Black"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F67E31">
                                <w:rPr>
                                  <w:rFonts w:ascii="Arial Black" w:eastAsiaTheme="majorEastAsia" w:hAnsi="Arial Black" w:cstheme="majorBidi"/>
                                  <w:color w:val="262626" w:themeColor="text1" w:themeTint="D9"/>
                                  <w:sz w:val="52"/>
                                  <w:szCs w:val="52"/>
                                </w:rPr>
                                <w:t>Social Impact Measurement</w:t>
                              </w:r>
                            </w:sdtContent>
                          </w:sdt>
                        </w:p>
                      </w:txbxContent>
                    </v:textbox>
                    <w10:wrap anchorx="margin" anchory="page"/>
                  </v:shape>
                </w:pict>
              </mc:Fallback>
            </mc:AlternateContent>
          </w:r>
          <w:r>
            <w:rPr>
              <w:rFonts w:ascii="Arial Black" w:hAnsi="Arial Black" w:cs="Arial"/>
              <w:color w:val="4C94D8" w:themeColor="text2" w:themeTint="80"/>
            </w:rPr>
            <w:br w:type="page"/>
          </w:r>
        </w:p>
      </w:sdtContent>
    </w:sdt>
    <w:p w14:paraId="04469C22" w14:textId="6141DA07" w:rsidR="002717E5" w:rsidRDefault="002717E5" w:rsidP="00F83AC4">
      <w:pPr>
        <w:spacing w:line="480" w:lineRule="auto"/>
        <w:jc w:val="both"/>
        <w:rPr>
          <w:rFonts w:ascii="Arial Black" w:hAnsi="Arial Black" w:cs="Arial"/>
          <w:color w:val="4C94D8" w:themeColor="text2" w:themeTint="80"/>
        </w:rPr>
      </w:pPr>
      <w:r>
        <w:rPr>
          <w:rFonts w:ascii="Arial Black" w:hAnsi="Arial Black" w:cs="Arial"/>
          <w:color w:val="4C94D8" w:themeColor="text2" w:themeTint="80"/>
        </w:rPr>
        <w:lastRenderedPageBreak/>
        <w:t>Table of Contents</w:t>
      </w:r>
    </w:p>
    <w:p w14:paraId="409F5087" w14:textId="77777777" w:rsidR="00F67E31" w:rsidRDefault="00F67E31" w:rsidP="00F67E31">
      <w:pPr>
        <w:pStyle w:val="ListParagraph"/>
        <w:numPr>
          <w:ilvl w:val="0"/>
          <w:numId w:val="10"/>
        </w:numPr>
        <w:spacing w:line="480" w:lineRule="auto"/>
        <w:jc w:val="both"/>
        <w:rPr>
          <w:rFonts w:ascii="Arial" w:hAnsi="Arial" w:cs="Arial"/>
          <w:color w:val="0D0D0D" w:themeColor="text1" w:themeTint="F2"/>
        </w:rPr>
      </w:pPr>
      <w:r w:rsidRPr="00F67E31">
        <w:rPr>
          <w:rFonts w:ascii="Arial" w:hAnsi="Arial" w:cs="Arial"/>
          <w:color w:val="0D0D0D" w:themeColor="text1" w:themeTint="F2"/>
        </w:rPr>
        <w:t>Executive Summary</w:t>
      </w:r>
    </w:p>
    <w:p w14:paraId="3FE04AA6" w14:textId="77777777" w:rsidR="00F67E31" w:rsidRDefault="00F67E31" w:rsidP="00F67E31">
      <w:pPr>
        <w:pStyle w:val="ListParagraph"/>
        <w:numPr>
          <w:ilvl w:val="0"/>
          <w:numId w:val="10"/>
        </w:numPr>
        <w:spacing w:line="480" w:lineRule="auto"/>
        <w:jc w:val="both"/>
        <w:rPr>
          <w:rFonts w:ascii="Arial" w:hAnsi="Arial" w:cs="Arial"/>
          <w:color w:val="0D0D0D" w:themeColor="text1" w:themeTint="F2"/>
        </w:rPr>
      </w:pPr>
      <w:r w:rsidRPr="00F67E31">
        <w:rPr>
          <w:rFonts w:ascii="Arial" w:hAnsi="Arial" w:cs="Arial"/>
          <w:color w:val="0D0D0D" w:themeColor="text1" w:themeTint="F2"/>
        </w:rPr>
        <w:t>Introduction</w:t>
      </w:r>
    </w:p>
    <w:p w14:paraId="4812E0B0" w14:textId="6ED36BED" w:rsidR="00F67E31" w:rsidRPr="00F67E31" w:rsidRDefault="00F67E31" w:rsidP="00F67E31">
      <w:pPr>
        <w:pStyle w:val="ListParagraph"/>
        <w:numPr>
          <w:ilvl w:val="0"/>
          <w:numId w:val="10"/>
        </w:numPr>
        <w:spacing w:line="480" w:lineRule="auto"/>
        <w:jc w:val="both"/>
        <w:rPr>
          <w:rFonts w:ascii="Arial" w:hAnsi="Arial" w:cs="Arial"/>
          <w:color w:val="0D0D0D" w:themeColor="text1" w:themeTint="F2"/>
        </w:rPr>
      </w:pPr>
      <w:r w:rsidRPr="00F67E31">
        <w:rPr>
          <w:rFonts w:ascii="Arial" w:hAnsi="Arial" w:cs="Arial"/>
          <w:color w:val="0D0D0D" w:themeColor="text1" w:themeTint="F2"/>
        </w:rPr>
        <w:t>Analysis of Social Impact</w:t>
      </w:r>
    </w:p>
    <w:p w14:paraId="1742AE62" w14:textId="587D3391" w:rsidR="00F67E31" w:rsidRPr="00F67E31" w:rsidRDefault="00F67E31" w:rsidP="00F67E31">
      <w:pPr>
        <w:pStyle w:val="ListParagraph"/>
        <w:numPr>
          <w:ilvl w:val="0"/>
          <w:numId w:val="12"/>
        </w:numPr>
        <w:spacing w:line="480" w:lineRule="auto"/>
        <w:jc w:val="both"/>
        <w:rPr>
          <w:rFonts w:ascii="Arial" w:hAnsi="Arial" w:cs="Arial"/>
          <w:color w:val="0D0D0D" w:themeColor="text1" w:themeTint="F2"/>
        </w:rPr>
      </w:pPr>
      <w:r w:rsidRPr="00F67E31">
        <w:rPr>
          <w:rFonts w:ascii="Arial" w:hAnsi="Arial" w:cs="Arial"/>
          <w:color w:val="0D0D0D" w:themeColor="text1" w:themeTint="F2"/>
        </w:rPr>
        <w:t>Inputs</w:t>
      </w:r>
    </w:p>
    <w:p w14:paraId="7428B566" w14:textId="0D733637" w:rsidR="00F67E31" w:rsidRPr="00F67E31" w:rsidRDefault="00F67E31" w:rsidP="00F67E31">
      <w:pPr>
        <w:pStyle w:val="ListParagraph"/>
        <w:numPr>
          <w:ilvl w:val="0"/>
          <w:numId w:val="12"/>
        </w:numPr>
        <w:spacing w:line="480" w:lineRule="auto"/>
        <w:jc w:val="both"/>
        <w:rPr>
          <w:rFonts w:ascii="Arial" w:hAnsi="Arial" w:cs="Arial"/>
          <w:color w:val="0D0D0D" w:themeColor="text1" w:themeTint="F2"/>
        </w:rPr>
      </w:pPr>
      <w:r w:rsidRPr="00F67E31">
        <w:rPr>
          <w:rFonts w:ascii="Arial" w:hAnsi="Arial" w:cs="Arial"/>
          <w:color w:val="0D0D0D" w:themeColor="text1" w:themeTint="F2"/>
        </w:rPr>
        <w:t>Results</w:t>
      </w:r>
    </w:p>
    <w:p w14:paraId="58C3F50D" w14:textId="4B84E8D9" w:rsidR="00F67E31" w:rsidRPr="00F67E31" w:rsidRDefault="00F67E31" w:rsidP="00F67E31">
      <w:pPr>
        <w:pStyle w:val="ListParagraph"/>
        <w:numPr>
          <w:ilvl w:val="0"/>
          <w:numId w:val="12"/>
        </w:numPr>
        <w:spacing w:line="480" w:lineRule="auto"/>
        <w:jc w:val="both"/>
        <w:rPr>
          <w:rFonts w:ascii="Arial" w:hAnsi="Arial" w:cs="Arial"/>
          <w:color w:val="0D0D0D" w:themeColor="text1" w:themeTint="F2"/>
        </w:rPr>
      </w:pPr>
      <w:r w:rsidRPr="00F67E31">
        <w:rPr>
          <w:rFonts w:ascii="Arial" w:hAnsi="Arial" w:cs="Arial"/>
          <w:color w:val="0D0D0D" w:themeColor="text1" w:themeTint="F2"/>
        </w:rPr>
        <w:t>Outcomes</w:t>
      </w:r>
    </w:p>
    <w:p w14:paraId="709CDC3F" w14:textId="3DDDDF73" w:rsidR="00F67E31" w:rsidRPr="00F67E31" w:rsidRDefault="00F67E31" w:rsidP="00F67E31">
      <w:pPr>
        <w:pStyle w:val="ListParagraph"/>
        <w:numPr>
          <w:ilvl w:val="0"/>
          <w:numId w:val="12"/>
        </w:numPr>
        <w:spacing w:line="480" w:lineRule="auto"/>
        <w:jc w:val="both"/>
        <w:rPr>
          <w:rFonts w:ascii="Arial" w:hAnsi="Arial" w:cs="Arial"/>
          <w:color w:val="0D0D0D" w:themeColor="text1" w:themeTint="F2"/>
        </w:rPr>
      </w:pPr>
      <w:r w:rsidRPr="00F67E31">
        <w:rPr>
          <w:rFonts w:ascii="Arial" w:hAnsi="Arial" w:cs="Arial"/>
          <w:color w:val="0D0D0D" w:themeColor="text1" w:themeTint="F2"/>
        </w:rPr>
        <w:t>Effects</w:t>
      </w:r>
    </w:p>
    <w:p w14:paraId="6B6BAF38" w14:textId="77777777" w:rsidR="00F67E31" w:rsidRDefault="00F67E31" w:rsidP="00F67E31">
      <w:pPr>
        <w:pStyle w:val="ListParagraph"/>
        <w:numPr>
          <w:ilvl w:val="0"/>
          <w:numId w:val="10"/>
        </w:numPr>
        <w:spacing w:line="480" w:lineRule="auto"/>
        <w:jc w:val="both"/>
        <w:rPr>
          <w:rFonts w:ascii="Arial" w:hAnsi="Arial" w:cs="Arial"/>
          <w:color w:val="0D0D0D" w:themeColor="text1" w:themeTint="F2"/>
        </w:rPr>
      </w:pPr>
      <w:r w:rsidRPr="00F67E31">
        <w:rPr>
          <w:rFonts w:ascii="Arial" w:hAnsi="Arial" w:cs="Arial"/>
          <w:color w:val="0D0D0D" w:themeColor="text1" w:themeTint="F2"/>
        </w:rPr>
        <w:t>Social Entrepreneurship and Hybrid Idea</w:t>
      </w:r>
    </w:p>
    <w:p w14:paraId="55C9A950" w14:textId="77777777" w:rsidR="00F67E31" w:rsidRDefault="00F67E31" w:rsidP="00F67E31">
      <w:pPr>
        <w:pStyle w:val="ListParagraph"/>
        <w:numPr>
          <w:ilvl w:val="0"/>
          <w:numId w:val="10"/>
        </w:numPr>
        <w:spacing w:line="480" w:lineRule="auto"/>
        <w:jc w:val="both"/>
        <w:rPr>
          <w:rFonts w:ascii="Arial" w:hAnsi="Arial" w:cs="Arial"/>
          <w:color w:val="0D0D0D" w:themeColor="text1" w:themeTint="F2"/>
        </w:rPr>
      </w:pPr>
      <w:r w:rsidRPr="00F67E31">
        <w:rPr>
          <w:rFonts w:ascii="Arial" w:hAnsi="Arial" w:cs="Arial"/>
          <w:color w:val="0D0D0D" w:themeColor="text1" w:themeTint="F2"/>
        </w:rPr>
        <w:t>Assessing Social Impact</w:t>
      </w:r>
    </w:p>
    <w:p w14:paraId="7591EC54" w14:textId="77777777" w:rsidR="00F67E31" w:rsidRDefault="00F67E31" w:rsidP="00F67E31">
      <w:pPr>
        <w:pStyle w:val="ListParagraph"/>
        <w:numPr>
          <w:ilvl w:val="0"/>
          <w:numId w:val="10"/>
        </w:numPr>
        <w:spacing w:line="480" w:lineRule="auto"/>
        <w:jc w:val="both"/>
        <w:rPr>
          <w:rFonts w:ascii="Arial" w:hAnsi="Arial" w:cs="Arial"/>
          <w:color w:val="0D0D0D" w:themeColor="text1" w:themeTint="F2"/>
        </w:rPr>
      </w:pPr>
      <w:r w:rsidRPr="00F67E31">
        <w:rPr>
          <w:rFonts w:ascii="Arial" w:hAnsi="Arial" w:cs="Arial"/>
          <w:color w:val="0D0D0D" w:themeColor="text1" w:themeTint="F2"/>
        </w:rPr>
        <w:t>Corporate Social Responsibility</w:t>
      </w:r>
    </w:p>
    <w:p w14:paraId="0F2F1FD5" w14:textId="77777777" w:rsidR="00F67E31" w:rsidRDefault="00F67E31" w:rsidP="00F67E31">
      <w:pPr>
        <w:pStyle w:val="ListParagraph"/>
        <w:numPr>
          <w:ilvl w:val="0"/>
          <w:numId w:val="10"/>
        </w:numPr>
        <w:spacing w:line="480" w:lineRule="auto"/>
        <w:jc w:val="both"/>
        <w:rPr>
          <w:rFonts w:ascii="Arial" w:hAnsi="Arial" w:cs="Arial"/>
          <w:color w:val="0D0D0D" w:themeColor="text1" w:themeTint="F2"/>
        </w:rPr>
      </w:pPr>
      <w:r w:rsidRPr="00F67E31">
        <w:rPr>
          <w:rFonts w:ascii="Arial" w:hAnsi="Arial" w:cs="Arial"/>
          <w:color w:val="0D0D0D" w:themeColor="text1" w:themeTint="F2"/>
        </w:rPr>
        <w:t>Involvement of Stakeholders</w:t>
      </w:r>
    </w:p>
    <w:p w14:paraId="612C4771" w14:textId="77777777" w:rsidR="00F67E31" w:rsidRDefault="00F67E31" w:rsidP="00F67E31">
      <w:pPr>
        <w:pStyle w:val="ListParagraph"/>
        <w:numPr>
          <w:ilvl w:val="0"/>
          <w:numId w:val="10"/>
        </w:numPr>
        <w:spacing w:line="480" w:lineRule="auto"/>
        <w:jc w:val="both"/>
        <w:rPr>
          <w:rFonts w:ascii="Arial" w:hAnsi="Arial" w:cs="Arial"/>
          <w:color w:val="0D0D0D" w:themeColor="text1" w:themeTint="F2"/>
        </w:rPr>
      </w:pPr>
      <w:r w:rsidRPr="00F67E31">
        <w:rPr>
          <w:rFonts w:ascii="Arial" w:hAnsi="Arial" w:cs="Arial"/>
          <w:color w:val="0D0D0D" w:themeColor="text1" w:themeTint="F2"/>
        </w:rPr>
        <w:t>Difficulties and Criticisms</w:t>
      </w:r>
    </w:p>
    <w:p w14:paraId="6F4E80E3" w14:textId="77777777" w:rsidR="00F67E31" w:rsidRDefault="00F67E31" w:rsidP="00F67E31">
      <w:pPr>
        <w:pStyle w:val="ListParagraph"/>
        <w:numPr>
          <w:ilvl w:val="0"/>
          <w:numId w:val="10"/>
        </w:numPr>
        <w:spacing w:line="480" w:lineRule="auto"/>
        <w:jc w:val="both"/>
        <w:rPr>
          <w:rFonts w:ascii="Arial" w:hAnsi="Arial" w:cs="Arial"/>
          <w:color w:val="0D0D0D" w:themeColor="text1" w:themeTint="F2"/>
        </w:rPr>
      </w:pPr>
      <w:r w:rsidRPr="00F67E31">
        <w:rPr>
          <w:rFonts w:ascii="Arial" w:hAnsi="Arial" w:cs="Arial"/>
          <w:color w:val="0D0D0D" w:themeColor="text1" w:themeTint="F2"/>
        </w:rPr>
        <w:t>Ethical Consume</w:t>
      </w:r>
      <w:r>
        <w:rPr>
          <w:rFonts w:ascii="Arial" w:hAnsi="Arial" w:cs="Arial"/>
          <w:color w:val="0D0D0D" w:themeColor="text1" w:themeTint="F2"/>
        </w:rPr>
        <w:t>r</w:t>
      </w:r>
    </w:p>
    <w:p w14:paraId="32514E1C" w14:textId="4F8653ED" w:rsidR="00F67E31" w:rsidRDefault="00F67E31" w:rsidP="00F67E31">
      <w:pPr>
        <w:pStyle w:val="ListParagraph"/>
        <w:numPr>
          <w:ilvl w:val="0"/>
          <w:numId w:val="10"/>
        </w:numPr>
        <w:spacing w:line="480" w:lineRule="auto"/>
        <w:jc w:val="both"/>
        <w:rPr>
          <w:rFonts w:ascii="Arial" w:hAnsi="Arial" w:cs="Arial"/>
          <w:color w:val="0D0D0D" w:themeColor="text1" w:themeTint="F2"/>
        </w:rPr>
      </w:pPr>
      <w:r w:rsidRPr="00F67E31">
        <w:rPr>
          <w:rFonts w:ascii="Arial" w:hAnsi="Arial" w:cs="Arial"/>
          <w:color w:val="0D0D0D" w:themeColor="text1" w:themeTint="F2"/>
        </w:rPr>
        <w:t>Conclusion</w:t>
      </w:r>
    </w:p>
    <w:p w14:paraId="4ED5C737" w14:textId="6FA14E73" w:rsidR="00F67E31" w:rsidRPr="00F67E31" w:rsidRDefault="00F67E31" w:rsidP="00F67E31">
      <w:pPr>
        <w:pStyle w:val="ListParagraph"/>
        <w:numPr>
          <w:ilvl w:val="0"/>
          <w:numId w:val="10"/>
        </w:numPr>
        <w:spacing w:line="480" w:lineRule="auto"/>
        <w:jc w:val="both"/>
        <w:rPr>
          <w:rFonts w:ascii="Arial" w:hAnsi="Arial" w:cs="Arial"/>
          <w:color w:val="0D0D0D" w:themeColor="text1" w:themeTint="F2"/>
        </w:rPr>
      </w:pPr>
      <w:r>
        <w:rPr>
          <w:rFonts w:ascii="Arial" w:hAnsi="Arial" w:cs="Arial"/>
          <w:color w:val="0D0D0D" w:themeColor="text1" w:themeTint="F2"/>
        </w:rPr>
        <w:t xml:space="preserve">References </w:t>
      </w:r>
    </w:p>
    <w:p w14:paraId="748D1B41" w14:textId="77777777" w:rsidR="002717E5" w:rsidRDefault="002717E5">
      <w:pPr>
        <w:rPr>
          <w:rFonts w:ascii="Arial Black" w:hAnsi="Arial Black" w:cs="Arial"/>
          <w:color w:val="4C94D8" w:themeColor="text2" w:themeTint="80"/>
        </w:rPr>
      </w:pPr>
      <w:r>
        <w:rPr>
          <w:rFonts w:ascii="Arial Black" w:hAnsi="Arial Black" w:cs="Arial"/>
          <w:color w:val="4C94D8" w:themeColor="text2" w:themeTint="80"/>
        </w:rPr>
        <w:br w:type="page"/>
      </w:r>
    </w:p>
    <w:p w14:paraId="7C9E0BC8" w14:textId="23E07249" w:rsidR="002717E5" w:rsidRDefault="002717E5" w:rsidP="00F83AC4">
      <w:pPr>
        <w:spacing w:line="480" w:lineRule="auto"/>
        <w:jc w:val="both"/>
        <w:rPr>
          <w:rFonts w:ascii="Arial Black" w:hAnsi="Arial Black" w:cs="Arial"/>
          <w:color w:val="4C94D8" w:themeColor="text2" w:themeTint="80"/>
        </w:rPr>
      </w:pPr>
      <w:r>
        <w:rPr>
          <w:rFonts w:ascii="Arial Black" w:hAnsi="Arial Black" w:cs="Arial"/>
          <w:color w:val="4C94D8" w:themeColor="text2" w:themeTint="80"/>
        </w:rPr>
        <w:lastRenderedPageBreak/>
        <w:t>Executive Summary</w:t>
      </w:r>
    </w:p>
    <w:p w14:paraId="530A4F16" w14:textId="2DE2D828" w:rsidR="002717E5" w:rsidRDefault="002717E5" w:rsidP="002717E5">
      <w:pPr>
        <w:spacing w:line="480" w:lineRule="auto"/>
        <w:jc w:val="both"/>
        <w:rPr>
          <w:rFonts w:ascii="Arial" w:hAnsi="Arial" w:cs="Arial"/>
          <w:color w:val="0D0D0D" w:themeColor="text1" w:themeTint="F2"/>
        </w:rPr>
      </w:pPr>
      <w:r w:rsidRPr="002717E5">
        <w:rPr>
          <w:rFonts w:ascii="Arial" w:hAnsi="Arial" w:cs="Arial"/>
          <w:color w:val="0D0D0D" w:themeColor="text1" w:themeTint="F2"/>
        </w:rPr>
        <w:t xml:space="preserve">This paper investigates the social impact of Warby Parker, an eyeglasses company that is well-known for its "Buy a Pair, Give a Pair" campaign. Through this program, the firm donates a pair of spectacles to a person who is in need for every pair of glasses that is sold. Using the social impact calculation approach developed by the Social Audit Network, the paper examines the ways in which Warby Parker contributes to social welfare, ethical consumerism, and sustainable business practices. This analysis </w:t>
      </w:r>
      <w:r w:rsidRPr="002717E5">
        <w:rPr>
          <w:rFonts w:ascii="Arial" w:hAnsi="Arial" w:cs="Arial"/>
          <w:color w:val="0D0D0D" w:themeColor="text1" w:themeTint="F2"/>
        </w:rPr>
        <w:t>considers</w:t>
      </w:r>
      <w:r w:rsidRPr="002717E5">
        <w:rPr>
          <w:rFonts w:ascii="Arial" w:hAnsi="Arial" w:cs="Arial"/>
          <w:color w:val="0D0D0D" w:themeColor="text1" w:themeTint="F2"/>
        </w:rPr>
        <w:t xml:space="preserve"> several perspectives, including those pertaining to social entrepreneurship, corporate social responsibility, and social return on investment. Based on the data, it can be concluded that Warby Parker has a substantial impact on communities all over the world by enhancing accessibility to eyewear, encouraging social inclusion, and supporting a company model that practices social responsibility.</w:t>
      </w:r>
    </w:p>
    <w:p w14:paraId="6512E421" w14:textId="77777777" w:rsidR="002717E5" w:rsidRPr="002717E5" w:rsidRDefault="002717E5" w:rsidP="002717E5">
      <w:pPr>
        <w:spacing w:line="480" w:lineRule="auto"/>
        <w:jc w:val="both"/>
        <w:rPr>
          <w:rFonts w:ascii="Arial" w:hAnsi="Arial" w:cs="Arial"/>
          <w:color w:val="0D0D0D" w:themeColor="text1" w:themeTint="F2"/>
        </w:rPr>
      </w:pPr>
    </w:p>
    <w:p w14:paraId="1DC973FA" w14:textId="77777777" w:rsidR="002717E5" w:rsidRDefault="002717E5" w:rsidP="00F83AC4">
      <w:pPr>
        <w:spacing w:line="480" w:lineRule="auto"/>
        <w:jc w:val="both"/>
        <w:rPr>
          <w:rFonts w:ascii="Arial Black" w:hAnsi="Arial Black" w:cs="Arial"/>
          <w:color w:val="4C94D8" w:themeColor="text2" w:themeTint="80"/>
        </w:rPr>
      </w:pPr>
    </w:p>
    <w:p w14:paraId="12AAA8E2" w14:textId="77777777" w:rsidR="002717E5" w:rsidRDefault="002717E5">
      <w:pPr>
        <w:rPr>
          <w:rFonts w:ascii="Arial Black" w:hAnsi="Arial Black" w:cs="Arial"/>
          <w:color w:val="4C94D8" w:themeColor="text2" w:themeTint="80"/>
        </w:rPr>
      </w:pPr>
      <w:r>
        <w:rPr>
          <w:rFonts w:ascii="Arial Black" w:hAnsi="Arial Black" w:cs="Arial"/>
          <w:color w:val="4C94D8" w:themeColor="text2" w:themeTint="80"/>
        </w:rPr>
        <w:br w:type="page"/>
      </w:r>
    </w:p>
    <w:p w14:paraId="04C1809F" w14:textId="5636E2E1" w:rsidR="00F83AC4" w:rsidRPr="00E71EC6" w:rsidRDefault="008936A8" w:rsidP="00F83AC4">
      <w:pPr>
        <w:spacing w:line="480" w:lineRule="auto"/>
        <w:jc w:val="both"/>
        <w:rPr>
          <w:rFonts w:ascii="Arial Black" w:hAnsi="Arial Black" w:cs="Arial"/>
          <w:color w:val="4C94D8" w:themeColor="text2" w:themeTint="80"/>
        </w:rPr>
      </w:pPr>
      <w:r w:rsidRPr="00E71EC6">
        <w:rPr>
          <w:rFonts w:ascii="Arial Black" w:hAnsi="Arial Black" w:cs="Arial"/>
          <w:color w:val="4C94D8" w:themeColor="text2" w:themeTint="80"/>
        </w:rPr>
        <w:lastRenderedPageBreak/>
        <w:t>Introduction</w:t>
      </w:r>
    </w:p>
    <w:p w14:paraId="3426AF0F" w14:textId="77777777" w:rsidR="00F83AC4" w:rsidRDefault="008936A8" w:rsidP="00F83AC4">
      <w:pPr>
        <w:spacing w:line="480" w:lineRule="auto"/>
        <w:jc w:val="both"/>
        <w:rPr>
          <w:rFonts w:ascii="Arial" w:hAnsi="Arial" w:cs="Arial"/>
        </w:rPr>
      </w:pPr>
      <w:r w:rsidRPr="00F83AC4">
        <w:rPr>
          <w:rFonts w:ascii="Arial" w:hAnsi="Arial" w:cs="Arial"/>
        </w:rPr>
        <w:t xml:space="preserve">Established in 2010 by Neil Blumenthal and Dave Gilboa, Warby Parker transformed the eyewear market by providing fashionable, budget-friendly glasses along with a robust social purpose. The "Buy a Pair, </w:t>
      </w:r>
      <w:r w:rsidR="00F83AC4" w:rsidRPr="00F83AC4">
        <w:rPr>
          <w:rFonts w:ascii="Arial" w:hAnsi="Arial" w:cs="Arial"/>
        </w:rPr>
        <w:t>give</w:t>
      </w:r>
      <w:r w:rsidRPr="00F83AC4">
        <w:rPr>
          <w:rFonts w:ascii="Arial" w:hAnsi="Arial" w:cs="Arial"/>
        </w:rPr>
        <w:t xml:space="preserve"> a Pair" initiative by the company tackles the worldwide challenge of vision impairment caused by the unavailability of affordable glasses. Through collaborations with nonprofit organisations, Warby Parker contributes a pair of glasses to an individual in need for each pair purchased, reflecting the core principles of social entrepreneurship (Austin, Stevenson, &amp; Skillern, 2006).</w:t>
      </w:r>
    </w:p>
    <w:p w14:paraId="662037A0" w14:textId="77777777" w:rsidR="00F83AC4" w:rsidRDefault="008936A8" w:rsidP="00F83AC4">
      <w:pPr>
        <w:spacing w:line="480" w:lineRule="auto"/>
        <w:jc w:val="both"/>
        <w:rPr>
          <w:rFonts w:ascii="Arial" w:hAnsi="Arial" w:cs="Arial"/>
        </w:rPr>
      </w:pPr>
      <w:r w:rsidRPr="00F83AC4">
        <w:rPr>
          <w:rFonts w:ascii="Arial" w:hAnsi="Arial" w:cs="Arial"/>
        </w:rPr>
        <w:t xml:space="preserve">Approximately 2.5 billion individuals around the globe require glasses but do not have access to them (Pritchard, Ní </w:t>
      </w:r>
      <w:proofErr w:type="spellStart"/>
      <w:r w:rsidRPr="00F83AC4">
        <w:rPr>
          <w:rFonts w:ascii="Arial" w:hAnsi="Arial" w:cs="Arial"/>
        </w:rPr>
        <w:t>Ógáin</w:t>
      </w:r>
      <w:proofErr w:type="spellEnd"/>
      <w:r w:rsidRPr="00F83AC4">
        <w:rPr>
          <w:rFonts w:ascii="Arial" w:hAnsi="Arial" w:cs="Arial"/>
        </w:rPr>
        <w:t>, &amp; Lumley, 2012). The disparity has important consequences for education, job opportunities, and overall quality of life. Warby Parker seeks to close this gap by utilising a sustainable business model that incorporates social impact into its fundamental operations.</w:t>
      </w:r>
    </w:p>
    <w:p w14:paraId="166D111C" w14:textId="77777777" w:rsidR="00F83AC4" w:rsidRDefault="008936A8" w:rsidP="00F83AC4">
      <w:pPr>
        <w:spacing w:line="480" w:lineRule="auto"/>
        <w:jc w:val="both"/>
        <w:rPr>
          <w:rFonts w:ascii="Arial" w:hAnsi="Arial" w:cs="Arial"/>
        </w:rPr>
      </w:pPr>
      <w:r w:rsidRPr="00F83AC4">
        <w:rPr>
          <w:rFonts w:ascii="Arial" w:hAnsi="Arial" w:cs="Arial"/>
        </w:rPr>
        <w:t>This report examines Warby Parker's social impact through the lens of the Social Audit Network's framework for calculating social impact. The examination delves into the ways in which the company's activities influence stakeholders and foster the creation of social value, utilising pertinent theoretical viewpoints and integrating findings from contemporary literature on assessing social impact.</w:t>
      </w:r>
    </w:p>
    <w:p w14:paraId="183F41EA" w14:textId="77777777" w:rsidR="00F83AC4" w:rsidRPr="00E71EC6" w:rsidRDefault="008936A8" w:rsidP="00F83AC4">
      <w:pPr>
        <w:spacing w:line="480" w:lineRule="auto"/>
        <w:jc w:val="both"/>
        <w:rPr>
          <w:rFonts w:ascii="Arial Black" w:hAnsi="Arial Black" w:cs="Arial"/>
          <w:color w:val="4C94D8" w:themeColor="text2" w:themeTint="80"/>
        </w:rPr>
      </w:pPr>
      <w:r w:rsidRPr="00E71EC6">
        <w:rPr>
          <w:rFonts w:ascii="Arial Black" w:hAnsi="Arial Black" w:cs="Arial"/>
          <w:color w:val="4C94D8" w:themeColor="text2" w:themeTint="80"/>
        </w:rPr>
        <w:t>Analysis of Social Impact</w:t>
      </w:r>
    </w:p>
    <w:p w14:paraId="323D2F5A" w14:textId="77777777" w:rsidR="00F83AC4" w:rsidRDefault="008936A8" w:rsidP="00F83AC4">
      <w:pPr>
        <w:spacing w:line="480" w:lineRule="auto"/>
        <w:jc w:val="both"/>
        <w:rPr>
          <w:rFonts w:ascii="Arial" w:hAnsi="Arial" w:cs="Arial"/>
        </w:rPr>
      </w:pPr>
      <w:r w:rsidRPr="00F83AC4">
        <w:rPr>
          <w:rFonts w:ascii="Arial" w:hAnsi="Arial" w:cs="Arial"/>
        </w:rPr>
        <w:t>The framework of the Social Audit Network includes evaluating the inputs, outputs, outcomes, and impacts of an organization's activities (Arvidson, Lyon, &amp; McKay, 2013).</w:t>
      </w:r>
    </w:p>
    <w:p w14:paraId="0C13B45C" w14:textId="77777777" w:rsidR="00F83AC4" w:rsidRDefault="00F83AC4" w:rsidP="00F83AC4">
      <w:pPr>
        <w:spacing w:line="480" w:lineRule="auto"/>
        <w:jc w:val="both"/>
        <w:rPr>
          <w:rFonts w:ascii="Arial" w:hAnsi="Arial" w:cs="Arial"/>
        </w:rPr>
      </w:pPr>
    </w:p>
    <w:p w14:paraId="7EC06747" w14:textId="20EC8705" w:rsidR="00F83AC4" w:rsidRDefault="008936A8" w:rsidP="00F83AC4">
      <w:pPr>
        <w:spacing w:line="480" w:lineRule="auto"/>
        <w:jc w:val="both"/>
        <w:rPr>
          <w:rFonts w:ascii="Arial" w:hAnsi="Arial" w:cs="Arial"/>
        </w:rPr>
      </w:pPr>
      <w:r w:rsidRPr="00E71EC6">
        <w:rPr>
          <w:rFonts w:ascii="Arial Black" w:hAnsi="Arial Black" w:cs="Arial"/>
          <w:color w:val="4C94D8" w:themeColor="text2" w:themeTint="80"/>
        </w:rPr>
        <w:lastRenderedPageBreak/>
        <w:t>Inputs</w:t>
      </w:r>
      <w:r w:rsidRPr="00E71EC6">
        <w:rPr>
          <w:rFonts w:ascii="Arial Black" w:hAnsi="Arial Black" w:cs="Arial"/>
          <w:color w:val="4C94D8" w:themeColor="text2" w:themeTint="80"/>
        </w:rPr>
        <w:br/>
      </w:r>
      <w:r w:rsidRPr="00F83AC4">
        <w:rPr>
          <w:rFonts w:ascii="Arial" w:hAnsi="Arial" w:cs="Arial"/>
        </w:rPr>
        <w:t>Warby Parker dedicates substantial resources to its social mission:</w:t>
      </w:r>
    </w:p>
    <w:p w14:paraId="799A4E6C" w14:textId="77777777" w:rsidR="00F83AC4" w:rsidRPr="00E71EC6" w:rsidRDefault="008936A8" w:rsidP="00E71EC6">
      <w:pPr>
        <w:pStyle w:val="ListParagraph"/>
        <w:numPr>
          <w:ilvl w:val="0"/>
          <w:numId w:val="9"/>
        </w:numPr>
        <w:spacing w:line="480" w:lineRule="auto"/>
        <w:jc w:val="both"/>
        <w:rPr>
          <w:rFonts w:ascii="Arial" w:hAnsi="Arial" w:cs="Arial"/>
        </w:rPr>
      </w:pPr>
      <w:r w:rsidRPr="00E71EC6">
        <w:rPr>
          <w:rFonts w:ascii="Arial" w:hAnsi="Arial" w:cs="Arial"/>
        </w:rPr>
        <w:t>Financial Resources: A segment of the company's income is designated to support the donation initiative.</w:t>
      </w:r>
    </w:p>
    <w:p w14:paraId="059406FD" w14:textId="77777777" w:rsidR="00F83AC4" w:rsidRPr="00E71EC6" w:rsidRDefault="008936A8" w:rsidP="00E71EC6">
      <w:pPr>
        <w:pStyle w:val="ListParagraph"/>
        <w:numPr>
          <w:ilvl w:val="0"/>
          <w:numId w:val="9"/>
        </w:numPr>
        <w:spacing w:line="480" w:lineRule="auto"/>
        <w:jc w:val="both"/>
        <w:rPr>
          <w:rFonts w:ascii="Arial" w:hAnsi="Arial" w:cs="Arial"/>
        </w:rPr>
      </w:pPr>
      <w:r w:rsidRPr="00E71EC6">
        <w:rPr>
          <w:rFonts w:ascii="Arial" w:hAnsi="Arial" w:cs="Arial"/>
        </w:rPr>
        <w:t>Human Capital: Committed teams oversee collaborations and the execution of programs.</w:t>
      </w:r>
    </w:p>
    <w:p w14:paraId="6D7F685B" w14:textId="10BE3E5E" w:rsidR="00F83AC4" w:rsidRPr="00E71EC6" w:rsidRDefault="008936A8" w:rsidP="00E71EC6">
      <w:pPr>
        <w:pStyle w:val="ListParagraph"/>
        <w:numPr>
          <w:ilvl w:val="0"/>
          <w:numId w:val="9"/>
        </w:numPr>
        <w:spacing w:line="480" w:lineRule="auto"/>
        <w:jc w:val="both"/>
        <w:rPr>
          <w:rFonts w:ascii="Arial" w:hAnsi="Arial" w:cs="Arial"/>
        </w:rPr>
      </w:pPr>
      <w:r w:rsidRPr="00E71EC6">
        <w:rPr>
          <w:rFonts w:ascii="Arial" w:hAnsi="Arial" w:cs="Arial"/>
        </w:rPr>
        <w:t xml:space="preserve">Partnerships: Collaborating with nonprofits such as </w:t>
      </w:r>
      <w:r w:rsidR="00F83AC4" w:rsidRPr="00E71EC6">
        <w:rPr>
          <w:rFonts w:ascii="Arial" w:hAnsi="Arial" w:cs="Arial"/>
        </w:rPr>
        <w:t>Vision Spring</w:t>
      </w:r>
      <w:r w:rsidRPr="00E71EC6">
        <w:rPr>
          <w:rFonts w:ascii="Arial" w:hAnsi="Arial" w:cs="Arial"/>
        </w:rPr>
        <w:t xml:space="preserve"> facilitates efficient distribution and enhances impact (Battilana et al., 2012)</w:t>
      </w:r>
      <w:r w:rsidR="00F83AC4" w:rsidRPr="00E71EC6">
        <w:rPr>
          <w:rFonts w:ascii="Arial" w:hAnsi="Arial" w:cs="Arial"/>
        </w:rPr>
        <w:t>.</w:t>
      </w:r>
    </w:p>
    <w:p w14:paraId="165BB3F8" w14:textId="77777777" w:rsidR="00F83AC4" w:rsidRDefault="008936A8" w:rsidP="00F83AC4">
      <w:pPr>
        <w:spacing w:line="480" w:lineRule="auto"/>
        <w:jc w:val="both"/>
        <w:rPr>
          <w:rFonts w:ascii="Arial" w:hAnsi="Arial" w:cs="Arial"/>
        </w:rPr>
      </w:pPr>
      <w:r w:rsidRPr="00F83AC4">
        <w:rPr>
          <w:rFonts w:ascii="Arial" w:hAnsi="Arial" w:cs="Arial"/>
        </w:rPr>
        <w:t>The inputs demonstrate the company's dedication to social responsibility integrated into its business model, in line with hybrid organisations that combine social and commercial objectives (Battilana et al., 2012).</w:t>
      </w:r>
    </w:p>
    <w:p w14:paraId="035C8462" w14:textId="77777777" w:rsidR="00F83AC4" w:rsidRPr="00E71EC6" w:rsidRDefault="008936A8" w:rsidP="00F83AC4">
      <w:pPr>
        <w:spacing w:line="480" w:lineRule="auto"/>
        <w:jc w:val="both"/>
        <w:rPr>
          <w:rFonts w:ascii="Arial Black" w:hAnsi="Arial Black" w:cs="Arial"/>
          <w:color w:val="4C94D8" w:themeColor="text2" w:themeTint="80"/>
        </w:rPr>
      </w:pPr>
      <w:r w:rsidRPr="00E71EC6">
        <w:rPr>
          <w:rFonts w:ascii="Arial Black" w:hAnsi="Arial Black" w:cs="Arial"/>
          <w:color w:val="4C94D8" w:themeColor="text2" w:themeTint="80"/>
        </w:rPr>
        <w:t>Result</w:t>
      </w:r>
      <w:r w:rsidR="00F83AC4" w:rsidRPr="00E71EC6">
        <w:rPr>
          <w:rFonts w:ascii="Arial Black" w:hAnsi="Arial Black" w:cs="Arial"/>
          <w:color w:val="4C94D8" w:themeColor="text2" w:themeTint="80"/>
        </w:rPr>
        <w:t xml:space="preserve">s </w:t>
      </w:r>
    </w:p>
    <w:p w14:paraId="64B6413C" w14:textId="77777777" w:rsidR="00F83AC4" w:rsidRDefault="008936A8" w:rsidP="00F83AC4">
      <w:pPr>
        <w:spacing w:line="480" w:lineRule="auto"/>
        <w:jc w:val="both"/>
        <w:rPr>
          <w:rFonts w:ascii="Arial" w:hAnsi="Arial" w:cs="Arial"/>
        </w:rPr>
      </w:pPr>
      <w:r w:rsidRPr="00F83AC4">
        <w:rPr>
          <w:rFonts w:ascii="Arial" w:hAnsi="Arial" w:cs="Arial"/>
        </w:rPr>
        <w:t>The concrete results of Warby Parker's efforts consist of:</w:t>
      </w:r>
    </w:p>
    <w:p w14:paraId="28F26E7D" w14:textId="77777777" w:rsidR="00F83AC4" w:rsidRPr="00E71EC6" w:rsidRDefault="008936A8" w:rsidP="00E71EC6">
      <w:pPr>
        <w:pStyle w:val="ListParagraph"/>
        <w:numPr>
          <w:ilvl w:val="0"/>
          <w:numId w:val="8"/>
        </w:numPr>
        <w:spacing w:line="480" w:lineRule="auto"/>
        <w:jc w:val="both"/>
        <w:rPr>
          <w:rFonts w:ascii="Arial" w:hAnsi="Arial" w:cs="Arial"/>
        </w:rPr>
      </w:pPr>
      <w:r w:rsidRPr="00E71EC6">
        <w:rPr>
          <w:rFonts w:ascii="Arial" w:hAnsi="Arial" w:cs="Arial"/>
        </w:rPr>
        <w:t>Glasses Distributed: More than eight million pairs of glasses have been distributed around the world.</w:t>
      </w:r>
    </w:p>
    <w:p w14:paraId="6524F7AF" w14:textId="46EE173A" w:rsidR="00751558" w:rsidRPr="00E71EC6" w:rsidRDefault="008936A8" w:rsidP="00E71EC6">
      <w:pPr>
        <w:pStyle w:val="ListParagraph"/>
        <w:numPr>
          <w:ilvl w:val="0"/>
          <w:numId w:val="8"/>
        </w:numPr>
        <w:spacing w:line="480" w:lineRule="auto"/>
        <w:jc w:val="both"/>
        <w:rPr>
          <w:rFonts w:ascii="Arial" w:hAnsi="Arial" w:cs="Arial"/>
        </w:rPr>
      </w:pPr>
      <w:r w:rsidRPr="00E71EC6">
        <w:rPr>
          <w:rFonts w:ascii="Arial" w:hAnsi="Arial" w:cs="Arial"/>
        </w:rPr>
        <w:t>Entrepreneurs Trained: Local individuals receive training to perform eye exams and offer affordable eyewear, promoting entrepreneurship (Prahalad &amp; Hart, 2002).</w:t>
      </w:r>
    </w:p>
    <w:p w14:paraId="333CF979" w14:textId="77777777" w:rsidR="00E71EC6" w:rsidRDefault="008936A8" w:rsidP="00F83AC4">
      <w:pPr>
        <w:pStyle w:val="ListParagraph"/>
        <w:numPr>
          <w:ilvl w:val="0"/>
          <w:numId w:val="8"/>
        </w:numPr>
        <w:spacing w:line="480" w:lineRule="auto"/>
        <w:jc w:val="both"/>
        <w:rPr>
          <w:rFonts w:ascii="Arial" w:hAnsi="Arial" w:cs="Arial"/>
        </w:rPr>
      </w:pPr>
      <w:r w:rsidRPr="00E71EC6">
        <w:rPr>
          <w:rFonts w:ascii="Arial" w:hAnsi="Arial" w:cs="Arial"/>
        </w:rPr>
        <w:t>Eye Exams Conducted: Enhanced availability of vision screenings in underprivileged areas.</w:t>
      </w:r>
    </w:p>
    <w:p w14:paraId="6F413840" w14:textId="57E97BBD" w:rsidR="00751558" w:rsidRPr="00E71EC6" w:rsidRDefault="008936A8" w:rsidP="00E71EC6">
      <w:pPr>
        <w:spacing w:line="480" w:lineRule="auto"/>
        <w:jc w:val="both"/>
        <w:rPr>
          <w:rFonts w:ascii="Arial" w:hAnsi="Arial" w:cs="Arial"/>
        </w:rPr>
      </w:pPr>
      <w:r w:rsidRPr="00E71EC6">
        <w:rPr>
          <w:rFonts w:ascii="Arial" w:hAnsi="Arial" w:cs="Arial"/>
        </w:rPr>
        <w:t>The results are measurable and showcase the extent of the company's initiatives.</w:t>
      </w:r>
    </w:p>
    <w:p w14:paraId="07B6B3AE" w14:textId="77777777" w:rsidR="00751558" w:rsidRDefault="00751558" w:rsidP="00F83AC4">
      <w:pPr>
        <w:spacing w:line="480" w:lineRule="auto"/>
        <w:jc w:val="both"/>
        <w:rPr>
          <w:rFonts w:ascii="Arial" w:hAnsi="Arial" w:cs="Arial"/>
        </w:rPr>
      </w:pPr>
    </w:p>
    <w:p w14:paraId="436CFAD5" w14:textId="46DF8323" w:rsidR="00751558" w:rsidRPr="00E71EC6" w:rsidRDefault="008936A8" w:rsidP="00F83AC4">
      <w:pPr>
        <w:spacing w:line="480" w:lineRule="auto"/>
        <w:jc w:val="both"/>
        <w:rPr>
          <w:rFonts w:ascii="Arial Black" w:hAnsi="Arial Black" w:cs="Arial"/>
          <w:color w:val="4C94D8" w:themeColor="text2" w:themeTint="80"/>
        </w:rPr>
      </w:pPr>
      <w:r w:rsidRPr="00E71EC6">
        <w:rPr>
          <w:rFonts w:ascii="Arial Black" w:hAnsi="Arial Black" w:cs="Arial"/>
          <w:color w:val="4C94D8" w:themeColor="text2" w:themeTint="80"/>
        </w:rPr>
        <w:lastRenderedPageBreak/>
        <w:t>Results</w:t>
      </w:r>
    </w:p>
    <w:p w14:paraId="626A08EC" w14:textId="77777777" w:rsidR="00751558" w:rsidRDefault="008936A8" w:rsidP="00F83AC4">
      <w:pPr>
        <w:spacing w:line="480" w:lineRule="auto"/>
        <w:jc w:val="both"/>
        <w:rPr>
          <w:rFonts w:ascii="Arial" w:hAnsi="Arial" w:cs="Arial"/>
        </w:rPr>
      </w:pPr>
      <w:r w:rsidRPr="00F83AC4">
        <w:rPr>
          <w:rFonts w:ascii="Arial" w:hAnsi="Arial" w:cs="Arial"/>
        </w:rPr>
        <w:t>The direct results stemming from the outputs are:</w:t>
      </w:r>
    </w:p>
    <w:p w14:paraId="01778CD4" w14:textId="77777777" w:rsidR="00751558" w:rsidRPr="00751558" w:rsidRDefault="008936A8" w:rsidP="00751558">
      <w:pPr>
        <w:pStyle w:val="ListParagraph"/>
        <w:numPr>
          <w:ilvl w:val="0"/>
          <w:numId w:val="2"/>
        </w:numPr>
        <w:spacing w:line="480" w:lineRule="auto"/>
        <w:jc w:val="both"/>
        <w:rPr>
          <w:rFonts w:ascii="Arial" w:hAnsi="Arial" w:cs="Arial"/>
        </w:rPr>
      </w:pPr>
      <w:r w:rsidRPr="00751558">
        <w:rPr>
          <w:rFonts w:ascii="Arial" w:hAnsi="Arial" w:cs="Arial"/>
        </w:rPr>
        <w:t>Enhanced Vision: Recipients enjoy better eyesight, which has a direct impact on their everyday tasks.</w:t>
      </w:r>
    </w:p>
    <w:p w14:paraId="198D40E2" w14:textId="77777777" w:rsidR="00751558" w:rsidRPr="00751558" w:rsidRDefault="008936A8" w:rsidP="00751558">
      <w:pPr>
        <w:pStyle w:val="ListParagraph"/>
        <w:numPr>
          <w:ilvl w:val="0"/>
          <w:numId w:val="2"/>
        </w:numPr>
        <w:spacing w:line="480" w:lineRule="auto"/>
        <w:jc w:val="both"/>
        <w:rPr>
          <w:rFonts w:ascii="Arial" w:hAnsi="Arial" w:cs="Arial"/>
        </w:rPr>
      </w:pPr>
      <w:r w:rsidRPr="00751558">
        <w:rPr>
          <w:rFonts w:ascii="Arial" w:hAnsi="Arial" w:cs="Arial"/>
        </w:rPr>
        <w:t>Educational Advantages: Children who have corrected vision achieve higher academic performance (Brundtland Commission, 1987).</w:t>
      </w:r>
    </w:p>
    <w:p w14:paraId="58E9E2AD" w14:textId="77777777" w:rsidR="00751558" w:rsidRPr="00751558" w:rsidRDefault="008936A8" w:rsidP="00751558">
      <w:pPr>
        <w:pStyle w:val="ListParagraph"/>
        <w:numPr>
          <w:ilvl w:val="0"/>
          <w:numId w:val="2"/>
        </w:numPr>
        <w:spacing w:line="480" w:lineRule="auto"/>
        <w:jc w:val="both"/>
        <w:rPr>
          <w:rFonts w:ascii="Arial" w:hAnsi="Arial" w:cs="Arial"/>
        </w:rPr>
      </w:pPr>
      <w:r w:rsidRPr="00751558">
        <w:rPr>
          <w:rFonts w:ascii="Arial" w:hAnsi="Arial" w:cs="Arial"/>
        </w:rPr>
        <w:t>Economic Opportunities: Adults who have enhanced vision can tap into more favourable job opportunities.</w:t>
      </w:r>
    </w:p>
    <w:p w14:paraId="5925CA6A" w14:textId="77777777" w:rsidR="00751558" w:rsidRDefault="008936A8" w:rsidP="00F83AC4">
      <w:pPr>
        <w:spacing w:line="480" w:lineRule="auto"/>
        <w:jc w:val="both"/>
        <w:rPr>
          <w:rFonts w:ascii="Arial" w:hAnsi="Arial" w:cs="Arial"/>
        </w:rPr>
      </w:pPr>
      <w:r w:rsidRPr="00F83AC4">
        <w:rPr>
          <w:rFonts w:ascii="Arial" w:hAnsi="Arial" w:cs="Arial"/>
        </w:rPr>
        <w:t>These results aid in alleviating poverty and are in harmony with sustainable development objectives.</w:t>
      </w:r>
    </w:p>
    <w:p w14:paraId="1340BC98" w14:textId="77777777" w:rsidR="00751558" w:rsidRPr="00E71EC6" w:rsidRDefault="008936A8" w:rsidP="00F83AC4">
      <w:pPr>
        <w:spacing w:line="480" w:lineRule="auto"/>
        <w:jc w:val="both"/>
        <w:rPr>
          <w:rFonts w:ascii="Arial Black" w:hAnsi="Arial Black" w:cs="Arial"/>
          <w:color w:val="4C94D8" w:themeColor="text2" w:themeTint="80"/>
        </w:rPr>
      </w:pPr>
      <w:r w:rsidRPr="00E71EC6">
        <w:rPr>
          <w:rFonts w:ascii="Arial Black" w:hAnsi="Arial Black" w:cs="Arial"/>
          <w:color w:val="4C94D8" w:themeColor="text2" w:themeTint="80"/>
        </w:rPr>
        <w:t>Effects</w:t>
      </w:r>
    </w:p>
    <w:p w14:paraId="4160F761" w14:textId="77777777" w:rsidR="00751558" w:rsidRDefault="008936A8" w:rsidP="00F83AC4">
      <w:pPr>
        <w:spacing w:line="480" w:lineRule="auto"/>
        <w:jc w:val="both"/>
        <w:rPr>
          <w:rFonts w:ascii="Arial" w:hAnsi="Arial" w:cs="Arial"/>
        </w:rPr>
      </w:pPr>
      <w:r w:rsidRPr="00F83AC4">
        <w:rPr>
          <w:rFonts w:ascii="Arial" w:hAnsi="Arial" w:cs="Arial"/>
        </w:rPr>
        <w:t>Impacts over the long term consist of:</w:t>
      </w:r>
    </w:p>
    <w:p w14:paraId="00C6EFCE" w14:textId="77777777" w:rsidR="00751558" w:rsidRPr="00751558" w:rsidRDefault="008936A8" w:rsidP="00751558">
      <w:pPr>
        <w:pStyle w:val="ListParagraph"/>
        <w:numPr>
          <w:ilvl w:val="0"/>
          <w:numId w:val="3"/>
        </w:numPr>
        <w:spacing w:line="480" w:lineRule="auto"/>
        <w:jc w:val="both"/>
        <w:rPr>
          <w:rFonts w:ascii="Arial" w:hAnsi="Arial" w:cs="Arial"/>
        </w:rPr>
      </w:pPr>
      <w:r w:rsidRPr="00751558">
        <w:rPr>
          <w:rFonts w:ascii="Arial" w:hAnsi="Arial" w:cs="Arial"/>
        </w:rPr>
        <w:t>Community Development: Improved education and job opportunities contribute to economic expansion.</w:t>
      </w:r>
    </w:p>
    <w:p w14:paraId="10C2755C" w14:textId="77777777" w:rsidR="00751558" w:rsidRPr="00751558" w:rsidRDefault="008936A8" w:rsidP="00751558">
      <w:pPr>
        <w:pStyle w:val="ListParagraph"/>
        <w:numPr>
          <w:ilvl w:val="0"/>
          <w:numId w:val="3"/>
        </w:numPr>
        <w:spacing w:line="480" w:lineRule="auto"/>
        <w:jc w:val="both"/>
        <w:rPr>
          <w:rFonts w:ascii="Arial" w:hAnsi="Arial" w:cs="Arial"/>
        </w:rPr>
      </w:pPr>
      <w:r w:rsidRPr="00751558">
        <w:rPr>
          <w:rFonts w:ascii="Arial" w:hAnsi="Arial" w:cs="Arial"/>
        </w:rPr>
        <w:t>Social Inclusion: Enhanced vision allows for increased engagement in the community.</w:t>
      </w:r>
    </w:p>
    <w:p w14:paraId="195E4A92" w14:textId="77777777" w:rsidR="00751558" w:rsidRPr="00751558" w:rsidRDefault="008936A8" w:rsidP="00751558">
      <w:pPr>
        <w:pStyle w:val="ListParagraph"/>
        <w:numPr>
          <w:ilvl w:val="0"/>
          <w:numId w:val="3"/>
        </w:numPr>
        <w:spacing w:line="480" w:lineRule="auto"/>
        <w:jc w:val="both"/>
        <w:rPr>
          <w:rFonts w:ascii="Arial" w:hAnsi="Arial" w:cs="Arial"/>
        </w:rPr>
      </w:pPr>
      <w:r w:rsidRPr="00751558">
        <w:rPr>
          <w:rFonts w:ascii="Arial" w:hAnsi="Arial" w:cs="Arial"/>
        </w:rPr>
        <w:t>Health Enhancements: Timely identification of eye issues helps avert additional health problems.</w:t>
      </w:r>
    </w:p>
    <w:p w14:paraId="2D8D1182" w14:textId="77777777" w:rsidR="00751558" w:rsidRDefault="008936A8" w:rsidP="00F83AC4">
      <w:pPr>
        <w:spacing w:line="480" w:lineRule="auto"/>
        <w:jc w:val="both"/>
        <w:rPr>
          <w:rFonts w:ascii="Arial" w:hAnsi="Arial" w:cs="Arial"/>
        </w:rPr>
      </w:pPr>
      <w:r w:rsidRPr="00F83AC4">
        <w:rPr>
          <w:rFonts w:ascii="Arial" w:hAnsi="Arial" w:cs="Arial"/>
        </w:rPr>
        <w:t>Warby Parker's efforts to tackle visual impairment play a significant role in fostering wider societal transformations, in line with Elkington's (1997) concept of the triple bottom line, which encompasses social, environmental, and economic performance.</w:t>
      </w:r>
    </w:p>
    <w:p w14:paraId="43E895DC" w14:textId="77777777" w:rsidR="00751558" w:rsidRDefault="00751558" w:rsidP="00F83AC4">
      <w:pPr>
        <w:spacing w:line="480" w:lineRule="auto"/>
        <w:jc w:val="both"/>
        <w:rPr>
          <w:rFonts w:ascii="Arial" w:hAnsi="Arial" w:cs="Arial"/>
        </w:rPr>
      </w:pPr>
    </w:p>
    <w:p w14:paraId="3A2834F2" w14:textId="77777777" w:rsidR="00751558" w:rsidRPr="00751558" w:rsidRDefault="008936A8" w:rsidP="00F83AC4">
      <w:pPr>
        <w:spacing w:line="480" w:lineRule="auto"/>
        <w:jc w:val="both"/>
        <w:rPr>
          <w:rFonts w:ascii="Arial Black" w:hAnsi="Arial Black" w:cs="Arial"/>
          <w:color w:val="4C94D8" w:themeColor="text2" w:themeTint="80"/>
        </w:rPr>
      </w:pPr>
      <w:r w:rsidRPr="00751558">
        <w:rPr>
          <w:rFonts w:ascii="Arial Black" w:hAnsi="Arial Black" w:cs="Arial"/>
          <w:color w:val="4C94D8" w:themeColor="text2" w:themeTint="80"/>
        </w:rPr>
        <w:lastRenderedPageBreak/>
        <w:t>Social Entrepreneurship and Hybrid Ideal</w:t>
      </w:r>
    </w:p>
    <w:p w14:paraId="3CD85B38" w14:textId="53305AE5" w:rsidR="00751558" w:rsidRDefault="008936A8" w:rsidP="00F83AC4">
      <w:pPr>
        <w:spacing w:line="480" w:lineRule="auto"/>
        <w:jc w:val="both"/>
        <w:rPr>
          <w:rFonts w:ascii="Arial" w:hAnsi="Arial" w:cs="Arial"/>
        </w:rPr>
      </w:pPr>
      <w:r w:rsidRPr="00F83AC4">
        <w:rPr>
          <w:rFonts w:ascii="Arial" w:hAnsi="Arial" w:cs="Arial"/>
        </w:rPr>
        <w:t>Warby Parker represents the perfect blend of social enterprises that harmonise financial viability with social objectives (Battilana et al., 2012). The organisation utilises market strategies to tackle social challenges, demonstrating the combination of social and commercial entrepreneurship (Austin et al., 2006). This approach enables Warby Parker to expand its influence efficiently while ensuring profitability</w:t>
      </w:r>
      <w:r w:rsidR="00751558">
        <w:rPr>
          <w:rFonts w:ascii="Arial" w:hAnsi="Arial" w:cs="Arial"/>
        </w:rPr>
        <w:t>.</w:t>
      </w:r>
    </w:p>
    <w:p w14:paraId="29154287" w14:textId="77777777" w:rsidR="00751558" w:rsidRDefault="008936A8" w:rsidP="00F83AC4">
      <w:pPr>
        <w:spacing w:line="480" w:lineRule="auto"/>
        <w:jc w:val="both"/>
        <w:rPr>
          <w:rFonts w:ascii="Arial" w:hAnsi="Arial" w:cs="Arial"/>
        </w:rPr>
      </w:pPr>
      <w:r w:rsidRPr="00F83AC4">
        <w:rPr>
          <w:rFonts w:ascii="Arial" w:hAnsi="Arial" w:cs="Arial"/>
        </w:rPr>
        <w:t>As a certified B Corporation, Warby Parker adheres to strict criteria for social and environmental performance, transparency, and accountability (OECD/European Union, 2013). This certification highlights the company's dedication to harmonising profit with purpose.</w:t>
      </w:r>
    </w:p>
    <w:p w14:paraId="610A0EB2" w14:textId="77777777" w:rsidR="00751558" w:rsidRPr="00751558" w:rsidRDefault="008936A8" w:rsidP="00F83AC4">
      <w:pPr>
        <w:spacing w:line="480" w:lineRule="auto"/>
        <w:jc w:val="both"/>
        <w:rPr>
          <w:rFonts w:ascii="Arial Black" w:hAnsi="Arial Black" w:cs="Arial"/>
          <w:color w:val="4C94D8" w:themeColor="text2" w:themeTint="80"/>
        </w:rPr>
      </w:pPr>
      <w:r w:rsidRPr="00751558">
        <w:rPr>
          <w:rFonts w:ascii="Arial Black" w:hAnsi="Arial Black" w:cs="Arial"/>
          <w:color w:val="4C94D8" w:themeColor="text2" w:themeTint="80"/>
        </w:rPr>
        <w:t>Assessing Social Impact</w:t>
      </w:r>
    </w:p>
    <w:p w14:paraId="01EA809C" w14:textId="77777777" w:rsidR="00751558" w:rsidRDefault="008936A8" w:rsidP="00F83AC4">
      <w:pPr>
        <w:spacing w:line="480" w:lineRule="auto"/>
        <w:jc w:val="both"/>
        <w:rPr>
          <w:rFonts w:ascii="Arial" w:hAnsi="Arial" w:cs="Arial"/>
        </w:rPr>
      </w:pPr>
      <w:r w:rsidRPr="00F83AC4">
        <w:rPr>
          <w:rFonts w:ascii="Arial" w:hAnsi="Arial" w:cs="Arial"/>
        </w:rPr>
        <w:t>Evaluating social impact presents difficulties in measuring non-tangible advantages (Bassi, 2013). Warby Parker's influence goes beyond the quantity of glasses provided; it encompasses enhanced educational results and increased economic prospects. Employing frameworks such as Social Return on Investment (SROI) can assist in assessing these social benefits (Arvidson et al., 2013). Nonetheless, there are debates surrounding the methods used to assess SROI, highlighting the necessity for uniform approaches (Avise/ESSEC Business School/Mouves, 2013).</w:t>
      </w:r>
    </w:p>
    <w:p w14:paraId="66A56847" w14:textId="77777777" w:rsidR="00751558" w:rsidRDefault="008936A8" w:rsidP="00F83AC4">
      <w:pPr>
        <w:spacing w:line="480" w:lineRule="auto"/>
        <w:jc w:val="both"/>
        <w:rPr>
          <w:rFonts w:ascii="Arial" w:hAnsi="Arial" w:cs="Arial"/>
        </w:rPr>
      </w:pPr>
      <w:r w:rsidRPr="00F83AC4">
        <w:rPr>
          <w:rFonts w:ascii="Arial" w:hAnsi="Arial" w:cs="Arial"/>
        </w:rPr>
        <w:t>Warby Parker tackles this issue by performing impact assessments alongside its partners, gathering information on educational achievement, income brackets, and community health metrics (Pritchard et al., 2012). These assessments illustrate the success of their initiatives and guide enhancements.</w:t>
      </w:r>
    </w:p>
    <w:p w14:paraId="1B5C8D10" w14:textId="77777777" w:rsidR="00751558" w:rsidRDefault="00751558" w:rsidP="00F83AC4">
      <w:pPr>
        <w:spacing w:line="480" w:lineRule="auto"/>
        <w:jc w:val="both"/>
        <w:rPr>
          <w:rFonts w:ascii="Arial" w:hAnsi="Arial" w:cs="Arial"/>
        </w:rPr>
      </w:pPr>
    </w:p>
    <w:p w14:paraId="102A7B9A" w14:textId="48D480C3" w:rsidR="00751558" w:rsidRPr="00751558" w:rsidRDefault="008936A8" w:rsidP="00F83AC4">
      <w:pPr>
        <w:spacing w:line="480" w:lineRule="auto"/>
        <w:jc w:val="both"/>
        <w:rPr>
          <w:rFonts w:ascii="Arial Black" w:hAnsi="Arial Black" w:cs="Arial"/>
          <w:color w:val="4C94D8" w:themeColor="text2" w:themeTint="80"/>
        </w:rPr>
      </w:pPr>
      <w:r w:rsidRPr="00751558">
        <w:rPr>
          <w:rFonts w:ascii="Arial Black" w:hAnsi="Arial Black" w:cs="Arial"/>
          <w:color w:val="4C94D8" w:themeColor="text2" w:themeTint="80"/>
        </w:rPr>
        <w:lastRenderedPageBreak/>
        <w:t>Corporate Social Responsibility</w:t>
      </w:r>
    </w:p>
    <w:p w14:paraId="4EFA5287" w14:textId="77777777" w:rsidR="00751558" w:rsidRDefault="008936A8" w:rsidP="00F83AC4">
      <w:pPr>
        <w:spacing w:line="480" w:lineRule="auto"/>
        <w:jc w:val="both"/>
        <w:rPr>
          <w:rFonts w:ascii="Arial" w:hAnsi="Arial" w:cs="Arial"/>
        </w:rPr>
      </w:pPr>
      <w:r w:rsidRPr="00F83AC4">
        <w:rPr>
          <w:rFonts w:ascii="Arial" w:hAnsi="Arial" w:cs="Arial"/>
        </w:rPr>
        <w:t>The initiatives of the company correspond with Carroll's (1999) four dimensions of corporate social responsibility:</w:t>
      </w:r>
    </w:p>
    <w:p w14:paraId="10FAFA1C" w14:textId="77777777" w:rsidR="00751558" w:rsidRPr="00751558" w:rsidRDefault="008936A8" w:rsidP="00751558">
      <w:pPr>
        <w:pStyle w:val="ListParagraph"/>
        <w:numPr>
          <w:ilvl w:val="0"/>
          <w:numId w:val="4"/>
        </w:numPr>
        <w:spacing w:line="480" w:lineRule="auto"/>
        <w:jc w:val="both"/>
        <w:rPr>
          <w:rFonts w:ascii="Arial" w:hAnsi="Arial" w:cs="Arial"/>
        </w:rPr>
      </w:pPr>
      <w:r w:rsidRPr="00751558">
        <w:rPr>
          <w:rFonts w:ascii="Arial" w:hAnsi="Arial" w:cs="Arial"/>
        </w:rPr>
        <w:t>Economic Responsibilities: Offering cost-effective eyewear while ensuring profitability.</w:t>
      </w:r>
    </w:p>
    <w:p w14:paraId="66F2F984" w14:textId="77777777" w:rsidR="00751558" w:rsidRPr="00751558" w:rsidRDefault="008936A8" w:rsidP="00751558">
      <w:pPr>
        <w:pStyle w:val="ListParagraph"/>
        <w:numPr>
          <w:ilvl w:val="0"/>
          <w:numId w:val="4"/>
        </w:numPr>
        <w:spacing w:line="480" w:lineRule="auto"/>
        <w:jc w:val="both"/>
        <w:rPr>
          <w:rFonts w:ascii="Arial" w:hAnsi="Arial" w:cs="Arial"/>
        </w:rPr>
      </w:pPr>
      <w:r w:rsidRPr="00751558">
        <w:rPr>
          <w:rFonts w:ascii="Arial" w:hAnsi="Arial" w:cs="Arial"/>
        </w:rPr>
        <w:t>Legal Responsibilities: Adhering to regulations in production and distribution.</w:t>
      </w:r>
    </w:p>
    <w:p w14:paraId="0A6F2559" w14:textId="77777777" w:rsidR="00751558" w:rsidRDefault="008936A8" w:rsidP="00F83AC4">
      <w:pPr>
        <w:pStyle w:val="ListParagraph"/>
        <w:numPr>
          <w:ilvl w:val="0"/>
          <w:numId w:val="4"/>
        </w:numPr>
        <w:spacing w:line="480" w:lineRule="auto"/>
        <w:jc w:val="both"/>
        <w:rPr>
          <w:rFonts w:ascii="Arial" w:hAnsi="Arial" w:cs="Arial"/>
        </w:rPr>
      </w:pPr>
      <w:r w:rsidRPr="00751558">
        <w:rPr>
          <w:rFonts w:ascii="Arial" w:hAnsi="Arial" w:cs="Arial"/>
        </w:rPr>
        <w:t>Ethical Responsibilities: Guaranteeing equitable labour practices and responsible environmental management.</w:t>
      </w:r>
    </w:p>
    <w:p w14:paraId="6005855D" w14:textId="77777777" w:rsidR="00751558" w:rsidRDefault="008936A8" w:rsidP="00F83AC4">
      <w:pPr>
        <w:pStyle w:val="ListParagraph"/>
        <w:numPr>
          <w:ilvl w:val="0"/>
          <w:numId w:val="4"/>
        </w:numPr>
        <w:spacing w:line="480" w:lineRule="auto"/>
        <w:jc w:val="both"/>
        <w:rPr>
          <w:rFonts w:ascii="Arial" w:hAnsi="Arial" w:cs="Arial"/>
        </w:rPr>
      </w:pPr>
      <w:r w:rsidRPr="00751558">
        <w:rPr>
          <w:rFonts w:ascii="Arial" w:hAnsi="Arial" w:cs="Arial"/>
        </w:rPr>
        <w:t>Philanthropic Responsibilities: Engaging in social welfare by making donations.</w:t>
      </w:r>
    </w:p>
    <w:p w14:paraId="179C7E1F" w14:textId="77777777" w:rsidR="00751558" w:rsidRDefault="008936A8" w:rsidP="00751558">
      <w:pPr>
        <w:spacing w:line="480" w:lineRule="auto"/>
        <w:jc w:val="both"/>
        <w:rPr>
          <w:rFonts w:ascii="Arial" w:hAnsi="Arial" w:cs="Arial"/>
        </w:rPr>
      </w:pPr>
      <w:r w:rsidRPr="00751558">
        <w:rPr>
          <w:rFonts w:ascii="Arial" w:hAnsi="Arial" w:cs="Arial"/>
        </w:rPr>
        <w:t>Warby Parker's clear supply chain and dedication to sustainability demonstrate an ethical position that appeals to consumers (Owen, Grey, &amp; Bebbington, 1997). This method reinforces the notion that CSR can improve reputation and provide a competitive edge (Porter &amp; Kramer, 2011).</w:t>
      </w:r>
    </w:p>
    <w:p w14:paraId="7D1DCE52" w14:textId="77777777" w:rsidR="00751558" w:rsidRPr="00751558" w:rsidRDefault="008936A8" w:rsidP="00751558">
      <w:pPr>
        <w:spacing w:line="480" w:lineRule="auto"/>
        <w:jc w:val="both"/>
        <w:rPr>
          <w:rFonts w:ascii="Arial Black" w:hAnsi="Arial Black" w:cs="Arial"/>
          <w:color w:val="4C94D8" w:themeColor="text2" w:themeTint="80"/>
        </w:rPr>
      </w:pPr>
      <w:r w:rsidRPr="00751558">
        <w:rPr>
          <w:rFonts w:ascii="Arial Black" w:hAnsi="Arial Black" w:cs="Arial"/>
          <w:color w:val="4C94D8" w:themeColor="text2" w:themeTint="80"/>
        </w:rPr>
        <w:t>Involvement of Stakeholders</w:t>
      </w:r>
    </w:p>
    <w:p w14:paraId="49C45AFE" w14:textId="77777777" w:rsidR="00751558" w:rsidRDefault="008936A8" w:rsidP="00751558">
      <w:pPr>
        <w:spacing w:line="480" w:lineRule="auto"/>
        <w:jc w:val="both"/>
        <w:rPr>
          <w:rFonts w:ascii="Arial" w:hAnsi="Arial" w:cs="Arial"/>
        </w:rPr>
      </w:pPr>
      <w:r w:rsidRPr="00751558">
        <w:rPr>
          <w:rFonts w:ascii="Arial" w:hAnsi="Arial" w:cs="Arial"/>
        </w:rPr>
        <w:t>Stakeholder theory highlights the importance of generating value for every stakeholder (Freeman, 1984). The advantages of Warby Parker's model:</w:t>
      </w:r>
    </w:p>
    <w:p w14:paraId="0B556CB6" w14:textId="77777777" w:rsidR="00751558" w:rsidRPr="00751558" w:rsidRDefault="008936A8" w:rsidP="00751558">
      <w:pPr>
        <w:pStyle w:val="ListParagraph"/>
        <w:numPr>
          <w:ilvl w:val="0"/>
          <w:numId w:val="5"/>
        </w:numPr>
        <w:spacing w:line="480" w:lineRule="auto"/>
        <w:jc w:val="both"/>
        <w:rPr>
          <w:rFonts w:ascii="Arial" w:hAnsi="Arial" w:cs="Arial"/>
        </w:rPr>
      </w:pPr>
      <w:r w:rsidRPr="00751558">
        <w:rPr>
          <w:rFonts w:ascii="Arial" w:hAnsi="Arial" w:cs="Arial"/>
        </w:rPr>
        <w:t>Clients: Availability of budget-friendly, fashionable glasses.</w:t>
      </w:r>
    </w:p>
    <w:p w14:paraId="19D0307D" w14:textId="77777777" w:rsidR="00751558" w:rsidRPr="00751558" w:rsidRDefault="008936A8" w:rsidP="00751558">
      <w:pPr>
        <w:pStyle w:val="ListParagraph"/>
        <w:numPr>
          <w:ilvl w:val="0"/>
          <w:numId w:val="5"/>
        </w:numPr>
        <w:spacing w:line="480" w:lineRule="auto"/>
        <w:jc w:val="both"/>
        <w:rPr>
          <w:rFonts w:ascii="Arial" w:hAnsi="Arial" w:cs="Arial"/>
        </w:rPr>
      </w:pPr>
      <w:r w:rsidRPr="00751558">
        <w:rPr>
          <w:rFonts w:ascii="Arial" w:hAnsi="Arial" w:cs="Arial"/>
        </w:rPr>
        <w:t>Employees: Engagement in meaningful work with social impact.</w:t>
      </w:r>
    </w:p>
    <w:p w14:paraId="279A8F2B" w14:textId="77777777" w:rsidR="00751558" w:rsidRPr="00751558" w:rsidRDefault="008936A8" w:rsidP="00751558">
      <w:pPr>
        <w:pStyle w:val="ListParagraph"/>
        <w:numPr>
          <w:ilvl w:val="0"/>
          <w:numId w:val="5"/>
        </w:numPr>
        <w:spacing w:line="480" w:lineRule="auto"/>
        <w:jc w:val="both"/>
        <w:rPr>
          <w:rFonts w:ascii="Arial" w:hAnsi="Arial" w:cs="Arial"/>
        </w:rPr>
      </w:pPr>
      <w:r w:rsidRPr="00751558">
        <w:rPr>
          <w:rFonts w:ascii="Arial" w:hAnsi="Arial" w:cs="Arial"/>
        </w:rPr>
        <w:t>Nonprofit Partners: Tools and assistance to broaden their impact.</w:t>
      </w:r>
    </w:p>
    <w:p w14:paraId="4153AFDA" w14:textId="77777777" w:rsidR="00751558" w:rsidRPr="00751558" w:rsidRDefault="008936A8" w:rsidP="00751558">
      <w:pPr>
        <w:pStyle w:val="ListParagraph"/>
        <w:numPr>
          <w:ilvl w:val="0"/>
          <w:numId w:val="5"/>
        </w:numPr>
        <w:spacing w:line="480" w:lineRule="auto"/>
        <w:jc w:val="both"/>
        <w:rPr>
          <w:rFonts w:ascii="Arial" w:hAnsi="Arial" w:cs="Arial"/>
        </w:rPr>
      </w:pPr>
      <w:r w:rsidRPr="00751558">
        <w:rPr>
          <w:rFonts w:ascii="Arial" w:hAnsi="Arial" w:cs="Arial"/>
        </w:rPr>
        <w:t>Communities: Enhanced vision health and economic prospects.</w:t>
      </w:r>
    </w:p>
    <w:p w14:paraId="42A723E8" w14:textId="77777777" w:rsidR="00751558" w:rsidRDefault="008936A8" w:rsidP="00751558">
      <w:pPr>
        <w:spacing w:line="480" w:lineRule="auto"/>
        <w:jc w:val="both"/>
        <w:rPr>
          <w:rFonts w:ascii="Arial" w:hAnsi="Arial" w:cs="Arial"/>
        </w:rPr>
      </w:pPr>
      <w:r w:rsidRPr="00751558">
        <w:rPr>
          <w:rFonts w:ascii="Arial" w:hAnsi="Arial" w:cs="Arial"/>
        </w:rPr>
        <w:t>Warby Parker strengthens relationships and boosts its social impact by engaging stakeholders in its mission (Lockie et al., 2009).</w:t>
      </w:r>
    </w:p>
    <w:p w14:paraId="69911236" w14:textId="77777777" w:rsidR="00751558" w:rsidRDefault="00751558" w:rsidP="00751558">
      <w:pPr>
        <w:spacing w:line="480" w:lineRule="auto"/>
        <w:jc w:val="both"/>
        <w:rPr>
          <w:rFonts w:ascii="Arial" w:hAnsi="Arial" w:cs="Arial"/>
        </w:rPr>
      </w:pPr>
    </w:p>
    <w:p w14:paraId="2837795F" w14:textId="77777777" w:rsidR="00751558" w:rsidRPr="00730CAA" w:rsidRDefault="008936A8" w:rsidP="00751558">
      <w:pPr>
        <w:spacing w:line="480" w:lineRule="auto"/>
        <w:jc w:val="both"/>
        <w:rPr>
          <w:rFonts w:ascii="Arial Black" w:hAnsi="Arial Black" w:cs="Arial"/>
          <w:color w:val="4C94D8" w:themeColor="text2" w:themeTint="80"/>
        </w:rPr>
      </w:pPr>
      <w:r w:rsidRPr="00730CAA">
        <w:rPr>
          <w:rFonts w:ascii="Arial Black" w:hAnsi="Arial Black" w:cs="Arial"/>
          <w:color w:val="4C94D8" w:themeColor="text2" w:themeTint="80"/>
        </w:rPr>
        <w:lastRenderedPageBreak/>
        <w:t>Difficulties and Criticisms</w:t>
      </w:r>
    </w:p>
    <w:p w14:paraId="34A4397B" w14:textId="77777777" w:rsidR="00751558" w:rsidRDefault="008936A8" w:rsidP="00751558">
      <w:pPr>
        <w:spacing w:line="480" w:lineRule="auto"/>
        <w:jc w:val="both"/>
        <w:rPr>
          <w:rFonts w:ascii="Arial" w:hAnsi="Arial" w:cs="Arial"/>
        </w:rPr>
      </w:pPr>
      <w:r w:rsidRPr="00751558">
        <w:rPr>
          <w:rFonts w:ascii="Arial" w:hAnsi="Arial" w:cs="Arial"/>
        </w:rPr>
        <w:t>Even with its achievements, Warby Parker encounters obstacles:</w:t>
      </w:r>
    </w:p>
    <w:p w14:paraId="32B4B9EF" w14:textId="77777777" w:rsidR="00751558" w:rsidRPr="00751558" w:rsidRDefault="008936A8" w:rsidP="00751558">
      <w:pPr>
        <w:pStyle w:val="ListParagraph"/>
        <w:numPr>
          <w:ilvl w:val="0"/>
          <w:numId w:val="6"/>
        </w:numPr>
        <w:spacing w:line="480" w:lineRule="auto"/>
        <w:jc w:val="both"/>
        <w:rPr>
          <w:rFonts w:ascii="Arial" w:hAnsi="Arial" w:cs="Arial"/>
        </w:rPr>
      </w:pPr>
      <w:r w:rsidRPr="00751558">
        <w:rPr>
          <w:rFonts w:ascii="Arial" w:hAnsi="Arial" w:cs="Arial"/>
        </w:rPr>
        <w:t xml:space="preserve">Sustainability of Impact: Guaranteeing enduring advantages that extend beyond the initial actions taken (Franks &amp; </w:t>
      </w:r>
      <w:proofErr w:type="spellStart"/>
      <w:r w:rsidRPr="00751558">
        <w:rPr>
          <w:rFonts w:ascii="Arial" w:hAnsi="Arial" w:cs="Arial"/>
        </w:rPr>
        <w:t>Vanclay</w:t>
      </w:r>
      <w:proofErr w:type="spellEnd"/>
      <w:r w:rsidRPr="00751558">
        <w:rPr>
          <w:rFonts w:ascii="Arial" w:hAnsi="Arial" w:cs="Arial"/>
        </w:rPr>
        <w:t>, 2013).</w:t>
      </w:r>
    </w:p>
    <w:p w14:paraId="4BC0BA84" w14:textId="77777777" w:rsidR="00751558" w:rsidRPr="00751558" w:rsidRDefault="008936A8" w:rsidP="00751558">
      <w:pPr>
        <w:pStyle w:val="ListParagraph"/>
        <w:numPr>
          <w:ilvl w:val="0"/>
          <w:numId w:val="6"/>
        </w:numPr>
        <w:spacing w:line="480" w:lineRule="auto"/>
        <w:jc w:val="both"/>
        <w:rPr>
          <w:rFonts w:ascii="Arial" w:hAnsi="Arial" w:cs="Arial"/>
        </w:rPr>
      </w:pPr>
      <w:r w:rsidRPr="00751558">
        <w:rPr>
          <w:rFonts w:ascii="Arial" w:hAnsi="Arial" w:cs="Arial"/>
        </w:rPr>
        <w:t>Dependency Concerns: Preventing the establishment of dependence on outside assistance (Mahmoudi et al., 2013).</w:t>
      </w:r>
    </w:p>
    <w:p w14:paraId="7089D513" w14:textId="77777777" w:rsidR="00751558" w:rsidRPr="00751558" w:rsidRDefault="008936A8" w:rsidP="00751558">
      <w:pPr>
        <w:pStyle w:val="ListParagraph"/>
        <w:numPr>
          <w:ilvl w:val="0"/>
          <w:numId w:val="6"/>
        </w:numPr>
        <w:spacing w:line="480" w:lineRule="auto"/>
        <w:jc w:val="both"/>
        <w:rPr>
          <w:rFonts w:ascii="Arial" w:hAnsi="Arial" w:cs="Arial"/>
        </w:rPr>
      </w:pPr>
      <w:r w:rsidRPr="00751558">
        <w:rPr>
          <w:rFonts w:ascii="Arial" w:hAnsi="Arial" w:cs="Arial"/>
        </w:rPr>
        <w:t>Market Effects: Possible disturbance of regional eyewear markets (Prahalad &amp; Hart, 2002).</w:t>
      </w:r>
    </w:p>
    <w:p w14:paraId="6CC68D39" w14:textId="77777777" w:rsidR="00751558" w:rsidRDefault="008936A8" w:rsidP="00751558">
      <w:pPr>
        <w:spacing w:line="480" w:lineRule="auto"/>
        <w:jc w:val="both"/>
        <w:rPr>
          <w:rFonts w:ascii="Arial" w:hAnsi="Arial" w:cs="Arial"/>
        </w:rPr>
      </w:pPr>
      <w:r w:rsidRPr="00751558">
        <w:rPr>
          <w:rFonts w:ascii="Arial" w:hAnsi="Arial" w:cs="Arial"/>
        </w:rPr>
        <w:t>The organisation addresses these challenges by:</w:t>
      </w:r>
    </w:p>
    <w:p w14:paraId="411FFB96" w14:textId="77777777" w:rsidR="00751558" w:rsidRPr="00730CAA" w:rsidRDefault="008936A8" w:rsidP="00730CAA">
      <w:pPr>
        <w:pStyle w:val="ListParagraph"/>
        <w:numPr>
          <w:ilvl w:val="0"/>
          <w:numId w:val="7"/>
        </w:numPr>
        <w:spacing w:line="480" w:lineRule="auto"/>
        <w:jc w:val="both"/>
        <w:rPr>
          <w:rFonts w:ascii="Arial" w:hAnsi="Arial" w:cs="Arial"/>
        </w:rPr>
      </w:pPr>
      <w:r w:rsidRPr="00730CAA">
        <w:rPr>
          <w:rFonts w:ascii="Arial" w:hAnsi="Arial" w:cs="Arial"/>
        </w:rPr>
        <w:t>Empowering Local Entrepreneurs: Educating individuals to deliver vision services, promoting self-reliance (Pearce, 2003).</w:t>
      </w:r>
    </w:p>
    <w:p w14:paraId="168FB61D" w14:textId="77777777" w:rsidR="00751558" w:rsidRPr="00730CAA" w:rsidRDefault="008936A8" w:rsidP="00730CAA">
      <w:pPr>
        <w:pStyle w:val="ListParagraph"/>
        <w:numPr>
          <w:ilvl w:val="0"/>
          <w:numId w:val="7"/>
        </w:numPr>
        <w:spacing w:line="480" w:lineRule="auto"/>
        <w:jc w:val="both"/>
        <w:rPr>
          <w:rFonts w:ascii="Arial" w:hAnsi="Arial" w:cs="Arial"/>
        </w:rPr>
      </w:pPr>
      <w:r w:rsidRPr="00730CAA">
        <w:rPr>
          <w:rFonts w:ascii="Arial" w:hAnsi="Arial" w:cs="Arial"/>
        </w:rPr>
        <w:t>Building Infrastructure: Aiding the advancement of community healthcare systems.</w:t>
      </w:r>
    </w:p>
    <w:p w14:paraId="75ACAEF5" w14:textId="77777777" w:rsidR="00751558" w:rsidRPr="00730CAA" w:rsidRDefault="008936A8" w:rsidP="00730CAA">
      <w:pPr>
        <w:pStyle w:val="ListParagraph"/>
        <w:numPr>
          <w:ilvl w:val="0"/>
          <w:numId w:val="7"/>
        </w:numPr>
        <w:spacing w:line="480" w:lineRule="auto"/>
        <w:jc w:val="both"/>
        <w:rPr>
          <w:rFonts w:ascii="Arial" w:hAnsi="Arial" w:cs="Arial"/>
        </w:rPr>
      </w:pPr>
      <w:r w:rsidRPr="00730CAA">
        <w:rPr>
          <w:rFonts w:ascii="Arial" w:hAnsi="Arial" w:cs="Arial"/>
        </w:rPr>
        <w:t xml:space="preserve">Ongoing Assessment: Observing programs to modify and enhance approaches (Ryan, </w:t>
      </w:r>
      <w:proofErr w:type="spellStart"/>
      <w:r w:rsidRPr="00730CAA">
        <w:rPr>
          <w:rFonts w:ascii="Arial" w:hAnsi="Arial" w:cs="Arial"/>
        </w:rPr>
        <w:t>Scapens</w:t>
      </w:r>
      <w:proofErr w:type="spellEnd"/>
      <w:r w:rsidRPr="00730CAA">
        <w:rPr>
          <w:rFonts w:ascii="Arial" w:hAnsi="Arial" w:cs="Arial"/>
        </w:rPr>
        <w:t>, &amp; Theobald, 1992).</w:t>
      </w:r>
    </w:p>
    <w:p w14:paraId="0834F22A" w14:textId="4789F21E" w:rsidR="00751558" w:rsidRPr="00730CAA" w:rsidRDefault="008936A8" w:rsidP="00751558">
      <w:pPr>
        <w:spacing w:line="480" w:lineRule="auto"/>
        <w:jc w:val="both"/>
        <w:rPr>
          <w:rFonts w:ascii="Arial Black" w:hAnsi="Arial Black" w:cs="Arial"/>
          <w:color w:val="4C94D8" w:themeColor="text2" w:themeTint="80"/>
        </w:rPr>
      </w:pPr>
      <w:r w:rsidRPr="00730CAA">
        <w:rPr>
          <w:rFonts w:ascii="Arial Black" w:hAnsi="Arial Black" w:cs="Arial"/>
          <w:color w:val="4C94D8" w:themeColor="text2" w:themeTint="80"/>
        </w:rPr>
        <w:t>Ethical Consumer</w:t>
      </w:r>
    </w:p>
    <w:p w14:paraId="033F01FC" w14:textId="77777777" w:rsidR="00730CAA" w:rsidRDefault="008936A8" w:rsidP="00751558">
      <w:pPr>
        <w:spacing w:line="480" w:lineRule="auto"/>
        <w:jc w:val="both"/>
        <w:rPr>
          <w:rFonts w:ascii="Arial" w:hAnsi="Arial" w:cs="Arial"/>
        </w:rPr>
      </w:pPr>
      <w:r w:rsidRPr="00751558">
        <w:rPr>
          <w:rFonts w:ascii="Arial" w:hAnsi="Arial" w:cs="Arial"/>
        </w:rPr>
        <w:t>Warby Parker takes advantage of ethical consumerism, as consumers tend to favour products that reflect their values (Harrison et al., 2005). By providing products that support social causes, the company boosts customer satisfaction and loyalty. This approach illustrates how ethical practices can create market differentiation and impact consumer behaviour (Kotler &amp; Lee, 2005).</w:t>
      </w:r>
    </w:p>
    <w:p w14:paraId="4898237C" w14:textId="77777777" w:rsidR="00730CAA" w:rsidRDefault="00730CAA" w:rsidP="00751558">
      <w:pPr>
        <w:spacing w:line="480" w:lineRule="auto"/>
        <w:jc w:val="both"/>
        <w:rPr>
          <w:rFonts w:ascii="Arial" w:hAnsi="Arial" w:cs="Arial"/>
        </w:rPr>
      </w:pPr>
    </w:p>
    <w:p w14:paraId="334BCDB7" w14:textId="77777777" w:rsidR="00730CAA" w:rsidRDefault="00730CAA" w:rsidP="00751558">
      <w:pPr>
        <w:spacing w:line="480" w:lineRule="auto"/>
        <w:jc w:val="both"/>
        <w:rPr>
          <w:rFonts w:ascii="Arial" w:hAnsi="Arial" w:cs="Arial"/>
        </w:rPr>
      </w:pPr>
    </w:p>
    <w:p w14:paraId="527A6954" w14:textId="386A888F" w:rsidR="00730CAA" w:rsidRPr="00730CAA" w:rsidRDefault="00730CAA" w:rsidP="00751558">
      <w:pPr>
        <w:spacing w:line="480" w:lineRule="auto"/>
        <w:jc w:val="both"/>
        <w:rPr>
          <w:rFonts w:ascii="Arial Black" w:hAnsi="Arial Black" w:cs="Arial"/>
          <w:color w:val="4C94D8" w:themeColor="text2" w:themeTint="80"/>
        </w:rPr>
      </w:pPr>
      <w:r w:rsidRPr="00730CAA">
        <w:rPr>
          <w:rFonts w:ascii="Arial Black" w:hAnsi="Arial Black" w:cs="Arial"/>
          <w:color w:val="4C94D8" w:themeColor="text2" w:themeTint="80"/>
        </w:rPr>
        <w:lastRenderedPageBreak/>
        <w:t xml:space="preserve">Conclusion </w:t>
      </w:r>
    </w:p>
    <w:p w14:paraId="0A30C441" w14:textId="77777777" w:rsidR="00730CAA" w:rsidRDefault="008936A8" w:rsidP="00751558">
      <w:pPr>
        <w:spacing w:line="480" w:lineRule="auto"/>
        <w:jc w:val="both"/>
        <w:rPr>
          <w:rFonts w:ascii="Arial" w:hAnsi="Arial" w:cs="Arial"/>
        </w:rPr>
      </w:pPr>
      <w:r w:rsidRPr="00751558">
        <w:rPr>
          <w:rFonts w:ascii="Arial" w:hAnsi="Arial" w:cs="Arial"/>
        </w:rPr>
        <w:t xml:space="preserve">Warby Parker's "Buy a Pair, </w:t>
      </w:r>
      <w:r w:rsidR="00730CAA" w:rsidRPr="00751558">
        <w:rPr>
          <w:rFonts w:ascii="Arial" w:hAnsi="Arial" w:cs="Arial"/>
        </w:rPr>
        <w:t>give</w:t>
      </w:r>
      <w:r w:rsidRPr="00751558">
        <w:rPr>
          <w:rFonts w:ascii="Arial" w:hAnsi="Arial" w:cs="Arial"/>
        </w:rPr>
        <w:t xml:space="preserve"> a Pair" initiative showcases a successful blend of social responsibility with fundamental business practices. The company tackles a significant global health challenge by enhancing access to eyewear, aiding economic growth, and fostering social inclusion.</w:t>
      </w:r>
    </w:p>
    <w:p w14:paraId="0CCE8BD6" w14:textId="77777777" w:rsidR="00730CAA" w:rsidRDefault="008936A8" w:rsidP="00751558">
      <w:pPr>
        <w:spacing w:line="480" w:lineRule="auto"/>
        <w:jc w:val="both"/>
        <w:rPr>
          <w:rFonts w:ascii="Arial" w:hAnsi="Arial" w:cs="Arial"/>
        </w:rPr>
      </w:pPr>
      <w:r w:rsidRPr="00751558">
        <w:rPr>
          <w:rFonts w:ascii="Arial" w:hAnsi="Arial" w:cs="Arial"/>
        </w:rPr>
        <w:t>The use of the Social Audit Network's framework shows that Warby Parker's inputs result in valuable outputs, beneficial outcomes, and considerable long-term effects. The company's strategy is in harmony with concepts of social entrepreneurship, corporate social responsibility, and stakeholder management.</w:t>
      </w:r>
    </w:p>
    <w:p w14:paraId="29DAC3C1" w14:textId="77777777" w:rsidR="00730CAA" w:rsidRDefault="008936A8" w:rsidP="00751558">
      <w:pPr>
        <w:spacing w:line="480" w:lineRule="auto"/>
        <w:jc w:val="both"/>
        <w:rPr>
          <w:rFonts w:ascii="Arial" w:hAnsi="Arial" w:cs="Arial"/>
        </w:rPr>
      </w:pPr>
      <w:r w:rsidRPr="00751558">
        <w:rPr>
          <w:rFonts w:ascii="Arial" w:hAnsi="Arial" w:cs="Arial"/>
        </w:rPr>
        <w:t>Although there are obstacles in assessing and maintaining social impact, Warby Parker shows that merging social objectives with business strategies can yield both financial success and meaningful results. The company's model demonstrates how businesses can foster social change while ensuring economic sustainability, adding to the wider conversation about the function of social enterprises in tackling global issues.</w:t>
      </w:r>
    </w:p>
    <w:p w14:paraId="2CA70863" w14:textId="21D95691" w:rsidR="008936A8" w:rsidRDefault="008936A8" w:rsidP="00751558">
      <w:pPr>
        <w:spacing w:line="480" w:lineRule="auto"/>
        <w:jc w:val="both"/>
        <w:rPr>
          <w:rFonts w:ascii="Arial" w:hAnsi="Arial" w:cs="Arial"/>
        </w:rPr>
      </w:pPr>
      <w:r w:rsidRPr="00751558">
        <w:rPr>
          <w:rFonts w:ascii="Arial" w:hAnsi="Arial" w:cs="Arial"/>
        </w:rPr>
        <w:t>By embracing the hybrid model, Warby Parker establishes a benchmark for other businesses aiming to harmonise profit with purpose. Their success shows that companies can drive social innovation, promote ethical consumer behaviour, and support sustainable development.</w:t>
      </w:r>
    </w:p>
    <w:p w14:paraId="42F82BAB" w14:textId="77777777" w:rsidR="006A5A63" w:rsidRDefault="006A5A63" w:rsidP="00751558">
      <w:pPr>
        <w:spacing w:line="480" w:lineRule="auto"/>
        <w:jc w:val="both"/>
        <w:rPr>
          <w:rFonts w:ascii="Arial" w:hAnsi="Arial" w:cs="Arial"/>
        </w:rPr>
      </w:pPr>
    </w:p>
    <w:p w14:paraId="1107D80A" w14:textId="77777777" w:rsidR="006A5A63" w:rsidRDefault="006A5A63" w:rsidP="00751558">
      <w:pPr>
        <w:spacing w:line="480" w:lineRule="auto"/>
        <w:jc w:val="both"/>
        <w:rPr>
          <w:rFonts w:ascii="Arial" w:hAnsi="Arial" w:cs="Arial"/>
        </w:rPr>
      </w:pPr>
    </w:p>
    <w:p w14:paraId="5F743FED" w14:textId="77777777" w:rsidR="006A5A63" w:rsidRDefault="006A5A63" w:rsidP="00751558">
      <w:pPr>
        <w:spacing w:line="480" w:lineRule="auto"/>
        <w:jc w:val="both"/>
        <w:rPr>
          <w:rFonts w:ascii="Arial" w:hAnsi="Arial" w:cs="Arial"/>
        </w:rPr>
      </w:pPr>
    </w:p>
    <w:p w14:paraId="6F4209E4" w14:textId="77777777" w:rsidR="006A5A63" w:rsidRDefault="006A5A63" w:rsidP="00751558">
      <w:pPr>
        <w:spacing w:line="480" w:lineRule="auto"/>
        <w:jc w:val="both"/>
        <w:rPr>
          <w:rFonts w:ascii="Arial" w:hAnsi="Arial" w:cs="Arial"/>
        </w:rPr>
      </w:pPr>
    </w:p>
    <w:p w14:paraId="4D307EBD" w14:textId="10836BBA" w:rsidR="006A5A63" w:rsidRPr="006A5A63" w:rsidRDefault="006A5A63" w:rsidP="00751558">
      <w:pPr>
        <w:spacing w:line="480" w:lineRule="auto"/>
        <w:jc w:val="both"/>
        <w:rPr>
          <w:rFonts w:ascii="Arial Black" w:hAnsi="Arial Black" w:cs="Arial"/>
          <w:color w:val="4C94D8" w:themeColor="text2" w:themeTint="80"/>
        </w:rPr>
      </w:pPr>
      <w:r w:rsidRPr="006A5A63">
        <w:rPr>
          <w:rFonts w:ascii="Arial Black" w:hAnsi="Arial Black" w:cs="Arial"/>
          <w:color w:val="4C94D8" w:themeColor="text2" w:themeTint="80"/>
        </w:rPr>
        <w:lastRenderedPageBreak/>
        <w:t xml:space="preserve">References </w:t>
      </w:r>
    </w:p>
    <w:p w14:paraId="1F4A7FC4" w14:textId="77777777" w:rsidR="006A5A63" w:rsidRDefault="006A5A63" w:rsidP="006A5A63">
      <w:pPr>
        <w:spacing w:line="480" w:lineRule="auto"/>
        <w:jc w:val="both"/>
        <w:rPr>
          <w:rFonts w:ascii="Arial" w:hAnsi="Arial" w:cs="Arial"/>
        </w:rPr>
      </w:pPr>
      <w:r w:rsidRPr="006A5A63">
        <w:rPr>
          <w:rFonts w:ascii="Arial" w:hAnsi="Arial" w:cs="Arial"/>
        </w:rPr>
        <w:t xml:space="preserve">Arvidson, M., Lyon, F., &amp; McKay, S. (2013). Valuing the social? The nature and controversies of measuring social return on investment (SROI). </w:t>
      </w:r>
      <w:r w:rsidRPr="006A5A63">
        <w:rPr>
          <w:rFonts w:ascii="Arial" w:hAnsi="Arial" w:cs="Arial"/>
          <w:i/>
          <w:iCs/>
        </w:rPr>
        <w:t>Voluntary Sector Review, 4(</w:t>
      </w:r>
      <w:r w:rsidRPr="006A5A63">
        <w:rPr>
          <w:rFonts w:ascii="Arial" w:hAnsi="Arial" w:cs="Arial"/>
        </w:rPr>
        <w:t>1), 3–18.</w:t>
      </w:r>
    </w:p>
    <w:p w14:paraId="2199D55A" w14:textId="032E38ED" w:rsidR="006A5A63" w:rsidRPr="006A5A63" w:rsidRDefault="006A5A63" w:rsidP="006A5A63">
      <w:pPr>
        <w:spacing w:line="480" w:lineRule="auto"/>
        <w:jc w:val="both"/>
        <w:rPr>
          <w:rFonts w:ascii="Arial" w:hAnsi="Arial" w:cs="Arial"/>
        </w:rPr>
      </w:pPr>
      <w:r w:rsidRPr="006A5A63">
        <w:rPr>
          <w:rFonts w:ascii="Arial" w:hAnsi="Arial" w:cs="Arial"/>
        </w:rPr>
        <w:t xml:space="preserve">Austin, J., Stevenson, H., &amp; Skillern, J. W. (2006). Social and commercial entrepreneurship: Same, different, or both? </w:t>
      </w:r>
      <w:r w:rsidRPr="006A5A63">
        <w:rPr>
          <w:rFonts w:ascii="Arial" w:hAnsi="Arial" w:cs="Arial"/>
          <w:i/>
          <w:iCs/>
        </w:rPr>
        <w:t>Entrepreneurship Theory and Practice, 30</w:t>
      </w:r>
      <w:r w:rsidRPr="006A5A63">
        <w:rPr>
          <w:rFonts w:ascii="Arial" w:hAnsi="Arial" w:cs="Arial"/>
        </w:rPr>
        <w:t>(1), 1–22.</w:t>
      </w:r>
    </w:p>
    <w:p w14:paraId="3F19835D" w14:textId="1B873961" w:rsidR="006A5A63" w:rsidRDefault="006A5A63" w:rsidP="006A5A63">
      <w:pPr>
        <w:spacing w:line="480" w:lineRule="auto"/>
        <w:jc w:val="both"/>
        <w:rPr>
          <w:rFonts w:ascii="Arial" w:hAnsi="Arial" w:cs="Arial"/>
        </w:rPr>
      </w:pPr>
      <w:r w:rsidRPr="006A5A63">
        <w:rPr>
          <w:rFonts w:ascii="Arial" w:hAnsi="Arial" w:cs="Arial"/>
        </w:rPr>
        <w:t xml:space="preserve">Battilana, J., Lee, M., Walker, J., &amp; Dorsey, C. (2012). In search of the hybrid ideal. Stanford Social Innovation Review, 10(3). </w:t>
      </w:r>
      <w:hyperlink r:id="rId7" w:history="1">
        <w:r w:rsidRPr="006E2218">
          <w:rPr>
            <w:rStyle w:val="Hyperlink"/>
            <w:rFonts w:ascii="Arial" w:hAnsi="Arial" w:cs="Arial"/>
          </w:rPr>
          <w:t>https://ssir.org/articles/entry/in_search_of_the_hybrid_ideal</w:t>
        </w:r>
      </w:hyperlink>
    </w:p>
    <w:p w14:paraId="2245476A" w14:textId="77777777" w:rsidR="006A5A63" w:rsidRPr="006A5A63" w:rsidRDefault="006A5A63" w:rsidP="006A5A63">
      <w:pPr>
        <w:spacing w:line="480" w:lineRule="auto"/>
        <w:jc w:val="both"/>
        <w:rPr>
          <w:rFonts w:ascii="Arial" w:hAnsi="Arial" w:cs="Arial"/>
        </w:rPr>
      </w:pPr>
      <w:r w:rsidRPr="006A5A63">
        <w:rPr>
          <w:rFonts w:ascii="Arial" w:hAnsi="Arial" w:cs="Arial"/>
        </w:rPr>
        <w:t>Carroll, A. B. (1999). Corporate social responsibility: Evolution of a definitional construct</w:t>
      </w:r>
      <w:r w:rsidRPr="006A5A63">
        <w:rPr>
          <w:rFonts w:ascii="Arial" w:hAnsi="Arial" w:cs="Arial"/>
          <w:i/>
          <w:iCs/>
        </w:rPr>
        <w:t>. Business &amp; Society, 38</w:t>
      </w:r>
      <w:r w:rsidRPr="006A5A63">
        <w:rPr>
          <w:rFonts w:ascii="Arial" w:hAnsi="Arial" w:cs="Arial"/>
        </w:rPr>
        <w:t>(3), 268–295.</w:t>
      </w:r>
    </w:p>
    <w:p w14:paraId="3C14B79B" w14:textId="77777777" w:rsidR="006A5A63" w:rsidRPr="006A5A63" w:rsidRDefault="006A5A63" w:rsidP="006A5A63">
      <w:pPr>
        <w:spacing w:line="480" w:lineRule="auto"/>
        <w:jc w:val="both"/>
        <w:rPr>
          <w:rFonts w:ascii="Arial" w:hAnsi="Arial" w:cs="Arial"/>
        </w:rPr>
      </w:pPr>
      <w:r w:rsidRPr="006A5A63">
        <w:rPr>
          <w:rFonts w:ascii="Arial" w:hAnsi="Arial" w:cs="Arial"/>
        </w:rPr>
        <w:t>Elkington, J. (1997</w:t>
      </w:r>
      <w:r w:rsidRPr="006A5A63">
        <w:rPr>
          <w:rFonts w:ascii="Arial" w:hAnsi="Arial" w:cs="Arial"/>
          <w:i/>
          <w:iCs/>
        </w:rPr>
        <w:t xml:space="preserve">). Cannibals with Forks: The Triple Bottom Line of 21st Century Business. </w:t>
      </w:r>
      <w:r w:rsidRPr="006A5A63">
        <w:rPr>
          <w:rFonts w:ascii="Arial" w:hAnsi="Arial" w:cs="Arial"/>
        </w:rPr>
        <w:t>Capstone Publishing.</w:t>
      </w:r>
    </w:p>
    <w:p w14:paraId="4F00BEF4" w14:textId="77777777" w:rsidR="006A5A63" w:rsidRPr="006A5A63" w:rsidRDefault="006A5A63" w:rsidP="006A5A63">
      <w:pPr>
        <w:spacing w:line="480" w:lineRule="auto"/>
        <w:jc w:val="both"/>
        <w:rPr>
          <w:rFonts w:ascii="Arial" w:hAnsi="Arial" w:cs="Arial"/>
        </w:rPr>
      </w:pPr>
      <w:r w:rsidRPr="006A5A63">
        <w:rPr>
          <w:rFonts w:ascii="Arial" w:hAnsi="Arial" w:cs="Arial"/>
        </w:rPr>
        <w:t xml:space="preserve">Franks, D. M., &amp; </w:t>
      </w:r>
      <w:proofErr w:type="spellStart"/>
      <w:r w:rsidRPr="006A5A63">
        <w:rPr>
          <w:rFonts w:ascii="Arial" w:hAnsi="Arial" w:cs="Arial"/>
        </w:rPr>
        <w:t>Vanclay</w:t>
      </w:r>
      <w:proofErr w:type="spellEnd"/>
      <w:r w:rsidRPr="006A5A63">
        <w:rPr>
          <w:rFonts w:ascii="Arial" w:hAnsi="Arial" w:cs="Arial"/>
        </w:rPr>
        <w:t xml:space="preserve">, F. (2013). Social impact management plans: Innovation in corporate and public policy. </w:t>
      </w:r>
      <w:r w:rsidRPr="006A5A63">
        <w:rPr>
          <w:rFonts w:ascii="Arial" w:hAnsi="Arial" w:cs="Arial"/>
          <w:i/>
          <w:iCs/>
        </w:rPr>
        <w:t>Environmental Impact Assessment Review</w:t>
      </w:r>
      <w:r w:rsidRPr="006A5A63">
        <w:rPr>
          <w:rFonts w:ascii="Arial" w:hAnsi="Arial" w:cs="Arial"/>
        </w:rPr>
        <w:t>, 43, 40–48.</w:t>
      </w:r>
    </w:p>
    <w:p w14:paraId="2B2DBEE2" w14:textId="77777777" w:rsidR="006A5A63" w:rsidRPr="006A5A63" w:rsidRDefault="006A5A63" w:rsidP="006A5A63">
      <w:pPr>
        <w:spacing w:line="480" w:lineRule="auto"/>
        <w:jc w:val="both"/>
        <w:rPr>
          <w:rFonts w:ascii="Arial" w:hAnsi="Arial" w:cs="Arial"/>
        </w:rPr>
      </w:pPr>
      <w:r w:rsidRPr="006A5A63">
        <w:rPr>
          <w:rFonts w:ascii="Arial" w:hAnsi="Arial" w:cs="Arial"/>
        </w:rPr>
        <w:t xml:space="preserve">Freeman, R. E. (1984). </w:t>
      </w:r>
      <w:r w:rsidRPr="006A5A63">
        <w:rPr>
          <w:rFonts w:ascii="Arial" w:hAnsi="Arial" w:cs="Arial"/>
          <w:i/>
          <w:iCs/>
        </w:rPr>
        <w:t>Strategic Management</w:t>
      </w:r>
      <w:r w:rsidRPr="006A5A63">
        <w:rPr>
          <w:rFonts w:ascii="Arial" w:hAnsi="Arial" w:cs="Arial"/>
        </w:rPr>
        <w:t>: A Stakeholder Approach. Pitman.</w:t>
      </w:r>
    </w:p>
    <w:p w14:paraId="179196FB" w14:textId="77777777" w:rsidR="006A5A63" w:rsidRDefault="006A5A63" w:rsidP="006A5A63">
      <w:pPr>
        <w:spacing w:line="480" w:lineRule="auto"/>
        <w:jc w:val="both"/>
        <w:rPr>
          <w:rFonts w:ascii="Arial" w:hAnsi="Arial" w:cs="Arial"/>
        </w:rPr>
      </w:pPr>
      <w:r w:rsidRPr="006A5A63">
        <w:rPr>
          <w:rFonts w:ascii="Arial" w:hAnsi="Arial" w:cs="Arial"/>
        </w:rPr>
        <w:t xml:space="preserve">Lockie, S., </w:t>
      </w:r>
      <w:proofErr w:type="spellStart"/>
      <w:r w:rsidRPr="006A5A63">
        <w:rPr>
          <w:rFonts w:ascii="Arial" w:hAnsi="Arial" w:cs="Arial"/>
        </w:rPr>
        <w:t>Franetovich</w:t>
      </w:r>
      <w:proofErr w:type="spellEnd"/>
      <w:r w:rsidRPr="006A5A63">
        <w:rPr>
          <w:rFonts w:ascii="Arial" w:hAnsi="Arial" w:cs="Arial"/>
        </w:rPr>
        <w:t xml:space="preserve">, M., Petkova-Timmer, V., Rolfe, J., &amp; Ivanova, G. (2009). Assessing the social impacts of extensive resource use activities. </w:t>
      </w:r>
      <w:r w:rsidRPr="006A5A63">
        <w:rPr>
          <w:rFonts w:ascii="Arial" w:hAnsi="Arial" w:cs="Arial"/>
          <w:i/>
          <w:iCs/>
        </w:rPr>
        <w:t>Journal of Environmental Planning and Management, 52</w:t>
      </w:r>
      <w:r w:rsidRPr="006A5A63">
        <w:rPr>
          <w:rFonts w:ascii="Arial" w:hAnsi="Arial" w:cs="Arial"/>
        </w:rPr>
        <w:t>(4), 437–455.</w:t>
      </w:r>
    </w:p>
    <w:p w14:paraId="51B4DD8E" w14:textId="7758751B" w:rsidR="006A5A63" w:rsidRDefault="006A5A63" w:rsidP="006A5A63">
      <w:pPr>
        <w:spacing w:line="480" w:lineRule="auto"/>
        <w:jc w:val="both"/>
        <w:rPr>
          <w:rFonts w:ascii="Arial" w:hAnsi="Arial" w:cs="Arial"/>
        </w:rPr>
      </w:pPr>
      <w:r w:rsidRPr="006A5A63">
        <w:rPr>
          <w:rFonts w:ascii="Arial" w:hAnsi="Arial" w:cs="Arial"/>
        </w:rPr>
        <w:lastRenderedPageBreak/>
        <w:t xml:space="preserve">Mahmoudi, H., Renn, O., </w:t>
      </w:r>
      <w:proofErr w:type="spellStart"/>
      <w:r w:rsidRPr="006A5A63">
        <w:rPr>
          <w:rFonts w:ascii="Arial" w:hAnsi="Arial" w:cs="Arial"/>
        </w:rPr>
        <w:t>Vanclay</w:t>
      </w:r>
      <w:proofErr w:type="spellEnd"/>
      <w:r w:rsidRPr="006A5A63">
        <w:rPr>
          <w:rFonts w:ascii="Arial" w:hAnsi="Arial" w:cs="Arial"/>
        </w:rPr>
        <w:t xml:space="preserve">, F., Hoffmann, V., &amp; </w:t>
      </w:r>
      <w:proofErr w:type="spellStart"/>
      <w:r w:rsidRPr="006A5A63">
        <w:rPr>
          <w:rFonts w:ascii="Arial" w:hAnsi="Arial" w:cs="Arial"/>
        </w:rPr>
        <w:t>Karbassi</w:t>
      </w:r>
      <w:proofErr w:type="spellEnd"/>
      <w:r w:rsidRPr="006A5A63">
        <w:rPr>
          <w:rFonts w:ascii="Arial" w:hAnsi="Arial" w:cs="Arial"/>
        </w:rPr>
        <w:t xml:space="preserve">, A. R. (2013). A framework for combining social impact assessment and risk assessment. </w:t>
      </w:r>
      <w:r w:rsidRPr="006A5A63">
        <w:rPr>
          <w:rFonts w:ascii="Arial" w:hAnsi="Arial" w:cs="Arial"/>
          <w:i/>
          <w:iCs/>
        </w:rPr>
        <w:t>Environmental Impact Assessment Review</w:t>
      </w:r>
      <w:r w:rsidRPr="006A5A63">
        <w:rPr>
          <w:rFonts w:ascii="Arial" w:hAnsi="Arial" w:cs="Arial"/>
        </w:rPr>
        <w:t>, 43, 1–8.</w:t>
      </w:r>
    </w:p>
    <w:p w14:paraId="7E6A8946" w14:textId="6B4D8246" w:rsidR="00183889" w:rsidRDefault="00183889" w:rsidP="006A5A63">
      <w:pPr>
        <w:spacing w:line="480" w:lineRule="auto"/>
        <w:jc w:val="both"/>
        <w:rPr>
          <w:rFonts w:ascii="Arial" w:hAnsi="Arial" w:cs="Arial"/>
        </w:rPr>
      </w:pPr>
      <w:hyperlink r:id="rId8" w:history="1">
        <w:r w:rsidRPr="006E2218">
          <w:rPr>
            <w:rStyle w:val="Hyperlink"/>
            <w:rFonts w:ascii="Arial" w:hAnsi="Arial" w:cs="Arial"/>
          </w:rPr>
          <w:t>https://ca.warbyparker.com/</w:t>
        </w:r>
      </w:hyperlink>
    </w:p>
    <w:p w14:paraId="5CF884BE" w14:textId="2510D69A" w:rsidR="00183889" w:rsidRDefault="00183889" w:rsidP="006A5A63">
      <w:pPr>
        <w:spacing w:line="480" w:lineRule="auto"/>
        <w:jc w:val="both"/>
        <w:rPr>
          <w:rFonts w:ascii="Arial" w:hAnsi="Arial" w:cs="Arial"/>
        </w:rPr>
      </w:pPr>
      <w:hyperlink r:id="rId9" w:history="1">
        <w:r w:rsidRPr="006E2218">
          <w:rPr>
            <w:rStyle w:val="Hyperlink"/>
            <w:rFonts w:ascii="Arial" w:hAnsi="Arial" w:cs="Arial"/>
          </w:rPr>
          <w:t>https://www.sec.gov/ix?doc=/Archives/edgar/data/1504776/000150477624000006/wrby-20231231.htm</w:t>
        </w:r>
      </w:hyperlink>
    </w:p>
    <w:p w14:paraId="486A25AB" w14:textId="77777777" w:rsidR="00183889" w:rsidRDefault="00183889" w:rsidP="006A5A63">
      <w:pPr>
        <w:spacing w:line="480" w:lineRule="auto"/>
        <w:jc w:val="both"/>
        <w:rPr>
          <w:rFonts w:ascii="Arial" w:hAnsi="Arial" w:cs="Arial"/>
        </w:rPr>
      </w:pPr>
    </w:p>
    <w:p w14:paraId="085BCE0F" w14:textId="77777777" w:rsidR="00730CAA" w:rsidRPr="00751558" w:rsidRDefault="00730CAA" w:rsidP="00751558">
      <w:pPr>
        <w:spacing w:line="480" w:lineRule="auto"/>
        <w:jc w:val="both"/>
        <w:rPr>
          <w:rFonts w:ascii="Arial" w:hAnsi="Arial" w:cs="Arial"/>
        </w:rPr>
      </w:pPr>
    </w:p>
    <w:p w14:paraId="1156A04E" w14:textId="77777777" w:rsidR="00D720D7" w:rsidRPr="00D720D7" w:rsidRDefault="00D720D7" w:rsidP="00D720D7">
      <w:pPr>
        <w:spacing w:line="480" w:lineRule="auto"/>
        <w:jc w:val="both"/>
        <w:rPr>
          <w:rFonts w:ascii="Arial" w:hAnsi="Arial" w:cs="Arial"/>
        </w:rPr>
      </w:pPr>
    </w:p>
    <w:sectPr w:rsidR="00D720D7" w:rsidRPr="00D720D7" w:rsidSect="00F67E31">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D569D8" w14:textId="77777777" w:rsidR="00262EAF" w:rsidRDefault="00262EAF" w:rsidP="00F67E31">
      <w:pPr>
        <w:spacing w:after="0" w:line="240" w:lineRule="auto"/>
      </w:pPr>
      <w:r>
        <w:separator/>
      </w:r>
    </w:p>
  </w:endnote>
  <w:endnote w:type="continuationSeparator" w:id="0">
    <w:p w14:paraId="12011952" w14:textId="77777777" w:rsidR="00262EAF" w:rsidRDefault="00262EAF" w:rsidP="00F67E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88998574"/>
      <w:docPartObj>
        <w:docPartGallery w:val="Page Numbers (Bottom of Page)"/>
        <w:docPartUnique/>
      </w:docPartObj>
    </w:sdtPr>
    <w:sdtEndPr>
      <w:rPr>
        <w:noProof/>
      </w:rPr>
    </w:sdtEndPr>
    <w:sdtContent>
      <w:p w14:paraId="3F665F0D" w14:textId="138732EF" w:rsidR="00F67E31" w:rsidRDefault="00F67E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9807F3" w14:textId="77777777" w:rsidR="00F67E31" w:rsidRDefault="00F67E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F7CE6A" w14:textId="77777777" w:rsidR="00262EAF" w:rsidRDefault="00262EAF" w:rsidP="00F67E31">
      <w:pPr>
        <w:spacing w:after="0" w:line="240" w:lineRule="auto"/>
      </w:pPr>
      <w:r>
        <w:separator/>
      </w:r>
    </w:p>
  </w:footnote>
  <w:footnote w:type="continuationSeparator" w:id="0">
    <w:p w14:paraId="06E87FB7" w14:textId="77777777" w:rsidR="00262EAF" w:rsidRDefault="00262EAF" w:rsidP="00F67E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8C1F2A"/>
    <w:multiLevelType w:val="hybridMultilevel"/>
    <w:tmpl w:val="83F23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8292A"/>
    <w:multiLevelType w:val="hybridMultilevel"/>
    <w:tmpl w:val="CEEA6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53760D"/>
    <w:multiLevelType w:val="hybridMultilevel"/>
    <w:tmpl w:val="4510C2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80001C"/>
    <w:multiLevelType w:val="hybridMultilevel"/>
    <w:tmpl w:val="DB7EE9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AB3888"/>
    <w:multiLevelType w:val="hybridMultilevel"/>
    <w:tmpl w:val="CCFED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3F17A3"/>
    <w:multiLevelType w:val="hybridMultilevel"/>
    <w:tmpl w:val="0450B7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F41E4A"/>
    <w:multiLevelType w:val="hybridMultilevel"/>
    <w:tmpl w:val="E9BA2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B218E9"/>
    <w:multiLevelType w:val="hybridMultilevel"/>
    <w:tmpl w:val="ABD6CC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B197C49"/>
    <w:multiLevelType w:val="hybridMultilevel"/>
    <w:tmpl w:val="9FC82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BC5AC0"/>
    <w:multiLevelType w:val="hybridMultilevel"/>
    <w:tmpl w:val="A6D6DF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AB358C"/>
    <w:multiLevelType w:val="hybridMultilevel"/>
    <w:tmpl w:val="9C48E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1329DD"/>
    <w:multiLevelType w:val="hybridMultilevel"/>
    <w:tmpl w:val="7E5C33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4126027">
    <w:abstractNumId w:val="10"/>
  </w:num>
  <w:num w:numId="2" w16cid:durableId="931549574">
    <w:abstractNumId w:val="5"/>
  </w:num>
  <w:num w:numId="3" w16cid:durableId="398066150">
    <w:abstractNumId w:val="9"/>
  </w:num>
  <w:num w:numId="4" w16cid:durableId="1123117542">
    <w:abstractNumId w:val="11"/>
  </w:num>
  <w:num w:numId="5" w16cid:durableId="1975090007">
    <w:abstractNumId w:val="3"/>
  </w:num>
  <w:num w:numId="6" w16cid:durableId="2004551884">
    <w:abstractNumId w:val="1"/>
  </w:num>
  <w:num w:numId="7" w16cid:durableId="1429544428">
    <w:abstractNumId w:val="2"/>
  </w:num>
  <w:num w:numId="8" w16cid:durableId="1881085530">
    <w:abstractNumId w:val="4"/>
  </w:num>
  <w:num w:numId="9" w16cid:durableId="1581525267">
    <w:abstractNumId w:val="8"/>
  </w:num>
  <w:num w:numId="10" w16cid:durableId="962464911">
    <w:abstractNumId w:val="6"/>
  </w:num>
  <w:num w:numId="11" w16cid:durableId="1596591618">
    <w:abstractNumId w:val="0"/>
  </w:num>
  <w:num w:numId="12" w16cid:durableId="14277314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0D7"/>
    <w:rsid w:val="00183889"/>
    <w:rsid w:val="00262EAF"/>
    <w:rsid w:val="002717E5"/>
    <w:rsid w:val="006A5A63"/>
    <w:rsid w:val="00730CAA"/>
    <w:rsid w:val="00751558"/>
    <w:rsid w:val="008936A8"/>
    <w:rsid w:val="00D720D7"/>
    <w:rsid w:val="00D8014E"/>
    <w:rsid w:val="00E71EC6"/>
    <w:rsid w:val="00F67E31"/>
    <w:rsid w:val="00F83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160EB"/>
  <w15:chartTrackingRefBased/>
  <w15:docId w15:val="{0DAF643D-06FC-4502-A82F-0077294CA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0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20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20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20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0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0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0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0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0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0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20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20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20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20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20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20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20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20D7"/>
    <w:rPr>
      <w:rFonts w:eastAsiaTheme="majorEastAsia" w:cstheme="majorBidi"/>
      <w:color w:val="272727" w:themeColor="text1" w:themeTint="D8"/>
    </w:rPr>
  </w:style>
  <w:style w:type="paragraph" w:styleId="Title">
    <w:name w:val="Title"/>
    <w:basedOn w:val="Normal"/>
    <w:next w:val="Normal"/>
    <w:link w:val="TitleChar"/>
    <w:uiPriority w:val="10"/>
    <w:qFormat/>
    <w:rsid w:val="00D720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0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20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20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0D7"/>
    <w:pPr>
      <w:spacing w:before="160"/>
      <w:jc w:val="center"/>
    </w:pPr>
    <w:rPr>
      <w:i/>
      <w:iCs/>
      <w:color w:val="404040" w:themeColor="text1" w:themeTint="BF"/>
    </w:rPr>
  </w:style>
  <w:style w:type="character" w:customStyle="1" w:styleId="QuoteChar">
    <w:name w:val="Quote Char"/>
    <w:basedOn w:val="DefaultParagraphFont"/>
    <w:link w:val="Quote"/>
    <w:uiPriority w:val="29"/>
    <w:rsid w:val="00D720D7"/>
    <w:rPr>
      <w:i/>
      <w:iCs/>
      <w:color w:val="404040" w:themeColor="text1" w:themeTint="BF"/>
    </w:rPr>
  </w:style>
  <w:style w:type="paragraph" w:styleId="ListParagraph">
    <w:name w:val="List Paragraph"/>
    <w:basedOn w:val="Normal"/>
    <w:uiPriority w:val="34"/>
    <w:qFormat/>
    <w:rsid w:val="00D720D7"/>
    <w:pPr>
      <w:ind w:left="720"/>
      <w:contextualSpacing/>
    </w:pPr>
  </w:style>
  <w:style w:type="character" w:styleId="IntenseEmphasis">
    <w:name w:val="Intense Emphasis"/>
    <w:basedOn w:val="DefaultParagraphFont"/>
    <w:uiPriority w:val="21"/>
    <w:qFormat/>
    <w:rsid w:val="00D720D7"/>
    <w:rPr>
      <w:i/>
      <w:iCs/>
      <w:color w:val="0F4761" w:themeColor="accent1" w:themeShade="BF"/>
    </w:rPr>
  </w:style>
  <w:style w:type="paragraph" w:styleId="IntenseQuote">
    <w:name w:val="Intense Quote"/>
    <w:basedOn w:val="Normal"/>
    <w:next w:val="Normal"/>
    <w:link w:val="IntenseQuoteChar"/>
    <w:uiPriority w:val="30"/>
    <w:qFormat/>
    <w:rsid w:val="00D720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0D7"/>
    <w:rPr>
      <w:i/>
      <w:iCs/>
      <w:color w:val="0F4761" w:themeColor="accent1" w:themeShade="BF"/>
    </w:rPr>
  </w:style>
  <w:style w:type="character" w:styleId="IntenseReference">
    <w:name w:val="Intense Reference"/>
    <w:basedOn w:val="DefaultParagraphFont"/>
    <w:uiPriority w:val="32"/>
    <w:qFormat/>
    <w:rsid w:val="00D720D7"/>
    <w:rPr>
      <w:b/>
      <w:bCs/>
      <w:smallCaps/>
      <w:color w:val="0F4761" w:themeColor="accent1" w:themeShade="BF"/>
      <w:spacing w:val="5"/>
    </w:rPr>
  </w:style>
  <w:style w:type="paragraph" w:styleId="Header">
    <w:name w:val="header"/>
    <w:basedOn w:val="Normal"/>
    <w:link w:val="HeaderChar"/>
    <w:uiPriority w:val="99"/>
    <w:unhideWhenUsed/>
    <w:rsid w:val="00F67E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E31"/>
  </w:style>
  <w:style w:type="paragraph" w:styleId="Footer">
    <w:name w:val="footer"/>
    <w:basedOn w:val="Normal"/>
    <w:link w:val="FooterChar"/>
    <w:uiPriority w:val="99"/>
    <w:unhideWhenUsed/>
    <w:rsid w:val="00F67E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E31"/>
  </w:style>
  <w:style w:type="paragraph" w:styleId="NoSpacing">
    <w:name w:val="No Spacing"/>
    <w:link w:val="NoSpacingChar"/>
    <w:uiPriority w:val="1"/>
    <w:qFormat/>
    <w:rsid w:val="00F67E3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67E31"/>
    <w:rPr>
      <w:rFonts w:eastAsiaTheme="minorEastAsia"/>
      <w:kern w:val="0"/>
      <w:sz w:val="22"/>
      <w:szCs w:val="22"/>
      <w:lang w:val="en-US"/>
      <w14:ligatures w14:val="none"/>
    </w:rPr>
  </w:style>
  <w:style w:type="character" w:styleId="Hyperlink">
    <w:name w:val="Hyperlink"/>
    <w:basedOn w:val="DefaultParagraphFont"/>
    <w:uiPriority w:val="99"/>
    <w:unhideWhenUsed/>
    <w:rsid w:val="006A5A63"/>
    <w:rPr>
      <w:color w:val="467886" w:themeColor="hyperlink"/>
      <w:u w:val="single"/>
    </w:rPr>
  </w:style>
  <w:style w:type="character" w:styleId="UnresolvedMention">
    <w:name w:val="Unresolved Mention"/>
    <w:basedOn w:val="DefaultParagraphFont"/>
    <w:uiPriority w:val="99"/>
    <w:semiHidden/>
    <w:unhideWhenUsed/>
    <w:rsid w:val="006A5A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9860064">
      <w:bodyDiv w:val="1"/>
      <w:marLeft w:val="0"/>
      <w:marRight w:val="0"/>
      <w:marTop w:val="0"/>
      <w:marBottom w:val="0"/>
      <w:divBdr>
        <w:top w:val="none" w:sz="0" w:space="0" w:color="auto"/>
        <w:left w:val="none" w:sz="0" w:space="0" w:color="auto"/>
        <w:bottom w:val="none" w:sz="0" w:space="0" w:color="auto"/>
        <w:right w:val="none" w:sz="0" w:space="0" w:color="auto"/>
      </w:divBdr>
    </w:div>
    <w:div w:id="1853300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warbyparker.com/" TargetMode="External"/><Relationship Id="rId3" Type="http://schemas.openxmlformats.org/officeDocument/2006/relationships/settings" Target="settings.xml"/><Relationship Id="rId7" Type="http://schemas.openxmlformats.org/officeDocument/2006/relationships/hyperlink" Target="https://ssir.org/articles/entry/in_search_of_the_hybrid_idea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ec.gov/ix?doc=/Archives/edgar/data/1504776/000150477624000006/wrby-2023123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237</TotalTime>
  <Pages>12</Pages>
  <Words>1858</Words>
  <Characters>10595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Impact Measurement</dc:title>
  <dc:subject/>
  <dc:creator>Mirabela Voican (1907947)</dc:creator>
  <cp:keywords/>
  <dc:description/>
  <cp:lastModifiedBy>Mirabela Voican (1907947)</cp:lastModifiedBy>
  <cp:revision>1</cp:revision>
  <dcterms:created xsi:type="dcterms:W3CDTF">2024-11-21T09:52:00Z</dcterms:created>
  <dcterms:modified xsi:type="dcterms:W3CDTF">2024-11-21T13:50:00Z</dcterms:modified>
</cp:coreProperties>
</file>