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2B79FD" w14:textId="5E185137" w:rsidR="00737F9E" w:rsidRDefault="00737F9E" w:rsidP="00737F9E">
      <w:pPr>
        <w:jc w:val="center"/>
        <w:rPr>
          <w:rFonts w:ascii="Times New Roman" w:hAnsi="Times New Roman"/>
          <w:b/>
          <w:sz w:val="28"/>
          <w:u w:val="single"/>
        </w:rPr>
      </w:pPr>
      <w:r w:rsidRPr="00737F9E">
        <w:rPr>
          <w:rFonts w:ascii="Times New Roman" w:hAnsi="Times New Roman"/>
          <w:b/>
          <w:sz w:val="28"/>
          <w:u w:val="single"/>
        </w:rPr>
        <w:t>To what extent was the reign of Henry 1</w:t>
      </w:r>
      <w:r w:rsidR="00EC1BD1">
        <w:rPr>
          <w:rFonts w:ascii="Times New Roman" w:hAnsi="Times New Roman"/>
          <w:b/>
          <w:sz w:val="28"/>
          <w:u w:val="single"/>
        </w:rPr>
        <w:t>st</w:t>
      </w:r>
      <w:r w:rsidRPr="00737F9E">
        <w:rPr>
          <w:rFonts w:ascii="Times New Roman" w:hAnsi="Times New Roman"/>
          <w:b/>
          <w:sz w:val="28"/>
          <w:u w:val="single"/>
        </w:rPr>
        <w:t xml:space="preserve"> a turning point in English history?</w:t>
      </w:r>
    </w:p>
    <w:p w14:paraId="6DBE934B" w14:textId="4325916B" w:rsidR="00737F9E" w:rsidRDefault="00737F9E" w:rsidP="00737F9E">
      <w:pPr>
        <w:jc w:val="center"/>
        <w:rPr>
          <w:rFonts w:ascii="Times New Roman" w:hAnsi="Times New Roman"/>
          <w:b/>
          <w:sz w:val="28"/>
          <w:u w:val="single"/>
        </w:rPr>
      </w:pPr>
    </w:p>
    <w:p w14:paraId="7A7BC1D3" w14:textId="72CEC5E9" w:rsidR="00737F9E" w:rsidRDefault="005B2A34" w:rsidP="00EF7874">
      <w:pPr>
        <w:spacing w:line="360" w:lineRule="auto"/>
        <w:jc w:val="both"/>
        <w:rPr>
          <w:rFonts w:ascii="Times New Roman" w:hAnsi="Times New Roman"/>
          <w:sz w:val="24"/>
        </w:rPr>
      </w:pPr>
      <w:r>
        <w:rPr>
          <w:rFonts w:ascii="Times New Roman" w:hAnsi="Times New Roman"/>
          <w:sz w:val="24"/>
        </w:rPr>
        <w:t>Henry 1</w:t>
      </w:r>
      <w:r w:rsidR="00EC1BD1">
        <w:rPr>
          <w:rFonts w:ascii="Times New Roman" w:hAnsi="Times New Roman"/>
          <w:sz w:val="24"/>
        </w:rPr>
        <w:t>st</w:t>
      </w:r>
      <w:r>
        <w:rPr>
          <w:rFonts w:ascii="Times New Roman" w:hAnsi="Times New Roman"/>
          <w:sz w:val="24"/>
        </w:rPr>
        <w:t xml:space="preserve"> of England ascended to the throne in </w:t>
      </w:r>
      <w:r w:rsidR="001959DC">
        <w:rPr>
          <w:rFonts w:ascii="Times New Roman" w:hAnsi="Times New Roman"/>
          <w:sz w:val="24"/>
        </w:rPr>
        <w:t>the year 1100 after the death of his brother Willia</w:t>
      </w:r>
      <w:r w:rsidR="00176C63">
        <w:rPr>
          <w:rFonts w:ascii="Times New Roman" w:hAnsi="Times New Roman"/>
          <w:sz w:val="24"/>
        </w:rPr>
        <w:t>m</w:t>
      </w:r>
      <w:r w:rsidR="001959DC">
        <w:rPr>
          <w:rFonts w:ascii="Times New Roman" w:hAnsi="Times New Roman"/>
          <w:sz w:val="24"/>
        </w:rPr>
        <w:t xml:space="preserve"> Rufus. </w:t>
      </w:r>
      <w:r w:rsidR="00AF7332">
        <w:rPr>
          <w:rFonts w:ascii="Times New Roman" w:hAnsi="Times New Roman"/>
          <w:sz w:val="24"/>
        </w:rPr>
        <w:t>Considered by many scholars to be an effective but ruthless king, his reign is considered an important mark in Englis</w:t>
      </w:r>
      <w:bookmarkStart w:id="0" w:name="_GoBack"/>
      <w:bookmarkEnd w:id="0"/>
      <w:r w:rsidR="00AF7332">
        <w:rPr>
          <w:rFonts w:ascii="Times New Roman" w:hAnsi="Times New Roman"/>
          <w:sz w:val="24"/>
        </w:rPr>
        <w:t xml:space="preserve">h history. The purpose of this paper is to determine how far Henry’s rule can be considered a turning point in history; as although he certainly reformed the English system in some areas, in others he suffered from the same flaws as his father and brother that stemmed from their Norman heritage. To accomplish this, his achievements in </w:t>
      </w:r>
      <w:r w:rsidR="00176C63">
        <w:rPr>
          <w:rFonts w:ascii="Times New Roman" w:hAnsi="Times New Roman"/>
          <w:sz w:val="24"/>
        </w:rPr>
        <w:t>administration and law</w:t>
      </w:r>
      <w:r w:rsidR="00AF7332">
        <w:rPr>
          <w:rFonts w:ascii="Times New Roman" w:hAnsi="Times New Roman"/>
          <w:sz w:val="24"/>
        </w:rPr>
        <w:t xml:space="preserve"> must be examined. Furthermore, his relationship with the church and the crisis around his succession must also be </w:t>
      </w:r>
      <w:r w:rsidR="00495F8D">
        <w:rPr>
          <w:rFonts w:ascii="Times New Roman" w:hAnsi="Times New Roman"/>
          <w:sz w:val="24"/>
        </w:rPr>
        <w:t>analysed</w:t>
      </w:r>
      <w:r w:rsidR="00AF7332">
        <w:rPr>
          <w:rFonts w:ascii="Times New Roman" w:hAnsi="Times New Roman"/>
          <w:sz w:val="24"/>
        </w:rPr>
        <w:t xml:space="preserve">. </w:t>
      </w:r>
      <w:r w:rsidR="00C13A2E">
        <w:rPr>
          <w:rFonts w:ascii="Times New Roman" w:hAnsi="Times New Roman"/>
          <w:sz w:val="24"/>
        </w:rPr>
        <w:t xml:space="preserve">The conclusions I expect to reach are that, due to both his reforms and faults around his </w:t>
      </w:r>
      <w:r w:rsidR="00176C63">
        <w:rPr>
          <w:rFonts w:ascii="Times New Roman" w:hAnsi="Times New Roman"/>
          <w:sz w:val="24"/>
        </w:rPr>
        <w:t>Norman heritage</w:t>
      </w:r>
      <w:r w:rsidR="00C13A2E">
        <w:rPr>
          <w:rFonts w:ascii="Times New Roman" w:hAnsi="Times New Roman"/>
          <w:sz w:val="24"/>
        </w:rPr>
        <w:t xml:space="preserve"> that the reign of Henry 1</w:t>
      </w:r>
      <w:r w:rsidR="00EC1BD1">
        <w:rPr>
          <w:rFonts w:ascii="Times New Roman" w:hAnsi="Times New Roman"/>
          <w:sz w:val="24"/>
        </w:rPr>
        <w:t>st</w:t>
      </w:r>
      <w:r w:rsidR="00C13A2E">
        <w:rPr>
          <w:rFonts w:ascii="Times New Roman" w:hAnsi="Times New Roman"/>
          <w:sz w:val="24"/>
        </w:rPr>
        <w:t xml:space="preserve"> was a crucial turning point in English history</w:t>
      </w:r>
      <w:r w:rsidR="00176C63">
        <w:rPr>
          <w:rFonts w:ascii="Times New Roman" w:hAnsi="Times New Roman"/>
          <w:sz w:val="24"/>
        </w:rPr>
        <w:t>.</w:t>
      </w:r>
    </w:p>
    <w:p w14:paraId="3E32264D" w14:textId="697E5617" w:rsidR="00022FDC" w:rsidRDefault="00495F8D" w:rsidP="00EF7874">
      <w:pPr>
        <w:spacing w:line="360" w:lineRule="auto"/>
        <w:jc w:val="both"/>
        <w:rPr>
          <w:rFonts w:ascii="Times New Roman" w:hAnsi="Times New Roman"/>
          <w:sz w:val="24"/>
        </w:rPr>
      </w:pPr>
      <w:r>
        <w:rPr>
          <w:rFonts w:ascii="Times New Roman" w:hAnsi="Times New Roman"/>
          <w:sz w:val="24"/>
        </w:rPr>
        <w:t>First, examining the administration of Henry 1</w:t>
      </w:r>
      <w:r w:rsidR="00EC1BD1">
        <w:rPr>
          <w:rFonts w:ascii="Times New Roman" w:hAnsi="Times New Roman"/>
          <w:sz w:val="24"/>
        </w:rPr>
        <w:t>st</w:t>
      </w:r>
      <w:r>
        <w:rPr>
          <w:rFonts w:ascii="Times New Roman" w:hAnsi="Times New Roman"/>
          <w:sz w:val="24"/>
        </w:rPr>
        <w:t xml:space="preserve"> this is an area where many reforms were enacted by the king to consolidate royal power</w:t>
      </w:r>
      <w:r w:rsidR="001E073E">
        <w:rPr>
          <w:rFonts w:ascii="Times New Roman" w:hAnsi="Times New Roman"/>
          <w:sz w:val="24"/>
        </w:rPr>
        <w:t xml:space="preserve"> and strengthen local government</w:t>
      </w:r>
      <w:r>
        <w:rPr>
          <w:rFonts w:ascii="Times New Roman" w:hAnsi="Times New Roman"/>
          <w:sz w:val="24"/>
        </w:rPr>
        <w:t xml:space="preserve">. One of the most notable reforms was the advancement of lower class citizens </w:t>
      </w:r>
      <w:r w:rsidR="001E073E">
        <w:rPr>
          <w:rFonts w:ascii="Times New Roman" w:hAnsi="Times New Roman"/>
          <w:sz w:val="24"/>
        </w:rPr>
        <w:t>to sheriffs</w:t>
      </w:r>
      <w:r w:rsidR="00C66B3B">
        <w:rPr>
          <w:rFonts w:ascii="Times New Roman" w:hAnsi="Times New Roman"/>
          <w:sz w:val="24"/>
        </w:rPr>
        <w:t xml:space="preserve"> and other agents</w:t>
      </w:r>
      <w:r w:rsidR="001E073E">
        <w:rPr>
          <w:rFonts w:ascii="Times New Roman" w:hAnsi="Times New Roman"/>
          <w:sz w:val="24"/>
        </w:rPr>
        <w:t xml:space="preserve"> with the administration.</w:t>
      </w:r>
      <w:r w:rsidR="00C66B3B">
        <w:rPr>
          <w:rFonts w:ascii="Times New Roman" w:hAnsi="Times New Roman"/>
          <w:sz w:val="24"/>
        </w:rPr>
        <w:t xml:space="preserve"> T</w:t>
      </w:r>
      <w:r w:rsidR="00C50EDB">
        <w:rPr>
          <w:rFonts w:ascii="Times New Roman" w:hAnsi="Times New Roman"/>
          <w:sz w:val="24"/>
        </w:rPr>
        <w:t>h</w:t>
      </w:r>
      <w:r w:rsidR="00C66B3B">
        <w:rPr>
          <w:rFonts w:ascii="Times New Roman" w:hAnsi="Times New Roman"/>
          <w:sz w:val="24"/>
        </w:rPr>
        <w:t>ough little is known about social mobility with the 12</w:t>
      </w:r>
      <w:r w:rsidR="00C66B3B" w:rsidRPr="00C66B3B">
        <w:rPr>
          <w:rFonts w:ascii="Times New Roman" w:hAnsi="Times New Roman"/>
          <w:sz w:val="24"/>
          <w:vertAlign w:val="superscript"/>
        </w:rPr>
        <w:t>th</w:t>
      </w:r>
      <w:r w:rsidR="00C66B3B">
        <w:rPr>
          <w:rFonts w:ascii="Times New Roman" w:hAnsi="Times New Roman"/>
          <w:sz w:val="24"/>
        </w:rPr>
        <w:t xml:space="preserve"> century</w:t>
      </w:r>
      <w:r w:rsidR="00C66B3B">
        <w:rPr>
          <w:rStyle w:val="FootnoteReference"/>
          <w:rFonts w:ascii="Times New Roman" w:hAnsi="Times New Roman"/>
          <w:sz w:val="24"/>
        </w:rPr>
        <w:footnoteReference w:id="1"/>
      </w:r>
      <w:r w:rsidR="00C66B3B">
        <w:rPr>
          <w:rFonts w:ascii="Times New Roman" w:hAnsi="Times New Roman"/>
          <w:sz w:val="24"/>
        </w:rPr>
        <w:t xml:space="preserve"> Henry 1</w:t>
      </w:r>
      <w:r w:rsidR="00EC1BD1">
        <w:rPr>
          <w:rFonts w:ascii="Times New Roman" w:hAnsi="Times New Roman"/>
          <w:sz w:val="24"/>
        </w:rPr>
        <w:t>st</w:t>
      </w:r>
      <w:r w:rsidR="00C66B3B">
        <w:rPr>
          <w:rFonts w:ascii="Times New Roman" w:hAnsi="Times New Roman"/>
          <w:sz w:val="24"/>
        </w:rPr>
        <w:t xml:space="preserve"> elevated low born men to great wealth</w:t>
      </w:r>
      <w:r w:rsidR="00C50EDB">
        <w:rPr>
          <w:rFonts w:ascii="Times New Roman" w:hAnsi="Times New Roman"/>
          <w:sz w:val="24"/>
        </w:rPr>
        <w:t>.</w:t>
      </w:r>
      <w:r w:rsidR="007013C2">
        <w:rPr>
          <w:rFonts w:ascii="Times New Roman" w:hAnsi="Times New Roman"/>
          <w:sz w:val="24"/>
        </w:rPr>
        <w:t xml:space="preserve"> An example of this is Geoffrey de Clinton, the sheriff of Warwickshire who amassed such wealth that he built his own castle in Kenilworth.</w:t>
      </w:r>
      <w:r w:rsidR="007013C2">
        <w:rPr>
          <w:rStyle w:val="FootnoteReference"/>
          <w:rFonts w:ascii="Times New Roman" w:hAnsi="Times New Roman"/>
          <w:sz w:val="24"/>
        </w:rPr>
        <w:footnoteReference w:id="2"/>
      </w:r>
      <w:r w:rsidR="00C50EDB">
        <w:rPr>
          <w:rFonts w:ascii="Times New Roman" w:hAnsi="Times New Roman"/>
          <w:sz w:val="24"/>
        </w:rPr>
        <w:t xml:space="preserve"> Though not the only monarch to raise men up (such as king Louis 6 of France)</w:t>
      </w:r>
      <w:r w:rsidR="00C50EDB">
        <w:rPr>
          <w:rStyle w:val="FootnoteReference"/>
          <w:rFonts w:ascii="Times New Roman" w:hAnsi="Times New Roman"/>
          <w:sz w:val="24"/>
        </w:rPr>
        <w:footnoteReference w:id="3"/>
      </w:r>
      <w:r w:rsidR="00C50EDB">
        <w:rPr>
          <w:rFonts w:ascii="Times New Roman" w:hAnsi="Times New Roman"/>
          <w:sz w:val="24"/>
        </w:rPr>
        <w:t xml:space="preserve">, Henry enacted this form of advancement on a scale somewhat alarming scale for more traditional minds. As </w:t>
      </w:r>
      <w:proofErr w:type="spellStart"/>
      <w:r w:rsidR="00C50EDB">
        <w:rPr>
          <w:rFonts w:ascii="Times New Roman" w:hAnsi="Times New Roman"/>
          <w:sz w:val="24"/>
        </w:rPr>
        <w:t>Orderic</w:t>
      </w:r>
      <w:proofErr w:type="spellEnd"/>
      <w:r w:rsidR="00C50EDB">
        <w:rPr>
          <w:rFonts w:ascii="Times New Roman" w:hAnsi="Times New Roman"/>
          <w:sz w:val="24"/>
        </w:rPr>
        <w:t xml:space="preserve"> Vitalis calls them of “base stock”</w:t>
      </w:r>
      <w:r w:rsidR="00C50EDB">
        <w:rPr>
          <w:rStyle w:val="FootnoteReference"/>
          <w:rFonts w:ascii="Times New Roman" w:hAnsi="Times New Roman"/>
          <w:sz w:val="24"/>
        </w:rPr>
        <w:footnoteReference w:id="4"/>
      </w:r>
      <w:r w:rsidR="00C50EDB">
        <w:rPr>
          <w:rFonts w:ascii="Times New Roman" w:hAnsi="Times New Roman"/>
          <w:sz w:val="24"/>
        </w:rPr>
        <w:t xml:space="preserve"> </w:t>
      </w:r>
      <w:r w:rsidR="00C0105E">
        <w:rPr>
          <w:rFonts w:ascii="Times New Roman" w:hAnsi="Times New Roman"/>
          <w:sz w:val="24"/>
        </w:rPr>
        <w:t xml:space="preserve">demonstrating clear contempt for the notion of low born elevated on level or in some case above those of noble birth. Such chroniclers distaste aside however, the elevation of low or middle classes to wealth demonstrate a clear change in society. </w:t>
      </w:r>
      <w:r w:rsidR="00247926">
        <w:rPr>
          <w:rFonts w:ascii="Times New Roman" w:hAnsi="Times New Roman"/>
          <w:sz w:val="24"/>
        </w:rPr>
        <w:t xml:space="preserve">Under his grandfather </w:t>
      </w:r>
      <w:r w:rsidR="00F5594C">
        <w:rPr>
          <w:rFonts w:ascii="Times New Roman" w:hAnsi="Times New Roman"/>
          <w:sz w:val="24"/>
        </w:rPr>
        <w:t>William</w:t>
      </w:r>
      <w:r w:rsidR="007013C2">
        <w:rPr>
          <w:rFonts w:ascii="Times New Roman" w:hAnsi="Times New Roman"/>
          <w:sz w:val="24"/>
        </w:rPr>
        <w:t xml:space="preserve"> the conqueror and brother William Rufus men achieved advancement by the sword, however under Henry new opportunities appeared due to the expanding administration to consolidate power and </w:t>
      </w:r>
      <w:r w:rsidR="00F3276B">
        <w:rPr>
          <w:rFonts w:ascii="Times New Roman" w:hAnsi="Times New Roman"/>
          <w:sz w:val="24"/>
        </w:rPr>
        <w:t>the growth of urbanised towns.</w:t>
      </w:r>
      <w:r w:rsidR="00F3276B">
        <w:rPr>
          <w:rStyle w:val="FootnoteReference"/>
          <w:rFonts w:ascii="Times New Roman" w:hAnsi="Times New Roman"/>
          <w:sz w:val="24"/>
        </w:rPr>
        <w:footnoteReference w:id="5"/>
      </w:r>
      <w:r w:rsidR="00584520">
        <w:rPr>
          <w:rFonts w:ascii="Times New Roman" w:hAnsi="Times New Roman"/>
          <w:sz w:val="24"/>
        </w:rPr>
        <w:t xml:space="preserve"> New administrative jobs that required people with educated backgrounds were </w:t>
      </w:r>
      <w:r w:rsidR="00584520">
        <w:rPr>
          <w:rFonts w:ascii="Times New Roman" w:hAnsi="Times New Roman"/>
          <w:sz w:val="24"/>
        </w:rPr>
        <w:lastRenderedPageBreak/>
        <w:t>becoming available to people of lower classes that possessed the skills to perform them</w:t>
      </w:r>
      <w:r w:rsidR="00022FDC">
        <w:rPr>
          <w:rFonts w:ascii="Times New Roman" w:hAnsi="Times New Roman"/>
          <w:sz w:val="24"/>
        </w:rPr>
        <w:t xml:space="preserve"> This demonstrates the critical nature of Henry’s reign as </w:t>
      </w:r>
      <w:r w:rsidR="00584520">
        <w:rPr>
          <w:rFonts w:ascii="Times New Roman" w:hAnsi="Times New Roman"/>
          <w:sz w:val="24"/>
        </w:rPr>
        <w:t>a turning point in English history as the merit based advancement of common people is one of the first step in England moving from a monarchy to a “</w:t>
      </w:r>
      <w:r w:rsidR="00584520" w:rsidRPr="00584520">
        <w:rPr>
          <w:rFonts w:ascii="Times New Roman" w:hAnsi="Times New Roman"/>
          <w:sz w:val="24"/>
        </w:rPr>
        <w:t>bureaucratized state</w:t>
      </w:r>
      <w:r w:rsidR="00584520">
        <w:rPr>
          <w:rFonts w:ascii="Times New Roman" w:hAnsi="Times New Roman"/>
          <w:sz w:val="24"/>
        </w:rPr>
        <w:t>”.</w:t>
      </w:r>
      <w:r w:rsidR="00584520">
        <w:rPr>
          <w:rStyle w:val="FootnoteReference"/>
          <w:rFonts w:ascii="Times New Roman" w:hAnsi="Times New Roman"/>
          <w:sz w:val="24"/>
        </w:rPr>
        <w:footnoteReference w:id="6"/>
      </w:r>
      <w:r w:rsidR="00170C11">
        <w:rPr>
          <w:rFonts w:ascii="Times New Roman" w:hAnsi="Times New Roman"/>
          <w:sz w:val="24"/>
        </w:rPr>
        <w:t xml:space="preserve"> Though the king would still be the central authority, less power was held by noble families and distributed among administrative staff.</w:t>
      </w:r>
    </w:p>
    <w:p w14:paraId="385CBF6F" w14:textId="7D4D8114" w:rsidR="00584520" w:rsidRDefault="00584520" w:rsidP="00EF7874">
      <w:pPr>
        <w:spacing w:line="360" w:lineRule="auto"/>
        <w:jc w:val="both"/>
        <w:rPr>
          <w:rFonts w:ascii="Times New Roman" w:hAnsi="Times New Roman"/>
          <w:sz w:val="24"/>
        </w:rPr>
      </w:pPr>
      <w:r>
        <w:rPr>
          <w:rFonts w:ascii="Times New Roman" w:hAnsi="Times New Roman"/>
          <w:sz w:val="24"/>
        </w:rPr>
        <w:t>The next fundamental part of Henry’s administration to consider is the</w:t>
      </w:r>
      <w:r w:rsidR="00170C11">
        <w:rPr>
          <w:rFonts w:ascii="Times New Roman" w:hAnsi="Times New Roman"/>
          <w:sz w:val="24"/>
        </w:rPr>
        <w:t xml:space="preserve"> exchequer. Their name taken from the checked table cloth, twice a year at Easter and Michaelmas Henry would sit down with his senior officials </w:t>
      </w:r>
      <w:r w:rsidR="00A56839">
        <w:rPr>
          <w:rFonts w:ascii="Times New Roman" w:hAnsi="Times New Roman"/>
          <w:sz w:val="24"/>
        </w:rPr>
        <w:t>would review all sheriff accounts.</w:t>
      </w:r>
      <w:r w:rsidR="00A56839">
        <w:rPr>
          <w:rStyle w:val="FootnoteReference"/>
          <w:rFonts w:ascii="Times New Roman" w:hAnsi="Times New Roman"/>
          <w:sz w:val="24"/>
        </w:rPr>
        <w:footnoteReference w:id="7"/>
      </w:r>
      <w:r w:rsidR="00B762A1">
        <w:rPr>
          <w:rFonts w:ascii="Times New Roman" w:hAnsi="Times New Roman"/>
          <w:sz w:val="24"/>
        </w:rPr>
        <w:t xml:space="preserve"> The checked cloth was used as a visual aid to accurately account all coinage that sheriffs were expected to hand over.</w:t>
      </w:r>
      <w:r w:rsidR="00B762A1">
        <w:rPr>
          <w:rStyle w:val="FootnoteReference"/>
          <w:rFonts w:ascii="Times New Roman" w:hAnsi="Times New Roman"/>
          <w:sz w:val="24"/>
        </w:rPr>
        <w:footnoteReference w:id="8"/>
      </w:r>
      <w:r w:rsidR="00B762A1">
        <w:rPr>
          <w:rFonts w:ascii="Times New Roman" w:hAnsi="Times New Roman"/>
          <w:sz w:val="24"/>
        </w:rPr>
        <w:t xml:space="preserve"> The purpose of the exchequer was to ensure that the sheriffs were not ignoring their obligations and taking money meant for the crown, to fill their own pockets. To assist them in this task the exchequer </w:t>
      </w:r>
      <w:r w:rsidR="00354820">
        <w:rPr>
          <w:rFonts w:ascii="Times New Roman" w:hAnsi="Times New Roman"/>
          <w:sz w:val="24"/>
        </w:rPr>
        <w:t>was</w:t>
      </w:r>
      <w:r w:rsidR="00B762A1">
        <w:rPr>
          <w:rFonts w:ascii="Times New Roman" w:hAnsi="Times New Roman"/>
          <w:sz w:val="24"/>
        </w:rPr>
        <w:t xml:space="preserve"> imbued with the power to impose </w:t>
      </w:r>
      <w:r w:rsidR="00354820">
        <w:rPr>
          <w:rFonts w:ascii="Times New Roman" w:hAnsi="Times New Roman"/>
          <w:sz w:val="24"/>
        </w:rPr>
        <w:t>penalties and fines on sheriffs who were found to be not performing their tasks.</w:t>
      </w:r>
      <w:r w:rsidR="00354820">
        <w:rPr>
          <w:rStyle w:val="FootnoteReference"/>
          <w:rFonts w:ascii="Times New Roman" w:hAnsi="Times New Roman"/>
          <w:sz w:val="24"/>
        </w:rPr>
        <w:footnoteReference w:id="9"/>
      </w:r>
      <w:r w:rsidR="00354820">
        <w:rPr>
          <w:rFonts w:ascii="Times New Roman" w:hAnsi="Times New Roman"/>
          <w:sz w:val="24"/>
        </w:rPr>
        <w:t xml:space="preserve"> This system differs from that of Henry’s brother</w:t>
      </w:r>
      <w:r w:rsidR="005E316C">
        <w:rPr>
          <w:rFonts w:ascii="Times New Roman" w:hAnsi="Times New Roman"/>
          <w:sz w:val="24"/>
        </w:rPr>
        <w:t xml:space="preserve"> William</w:t>
      </w:r>
      <w:r w:rsidR="00354820">
        <w:rPr>
          <w:rFonts w:ascii="Times New Roman" w:hAnsi="Times New Roman"/>
          <w:sz w:val="24"/>
        </w:rPr>
        <w:t xml:space="preserve"> who </w:t>
      </w:r>
      <w:r w:rsidR="005E316C">
        <w:rPr>
          <w:rFonts w:ascii="Times New Roman" w:hAnsi="Times New Roman"/>
          <w:sz w:val="24"/>
        </w:rPr>
        <w:t>used a group of ministers to handle his finances. Though on the surface they appear similar, the difference lies in that where as William’s ministers were attached to the royal household Henry’s exchequer were a separate institution</w:t>
      </w:r>
      <w:r w:rsidR="00687EB1">
        <w:rPr>
          <w:rStyle w:val="FootnoteReference"/>
          <w:rFonts w:ascii="Times New Roman" w:hAnsi="Times New Roman"/>
          <w:sz w:val="24"/>
        </w:rPr>
        <w:footnoteReference w:id="10"/>
      </w:r>
      <w:r w:rsidR="00687EB1">
        <w:rPr>
          <w:rFonts w:ascii="Times New Roman" w:hAnsi="Times New Roman"/>
          <w:sz w:val="24"/>
        </w:rPr>
        <w:t xml:space="preserve"> Though Green argues against the idea of separation at this point in history, as many of the exchequer officials were considered part of the king’s household such as the treasurer and chancellor.</w:t>
      </w:r>
      <w:r w:rsidR="00687EB1">
        <w:rPr>
          <w:rStyle w:val="FootnoteReference"/>
          <w:rFonts w:ascii="Times New Roman" w:hAnsi="Times New Roman"/>
          <w:sz w:val="24"/>
        </w:rPr>
        <w:footnoteReference w:id="11"/>
      </w:r>
      <w:r w:rsidR="00687EB1">
        <w:rPr>
          <w:rFonts w:ascii="Times New Roman" w:hAnsi="Times New Roman"/>
          <w:sz w:val="24"/>
        </w:rPr>
        <w:t xml:space="preserve"> I would argue that the knowledge that exchequer was granted their own powers and authority demonstrates that they were in fact considered a separate governmental department. </w:t>
      </w:r>
      <w:r w:rsidR="00A017B5">
        <w:rPr>
          <w:rFonts w:ascii="Times New Roman" w:hAnsi="Times New Roman"/>
          <w:sz w:val="24"/>
        </w:rPr>
        <w:t>The exchequer is another clear example why Henry 1</w:t>
      </w:r>
      <w:r w:rsidR="00EC1BD1">
        <w:rPr>
          <w:rFonts w:ascii="Times New Roman" w:hAnsi="Times New Roman"/>
          <w:sz w:val="24"/>
        </w:rPr>
        <w:t>st</w:t>
      </w:r>
      <w:r w:rsidR="00A017B5">
        <w:rPr>
          <w:rFonts w:ascii="Times New Roman" w:hAnsi="Times New Roman"/>
          <w:sz w:val="24"/>
        </w:rPr>
        <w:t xml:space="preserve"> administration was a clear turning point in English history. His grandson would later improve upon this </w:t>
      </w:r>
      <w:r w:rsidR="00EB44E9">
        <w:rPr>
          <w:rFonts w:ascii="Times New Roman" w:hAnsi="Times New Roman"/>
          <w:sz w:val="24"/>
        </w:rPr>
        <w:t>institution by moving the exchequer and the royal treasury from Westminster and establishing it in London, giving it a more central and permanent base of authority.</w:t>
      </w:r>
      <w:r w:rsidR="00EB44E9">
        <w:rPr>
          <w:rStyle w:val="FootnoteReference"/>
          <w:rFonts w:ascii="Times New Roman" w:hAnsi="Times New Roman"/>
          <w:sz w:val="24"/>
        </w:rPr>
        <w:footnoteReference w:id="12"/>
      </w:r>
      <w:r w:rsidR="00EB44E9">
        <w:rPr>
          <w:rFonts w:ascii="Times New Roman" w:hAnsi="Times New Roman"/>
          <w:sz w:val="24"/>
        </w:rPr>
        <w:t xml:space="preserve"> With the exchequer Henry 1</w:t>
      </w:r>
      <w:r w:rsidR="00EC1BD1">
        <w:rPr>
          <w:rFonts w:ascii="Times New Roman" w:hAnsi="Times New Roman"/>
          <w:sz w:val="24"/>
        </w:rPr>
        <w:t>st</w:t>
      </w:r>
      <w:r w:rsidR="00EB44E9">
        <w:rPr>
          <w:rFonts w:ascii="Times New Roman" w:hAnsi="Times New Roman"/>
          <w:sz w:val="24"/>
        </w:rPr>
        <w:t xml:space="preserve"> crafted an administrative centre that could function without the royal household. His </w:t>
      </w:r>
      <w:r w:rsidR="00EF7666">
        <w:rPr>
          <w:rFonts w:ascii="Times New Roman" w:hAnsi="Times New Roman"/>
          <w:sz w:val="24"/>
        </w:rPr>
        <w:t>administrative</w:t>
      </w:r>
      <w:r w:rsidR="00EB44E9">
        <w:rPr>
          <w:rFonts w:ascii="Times New Roman" w:hAnsi="Times New Roman"/>
          <w:sz w:val="24"/>
        </w:rPr>
        <w:t xml:space="preserve"> achievements from the exchequer to the expansion of jobs wit</w:t>
      </w:r>
      <w:r w:rsidR="00EF7666">
        <w:rPr>
          <w:rFonts w:ascii="Times New Roman" w:hAnsi="Times New Roman"/>
          <w:sz w:val="24"/>
        </w:rPr>
        <w:t xml:space="preserve">hin this early bureaucracy are clear signs of England’s future. This further strengthens the point that Henry </w:t>
      </w:r>
      <w:r w:rsidR="00EC1BD1">
        <w:rPr>
          <w:rFonts w:ascii="Times New Roman" w:hAnsi="Times New Roman"/>
          <w:sz w:val="24"/>
        </w:rPr>
        <w:t>1st</w:t>
      </w:r>
      <w:r w:rsidR="00EF7666">
        <w:rPr>
          <w:rFonts w:ascii="Times New Roman" w:hAnsi="Times New Roman"/>
          <w:sz w:val="24"/>
        </w:rPr>
        <w:t xml:space="preserve"> reign was a key turning point in </w:t>
      </w:r>
      <w:r w:rsidR="00EF7666">
        <w:rPr>
          <w:rFonts w:ascii="Times New Roman" w:hAnsi="Times New Roman"/>
          <w:sz w:val="24"/>
        </w:rPr>
        <w:lastRenderedPageBreak/>
        <w:t>England’s history as he laid the foundations that would see England shift from the control a personal monarchy and into a bureaucratic state.</w:t>
      </w:r>
    </w:p>
    <w:p w14:paraId="1AB762E5" w14:textId="1CC8A0F9" w:rsidR="00C74509" w:rsidRDefault="00EF7666" w:rsidP="00EF7874">
      <w:pPr>
        <w:spacing w:line="360" w:lineRule="auto"/>
        <w:jc w:val="both"/>
        <w:rPr>
          <w:rFonts w:ascii="Times New Roman" w:hAnsi="Times New Roman"/>
          <w:sz w:val="24"/>
        </w:rPr>
      </w:pPr>
      <w:r>
        <w:rPr>
          <w:rFonts w:ascii="Times New Roman" w:hAnsi="Times New Roman"/>
          <w:sz w:val="24"/>
        </w:rPr>
        <w:t xml:space="preserve">The next part of Henry’s reign that need to be examined </w:t>
      </w:r>
      <w:r w:rsidR="00CD1D64">
        <w:rPr>
          <w:rFonts w:ascii="Times New Roman" w:hAnsi="Times New Roman"/>
          <w:sz w:val="24"/>
        </w:rPr>
        <w:t>is</w:t>
      </w:r>
      <w:r>
        <w:rPr>
          <w:rFonts w:ascii="Times New Roman" w:hAnsi="Times New Roman"/>
          <w:sz w:val="24"/>
        </w:rPr>
        <w:t xml:space="preserve"> his </w:t>
      </w:r>
      <w:r w:rsidR="00CD1D64">
        <w:rPr>
          <w:rFonts w:ascii="Times New Roman" w:hAnsi="Times New Roman"/>
          <w:sz w:val="24"/>
        </w:rPr>
        <w:t>c</w:t>
      </w:r>
      <w:r>
        <w:rPr>
          <w:rFonts w:ascii="Times New Roman" w:hAnsi="Times New Roman"/>
          <w:sz w:val="24"/>
        </w:rPr>
        <w:t xml:space="preserve">oronation charter. </w:t>
      </w:r>
      <w:r w:rsidR="00C74509">
        <w:rPr>
          <w:rFonts w:ascii="Times New Roman" w:hAnsi="Times New Roman"/>
          <w:sz w:val="24"/>
        </w:rPr>
        <w:t>Wanting to distance himself from his brother’s unpopular rule, so constructed his charter to appease his barons, people of London and the church.</w:t>
      </w:r>
      <w:r w:rsidR="009E2A10">
        <w:rPr>
          <w:rFonts w:ascii="Times New Roman" w:hAnsi="Times New Roman"/>
          <w:sz w:val="24"/>
        </w:rPr>
        <w:t xml:space="preserve"> </w:t>
      </w:r>
      <w:r w:rsidR="00C74509">
        <w:rPr>
          <w:rFonts w:ascii="Times New Roman" w:hAnsi="Times New Roman"/>
          <w:sz w:val="24"/>
        </w:rPr>
        <w:t xml:space="preserve">The second point of Henry’s charter is that if an heir wishes </w:t>
      </w:r>
      <w:r w:rsidR="00802A3F">
        <w:rPr>
          <w:rFonts w:ascii="Times New Roman" w:hAnsi="Times New Roman"/>
          <w:sz w:val="24"/>
        </w:rPr>
        <w:t>would claim</w:t>
      </w:r>
      <w:r w:rsidR="00C74509">
        <w:rPr>
          <w:rFonts w:ascii="Times New Roman" w:hAnsi="Times New Roman"/>
          <w:sz w:val="24"/>
        </w:rPr>
        <w:t xml:space="preserve"> their fathers land they pay a </w:t>
      </w:r>
      <w:r w:rsidR="009E2A10">
        <w:rPr>
          <w:rFonts w:ascii="Times New Roman" w:hAnsi="Times New Roman"/>
          <w:sz w:val="24"/>
        </w:rPr>
        <w:t xml:space="preserve">“just and legitimate </w:t>
      </w:r>
      <w:r w:rsidR="00C74509">
        <w:rPr>
          <w:rFonts w:ascii="Times New Roman" w:hAnsi="Times New Roman"/>
          <w:sz w:val="24"/>
        </w:rPr>
        <w:t>relief.</w:t>
      </w:r>
      <w:r w:rsidR="00C74509">
        <w:rPr>
          <w:rStyle w:val="FootnoteReference"/>
          <w:rFonts w:ascii="Times New Roman" w:hAnsi="Times New Roman"/>
          <w:sz w:val="24"/>
        </w:rPr>
        <w:footnoteReference w:id="13"/>
      </w:r>
      <w:r w:rsidR="009E2A10">
        <w:rPr>
          <w:rFonts w:ascii="Times New Roman" w:hAnsi="Times New Roman"/>
          <w:sz w:val="24"/>
        </w:rPr>
        <w:t xml:space="preserve"> Here Henry draws a distinction between his rule and his brother’s system where heirs had to buyback their lands from the king. </w:t>
      </w:r>
      <w:r w:rsidR="007F1935">
        <w:rPr>
          <w:rFonts w:ascii="Times New Roman" w:hAnsi="Times New Roman"/>
          <w:sz w:val="24"/>
        </w:rPr>
        <w:t xml:space="preserve">The </w:t>
      </w:r>
      <w:r w:rsidR="00F12571">
        <w:rPr>
          <w:rFonts w:ascii="Times New Roman" w:hAnsi="Times New Roman"/>
          <w:sz w:val="24"/>
        </w:rPr>
        <w:t>clear aim of this was to popularise Henry with the barons, by giving reducing the amount that they had to pay the king. However, as Garnett points out that the heirs ha to pay a relief demonstrates that Henry never considered the land to be theirs to begin with.</w:t>
      </w:r>
      <w:r w:rsidR="00F12571">
        <w:rPr>
          <w:rStyle w:val="FootnoteReference"/>
          <w:rFonts w:ascii="Times New Roman" w:hAnsi="Times New Roman"/>
          <w:sz w:val="24"/>
        </w:rPr>
        <w:footnoteReference w:id="14"/>
      </w:r>
      <w:r w:rsidR="00F12571">
        <w:rPr>
          <w:rFonts w:ascii="Times New Roman" w:hAnsi="Times New Roman"/>
          <w:sz w:val="24"/>
        </w:rPr>
        <w:t xml:space="preserve"> This shows Henry’s manipulative side, as he crafted a response that </w:t>
      </w:r>
      <w:r w:rsidR="00802A3F">
        <w:rPr>
          <w:rFonts w:ascii="Times New Roman" w:hAnsi="Times New Roman"/>
          <w:sz w:val="24"/>
        </w:rPr>
        <w:t>would placated his barons whilst still giving him the power to set the relief at whatever he wanted.</w:t>
      </w:r>
      <w:r w:rsidR="00CD1D64">
        <w:rPr>
          <w:rFonts w:ascii="Times New Roman" w:hAnsi="Times New Roman"/>
          <w:sz w:val="24"/>
        </w:rPr>
        <w:t xml:space="preserve"> </w:t>
      </w:r>
      <w:r w:rsidR="00D44819">
        <w:rPr>
          <w:rFonts w:ascii="Times New Roman" w:hAnsi="Times New Roman"/>
          <w:sz w:val="24"/>
        </w:rPr>
        <w:t>Another point of Henry’s charter that was a turning point in history is the fourth allowing female heirs to inherit land if their father or husbands die.</w:t>
      </w:r>
      <w:r w:rsidR="00D44819">
        <w:rPr>
          <w:rStyle w:val="FootnoteReference"/>
          <w:rFonts w:ascii="Times New Roman" w:hAnsi="Times New Roman"/>
          <w:sz w:val="24"/>
        </w:rPr>
        <w:footnoteReference w:id="15"/>
      </w:r>
      <w:r w:rsidR="00D44819">
        <w:rPr>
          <w:rFonts w:ascii="Times New Roman" w:hAnsi="Times New Roman"/>
          <w:sz w:val="24"/>
        </w:rPr>
        <w:t xml:space="preserve"> Calling them “guardian of the land” this point within Henry’s charter is a vital point in his reign, as when his own son died he made his “baronage swear to accept his daughter Matilda”.</w:t>
      </w:r>
      <w:r w:rsidR="00D44819">
        <w:rPr>
          <w:rStyle w:val="FootnoteReference"/>
          <w:rFonts w:ascii="Times New Roman" w:hAnsi="Times New Roman"/>
          <w:sz w:val="24"/>
        </w:rPr>
        <w:footnoteReference w:id="16"/>
      </w:r>
      <w:r w:rsidR="00D44819">
        <w:rPr>
          <w:rFonts w:ascii="Times New Roman" w:hAnsi="Times New Roman"/>
          <w:sz w:val="24"/>
        </w:rPr>
        <w:t xml:space="preserve"> The failure of his baronage to keep this oath is what led to the civil war in Stephens reign as they threw their support in behind him instead of Matilda.</w:t>
      </w:r>
      <w:r w:rsidR="00AB2691">
        <w:rPr>
          <w:rFonts w:ascii="Times New Roman" w:hAnsi="Times New Roman"/>
          <w:sz w:val="24"/>
        </w:rPr>
        <w:t xml:space="preserve"> The main importance of Henry’s charter however is its impact upon later kings. </w:t>
      </w:r>
      <w:r w:rsidR="00180D7D">
        <w:rPr>
          <w:rFonts w:ascii="Times New Roman" w:hAnsi="Times New Roman"/>
          <w:sz w:val="24"/>
        </w:rPr>
        <w:t xml:space="preserve">Though as </w:t>
      </w:r>
      <w:r w:rsidR="00EC1BD1">
        <w:rPr>
          <w:rFonts w:ascii="Times New Roman" w:hAnsi="Times New Roman"/>
          <w:sz w:val="24"/>
        </w:rPr>
        <w:t>Garnett point out many of Henry’s promises were “self-denying”</w:t>
      </w:r>
      <w:r w:rsidR="00EC1BD1">
        <w:rPr>
          <w:rStyle w:val="FootnoteReference"/>
          <w:rFonts w:ascii="Times New Roman" w:hAnsi="Times New Roman"/>
          <w:sz w:val="24"/>
        </w:rPr>
        <w:footnoteReference w:id="17"/>
      </w:r>
      <w:r w:rsidR="00EC1BD1">
        <w:rPr>
          <w:rFonts w:ascii="Times New Roman" w:hAnsi="Times New Roman"/>
          <w:sz w:val="24"/>
        </w:rPr>
        <w:t xml:space="preserve"> his grandson Henry 2</w:t>
      </w:r>
      <w:r w:rsidR="00EC1BD1" w:rsidRPr="00EC1BD1">
        <w:rPr>
          <w:rFonts w:ascii="Times New Roman" w:hAnsi="Times New Roman"/>
          <w:sz w:val="24"/>
          <w:vertAlign w:val="superscript"/>
        </w:rPr>
        <w:t>nd</w:t>
      </w:r>
      <w:r w:rsidR="00EC1BD1">
        <w:rPr>
          <w:rFonts w:ascii="Times New Roman" w:hAnsi="Times New Roman"/>
          <w:sz w:val="24"/>
        </w:rPr>
        <w:t xml:space="preserve"> reaffirmed “all other liberties an</w:t>
      </w:r>
      <w:r w:rsidR="00E50C36">
        <w:rPr>
          <w:rFonts w:ascii="Times New Roman" w:hAnsi="Times New Roman"/>
          <w:sz w:val="24"/>
        </w:rPr>
        <w:t>d free customs” that his grandfather had laid out in his charter.</w:t>
      </w:r>
      <w:r w:rsidR="00903ED0">
        <w:rPr>
          <w:rStyle w:val="FootnoteReference"/>
          <w:rFonts w:ascii="Times New Roman" w:hAnsi="Times New Roman"/>
          <w:sz w:val="24"/>
        </w:rPr>
        <w:footnoteReference w:id="18"/>
      </w:r>
      <w:r w:rsidR="00E50C36">
        <w:rPr>
          <w:rFonts w:ascii="Times New Roman" w:hAnsi="Times New Roman"/>
          <w:sz w:val="24"/>
        </w:rPr>
        <w:t xml:space="preserve"> This demonstrates the popularity and esteem that both future monarchs and the people of England had for his charter regardless as to </w:t>
      </w:r>
      <w:r w:rsidR="00903ED0">
        <w:rPr>
          <w:rFonts w:ascii="Times New Roman" w:hAnsi="Times New Roman"/>
          <w:sz w:val="24"/>
        </w:rPr>
        <w:t>whether</w:t>
      </w:r>
      <w:r w:rsidR="00E50C36">
        <w:rPr>
          <w:rFonts w:ascii="Times New Roman" w:hAnsi="Times New Roman"/>
          <w:sz w:val="24"/>
        </w:rPr>
        <w:t xml:space="preserve"> he actually meant to keep to it. Furthermore, the magna carta created by King John was based on Henry’s Charta. Barlow describes the magna carta as a “modernization and expansion”</w:t>
      </w:r>
      <w:r w:rsidR="00903ED0">
        <w:rPr>
          <w:rStyle w:val="FootnoteReference"/>
          <w:rFonts w:ascii="Times New Roman" w:hAnsi="Times New Roman"/>
          <w:sz w:val="24"/>
        </w:rPr>
        <w:footnoteReference w:id="19"/>
      </w:r>
      <w:r w:rsidR="00E50C36">
        <w:rPr>
          <w:rFonts w:ascii="Times New Roman" w:hAnsi="Times New Roman"/>
          <w:sz w:val="24"/>
        </w:rPr>
        <w:t xml:space="preserve"> of Henry’s laws and the document would prove to be a vital part of English history even still being used as a political icon even though many of its laws have been repealed or replaced. Without Henry’s Charta as </w:t>
      </w:r>
      <w:r w:rsidR="00E50C36">
        <w:rPr>
          <w:rFonts w:ascii="Times New Roman" w:hAnsi="Times New Roman"/>
          <w:sz w:val="24"/>
        </w:rPr>
        <w:lastRenderedPageBreak/>
        <w:t xml:space="preserve">a basis it more than likely that King Johns document would look radically different if it even would exist. That is why his Charta shows the importance of Henry’s </w:t>
      </w:r>
      <w:r w:rsidR="00903ED0">
        <w:rPr>
          <w:rFonts w:ascii="Times New Roman" w:hAnsi="Times New Roman"/>
          <w:sz w:val="24"/>
        </w:rPr>
        <w:t>reign</w:t>
      </w:r>
      <w:r w:rsidR="00E50C36">
        <w:rPr>
          <w:rFonts w:ascii="Times New Roman" w:hAnsi="Times New Roman"/>
          <w:sz w:val="24"/>
        </w:rPr>
        <w:t xml:space="preserve"> as a </w:t>
      </w:r>
      <w:r w:rsidR="00903ED0">
        <w:rPr>
          <w:rFonts w:ascii="Times New Roman" w:hAnsi="Times New Roman"/>
          <w:sz w:val="24"/>
        </w:rPr>
        <w:t>turning</w:t>
      </w:r>
      <w:r w:rsidR="00E50C36">
        <w:rPr>
          <w:rFonts w:ascii="Times New Roman" w:hAnsi="Times New Roman"/>
          <w:sz w:val="24"/>
        </w:rPr>
        <w:t xml:space="preserve"> point in history, as without it promise of liberties and freedoms</w:t>
      </w:r>
      <w:r w:rsidR="00903ED0">
        <w:rPr>
          <w:rFonts w:ascii="Times New Roman" w:hAnsi="Times New Roman"/>
          <w:sz w:val="24"/>
        </w:rPr>
        <w:t xml:space="preserve"> many laws and policies would look either radically different or may have never existed until years after their original inception.</w:t>
      </w:r>
    </w:p>
    <w:p w14:paraId="01964A8B" w14:textId="60E42D07" w:rsidR="00D44819" w:rsidRDefault="003C4A0C" w:rsidP="00EF7874">
      <w:pPr>
        <w:spacing w:line="360" w:lineRule="auto"/>
        <w:jc w:val="both"/>
        <w:rPr>
          <w:rFonts w:ascii="Times New Roman" w:hAnsi="Times New Roman"/>
          <w:sz w:val="24"/>
        </w:rPr>
      </w:pPr>
      <w:r>
        <w:rPr>
          <w:rFonts w:ascii="Times New Roman" w:hAnsi="Times New Roman"/>
          <w:sz w:val="24"/>
        </w:rPr>
        <w:t>Next,</w:t>
      </w:r>
      <w:r w:rsidR="00903ED0">
        <w:rPr>
          <w:rFonts w:ascii="Times New Roman" w:hAnsi="Times New Roman"/>
          <w:sz w:val="24"/>
        </w:rPr>
        <w:t xml:space="preserve"> we must look at King Henry’s</w:t>
      </w:r>
      <w:r>
        <w:rPr>
          <w:rFonts w:ascii="Times New Roman" w:hAnsi="Times New Roman"/>
          <w:sz w:val="24"/>
        </w:rPr>
        <w:t xml:space="preserve"> complicated</w:t>
      </w:r>
      <w:r w:rsidR="00903ED0">
        <w:rPr>
          <w:rFonts w:ascii="Times New Roman" w:hAnsi="Times New Roman"/>
          <w:sz w:val="24"/>
        </w:rPr>
        <w:t xml:space="preserve"> relationship with the church</w:t>
      </w:r>
      <w:r>
        <w:rPr>
          <w:rFonts w:ascii="Times New Roman" w:hAnsi="Times New Roman"/>
          <w:sz w:val="24"/>
        </w:rPr>
        <w:t xml:space="preserve">. Most sources seem to agree that Henry was a more pious man then his brother William, but his piety often came into conflict with his desire to centralise and amass power. </w:t>
      </w:r>
      <w:r w:rsidR="00F31688">
        <w:rPr>
          <w:rFonts w:ascii="Times New Roman" w:hAnsi="Times New Roman"/>
          <w:sz w:val="24"/>
        </w:rPr>
        <w:t>The 1</w:t>
      </w:r>
      <w:r w:rsidR="00F31688" w:rsidRPr="00F31688">
        <w:rPr>
          <w:rFonts w:ascii="Times New Roman" w:hAnsi="Times New Roman"/>
          <w:sz w:val="24"/>
          <w:vertAlign w:val="superscript"/>
        </w:rPr>
        <w:t>st</w:t>
      </w:r>
      <w:r w:rsidR="00F31688">
        <w:rPr>
          <w:rFonts w:ascii="Times New Roman" w:hAnsi="Times New Roman"/>
          <w:sz w:val="24"/>
        </w:rPr>
        <w:t xml:space="preserve"> point of his Charta is renouncing the right of kings to claim and rent church lands to peasantry upon the death of their bishop or abbot.</w:t>
      </w:r>
      <w:r w:rsidR="00F31688">
        <w:rPr>
          <w:rStyle w:val="FootnoteReference"/>
          <w:rFonts w:ascii="Times New Roman" w:hAnsi="Times New Roman"/>
          <w:sz w:val="24"/>
        </w:rPr>
        <w:footnoteReference w:id="20"/>
      </w:r>
      <w:r w:rsidR="00F31688">
        <w:rPr>
          <w:rFonts w:ascii="Times New Roman" w:hAnsi="Times New Roman"/>
          <w:sz w:val="24"/>
        </w:rPr>
        <w:t xml:space="preserve"> This was abused by his brother many times to swell his coffers, treating them as fiefs.</w:t>
      </w:r>
      <w:r w:rsidR="00F31688">
        <w:rPr>
          <w:rStyle w:val="FootnoteReference"/>
          <w:rFonts w:ascii="Times New Roman" w:hAnsi="Times New Roman"/>
          <w:sz w:val="24"/>
        </w:rPr>
        <w:footnoteReference w:id="21"/>
      </w:r>
      <w:r w:rsidR="00F31688">
        <w:rPr>
          <w:rFonts w:ascii="Times New Roman" w:hAnsi="Times New Roman"/>
          <w:sz w:val="24"/>
        </w:rPr>
        <w:t xml:space="preserve"> This heavily affected his popularity with the church, as Peter of </w:t>
      </w:r>
      <w:r w:rsidR="00E84DE1">
        <w:rPr>
          <w:rFonts w:ascii="Times New Roman" w:hAnsi="Times New Roman"/>
          <w:sz w:val="24"/>
        </w:rPr>
        <w:t>B</w:t>
      </w:r>
      <w:r w:rsidR="00F31688">
        <w:rPr>
          <w:rFonts w:ascii="Times New Roman" w:hAnsi="Times New Roman"/>
          <w:sz w:val="24"/>
        </w:rPr>
        <w:t>lois says, the archbishop</w:t>
      </w:r>
      <w:r w:rsidR="00E84DE1">
        <w:rPr>
          <w:rFonts w:ascii="Times New Roman" w:hAnsi="Times New Roman"/>
          <w:sz w:val="24"/>
        </w:rPr>
        <w:t xml:space="preserve"> of Canterbury</w:t>
      </w:r>
      <w:r w:rsidR="00F31688">
        <w:rPr>
          <w:rFonts w:ascii="Times New Roman" w:hAnsi="Times New Roman"/>
          <w:sz w:val="24"/>
        </w:rPr>
        <w:t xml:space="preserve"> Anselm went into exile</w:t>
      </w:r>
      <w:r w:rsidR="00E84DE1">
        <w:rPr>
          <w:rFonts w:ascii="Times New Roman" w:hAnsi="Times New Roman"/>
          <w:sz w:val="24"/>
        </w:rPr>
        <w:t>.</w:t>
      </w:r>
      <w:r w:rsidR="00E84DE1">
        <w:rPr>
          <w:rStyle w:val="FootnoteReference"/>
          <w:rFonts w:ascii="Times New Roman" w:hAnsi="Times New Roman"/>
          <w:sz w:val="24"/>
        </w:rPr>
        <w:footnoteReference w:id="22"/>
      </w:r>
      <w:r w:rsidR="00E84DE1">
        <w:rPr>
          <w:rFonts w:ascii="Times New Roman" w:hAnsi="Times New Roman"/>
          <w:sz w:val="24"/>
        </w:rPr>
        <w:t xml:space="preserve"> Alternatively, Peter describes Henry with “greatest piety” seeming to overlook his argument with the returned Anselm. </w:t>
      </w:r>
      <w:r w:rsidR="00F052C5">
        <w:rPr>
          <w:rFonts w:ascii="Times New Roman" w:hAnsi="Times New Roman"/>
          <w:sz w:val="24"/>
        </w:rPr>
        <w:t>1100</w:t>
      </w:r>
      <w:r w:rsidR="00E84DE1">
        <w:rPr>
          <w:rFonts w:ascii="Times New Roman" w:hAnsi="Times New Roman"/>
          <w:sz w:val="24"/>
        </w:rPr>
        <w:t xml:space="preserve"> Pope </w:t>
      </w:r>
      <w:r w:rsidR="00F052C5">
        <w:rPr>
          <w:rFonts w:ascii="Times New Roman" w:hAnsi="Times New Roman"/>
          <w:sz w:val="24"/>
        </w:rPr>
        <w:t>Urban</w:t>
      </w:r>
      <w:r w:rsidR="00E84DE1">
        <w:rPr>
          <w:rFonts w:ascii="Times New Roman" w:hAnsi="Times New Roman"/>
          <w:sz w:val="24"/>
        </w:rPr>
        <w:t xml:space="preserve"> </w:t>
      </w:r>
      <w:r w:rsidR="00F052C5">
        <w:rPr>
          <w:rFonts w:ascii="Times New Roman" w:hAnsi="Times New Roman"/>
          <w:sz w:val="24"/>
        </w:rPr>
        <w:t>2</w:t>
      </w:r>
      <w:r w:rsidR="00F052C5" w:rsidRPr="00F052C5">
        <w:rPr>
          <w:rFonts w:ascii="Times New Roman" w:hAnsi="Times New Roman"/>
          <w:sz w:val="24"/>
          <w:vertAlign w:val="superscript"/>
        </w:rPr>
        <w:t>nd</w:t>
      </w:r>
      <w:r w:rsidR="00F052C5">
        <w:rPr>
          <w:rFonts w:ascii="Times New Roman" w:hAnsi="Times New Roman"/>
          <w:sz w:val="24"/>
        </w:rPr>
        <w:t xml:space="preserve"> </w:t>
      </w:r>
      <w:r w:rsidR="00E84DE1">
        <w:rPr>
          <w:rFonts w:ascii="Times New Roman" w:hAnsi="Times New Roman"/>
          <w:sz w:val="24"/>
        </w:rPr>
        <w:t xml:space="preserve">decreed that kings could no longer pick their bishops and Anselm stood by the decree. They began prosecuting laymen for </w:t>
      </w:r>
      <w:r w:rsidR="002E7871">
        <w:rPr>
          <w:rFonts w:ascii="Times New Roman" w:hAnsi="Times New Roman"/>
          <w:sz w:val="24"/>
        </w:rPr>
        <w:t>moral crimes disregarding the boundaries between the king’s authority and their own.</w:t>
      </w:r>
      <w:r w:rsidR="00145ED8">
        <w:rPr>
          <w:rFonts w:ascii="Times New Roman" w:hAnsi="Times New Roman"/>
          <w:sz w:val="24"/>
        </w:rPr>
        <w:t xml:space="preserve"> Also, the clergy were protecting several criminals from trial within the King’s secular court</w:t>
      </w:r>
      <w:r w:rsidR="002E7871">
        <w:rPr>
          <w:rStyle w:val="FootnoteReference"/>
          <w:rFonts w:ascii="Times New Roman" w:hAnsi="Times New Roman"/>
          <w:sz w:val="24"/>
        </w:rPr>
        <w:footnoteReference w:id="23"/>
      </w:r>
      <w:r w:rsidR="002E7871">
        <w:rPr>
          <w:rFonts w:ascii="Times New Roman" w:hAnsi="Times New Roman"/>
          <w:sz w:val="24"/>
        </w:rPr>
        <w:t xml:space="preserve"> Though the matter was </w:t>
      </w:r>
      <w:r w:rsidR="008A72EA">
        <w:rPr>
          <w:rFonts w:ascii="Times New Roman" w:hAnsi="Times New Roman"/>
          <w:sz w:val="24"/>
        </w:rPr>
        <w:t>eventually settled with a compromise</w:t>
      </w:r>
      <w:r w:rsidR="002E7871">
        <w:rPr>
          <w:rFonts w:ascii="Times New Roman" w:hAnsi="Times New Roman"/>
          <w:sz w:val="24"/>
        </w:rPr>
        <w:t>.</w:t>
      </w:r>
      <w:r w:rsidR="008A72EA">
        <w:rPr>
          <w:rFonts w:ascii="Times New Roman" w:hAnsi="Times New Roman"/>
          <w:sz w:val="24"/>
        </w:rPr>
        <w:t xml:space="preserve"> The church </w:t>
      </w:r>
      <w:r w:rsidR="008A72EA" w:rsidRPr="008A72EA">
        <w:rPr>
          <w:rFonts w:ascii="Times New Roman" w:hAnsi="Times New Roman"/>
          <w:sz w:val="24"/>
        </w:rPr>
        <w:t>recognised the king's power of making ecclesiastical appointments</w:t>
      </w:r>
      <w:r w:rsidR="008A72EA">
        <w:rPr>
          <w:rFonts w:ascii="Times New Roman" w:hAnsi="Times New Roman"/>
          <w:sz w:val="24"/>
        </w:rPr>
        <w:t xml:space="preserve"> and the bishops paid homage for their estates; while Henry lost the right to invests his bishops with their insignia of office. He also stubbornly refused to let papal legates or letters circulate his kingdom without his permission.</w:t>
      </w:r>
      <w:r w:rsidR="00B800C9">
        <w:rPr>
          <w:rStyle w:val="FootnoteReference"/>
          <w:rFonts w:ascii="Times New Roman" w:hAnsi="Times New Roman"/>
          <w:sz w:val="24"/>
        </w:rPr>
        <w:footnoteReference w:id="24"/>
      </w:r>
      <w:r w:rsidR="008A72EA">
        <w:rPr>
          <w:rFonts w:ascii="Times New Roman" w:hAnsi="Times New Roman"/>
          <w:sz w:val="24"/>
        </w:rPr>
        <w:t xml:space="preserve"> Henry’s relationship with the church was an important aspect of his rule, as he was living in a time of expanding papal power. </w:t>
      </w:r>
      <w:r w:rsidR="00145ED8">
        <w:rPr>
          <w:rFonts w:ascii="Times New Roman" w:hAnsi="Times New Roman"/>
          <w:sz w:val="24"/>
        </w:rPr>
        <w:t>His refusal to relinquish secular powers to the church and insistence to try</w:t>
      </w:r>
      <w:r w:rsidR="00046297">
        <w:rPr>
          <w:rFonts w:ascii="Times New Roman" w:hAnsi="Times New Roman"/>
          <w:sz w:val="24"/>
        </w:rPr>
        <w:t xml:space="preserve"> criminal</w:t>
      </w:r>
      <w:r w:rsidR="00145ED8">
        <w:rPr>
          <w:rFonts w:ascii="Times New Roman" w:hAnsi="Times New Roman"/>
          <w:sz w:val="24"/>
        </w:rPr>
        <w:t xml:space="preserve"> cleric</w:t>
      </w:r>
      <w:r w:rsidR="00046297">
        <w:rPr>
          <w:rFonts w:ascii="Times New Roman" w:hAnsi="Times New Roman"/>
          <w:sz w:val="24"/>
        </w:rPr>
        <w:t>s</w:t>
      </w:r>
      <w:r w:rsidR="00145ED8">
        <w:rPr>
          <w:rFonts w:ascii="Times New Roman" w:hAnsi="Times New Roman"/>
          <w:sz w:val="24"/>
        </w:rPr>
        <w:t xml:space="preserve"> eventually became scandal</w:t>
      </w:r>
      <w:r w:rsidR="00046297">
        <w:rPr>
          <w:rFonts w:ascii="Times New Roman" w:hAnsi="Times New Roman"/>
          <w:sz w:val="24"/>
        </w:rPr>
        <w:t xml:space="preserve"> as Henry 2</w:t>
      </w:r>
      <w:r w:rsidR="00046297" w:rsidRPr="00046297">
        <w:rPr>
          <w:rFonts w:ascii="Times New Roman" w:hAnsi="Times New Roman"/>
          <w:sz w:val="24"/>
          <w:vertAlign w:val="superscript"/>
        </w:rPr>
        <w:t>nd</w:t>
      </w:r>
      <w:r w:rsidR="00046297">
        <w:rPr>
          <w:rFonts w:ascii="Times New Roman" w:hAnsi="Times New Roman"/>
          <w:sz w:val="24"/>
        </w:rPr>
        <w:t xml:space="preserve"> continued to push against the church on this matter</w:t>
      </w:r>
      <w:r w:rsidR="00145ED8">
        <w:rPr>
          <w:rFonts w:ascii="Times New Roman" w:hAnsi="Times New Roman"/>
          <w:sz w:val="24"/>
        </w:rPr>
        <w:t>.</w:t>
      </w:r>
      <w:r w:rsidR="00046297">
        <w:rPr>
          <w:rStyle w:val="FootnoteReference"/>
          <w:rFonts w:ascii="Times New Roman" w:hAnsi="Times New Roman"/>
          <w:sz w:val="24"/>
        </w:rPr>
        <w:footnoteReference w:id="25"/>
      </w:r>
      <w:r w:rsidR="00145ED8">
        <w:rPr>
          <w:rFonts w:ascii="Times New Roman" w:hAnsi="Times New Roman"/>
          <w:sz w:val="24"/>
        </w:rPr>
        <w:t xml:space="preserve"> Some historians </w:t>
      </w:r>
      <w:r w:rsidR="00046297">
        <w:rPr>
          <w:rFonts w:ascii="Times New Roman" w:hAnsi="Times New Roman"/>
          <w:sz w:val="24"/>
        </w:rPr>
        <w:t>m</w:t>
      </w:r>
      <w:r w:rsidR="00145ED8">
        <w:rPr>
          <w:rFonts w:ascii="Times New Roman" w:hAnsi="Times New Roman"/>
          <w:sz w:val="24"/>
        </w:rPr>
        <w:t>ay argue that it was not necessarily a turning point, but Henry did prevent the church court from superseding the King’s court on political and civil matters. This would be an ongoing feud throughout the middle ages.</w:t>
      </w:r>
    </w:p>
    <w:p w14:paraId="541B946F" w14:textId="5F0F9215" w:rsidR="00145ED8" w:rsidRDefault="00A06E4F" w:rsidP="00EF7874">
      <w:pPr>
        <w:spacing w:line="360" w:lineRule="auto"/>
        <w:jc w:val="both"/>
        <w:rPr>
          <w:rFonts w:ascii="Times New Roman" w:hAnsi="Times New Roman"/>
          <w:sz w:val="24"/>
        </w:rPr>
      </w:pPr>
      <w:r>
        <w:rPr>
          <w:rFonts w:ascii="Times New Roman" w:hAnsi="Times New Roman"/>
          <w:sz w:val="24"/>
        </w:rPr>
        <w:lastRenderedPageBreak/>
        <w:t xml:space="preserve">The last aspect of Henry’s rule that needs to be addressed is the crisis around his succession. </w:t>
      </w:r>
      <w:r w:rsidR="00904604">
        <w:rPr>
          <w:rFonts w:ascii="Times New Roman" w:hAnsi="Times New Roman"/>
          <w:sz w:val="24"/>
        </w:rPr>
        <w:t>The largest aspect of Henry’s reign that shows it to be a vital turning point in English history is also arguably one of his biggest failures. Here Henry demonstrates the same shortcomings as his father William the conqueror in that he attempted to carry out his succession “in Norman fashion</w:t>
      </w:r>
      <w:r w:rsidR="000B5302">
        <w:rPr>
          <w:rFonts w:ascii="Times New Roman" w:hAnsi="Times New Roman"/>
          <w:sz w:val="24"/>
        </w:rPr>
        <w:t>.</w:t>
      </w:r>
      <w:r w:rsidR="00904604">
        <w:rPr>
          <w:rFonts w:ascii="Times New Roman" w:hAnsi="Times New Roman"/>
          <w:sz w:val="24"/>
        </w:rPr>
        <w:t>”</w:t>
      </w:r>
      <w:r w:rsidR="00904604">
        <w:rPr>
          <w:rStyle w:val="FootnoteReference"/>
          <w:rFonts w:ascii="Times New Roman" w:hAnsi="Times New Roman"/>
          <w:sz w:val="24"/>
        </w:rPr>
        <w:footnoteReference w:id="26"/>
      </w:r>
      <w:r w:rsidR="00CE426B">
        <w:rPr>
          <w:rFonts w:ascii="Times New Roman" w:hAnsi="Times New Roman"/>
          <w:sz w:val="24"/>
        </w:rPr>
        <w:t xml:space="preserve"> After his son died in the White ship disaster of 1120, Henry named his daughter Matilda as his heir on his deathbed.</w:t>
      </w:r>
      <w:r w:rsidR="00CE426B">
        <w:rPr>
          <w:rStyle w:val="FootnoteReference"/>
          <w:rFonts w:ascii="Times New Roman" w:hAnsi="Times New Roman"/>
          <w:sz w:val="24"/>
        </w:rPr>
        <w:footnoteReference w:id="27"/>
      </w:r>
      <w:r w:rsidR="00CE426B">
        <w:rPr>
          <w:rFonts w:ascii="Times New Roman" w:hAnsi="Times New Roman"/>
          <w:sz w:val="24"/>
        </w:rPr>
        <w:t xml:space="preserve"> It didn’t seem to matter to him at the time that she was supporting rebels in Normandy.</w:t>
      </w:r>
      <w:r w:rsidR="000B5302">
        <w:rPr>
          <w:rFonts w:ascii="Times New Roman" w:hAnsi="Times New Roman"/>
          <w:sz w:val="24"/>
        </w:rPr>
        <w:t xml:space="preserve"> Despite naming his daughter as his heir, his nephew raced across the sea from Normandy and snatched the crown from her, leading to the period of history known as the anarchy.</w:t>
      </w:r>
      <w:r w:rsidR="00CE426B">
        <w:rPr>
          <w:rStyle w:val="FootnoteReference"/>
          <w:rFonts w:ascii="Times New Roman" w:hAnsi="Times New Roman"/>
          <w:sz w:val="24"/>
        </w:rPr>
        <w:footnoteReference w:id="28"/>
      </w:r>
      <w:r w:rsidR="00F052C5">
        <w:rPr>
          <w:rFonts w:ascii="Times New Roman" w:hAnsi="Times New Roman"/>
          <w:sz w:val="24"/>
        </w:rPr>
        <w:t xml:space="preserve"> Their multiple reasons for why the barons chose Stephen over </w:t>
      </w:r>
      <w:r w:rsidR="00CE426B">
        <w:rPr>
          <w:rFonts w:ascii="Times New Roman" w:hAnsi="Times New Roman"/>
          <w:sz w:val="24"/>
        </w:rPr>
        <w:t>Matilda</w:t>
      </w:r>
      <w:r w:rsidR="00F052C5">
        <w:rPr>
          <w:rFonts w:ascii="Times New Roman" w:hAnsi="Times New Roman"/>
          <w:sz w:val="24"/>
        </w:rPr>
        <w:t xml:space="preserve">, such as her marriage to Geoffrey of Anjou a traditional enemy of Normandy, and no </w:t>
      </w:r>
      <w:r w:rsidR="00CE426B">
        <w:rPr>
          <w:rFonts w:ascii="Times New Roman" w:hAnsi="Times New Roman"/>
          <w:sz w:val="24"/>
        </w:rPr>
        <w:t>precedent</w:t>
      </w:r>
      <w:r w:rsidR="00F052C5">
        <w:rPr>
          <w:rFonts w:ascii="Times New Roman" w:hAnsi="Times New Roman"/>
          <w:sz w:val="24"/>
        </w:rPr>
        <w:t xml:space="preserve"> for a woman to succeed as sole ruler</w:t>
      </w:r>
      <w:r w:rsidR="00CE426B">
        <w:rPr>
          <w:rStyle w:val="FootnoteReference"/>
          <w:rFonts w:ascii="Times New Roman" w:hAnsi="Times New Roman"/>
          <w:sz w:val="24"/>
        </w:rPr>
        <w:footnoteReference w:id="29"/>
      </w:r>
      <w:r w:rsidR="00F052C5">
        <w:rPr>
          <w:rFonts w:ascii="Times New Roman" w:hAnsi="Times New Roman"/>
          <w:sz w:val="24"/>
        </w:rPr>
        <w:t xml:space="preserve">. Regardless the </w:t>
      </w:r>
      <w:r w:rsidR="00CE426B">
        <w:rPr>
          <w:rFonts w:ascii="Times New Roman" w:hAnsi="Times New Roman"/>
          <w:sz w:val="24"/>
        </w:rPr>
        <w:t>resulting</w:t>
      </w:r>
      <w:r w:rsidR="00F052C5">
        <w:rPr>
          <w:rFonts w:ascii="Times New Roman" w:hAnsi="Times New Roman"/>
          <w:sz w:val="24"/>
        </w:rPr>
        <w:t xml:space="preserve"> civil war brought the reign of the Noman Kings to a close and helped open the door for the Angevin empire. It is for this factor that </w:t>
      </w:r>
      <w:r w:rsidR="00CE426B">
        <w:rPr>
          <w:rFonts w:ascii="Times New Roman" w:hAnsi="Times New Roman"/>
          <w:sz w:val="24"/>
        </w:rPr>
        <w:t>Henry’s</w:t>
      </w:r>
      <w:r w:rsidR="00F052C5">
        <w:rPr>
          <w:rFonts w:ascii="Times New Roman" w:hAnsi="Times New Roman"/>
          <w:sz w:val="24"/>
        </w:rPr>
        <w:t xml:space="preserve"> failure to choose a suitable </w:t>
      </w:r>
      <w:r w:rsidR="00CE426B">
        <w:rPr>
          <w:rFonts w:ascii="Times New Roman" w:hAnsi="Times New Roman"/>
          <w:sz w:val="24"/>
        </w:rPr>
        <w:t>and</w:t>
      </w:r>
      <w:r w:rsidR="00F052C5">
        <w:rPr>
          <w:rFonts w:ascii="Times New Roman" w:hAnsi="Times New Roman"/>
          <w:sz w:val="24"/>
        </w:rPr>
        <w:t xml:space="preserve"> accepted heir after the death of his son </w:t>
      </w:r>
      <w:r w:rsidR="00CE426B">
        <w:rPr>
          <w:rFonts w:ascii="Times New Roman" w:hAnsi="Times New Roman"/>
          <w:sz w:val="24"/>
        </w:rPr>
        <w:t>is why the final days of his reign is an important turning point in English history.</w:t>
      </w:r>
    </w:p>
    <w:p w14:paraId="736418AD" w14:textId="03ABBAC2" w:rsidR="00B800C9" w:rsidRDefault="00B800C9" w:rsidP="00EF7874">
      <w:pPr>
        <w:spacing w:line="360" w:lineRule="auto"/>
        <w:jc w:val="both"/>
        <w:rPr>
          <w:rFonts w:ascii="Times New Roman" w:hAnsi="Times New Roman"/>
          <w:sz w:val="24"/>
        </w:rPr>
      </w:pPr>
      <w:r>
        <w:rPr>
          <w:rFonts w:ascii="Times New Roman" w:hAnsi="Times New Roman"/>
          <w:sz w:val="24"/>
        </w:rPr>
        <w:t>The reign of Henry 1</w:t>
      </w:r>
      <w:r w:rsidRPr="00B800C9">
        <w:rPr>
          <w:rFonts w:ascii="Times New Roman" w:hAnsi="Times New Roman"/>
          <w:sz w:val="24"/>
          <w:vertAlign w:val="superscript"/>
        </w:rPr>
        <w:t>st</w:t>
      </w:r>
      <w:r>
        <w:rPr>
          <w:rFonts w:ascii="Times New Roman" w:hAnsi="Times New Roman"/>
          <w:sz w:val="24"/>
        </w:rPr>
        <w:t xml:space="preserve"> was a crucial </w:t>
      </w:r>
      <w:r w:rsidR="001D33B9">
        <w:rPr>
          <w:rFonts w:ascii="Times New Roman" w:hAnsi="Times New Roman"/>
          <w:sz w:val="24"/>
        </w:rPr>
        <w:t>turning</w:t>
      </w:r>
      <w:r>
        <w:rPr>
          <w:rFonts w:ascii="Times New Roman" w:hAnsi="Times New Roman"/>
          <w:sz w:val="24"/>
        </w:rPr>
        <w:t xml:space="preserve"> point in English history, as he was the last stable Norman Monarch before the </w:t>
      </w:r>
      <w:r w:rsidR="001D33B9">
        <w:rPr>
          <w:rFonts w:ascii="Times New Roman" w:hAnsi="Times New Roman"/>
          <w:sz w:val="24"/>
        </w:rPr>
        <w:t>rise</w:t>
      </w:r>
      <w:r>
        <w:rPr>
          <w:rFonts w:ascii="Times New Roman" w:hAnsi="Times New Roman"/>
          <w:sz w:val="24"/>
        </w:rPr>
        <w:t xml:space="preserve"> of the Angevin empire. His administration was more “stable and predictable”</w:t>
      </w:r>
      <w:r w:rsidR="001D33B9">
        <w:rPr>
          <w:rStyle w:val="FootnoteReference"/>
          <w:rFonts w:ascii="Times New Roman" w:hAnsi="Times New Roman"/>
          <w:sz w:val="24"/>
        </w:rPr>
        <w:footnoteReference w:id="30"/>
      </w:r>
      <w:r>
        <w:rPr>
          <w:rFonts w:ascii="Times New Roman" w:hAnsi="Times New Roman"/>
          <w:sz w:val="24"/>
        </w:rPr>
        <w:t xml:space="preserve"> than his </w:t>
      </w:r>
      <w:r w:rsidR="001D33B9">
        <w:rPr>
          <w:rFonts w:ascii="Times New Roman" w:hAnsi="Times New Roman"/>
          <w:sz w:val="24"/>
        </w:rPr>
        <w:t>predecessors</w:t>
      </w:r>
      <w:r>
        <w:rPr>
          <w:rFonts w:ascii="Times New Roman" w:hAnsi="Times New Roman"/>
          <w:sz w:val="24"/>
        </w:rPr>
        <w:t xml:space="preserve"> or even his successor and set the groundwork, for the social shifts that would inevitably occur. It is arguable that he foresaw this change as an aspect I couldn’t cover here was his London Charta gave the people some measure of power over their local government. Such as appointing their own sheriff.</w:t>
      </w:r>
      <w:r w:rsidR="001D33B9">
        <w:rPr>
          <w:rStyle w:val="FootnoteReference"/>
          <w:rFonts w:ascii="Times New Roman" w:hAnsi="Times New Roman"/>
          <w:sz w:val="24"/>
        </w:rPr>
        <w:footnoteReference w:id="31"/>
      </w:r>
      <w:r>
        <w:rPr>
          <w:rFonts w:ascii="Times New Roman" w:hAnsi="Times New Roman"/>
          <w:sz w:val="24"/>
        </w:rPr>
        <w:t xml:space="preserve"> His expanded administration opened worked towards centralising and consolidating power, but the </w:t>
      </w:r>
      <w:r w:rsidR="001D33B9">
        <w:rPr>
          <w:rFonts w:ascii="Times New Roman" w:hAnsi="Times New Roman"/>
          <w:sz w:val="24"/>
        </w:rPr>
        <w:t>side effect</w:t>
      </w:r>
      <w:r>
        <w:rPr>
          <w:rFonts w:ascii="Times New Roman" w:hAnsi="Times New Roman"/>
          <w:sz w:val="24"/>
        </w:rPr>
        <w:t xml:space="preserve"> was putting systems in place to remove the royal house from the function of the government. His Charta of liberties while insincere was revised, improved and implemented by future kings Henry 2</w:t>
      </w:r>
      <w:r w:rsidRPr="00B800C9">
        <w:rPr>
          <w:rFonts w:ascii="Times New Roman" w:hAnsi="Times New Roman"/>
          <w:sz w:val="24"/>
          <w:vertAlign w:val="superscript"/>
        </w:rPr>
        <w:t>nd</w:t>
      </w:r>
      <w:r>
        <w:rPr>
          <w:rFonts w:ascii="Times New Roman" w:hAnsi="Times New Roman"/>
          <w:sz w:val="24"/>
        </w:rPr>
        <w:t xml:space="preserve"> and </w:t>
      </w:r>
      <w:r w:rsidR="001D33B9">
        <w:rPr>
          <w:rFonts w:ascii="Times New Roman" w:hAnsi="Times New Roman"/>
          <w:sz w:val="24"/>
        </w:rPr>
        <w:t>John in the form of the Magna Carta. His refusal to release secular power to the Church prevented England from becoming a complete Theocracy. However, he suffered the inherent flaw of all Norman kings and his failure to appoint a favourable heir saw the country plunged into civil war and the end of the Norman kings. His successor Stephen being the last. Taking all these factors into consideration the reign of Henry 1</w:t>
      </w:r>
      <w:r w:rsidR="001D33B9" w:rsidRPr="001D33B9">
        <w:rPr>
          <w:rFonts w:ascii="Times New Roman" w:hAnsi="Times New Roman"/>
          <w:sz w:val="24"/>
          <w:vertAlign w:val="superscript"/>
        </w:rPr>
        <w:t>st</w:t>
      </w:r>
      <w:r w:rsidR="001D33B9">
        <w:rPr>
          <w:rFonts w:ascii="Times New Roman" w:hAnsi="Times New Roman"/>
          <w:sz w:val="24"/>
        </w:rPr>
        <w:t xml:space="preserve"> heavily shape the future of England.</w:t>
      </w:r>
    </w:p>
    <w:p w14:paraId="02E27788" w14:textId="77777777" w:rsidR="00EF7874" w:rsidRPr="00EF7874" w:rsidRDefault="00EF7874" w:rsidP="00EF7874">
      <w:pPr>
        <w:jc w:val="both"/>
        <w:rPr>
          <w:rFonts w:ascii="Times New Roman" w:hAnsi="Times New Roman"/>
          <w:b/>
          <w:sz w:val="24"/>
        </w:rPr>
      </w:pPr>
      <w:r w:rsidRPr="00EF7874">
        <w:rPr>
          <w:rFonts w:ascii="Times New Roman" w:hAnsi="Times New Roman"/>
          <w:b/>
          <w:sz w:val="24"/>
        </w:rPr>
        <w:lastRenderedPageBreak/>
        <w:t>Bibliography:</w:t>
      </w:r>
    </w:p>
    <w:p w14:paraId="4510452B" w14:textId="77777777" w:rsidR="00EF7874" w:rsidRPr="00EF7874" w:rsidRDefault="00EF7874" w:rsidP="00EF7874">
      <w:pPr>
        <w:jc w:val="both"/>
        <w:rPr>
          <w:rFonts w:ascii="Times New Roman" w:hAnsi="Times New Roman"/>
          <w:b/>
          <w:sz w:val="24"/>
        </w:rPr>
      </w:pPr>
      <w:r w:rsidRPr="00EF7874">
        <w:rPr>
          <w:rFonts w:ascii="Times New Roman" w:hAnsi="Times New Roman"/>
          <w:b/>
          <w:sz w:val="24"/>
        </w:rPr>
        <w:t>Primary Sources</w:t>
      </w:r>
    </w:p>
    <w:p w14:paraId="1C3A5546" w14:textId="77777777" w:rsidR="00EF7874" w:rsidRPr="00EF7874" w:rsidRDefault="00EF7874" w:rsidP="00EF7874">
      <w:pPr>
        <w:numPr>
          <w:ilvl w:val="0"/>
          <w:numId w:val="3"/>
        </w:numPr>
        <w:jc w:val="both"/>
        <w:rPr>
          <w:rFonts w:ascii="Times New Roman" w:hAnsi="Times New Roman"/>
          <w:sz w:val="24"/>
        </w:rPr>
      </w:pPr>
      <w:r w:rsidRPr="00EF7874">
        <w:rPr>
          <w:rFonts w:ascii="Times New Roman" w:hAnsi="Times New Roman"/>
          <w:sz w:val="24"/>
        </w:rPr>
        <w:t>‘</w:t>
      </w:r>
      <w:r w:rsidRPr="00EF7874">
        <w:rPr>
          <w:rFonts w:ascii="Times New Roman" w:hAnsi="Times New Roman"/>
          <w:i/>
          <w:sz w:val="24"/>
        </w:rPr>
        <w:t xml:space="preserve">Charter of Liberties of Henry I, </w:t>
      </w:r>
      <w:r w:rsidRPr="00EF7874">
        <w:rPr>
          <w:rFonts w:ascii="Times New Roman" w:hAnsi="Times New Roman"/>
          <w:sz w:val="24"/>
        </w:rPr>
        <w:t xml:space="preserve">1100’, </w:t>
      </w:r>
      <w:proofErr w:type="spellStart"/>
      <w:r w:rsidRPr="00EF7874">
        <w:rPr>
          <w:rFonts w:ascii="Times New Roman" w:hAnsi="Times New Roman"/>
          <w:sz w:val="24"/>
        </w:rPr>
        <w:t>edn</w:t>
      </w:r>
      <w:proofErr w:type="spellEnd"/>
      <w:r w:rsidRPr="00EF7874">
        <w:rPr>
          <w:rFonts w:ascii="Times New Roman" w:hAnsi="Times New Roman"/>
          <w:sz w:val="24"/>
        </w:rPr>
        <w:t xml:space="preserve"> + trans Albert Beebe White and Wallace </w:t>
      </w:r>
      <w:proofErr w:type="spellStart"/>
      <w:r w:rsidRPr="00EF7874">
        <w:rPr>
          <w:rFonts w:ascii="Times New Roman" w:hAnsi="Times New Roman"/>
          <w:sz w:val="24"/>
        </w:rPr>
        <w:t>Notestein</w:t>
      </w:r>
      <w:proofErr w:type="spellEnd"/>
      <w:r w:rsidRPr="00EF7874">
        <w:rPr>
          <w:rFonts w:ascii="Times New Roman" w:hAnsi="Times New Roman"/>
          <w:i/>
          <w:iCs/>
          <w:sz w:val="24"/>
        </w:rPr>
        <w:t> </w:t>
      </w:r>
      <w:r w:rsidRPr="00EF7874">
        <w:rPr>
          <w:rFonts w:ascii="Times New Roman" w:hAnsi="Times New Roman"/>
          <w:sz w:val="24"/>
        </w:rPr>
        <w:t>(New York: Harper and Brothers, 1915) https://sourcebooks.fordham.edu/Halsall/source/hcoronation.asp [Accessed 13 Mar. 2018].</w:t>
      </w:r>
    </w:p>
    <w:p w14:paraId="04E60FF6" w14:textId="77777777" w:rsidR="00EF7874" w:rsidRPr="00EF7874" w:rsidRDefault="00EF7874" w:rsidP="00EF7874">
      <w:pPr>
        <w:numPr>
          <w:ilvl w:val="0"/>
          <w:numId w:val="3"/>
        </w:numPr>
        <w:jc w:val="both"/>
        <w:rPr>
          <w:rFonts w:ascii="Times New Roman" w:hAnsi="Times New Roman"/>
          <w:sz w:val="24"/>
        </w:rPr>
      </w:pPr>
      <w:r w:rsidRPr="00EF7874">
        <w:rPr>
          <w:rFonts w:ascii="Times New Roman" w:hAnsi="Times New Roman"/>
          <w:i/>
          <w:sz w:val="24"/>
        </w:rPr>
        <w:t>‘Grant of Tax Liberties to London’</w:t>
      </w:r>
      <w:r w:rsidRPr="00EF7874">
        <w:rPr>
          <w:rFonts w:ascii="Times New Roman" w:hAnsi="Times New Roman"/>
          <w:sz w:val="24"/>
        </w:rPr>
        <w:t>, 1133, Benjamin Thorpe, ed., </w:t>
      </w:r>
      <w:r w:rsidRPr="00EF7874">
        <w:rPr>
          <w:rFonts w:ascii="Times New Roman" w:hAnsi="Times New Roman"/>
          <w:i/>
          <w:iCs/>
          <w:sz w:val="24"/>
        </w:rPr>
        <w:t>Ancient Laws and Institutes of England</w:t>
      </w:r>
      <w:r w:rsidRPr="00EF7874">
        <w:rPr>
          <w:rFonts w:ascii="Times New Roman" w:hAnsi="Times New Roman"/>
          <w:sz w:val="24"/>
        </w:rPr>
        <w:t xml:space="preserve">, (London: Eyre &amp; </w:t>
      </w:r>
      <w:proofErr w:type="spellStart"/>
      <w:r w:rsidRPr="00EF7874">
        <w:rPr>
          <w:rFonts w:ascii="Times New Roman" w:hAnsi="Times New Roman"/>
          <w:sz w:val="24"/>
        </w:rPr>
        <w:t>Spottiswoode</w:t>
      </w:r>
      <w:proofErr w:type="spellEnd"/>
      <w:r w:rsidRPr="00EF7874">
        <w:rPr>
          <w:rFonts w:ascii="Times New Roman" w:hAnsi="Times New Roman"/>
          <w:sz w:val="24"/>
        </w:rPr>
        <w:t>, 1840), p. 497; reprinted in Roy C. Cave &amp; Herbert H. Coulson, </w:t>
      </w:r>
      <w:r w:rsidRPr="00EF7874">
        <w:rPr>
          <w:rFonts w:ascii="Times New Roman" w:hAnsi="Times New Roman"/>
          <w:i/>
          <w:iCs/>
          <w:sz w:val="24"/>
        </w:rPr>
        <w:t>A Source Book for Medieval Economic History, </w:t>
      </w:r>
      <w:r w:rsidRPr="00EF7874">
        <w:rPr>
          <w:rFonts w:ascii="Times New Roman" w:hAnsi="Times New Roman"/>
          <w:sz w:val="24"/>
        </w:rPr>
        <w:t xml:space="preserve">(Milwaukee: The Bruce Publishing Co., 1936; reprint ed., New York: </w:t>
      </w:r>
      <w:proofErr w:type="spellStart"/>
      <w:r w:rsidRPr="00EF7874">
        <w:rPr>
          <w:rFonts w:ascii="Times New Roman" w:hAnsi="Times New Roman"/>
          <w:sz w:val="24"/>
        </w:rPr>
        <w:t>Biblo</w:t>
      </w:r>
      <w:proofErr w:type="spellEnd"/>
      <w:r w:rsidRPr="00EF7874">
        <w:rPr>
          <w:rFonts w:ascii="Times New Roman" w:hAnsi="Times New Roman"/>
          <w:sz w:val="24"/>
        </w:rPr>
        <w:t xml:space="preserve"> &amp; Tannen, 1965), pp. 366-368. https://sourcebooks.fordham.edu/Halsall/source/1133Hank1tax.asp [Accessed 13 Mar. 2018].</w:t>
      </w:r>
    </w:p>
    <w:p w14:paraId="08FF0652" w14:textId="77777777" w:rsidR="00EF7874" w:rsidRPr="00EF7874" w:rsidRDefault="00EF7874" w:rsidP="00EF7874">
      <w:pPr>
        <w:numPr>
          <w:ilvl w:val="0"/>
          <w:numId w:val="3"/>
        </w:numPr>
        <w:jc w:val="both"/>
        <w:rPr>
          <w:rFonts w:ascii="Times New Roman" w:hAnsi="Times New Roman"/>
          <w:sz w:val="24"/>
        </w:rPr>
      </w:pPr>
      <w:r w:rsidRPr="00EF7874">
        <w:rPr>
          <w:rFonts w:ascii="Times New Roman" w:hAnsi="Times New Roman"/>
          <w:i/>
          <w:sz w:val="24"/>
        </w:rPr>
        <w:t xml:space="preserve">‘Laws of William the Conqueror’, </w:t>
      </w:r>
      <w:r w:rsidRPr="00EF7874">
        <w:rPr>
          <w:rFonts w:ascii="Times New Roman" w:hAnsi="Times New Roman"/>
          <w:sz w:val="24"/>
        </w:rPr>
        <w:t>https://sourcebooks.fordham.edu/Halsall/source/will1-lawsb.asp [Accessed 13 Mar. 2018]</w:t>
      </w:r>
    </w:p>
    <w:p w14:paraId="3AA222E0" w14:textId="77777777" w:rsidR="00EF7874" w:rsidRPr="00EF7874" w:rsidRDefault="00EF7874" w:rsidP="00EF7874">
      <w:pPr>
        <w:numPr>
          <w:ilvl w:val="0"/>
          <w:numId w:val="3"/>
        </w:numPr>
        <w:jc w:val="both"/>
        <w:rPr>
          <w:rFonts w:ascii="Times New Roman" w:hAnsi="Times New Roman"/>
          <w:sz w:val="24"/>
        </w:rPr>
      </w:pPr>
      <w:proofErr w:type="spellStart"/>
      <w:r w:rsidRPr="00EF7874">
        <w:rPr>
          <w:rFonts w:ascii="Times New Roman" w:hAnsi="Times New Roman"/>
          <w:sz w:val="24"/>
        </w:rPr>
        <w:t>Orderic</w:t>
      </w:r>
      <w:proofErr w:type="spellEnd"/>
      <w:r w:rsidRPr="00EF7874">
        <w:rPr>
          <w:rFonts w:ascii="Times New Roman" w:hAnsi="Times New Roman"/>
          <w:sz w:val="24"/>
        </w:rPr>
        <w:t xml:space="preserve"> Vitalis, ‘The </w:t>
      </w:r>
      <w:r w:rsidRPr="00EF7874">
        <w:rPr>
          <w:rFonts w:ascii="Times New Roman" w:hAnsi="Times New Roman"/>
          <w:i/>
          <w:iCs/>
          <w:sz w:val="24"/>
        </w:rPr>
        <w:t xml:space="preserve">Historia </w:t>
      </w:r>
      <w:proofErr w:type="spellStart"/>
      <w:r w:rsidRPr="00EF7874">
        <w:rPr>
          <w:rFonts w:ascii="Times New Roman" w:hAnsi="Times New Roman"/>
          <w:i/>
          <w:iCs/>
          <w:sz w:val="24"/>
        </w:rPr>
        <w:t>Ecclesiastica</w:t>
      </w:r>
      <w:proofErr w:type="spellEnd"/>
      <w:r w:rsidRPr="00EF7874">
        <w:rPr>
          <w:rFonts w:ascii="Times New Roman" w:hAnsi="Times New Roman"/>
          <w:sz w:val="24"/>
        </w:rPr>
        <w:t>’, trans. David Burr https://sourcebooks.fordham.edu/source/orderic.asp [Accessed 13 Mar. 2018].</w:t>
      </w:r>
    </w:p>
    <w:p w14:paraId="7920AFDB" w14:textId="77777777" w:rsidR="00EF7874" w:rsidRPr="00EF7874" w:rsidRDefault="00EF7874" w:rsidP="00EF7874">
      <w:pPr>
        <w:numPr>
          <w:ilvl w:val="0"/>
          <w:numId w:val="3"/>
        </w:numPr>
        <w:jc w:val="both"/>
        <w:rPr>
          <w:rFonts w:ascii="Times New Roman" w:hAnsi="Times New Roman"/>
          <w:sz w:val="24"/>
        </w:rPr>
      </w:pPr>
      <w:r w:rsidRPr="00EF7874">
        <w:rPr>
          <w:rFonts w:ascii="Times New Roman" w:hAnsi="Times New Roman"/>
          <w:sz w:val="24"/>
        </w:rPr>
        <w:t>Peter of Blois, ‘</w:t>
      </w:r>
      <w:proofErr w:type="spellStart"/>
      <w:r w:rsidRPr="00EF7874">
        <w:rPr>
          <w:rFonts w:ascii="Times New Roman" w:hAnsi="Times New Roman"/>
          <w:i/>
          <w:iCs/>
          <w:sz w:val="24"/>
        </w:rPr>
        <w:t>Ingulf's</w:t>
      </w:r>
      <w:proofErr w:type="spellEnd"/>
      <w:r w:rsidRPr="00EF7874">
        <w:rPr>
          <w:rFonts w:ascii="Times New Roman" w:hAnsi="Times New Roman"/>
          <w:i/>
          <w:iCs/>
          <w:sz w:val="24"/>
        </w:rPr>
        <w:t xml:space="preserve"> Chronicle of the Abbey of </w:t>
      </w:r>
      <w:proofErr w:type="spellStart"/>
      <w:r w:rsidRPr="00EF7874">
        <w:rPr>
          <w:rFonts w:ascii="Times New Roman" w:hAnsi="Times New Roman"/>
          <w:i/>
          <w:iCs/>
          <w:sz w:val="24"/>
        </w:rPr>
        <w:t>Croyland</w:t>
      </w:r>
      <w:proofErr w:type="spellEnd"/>
      <w:r w:rsidRPr="00EF7874">
        <w:rPr>
          <w:rFonts w:ascii="Times New Roman" w:hAnsi="Times New Roman"/>
          <w:i/>
          <w:iCs/>
          <w:sz w:val="24"/>
        </w:rPr>
        <w:t xml:space="preserve"> with the Continuation of Peter of Blois’</w:t>
      </w:r>
      <w:r w:rsidRPr="00EF7874">
        <w:rPr>
          <w:rFonts w:ascii="Times New Roman" w:hAnsi="Times New Roman"/>
          <w:sz w:val="24"/>
        </w:rPr>
        <w:t>, trans. Henry T. Riley (London: Henry G. Bohn, 1854), pp. 229-37 https://sourcebooks.fordham.edu/halsall/source/blois1.asp [Accessed 13 Mar. 2018]</w:t>
      </w:r>
    </w:p>
    <w:p w14:paraId="76076582" w14:textId="77777777" w:rsidR="00EF7874" w:rsidRPr="00EF7874" w:rsidRDefault="00EF7874" w:rsidP="00EF7874">
      <w:pPr>
        <w:numPr>
          <w:ilvl w:val="0"/>
          <w:numId w:val="3"/>
        </w:numPr>
        <w:jc w:val="both"/>
        <w:rPr>
          <w:rFonts w:ascii="Times New Roman" w:hAnsi="Times New Roman"/>
          <w:sz w:val="24"/>
        </w:rPr>
      </w:pPr>
      <w:r w:rsidRPr="00EF7874">
        <w:rPr>
          <w:rFonts w:ascii="Times New Roman" w:hAnsi="Times New Roman"/>
          <w:i/>
          <w:iCs/>
          <w:sz w:val="24"/>
        </w:rPr>
        <w:t>The Chronicle of Henry of Huntingdon</w:t>
      </w:r>
      <w:r w:rsidRPr="00EF7874">
        <w:rPr>
          <w:rFonts w:ascii="Times New Roman" w:hAnsi="Times New Roman"/>
          <w:sz w:val="24"/>
        </w:rPr>
        <w:t>, trans. Thomas Forester (London: Henry G. Bohn, 1853; George B ell and Sons, 1876), pp. 400-409, reprinted in Archibald R. Lewis, ed., </w:t>
      </w:r>
      <w:r w:rsidRPr="00EF7874">
        <w:rPr>
          <w:rFonts w:ascii="Times New Roman" w:hAnsi="Times New Roman"/>
          <w:i/>
          <w:iCs/>
          <w:sz w:val="24"/>
        </w:rPr>
        <w:t>The High Middle Ages, 814-1300</w:t>
      </w:r>
      <w:r w:rsidRPr="00EF7874">
        <w:rPr>
          <w:rFonts w:ascii="Times New Roman" w:hAnsi="Times New Roman"/>
          <w:sz w:val="24"/>
        </w:rPr>
        <w:t>, (Englewood Cliffs; NJ: Prentice-Hall, 1970) https://sourcebooks.fordham.edu/Halsall/source/henry-hunt1.asp [Accessed 13. Mar. 2018]</w:t>
      </w:r>
    </w:p>
    <w:p w14:paraId="14CE1D4C" w14:textId="77777777" w:rsidR="00EF7874" w:rsidRPr="00EF7874" w:rsidRDefault="00EF7874" w:rsidP="00EF7874">
      <w:pPr>
        <w:numPr>
          <w:ilvl w:val="0"/>
          <w:numId w:val="3"/>
        </w:numPr>
        <w:jc w:val="both"/>
        <w:rPr>
          <w:rFonts w:ascii="Times New Roman" w:hAnsi="Times New Roman"/>
          <w:sz w:val="24"/>
        </w:rPr>
      </w:pPr>
      <w:r w:rsidRPr="00EF7874">
        <w:rPr>
          <w:rFonts w:ascii="Times New Roman" w:hAnsi="Times New Roman"/>
          <w:i/>
          <w:sz w:val="24"/>
        </w:rPr>
        <w:t>‘The Murder Fine’</w:t>
      </w:r>
      <w:r w:rsidRPr="00EF7874">
        <w:rPr>
          <w:rFonts w:ascii="Times New Roman" w:hAnsi="Times New Roman"/>
          <w:sz w:val="24"/>
        </w:rPr>
        <w:t xml:space="preserve"> from “</w:t>
      </w:r>
      <w:r w:rsidRPr="00EF7874">
        <w:rPr>
          <w:rFonts w:ascii="Times New Roman" w:hAnsi="Times New Roman"/>
          <w:i/>
          <w:sz w:val="24"/>
        </w:rPr>
        <w:t>The Laws of Henry 1</w:t>
      </w:r>
      <w:r w:rsidRPr="00EF7874">
        <w:rPr>
          <w:rFonts w:ascii="Times New Roman" w:hAnsi="Times New Roman"/>
          <w:sz w:val="24"/>
        </w:rPr>
        <w:t>”, https://sourcebooks.fordham.edu/source/12Chenry1-murderfine.asp [Accessed 13 Mar. 2018].</w:t>
      </w:r>
    </w:p>
    <w:p w14:paraId="4246A3D5" w14:textId="77777777" w:rsidR="00EF7874" w:rsidRPr="00EF7874" w:rsidRDefault="00EF7874" w:rsidP="00EF7874">
      <w:pPr>
        <w:jc w:val="both"/>
        <w:rPr>
          <w:rFonts w:ascii="Times New Roman" w:hAnsi="Times New Roman"/>
          <w:b/>
          <w:sz w:val="24"/>
        </w:rPr>
      </w:pPr>
      <w:r w:rsidRPr="00EF7874">
        <w:rPr>
          <w:rFonts w:ascii="Times New Roman" w:hAnsi="Times New Roman"/>
          <w:b/>
          <w:sz w:val="24"/>
        </w:rPr>
        <w:t>Modern Scholarship</w:t>
      </w:r>
    </w:p>
    <w:p w14:paraId="2B07F733" w14:textId="77777777" w:rsidR="00EF7874" w:rsidRPr="00EF7874" w:rsidRDefault="00EF7874" w:rsidP="00EF7874">
      <w:pPr>
        <w:numPr>
          <w:ilvl w:val="0"/>
          <w:numId w:val="2"/>
        </w:numPr>
        <w:jc w:val="both"/>
        <w:rPr>
          <w:rFonts w:ascii="Times New Roman" w:hAnsi="Times New Roman"/>
          <w:sz w:val="24"/>
        </w:rPr>
      </w:pPr>
      <w:r w:rsidRPr="00EF7874">
        <w:rPr>
          <w:rFonts w:ascii="Times New Roman" w:hAnsi="Times New Roman"/>
          <w:sz w:val="24"/>
        </w:rPr>
        <w:t>Bagley, J. ‘</w:t>
      </w:r>
      <w:r w:rsidRPr="00EF7874">
        <w:rPr>
          <w:rFonts w:ascii="Times New Roman" w:hAnsi="Times New Roman"/>
          <w:i/>
          <w:iCs/>
          <w:sz w:val="24"/>
        </w:rPr>
        <w:t>Life in medieval England</w:t>
      </w:r>
      <w:r w:rsidRPr="00EF7874">
        <w:rPr>
          <w:rFonts w:ascii="Times New Roman" w:hAnsi="Times New Roman"/>
          <w:sz w:val="24"/>
        </w:rPr>
        <w:t>.’ (New York: Putnam, 1971) pp. 11-13, 50-55</w:t>
      </w:r>
    </w:p>
    <w:p w14:paraId="6BA32AAE" w14:textId="77777777" w:rsidR="00EF7874" w:rsidRPr="00EF7874" w:rsidRDefault="00EF7874" w:rsidP="00EF7874">
      <w:pPr>
        <w:numPr>
          <w:ilvl w:val="0"/>
          <w:numId w:val="2"/>
        </w:numPr>
        <w:jc w:val="both"/>
        <w:rPr>
          <w:rFonts w:ascii="Times New Roman" w:hAnsi="Times New Roman"/>
          <w:vanish/>
          <w:sz w:val="24"/>
        </w:rPr>
      </w:pPr>
      <w:r w:rsidRPr="00EF7874">
        <w:rPr>
          <w:rFonts w:ascii="Times New Roman" w:hAnsi="Times New Roman"/>
          <w:vanish/>
          <w:sz w:val="24"/>
        </w:rPr>
        <w:t>Top of Form</w:t>
      </w:r>
    </w:p>
    <w:p w14:paraId="6DA9362A" w14:textId="77777777" w:rsidR="00EF7874" w:rsidRPr="00EF7874" w:rsidRDefault="00EF7874" w:rsidP="00EF7874">
      <w:pPr>
        <w:numPr>
          <w:ilvl w:val="0"/>
          <w:numId w:val="2"/>
        </w:numPr>
        <w:jc w:val="both"/>
        <w:rPr>
          <w:rFonts w:ascii="Times New Roman" w:hAnsi="Times New Roman"/>
          <w:vanish/>
          <w:sz w:val="24"/>
        </w:rPr>
      </w:pPr>
      <w:r w:rsidRPr="00EF7874">
        <w:rPr>
          <w:rFonts w:ascii="Times New Roman" w:hAnsi="Times New Roman"/>
          <w:vanish/>
          <w:sz w:val="24"/>
        </w:rPr>
        <w:t>Bottom of Form</w:t>
      </w:r>
    </w:p>
    <w:p w14:paraId="0F8FEB43" w14:textId="77777777" w:rsidR="00EF7874" w:rsidRPr="00EF7874" w:rsidRDefault="00EF7874" w:rsidP="00EF7874">
      <w:pPr>
        <w:numPr>
          <w:ilvl w:val="0"/>
          <w:numId w:val="2"/>
        </w:numPr>
        <w:jc w:val="both"/>
        <w:rPr>
          <w:rFonts w:ascii="Times New Roman" w:hAnsi="Times New Roman"/>
          <w:sz w:val="24"/>
        </w:rPr>
      </w:pPr>
      <w:r w:rsidRPr="00EF7874">
        <w:rPr>
          <w:rFonts w:ascii="Times New Roman" w:hAnsi="Times New Roman"/>
          <w:sz w:val="24"/>
        </w:rPr>
        <w:t>Barlow, F. ‘</w:t>
      </w:r>
      <w:r w:rsidRPr="00EF7874">
        <w:rPr>
          <w:rFonts w:ascii="Times New Roman" w:hAnsi="Times New Roman"/>
          <w:i/>
          <w:iCs/>
          <w:sz w:val="24"/>
        </w:rPr>
        <w:t>The Feudal Kingdom of England</w:t>
      </w:r>
      <w:r w:rsidRPr="00EF7874">
        <w:rPr>
          <w:rFonts w:ascii="Times New Roman" w:hAnsi="Times New Roman"/>
          <w:sz w:val="24"/>
        </w:rPr>
        <w:t>.’ 4th ed. (Hoboken: Taylor and Francis, 2014)</w:t>
      </w:r>
      <w:r w:rsidRPr="00EF7874">
        <w:rPr>
          <w:rFonts w:ascii="Times New Roman" w:hAnsi="Times New Roman"/>
          <w:vanish/>
          <w:sz w:val="24"/>
        </w:rPr>
        <w:t>Top of Form</w:t>
      </w:r>
      <w:r w:rsidRPr="00EF7874">
        <w:rPr>
          <w:rFonts w:ascii="Times New Roman" w:hAnsi="Times New Roman"/>
          <w:sz w:val="24"/>
        </w:rPr>
        <w:t xml:space="preserve"> pp. 419-420</w:t>
      </w:r>
    </w:p>
    <w:p w14:paraId="1F412283" w14:textId="77777777" w:rsidR="00EF7874" w:rsidRPr="00EF7874" w:rsidRDefault="00EF7874" w:rsidP="00EF7874">
      <w:pPr>
        <w:numPr>
          <w:ilvl w:val="0"/>
          <w:numId w:val="2"/>
        </w:numPr>
        <w:jc w:val="both"/>
        <w:rPr>
          <w:rFonts w:ascii="Times New Roman" w:hAnsi="Times New Roman"/>
          <w:vanish/>
          <w:sz w:val="24"/>
        </w:rPr>
      </w:pPr>
      <w:r w:rsidRPr="00EF7874">
        <w:rPr>
          <w:rFonts w:ascii="Times New Roman" w:hAnsi="Times New Roman"/>
          <w:vanish/>
          <w:sz w:val="24"/>
        </w:rPr>
        <w:t>Bottom of Form</w:t>
      </w:r>
    </w:p>
    <w:p w14:paraId="20D5C5C5" w14:textId="77777777" w:rsidR="00EF7874" w:rsidRPr="00EF7874" w:rsidRDefault="00EF7874" w:rsidP="00EF7874">
      <w:pPr>
        <w:numPr>
          <w:ilvl w:val="0"/>
          <w:numId w:val="2"/>
        </w:numPr>
        <w:jc w:val="both"/>
        <w:rPr>
          <w:rFonts w:ascii="Times New Roman" w:hAnsi="Times New Roman"/>
          <w:sz w:val="24"/>
        </w:rPr>
      </w:pPr>
      <w:r w:rsidRPr="00EF7874">
        <w:rPr>
          <w:rFonts w:ascii="Times New Roman" w:hAnsi="Times New Roman"/>
          <w:sz w:val="24"/>
        </w:rPr>
        <w:t>Bbc.co.uk. (2018). ‘</w:t>
      </w:r>
      <w:r w:rsidRPr="00EF7874">
        <w:rPr>
          <w:rFonts w:ascii="Times New Roman" w:hAnsi="Times New Roman"/>
          <w:i/>
          <w:iCs/>
          <w:sz w:val="24"/>
        </w:rPr>
        <w:t>BBC - History - Henry I</w:t>
      </w:r>
      <w:r w:rsidRPr="00EF7874">
        <w:rPr>
          <w:rFonts w:ascii="Times New Roman" w:hAnsi="Times New Roman"/>
          <w:sz w:val="24"/>
        </w:rPr>
        <w:t>.’ [online] Available at: http://www.bbc.co.uk/history/historic_figures/henry_i_king.shtml [Accessed 13 Mar. 2018].</w:t>
      </w:r>
      <w:r w:rsidRPr="00EF7874">
        <w:rPr>
          <w:rFonts w:ascii="Times New Roman" w:hAnsi="Times New Roman"/>
          <w:vanish/>
          <w:sz w:val="24"/>
        </w:rPr>
        <w:t>Top of FormBottom of Form</w:t>
      </w:r>
    </w:p>
    <w:p w14:paraId="4410E9A9" w14:textId="77777777" w:rsidR="00EF7874" w:rsidRPr="00EF7874" w:rsidRDefault="00EF7874" w:rsidP="00EF7874">
      <w:pPr>
        <w:numPr>
          <w:ilvl w:val="0"/>
          <w:numId w:val="2"/>
        </w:numPr>
        <w:jc w:val="both"/>
        <w:rPr>
          <w:rFonts w:ascii="Times New Roman" w:hAnsi="Times New Roman"/>
          <w:bCs/>
          <w:sz w:val="24"/>
        </w:rPr>
      </w:pPr>
      <w:r w:rsidRPr="00EF7874">
        <w:rPr>
          <w:rFonts w:ascii="Times New Roman" w:hAnsi="Times New Roman"/>
          <w:bCs/>
          <w:sz w:val="24"/>
        </w:rPr>
        <w:t xml:space="preserve">Garnett, G. ‘Conquered England, 1066-1215’. In Saul. N, </w:t>
      </w:r>
      <w:proofErr w:type="spellStart"/>
      <w:r w:rsidRPr="00EF7874">
        <w:rPr>
          <w:rFonts w:ascii="Times New Roman" w:hAnsi="Times New Roman"/>
          <w:bCs/>
          <w:sz w:val="24"/>
        </w:rPr>
        <w:t>ed</w:t>
      </w:r>
      <w:proofErr w:type="spellEnd"/>
      <w:r w:rsidRPr="00EF7874">
        <w:rPr>
          <w:rFonts w:ascii="Times New Roman" w:hAnsi="Times New Roman"/>
          <w:bCs/>
          <w:sz w:val="24"/>
        </w:rPr>
        <w:t>: ‘</w:t>
      </w:r>
      <w:r w:rsidRPr="00EF7874">
        <w:rPr>
          <w:rFonts w:ascii="Times New Roman" w:hAnsi="Times New Roman"/>
          <w:bCs/>
          <w:i/>
          <w:iCs/>
          <w:sz w:val="24"/>
        </w:rPr>
        <w:t>The Oxford illustrated history of Medieval England’.</w:t>
      </w:r>
      <w:r w:rsidRPr="00EF7874">
        <w:rPr>
          <w:rFonts w:ascii="Times New Roman" w:hAnsi="Times New Roman"/>
          <w:bCs/>
          <w:sz w:val="24"/>
        </w:rPr>
        <w:t xml:space="preserve"> (Oxford: Oxford University Press, 1997) pp.77-99.</w:t>
      </w:r>
    </w:p>
    <w:p w14:paraId="57E0E317" w14:textId="77777777" w:rsidR="00EF7874" w:rsidRPr="00EF7874" w:rsidRDefault="00EF7874" w:rsidP="00EF7874">
      <w:pPr>
        <w:numPr>
          <w:ilvl w:val="0"/>
          <w:numId w:val="2"/>
        </w:numPr>
        <w:jc w:val="both"/>
        <w:rPr>
          <w:rFonts w:ascii="Times New Roman" w:hAnsi="Times New Roman"/>
          <w:sz w:val="24"/>
        </w:rPr>
      </w:pPr>
      <w:r w:rsidRPr="00EF7874">
        <w:rPr>
          <w:rFonts w:ascii="Times New Roman" w:hAnsi="Times New Roman"/>
          <w:sz w:val="24"/>
        </w:rPr>
        <w:lastRenderedPageBreak/>
        <w:t>Green, J. ‘</w:t>
      </w:r>
      <w:r w:rsidRPr="00EF7874">
        <w:rPr>
          <w:rFonts w:ascii="Times New Roman" w:hAnsi="Times New Roman"/>
          <w:i/>
          <w:iCs/>
          <w:sz w:val="24"/>
        </w:rPr>
        <w:t>The Government of England under Henry I</w:t>
      </w:r>
      <w:r w:rsidRPr="00EF7874">
        <w:rPr>
          <w:rFonts w:ascii="Times New Roman" w:hAnsi="Times New Roman"/>
          <w:sz w:val="24"/>
        </w:rPr>
        <w:t>.’ (Cambridge: Cambridge University Press, 2003) 118-119</w:t>
      </w:r>
    </w:p>
    <w:p w14:paraId="6974DC5E" w14:textId="77777777" w:rsidR="00EF7874" w:rsidRPr="00EF7874" w:rsidRDefault="00EF7874" w:rsidP="00EF7874">
      <w:pPr>
        <w:numPr>
          <w:ilvl w:val="0"/>
          <w:numId w:val="2"/>
        </w:numPr>
        <w:jc w:val="both"/>
        <w:rPr>
          <w:rFonts w:ascii="Times New Roman" w:hAnsi="Times New Roman"/>
          <w:sz w:val="24"/>
        </w:rPr>
      </w:pPr>
      <w:r w:rsidRPr="00EF7874">
        <w:rPr>
          <w:rFonts w:ascii="Times New Roman" w:hAnsi="Times New Roman"/>
          <w:sz w:val="24"/>
        </w:rPr>
        <w:t>Hollister, C. (2018). ‘</w:t>
      </w:r>
      <w:r w:rsidRPr="00EF7874">
        <w:rPr>
          <w:rFonts w:ascii="Times New Roman" w:hAnsi="Times New Roman"/>
          <w:i/>
          <w:iCs/>
          <w:sz w:val="24"/>
        </w:rPr>
        <w:t>Henry I | king of England</w:t>
      </w:r>
      <w:r w:rsidRPr="00EF7874">
        <w:rPr>
          <w:rFonts w:ascii="Times New Roman" w:hAnsi="Times New Roman"/>
          <w:sz w:val="24"/>
        </w:rPr>
        <w:t xml:space="preserve">.’ [online] </w:t>
      </w:r>
      <w:proofErr w:type="spellStart"/>
      <w:r w:rsidRPr="00EF7874">
        <w:rPr>
          <w:rFonts w:ascii="Times New Roman" w:hAnsi="Times New Roman"/>
          <w:sz w:val="24"/>
        </w:rPr>
        <w:t>Encyclopedia</w:t>
      </w:r>
      <w:proofErr w:type="spellEnd"/>
      <w:r w:rsidRPr="00EF7874">
        <w:rPr>
          <w:rFonts w:ascii="Times New Roman" w:hAnsi="Times New Roman"/>
          <w:sz w:val="24"/>
        </w:rPr>
        <w:t xml:space="preserve"> Britannica. Available at: https://www.britannica.com/biography/Henry-I-king-of-England [Accessed 13 Mar. 2018].</w:t>
      </w:r>
    </w:p>
    <w:p w14:paraId="4336FB62" w14:textId="77777777" w:rsidR="00EF7874" w:rsidRPr="00EF7874" w:rsidRDefault="00EF7874" w:rsidP="00EF7874">
      <w:pPr>
        <w:numPr>
          <w:ilvl w:val="0"/>
          <w:numId w:val="2"/>
        </w:numPr>
        <w:jc w:val="both"/>
        <w:rPr>
          <w:rFonts w:ascii="Times New Roman" w:hAnsi="Times New Roman"/>
          <w:sz w:val="24"/>
        </w:rPr>
      </w:pPr>
      <w:r w:rsidRPr="00EF7874">
        <w:rPr>
          <w:rFonts w:ascii="Times New Roman" w:hAnsi="Times New Roman"/>
          <w:sz w:val="24"/>
        </w:rPr>
        <w:t>Innes, A.D. (2018). </w:t>
      </w:r>
      <w:r w:rsidRPr="00EF7874">
        <w:rPr>
          <w:rFonts w:ascii="Times New Roman" w:hAnsi="Times New Roman"/>
          <w:i/>
          <w:iCs/>
          <w:sz w:val="24"/>
        </w:rPr>
        <w:t>The Reign of Henry I, History of Britain</w:t>
      </w:r>
      <w:r w:rsidRPr="00EF7874">
        <w:rPr>
          <w:rFonts w:ascii="Times New Roman" w:hAnsi="Times New Roman"/>
          <w:sz w:val="24"/>
        </w:rPr>
        <w:t>. [online] Britain Express. Available at: http://www.britainexpress.com/History/Reign-of-Henry-I.htm [Accessed 13 Mar. 2018].</w:t>
      </w:r>
    </w:p>
    <w:p w14:paraId="2F56B465" w14:textId="77777777" w:rsidR="00EF7874" w:rsidRPr="00EF7874" w:rsidRDefault="00EF7874" w:rsidP="00EF7874">
      <w:pPr>
        <w:numPr>
          <w:ilvl w:val="0"/>
          <w:numId w:val="2"/>
        </w:numPr>
        <w:jc w:val="both"/>
        <w:rPr>
          <w:rFonts w:ascii="Times New Roman" w:hAnsi="Times New Roman"/>
          <w:sz w:val="24"/>
        </w:rPr>
      </w:pPr>
      <w:r w:rsidRPr="00EF7874">
        <w:rPr>
          <w:rFonts w:ascii="Times New Roman" w:hAnsi="Times New Roman"/>
          <w:sz w:val="24"/>
        </w:rPr>
        <w:t>Jewell, H. ‘</w:t>
      </w:r>
      <w:r w:rsidRPr="00EF7874">
        <w:rPr>
          <w:rFonts w:ascii="Times New Roman" w:hAnsi="Times New Roman"/>
          <w:i/>
          <w:iCs/>
          <w:sz w:val="24"/>
        </w:rPr>
        <w:t>Women in medieval England</w:t>
      </w:r>
      <w:r w:rsidRPr="00EF7874">
        <w:rPr>
          <w:rFonts w:ascii="Times New Roman" w:hAnsi="Times New Roman"/>
          <w:sz w:val="24"/>
        </w:rPr>
        <w:t>.’ (New York: Manchester University Press, 1996) p. 133</w:t>
      </w:r>
    </w:p>
    <w:p w14:paraId="2C535FB5" w14:textId="77777777" w:rsidR="00EF7874" w:rsidRPr="00EF7874" w:rsidRDefault="00EF7874" w:rsidP="00EF7874">
      <w:pPr>
        <w:numPr>
          <w:ilvl w:val="0"/>
          <w:numId w:val="2"/>
        </w:numPr>
        <w:jc w:val="both"/>
        <w:rPr>
          <w:rFonts w:ascii="Times New Roman" w:hAnsi="Times New Roman"/>
          <w:sz w:val="24"/>
        </w:rPr>
      </w:pPr>
      <w:r w:rsidRPr="00EF7874">
        <w:rPr>
          <w:rFonts w:ascii="Times New Roman" w:hAnsi="Times New Roman"/>
          <w:sz w:val="24"/>
        </w:rPr>
        <w:t>King, E. ‘</w:t>
      </w:r>
      <w:r w:rsidRPr="00EF7874">
        <w:rPr>
          <w:rFonts w:ascii="Times New Roman" w:hAnsi="Times New Roman"/>
          <w:i/>
          <w:iCs/>
          <w:sz w:val="24"/>
        </w:rPr>
        <w:t>Medieval England, 1066-1485’</w:t>
      </w:r>
      <w:r w:rsidRPr="00EF7874">
        <w:rPr>
          <w:rFonts w:ascii="Times New Roman" w:hAnsi="Times New Roman"/>
          <w:sz w:val="24"/>
        </w:rPr>
        <w:t xml:space="preserve">. (Oxford: </w:t>
      </w:r>
      <w:proofErr w:type="spellStart"/>
      <w:r w:rsidRPr="00EF7874">
        <w:rPr>
          <w:rFonts w:ascii="Times New Roman" w:hAnsi="Times New Roman"/>
          <w:sz w:val="24"/>
        </w:rPr>
        <w:t>Phaidon</w:t>
      </w:r>
      <w:proofErr w:type="spellEnd"/>
      <w:r w:rsidRPr="00EF7874">
        <w:rPr>
          <w:rFonts w:ascii="Times New Roman" w:hAnsi="Times New Roman"/>
          <w:sz w:val="24"/>
        </w:rPr>
        <w:t>, 1988) pp. 42-43</w:t>
      </w:r>
    </w:p>
    <w:p w14:paraId="158B7481" w14:textId="77777777" w:rsidR="00EF7874" w:rsidRPr="00EF7874" w:rsidRDefault="00EF7874" w:rsidP="00EF7874">
      <w:pPr>
        <w:numPr>
          <w:ilvl w:val="0"/>
          <w:numId w:val="2"/>
        </w:numPr>
        <w:jc w:val="both"/>
        <w:rPr>
          <w:rFonts w:ascii="Times New Roman" w:hAnsi="Times New Roman"/>
          <w:sz w:val="24"/>
        </w:rPr>
      </w:pPr>
      <w:r w:rsidRPr="00EF7874">
        <w:rPr>
          <w:rFonts w:ascii="Times New Roman" w:hAnsi="Times New Roman"/>
          <w:sz w:val="24"/>
        </w:rPr>
        <w:t>Miller, E. and Hatcher, J. ‘</w:t>
      </w:r>
      <w:r w:rsidRPr="00EF7874">
        <w:rPr>
          <w:rFonts w:ascii="Times New Roman" w:hAnsi="Times New Roman"/>
          <w:i/>
          <w:iCs/>
          <w:sz w:val="24"/>
        </w:rPr>
        <w:t>Medieval England: rural society and economic change 1086-1348</w:t>
      </w:r>
      <w:r w:rsidRPr="00EF7874">
        <w:rPr>
          <w:rFonts w:ascii="Times New Roman" w:hAnsi="Times New Roman"/>
          <w:sz w:val="24"/>
        </w:rPr>
        <w:t>.’ (London: Longman, 1999) p. 76</w:t>
      </w:r>
    </w:p>
    <w:p w14:paraId="220132DC" w14:textId="77777777" w:rsidR="00EF7874" w:rsidRPr="00EF7874" w:rsidRDefault="00EF7874" w:rsidP="00EF7874">
      <w:pPr>
        <w:numPr>
          <w:ilvl w:val="0"/>
          <w:numId w:val="2"/>
        </w:numPr>
        <w:jc w:val="both"/>
        <w:rPr>
          <w:rFonts w:ascii="Times New Roman" w:hAnsi="Times New Roman"/>
          <w:bCs/>
          <w:sz w:val="24"/>
        </w:rPr>
      </w:pPr>
      <w:r w:rsidRPr="00EF7874">
        <w:rPr>
          <w:rFonts w:ascii="Times New Roman" w:hAnsi="Times New Roman"/>
          <w:bCs/>
          <w:sz w:val="24"/>
        </w:rPr>
        <w:t>Spartacus Educational. (2018). ‘</w:t>
      </w:r>
      <w:r w:rsidRPr="00EF7874">
        <w:rPr>
          <w:rFonts w:ascii="Times New Roman" w:hAnsi="Times New Roman"/>
          <w:bCs/>
          <w:i/>
          <w:iCs/>
          <w:sz w:val="24"/>
        </w:rPr>
        <w:t>King Henry I</w:t>
      </w:r>
      <w:r w:rsidRPr="00EF7874">
        <w:rPr>
          <w:rFonts w:ascii="Times New Roman" w:hAnsi="Times New Roman"/>
          <w:bCs/>
          <w:sz w:val="24"/>
        </w:rPr>
        <w:t>.’ [online] Available at: http://spartacus-educational.com/MEDhenry1.htm [Accessed 13 Mar. 2018].</w:t>
      </w:r>
    </w:p>
    <w:p w14:paraId="2308EC07" w14:textId="77777777" w:rsidR="00EF7874" w:rsidRPr="00EF7874" w:rsidRDefault="00EF7874" w:rsidP="00EF7874">
      <w:pPr>
        <w:numPr>
          <w:ilvl w:val="0"/>
          <w:numId w:val="2"/>
        </w:numPr>
        <w:jc w:val="both"/>
        <w:rPr>
          <w:rFonts w:ascii="Times New Roman" w:hAnsi="Times New Roman"/>
          <w:sz w:val="24"/>
        </w:rPr>
      </w:pPr>
      <w:r w:rsidRPr="00EF7874">
        <w:rPr>
          <w:rFonts w:ascii="Times New Roman" w:hAnsi="Times New Roman"/>
          <w:sz w:val="24"/>
        </w:rPr>
        <w:t>Thefamouspeople.com. (2018). ‘</w:t>
      </w:r>
      <w:r w:rsidRPr="00EF7874">
        <w:rPr>
          <w:rFonts w:ascii="Times New Roman" w:hAnsi="Times New Roman"/>
          <w:i/>
          <w:iCs/>
          <w:sz w:val="24"/>
        </w:rPr>
        <w:t>Who is Henry I of England? Everything You Need to Know</w:t>
      </w:r>
      <w:r w:rsidRPr="00EF7874">
        <w:rPr>
          <w:rFonts w:ascii="Times New Roman" w:hAnsi="Times New Roman"/>
          <w:sz w:val="24"/>
        </w:rPr>
        <w:t>.’ [online] Available at: https://www.thefamouspeople.com/profiles/henry-i-of-england-33689.php [Accessed 13 Mar. 2018].</w:t>
      </w:r>
    </w:p>
    <w:p w14:paraId="285394AC" w14:textId="77777777" w:rsidR="00EF7874" w:rsidRPr="00EF7874" w:rsidRDefault="00EF7874" w:rsidP="00EF7874">
      <w:pPr>
        <w:jc w:val="both"/>
        <w:rPr>
          <w:rFonts w:ascii="Times New Roman" w:hAnsi="Times New Roman"/>
          <w:sz w:val="24"/>
        </w:rPr>
      </w:pPr>
    </w:p>
    <w:p w14:paraId="6E285387" w14:textId="77777777" w:rsidR="001D33B9" w:rsidRPr="005B2A34" w:rsidRDefault="001D33B9" w:rsidP="00EF7666">
      <w:pPr>
        <w:jc w:val="both"/>
        <w:rPr>
          <w:rFonts w:ascii="Times New Roman" w:hAnsi="Times New Roman"/>
          <w:sz w:val="24"/>
        </w:rPr>
      </w:pPr>
    </w:p>
    <w:sectPr w:rsidR="001D33B9" w:rsidRPr="005B2A3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81C3E6" w14:textId="77777777" w:rsidR="001D33B9" w:rsidRDefault="001D33B9" w:rsidP="00737F9E">
      <w:pPr>
        <w:spacing w:after="0" w:line="240" w:lineRule="auto"/>
      </w:pPr>
      <w:r>
        <w:separator/>
      </w:r>
    </w:p>
  </w:endnote>
  <w:endnote w:type="continuationSeparator" w:id="0">
    <w:p w14:paraId="31AAC9D0" w14:textId="77777777" w:rsidR="001D33B9" w:rsidRDefault="001D33B9" w:rsidP="00737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00A872" w14:textId="148F11F2" w:rsidR="001D33B9" w:rsidRDefault="001D33B9">
    <w:pPr>
      <w:pStyle w:val="Footer"/>
    </w:pPr>
    <w:r>
      <w:t>Word Count:</w:t>
    </w:r>
    <w:r w:rsidR="00EF7874">
      <w:t xml:space="preserve"> 2371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0ABB16" w14:textId="77777777" w:rsidR="001D33B9" w:rsidRDefault="001D33B9" w:rsidP="00737F9E">
      <w:pPr>
        <w:spacing w:after="0" w:line="240" w:lineRule="auto"/>
      </w:pPr>
      <w:r>
        <w:separator/>
      </w:r>
    </w:p>
  </w:footnote>
  <w:footnote w:type="continuationSeparator" w:id="0">
    <w:p w14:paraId="0EE183CD" w14:textId="77777777" w:rsidR="001D33B9" w:rsidRDefault="001D33B9" w:rsidP="00737F9E">
      <w:pPr>
        <w:spacing w:after="0" w:line="240" w:lineRule="auto"/>
      </w:pPr>
      <w:r>
        <w:continuationSeparator/>
      </w:r>
    </w:p>
  </w:footnote>
  <w:footnote w:id="1">
    <w:p w14:paraId="32553D51" w14:textId="414286C4" w:rsidR="001D33B9" w:rsidRDefault="001D33B9">
      <w:pPr>
        <w:pStyle w:val="FootnoteText"/>
      </w:pPr>
      <w:r>
        <w:rPr>
          <w:rStyle w:val="FootnoteReference"/>
        </w:rPr>
        <w:footnoteRef/>
      </w:r>
      <w:r>
        <w:t xml:space="preserve"> J. Green,</w:t>
      </w:r>
      <w:r w:rsidRPr="00C66B3B">
        <w:t> ‘</w:t>
      </w:r>
      <w:r w:rsidRPr="00C66B3B">
        <w:rPr>
          <w:i/>
          <w:iCs/>
        </w:rPr>
        <w:t>The Government of England under Henry I</w:t>
      </w:r>
      <w:r w:rsidRPr="00C66B3B">
        <w:t>.’ (Cambridge: Cambridge University Press, 2003)</w:t>
      </w:r>
      <w:r>
        <w:t xml:space="preserve"> pp.134-135</w:t>
      </w:r>
    </w:p>
  </w:footnote>
  <w:footnote w:id="2">
    <w:p w14:paraId="475EA4A7" w14:textId="657B6460" w:rsidR="001D33B9" w:rsidRDefault="001D33B9">
      <w:pPr>
        <w:pStyle w:val="FootnoteText"/>
      </w:pPr>
      <w:r>
        <w:rPr>
          <w:rStyle w:val="FootnoteReference"/>
        </w:rPr>
        <w:footnoteRef/>
      </w:r>
      <w:r>
        <w:t xml:space="preserve"> E. King, </w:t>
      </w:r>
      <w:r w:rsidRPr="00F3276B">
        <w:t>‘</w:t>
      </w:r>
      <w:r w:rsidRPr="00F3276B">
        <w:rPr>
          <w:i/>
          <w:iCs/>
        </w:rPr>
        <w:t>Medieval England, 1066-1485’</w:t>
      </w:r>
      <w:r w:rsidRPr="00F3276B">
        <w:t xml:space="preserve">. (Oxford: </w:t>
      </w:r>
      <w:proofErr w:type="spellStart"/>
      <w:r w:rsidRPr="00F3276B">
        <w:t>Phaidon</w:t>
      </w:r>
      <w:proofErr w:type="spellEnd"/>
      <w:r w:rsidRPr="00F3276B">
        <w:t>, 1988) pp. 42-43</w:t>
      </w:r>
    </w:p>
  </w:footnote>
  <w:footnote w:id="3">
    <w:p w14:paraId="5BFDEF03" w14:textId="3B25AD56" w:rsidR="001D33B9" w:rsidRDefault="001D33B9">
      <w:pPr>
        <w:pStyle w:val="FootnoteText"/>
      </w:pPr>
      <w:r>
        <w:rPr>
          <w:rStyle w:val="FootnoteReference"/>
        </w:rPr>
        <w:footnoteRef/>
      </w:r>
      <w:r>
        <w:t xml:space="preserve"> Green, ‘</w:t>
      </w:r>
      <w:r>
        <w:rPr>
          <w:i/>
        </w:rPr>
        <w:t xml:space="preserve">Government of England’ </w:t>
      </w:r>
      <w:r>
        <w:t xml:space="preserve">p. 140 </w:t>
      </w:r>
    </w:p>
  </w:footnote>
  <w:footnote w:id="4">
    <w:p w14:paraId="15599637" w14:textId="4C19E00C" w:rsidR="001D33B9" w:rsidRDefault="001D33B9">
      <w:pPr>
        <w:pStyle w:val="FootnoteText"/>
      </w:pPr>
      <w:r>
        <w:rPr>
          <w:rStyle w:val="FootnoteReference"/>
        </w:rPr>
        <w:footnoteRef/>
      </w:r>
      <w:r>
        <w:t xml:space="preserve"> </w:t>
      </w:r>
      <w:proofErr w:type="spellStart"/>
      <w:r w:rsidRPr="00C50EDB">
        <w:t>Orderic</w:t>
      </w:r>
      <w:proofErr w:type="spellEnd"/>
      <w:r w:rsidRPr="00C50EDB">
        <w:t xml:space="preserve"> Vitalis, ‘The </w:t>
      </w:r>
      <w:r w:rsidRPr="00C50EDB">
        <w:rPr>
          <w:i/>
          <w:iCs/>
        </w:rPr>
        <w:t xml:space="preserve">Historia </w:t>
      </w:r>
      <w:proofErr w:type="spellStart"/>
      <w:r w:rsidRPr="00C50EDB">
        <w:rPr>
          <w:i/>
          <w:iCs/>
        </w:rPr>
        <w:t>Ecclesiastica</w:t>
      </w:r>
      <w:proofErr w:type="spellEnd"/>
      <w:r w:rsidRPr="00C50EDB">
        <w:t>’, trans. David Burr https://sourcebooks.fordham.edu/source/orderic.asp [Accessed 13 Mar. 2018].</w:t>
      </w:r>
    </w:p>
  </w:footnote>
  <w:footnote w:id="5">
    <w:p w14:paraId="47EAD32C" w14:textId="16B41E85" w:rsidR="001D33B9" w:rsidRDefault="001D33B9">
      <w:pPr>
        <w:pStyle w:val="FootnoteText"/>
      </w:pPr>
      <w:r>
        <w:rPr>
          <w:rStyle w:val="FootnoteReference"/>
        </w:rPr>
        <w:footnoteRef/>
      </w:r>
      <w:r>
        <w:t xml:space="preserve"> </w:t>
      </w:r>
      <w:r w:rsidRPr="00F3276B">
        <w:t>Green, ‘</w:t>
      </w:r>
      <w:r w:rsidRPr="00F3276B">
        <w:rPr>
          <w:i/>
        </w:rPr>
        <w:t xml:space="preserve">Government of England’ </w:t>
      </w:r>
      <w:r w:rsidRPr="00F3276B">
        <w:t>p</w:t>
      </w:r>
      <w:r>
        <w:t>p. 144-145</w:t>
      </w:r>
    </w:p>
  </w:footnote>
  <w:footnote w:id="6">
    <w:p w14:paraId="787E274A" w14:textId="61D4ADF3" w:rsidR="001D33B9" w:rsidRPr="00584520" w:rsidRDefault="001D33B9" w:rsidP="00584520">
      <w:pPr>
        <w:pStyle w:val="FootnoteText"/>
      </w:pPr>
      <w:r>
        <w:rPr>
          <w:rStyle w:val="FootnoteReference"/>
        </w:rPr>
        <w:footnoteRef/>
      </w:r>
      <w:r>
        <w:t xml:space="preserve"> C. Hollister</w:t>
      </w:r>
      <w:proofErr w:type="gramStart"/>
      <w:r>
        <w:t xml:space="preserve">, </w:t>
      </w:r>
      <w:r w:rsidRPr="00584520">
        <w:t>.</w:t>
      </w:r>
      <w:proofErr w:type="gramEnd"/>
      <w:r w:rsidRPr="00584520">
        <w:t> ‘</w:t>
      </w:r>
      <w:r w:rsidRPr="00584520">
        <w:rPr>
          <w:i/>
          <w:iCs/>
        </w:rPr>
        <w:t>Henry I | king of England</w:t>
      </w:r>
      <w:r w:rsidRPr="00584520">
        <w:t xml:space="preserve">.’ [online] </w:t>
      </w:r>
      <w:proofErr w:type="spellStart"/>
      <w:r w:rsidRPr="00584520">
        <w:t>Encyclopedia</w:t>
      </w:r>
      <w:proofErr w:type="spellEnd"/>
      <w:r w:rsidRPr="00584520">
        <w:t xml:space="preserve"> Britannica. Available at: https://www.britannica.com/biography/Henry-I-king-of-England [Accessed 13 Mar. 2018].</w:t>
      </w:r>
    </w:p>
    <w:p w14:paraId="00E4413D" w14:textId="62F96801" w:rsidR="001D33B9" w:rsidRDefault="001D33B9">
      <w:pPr>
        <w:pStyle w:val="FootnoteText"/>
      </w:pPr>
    </w:p>
  </w:footnote>
  <w:footnote w:id="7">
    <w:p w14:paraId="3D77C36E" w14:textId="4BAA175C" w:rsidR="001D33B9" w:rsidRDefault="001D33B9">
      <w:pPr>
        <w:pStyle w:val="FootnoteText"/>
      </w:pPr>
      <w:r>
        <w:rPr>
          <w:rStyle w:val="FootnoteReference"/>
        </w:rPr>
        <w:footnoteRef/>
      </w:r>
      <w:r>
        <w:t xml:space="preserve"> J. </w:t>
      </w:r>
      <w:r w:rsidRPr="00A56839">
        <w:t>Bagley</w:t>
      </w:r>
      <w:r>
        <w:t>,</w:t>
      </w:r>
      <w:r w:rsidRPr="00A56839">
        <w:t xml:space="preserve"> ‘</w:t>
      </w:r>
      <w:r w:rsidRPr="00A56839">
        <w:rPr>
          <w:i/>
          <w:iCs/>
        </w:rPr>
        <w:t>Life in medieval England</w:t>
      </w:r>
      <w:r w:rsidRPr="00A56839">
        <w:t>.’ (New York: Putnam, 1971) p</w:t>
      </w:r>
      <w:r>
        <w:t>. 11</w:t>
      </w:r>
    </w:p>
  </w:footnote>
  <w:footnote w:id="8">
    <w:p w14:paraId="38D4E1FA" w14:textId="60E32298" w:rsidR="001D33B9" w:rsidRDefault="001D33B9">
      <w:pPr>
        <w:pStyle w:val="FootnoteText"/>
      </w:pPr>
      <w:r>
        <w:rPr>
          <w:rStyle w:val="FootnoteReference"/>
        </w:rPr>
        <w:footnoteRef/>
      </w:r>
      <w:r>
        <w:t xml:space="preserve"> </w:t>
      </w:r>
      <w:r w:rsidRPr="00354820">
        <w:t>Green, ‘</w:t>
      </w:r>
      <w:r w:rsidRPr="00354820">
        <w:rPr>
          <w:i/>
        </w:rPr>
        <w:t xml:space="preserve">Government of England’ </w:t>
      </w:r>
      <w:r w:rsidRPr="00354820">
        <w:t>p. 40</w:t>
      </w:r>
    </w:p>
  </w:footnote>
  <w:footnote w:id="9">
    <w:p w14:paraId="1EF7526B" w14:textId="28B8191B" w:rsidR="001D33B9" w:rsidRDefault="001D33B9">
      <w:pPr>
        <w:pStyle w:val="FootnoteText"/>
      </w:pPr>
      <w:r>
        <w:rPr>
          <w:rStyle w:val="FootnoteReference"/>
        </w:rPr>
        <w:footnoteRef/>
      </w:r>
      <w:r>
        <w:t xml:space="preserve"> </w:t>
      </w:r>
      <w:r w:rsidRPr="00B762A1">
        <w:t>Green, ‘</w:t>
      </w:r>
      <w:r w:rsidRPr="00B762A1">
        <w:rPr>
          <w:i/>
        </w:rPr>
        <w:t xml:space="preserve">Government of England’ </w:t>
      </w:r>
      <w:r w:rsidRPr="00B762A1">
        <w:t>p</w:t>
      </w:r>
      <w:r>
        <w:t>. 40</w:t>
      </w:r>
    </w:p>
  </w:footnote>
  <w:footnote w:id="10">
    <w:p w14:paraId="35B2326D" w14:textId="2876DE7E" w:rsidR="001D33B9" w:rsidRDefault="001D33B9">
      <w:pPr>
        <w:pStyle w:val="FootnoteText"/>
      </w:pPr>
      <w:r>
        <w:rPr>
          <w:rStyle w:val="FootnoteReference"/>
        </w:rPr>
        <w:footnoteRef/>
      </w:r>
      <w:r>
        <w:t xml:space="preserve"> </w:t>
      </w:r>
      <w:r w:rsidRPr="00687EB1">
        <w:t>Green, ‘</w:t>
      </w:r>
      <w:r w:rsidRPr="00687EB1">
        <w:rPr>
          <w:i/>
        </w:rPr>
        <w:t xml:space="preserve">Government of England’ </w:t>
      </w:r>
      <w:r w:rsidRPr="00687EB1">
        <w:t>p</w:t>
      </w:r>
      <w:r>
        <w:t>p</w:t>
      </w:r>
      <w:r w:rsidRPr="00687EB1">
        <w:t>. 4</w:t>
      </w:r>
      <w:r>
        <w:t>2-43</w:t>
      </w:r>
    </w:p>
  </w:footnote>
  <w:footnote w:id="11">
    <w:p w14:paraId="63DECCE5" w14:textId="61C84449" w:rsidR="001D33B9" w:rsidRDefault="001D33B9">
      <w:pPr>
        <w:pStyle w:val="FootnoteText"/>
      </w:pPr>
      <w:r>
        <w:rPr>
          <w:rStyle w:val="FootnoteReference"/>
        </w:rPr>
        <w:footnoteRef/>
      </w:r>
      <w:r>
        <w:t xml:space="preserve"> </w:t>
      </w:r>
      <w:r w:rsidRPr="00687EB1">
        <w:t>Green, ‘</w:t>
      </w:r>
      <w:r w:rsidRPr="00687EB1">
        <w:rPr>
          <w:i/>
        </w:rPr>
        <w:t xml:space="preserve">Government of England’ </w:t>
      </w:r>
      <w:r w:rsidRPr="00687EB1">
        <w:t>p</w:t>
      </w:r>
      <w:r>
        <w:t>p. 43-44</w:t>
      </w:r>
    </w:p>
  </w:footnote>
  <w:footnote w:id="12">
    <w:p w14:paraId="45129117" w14:textId="73C6D0A0" w:rsidR="001D33B9" w:rsidRDefault="001D33B9">
      <w:pPr>
        <w:pStyle w:val="FootnoteText"/>
      </w:pPr>
      <w:r>
        <w:rPr>
          <w:rStyle w:val="FootnoteReference"/>
        </w:rPr>
        <w:footnoteRef/>
      </w:r>
      <w:r>
        <w:t xml:space="preserve"> Bagley, </w:t>
      </w:r>
      <w:r w:rsidRPr="00EB44E9">
        <w:t>‘</w:t>
      </w:r>
      <w:r w:rsidRPr="00EB44E9">
        <w:rPr>
          <w:i/>
          <w:iCs/>
        </w:rPr>
        <w:t>Life in medieval England</w:t>
      </w:r>
      <w:r w:rsidRPr="00EB44E9">
        <w:t>.’</w:t>
      </w:r>
      <w:r>
        <w:t xml:space="preserve"> P.11</w:t>
      </w:r>
    </w:p>
  </w:footnote>
  <w:footnote w:id="13">
    <w:p w14:paraId="0AD6A86D" w14:textId="14B5A610" w:rsidR="001D33B9" w:rsidRDefault="001D33B9">
      <w:pPr>
        <w:pStyle w:val="FootnoteText"/>
      </w:pPr>
      <w:r>
        <w:rPr>
          <w:rStyle w:val="FootnoteReference"/>
        </w:rPr>
        <w:footnoteRef/>
      </w:r>
      <w:r>
        <w:t xml:space="preserve"> </w:t>
      </w:r>
      <w:r w:rsidRPr="009E2A10">
        <w:t>‘</w:t>
      </w:r>
      <w:r w:rsidRPr="009E2A10">
        <w:rPr>
          <w:i/>
        </w:rPr>
        <w:t xml:space="preserve">Charter of Liberties of Henry I, </w:t>
      </w:r>
      <w:r w:rsidRPr="009E2A10">
        <w:t xml:space="preserve">1100’, </w:t>
      </w:r>
      <w:proofErr w:type="spellStart"/>
      <w:r w:rsidRPr="009E2A10">
        <w:t>edn</w:t>
      </w:r>
      <w:proofErr w:type="spellEnd"/>
      <w:r w:rsidRPr="009E2A10">
        <w:t xml:space="preserve"> + trans Albert Beebe White and Wallace </w:t>
      </w:r>
      <w:proofErr w:type="spellStart"/>
      <w:r w:rsidRPr="009E2A10">
        <w:t>Notestein</w:t>
      </w:r>
      <w:proofErr w:type="spellEnd"/>
      <w:r w:rsidRPr="009E2A10">
        <w:rPr>
          <w:i/>
          <w:iCs/>
        </w:rPr>
        <w:t> </w:t>
      </w:r>
      <w:r w:rsidRPr="009E2A10">
        <w:t>(New York: Harper and Brothers, 1915) https://sourcebooks.fordham.edu/Halsall/source/hcoronation.asp [Accessed 13 Mar. 2018].</w:t>
      </w:r>
    </w:p>
  </w:footnote>
  <w:footnote w:id="14">
    <w:p w14:paraId="456E9600" w14:textId="41950189" w:rsidR="001D33B9" w:rsidRPr="00D44819" w:rsidRDefault="001D33B9">
      <w:pPr>
        <w:pStyle w:val="FootnoteText"/>
        <w:rPr>
          <w:bCs/>
        </w:rPr>
      </w:pPr>
      <w:r>
        <w:rPr>
          <w:rStyle w:val="FootnoteReference"/>
        </w:rPr>
        <w:footnoteRef/>
      </w:r>
      <w:r>
        <w:t xml:space="preserve"> G. </w:t>
      </w:r>
      <w:r w:rsidRPr="00F12571">
        <w:rPr>
          <w:bCs/>
        </w:rPr>
        <w:t>Garnett</w:t>
      </w:r>
      <w:r>
        <w:rPr>
          <w:bCs/>
        </w:rPr>
        <w:t>,</w:t>
      </w:r>
      <w:r w:rsidRPr="00F12571">
        <w:rPr>
          <w:bCs/>
        </w:rPr>
        <w:t xml:space="preserve"> ‘Conquered England, 1066-1215’. In Saul. N, </w:t>
      </w:r>
      <w:proofErr w:type="spellStart"/>
      <w:r w:rsidRPr="00F12571">
        <w:rPr>
          <w:bCs/>
        </w:rPr>
        <w:t>ed</w:t>
      </w:r>
      <w:proofErr w:type="spellEnd"/>
      <w:r w:rsidRPr="00F12571">
        <w:rPr>
          <w:bCs/>
        </w:rPr>
        <w:t>: ‘</w:t>
      </w:r>
      <w:r w:rsidRPr="00F12571">
        <w:rPr>
          <w:bCs/>
          <w:i/>
          <w:iCs/>
        </w:rPr>
        <w:t>The Oxford illustrated history of Medieval England’.</w:t>
      </w:r>
      <w:r w:rsidRPr="00F12571">
        <w:rPr>
          <w:bCs/>
        </w:rPr>
        <w:t xml:space="preserve"> (Oxford: Oxford University Press, 1997) pp.77-</w:t>
      </w:r>
      <w:r>
        <w:rPr>
          <w:bCs/>
        </w:rPr>
        <w:t>78</w:t>
      </w:r>
    </w:p>
  </w:footnote>
  <w:footnote w:id="15">
    <w:p w14:paraId="31B4A3A2" w14:textId="500A7623" w:rsidR="001D33B9" w:rsidRDefault="001D33B9">
      <w:pPr>
        <w:pStyle w:val="FootnoteText"/>
      </w:pPr>
      <w:r>
        <w:rPr>
          <w:rStyle w:val="FootnoteReference"/>
        </w:rPr>
        <w:footnoteRef/>
      </w:r>
      <w:r>
        <w:t xml:space="preserve"> </w:t>
      </w:r>
      <w:r w:rsidRPr="00D44819">
        <w:t>‘</w:t>
      </w:r>
      <w:r w:rsidRPr="00D44819">
        <w:rPr>
          <w:i/>
        </w:rPr>
        <w:t>Charter of Liberties of Henry I,</w:t>
      </w:r>
    </w:p>
  </w:footnote>
  <w:footnote w:id="16">
    <w:p w14:paraId="496F8550" w14:textId="3D9A56B9" w:rsidR="001D33B9" w:rsidRDefault="001D33B9">
      <w:pPr>
        <w:pStyle w:val="FootnoteText"/>
      </w:pPr>
      <w:r>
        <w:rPr>
          <w:rStyle w:val="FootnoteReference"/>
        </w:rPr>
        <w:footnoteRef/>
      </w:r>
      <w:r>
        <w:t xml:space="preserve"> H. </w:t>
      </w:r>
      <w:r w:rsidRPr="00D44819">
        <w:t>Jewell, ‘</w:t>
      </w:r>
      <w:r w:rsidRPr="00D44819">
        <w:rPr>
          <w:i/>
          <w:iCs/>
        </w:rPr>
        <w:t>Women in medieval England</w:t>
      </w:r>
      <w:r w:rsidRPr="00D44819">
        <w:t>.’ (New York: Manchester University Press, 1996) p. 133</w:t>
      </w:r>
    </w:p>
  </w:footnote>
  <w:footnote w:id="17">
    <w:p w14:paraId="68C8D7DA" w14:textId="1F8D783F" w:rsidR="001D33B9" w:rsidRDefault="001D33B9">
      <w:pPr>
        <w:pStyle w:val="FootnoteText"/>
      </w:pPr>
      <w:r>
        <w:rPr>
          <w:rStyle w:val="FootnoteReference"/>
        </w:rPr>
        <w:footnoteRef/>
      </w:r>
      <w:r>
        <w:t xml:space="preserve"> </w:t>
      </w:r>
      <w:r w:rsidRPr="00EC1BD1">
        <w:t xml:space="preserve">G. </w:t>
      </w:r>
      <w:r w:rsidRPr="00EC1BD1">
        <w:rPr>
          <w:bCs/>
        </w:rPr>
        <w:t>Garnett, ‘Conquered England</w:t>
      </w:r>
      <w:r>
        <w:rPr>
          <w:bCs/>
        </w:rPr>
        <w:t>’ p.77</w:t>
      </w:r>
    </w:p>
  </w:footnote>
  <w:footnote w:id="18">
    <w:p w14:paraId="0BF00876" w14:textId="6970AE29" w:rsidR="001D33B9" w:rsidRDefault="001D33B9">
      <w:pPr>
        <w:pStyle w:val="FootnoteText"/>
      </w:pPr>
      <w:r>
        <w:rPr>
          <w:rStyle w:val="FootnoteReference"/>
        </w:rPr>
        <w:footnoteRef/>
      </w:r>
      <w:r>
        <w:t xml:space="preserve"> </w:t>
      </w:r>
      <w:r w:rsidRPr="00903ED0">
        <w:t>Bagley, ‘</w:t>
      </w:r>
      <w:r w:rsidRPr="00903ED0">
        <w:rPr>
          <w:i/>
          <w:iCs/>
        </w:rPr>
        <w:t>Life in medieval England</w:t>
      </w:r>
      <w:r w:rsidRPr="00903ED0">
        <w:t>.’ P.11</w:t>
      </w:r>
    </w:p>
  </w:footnote>
  <w:footnote w:id="19">
    <w:p w14:paraId="57D422CF" w14:textId="60A2477C" w:rsidR="001D33B9" w:rsidRDefault="001D33B9">
      <w:pPr>
        <w:pStyle w:val="FootnoteText"/>
      </w:pPr>
      <w:r>
        <w:rPr>
          <w:rStyle w:val="FootnoteReference"/>
        </w:rPr>
        <w:footnoteRef/>
      </w:r>
      <w:r>
        <w:t xml:space="preserve"> F. </w:t>
      </w:r>
      <w:r w:rsidRPr="00903ED0">
        <w:t>Barlow</w:t>
      </w:r>
      <w:r>
        <w:t>,</w:t>
      </w:r>
      <w:r w:rsidRPr="00903ED0">
        <w:t xml:space="preserve"> ‘</w:t>
      </w:r>
      <w:r w:rsidRPr="00903ED0">
        <w:rPr>
          <w:i/>
          <w:iCs/>
        </w:rPr>
        <w:t>The Feudal Kingdom of England</w:t>
      </w:r>
      <w:r w:rsidRPr="00903ED0">
        <w:t>.’ 4th ed. (Hoboken: Taylor and Francis, 2014)</w:t>
      </w:r>
      <w:r w:rsidRPr="00903ED0">
        <w:rPr>
          <w:vanish/>
        </w:rPr>
        <w:t>Top of Form</w:t>
      </w:r>
      <w:r w:rsidRPr="00903ED0">
        <w:t xml:space="preserve"> pp. 419-420</w:t>
      </w:r>
    </w:p>
  </w:footnote>
  <w:footnote w:id="20">
    <w:p w14:paraId="1DA1FCE6" w14:textId="22136C28" w:rsidR="001D33B9" w:rsidRDefault="001D33B9">
      <w:pPr>
        <w:pStyle w:val="FootnoteText"/>
      </w:pPr>
      <w:r>
        <w:rPr>
          <w:rStyle w:val="FootnoteReference"/>
        </w:rPr>
        <w:footnoteRef/>
      </w:r>
      <w:r w:rsidRPr="00F31688">
        <w:t>‘</w:t>
      </w:r>
      <w:r w:rsidRPr="00F31688">
        <w:rPr>
          <w:i/>
        </w:rPr>
        <w:t>Charter of Liberties of Henry I,</w:t>
      </w:r>
    </w:p>
  </w:footnote>
  <w:footnote w:id="21">
    <w:p w14:paraId="3EA18BB0" w14:textId="1B3DF4CD" w:rsidR="001D33B9" w:rsidRDefault="001D33B9">
      <w:pPr>
        <w:pStyle w:val="FootnoteText"/>
      </w:pPr>
      <w:r>
        <w:rPr>
          <w:rStyle w:val="FootnoteReference"/>
        </w:rPr>
        <w:footnoteRef/>
      </w:r>
      <w:r>
        <w:t xml:space="preserve"> </w:t>
      </w:r>
      <w:r w:rsidRPr="00F31688">
        <w:t>F. Barlow, ‘</w:t>
      </w:r>
      <w:r w:rsidRPr="00F31688">
        <w:rPr>
          <w:i/>
          <w:iCs/>
        </w:rPr>
        <w:t>The Feudal Kingdom of England</w:t>
      </w:r>
      <w:r w:rsidRPr="00F31688">
        <w:t>.’</w:t>
      </w:r>
      <w:r>
        <w:t xml:space="preserve"> P. 149</w:t>
      </w:r>
    </w:p>
  </w:footnote>
  <w:footnote w:id="22">
    <w:p w14:paraId="68EBB0DC" w14:textId="64C67181" w:rsidR="001D33B9" w:rsidRDefault="001D33B9">
      <w:pPr>
        <w:pStyle w:val="FootnoteText"/>
      </w:pPr>
      <w:r>
        <w:rPr>
          <w:rStyle w:val="FootnoteReference"/>
        </w:rPr>
        <w:footnoteRef/>
      </w:r>
      <w:r>
        <w:t xml:space="preserve"> </w:t>
      </w:r>
      <w:r w:rsidRPr="00E84DE1">
        <w:t>Peter of Blois, ‘</w:t>
      </w:r>
      <w:proofErr w:type="spellStart"/>
      <w:r w:rsidRPr="00E84DE1">
        <w:rPr>
          <w:i/>
          <w:iCs/>
        </w:rPr>
        <w:t>Ingulf's</w:t>
      </w:r>
      <w:proofErr w:type="spellEnd"/>
      <w:r w:rsidRPr="00E84DE1">
        <w:rPr>
          <w:i/>
          <w:iCs/>
        </w:rPr>
        <w:t xml:space="preserve"> Chronicle of the Abbey of </w:t>
      </w:r>
      <w:proofErr w:type="spellStart"/>
      <w:r w:rsidRPr="00E84DE1">
        <w:rPr>
          <w:i/>
          <w:iCs/>
        </w:rPr>
        <w:t>Croyland</w:t>
      </w:r>
      <w:proofErr w:type="spellEnd"/>
      <w:r w:rsidRPr="00E84DE1">
        <w:rPr>
          <w:i/>
          <w:iCs/>
        </w:rPr>
        <w:t xml:space="preserve"> with the Continuation of Peter of Blois’</w:t>
      </w:r>
      <w:r w:rsidRPr="00E84DE1">
        <w:t>, trans. Henry T. Riley (London: Henry G. Bohn, 1854), pp. 229-37 https://sourcebooks.fordham.edu/halsall/source/blois1.asp [Accessed 13 Mar. 2018]</w:t>
      </w:r>
    </w:p>
  </w:footnote>
  <w:footnote w:id="23">
    <w:p w14:paraId="66FB5057" w14:textId="31885BD3" w:rsidR="001D33B9" w:rsidRDefault="001D33B9">
      <w:pPr>
        <w:pStyle w:val="FootnoteText"/>
      </w:pPr>
      <w:r>
        <w:rPr>
          <w:rStyle w:val="FootnoteReference"/>
        </w:rPr>
        <w:footnoteRef/>
      </w:r>
      <w:r>
        <w:t xml:space="preserve"> </w:t>
      </w:r>
      <w:r w:rsidRPr="002E7871">
        <w:t>F. Barlow, ‘</w:t>
      </w:r>
      <w:r w:rsidRPr="002E7871">
        <w:rPr>
          <w:i/>
          <w:iCs/>
        </w:rPr>
        <w:t>The Feudal Kingdom of England</w:t>
      </w:r>
      <w:r w:rsidRPr="002E7871">
        <w:t xml:space="preserve">.’ </w:t>
      </w:r>
      <w:r>
        <w:t>Pp. 171-173</w:t>
      </w:r>
    </w:p>
  </w:footnote>
  <w:footnote w:id="24">
    <w:p w14:paraId="5A139A53" w14:textId="53437C97" w:rsidR="001D33B9" w:rsidRPr="00B800C9" w:rsidRDefault="001D33B9" w:rsidP="00B800C9">
      <w:pPr>
        <w:pStyle w:val="FootnoteText"/>
      </w:pPr>
      <w:r>
        <w:rPr>
          <w:rStyle w:val="FootnoteReference"/>
        </w:rPr>
        <w:footnoteRef/>
      </w:r>
      <w:r>
        <w:t xml:space="preserve"> A.D. </w:t>
      </w:r>
      <w:r w:rsidRPr="00B800C9">
        <w:t>Innes, (2018). </w:t>
      </w:r>
      <w:r w:rsidRPr="00B800C9">
        <w:rPr>
          <w:i/>
          <w:iCs/>
        </w:rPr>
        <w:t>The Reign of Henry I, History of Britain</w:t>
      </w:r>
      <w:r w:rsidRPr="00B800C9">
        <w:t>. [online] Britain Express. Available at: http://www.britainexpress.com/History/Reign-of-Henry-I.htm [Accessed 13 Mar. 2018].</w:t>
      </w:r>
    </w:p>
    <w:p w14:paraId="2CA05018" w14:textId="739DB4A6" w:rsidR="001D33B9" w:rsidRDefault="001D33B9">
      <w:pPr>
        <w:pStyle w:val="FootnoteText"/>
      </w:pPr>
    </w:p>
  </w:footnote>
  <w:footnote w:id="25">
    <w:p w14:paraId="4DA02D58" w14:textId="55473B55" w:rsidR="001D33B9" w:rsidRDefault="001D33B9">
      <w:pPr>
        <w:pStyle w:val="FootnoteText"/>
      </w:pPr>
      <w:r>
        <w:rPr>
          <w:rStyle w:val="FootnoteReference"/>
        </w:rPr>
        <w:footnoteRef/>
      </w:r>
      <w:r>
        <w:t xml:space="preserve"> </w:t>
      </w:r>
      <w:r w:rsidRPr="00046297">
        <w:t>F. Barlow, ‘</w:t>
      </w:r>
      <w:r w:rsidRPr="00046297">
        <w:rPr>
          <w:i/>
          <w:iCs/>
        </w:rPr>
        <w:t>The Feudal Kingdom of England</w:t>
      </w:r>
      <w:r w:rsidRPr="00046297">
        <w:t>.’ Pp. 304-305</w:t>
      </w:r>
    </w:p>
  </w:footnote>
  <w:footnote w:id="26">
    <w:p w14:paraId="1C3A1881" w14:textId="4DBBE94E" w:rsidR="001D33B9" w:rsidRPr="00904604" w:rsidRDefault="001D33B9">
      <w:pPr>
        <w:pStyle w:val="FootnoteText"/>
      </w:pPr>
      <w:r>
        <w:rPr>
          <w:rStyle w:val="FootnoteReference"/>
        </w:rPr>
        <w:footnoteRef/>
      </w:r>
      <w:r>
        <w:t xml:space="preserve"> </w:t>
      </w:r>
      <w:r w:rsidRPr="00904604">
        <w:t xml:space="preserve">G. </w:t>
      </w:r>
      <w:r w:rsidRPr="00904604">
        <w:rPr>
          <w:bCs/>
        </w:rPr>
        <w:t>Garnett, ‘</w:t>
      </w:r>
      <w:r w:rsidRPr="00904604">
        <w:rPr>
          <w:bCs/>
          <w:i/>
        </w:rPr>
        <w:t>Conquered England’</w:t>
      </w:r>
      <w:r>
        <w:rPr>
          <w:bCs/>
        </w:rPr>
        <w:t xml:space="preserve"> p.82</w:t>
      </w:r>
    </w:p>
  </w:footnote>
  <w:footnote w:id="27">
    <w:p w14:paraId="53A23CE7" w14:textId="6C9477D2" w:rsidR="001D33B9" w:rsidRDefault="001D33B9">
      <w:pPr>
        <w:pStyle w:val="FootnoteText"/>
      </w:pPr>
      <w:r>
        <w:rPr>
          <w:rStyle w:val="FootnoteReference"/>
        </w:rPr>
        <w:footnoteRef/>
      </w:r>
      <w:r>
        <w:t xml:space="preserve"> </w:t>
      </w:r>
      <w:r w:rsidRPr="00CE426B">
        <w:t xml:space="preserve">G. </w:t>
      </w:r>
      <w:r w:rsidRPr="00CE426B">
        <w:rPr>
          <w:bCs/>
        </w:rPr>
        <w:t>Garnett, ‘</w:t>
      </w:r>
      <w:r w:rsidRPr="00CE426B">
        <w:rPr>
          <w:bCs/>
          <w:i/>
        </w:rPr>
        <w:t>Conquered England’</w:t>
      </w:r>
      <w:r w:rsidRPr="00CE426B">
        <w:rPr>
          <w:bCs/>
        </w:rPr>
        <w:t xml:space="preserve"> p.82</w:t>
      </w:r>
    </w:p>
  </w:footnote>
  <w:footnote w:id="28">
    <w:p w14:paraId="3532759F" w14:textId="4864EEBD" w:rsidR="001D33B9" w:rsidRDefault="001D33B9">
      <w:pPr>
        <w:pStyle w:val="FootnoteText"/>
      </w:pPr>
      <w:r>
        <w:rPr>
          <w:rStyle w:val="FootnoteReference"/>
        </w:rPr>
        <w:footnoteRef/>
      </w:r>
      <w:r>
        <w:t xml:space="preserve"> </w:t>
      </w:r>
      <w:r w:rsidRPr="00CE426B">
        <w:t>F. Barlow, ‘</w:t>
      </w:r>
      <w:r w:rsidRPr="00CE426B">
        <w:rPr>
          <w:i/>
          <w:iCs/>
        </w:rPr>
        <w:t>The Feudal Kingdom of England</w:t>
      </w:r>
      <w:r w:rsidRPr="00CE426B">
        <w:t xml:space="preserve">.’ Pp. </w:t>
      </w:r>
      <w:r>
        <w:t>201-202</w:t>
      </w:r>
    </w:p>
  </w:footnote>
  <w:footnote w:id="29">
    <w:p w14:paraId="0058B3C8" w14:textId="3973F6A9" w:rsidR="001D33B9" w:rsidRDefault="001D33B9">
      <w:pPr>
        <w:pStyle w:val="FootnoteText"/>
      </w:pPr>
      <w:r>
        <w:rPr>
          <w:rStyle w:val="FootnoteReference"/>
        </w:rPr>
        <w:footnoteRef/>
      </w:r>
      <w:r>
        <w:t xml:space="preserve"> </w:t>
      </w:r>
      <w:r w:rsidRPr="00CE426B">
        <w:t>F. Barlow, ‘</w:t>
      </w:r>
      <w:r w:rsidRPr="00CE426B">
        <w:rPr>
          <w:i/>
          <w:iCs/>
        </w:rPr>
        <w:t>The Feudal Kingdom of England</w:t>
      </w:r>
      <w:r w:rsidRPr="00CE426B">
        <w:t xml:space="preserve">.’ Pp. </w:t>
      </w:r>
      <w:r>
        <w:t>201-202</w:t>
      </w:r>
    </w:p>
  </w:footnote>
  <w:footnote w:id="30">
    <w:p w14:paraId="5CFB2BA4" w14:textId="47F183D5" w:rsidR="001D33B9" w:rsidRDefault="001D33B9">
      <w:pPr>
        <w:pStyle w:val="FootnoteText"/>
      </w:pPr>
      <w:r>
        <w:rPr>
          <w:rStyle w:val="FootnoteReference"/>
        </w:rPr>
        <w:footnoteRef/>
      </w:r>
      <w:r>
        <w:t xml:space="preserve"> </w:t>
      </w:r>
      <w:r w:rsidRPr="001D33B9">
        <w:t>Bagley, ‘</w:t>
      </w:r>
      <w:r w:rsidRPr="001D33B9">
        <w:rPr>
          <w:i/>
          <w:iCs/>
        </w:rPr>
        <w:t>Life in medieval England</w:t>
      </w:r>
      <w:r w:rsidRPr="001D33B9">
        <w:t>.’ P.</w:t>
      </w:r>
      <w:r>
        <w:t>12</w:t>
      </w:r>
    </w:p>
  </w:footnote>
  <w:footnote w:id="31">
    <w:p w14:paraId="2594B189" w14:textId="65BC6E70" w:rsidR="001D33B9" w:rsidRDefault="001D33B9">
      <w:pPr>
        <w:pStyle w:val="FootnoteText"/>
      </w:pPr>
      <w:r>
        <w:rPr>
          <w:rStyle w:val="FootnoteReference"/>
        </w:rPr>
        <w:footnoteRef/>
      </w:r>
      <w:r>
        <w:t xml:space="preserve"> </w:t>
      </w:r>
      <w:r w:rsidRPr="001D33B9">
        <w:t>Bagley, ‘</w:t>
      </w:r>
      <w:r w:rsidRPr="001D33B9">
        <w:rPr>
          <w:i/>
          <w:iCs/>
        </w:rPr>
        <w:t>Life in medieval England</w:t>
      </w:r>
      <w:r w:rsidRPr="001D33B9">
        <w:t>.’ P.</w:t>
      </w:r>
      <w:r>
        <w:t>55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3602F" w14:textId="3800E453" w:rsidR="001D33B9" w:rsidRDefault="001D33B9">
    <w:pPr>
      <w:pStyle w:val="Header"/>
    </w:pPr>
    <w:r>
      <w:t>Ethan Bickley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0F575D"/>
    <w:multiLevelType w:val="hybridMultilevel"/>
    <w:tmpl w:val="C302C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0F091D"/>
    <w:multiLevelType w:val="multilevel"/>
    <w:tmpl w:val="93DAB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127961"/>
    <w:multiLevelType w:val="hybridMultilevel"/>
    <w:tmpl w:val="29725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F9E"/>
    <w:rsid w:val="00022FDC"/>
    <w:rsid w:val="00046297"/>
    <w:rsid w:val="000B5302"/>
    <w:rsid w:val="00145ED8"/>
    <w:rsid w:val="00170C11"/>
    <w:rsid w:val="00176C63"/>
    <w:rsid w:val="00180D7D"/>
    <w:rsid w:val="001959DC"/>
    <w:rsid w:val="001D33B9"/>
    <w:rsid w:val="001E073E"/>
    <w:rsid w:val="002315D6"/>
    <w:rsid w:val="00247926"/>
    <w:rsid w:val="002E7871"/>
    <w:rsid w:val="00354820"/>
    <w:rsid w:val="003C4A0C"/>
    <w:rsid w:val="00490C9D"/>
    <w:rsid w:val="00495F8D"/>
    <w:rsid w:val="004B160A"/>
    <w:rsid w:val="00584520"/>
    <w:rsid w:val="005B2A34"/>
    <w:rsid w:val="005E316C"/>
    <w:rsid w:val="00687EB1"/>
    <w:rsid w:val="007013C2"/>
    <w:rsid w:val="00737F9E"/>
    <w:rsid w:val="007F1935"/>
    <w:rsid w:val="00802A3F"/>
    <w:rsid w:val="008A72EA"/>
    <w:rsid w:val="00903ED0"/>
    <w:rsid w:val="00904604"/>
    <w:rsid w:val="00933BBD"/>
    <w:rsid w:val="00954970"/>
    <w:rsid w:val="009E2A10"/>
    <w:rsid w:val="00A017B5"/>
    <w:rsid w:val="00A06E4F"/>
    <w:rsid w:val="00A31F7F"/>
    <w:rsid w:val="00A56839"/>
    <w:rsid w:val="00AB2691"/>
    <w:rsid w:val="00AE56D4"/>
    <w:rsid w:val="00AF7332"/>
    <w:rsid w:val="00B762A1"/>
    <w:rsid w:val="00B800C9"/>
    <w:rsid w:val="00C0105E"/>
    <w:rsid w:val="00C13A2E"/>
    <w:rsid w:val="00C50EDB"/>
    <w:rsid w:val="00C66B3B"/>
    <w:rsid w:val="00C74509"/>
    <w:rsid w:val="00CD1D64"/>
    <w:rsid w:val="00CE426B"/>
    <w:rsid w:val="00D44819"/>
    <w:rsid w:val="00E50C36"/>
    <w:rsid w:val="00E84DE1"/>
    <w:rsid w:val="00EB44E9"/>
    <w:rsid w:val="00EC1BD1"/>
    <w:rsid w:val="00EF7666"/>
    <w:rsid w:val="00EF7874"/>
    <w:rsid w:val="00F052C5"/>
    <w:rsid w:val="00F12571"/>
    <w:rsid w:val="00F31688"/>
    <w:rsid w:val="00F3276B"/>
    <w:rsid w:val="00F55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F661B"/>
  <w15:chartTrackingRefBased/>
  <w15:docId w15:val="{89D6A49E-EC46-4A82-8FE0-ADCDD70D3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33B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7F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F9E"/>
  </w:style>
  <w:style w:type="paragraph" w:styleId="Footer">
    <w:name w:val="footer"/>
    <w:basedOn w:val="Normal"/>
    <w:link w:val="FooterChar"/>
    <w:uiPriority w:val="99"/>
    <w:unhideWhenUsed/>
    <w:rsid w:val="00737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F9E"/>
  </w:style>
  <w:style w:type="character" w:styleId="Hyperlink">
    <w:name w:val="Hyperlink"/>
    <w:basedOn w:val="DefaultParagraphFont"/>
    <w:uiPriority w:val="99"/>
    <w:unhideWhenUsed/>
    <w:rsid w:val="00AE56D4"/>
    <w:rPr>
      <w:color w:val="0563C1" w:themeColor="hyperlink"/>
      <w:u w:val="single"/>
    </w:rPr>
  </w:style>
  <w:style w:type="character" w:styleId="UnresolvedMention">
    <w:name w:val="Unresolved Mention"/>
    <w:basedOn w:val="DefaultParagraphFont"/>
    <w:uiPriority w:val="99"/>
    <w:semiHidden/>
    <w:unhideWhenUsed/>
    <w:rsid w:val="00AE56D4"/>
    <w:rPr>
      <w:color w:val="808080"/>
      <w:shd w:val="clear" w:color="auto" w:fill="E6E6E6"/>
    </w:rPr>
  </w:style>
  <w:style w:type="paragraph" w:styleId="ListParagraph">
    <w:name w:val="List Paragraph"/>
    <w:basedOn w:val="Normal"/>
    <w:uiPriority w:val="34"/>
    <w:qFormat/>
    <w:rsid w:val="00954970"/>
    <w:pPr>
      <w:ind w:left="720"/>
      <w:contextualSpacing/>
    </w:pPr>
  </w:style>
  <w:style w:type="character" w:customStyle="1" w:styleId="Heading2Char">
    <w:name w:val="Heading 2 Char"/>
    <w:basedOn w:val="DefaultParagraphFont"/>
    <w:link w:val="Heading2"/>
    <w:uiPriority w:val="9"/>
    <w:semiHidden/>
    <w:rsid w:val="00933BBD"/>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1E07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073E"/>
    <w:rPr>
      <w:sz w:val="20"/>
      <w:szCs w:val="20"/>
    </w:rPr>
  </w:style>
  <w:style w:type="character" w:styleId="FootnoteReference">
    <w:name w:val="footnote reference"/>
    <w:basedOn w:val="DefaultParagraphFont"/>
    <w:uiPriority w:val="99"/>
    <w:semiHidden/>
    <w:unhideWhenUsed/>
    <w:rsid w:val="001E073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5766095">
      <w:bodyDiv w:val="1"/>
      <w:marLeft w:val="0"/>
      <w:marRight w:val="0"/>
      <w:marTop w:val="0"/>
      <w:marBottom w:val="0"/>
      <w:divBdr>
        <w:top w:val="none" w:sz="0" w:space="0" w:color="auto"/>
        <w:left w:val="none" w:sz="0" w:space="0" w:color="auto"/>
        <w:bottom w:val="none" w:sz="0" w:space="0" w:color="auto"/>
        <w:right w:val="none" w:sz="0" w:space="0" w:color="auto"/>
      </w:divBdr>
    </w:div>
    <w:div w:id="1436169277">
      <w:bodyDiv w:val="1"/>
      <w:marLeft w:val="0"/>
      <w:marRight w:val="0"/>
      <w:marTop w:val="0"/>
      <w:marBottom w:val="0"/>
      <w:divBdr>
        <w:top w:val="none" w:sz="0" w:space="0" w:color="auto"/>
        <w:left w:val="none" w:sz="0" w:space="0" w:color="auto"/>
        <w:bottom w:val="none" w:sz="0" w:space="0" w:color="auto"/>
        <w:right w:val="none" w:sz="0" w:space="0" w:color="auto"/>
      </w:divBdr>
    </w:div>
    <w:div w:id="1623144849">
      <w:bodyDiv w:val="1"/>
      <w:marLeft w:val="0"/>
      <w:marRight w:val="0"/>
      <w:marTop w:val="0"/>
      <w:marBottom w:val="0"/>
      <w:divBdr>
        <w:top w:val="none" w:sz="0" w:space="0" w:color="auto"/>
        <w:left w:val="none" w:sz="0" w:space="0" w:color="auto"/>
        <w:bottom w:val="none" w:sz="0" w:space="0" w:color="auto"/>
        <w:right w:val="none" w:sz="0" w:space="0" w:color="auto"/>
      </w:divBdr>
    </w:div>
    <w:div w:id="1778981945">
      <w:bodyDiv w:val="1"/>
      <w:marLeft w:val="0"/>
      <w:marRight w:val="0"/>
      <w:marTop w:val="0"/>
      <w:marBottom w:val="0"/>
      <w:divBdr>
        <w:top w:val="none" w:sz="0" w:space="0" w:color="auto"/>
        <w:left w:val="none" w:sz="0" w:space="0" w:color="auto"/>
        <w:bottom w:val="none" w:sz="0" w:space="0" w:color="auto"/>
        <w:right w:val="none" w:sz="0" w:space="0" w:color="auto"/>
      </w:divBdr>
      <w:divsChild>
        <w:div w:id="173225162">
          <w:marLeft w:val="0"/>
          <w:marRight w:val="0"/>
          <w:marTop w:val="0"/>
          <w:marBottom w:val="0"/>
          <w:divBdr>
            <w:top w:val="none" w:sz="0" w:space="0" w:color="auto"/>
            <w:left w:val="none" w:sz="0" w:space="0" w:color="auto"/>
            <w:bottom w:val="none" w:sz="0" w:space="0" w:color="auto"/>
            <w:right w:val="none" w:sz="0" w:space="0" w:color="auto"/>
          </w:divBdr>
        </w:div>
        <w:div w:id="789129499">
          <w:marLeft w:val="0"/>
          <w:marRight w:val="0"/>
          <w:marTop w:val="30"/>
          <w:marBottom w:val="0"/>
          <w:divBdr>
            <w:top w:val="none" w:sz="0" w:space="0" w:color="auto"/>
            <w:left w:val="none" w:sz="0" w:space="0" w:color="auto"/>
            <w:bottom w:val="none" w:sz="0" w:space="0" w:color="auto"/>
            <w:right w:val="none" w:sz="0" w:space="0" w:color="auto"/>
          </w:divBdr>
          <w:divsChild>
            <w:div w:id="1239560784">
              <w:marLeft w:val="0"/>
              <w:marRight w:val="0"/>
              <w:marTop w:val="0"/>
              <w:marBottom w:val="0"/>
              <w:divBdr>
                <w:top w:val="none" w:sz="0" w:space="0" w:color="auto"/>
                <w:left w:val="none" w:sz="0" w:space="0" w:color="auto"/>
                <w:bottom w:val="none" w:sz="0" w:space="0" w:color="auto"/>
                <w:right w:val="none" w:sz="0" w:space="0" w:color="auto"/>
              </w:divBdr>
            </w:div>
          </w:divsChild>
        </w:div>
        <w:div w:id="2091539405">
          <w:marLeft w:val="0"/>
          <w:marRight w:val="0"/>
          <w:marTop w:val="15"/>
          <w:marBottom w:val="0"/>
          <w:divBdr>
            <w:top w:val="none" w:sz="0" w:space="0" w:color="auto"/>
            <w:left w:val="none" w:sz="0" w:space="0" w:color="auto"/>
            <w:bottom w:val="none" w:sz="0" w:space="0" w:color="auto"/>
            <w:right w:val="none" w:sz="0" w:space="0" w:color="auto"/>
          </w:divBdr>
        </w:div>
        <w:div w:id="2026444137">
          <w:marLeft w:val="0"/>
          <w:marRight w:val="0"/>
          <w:marTop w:val="0"/>
          <w:marBottom w:val="0"/>
          <w:divBdr>
            <w:top w:val="none" w:sz="0" w:space="0" w:color="auto"/>
            <w:left w:val="none" w:sz="0" w:space="0" w:color="auto"/>
            <w:bottom w:val="none" w:sz="0" w:space="0" w:color="auto"/>
            <w:right w:val="none" w:sz="0" w:space="0" w:color="auto"/>
          </w:divBdr>
        </w:div>
        <w:div w:id="3359973">
          <w:marLeft w:val="0"/>
          <w:marRight w:val="0"/>
          <w:marTop w:val="30"/>
          <w:marBottom w:val="0"/>
          <w:divBdr>
            <w:top w:val="none" w:sz="0" w:space="0" w:color="auto"/>
            <w:left w:val="none" w:sz="0" w:space="0" w:color="auto"/>
            <w:bottom w:val="none" w:sz="0" w:space="0" w:color="auto"/>
            <w:right w:val="none" w:sz="0" w:space="0" w:color="auto"/>
          </w:divBdr>
          <w:divsChild>
            <w:div w:id="2103914426">
              <w:marLeft w:val="0"/>
              <w:marRight w:val="0"/>
              <w:marTop w:val="0"/>
              <w:marBottom w:val="0"/>
              <w:divBdr>
                <w:top w:val="none" w:sz="0" w:space="0" w:color="auto"/>
                <w:left w:val="none" w:sz="0" w:space="0" w:color="auto"/>
                <w:bottom w:val="none" w:sz="0" w:space="0" w:color="auto"/>
                <w:right w:val="none" w:sz="0" w:space="0" w:color="auto"/>
              </w:divBdr>
            </w:div>
          </w:divsChild>
        </w:div>
        <w:div w:id="472480015">
          <w:marLeft w:val="0"/>
          <w:marRight w:val="0"/>
          <w:marTop w:val="15"/>
          <w:marBottom w:val="0"/>
          <w:divBdr>
            <w:top w:val="none" w:sz="0" w:space="0" w:color="auto"/>
            <w:left w:val="none" w:sz="0" w:space="0" w:color="auto"/>
            <w:bottom w:val="none" w:sz="0" w:space="0" w:color="auto"/>
            <w:right w:val="none" w:sz="0" w:space="0" w:color="auto"/>
          </w:divBdr>
        </w:div>
        <w:div w:id="1651784795">
          <w:marLeft w:val="0"/>
          <w:marRight w:val="0"/>
          <w:marTop w:val="0"/>
          <w:marBottom w:val="0"/>
          <w:divBdr>
            <w:top w:val="none" w:sz="0" w:space="0" w:color="auto"/>
            <w:left w:val="none" w:sz="0" w:space="0" w:color="auto"/>
            <w:bottom w:val="none" w:sz="0" w:space="0" w:color="auto"/>
            <w:right w:val="none" w:sz="0" w:space="0" w:color="auto"/>
          </w:divBdr>
        </w:div>
        <w:div w:id="129328611">
          <w:marLeft w:val="0"/>
          <w:marRight w:val="0"/>
          <w:marTop w:val="30"/>
          <w:marBottom w:val="0"/>
          <w:divBdr>
            <w:top w:val="none" w:sz="0" w:space="0" w:color="auto"/>
            <w:left w:val="none" w:sz="0" w:space="0" w:color="auto"/>
            <w:bottom w:val="none" w:sz="0" w:space="0" w:color="auto"/>
            <w:right w:val="none" w:sz="0" w:space="0" w:color="auto"/>
          </w:divBdr>
          <w:divsChild>
            <w:div w:id="112869731">
              <w:marLeft w:val="0"/>
              <w:marRight w:val="0"/>
              <w:marTop w:val="0"/>
              <w:marBottom w:val="0"/>
              <w:divBdr>
                <w:top w:val="none" w:sz="0" w:space="0" w:color="auto"/>
                <w:left w:val="none" w:sz="0" w:space="0" w:color="auto"/>
                <w:bottom w:val="none" w:sz="0" w:space="0" w:color="auto"/>
                <w:right w:val="none" w:sz="0" w:space="0" w:color="auto"/>
              </w:divBdr>
            </w:div>
          </w:divsChild>
        </w:div>
        <w:div w:id="1368069331">
          <w:marLeft w:val="0"/>
          <w:marRight w:val="0"/>
          <w:marTop w:val="15"/>
          <w:marBottom w:val="0"/>
          <w:divBdr>
            <w:top w:val="none" w:sz="0" w:space="0" w:color="auto"/>
            <w:left w:val="none" w:sz="0" w:space="0" w:color="auto"/>
            <w:bottom w:val="none" w:sz="0" w:space="0" w:color="auto"/>
            <w:right w:val="none" w:sz="0" w:space="0" w:color="auto"/>
          </w:divBdr>
        </w:div>
        <w:div w:id="1638536037">
          <w:marLeft w:val="0"/>
          <w:marRight w:val="0"/>
          <w:marTop w:val="0"/>
          <w:marBottom w:val="0"/>
          <w:divBdr>
            <w:top w:val="none" w:sz="0" w:space="0" w:color="auto"/>
            <w:left w:val="none" w:sz="0" w:space="0" w:color="auto"/>
            <w:bottom w:val="none" w:sz="0" w:space="0" w:color="auto"/>
            <w:right w:val="none" w:sz="0" w:space="0" w:color="auto"/>
          </w:divBdr>
        </w:div>
        <w:div w:id="2046983128">
          <w:marLeft w:val="0"/>
          <w:marRight w:val="0"/>
          <w:marTop w:val="30"/>
          <w:marBottom w:val="0"/>
          <w:divBdr>
            <w:top w:val="none" w:sz="0" w:space="0" w:color="auto"/>
            <w:left w:val="none" w:sz="0" w:space="0" w:color="auto"/>
            <w:bottom w:val="none" w:sz="0" w:space="0" w:color="auto"/>
            <w:right w:val="none" w:sz="0" w:space="0" w:color="auto"/>
          </w:divBdr>
          <w:divsChild>
            <w:div w:id="443618225">
              <w:marLeft w:val="0"/>
              <w:marRight w:val="0"/>
              <w:marTop w:val="0"/>
              <w:marBottom w:val="0"/>
              <w:divBdr>
                <w:top w:val="none" w:sz="0" w:space="0" w:color="auto"/>
                <w:left w:val="none" w:sz="0" w:space="0" w:color="auto"/>
                <w:bottom w:val="none" w:sz="0" w:space="0" w:color="auto"/>
                <w:right w:val="none" w:sz="0" w:space="0" w:color="auto"/>
              </w:divBdr>
            </w:div>
          </w:divsChild>
        </w:div>
        <w:div w:id="1239824464">
          <w:marLeft w:val="0"/>
          <w:marRight w:val="0"/>
          <w:marTop w:val="15"/>
          <w:marBottom w:val="0"/>
          <w:divBdr>
            <w:top w:val="none" w:sz="0" w:space="0" w:color="auto"/>
            <w:left w:val="none" w:sz="0" w:space="0" w:color="auto"/>
            <w:bottom w:val="none" w:sz="0" w:space="0" w:color="auto"/>
            <w:right w:val="none" w:sz="0" w:space="0" w:color="auto"/>
          </w:divBdr>
        </w:div>
        <w:div w:id="1566645044">
          <w:marLeft w:val="0"/>
          <w:marRight w:val="0"/>
          <w:marTop w:val="0"/>
          <w:marBottom w:val="0"/>
          <w:divBdr>
            <w:top w:val="none" w:sz="0" w:space="0" w:color="auto"/>
            <w:left w:val="none" w:sz="0" w:space="0" w:color="auto"/>
            <w:bottom w:val="none" w:sz="0" w:space="0" w:color="auto"/>
            <w:right w:val="none" w:sz="0" w:space="0" w:color="auto"/>
          </w:divBdr>
        </w:div>
        <w:div w:id="545531999">
          <w:marLeft w:val="0"/>
          <w:marRight w:val="0"/>
          <w:marTop w:val="30"/>
          <w:marBottom w:val="0"/>
          <w:divBdr>
            <w:top w:val="none" w:sz="0" w:space="0" w:color="auto"/>
            <w:left w:val="none" w:sz="0" w:space="0" w:color="auto"/>
            <w:bottom w:val="none" w:sz="0" w:space="0" w:color="auto"/>
            <w:right w:val="none" w:sz="0" w:space="0" w:color="auto"/>
          </w:divBdr>
          <w:divsChild>
            <w:div w:id="595862895">
              <w:marLeft w:val="0"/>
              <w:marRight w:val="0"/>
              <w:marTop w:val="0"/>
              <w:marBottom w:val="0"/>
              <w:divBdr>
                <w:top w:val="none" w:sz="0" w:space="0" w:color="auto"/>
                <w:left w:val="none" w:sz="0" w:space="0" w:color="auto"/>
                <w:bottom w:val="none" w:sz="0" w:space="0" w:color="auto"/>
                <w:right w:val="none" w:sz="0" w:space="0" w:color="auto"/>
              </w:divBdr>
            </w:div>
          </w:divsChild>
        </w:div>
        <w:div w:id="1209420394">
          <w:marLeft w:val="0"/>
          <w:marRight w:val="0"/>
          <w:marTop w:val="15"/>
          <w:marBottom w:val="0"/>
          <w:divBdr>
            <w:top w:val="none" w:sz="0" w:space="0" w:color="auto"/>
            <w:left w:val="none" w:sz="0" w:space="0" w:color="auto"/>
            <w:bottom w:val="none" w:sz="0" w:space="0" w:color="auto"/>
            <w:right w:val="none" w:sz="0" w:space="0" w:color="auto"/>
          </w:divBdr>
        </w:div>
        <w:div w:id="1956137451">
          <w:marLeft w:val="0"/>
          <w:marRight w:val="0"/>
          <w:marTop w:val="0"/>
          <w:marBottom w:val="0"/>
          <w:divBdr>
            <w:top w:val="none" w:sz="0" w:space="0" w:color="auto"/>
            <w:left w:val="none" w:sz="0" w:space="0" w:color="auto"/>
            <w:bottom w:val="none" w:sz="0" w:space="0" w:color="auto"/>
            <w:right w:val="none" w:sz="0" w:space="0" w:color="auto"/>
          </w:divBdr>
        </w:div>
        <w:div w:id="2133746154">
          <w:marLeft w:val="0"/>
          <w:marRight w:val="0"/>
          <w:marTop w:val="30"/>
          <w:marBottom w:val="0"/>
          <w:divBdr>
            <w:top w:val="none" w:sz="0" w:space="0" w:color="auto"/>
            <w:left w:val="none" w:sz="0" w:space="0" w:color="auto"/>
            <w:bottom w:val="none" w:sz="0" w:space="0" w:color="auto"/>
            <w:right w:val="none" w:sz="0" w:space="0" w:color="auto"/>
          </w:divBdr>
          <w:divsChild>
            <w:div w:id="1601454585">
              <w:marLeft w:val="0"/>
              <w:marRight w:val="0"/>
              <w:marTop w:val="0"/>
              <w:marBottom w:val="0"/>
              <w:divBdr>
                <w:top w:val="none" w:sz="0" w:space="0" w:color="auto"/>
                <w:left w:val="none" w:sz="0" w:space="0" w:color="auto"/>
                <w:bottom w:val="none" w:sz="0" w:space="0" w:color="auto"/>
                <w:right w:val="none" w:sz="0" w:space="0" w:color="auto"/>
              </w:divBdr>
            </w:div>
          </w:divsChild>
        </w:div>
        <w:div w:id="1729306287">
          <w:marLeft w:val="0"/>
          <w:marRight w:val="0"/>
          <w:marTop w:val="15"/>
          <w:marBottom w:val="0"/>
          <w:divBdr>
            <w:top w:val="none" w:sz="0" w:space="0" w:color="auto"/>
            <w:left w:val="none" w:sz="0" w:space="0" w:color="auto"/>
            <w:bottom w:val="none" w:sz="0" w:space="0" w:color="auto"/>
            <w:right w:val="none" w:sz="0" w:space="0" w:color="auto"/>
          </w:divBdr>
        </w:div>
        <w:div w:id="694766462">
          <w:marLeft w:val="0"/>
          <w:marRight w:val="0"/>
          <w:marTop w:val="0"/>
          <w:marBottom w:val="0"/>
          <w:divBdr>
            <w:top w:val="none" w:sz="0" w:space="0" w:color="auto"/>
            <w:left w:val="none" w:sz="0" w:space="0" w:color="auto"/>
            <w:bottom w:val="none" w:sz="0" w:space="0" w:color="auto"/>
            <w:right w:val="none" w:sz="0" w:space="0" w:color="auto"/>
          </w:divBdr>
        </w:div>
        <w:div w:id="805701049">
          <w:marLeft w:val="0"/>
          <w:marRight w:val="0"/>
          <w:marTop w:val="30"/>
          <w:marBottom w:val="0"/>
          <w:divBdr>
            <w:top w:val="none" w:sz="0" w:space="0" w:color="auto"/>
            <w:left w:val="none" w:sz="0" w:space="0" w:color="auto"/>
            <w:bottom w:val="none" w:sz="0" w:space="0" w:color="auto"/>
            <w:right w:val="none" w:sz="0" w:space="0" w:color="auto"/>
          </w:divBdr>
          <w:divsChild>
            <w:div w:id="1091196074">
              <w:marLeft w:val="0"/>
              <w:marRight w:val="0"/>
              <w:marTop w:val="0"/>
              <w:marBottom w:val="0"/>
              <w:divBdr>
                <w:top w:val="none" w:sz="0" w:space="0" w:color="auto"/>
                <w:left w:val="none" w:sz="0" w:space="0" w:color="auto"/>
                <w:bottom w:val="none" w:sz="0" w:space="0" w:color="auto"/>
                <w:right w:val="none" w:sz="0" w:space="0" w:color="auto"/>
              </w:divBdr>
            </w:div>
          </w:divsChild>
        </w:div>
        <w:div w:id="207231878">
          <w:marLeft w:val="0"/>
          <w:marRight w:val="0"/>
          <w:marTop w:val="15"/>
          <w:marBottom w:val="0"/>
          <w:divBdr>
            <w:top w:val="none" w:sz="0" w:space="0" w:color="auto"/>
            <w:left w:val="none" w:sz="0" w:space="0" w:color="auto"/>
            <w:bottom w:val="none" w:sz="0" w:space="0" w:color="auto"/>
            <w:right w:val="none" w:sz="0" w:space="0" w:color="auto"/>
          </w:divBdr>
        </w:div>
        <w:div w:id="1977686483">
          <w:marLeft w:val="0"/>
          <w:marRight w:val="0"/>
          <w:marTop w:val="0"/>
          <w:marBottom w:val="0"/>
          <w:divBdr>
            <w:top w:val="none" w:sz="0" w:space="0" w:color="auto"/>
            <w:left w:val="none" w:sz="0" w:space="0" w:color="auto"/>
            <w:bottom w:val="none" w:sz="0" w:space="0" w:color="auto"/>
            <w:right w:val="none" w:sz="0" w:space="0" w:color="auto"/>
          </w:divBdr>
        </w:div>
        <w:div w:id="1928683721">
          <w:marLeft w:val="0"/>
          <w:marRight w:val="0"/>
          <w:marTop w:val="30"/>
          <w:marBottom w:val="0"/>
          <w:divBdr>
            <w:top w:val="none" w:sz="0" w:space="0" w:color="auto"/>
            <w:left w:val="none" w:sz="0" w:space="0" w:color="auto"/>
            <w:bottom w:val="none" w:sz="0" w:space="0" w:color="auto"/>
            <w:right w:val="none" w:sz="0" w:space="0" w:color="auto"/>
          </w:divBdr>
          <w:divsChild>
            <w:div w:id="881091978">
              <w:marLeft w:val="0"/>
              <w:marRight w:val="0"/>
              <w:marTop w:val="0"/>
              <w:marBottom w:val="0"/>
              <w:divBdr>
                <w:top w:val="none" w:sz="0" w:space="0" w:color="auto"/>
                <w:left w:val="none" w:sz="0" w:space="0" w:color="auto"/>
                <w:bottom w:val="none" w:sz="0" w:space="0" w:color="auto"/>
                <w:right w:val="none" w:sz="0" w:space="0" w:color="auto"/>
              </w:divBdr>
            </w:div>
          </w:divsChild>
        </w:div>
        <w:div w:id="631517249">
          <w:marLeft w:val="0"/>
          <w:marRight w:val="0"/>
          <w:marTop w:val="15"/>
          <w:marBottom w:val="0"/>
          <w:divBdr>
            <w:top w:val="none" w:sz="0" w:space="0" w:color="auto"/>
            <w:left w:val="none" w:sz="0" w:space="0" w:color="auto"/>
            <w:bottom w:val="none" w:sz="0" w:space="0" w:color="auto"/>
            <w:right w:val="none" w:sz="0" w:space="0" w:color="auto"/>
          </w:divBdr>
        </w:div>
        <w:div w:id="875897605">
          <w:marLeft w:val="0"/>
          <w:marRight w:val="0"/>
          <w:marTop w:val="0"/>
          <w:marBottom w:val="0"/>
          <w:divBdr>
            <w:top w:val="none" w:sz="0" w:space="0" w:color="auto"/>
            <w:left w:val="none" w:sz="0" w:space="0" w:color="auto"/>
            <w:bottom w:val="none" w:sz="0" w:space="0" w:color="auto"/>
            <w:right w:val="none" w:sz="0" w:space="0" w:color="auto"/>
          </w:divBdr>
        </w:div>
        <w:div w:id="426467711">
          <w:marLeft w:val="0"/>
          <w:marRight w:val="0"/>
          <w:marTop w:val="30"/>
          <w:marBottom w:val="0"/>
          <w:divBdr>
            <w:top w:val="none" w:sz="0" w:space="0" w:color="auto"/>
            <w:left w:val="none" w:sz="0" w:space="0" w:color="auto"/>
            <w:bottom w:val="none" w:sz="0" w:space="0" w:color="auto"/>
            <w:right w:val="none" w:sz="0" w:space="0" w:color="auto"/>
          </w:divBdr>
          <w:divsChild>
            <w:div w:id="376121614">
              <w:marLeft w:val="0"/>
              <w:marRight w:val="0"/>
              <w:marTop w:val="0"/>
              <w:marBottom w:val="0"/>
              <w:divBdr>
                <w:top w:val="none" w:sz="0" w:space="0" w:color="auto"/>
                <w:left w:val="none" w:sz="0" w:space="0" w:color="auto"/>
                <w:bottom w:val="none" w:sz="0" w:space="0" w:color="auto"/>
                <w:right w:val="none" w:sz="0" w:space="0" w:color="auto"/>
              </w:divBdr>
            </w:div>
          </w:divsChild>
        </w:div>
        <w:div w:id="1462960161">
          <w:marLeft w:val="0"/>
          <w:marRight w:val="0"/>
          <w:marTop w:val="15"/>
          <w:marBottom w:val="0"/>
          <w:divBdr>
            <w:top w:val="none" w:sz="0" w:space="0" w:color="auto"/>
            <w:left w:val="none" w:sz="0" w:space="0" w:color="auto"/>
            <w:bottom w:val="none" w:sz="0" w:space="0" w:color="auto"/>
            <w:right w:val="none" w:sz="0" w:space="0" w:color="auto"/>
          </w:divBdr>
        </w:div>
        <w:div w:id="2004965752">
          <w:marLeft w:val="0"/>
          <w:marRight w:val="0"/>
          <w:marTop w:val="0"/>
          <w:marBottom w:val="0"/>
          <w:divBdr>
            <w:top w:val="none" w:sz="0" w:space="0" w:color="auto"/>
            <w:left w:val="none" w:sz="0" w:space="0" w:color="auto"/>
            <w:bottom w:val="none" w:sz="0" w:space="0" w:color="auto"/>
            <w:right w:val="none" w:sz="0" w:space="0" w:color="auto"/>
          </w:divBdr>
        </w:div>
        <w:div w:id="964651446">
          <w:marLeft w:val="0"/>
          <w:marRight w:val="0"/>
          <w:marTop w:val="30"/>
          <w:marBottom w:val="0"/>
          <w:divBdr>
            <w:top w:val="none" w:sz="0" w:space="0" w:color="auto"/>
            <w:left w:val="none" w:sz="0" w:space="0" w:color="auto"/>
            <w:bottom w:val="none" w:sz="0" w:space="0" w:color="auto"/>
            <w:right w:val="none" w:sz="0" w:space="0" w:color="auto"/>
          </w:divBdr>
          <w:divsChild>
            <w:div w:id="96410877">
              <w:marLeft w:val="0"/>
              <w:marRight w:val="0"/>
              <w:marTop w:val="0"/>
              <w:marBottom w:val="0"/>
              <w:divBdr>
                <w:top w:val="none" w:sz="0" w:space="0" w:color="auto"/>
                <w:left w:val="none" w:sz="0" w:space="0" w:color="auto"/>
                <w:bottom w:val="none" w:sz="0" w:space="0" w:color="auto"/>
                <w:right w:val="none" w:sz="0" w:space="0" w:color="auto"/>
              </w:divBdr>
            </w:div>
          </w:divsChild>
        </w:div>
        <w:div w:id="602029322">
          <w:marLeft w:val="0"/>
          <w:marRight w:val="0"/>
          <w:marTop w:val="15"/>
          <w:marBottom w:val="0"/>
          <w:divBdr>
            <w:top w:val="none" w:sz="0" w:space="0" w:color="auto"/>
            <w:left w:val="none" w:sz="0" w:space="0" w:color="auto"/>
            <w:bottom w:val="none" w:sz="0" w:space="0" w:color="auto"/>
            <w:right w:val="none" w:sz="0" w:space="0" w:color="auto"/>
          </w:divBdr>
        </w:div>
        <w:div w:id="1384333477">
          <w:marLeft w:val="0"/>
          <w:marRight w:val="0"/>
          <w:marTop w:val="0"/>
          <w:marBottom w:val="0"/>
          <w:divBdr>
            <w:top w:val="none" w:sz="0" w:space="0" w:color="auto"/>
            <w:left w:val="none" w:sz="0" w:space="0" w:color="auto"/>
            <w:bottom w:val="none" w:sz="0" w:space="0" w:color="auto"/>
            <w:right w:val="none" w:sz="0" w:space="0" w:color="auto"/>
          </w:divBdr>
        </w:div>
        <w:div w:id="1023362606">
          <w:marLeft w:val="0"/>
          <w:marRight w:val="0"/>
          <w:marTop w:val="30"/>
          <w:marBottom w:val="0"/>
          <w:divBdr>
            <w:top w:val="none" w:sz="0" w:space="0" w:color="auto"/>
            <w:left w:val="none" w:sz="0" w:space="0" w:color="auto"/>
            <w:bottom w:val="none" w:sz="0" w:space="0" w:color="auto"/>
            <w:right w:val="none" w:sz="0" w:space="0" w:color="auto"/>
          </w:divBdr>
          <w:divsChild>
            <w:div w:id="27171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AD0D36-8F85-4642-90DB-EDF08FAEB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716</TotalTime>
  <Pages>7</Pages>
  <Words>2314</Words>
  <Characters>13192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dc:creator>
  <cp:keywords/>
  <dc:description/>
  <cp:lastModifiedBy>Carl</cp:lastModifiedBy>
  <cp:revision>1</cp:revision>
  <dcterms:created xsi:type="dcterms:W3CDTF">2018-03-13T09:54:00Z</dcterms:created>
  <dcterms:modified xsi:type="dcterms:W3CDTF">2018-03-13T21:59:00Z</dcterms:modified>
</cp:coreProperties>
</file>