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454AD" w14:textId="77777777" w:rsidR="00F71B9C" w:rsidRDefault="00F71B9C" w:rsidP="00190062">
      <w:pPr>
        <w:spacing w:line="360" w:lineRule="auto"/>
        <w:jc w:val="center"/>
        <w:rPr>
          <w:rFonts w:ascii="Times New Roman" w:eastAsia="Times New Roman" w:hAnsi="Times New Roman" w:cs="Times New Roman"/>
          <w:b/>
          <w:sz w:val="32"/>
          <w:szCs w:val="32"/>
        </w:rPr>
      </w:pPr>
    </w:p>
    <w:p w14:paraId="5067C185" w14:textId="77777777" w:rsidR="00190062" w:rsidRDefault="00190062" w:rsidP="00190062">
      <w:pPr>
        <w:spacing w:line="360" w:lineRule="auto"/>
        <w:jc w:val="center"/>
        <w:rPr>
          <w:rFonts w:ascii="Times New Roman" w:eastAsia="Times New Roman" w:hAnsi="Times New Roman" w:cs="Times New Roman"/>
          <w:b/>
          <w:sz w:val="32"/>
          <w:szCs w:val="32"/>
        </w:rPr>
      </w:pPr>
    </w:p>
    <w:p w14:paraId="1048428E" w14:textId="77777777" w:rsidR="00190062" w:rsidRDefault="00190062" w:rsidP="00190062">
      <w:pPr>
        <w:spacing w:line="360" w:lineRule="auto"/>
        <w:jc w:val="center"/>
        <w:rPr>
          <w:rFonts w:ascii="Times New Roman" w:eastAsia="Times New Roman" w:hAnsi="Times New Roman" w:cs="Times New Roman"/>
          <w:b/>
          <w:sz w:val="32"/>
          <w:szCs w:val="32"/>
        </w:rPr>
      </w:pPr>
    </w:p>
    <w:p w14:paraId="642A356F" w14:textId="77777777" w:rsidR="00190062" w:rsidRDefault="00190062" w:rsidP="00190062">
      <w:pPr>
        <w:spacing w:line="360" w:lineRule="auto"/>
        <w:jc w:val="center"/>
        <w:rPr>
          <w:rFonts w:ascii="Times New Roman" w:eastAsia="Times New Roman" w:hAnsi="Times New Roman" w:cs="Times New Roman"/>
          <w:b/>
          <w:sz w:val="32"/>
          <w:szCs w:val="32"/>
        </w:rPr>
      </w:pPr>
    </w:p>
    <w:p w14:paraId="33806BDD" w14:textId="77777777" w:rsidR="00190062" w:rsidRDefault="00190062" w:rsidP="00190062">
      <w:pPr>
        <w:spacing w:line="360" w:lineRule="auto"/>
        <w:jc w:val="center"/>
        <w:rPr>
          <w:rFonts w:ascii="Times New Roman" w:eastAsia="Times New Roman" w:hAnsi="Times New Roman" w:cs="Times New Roman"/>
          <w:b/>
          <w:sz w:val="32"/>
          <w:szCs w:val="32"/>
        </w:rPr>
      </w:pPr>
    </w:p>
    <w:p w14:paraId="60006876" w14:textId="77777777" w:rsidR="00190062" w:rsidRDefault="00190062" w:rsidP="00190062">
      <w:pPr>
        <w:spacing w:line="360" w:lineRule="auto"/>
        <w:jc w:val="center"/>
        <w:rPr>
          <w:rFonts w:ascii="Times New Roman" w:eastAsia="Times New Roman" w:hAnsi="Times New Roman" w:cs="Times New Roman"/>
          <w:b/>
          <w:sz w:val="32"/>
          <w:szCs w:val="32"/>
        </w:rPr>
      </w:pPr>
    </w:p>
    <w:p w14:paraId="27F1382E" w14:textId="77777777" w:rsidR="00F71B9C" w:rsidRDefault="00000000" w:rsidP="00190062">
      <w:pPr>
        <w:spacing w:line="360" w:lineRule="auto"/>
        <w:jc w:val="center"/>
        <w:rPr>
          <w:rFonts w:ascii="Times New Roman" w:eastAsia="Times New Roman" w:hAnsi="Times New Roman" w:cs="Times New Roman"/>
          <w:b/>
          <w:sz w:val="32"/>
          <w:szCs w:val="32"/>
        </w:rPr>
      </w:pPr>
      <w:r>
        <w:rPr>
          <w:noProof/>
        </w:rPr>
        <w:drawing>
          <wp:anchor distT="0" distB="0" distL="114300" distR="114300" simplePos="0" relativeHeight="251658240" behindDoc="0" locked="0" layoutInCell="1" hidden="0" allowOverlap="1" wp14:anchorId="25664CB6" wp14:editId="6099AD45">
            <wp:simplePos x="0" y="0"/>
            <wp:positionH relativeFrom="column">
              <wp:posOffset>1895475</wp:posOffset>
            </wp:positionH>
            <wp:positionV relativeFrom="paragraph">
              <wp:posOffset>30510</wp:posOffset>
            </wp:positionV>
            <wp:extent cx="1809750" cy="723900"/>
            <wp:effectExtent l="0" t="0" r="0" b="0"/>
            <wp:wrapSquare wrapText="bothSides" distT="0" distB="0" distL="114300" distR="114300"/>
            <wp:docPr id="6"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6C05138D" w14:textId="77777777" w:rsidR="00F71B9C" w:rsidRDefault="00F71B9C" w:rsidP="00190062">
      <w:pPr>
        <w:spacing w:line="360" w:lineRule="auto"/>
        <w:jc w:val="center"/>
        <w:rPr>
          <w:rFonts w:ascii="Times New Roman" w:eastAsia="Times New Roman" w:hAnsi="Times New Roman" w:cs="Times New Roman"/>
          <w:b/>
          <w:sz w:val="32"/>
          <w:szCs w:val="32"/>
        </w:rPr>
      </w:pPr>
    </w:p>
    <w:p w14:paraId="19CBF612" w14:textId="77777777" w:rsidR="00F71B9C" w:rsidRDefault="00F71B9C" w:rsidP="00190062">
      <w:pPr>
        <w:spacing w:line="360" w:lineRule="auto"/>
        <w:jc w:val="center"/>
        <w:rPr>
          <w:rFonts w:ascii="Times New Roman" w:eastAsia="Times New Roman" w:hAnsi="Times New Roman" w:cs="Times New Roman"/>
          <w:b/>
          <w:sz w:val="32"/>
          <w:szCs w:val="32"/>
        </w:rPr>
      </w:pPr>
    </w:p>
    <w:p w14:paraId="40ABCF1B" w14:textId="77777777" w:rsidR="00F71B9C" w:rsidRDefault="00000000" w:rsidP="0019006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BSc Health and Social Care</w:t>
      </w:r>
    </w:p>
    <w:p w14:paraId="1A350BFD" w14:textId="77777777" w:rsidR="00F71B9C" w:rsidRDefault="00000000" w:rsidP="0019006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Principles of Health and Social Care Practice</w:t>
      </w:r>
    </w:p>
    <w:p w14:paraId="00199FD6" w14:textId="77777777" w:rsidR="00F71B9C" w:rsidRDefault="00000000" w:rsidP="0019006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Component 2: Written Assignment (Report)</w:t>
      </w:r>
    </w:p>
    <w:p w14:paraId="72158DAF" w14:textId="77777777" w:rsidR="00F71B9C" w:rsidRDefault="00F71B9C" w:rsidP="00190062">
      <w:pPr>
        <w:spacing w:line="360" w:lineRule="auto"/>
        <w:jc w:val="center"/>
        <w:rPr>
          <w:rFonts w:ascii="Times New Roman" w:eastAsia="Times New Roman" w:hAnsi="Times New Roman" w:cs="Times New Roman"/>
          <w:b/>
          <w:sz w:val="32"/>
          <w:szCs w:val="32"/>
        </w:rPr>
      </w:pPr>
    </w:p>
    <w:p w14:paraId="3FE97494" w14:textId="77777777" w:rsidR="00F71B9C" w:rsidRDefault="00F71B9C" w:rsidP="00190062">
      <w:pPr>
        <w:spacing w:line="360" w:lineRule="auto"/>
        <w:jc w:val="center"/>
        <w:rPr>
          <w:rFonts w:ascii="Times New Roman" w:eastAsia="Times New Roman" w:hAnsi="Times New Roman" w:cs="Times New Roman"/>
          <w:b/>
          <w:sz w:val="32"/>
          <w:szCs w:val="32"/>
        </w:rPr>
      </w:pPr>
    </w:p>
    <w:p w14:paraId="7A2A1892" w14:textId="77777777" w:rsidR="00F71B9C" w:rsidRDefault="00F71B9C" w:rsidP="00190062">
      <w:pPr>
        <w:spacing w:line="360" w:lineRule="auto"/>
        <w:jc w:val="center"/>
        <w:rPr>
          <w:rFonts w:ascii="Times New Roman" w:eastAsia="Times New Roman" w:hAnsi="Times New Roman" w:cs="Times New Roman"/>
          <w:b/>
          <w:sz w:val="32"/>
          <w:szCs w:val="32"/>
        </w:rPr>
      </w:pPr>
    </w:p>
    <w:p w14:paraId="3BFD8BD4" w14:textId="77777777" w:rsidR="00F71B9C" w:rsidRDefault="00F71B9C" w:rsidP="00190062">
      <w:pPr>
        <w:spacing w:line="360" w:lineRule="auto"/>
        <w:jc w:val="center"/>
        <w:rPr>
          <w:rFonts w:ascii="Times New Roman" w:eastAsia="Times New Roman" w:hAnsi="Times New Roman" w:cs="Times New Roman"/>
          <w:b/>
          <w:sz w:val="32"/>
          <w:szCs w:val="32"/>
        </w:rPr>
      </w:pPr>
    </w:p>
    <w:p w14:paraId="08EA2859" w14:textId="2D1FFCCC" w:rsidR="00F71B9C" w:rsidRDefault="00000000" w:rsidP="0019006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r w:rsidR="008F2B18">
        <w:rPr>
          <w:rFonts w:ascii="Times New Roman" w:eastAsia="Times New Roman" w:hAnsi="Times New Roman" w:cs="Times New Roman"/>
          <w:b/>
          <w:sz w:val="24"/>
          <w:szCs w:val="24"/>
        </w:rPr>
        <w:t xml:space="preserve"> Lilieana Lavinia Victoria</w:t>
      </w:r>
    </w:p>
    <w:p w14:paraId="1A1A9A21" w14:textId="0F3B39C0" w:rsidR="00F71B9C" w:rsidRDefault="00000000" w:rsidP="0019006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ID: </w:t>
      </w:r>
      <w:r w:rsidR="008F2B18">
        <w:rPr>
          <w:rFonts w:ascii="Times New Roman" w:eastAsia="Times New Roman" w:hAnsi="Times New Roman" w:cs="Times New Roman"/>
          <w:b/>
          <w:sz w:val="24"/>
          <w:szCs w:val="24"/>
        </w:rPr>
        <w:t>2412370</w:t>
      </w:r>
    </w:p>
    <w:p w14:paraId="598B57E4" w14:textId="7CA0C61C" w:rsidR="008F2B18" w:rsidRDefault="008F2B18" w:rsidP="0019006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 Junaid Shaikh</w:t>
      </w:r>
    </w:p>
    <w:p w14:paraId="09979585" w14:textId="77777777" w:rsidR="00F71B9C" w:rsidRDefault="00000000" w:rsidP="00190062">
      <w:pPr>
        <w:rPr>
          <w:rFonts w:ascii="Times New Roman" w:eastAsia="Times New Roman" w:hAnsi="Times New Roman" w:cs="Times New Roman"/>
          <w:b/>
          <w:sz w:val="24"/>
          <w:szCs w:val="24"/>
          <w:highlight w:val="white"/>
        </w:rPr>
      </w:pPr>
      <w:r>
        <w:br w:type="page"/>
      </w:r>
    </w:p>
    <w:p w14:paraId="174FC545" w14:textId="77777777" w:rsidR="00F71B9C" w:rsidRDefault="00000000" w:rsidP="00190062">
      <w:pPr>
        <w:keepNext/>
        <w:keepLines/>
        <w:pBdr>
          <w:top w:val="nil"/>
          <w:left w:val="nil"/>
          <w:bottom w:val="nil"/>
          <w:right w:val="nil"/>
          <w:between w:val="nil"/>
        </w:pBdr>
        <w:spacing w:line="360" w:lineRule="auto"/>
        <w:jc w:val="center"/>
        <w:rPr>
          <w:rFonts w:ascii="Times New Roman" w:eastAsia="Times New Roman" w:hAnsi="Times New Roman" w:cs="Times New Roman"/>
          <w:b/>
          <w:color w:val="366091"/>
          <w:sz w:val="24"/>
          <w:szCs w:val="24"/>
        </w:rPr>
      </w:pPr>
      <w:r>
        <w:rPr>
          <w:rFonts w:ascii="Times New Roman" w:eastAsia="Times New Roman" w:hAnsi="Times New Roman" w:cs="Times New Roman"/>
          <w:b/>
          <w:color w:val="000000"/>
          <w:sz w:val="24"/>
          <w:szCs w:val="24"/>
        </w:rPr>
        <w:lastRenderedPageBreak/>
        <w:t>Table of Contents</w:t>
      </w:r>
    </w:p>
    <w:sdt>
      <w:sdtPr>
        <w:id w:val="18253721"/>
        <w:docPartObj>
          <w:docPartGallery w:val="Table of Contents"/>
          <w:docPartUnique/>
        </w:docPartObj>
      </w:sdtPr>
      <w:sdtContent>
        <w:p w14:paraId="6A4F9326" w14:textId="77777777" w:rsidR="00F71B9C" w:rsidRDefault="00000000"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z517zm9rikm8">
            <w:r w:rsidR="00F71B9C">
              <w:rPr>
                <w:rFonts w:ascii="Times New Roman" w:eastAsia="Times New Roman" w:hAnsi="Times New Roman" w:cs="Times New Roman"/>
                <w:color w:val="000000"/>
                <w:sz w:val="24"/>
                <w:szCs w:val="24"/>
                <w:highlight w:val="white"/>
              </w:rPr>
              <w:t>Introduction</w:t>
            </w:r>
          </w:hyperlink>
          <w:hyperlink w:anchor="_heading=h.z517zm9rikm8">
            <w:r w:rsidR="00F71B9C">
              <w:rPr>
                <w:rFonts w:ascii="Times New Roman" w:eastAsia="Times New Roman" w:hAnsi="Times New Roman" w:cs="Times New Roman"/>
                <w:color w:val="000000"/>
                <w:sz w:val="24"/>
                <w:szCs w:val="24"/>
              </w:rPr>
              <w:tab/>
              <w:t>3</w:t>
            </w:r>
          </w:hyperlink>
        </w:p>
        <w:p w14:paraId="09CD03A8"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wgm3yk9cq422">
            <w:r>
              <w:rPr>
                <w:rFonts w:ascii="Times New Roman" w:eastAsia="Times New Roman" w:hAnsi="Times New Roman" w:cs="Times New Roman"/>
                <w:color w:val="000000"/>
                <w:sz w:val="24"/>
                <w:szCs w:val="24"/>
                <w:highlight w:val="white"/>
              </w:rPr>
              <w:t>Person-centred care and its advantages and shortcomings as a practice</w:t>
            </w:r>
          </w:hyperlink>
          <w:hyperlink w:anchor="_heading=h.wgm3yk9cq422">
            <w:r>
              <w:rPr>
                <w:rFonts w:ascii="Times New Roman" w:eastAsia="Times New Roman" w:hAnsi="Times New Roman" w:cs="Times New Roman"/>
                <w:color w:val="000000"/>
                <w:sz w:val="24"/>
                <w:szCs w:val="24"/>
              </w:rPr>
              <w:tab/>
              <w:t>3</w:t>
            </w:r>
          </w:hyperlink>
        </w:p>
        <w:p w14:paraId="1911F842"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1w6u0d6stby">
            <w:r>
              <w:rPr>
                <w:rFonts w:ascii="Times New Roman" w:eastAsia="Times New Roman" w:hAnsi="Times New Roman" w:cs="Times New Roman"/>
                <w:color w:val="000000"/>
                <w:sz w:val="24"/>
                <w:szCs w:val="24"/>
                <w:highlight w:val="white"/>
              </w:rPr>
              <w:t>The Social Model of health underpinning PCC</w:t>
            </w:r>
          </w:hyperlink>
          <w:hyperlink w:anchor="_heading=h.1w6u0d6stby">
            <w:r>
              <w:rPr>
                <w:rFonts w:ascii="Times New Roman" w:eastAsia="Times New Roman" w:hAnsi="Times New Roman" w:cs="Times New Roman"/>
                <w:color w:val="000000"/>
                <w:sz w:val="24"/>
                <w:szCs w:val="24"/>
              </w:rPr>
              <w:tab/>
              <w:t>4</w:t>
            </w:r>
          </w:hyperlink>
        </w:p>
        <w:p w14:paraId="616DC69A"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uhbugcpkacqy">
            <w:r>
              <w:rPr>
                <w:rFonts w:ascii="Times New Roman" w:eastAsia="Times New Roman" w:hAnsi="Times New Roman" w:cs="Times New Roman"/>
                <w:color w:val="000000"/>
                <w:sz w:val="24"/>
                <w:szCs w:val="24"/>
              </w:rPr>
              <w:t>Ethical fundamentals of health and social care</w:t>
            </w:r>
            <w:r>
              <w:rPr>
                <w:rFonts w:ascii="Times New Roman" w:eastAsia="Times New Roman" w:hAnsi="Times New Roman" w:cs="Times New Roman"/>
                <w:color w:val="000000"/>
                <w:sz w:val="24"/>
                <w:szCs w:val="24"/>
              </w:rPr>
              <w:tab/>
              <w:t>5</w:t>
            </w:r>
          </w:hyperlink>
        </w:p>
        <w:p w14:paraId="4B68FEDA"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a2gzbyv5bguv">
            <w:r>
              <w:rPr>
                <w:rFonts w:ascii="Times New Roman" w:eastAsia="Times New Roman" w:hAnsi="Times New Roman" w:cs="Times New Roman"/>
                <w:color w:val="000000"/>
                <w:sz w:val="24"/>
                <w:szCs w:val="24"/>
                <w:highlight w:val="white"/>
              </w:rPr>
              <w:t>Partnership working in health and social care</w:t>
            </w:r>
          </w:hyperlink>
          <w:hyperlink w:anchor="_heading=h.a2gzbyv5bguv">
            <w:r>
              <w:rPr>
                <w:rFonts w:ascii="Times New Roman" w:eastAsia="Times New Roman" w:hAnsi="Times New Roman" w:cs="Times New Roman"/>
                <w:color w:val="000000"/>
                <w:sz w:val="24"/>
                <w:szCs w:val="24"/>
              </w:rPr>
              <w:tab/>
              <w:t>6</w:t>
            </w:r>
          </w:hyperlink>
        </w:p>
        <w:p w14:paraId="1605C32B"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lcnsemglm0oh">
            <w:r>
              <w:rPr>
                <w:rFonts w:ascii="Times New Roman" w:eastAsia="Times New Roman" w:hAnsi="Times New Roman" w:cs="Times New Roman"/>
                <w:color w:val="000000"/>
                <w:sz w:val="24"/>
                <w:szCs w:val="24"/>
                <w:highlight w:val="white"/>
              </w:rPr>
              <w:t>Application of partnership working in a practical health and social care setting 300</w:t>
            </w:r>
          </w:hyperlink>
          <w:hyperlink w:anchor="_heading=h.lcnsemglm0oh">
            <w:r>
              <w:rPr>
                <w:rFonts w:ascii="Times New Roman" w:eastAsia="Times New Roman" w:hAnsi="Times New Roman" w:cs="Times New Roman"/>
                <w:color w:val="000000"/>
                <w:sz w:val="24"/>
                <w:szCs w:val="24"/>
              </w:rPr>
              <w:tab/>
              <w:t>8</w:t>
            </w:r>
          </w:hyperlink>
        </w:p>
        <w:p w14:paraId="761D1785"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hwrztn1fiooc">
            <w:r>
              <w:rPr>
                <w:rFonts w:ascii="Times New Roman" w:eastAsia="Times New Roman" w:hAnsi="Times New Roman" w:cs="Times New Roman"/>
                <w:color w:val="000000"/>
                <w:sz w:val="24"/>
                <w:szCs w:val="24"/>
                <w:highlight w:val="white"/>
              </w:rPr>
              <w:t>Policy and legislation in relation to PCC and PW</w:t>
            </w:r>
          </w:hyperlink>
          <w:hyperlink w:anchor="_heading=h.hwrztn1fiooc">
            <w:r>
              <w:rPr>
                <w:rFonts w:ascii="Times New Roman" w:eastAsia="Times New Roman" w:hAnsi="Times New Roman" w:cs="Times New Roman"/>
                <w:color w:val="000000"/>
                <w:sz w:val="24"/>
                <w:szCs w:val="24"/>
              </w:rPr>
              <w:tab/>
              <w:t>9</w:t>
            </w:r>
          </w:hyperlink>
        </w:p>
        <w:p w14:paraId="551C2D6B"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8g3dhqr7erna">
            <w:r>
              <w:rPr>
                <w:rFonts w:ascii="Times New Roman" w:eastAsia="Times New Roman" w:hAnsi="Times New Roman" w:cs="Times New Roman"/>
                <w:color w:val="000000"/>
                <w:sz w:val="24"/>
                <w:szCs w:val="24"/>
                <w:highlight w:val="white"/>
              </w:rPr>
              <w:t>Recommendations for future development of PCC and partnership working in the UK 300</w:t>
            </w:r>
          </w:hyperlink>
          <w:hyperlink w:anchor="_heading=h.8g3dhqr7erna">
            <w:r>
              <w:rPr>
                <w:rFonts w:ascii="Times New Roman" w:eastAsia="Times New Roman" w:hAnsi="Times New Roman" w:cs="Times New Roman"/>
                <w:color w:val="000000"/>
                <w:sz w:val="24"/>
                <w:szCs w:val="24"/>
              </w:rPr>
              <w:tab/>
              <w:t>10</w:t>
            </w:r>
          </w:hyperlink>
        </w:p>
        <w:p w14:paraId="3507557D"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4n04jq25frok">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11</w:t>
            </w:r>
          </w:hyperlink>
        </w:p>
        <w:p w14:paraId="75675A4C" w14:textId="77777777" w:rsidR="00F71B9C" w:rsidRDefault="00F71B9C" w:rsidP="00190062">
          <w:pPr>
            <w:pBdr>
              <w:top w:val="nil"/>
              <w:left w:val="nil"/>
              <w:bottom w:val="nil"/>
              <w:right w:val="nil"/>
              <w:between w:val="nil"/>
            </w:pBdr>
            <w:tabs>
              <w:tab w:val="right" w:leader="dot" w:pos="9350"/>
            </w:tabs>
            <w:spacing w:line="360" w:lineRule="auto"/>
            <w:jc w:val="both"/>
            <w:rPr>
              <w:rFonts w:ascii="Times New Roman" w:eastAsia="Times New Roman" w:hAnsi="Times New Roman" w:cs="Times New Roman"/>
              <w:color w:val="000000"/>
              <w:sz w:val="24"/>
              <w:szCs w:val="24"/>
            </w:rPr>
          </w:pPr>
          <w:hyperlink w:anchor="_heading=h.e4zjlt11trz8">
            <w:r>
              <w:rPr>
                <w:rFonts w:ascii="Times New Roman" w:eastAsia="Times New Roman" w:hAnsi="Times New Roman" w:cs="Times New Roman"/>
                <w:color w:val="000000"/>
                <w:sz w:val="24"/>
                <w:szCs w:val="24"/>
                <w:highlight w:val="white"/>
              </w:rPr>
              <w:t>References</w:t>
            </w:r>
          </w:hyperlink>
          <w:hyperlink w:anchor="_heading=h.e4zjlt11trz8">
            <w:r>
              <w:rPr>
                <w:rFonts w:ascii="Times New Roman" w:eastAsia="Times New Roman" w:hAnsi="Times New Roman" w:cs="Times New Roman"/>
                <w:color w:val="000000"/>
                <w:sz w:val="24"/>
                <w:szCs w:val="24"/>
              </w:rPr>
              <w:tab/>
              <w:t>12</w:t>
            </w:r>
          </w:hyperlink>
        </w:p>
        <w:p w14:paraId="1900172A" w14:textId="77777777" w:rsidR="00F71B9C" w:rsidRDefault="00000000" w:rsidP="00190062">
          <w:pPr>
            <w:spacing w:line="360" w:lineRule="auto"/>
            <w:jc w:val="both"/>
          </w:pPr>
          <w:r>
            <w:fldChar w:fldCharType="end"/>
          </w:r>
        </w:p>
      </w:sdtContent>
    </w:sdt>
    <w:p w14:paraId="33855BFC" w14:textId="77777777" w:rsidR="00F71B9C" w:rsidRDefault="00000000" w:rsidP="00190062">
      <w:pPr>
        <w:rPr>
          <w:rFonts w:ascii="Times New Roman" w:eastAsia="Times New Roman" w:hAnsi="Times New Roman" w:cs="Times New Roman"/>
          <w:b/>
          <w:sz w:val="24"/>
          <w:szCs w:val="24"/>
          <w:highlight w:val="white"/>
        </w:rPr>
      </w:pPr>
      <w:r>
        <w:br w:type="page"/>
      </w:r>
    </w:p>
    <w:p w14:paraId="1E268F17" w14:textId="77777777" w:rsidR="00F71B9C" w:rsidRDefault="00000000" w:rsidP="00190062">
      <w:pPr>
        <w:pStyle w:val="Heading1"/>
        <w:rPr>
          <w:highlight w:val="white"/>
        </w:rPr>
      </w:pPr>
      <w:bookmarkStart w:id="0" w:name="_heading=h.z517zm9rikm8" w:colFirst="0" w:colLast="0"/>
      <w:bookmarkEnd w:id="0"/>
      <w:r>
        <w:rPr>
          <w:highlight w:val="white"/>
        </w:rPr>
        <w:lastRenderedPageBreak/>
        <w:t>Introduction</w:t>
      </w:r>
    </w:p>
    <w:p w14:paraId="484C3634"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1" w:name="_heading=h.wgm3yk9cq422" w:colFirst="0" w:colLast="0"/>
      <w:bookmarkEnd w:id="1"/>
      <w:r>
        <w:rPr>
          <w:rFonts w:ascii="Times New Roman" w:eastAsia="Times New Roman" w:hAnsi="Times New Roman" w:cs="Times New Roman"/>
          <w:color w:val="000000"/>
          <w:sz w:val="24"/>
          <w:szCs w:val="24"/>
        </w:rPr>
        <w:t>There is an increased emphasis on the individual needs and collaboration in health and social care. Person-Centred Care (PCC) and Partnership Working (PW) are the principles that are tightly connected with the main trends in modern health and social care in the United Kingdom (Khatri et al., 2023). They are founded on the requirements and preferences of individuals and encourage collaboration of professionals and organisations.</w:t>
      </w:r>
    </w:p>
    <w:p w14:paraId="2EC8425B" w14:textId="77777777" w:rsidR="00F71B9C" w:rsidRDefault="00000000" w:rsidP="00190062">
      <w:pPr>
        <w:pStyle w:val="Heading1"/>
        <w:rPr>
          <w:highlight w:val="white"/>
        </w:rPr>
      </w:pPr>
      <w:r>
        <w:rPr>
          <w:highlight w:val="white"/>
        </w:rPr>
        <w:t>Person-centred care and its advantages and shortcomings as a practice</w:t>
      </w:r>
    </w:p>
    <w:p w14:paraId="53A67240"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Person-Centred Care (PCC) is a concept that places the person at the centre of the care delivery model, where all decisions regarding clinical and supportive care are based on the values, preferences, and needs of the individual (Martyushev-</w:t>
      </w:r>
      <w:proofErr w:type="spellStart"/>
      <w:r>
        <w:rPr>
          <w:rFonts w:ascii="Times New Roman" w:eastAsia="Times New Roman" w:hAnsi="Times New Roman" w:cs="Times New Roman"/>
          <w:color w:val="111111"/>
          <w:sz w:val="24"/>
          <w:szCs w:val="24"/>
          <w:highlight w:val="white"/>
        </w:rPr>
        <w:t>Poklad</w:t>
      </w:r>
      <w:proofErr w:type="spellEnd"/>
      <w:r>
        <w:rPr>
          <w:rFonts w:ascii="Times New Roman" w:eastAsia="Times New Roman" w:hAnsi="Times New Roman" w:cs="Times New Roman"/>
          <w:color w:val="111111"/>
          <w:sz w:val="24"/>
          <w:szCs w:val="24"/>
          <w:highlight w:val="white"/>
        </w:rPr>
        <w:t xml:space="preserve"> 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color w:val="111111"/>
          <w:sz w:val="24"/>
          <w:szCs w:val="24"/>
          <w:highlight w:val="white"/>
        </w:rPr>
        <w: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It puts special focus on respect, empathy, shared decision-making, and collaboration between service users and professionals.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In place of seeing the patient as a passive recipient of care, PCC views them as a partner with unique experiences, goals, and strengths. In the UK, PCC aligns with Health and Social Care policies by improving patient involvement, adherence to care plans, and communication, while supporting Integrated Care Systems and shared decision-making (CQC, 2023). Challenges include workforce shortages, limited funding, time pressures, and balancing individual preferences with organisational and clinical priorities.</w:t>
      </w:r>
    </w:p>
    <w:p w14:paraId="3379EF3F"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111111"/>
          <w:sz w:val="24"/>
          <w:szCs w:val="24"/>
          <w:highlight w:val="white"/>
        </w:rPr>
        <w:t>Benefits</w:t>
      </w:r>
      <w:r>
        <w:rPr>
          <w:rFonts w:ascii="Times New Roman" w:eastAsia="Times New Roman" w:hAnsi="Times New Roman" w:cs="Times New Roman"/>
          <w:b/>
          <w:color w:val="111111"/>
          <w:sz w:val="24"/>
          <w:szCs w:val="24"/>
          <w:highlight w:val="white"/>
        </w:rPr>
        <w:t>:</w:t>
      </w:r>
      <w:r>
        <w:rPr>
          <w:rFonts w:ascii="Times New Roman" w:eastAsia="Times New Roman" w:hAnsi="Times New Roman" w:cs="Times New Roman"/>
          <w:color w:val="111111"/>
          <w:sz w:val="24"/>
          <w:szCs w:val="24"/>
          <w:highlight w:val="white"/>
        </w:rPr>
        <w:t xml:space="preserve"> </w:t>
      </w:r>
      <w:r>
        <w:rPr>
          <w:rFonts w:ascii="Times New Roman" w:eastAsia="Times New Roman" w:hAnsi="Times New Roman" w:cs="Times New Roman"/>
          <w:color w:val="000000"/>
          <w:sz w:val="24"/>
          <w:szCs w:val="24"/>
        </w:rPr>
        <w:t>The concept of person-centred care has been linked to higher levels of patient satisfaction, trust, and engagement, which lead to a higher level of compliance with the treatment and better health outcomes (</w:t>
      </w:r>
      <w:proofErr w:type="spellStart"/>
      <w:r>
        <w:rPr>
          <w:rFonts w:ascii="Times New Roman" w:eastAsia="Times New Roman" w:hAnsi="Times New Roman" w:cs="Times New Roman"/>
          <w:color w:val="000000"/>
          <w:sz w:val="24"/>
          <w:szCs w:val="24"/>
        </w:rPr>
        <w:t>Sgaard</w:t>
      </w:r>
      <w:proofErr w:type="spellEnd"/>
      <w:r>
        <w:rPr>
          <w:rFonts w:ascii="Times New Roman" w:eastAsia="Times New Roman" w:hAnsi="Times New Roman" w:cs="Times New Roman"/>
          <w:color w:val="000000"/>
          <w:sz w:val="24"/>
          <w:szCs w:val="24"/>
        </w:rPr>
        <w:t xml:space="preserve"> et al., 2021). Person-centred care is associated with a better level of involvement with the patient, and 56 per cent of patients in the UK claimed to have been completely involved in the decisions, improving treatment adherence, trust, satisfaction, and decreasing the number of delayed discharges by 9 per cent (Nuffield Trust, 2024). This shows the importance of PCC as a factor in enhancing the healthcare outcomes in the UK.</w:t>
      </w:r>
    </w:p>
    <w:p w14:paraId="67DC103D"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i/>
          <w:color w:val="111111"/>
          <w:sz w:val="24"/>
          <w:szCs w:val="24"/>
          <w:highlight w:val="white"/>
        </w:rPr>
        <w:t>Limitations</w:t>
      </w:r>
      <w:r>
        <w:rPr>
          <w:rFonts w:ascii="Times New Roman" w:eastAsia="Times New Roman" w:hAnsi="Times New Roman" w:cs="Times New Roman"/>
          <w:color w:val="111111"/>
          <w:sz w:val="24"/>
          <w:szCs w:val="24"/>
          <w:highlight w:val="white"/>
        </w:rPr>
        <w:t>: The implementation of PCC may, however, pose a challenge due to time constraints, heavy workloads, and inadequate resources within the healthcare setup (</w:t>
      </w:r>
      <w:proofErr w:type="spellStart"/>
      <w:r>
        <w:rPr>
          <w:rFonts w:ascii="Times New Roman" w:eastAsia="Times New Roman" w:hAnsi="Times New Roman" w:cs="Times New Roman"/>
          <w:color w:val="222222"/>
          <w:sz w:val="24"/>
          <w:szCs w:val="24"/>
          <w:highlight w:val="white"/>
        </w:rPr>
        <w:t>Kvæl</w:t>
      </w:r>
      <w:proofErr w:type="spellEnd"/>
      <w:r>
        <w:rPr>
          <w:rFonts w:ascii="Times New Roman" w:eastAsia="Times New Roman" w:hAnsi="Times New Roman" w:cs="Times New Roman"/>
          <w:color w:val="222222"/>
          <w:sz w:val="24"/>
          <w:szCs w:val="24"/>
          <w:highlight w:val="white"/>
        </w:rPr>
        <w:t xml:space="preserve"> et al., 2022)</w:t>
      </w:r>
      <w:r>
        <w:rPr>
          <w:rFonts w:ascii="Times New Roman" w:eastAsia="Times New Roman" w:hAnsi="Times New Roman" w:cs="Times New Roman"/>
          <w:color w:val="111111"/>
          <w:sz w:val="24"/>
          <w:szCs w:val="24"/>
          <w:highlight w:val="white"/>
        </w:rPr>
        <w: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Professionals can face a challenge in prioritising patient preferences over clinical instructions or organisational interests.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Moreover, its effectiveness may be impaired by a shortage of staff education or continuity of care.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In spite of these difficulties, PCC is needed to provide high-quality, compassionate, and holistic health and social care, respecting the rights and choices of every person.</w:t>
      </w:r>
    </w:p>
    <w:p w14:paraId="0067D186" w14:textId="77777777" w:rsidR="00F71B9C" w:rsidRDefault="00000000" w:rsidP="00190062">
      <w:pPr>
        <w:pStyle w:val="Heading1"/>
        <w:rPr>
          <w:highlight w:val="white"/>
        </w:rPr>
      </w:pPr>
      <w:bookmarkStart w:id="2" w:name="_heading=h.1w6u0d6stby" w:colFirst="0" w:colLast="0"/>
      <w:bookmarkEnd w:id="2"/>
      <w:r>
        <w:rPr>
          <w:highlight w:val="white"/>
        </w:rPr>
        <w:lastRenderedPageBreak/>
        <w:t>The Social Model of health underpinning PCC</w:t>
      </w:r>
    </w:p>
    <w:p w14:paraId="29DDC198"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Social Model of Health focuses on the social, economic, and environmental determinants of well-being, not only a biological disease (Rahaman et al., 2024). The theory encourages holistic treatment of the patient since it focuses on social determinants and personal needs. The Social Model of Health is also rather compatible with Person-Centred Care (PCC) because it pays more attention to social, economic, and environmental determinants of health, rather than disease or individual pathology (Martyushev-</w:t>
      </w:r>
      <w:proofErr w:type="spellStart"/>
      <w:r>
        <w:rPr>
          <w:rFonts w:ascii="Times New Roman" w:eastAsia="Times New Roman" w:hAnsi="Times New Roman" w:cs="Times New Roman"/>
          <w:color w:val="000000"/>
          <w:sz w:val="24"/>
          <w:szCs w:val="24"/>
        </w:rPr>
        <w:t>Poklad</w:t>
      </w:r>
      <w:proofErr w:type="spellEnd"/>
      <w:r>
        <w:rPr>
          <w:rFonts w:ascii="Times New Roman" w:eastAsia="Times New Roman" w:hAnsi="Times New Roman" w:cs="Times New Roman"/>
          <w:color w:val="000000"/>
          <w:sz w:val="24"/>
          <w:szCs w:val="24"/>
        </w:rPr>
        <w:t xml:space="preserve"> et al., 2022). Compared to the Medical Model, Huda (2021) described how a diagnosis and treatment receive precedence in place of the Social Model, which recognizes that social aspects such as housing, income, education, social support, and community participation play a key role in defining well-being.</w:t>
      </w:r>
    </w:p>
    <w:p w14:paraId="3B58BBBD"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noProof/>
          <w:color w:val="111111"/>
          <w:sz w:val="24"/>
          <w:szCs w:val="24"/>
          <w:highlight w:val="white"/>
        </w:rPr>
        <w:drawing>
          <wp:inline distT="114300" distB="114300" distL="114300" distR="114300" wp14:anchorId="02991107" wp14:editId="452EEEAB">
            <wp:extent cx="4101285" cy="3890963"/>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101285" cy="3890963"/>
                    </a:xfrm>
                    <a:prstGeom prst="rect">
                      <a:avLst/>
                    </a:prstGeom>
                    <a:ln w="12700">
                      <a:solidFill>
                        <a:srgbClr val="000000"/>
                      </a:solidFill>
                      <a:prstDash val="solid"/>
                    </a:ln>
                  </pic:spPr>
                </pic:pic>
              </a:graphicData>
            </a:graphic>
          </wp:inline>
        </w:drawing>
      </w:r>
    </w:p>
    <w:p w14:paraId="56270984"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Figure 1: Social Model of Health</w:t>
      </w:r>
    </w:p>
    <w:p w14:paraId="32A4EE36"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(Source: Author)</w:t>
      </w:r>
    </w:p>
    <w:p w14:paraId="7C535E9C"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In practice, the Social Model of Health promotes the idea that healthcare professionals should recognise patients as individuals and engage them in making decisions regarding their care, which is the PCC principle of shared decision-making (</w:t>
      </w:r>
      <w:r>
        <w:rPr>
          <w:rFonts w:ascii="Times New Roman" w:eastAsia="Times New Roman" w:hAnsi="Times New Roman" w:cs="Times New Roman"/>
          <w:color w:val="222222"/>
          <w:sz w:val="24"/>
          <w:szCs w:val="24"/>
          <w:highlight w:val="white"/>
        </w:rPr>
        <w:t>Jones et al., 2022)</w:t>
      </w:r>
      <w:r>
        <w:rPr>
          <w:rFonts w:ascii="Times New Roman" w:eastAsia="Times New Roman" w:hAnsi="Times New Roman" w:cs="Times New Roman"/>
          <w:color w:val="111111"/>
          <w:sz w:val="24"/>
          <w:szCs w:val="24"/>
          <w:highlight w:val="white"/>
        </w:rPr>
        <w: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 xml:space="preserve">In the UK, as an example, in the course of the health promotion programs like </w:t>
      </w:r>
      <w:r>
        <w:rPr>
          <w:rFonts w:ascii="Times New Roman" w:eastAsia="Times New Roman" w:hAnsi="Times New Roman" w:cs="Times New Roman"/>
          <w:b/>
          <w:i/>
          <w:color w:val="111111"/>
          <w:sz w:val="24"/>
          <w:szCs w:val="24"/>
          <w:highlight w:val="white"/>
        </w:rPr>
        <w:t>Better Care Fund</w:t>
      </w:r>
      <w:r>
        <w:rPr>
          <w:rFonts w:ascii="Times New Roman" w:eastAsia="Times New Roman" w:hAnsi="Times New Roman" w:cs="Times New Roman"/>
          <w:color w:val="111111"/>
          <w:sz w:val="24"/>
          <w:szCs w:val="24"/>
          <w:highlight w:val="white"/>
        </w:rPr>
        <w:t xml:space="preserve">, the services of health and </w:t>
      </w:r>
      <w:r>
        <w:rPr>
          <w:rFonts w:ascii="Times New Roman" w:eastAsia="Times New Roman" w:hAnsi="Times New Roman" w:cs="Times New Roman"/>
          <w:color w:val="111111"/>
          <w:sz w:val="24"/>
          <w:szCs w:val="24"/>
          <w:highlight w:val="white"/>
        </w:rPr>
        <w:lastRenderedPageBreak/>
        <w:t>social care are combined to provide care to older adults at home, since social factors and health results are interconnected (</w:t>
      </w:r>
      <w:r>
        <w:rPr>
          <w:rFonts w:ascii="Times New Roman" w:eastAsia="Times New Roman" w:hAnsi="Times New Roman" w:cs="Times New Roman"/>
          <w:color w:val="222222"/>
          <w:sz w:val="24"/>
          <w:szCs w:val="24"/>
          <w:highlight w:val="white"/>
        </w:rPr>
        <w:t>Miller et al., 2021)</w:t>
      </w:r>
      <w:r>
        <w:rPr>
          <w:rFonts w:ascii="Times New Roman" w:eastAsia="Times New Roman" w:hAnsi="Times New Roman" w:cs="Times New Roman"/>
          <w:color w:val="111111"/>
          <w:sz w:val="24"/>
          <w:szCs w:val="24"/>
          <w:highlight w:val="white"/>
        </w:rPr>
        <w: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However, the use of the Social Model in PCC is problematic.</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It involves quality interprofessional collaboration and cooperation in the work of various healthcare sectors that may be impeded by the existing fragmented services (service gaps), resource shortage, and organisational silos.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Besides, it is complicated to measure outputs concerning social determinants because an increase in housing, income, or social support could have an indirect impact on health indicators.</w:t>
      </w:r>
    </w:p>
    <w:p w14:paraId="25619470" w14:textId="77777777" w:rsidR="00F71B9C" w:rsidRDefault="00000000" w:rsidP="00190062">
      <w:pPr>
        <w:pStyle w:val="Heading1"/>
      </w:pPr>
      <w:bookmarkStart w:id="3" w:name="_heading=h.uhbugcpkacqy" w:colFirst="0" w:colLast="0"/>
      <w:bookmarkEnd w:id="3"/>
      <w:r>
        <w:t>Ethical fundamentals of health and social care</w:t>
      </w:r>
    </w:p>
    <w:p w14:paraId="2B8859A4" w14:textId="77777777" w:rsidR="00F71B9C" w:rsidRDefault="00000000" w:rsidP="00190062">
      <w:pPr>
        <w:pBdr>
          <w:top w:val="nil"/>
          <w:left w:val="nil"/>
          <w:bottom w:val="nil"/>
          <w:right w:val="nil"/>
          <w:between w:val="nil"/>
        </w:pBdr>
        <w:spacing w:line="360" w:lineRule="auto"/>
        <w:jc w:val="both"/>
        <w:rPr>
          <w:color w:val="222222"/>
          <w:sz w:val="20"/>
          <w:szCs w:val="20"/>
          <w:highlight w:val="white"/>
        </w:rPr>
      </w:pPr>
      <w:r>
        <w:rPr>
          <w:rFonts w:ascii="Times New Roman" w:eastAsia="Times New Roman" w:hAnsi="Times New Roman" w:cs="Times New Roman"/>
          <w:color w:val="111111"/>
          <w:sz w:val="24"/>
          <w:szCs w:val="24"/>
          <w:highlight w:val="white"/>
        </w:rPr>
        <w:t>The principles in health and social care have several ethical foundations that are based on certain core principles underpinning professional behaviour, defending the rights of people as well as encouraging fairness and dignity (</w:t>
      </w:r>
      <w:r>
        <w:rPr>
          <w:rFonts w:ascii="Times New Roman" w:eastAsia="Times New Roman" w:hAnsi="Times New Roman" w:cs="Times New Roman"/>
          <w:color w:val="222222"/>
          <w:sz w:val="24"/>
          <w:szCs w:val="24"/>
          <w:highlight w:val="white"/>
        </w:rPr>
        <w:t>O’Sullivan et al., 2022)</w:t>
      </w:r>
      <w:r>
        <w:rPr>
          <w:rFonts w:ascii="Times New Roman" w:eastAsia="Times New Roman" w:hAnsi="Times New Roman" w:cs="Times New Roman"/>
          <w:color w:val="111111"/>
          <w:sz w:val="24"/>
          <w:szCs w:val="24"/>
          <w:highlight w:val="white"/>
        </w:rPr>
        <w: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 xml:space="preserve">The four principal ethical principles, which include </w:t>
      </w:r>
      <w:r>
        <w:rPr>
          <w:rFonts w:ascii="Times New Roman" w:eastAsia="Times New Roman" w:hAnsi="Times New Roman" w:cs="Times New Roman"/>
          <w:b/>
          <w:i/>
          <w:color w:val="111111"/>
          <w:sz w:val="24"/>
          <w:szCs w:val="24"/>
          <w:highlight w:val="white"/>
        </w:rPr>
        <w:t>autonomy, beneficence, non-maleficence, and justice</w:t>
      </w:r>
      <w:r>
        <w:rPr>
          <w:rFonts w:ascii="Times New Roman" w:eastAsia="Times New Roman" w:hAnsi="Times New Roman" w:cs="Times New Roman"/>
          <w:color w:val="111111"/>
          <w:sz w:val="24"/>
          <w:szCs w:val="24"/>
          <w:highlight w:val="white"/>
        </w:rPr>
        <w:t>, underlie practice.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b/>
          <w:color w:val="111111"/>
          <w:sz w:val="24"/>
          <w:szCs w:val="24"/>
          <w:highlight w:val="white"/>
        </w:rPr>
        <w:t xml:space="preserve">Autonomy </w:t>
      </w:r>
      <w:r>
        <w:rPr>
          <w:rFonts w:ascii="Times New Roman" w:eastAsia="Times New Roman" w:hAnsi="Times New Roman" w:cs="Times New Roman"/>
          <w:color w:val="111111"/>
          <w:sz w:val="24"/>
          <w:szCs w:val="24"/>
          <w:highlight w:val="white"/>
        </w:rPr>
        <w:t>provides the right to make informed decisions concerning care to individuals (Spector, 2022).</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b/>
          <w:color w:val="111111"/>
          <w:sz w:val="24"/>
          <w:szCs w:val="24"/>
          <w:highlight w:val="white"/>
        </w:rPr>
        <w:t xml:space="preserve">Beneficence </w:t>
      </w:r>
      <w:r>
        <w:rPr>
          <w:rFonts w:ascii="Times New Roman" w:eastAsia="Times New Roman" w:hAnsi="Times New Roman" w:cs="Times New Roman"/>
          <w:color w:val="111111"/>
          <w:sz w:val="24"/>
          <w:szCs w:val="24"/>
          <w:highlight w:val="white"/>
        </w:rPr>
        <w:t>requires professionals to act in the best interests of the service users in order to foster well-being (</w:t>
      </w:r>
      <w:r>
        <w:rPr>
          <w:rFonts w:ascii="Times New Roman" w:eastAsia="Times New Roman" w:hAnsi="Times New Roman" w:cs="Times New Roman"/>
          <w:color w:val="222222"/>
          <w:sz w:val="24"/>
          <w:szCs w:val="24"/>
          <w:highlight w:val="white"/>
        </w:rPr>
        <w:t>Cheraghi et al., 2023)</w:t>
      </w:r>
      <w:r>
        <w:rPr>
          <w:rFonts w:ascii="Times New Roman" w:eastAsia="Times New Roman" w:hAnsi="Times New Roman" w:cs="Times New Roman"/>
          <w:color w:val="111111"/>
          <w:sz w:val="24"/>
          <w:szCs w:val="24"/>
          <w:highlight w:val="white"/>
        </w:rPr>
        <w: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b/>
          <w:color w:val="111111"/>
          <w:sz w:val="24"/>
          <w:szCs w:val="24"/>
          <w:highlight w:val="white"/>
        </w:rPr>
        <w:t>Non-maleficence</w:t>
      </w:r>
      <w:r>
        <w:rPr>
          <w:rFonts w:ascii="Times New Roman" w:eastAsia="Times New Roman" w:hAnsi="Times New Roman" w:cs="Times New Roman"/>
          <w:color w:val="111111"/>
          <w:sz w:val="24"/>
          <w:szCs w:val="24"/>
          <w:highlight w:val="white"/>
        </w:rPr>
        <w:t xml:space="preserve"> involves eliminating harm, whereas </w:t>
      </w:r>
      <w:r>
        <w:rPr>
          <w:rFonts w:ascii="Times New Roman" w:eastAsia="Times New Roman" w:hAnsi="Times New Roman" w:cs="Times New Roman"/>
          <w:b/>
          <w:color w:val="111111"/>
          <w:sz w:val="24"/>
          <w:szCs w:val="24"/>
          <w:highlight w:val="white"/>
        </w:rPr>
        <w:t xml:space="preserve">justice </w:t>
      </w:r>
      <w:r>
        <w:rPr>
          <w:rFonts w:ascii="Times New Roman" w:eastAsia="Times New Roman" w:hAnsi="Times New Roman" w:cs="Times New Roman"/>
          <w:color w:val="111111"/>
          <w:sz w:val="24"/>
          <w:szCs w:val="24"/>
          <w:highlight w:val="white"/>
        </w:rPr>
        <w:t>involves equality, fairness, and the equal allocation of resources and opportunity.</w:t>
      </w:r>
    </w:p>
    <w:p w14:paraId="28E3B0F6"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noProof/>
          <w:color w:val="111111"/>
          <w:sz w:val="24"/>
          <w:szCs w:val="24"/>
          <w:highlight w:val="white"/>
        </w:rPr>
        <w:drawing>
          <wp:inline distT="114300" distB="114300" distL="114300" distR="114300" wp14:anchorId="3486E7A5" wp14:editId="36718766">
            <wp:extent cx="4076700" cy="361950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076700" cy="3619500"/>
                    </a:xfrm>
                    <a:prstGeom prst="rect">
                      <a:avLst/>
                    </a:prstGeom>
                    <a:ln w="12700">
                      <a:solidFill>
                        <a:srgbClr val="000000"/>
                      </a:solidFill>
                      <a:prstDash val="solid"/>
                    </a:ln>
                  </pic:spPr>
                </pic:pic>
              </a:graphicData>
            </a:graphic>
          </wp:inline>
        </w:drawing>
      </w:r>
    </w:p>
    <w:p w14:paraId="420892AD"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Figure 2: Ethical Principles</w:t>
      </w:r>
    </w:p>
    <w:p w14:paraId="5DEFD15C"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lastRenderedPageBreak/>
        <w:t>(Source: Author)</w:t>
      </w:r>
    </w:p>
    <w:p w14:paraId="543FA072"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These values are incorporated into the frameworks of the UK, including the NHS Constitution (2015), the Health and Social Care Act (2012), and the three values emphasise respect, compassion, and accountability.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Other skills in ethical practice include keeping confidentiality, informed consent, and protection of the vulnerable person.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Finally, ethical health and social care are supposed to advance human dignity, trust, and make the care choices a person-centred, just, and in accordance with professional and societal values.</w:t>
      </w:r>
    </w:p>
    <w:p w14:paraId="27FB1014" w14:textId="77777777" w:rsidR="00F71B9C" w:rsidRDefault="00000000" w:rsidP="00190062">
      <w:pPr>
        <w:pStyle w:val="Heading1"/>
        <w:rPr>
          <w:highlight w:val="white"/>
        </w:rPr>
      </w:pPr>
      <w:bookmarkStart w:id="4" w:name="_heading=h.a2gzbyv5bguv" w:colFirst="0" w:colLast="0"/>
      <w:bookmarkEnd w:id="4"/>
      <w:r>
        <w:rPr>
          <w:highlight w:val="white"/>
        </w:rPr>
        <w:t>Partnership working in health and social care</w:t>
      </w:r>
    </w:p>
    <w:p w14:paraId="65A4A0DC"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Partnership working in health and social care is working together between various organisations and professionals, that is, the National Health Service (NHS), local authority, social care providers, and voluntary or community groups, in order to provide seamless and integrated care.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NHS England (2023) has said that this type of partnership forms the basis of major policy frameworks such as the Health and Care Act 2022 that necessitates system-wide partnerships (through Integrated Care Boards and Integrated Care Partnerships) to enhance health, wellbeing and the quality of services.</w:t>
      </w:r>
    </w:p>
    <w:p w14:paraId="77BC10B4"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u w:val="single"/>
        </w:rPr>
      </w:pPr>
      <w:r>
        <w:rPr>
          <w:rFonts w:ascii="Times New Roman" w:eastAsia="Times New Roman" w:hAnsi="Times New Roman" w:cs="Times New Roman"/>
          <w:noProof/>
          <w:color w:val="000000"/>
          <w:sz w:val="24"/>
          <w:szCs w:val="24"/>
          <w:highlight w:val="white"/>
          <w:u w:val="single"/>
        </w:rPr>
        <w:lastRenderedPageBreak/>
        <w:drawing>
          <wp:inline distT="114300" distB="114300" distL="114300" distR="114300" wp14:anchorId="3C642175" wp14:editId="68645154">
            <wp:extent cx="4122924" cy="4883646"/>
            <wp:effectExtent l="12700" t="12700" r="12700" b="127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122924" cy="4883646"/>
                    </a:xfrm>
                    <a:prstGeom prst="rect">
                      <a:avLst/>
                    </a:prstGeom>
                    <a:ln w="12700">
                      <a:solidFill>
                        <a:srgbClr val="000000"/>
                      </a:solidFill>
                      <a:prstDash val="solid"/>
                    </a:ln>
                  </pic:spPr>
                </pic:pic>
              </a:graphicData>
            </a:graphic>
          </wp:inline>
        </w:drawing>
      </w:r>
    </w:p>
    <w:p w14:paraId="04D9C21B"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Figure 3: Role and Responsibilities</w:t>
      </w:r>
    </w:p>
    <w:p w14:paraId="30F82AE6"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(Source: NHS England, 2023)</w:t>
      </w:r>
    </w:p>
    <w:p w14:paraId="3B929006"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i/>
          <w:color w:val="111111"/>
          <w:sz w:val="24"/>
          <w:szCs w:val="24"/>
          <w:highlight w:val="white"/>
        </w:rPr>
        <w:t>Strengths</w:t>
      </w:r>
      <w:r>
        <w:rPr>
          <w:rFonts w:ascii="Times New Roman" w:eastAsia="Times New Roman" w:hAnsi="Times New Roman" w:cs="Times New Roman"/>
          <w:color w:val="111111"/>
          <w:sz w:val="24"/>
          <w:szCs w:val="24"/>
          <w:highlight w:val="white"/>
        </w:rPr>
        <w:t>: Partnership working achieves better results when effectively carried out, and examples have been cited as coordinated discharge out of the hospital and community-based services delivery and resource utilisation.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Petch et al. (2013) explained that in 15 UK health-social care partnerships, characteristics including staff continuity and adequate resources were associated with better user outcomes.</w:t>
      </w:r>
    </w:p>
    <w:p w14:paraId="00AC0130"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i/>
          <w:color w:val="111111"/>
          <w:sz w:val="24"/>
          <w:szCs w:val="24"/>
          <w:highlight w:val="white"/>
        </w:rPr>
        <w:t>Weaknesses</w:t>
      </w:r>
      <w:r>
        <w:rPr>
          <w:rFonts w:ascii="Times New Roman" w:eastAsia="Times New Roman" w:hAnsi="Times New Roman" w:cs="Times New Roman"/>
          <w:color w:val="111111"/>
          <w:sz w:val="24"/>
          <w:szCs w:val="24"/>
          <w:highlight w:val="white"/>
        </w:rPr>
        <w:t>: It has been demonstrated that even with the initiatives of partnerships, it is not easy to attribute the increased outcome, and most partnerships fail.</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Petch et al.'s (2013) research has emphasised the multifaceted nature of quantifying real-world benefits and that of varying environments.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 xml:space="preserve">Besides, Government Digital Service (2021) noted that effectiveness is usually hampered by governance, funding silos, data-sharing barriers, and inter-organisational cultural </w:t>
      </w:r>
      <w:r>
        <w:rPr>
          <w:rFonts w:ascii="Times New Roman" w:eastAsia="Times New Roman" w:hAnsi="Times New Roman" w:cs="Times New Roman"/>
          <w:color w:val="111111"/>
          <w:sz w:val="24"/>
          <w:szCs w:val="24"/>
          <w:highlight w:val="white"/>
        </w:rPr>
        <w:lastRenderedPageBreak/>
        <w:t>disparities.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As one example, data-sharing initiatives are still a significant obstacle even though they have been identified as the pulse of public-sector cooperation.</w:t>
      </w:r>
    </w:p>
    <w:p w14:paraId="61B63B18"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i/>
          <w:color w:val="111111"/>
          <w:sz w:val="24"/>
          <w:szCs w:val="24"/>
          <w:highlight w:val="white"/>
        </w:rPr>
        <w:t>Analysis</w:t>
      </w:r>
      <w:r>
        <w:rPr>
          <w:rFonts w:ascii="Times New Roman" w:eastAsia="Times New Roman" w:hAnsi="Times New Roman" w:cs="Times New Roman"/>
          <w:color w:val="111111"/>
          <w:sz w:val="24"/>
          <w:szCs w:val="24"/>
          <w:highlight w:val="white"/>
        </w:rPr>
        <w:t>: In general, partnership working has great potential, particularly to meet more complex, chronic, and multi-agency care demands, yet its effectiveness requires a good infrastructure such as well-defined governance, same outcome, well-developed data systems, user engagement, and trust.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Absent these, the concept of joined-up care is likely to be imaginary rather than actualised.</w:t>
      </w:r>
    </w:p>
    <w:p w14:paraId="2705EB74" w14:textId="77777777" w:rsidR="00F71B9C" w:rsidRDefault="00000000" w:rsidP="00190062">
      <w:pPr>
        <w:pStyle w:val="Heading1"/>
        <w:rPr>
          <w:highlight w:val="white"/>
        </w:rPr>
      </w:pPr>
      <w:bookmarkStart w:id="5" w:name="_heading=h.lcnsemglm0oh" w:colFirst="0" w:colLast="0"/>
      <w:bookmarkEnd w:id="5"/>
      <w:r>
        <w:rPr>
          <w:highlight w:val="white"/>
        </w:rPr>
        <w:t>Application of partnership working in a practical health and social care setting 300</w:t>
      </w:r>
    </w:p>
    <w:p w14:paraId="29267704"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Partnership in the context of NHS Integrated Care Systems (ICSs) is one of the most important successful models of health and social care collaboration in Britain (NHS England, 2023).</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The ICSs, which were established by the Health and Care Act 2022, unite NHS organisations and local authorities as well as partners in the voluntary sector to plan and deliver joined-up services that enhance the health of the population and reduce inequalities (NHS England, 2023).</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An ICS is made up of an Integrated Care Board (ICB), which commissions health services, and an Integrated Care Partnership (ICP), which makes joint strategies for care delivery.</w:t>
      </w:r>
    </w:p>
    <w:p w14:paraId="43B09EEF"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Practically, such a partnership strategy has enhanced service coordination especially in such areas as hospital discharge and community care.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Indicatively, the NHS England Discharge Fund 2022-23 provided £500 million in funding to promote the joint hospital discharge planning between the health and social care providers (NHS England, 2023).</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This minimised delayed discharges and enhanced bed capacity, as NHS records indicated a 12% reduction in delayed transfers of care between January and April 2023 (NHS England, 2023).</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 xml:space="preserve">NHS England (2023) stated that </w:t>
      </w:r>
      <w:proofErr w:type="gramStart"/>
      <w:r>
        <w:rPr>
          <w:rFonts w:ascii="Times New Roman" w:eastAsia="Times New Roman" w:hAnsi="Times New Roman" w:cs="Times New Roman"/>
          <w:color w:val="111111"/>
          <w:sz w:val="24"/>
          <w:szCs w:val="24"/>
          <w:highlight w:val="white"/>
        </w:rPr>
        <w:t>Additionally</w:t>
      </w:r>
      <w:proofErr w:type="gramEnd"/>
      <w:r>
        <w:rPr>
          <w:rFonts w:ascii="Times New Roman" w:eastAsia="Times New Roman" w:hAnsi="Times New Roman" w:cs="Times New Roman"/>
          <w:color w:val="111111"/>
          <w:sz w:val="24"/>
          <w:szCs w:val="24"/>
          <w:highlight w:val="white"/>
        </w:rPr>
        <w:t>, the Greater Manchester ICS provided an example of how cooperation between NHS Trusts, councils, and community organisations resulted in a 15% reduction in emergency admissions due to the implementation of integrated home-based support services.</w:t>
      </w:r>
    </w:p>
    <w:p w14:paraId="69CDFF6D"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Nevertheless, there are issues of implementation.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According to the CQC (2023), barriers may include the inability to access information, an insufficient workforce, and varying organisational priorities that may impede smooth coordination.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All these need effective governance systems, trust, and joint accountability systems.</w:t>
      </w:r>
    </w:p>
    <w:p w14:paraId="1ECCF92D" w14:textId="77777777" w:rsidR="00F71B9C" w:rsidRDefault="00000000" w:rsidP="00190062">
      <w:pPr>
        <w:pStyle w:val="Heading1"/>
        <w:rPr>
          <w:highlight w:val="white"/>
        </w:rPr>
      </w:pPr>
      <w:bookmarkStart w:id="6" w:name="_heading=h.hwrztn1fiooc" w:colFirst="0" w:colLast="0"/>
      <w:bookmarkEnd w:id="6"/>
      <w:r>
        <w:rPr>
          <w:highlight w:val="white"/>
        </w:rPr>
        <w:t>Policy and legislation in relation to PCC and PW</w:t>
      </w:r>
    </w:p>
    <w:p w14:paraId="38800180"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The UK policy and legislative context highly </w:t>
      </w:r>
      <w:proofErr w:type="gramStart"/>
      <w:r>
        <w:rPr>
          <w:rFonts w:ascii="Times New Roman" w:eastAsia="Times New Roman" w:hAnsi="Times New Roman" w:cs="Times New Roman"/>
          <w:color w:val="111111"/>
          <w:sz w:val="24"/>
          <w:szCs w:val="24"/>
          <w:highlight w:val="white"/>
        </w:rPr>
        <w:t>endorses</w:t>
      </w:r>
      <w:proofErr w:type="gramEnd"/>
      <w:r>
        <w:rPr>
          <w:rFonts w:ascii="Times New Roman" w:eastAsia="Times New Roman" w:hAnsi="Times New Roman" w:cs="Times New Roman"/>
          <w:color w:val="111111"/>
          <w:sz w:val="24"/>
          <w:szCs w:val="24"/>
          <w:highlight w:val="white"/>
        </w:rPr>
        <w:t xml:space="preserve"> person-centred care (PCC) and partnership working (PW), but the evidence indicates that there are likely gaps in practice.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 xml:space="preserve">In 2022, the Health and Care Act officially created 42 area-based Integrated Care Systems (ICSs), which require NHS </w:t>
      </w:r>
      <w:r>
        <w:rPr>
          <w:rFonts w:ascii="Times New Roman" w:eastAsia="Times New Roman" w:hAnsi="Times New Roman" w:cs="Times New Roman"/>
          <w:color w:val="111111"/>
          <w:sz w:val="24"/>
          <w:szCs w:val="24"/>
          <w:highlight w:val="white"/>
        </w:rPr>
        <w:lastRenderedPageBreak/>
        <w:t>organisations to work together with local authorities and voluntary partners to plan and provide integrated services (The Health Foundation, 2023).</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This legislative reform is the foundation of PW because it enshrines joined-up working in law and provides partners with joint accountability on population health.</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In the meantime, according to NHS England (2023), the NHS Constitution of England pledges to such rights as participation in decision-making, dignity, and respect, which are central to PCC.</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222222"/>
          <w:sz w:val="24"/>
          <w:szCs w:val="24"/>
          <w:highlight w:val="white"/>
        </w:rPr>
        <w:t xml:space="preserve">Kang and </w:t>
      </w:r>
      <w:proofErr w:type="spellStart"/>
      <w:r>
        <w:rPr>
          <w:rFonts w:ascii="Times New Roman" w:eastAsia="Times New Roman" w:hAnsi="Times New Roman" w:cs="Times New Roman"/>
          <w:color w:val="222222"/>
          <w:sz w:val="24"/>
          <w:szCs w:val="24"/>
          <w:highlight w:val="white"/>
        </w:rPr>
        <w:t>Exworthy</w:t>
      </w:r>
      <w:proofErr w:type="spellEnd"/>
      <w:r>
        <w:rPr>
          <w:rFonts w:ascii="Times New Roman" w:eastAsia="Times New Roman" w:hAnsi="Times New Roman" w:cs="Times New Roman"/>
          <w:color w:val="222222"/>
          <w:sz w:val="24"/>
          <w:szCs w:val="24"/>
          <w:highlight w:val="white"/>
        </w:rPr>
        <w:t xml:space="preserve"> (2022) narrated an</w:t>
      </w:r>
      <w:r>
        <w:rPr>
          <w:rFonts w:ascii="Times New Roman" w:eastAsia="Times New Roman" w:hAnsi="Times New Roman" w:cs="Times New Roman"/>
          <w:color w:val="111111"/>
          <w:sz w:val="24"/>
          <w:szCs w:val="24"/>
          <w:highlight w:val="white"/>
        </w:rPr>
        <w:t xml:space="preserve"> example </w:t>
      </w:r>
      <w:proofErr w:type="gramStart"/>
      <w:r>
        <w:rPr>
          <w:rFonts w:ascii="Times New Roman" w:eastAsia="Times New Roman" w:hAnsi="Times New Roman" w:cs="Times New Roman"/>
          <w:color w:val="111111"/>
          <w:sz w:val="24"/>
          <w:szCs w:val="24"/>
          <w:highlight w:val="white"/>
        </w:rPr>
        <w:t>is</w:t>
      </w:r>
      <w:proofErr w:type="gramEnd"/>
      <w:r>
        <w:rPr>
          <w:rFonts w:ascii="Times New Roman" w:eastAsia="Times New Roman" w:hAnsi="Times New Roman" w:cs="Times New Roman"/>
          <w:color w:val="111111"/>
          <w:sz w:val="24"/>
          <w:szCs w:val="24"/>
          <w:highlight w:val="white"/>
        </w:rPr>
        <w:t xml:space="preserve"> four out of every ten individuals in the United Kingdom who indicated that they would prefer a greater role in their care decisions.</w:t>
      </w:r>
    </w:p>
    <w:p w14:paraId="21C65049"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Moreover, only 56 percent of patients surveyed claimed that they were as engaged in making decisions about their care as they wanted in 2022 and 2023, which is a lapse in PCC operationalisation (Nuffield Trust, 2024).</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On the PW side, a survey of ICS leaders found that just 40% thought there were well-defined accountabilities between ICBs and the national team, meaning it had a problem with governance and clarity in implementation (Nuffield Trust, 2024).</w:t>
      </w:r>
    </w:p>
    <w:p w14:paraId="5002D09E"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u w:val="single"/>
        </w:rPr>
      </w:pPr>
      <w:r>
        <w:rPr>
          <w:rFonts w:ascii="Times New Roman" w:eastAsia="Times New Roman" w:hAnsi="Times New Roman" w:cs="Times New Roman"/>
          <w:noProof/>
          <w:color w:val="000000"/>
          <w:sz w:val="24"/>
          <w:szCs w:val="24"/>
          <w:highlight w:val="white"/>
          <w:u w:val="single"/>
        </w:rPr>
        <w:drawing>
          <wp:inline distT="114300" distB="114300" distL="114300" distR="114300" wp14:anchorId="6B90FCD2" wp14:editId="3440076A">
            <wp:extent cx="4220650" cy="1738313"/>
            <wp:effectExtent l="12700" t="12700" r="12700" b="127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220650" cy="1738313"/>
                    </a:xfrm>
                    <a:prstGeom prst="rect">
                      <a:avLst/>
                    </a:prstGeom>
                    <a:ln w="12700">
                      <a:solidFill>
                        <a:srgbClr val="000000"/>
                      </a:solidFill>
                      <a:prstDash val="solid"/>
                    </a:ln>
                  </pic:spPr>
                </pic:pic>
              </a:graphicData>
            </a:graphic>
          </wp:inline>
        </w:drawing>
      </w:r>
    </w:p>
    <w:p w14:paraId="170A1DE9" w14:textId="1528374A"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Figure 4:</w:t>
      </w:r>
      <w:r w:rsidR="00190062">
        <w:rPr>
          <w:rFonts w:ascii="Times New Roman" w:eastAsia="Times New Roman" w:hAnsi="Times New Roman" w:cs="Times New Roman"/>
          <w:b/>
          <w:color w:val="000000"/>
          <w:sz w:val="24"/>
          <w:szCs w:val="24"/>
          <w:highlight w:val="white"/>
        </w:rPr>
        <w:t xml:space="preserve"> </w:t>
      </w:r>
      <w:r>
        <w:rPr>
          <w:rFonts w:ascii="Times New Roman" w:eastAsia="Times New Roman" w:hAnsi="Times New Roman" w:cs="Times New Roman"/>
          <w:b/>
          <w:color w:val="000000"/>
          <w:sz w:val="24"/>
          <w:szCs w:val="24"/>
          <w:highlight w:val="white"/>
        </w:rPr>
        <w:t>The GP workforce varies by ICS</w:t>
      </w:r>
    </w:p>
    <w:p w14:paraId="7A2A2552" w14:textId="77777777" w:rsidR="00F71B9C" w:rsidRDefault="00000000" w:rsidP="00190062">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(Source: The Health Foundation, 2023)</w:t>
      </w:r>
    </w:p>
    <w:p w14:paraId="3DE6A50A"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Notwithstanding, the statistics show that although policy and legislation build the framework of PCC and PW, practice remains lagging on a daily basis.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The dissimilarity in patient engagement and lack of clarity in partnerships elucidate the disparity between the legislative objective and reality on the ground.</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It is essential to invest in human resources and training, systems, and more transparent governance structures (integrated Care Boards, Joint Committees) to translate policy (health act) into uniform person-centred and partnership-based care.</w:t>
      </w:r>
    </w:p>
    <w:p w14:paraId="545639FD" w14:textId="77777777" w:rsidR="00F71B9C" w:rsidRDefault="00000000" w:rsidP="00190062">
      <w:pPr>
        <w:pStyle w:val="Heading1"/>
        <w:rPr>
          <w:highlight w:val="white"/>
        </w:rPr>
      </w:pPr>
      <w:bookmarkStart w:id="7" w:name="_heading=h.8g3dhqr7erna" w:colFirst="0" w:colLast="0"/>
      <w:bookmarkEnd w:id="7"/>
      <w:r>
        <w:rPr>
          <w:highlight w:val="white"/>
        </w:rPr>
        <w:t>Recommendations for future development of PCC and partnership working in the UK 300</w:t>
      </w:r>
    </w:p>
    <w:p w14:paraId="0AFB7216"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In order to improve PCC, more attention should be paid to the co-production of services; that is, individuals who consume services, their relatives, and carers should be engaged at both the design phase and delivery and assessment phases.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 xml:space="preserve">The Care Quality Commission reminds that people and </w:t>
      </w:r>
      <w:r>
        <w:rPr>
          <w:rFonts w:ascii="Times New Roman" w:eastAsia="Times New Roman" w:hAnsi="Times New Roman" w:cs="Times New Roman"/>
          <w:color w:val="111111"/>
          <w:sz w:val="24"/>
          <w:szCs w:val="24"/>
          <w:highlight w:val="white"/>
        </w:rPr>
        <w:lastRenderedPageBreak/>
        <w:t>their families should be at the core of the creation of their care plans and states that the implementation of this cannot be complete without having a gap (CQC, 2023).</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 xml:space="preserve"> In the case of PW, data-sharing and digital interoperability should be simplified to enable the collaboration of various organisations (NHS, local authorities, care homes, voluntary sector).</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The principles of knowledge-sharing are observed in the guidance aiding the work between ICSs and adult social care providers, where knowledge-sharing is mentioned as one of the fundamental principles (Government Digital Service, 2021).</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One of the practical steps is the creation of shared electronic care records that will be available across sectors and enable real-time updates and foster coordination of the course of care.</w:t>
      </w:r>
      <w:r>
        <w:rPr>
          <w:rFonts w:ascii="Times New Roman" w:eastAsia="Times New Roman" w:hAnsi="Times New Roman" w:cs="Times New Roman"/>
          <w:color w:val="000000"/>
          <w:sz w:val="24"/>
          <w:szCs w:val="24"/>
          <w:highlight w:val="white"/>
        </w:rPr>
        <w:t xml:space="preserve"> </w:t>
      </w:r>
    </w:p>
    <w:p w14:paraId="6B545AEE"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111111"/>
          <w:sz w:val="24"/>
          <w:szCs w:val="24"/>
          <w:highlight w:val="white"/>
        </w:rPr>
        <w:t>Moreover, the systems of governance and accountability in the context of partnerships should be reinforced: the definition of roles, common metrics, and collaborative reporting on performance would be beneficial to shift the model of aspirational collaboration to tangible achievements.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NHS England (2023) also noted that network-building and duplication mitigation were among the requirements outlined in their guidance on partnership with people and communities.</w:t>
      </w:r>
    </w:p>
    <w:p w14:paraId="1E314B5B" w14:textId="77777777" w:rsidR="00F71B9C" w:rsidRDefault="00000000" w:rsidP="00190062">
      <w:pPr>
        <w:pStyle w:val="Heading1"/>
      </w:pPr>
      <w:bookmarkStart w:id="8" w:name="_heading=h.4n04jq25frok" w:colFirst="0" w:colLast="0"/>
      <w:bookmarkEnd w:id="8"/>
      <w:r>
        <w:t>Conclusion</w:t>
      </w:r>
    </w:p>
    <w:p w14:paraId="6424B54D"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Conclusively, PCC and PW are necessary in the provision of quality holistic health and social care.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Although policies, legislation, and frameworks are solid ground, there are still difficulties in their application.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The further development should be based on co-production, workforce development, system interoperability, and enhanced governance.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111111"/>
          <w:sz w:val="24"/>
          <w:szCs w:val="24"/>
          <w:highlight w:val="white"/>
        </w:rPr>
        <w:t>The strategies will be embedded to ensure that care is person-centred, collaborative, and responsive to the variable needs of the population.</w:t>
      </w:r>
      <w:r>
        <w:br w:type="page"/>
      </w:r>
    </w:p>
    <w:p w14:paraId="6F4C439B" w14:textId="77777777" w:rsidR="00F71B9C" w:rsidRDefault="00000000" w:rsidP="00190062">
      <w:pPr>
        <w:pStyle w:val="Heading1"/>
        <w:rPr>
          <w:highlight w:val="white"/>
        </w:rPr>
      </w:pPr>
      <w:bookmarkStart w:id="9" w:name="_heading=h.e4zjlt11trz8" w:colFirst="0" w:colLast="0"/>
      <w:bookmarkEnd w:id="9"/>
      <w:r>
        <w:rPr>
          <w:highlight w:val="white"/>
        </w:rPr>
        <w:lastRenderedPageBreak/>
        <w:t>References</w:t>
      </w:r>
    </w:p>
    <w:p w14:paraId="5BCA7C14"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32323"/>
          <w:sz w:val="24"/>
          <w:szCs w:val="24"/>
          <w:highlight w:val="white"/>
        </w:rPr>
      </w:pPr>
      <w:r>
        <w:rPr>
          <w:rFonts w:ascii="Times New Roman" w:eastAsia="Times New Roman" w:hAnsi="Times New Roman" w:cs="Times New Roman"/>
          <w:color w:val="232323"/>
          <w:sz w:val="24"/>
          <w:szCs w:val="24"/>
          <w:highlight w:val="white"/>
        </w:rPr>
        <w:t xml:space="preserve">Care Quality Commission (CQC) (2023) </w:t>
      </w:r>
      <w:r>
        <w:rPr>
          <w:rFonts w:ascii="Times New Roman" w:eastAsia="Times New Roman" w:hAnsi="Times New Roman" w:cs="Times New Roman"/>
          <w:i/>
          <w:color w:val="232323"/>
          <w:sz w:val="24"/>
          <w:szCs w:val="24"/>
          <w:highlight w:val="white"/>
        </w:rPr>
        <w:t>The state of health care and adult social care in England 2022‑23.</w:t>
      </w:r>
      <w:r>
        <w:rPr>
          <w:rFonts w:ascii="Times New Roman" w:eastAsia="Times New Roman" w:hAnsi="Times New Roman" w:cs="Times New Roman"/>
          <w:color w:val="232323"/>
          <w:sz w:val="24"/>
          <w:szCs w:val="24"/>
          <w:highlight w:val="white"/>
        </w:rPr>
        <w:t xml:space="preserve"> Available at:</w:t>
      </w:r>
      <w:hyperlink r:id="rId12">
        <w:r w:rsidR="00F71B9C">
          <w:rPr>
            <w:rFonts w:ascii="Times New Roman" w:eastAsia="Times New Roman" w:hAnsi="Times New Roman" w:cs="Times New Roman"/>
            <w:color w:val="232323"/>
            <w:sz w:val="24"/>
            <w:szCs w:val="24"/>
            <w:highlight w:val="white"/>
          </w:rPr>
          <w:t xml:space="preserve"> </w:t>
        </w:r>
      </w:hyperlink>
      <w:hyperlink r:id="rId13">
        <w:r w:rsidR="00F71B9C">
          <w:rPr>
            <w:rFonts w:ascii="Times New Roman" w:eastAsia="Times New Roman" w:hAnsi="Times New Roman" w:cs="Times New Roman"/>
            <w:color w:val="1155CC"/>
            <w:sz w:val="24"/>
            <w:szCs w:val="24"/>
            <w:highlight w:val="white"/>
            <w:u w:val="single"/>
          </w:rPr>
          <w:t>https://www.gov.uk/government/publications/state-of-health-and-adult-social-care-in-england-2022-to-2023</w:t>
        </w:r>
      </w:hyperlink>
      <w:r>
        <w:rPr>
          <w:rFonts w:ascii="Times New Roman" w:eastAsia="Times New Roman" w:hAnsi="Times New Roman" w:cs="Times New Roman"/>
          <w:color w:val="232323"/>
          <w:sz w:val="24"/>
          <w:szCs w:val="24"/>
          <w:highlight w:val="white"/>
        </w:rPr>
        <w:t xml:space="preserve"> (Accessed: 6 November 2025).</w:t>
      </w:r>
    </w:p>
    <w:p w14:paraId="02070554"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Cheraghi, R., Valizadeh, L., </w:t>
      </w:r>
      <w:proofErr w:type="spellStart"/>
      <w:r>
        <w:rPr>
          <w:rFonts w:ascii="Times New Roman" w:eastAsia="Times New Roman" w:hAnsi="Times New Roman" w:cs="Times New Roman"/>
          <w:color w:val="222222"/>
          <w:sz w:val="24"/>
          <w:szCs w:val="24"/>
          <w:highlight w:val="white"/>
        </w:rPr>
        <w:t>Zamanzadeh</w:t>
      </w:r>
      <w:proofErr w:type="spellEnd"/>
      <w:r>
        <w:rPr>
          <w:rFonts w:ascii="Times New Roman" w:eastAsia="Times New Roman" w:hAnsi="Times New Roman" w:cs="Times New Roman"/>
          <w:color w:val="222222"/>
          <w:sz w:val="24"/>
          <w:szCs w:val="24"/>
          <w:highlight w:val="white"/>
        </w:rPr>
        <w:t xml:space="preserve">, V., Hassankhani, H. and Jafarzadeh, A. (2023) ‘Clarification of ethical principle of the beneficence in nursing care: an integrative review’. </w:t>
      </w:r>
      <w:r>
        <w:rPr>
          <w:rFonts w:ascii="Times New Roman" w:eastAsia="Times New Roman" w:hAnsi="Times New Roman" w:cs="Times New Roman"/>
          <w:i/>
          <w:color w:val="222222"/>
          <w:sz w:val="24"/>
          <w:szCs w:val="24"/>
          <w:highlight w:val="white"/>
        </w:rPr>
        <w:t>BMC nursing</w:t>
      </w:r>
      <w:r>
        <w:rPr>
          <w:rFonts w:ascii="Times New Roman" w:eastAsia="Times New Roman" w:hAnsi="Times New Roman" w:cs="Times New Roman"/>
          <w:color w:val="222222"/>
          <w:sz w:val="24"/>
          <w:szCs w:val="24"/>
          <w:highlight w:val="white"/>
        </w:rPr>
        <w:t>, 22(1), pp. 89.</w:t>
      </w:r>
      <w:hyperlink r:id="rId14">
        <w:r w:rsidR="00F71B9C">
          <w:rPr>
            <w:rFonts w:ascii="Times New Roman" w:eastAsia="Times New Roman" w:hAnsi="Times New Roman" w:cs="Times New Roman"/>
            <w:color w:val="1155CC"/>
            <w:sz w:val="24"/>
            <w:szCs w:val="24"/>
            <w:highlight w:val="white"/>
            <w:u w:val="single"/>
          </w:rPr>
          <w:t>https://doi.org/10.1186/s12912-023-01246-4</w:t>
        </w:r>
      </w:hyperlink>
      <w:r>
        <w:rPr>
          <w:rFonts w:ascii="Times New Roman" w:eastAsia="Times New Roman" w:hAnsi="Times New Roman" w:cs="Times New Roman"/>
          <w:color w:val="222222"/>
          <w:sz w:val="24"/>
          <w:szCs w:val="24"/>
          <w:highlight w:val="white"/>
        </w:rPr>
        <w:t xml:space="preserve"> </w:t>
      </w:r>
    </w:p>
    <w:p w14:paraId="626416DE"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32323"/>
          <w:sz w:val="24"/>
          <w:szCs w:val="24"/>
          <w:highlight w:val="white"/>
        </w:rPr>
      </w:pPr>
      <w:r>
        <w:rPr>
          <w:rFonts w:ascii="Times New Roman" w:eastAsia="Times New Roman" w:hAnsi="Times New Roman" w:cs="Times New Roman"/>
          <w:color w:val="232323"/>
          <w:sz w:val="24"/>
          <w:szCs w:val="24"/>
          <w:highlight w:val="white"/>
        </w:rPr>
        <w:t xml:space="preserve">Government Digital Service (2021) </w:t>
      </w:r>
      <w:r>
        <w:rPr>
          <w:rFonts w:ascii="Times New Roman" w:eastAsia="Times New Roman" w:hAnsi="Times New Roman" w:cs="Times New Roman"/>
          <w:i/>
          <w:color w:val="232323"/>
          <w:sz w:val="24"/>
          <w:szCs w:val="24"/>
          <w:highlight w:val="white"/>
        </w:rPr>
        <w:t>Data sharing: the beating heart of a successful public sector.</w:t>
      </w:r>
      <w:r>
        <w:rPr>
          <w:rFonts w:ascii="Times New Roman" w:eastAsia="Times New Roman" w:hAnsi="Times New Roman" w:cs="Times New Roman"/>
          <w:color w:val="232323"/>
          <w:sz w:val="24"/>
          <w:szCs w:val="24"/>
          <w:highlight w:val="white"/>
        </w:rPr>
        <w:t xml:space="preserve"> Available at:</w:t>
      </w:r>
      <w:hyperlink r:id="rId15">
        <w:r w:rsidR="00F71B9C">
          <w:rPr>
            <w:rFonts w:ascii="Times New Roman" w:eastAsia="Times New Roman" w:hAnsi="Times New Roman" w:cs="Times New Roman"/>
            <w:color w:val="232323"/>
            <w:sz w:val="24"/>
            <w:szCs w:val="24"/>
            <w:highlight w:val="white"/>
          </w:rPr>
          <w:t xml:space="preserve"> </w:t>
        </w:r>
      </w:hyperlink>
      <w:hyperlink r:id="rId16">
        <w:r w:rsidR="00F71B9C">
          <w:rPr>
            <w:rFonts w:ascii="Times New Roman" w:eastAsia="Times New Roman" w:hAnsi="Times New Roman" w:cs="Times New Roman"/>
            <w:color w:val="1155CC"/>
            <w:sz w:val="24"/>
            <w:szCs w:val="24"/>
            <w:highlight w:val="white"/>
            <w:u w:val="single"/>
          </w:rPr>
          <w:t>https://www.gov.uk/government/publications/data-sharing-the-beating-heart-of-a-successful-public-sector</w:t>
        </w:r>
      </w:hyperlink>
      <w:r>
        <w:rPr>
          <w:rFonts w:ascii="Times New Roman" w:eastAsia="Times New Roman" w:hAnsi="Times New Roman" w:cs="Times New Roman"/>
          <w:color w:val="232323"/>
          <w:sz w:val="24"/>
          <w:szCs w:val="24"/>
          <w:highlight w:val="white"/>
        </w:rPr>
        <w:t xml:space="preserve">  (Accessed: 6 November 2025).</w:t>
      </w:r>
    </w:p>
    <w:p w14:paraId="34CE3B10"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Huda, A.S. (2021) ‘The medical model and its application in mental health’. </w:t>
      </w:r>
      <w:r>
        <w:rPr>
          <w:rFonts w:ascii="Times New Roman" w:eastAsia="Times New Roman" w:hAnsi="Times New Roman" w:cs="Times New Roman"/>
          <w:i/>
          <w:color w:val="222222"/>
          <w:sz w:val="24"/>
          <w:szCs w:val="24"/>
          <w:highlight w:val="white"/>
        </w:rPr>
        <w:t>International Review of Psychiatry</w:t>
      </w:r>
      <w:r>
        <w:rPr>
          <w:rFonts w:ascii="Times New Roman" w:eastAsia="Times New Roman" w:hAnsi="Times New Roman" w:cs="Times New Roman"/>
          <w:color w:val="222222"/>
          <w:sz w:val="24"/>
          <w:szCs w:val="24"/>
          <w:highlight w:val="white"/>
        </w:rPr>
        <w:t>, 33(5), pp. 463-470.</w:t>
      </w:r>
      <w:hyperlink r:id="rId17">
        <w:r w:rsidR="00F71B9C">
          <w:rPr>
            <w:rFonts w:ascii="Times New Roman" w:eastAsia="Times New Roman" w:hAnsi="Times New Roman" w:cs="Times New Roman"/>
            <w:color w:val="1155CC"/>
            <w:sz w:val="24"/>
            <w:szCs w:val="24"/>
            <w:highlight w:val="white"/>
            <w:u w:val="single"/>
          </w:rPr>
          <w:t>https://doi.org/10.1080/09540261.2020.1845125</w:t>
        </w:r>
      </w:hyperlink>
      <w:r>
        <w:rPr>
          <w:rFonts w:ascii="Times New Roman" w:eastAsia="Times New Roman" w:hAnsi="Times New Roman" w:cs="Times New Roman"/>
          <w:color w:val="222222"/>
          <w:sz w:val="24"/>
          <w:szCs w:val="24"/>
          <w:highlight w:val="white"/>
        </w:rPr>
        <w:t xml:space="preserve"> </w:t>
      </w:r>
    </w:p>
    <w:p w14:paraId="66BC9B51"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R., Reid, P. and Macmillan, A. (2022) ‘Navigating fundamental tensions towards a decolonial relational vision of planetary health’. </w:t>
      </w:r>
      <w:r>
        <w:rPr>
          <w:rFonts w:ascii="Times New Roman" w:eastAsia="Times New Roman" w:hAnsi="Times New Roman" w:cs="Times New Roman"/>
          <w:i/>
          <w:color w:val="222222"/>
          <w:sz w:val="24"/>
          <w:szCs w:val="24"/>
          <w:highlight w:val="white"/>
        </w:rPr>
        <w:t>The Lancet Planetary Health</w:t>
      </w:r>
      <w:r>
        <w:rPr>
          <w:rFonts w:ascii="Times New Roman" w:eastAsia="Times New Roman" w:hAnsi="Times New Roman" w:cs="Times New Roman"/>
          <w:color w:val="222222"/>
          <w:sz w:val="24"/>
          <w:szCs w:val="24"/>
          <w:highlight w:val="white"/>
        </w:rPr>
        <w:t>, 6(10), pp. e834-e841.</w:t>
      </w:r>
      <w:hyperlink r:id="rId18">
        <w:r w:rsidR="00F71B9C">
          <w:rPr>
            <w:rFonts w:ascii="Times New Roman" w:eastAsia="Times New Roman" w:hAnsi="Times New Roman" w:cs="Times New Roman"/>
            <w:color w:val="1155CC"/>
            <w:sz w:val="24"/>
            <w:szCs w:val="24"/>
            <w:highlight w:val="white"/>
            <w:u w:val="single"/>
          </w:rPr>
          <w:t>https://doi.org/10.1016/s2542-5196(22)00197-8</w:t>
        </w:r>
      </w:hyperlink>
      <w:r>
        <w:rPr>
          <w:rFonts w:ascii="Times New Roman" w:eastAsia="Times New Roman" w:hAnsi="Times New Roman" w:cs="Times New Roman"/>
          <w:color w:val="222222"/>
          <w:sz w:val="24"/>
          <w:szCs w:val="24"/>
          <w:highlight w:val="white"/>
        </w:rPr>
        <w:t xml:space="preserve"> </w:t>
      </w:r>
    </w:p>
    <w:p w14:paraId="6C9F6FB4"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222222"/>
          <w:sz w:val="24"/>
          <w:szCs w:val="24"/>
          <w:highlight w:val="white"/>
        </w:rPr>
        <w:t xml:space="preserve">Kang, H.S. and </w:t>
      </w:r>
      <w:proofErr w:type="spellStart"/>
      <w:r>
        <w:rPr>
          <w:rFonts w:ascii="Times New Roman" w:eastAsia="Times New Roman" w:hAnsi="Times New Roman" w:cs="Times New Roman"/>
          <w:color w:val="222222"/>
          <w:sz w:val="24"/>
          <w:szCs w:val="24"/>
          <w:highlight w:val="white"/>
        </w:rPr>
        <w:t>Exworthy</w:t>
      </w:r>
      <w:proofErr w:type="spellEnd"/>
      <w:r>
        <w:rPr>
          <w:rFonts w:ascii="Times New Roman" w:eastAsia="Times New Roman" w:hAnsi="Times New Roman" w:cs="Times New Roman"/>
          <w:color w:val="222222"/>
          <w:sz w:val="24"/>
          <w:szCs w:val="24"/>
          <w:highlight w:val="white"/>
        </w:rPr>
        <w:t xml:space="preserve">, M. (2022) ‘Wearing the future—wearables to empower users to take greater responsibility for their health and care: scoping review’. </w:t>
      </w:r>
      <w:r>
        <w:rPr>
          <w:rFonts w:ascii="Times New Roman" w:eastAsia="Times New Roman" w:hAnsi="Times New Roman" w:cs="Times New Roman"/>
          <w:i/>
          <w:color w:val="222222"/>
          <w:sz w:val="24"/>
          <w:szCs w:val="24"/>
          <w:highlight w:val="white"/>
        </w:rPr>
        <w:t xml:space="preserve">JMIR mHealth and </w:t>
      </w:r>
      <w:proofErr w:type="spellStart"/>
      <w:r>
        <w:rPr>
          <w:rFonts w:ascii="Times New Roman" w:eastAsia="Times New Roman" w:hAnsi="Times New Roman" w:cs="Times New Roman"/>
          <w:i/>
          <w:color w:val="222222"/>
          <w:sz w:val="24"/>
          <w:szCs w:val="24"/>
          <w:highlight w:val="white"/>
        </w:rPr>
        <w:t>uHealth</w:t>
      </w:r>
      <w:proofErr w:type="spellEnd"/>
      <w:r>
        <w:rPr>
          <w:rFonts w:ascii="Times New Roman" w:eastAsia="Times New Roman" w:hAnsi="Times New Roman" w:cs="Times New Roman"/>
          <w:color w:val="222222"/>
          <w:sz w:val="24"/>
          <w:szCs w:val="24"/>
          <w:highlight w:val="white"/>
        </w:rPr>
        <w:t>, 10(7), pp. e35684.</w:t>
      </w:r>
      <w:hyperlink r:id="rId19">
        <w:r w:rsidR="00F71B9C">
          <w:rPr>
            <w:rFonts w:ascii="Times New Roman" w:eastAsia="Times New Roman" w:hAnsi="Times New Roman" w:cs="Times New Roman"/>
            <w:color w:val="1155CC"/>
            <w:sz w:val="24"/>
            <w:szCs w:val="24"/>
            <w:highlight w:val="white"/>
            <w:u w:val="single"/>
          </w:rPr>
          <w:t>https://doi.org/10.2196/35684</w:t>
        </w:r>
      </w:hyperlink>
      <w:r>
        <w:rPr>
          <w:rFonts w:ascii="Times New Roman" w:eastAsia="Times New Roman" w:hAnsi="Times New Roman" w:cs="Times New Roman"/>
          <w:color w:val="222222"/>
          <w:sz w:val="24"/>
          <w:szCs w:val="24"/>
          <w:highlight w:val="white"/>
        </w:rPr>
        <w:t xml:space="preserve"> </w:t>
      </w:r>
    </w:p>
    <w:p w14:paraId="3B8D4134"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Khatri, R.B., </w:t>
      </w:r>
      <w:proofErr w:type="spellStart"/>
      <w:r>
        <w:rPr>
          <w:rFonts w:ascii="Times New Roman" w:eastAsia="Times New Roman" w:hAnsi="Times New Roman" w:cs="Times New Roman"/>
          <w:color w:val="222222"/>
          <w:sz w:val="24"/>
          <w:szCs w:val="24"/>
          <w:highlight w:val="white"/>
        </w:rPr>
        <w:t>Wolka</w:t>
      </w:r>
      <w:proofErr w:type="spellEnd"/>
      <w:r>
        <w:rPr>
          <w:rFonts w:ascii="Times New Roman" w:eastAsia="Times New Roman" w:hAnsi="Times New Roman" w:cs="Times New Roman"/>
          <w:color w:val="222222"/>
          <w:sz w:val="24"/>
          <w:szCs w:val="24"/>
          <w:highlight w:val="white"/>
        </w:rPr>
        <w:t xml:space="preserve">, E., Nigatu, F., Zewdie, A., </w:t>
      </w:r>
      <w:proofErr w:type="spellStart"/>
      <w:r>
        <w:rPr>
          <w:rFonts w:ascii="Times New Roman" w:eastAsia="Times New Roman" w:hAnsi="Times New Roman" w:cs="Times New Roman"/>
          <w:color w:val="222222"/>
          <w:sz w:val="24"/>
          <w:szCs w:val="24"/>
          <w:highlight w:val="white"/>
        </w:rPr>
        <w:t>Erku</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Endalamaw</w:t>
      </w:r>
      <w:proofErr w:type="spellEnd"/>
      <w:r>
        <w:rPr>
          <w:rFonts w:ascii="Times New Roman" w:eastAsia="Times New Roman" w:hAnsi="Times New Roman" w:cs="Times New Roman"/>
          <w:color w:val="222222"/>
          <w:sz w:val="24"/>
          <w:szCs w:val="24"/>
          <w:highlight w:val="white"/>
        </w:rPr>
        <w:t xml:space="preserve">, A. and Assefa, Y. (2023) ‘People-centred primary health care: a scoping review.’ </w:t>
      </w:r>
      <w:r>
        <w:rPr>
          <w:rFonts w:ascii="Times New Roman" w:eastAsia="Times New Roman" w:hAnsi="Times New Roman" w:cs="Times New Roman"/>
          <w:i/>
          <w:color w:val="222222"/>
          <w:sz w:val="24"/>
          <w:szCs w:val="24"/>
          <w:highlight w:val="white"/>
        </w:rPr>
        <w:t>BMC primary care</w:t>
      </w:r>
      <w:r>
        <w:rPr>
          <w:rFonts w:ascii="Times New Roman" w:eastAsia="Times New Roman" w:hAnsi="Times New Roman" w:cs="Times New Roman"/>
          <w:color w:val="222222"/>
          <w:sz w:val="24"/>
          <w:szCs w:val="24"/>
          <w:highlight w:val="white"/>
        </w:rPr>
        <w:t>, 24(1), pp. 236.</w:t>
      </w:r>
      <w:hyperlink r:id="rId20">
        <w:r w:rsidR="00F71B9C">
          <w:rPr>
            <w:rFonts w:ascii="Times New Roman" w:eastAsia="Times New Roman" w:hAnsi="Times New Roman" w:cs="Times New Roman"/>
            <w:color w:val="1155CC"/>
            <w:sz w:val="24"/>
            <w:szCs w:val="24"/>
            <w:highlight w:val="white"/>
            <w:u w:val="single"/>
          </w:rPr>
          <w:t>https://doi.org/10.1186/s12875-023-02194-3</w:t>
        </w:r>
      </w:hyperlink>
      <w:r>
        <w:rPr>
          <w:rFonts w:ascii="Times New Roman" w:eastAsia="Times New Roman" w:hAnsi="Times New Roman" w:cs="Times New Roman"/>
          <w:color w:val="222222"/>
          <w:sz w:val="24"/>
          <w:szCs w:val="24"/>
          <w:highlight w:val="white"/>
        </w:rPr>
        <w:t xml:space="preserve"> </w:t>
      </w:r>
    </w:p>
    <w:p w14:paraId="350B48A0"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Kvæl</w:t>
      </w:r>
      <w:proofErr w:type="spellEnd"/>
      <w:r>
        <w:rPr>
          <w:rFonts w:ascii="Times New Roman" w:eastAsia="Times New Roman" w:hAnsi="Times New Roman" w:cs="Times New Roman"/>
          <w:color w:val="222222"/>
          <w:sz w:val="24"/>
          <w:szCs w:val="24"/>
          <w:highlight w:val="white"/>
        </w:rPr>
        <w:t xml:space="preserve">, L.A.H., Hellesø, R., Bergland, A. and </w:t>
      </w:r>
      <w:proofErr w:type="spellStart"/>
      <w:r>
        <w:rPr>
          <w:rFonts w:ascii="Times New Roman" w:eastAsia="Times New Roman" w:hAnsi="Times New Roman" w:cs="Times New Roman"/>
          <w:color w:val="222222"/>
          <w:sz w:val="24"/>
          <w:szCs w:val="24"/>
          <w:highlight w:val="white"/>
        </w:rPr>
        <w:t>Debesay</w:t>
      </w:r>
      <w:proofErr w:type="spellEnd"/>
      <w:r>
        <w:rPr>
          <w:rFonts w:ascii="Times New Roman" w:eastAsia="Times New Roman" w:hAnsi="Times New Roman" w:cs="Times New Roman"/>
          <w:color w:val="222222"/>
          <w:sz w:val="24"/>
          <w:szCs w:val="24"/>
          <w:highlight w:val="white"/>
        </w:rPr>
        <w:t xml:space="preserve">, J. (2022) ‘Balancing standardisation and individualisation in transitional care pathways: a meta-ethnography of the perspectives of older patients, informal caregivers and healthcare </w:t>
      </w:r>
      <w:proofErr w:type="gramStart"/>
      <w:r>
        <w:rPr>
          <w:rFonts w:ascii="Times New Roman" w:eastAsia="Times New Roman" w:hAnsi="Times New Roman" w:cs="Times New Roman"/>
          <w:color w:val="222222"/>
          <w:sz w:val="24"/>
          <w:szCs w:val="24"/>
          <w:highlight w:val="white"/>
        </w:rPr>
        <w:t>professionals’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BMC health services research</w:t>
      </w:r>
      <w:r>
        <w:rPr>
          <w:rFonts w:ascii="Times New Roman" w:eastAsia="Times New Roman" w:hAnsi="Times New Roman" w:cs="Times New Roman"/>
          <w:color w:val="222222"/>
          <w:sz w:val="24"/>
          <w:szCs w:val="24"/>
          <w:highlight w:val="white"/>
        </w:rPr>
        <w:t>, 22(1), pp. 430.</w:t>
      </w:r>
      <w:hyperlink r:id="rId21">
        <w:r w:rsidR="00F71B9C">
          <w:rPr>
            <w:rFonts w:ascii="Times New Roman" w:eastAsia="Times New Roman" w:hAnsi="Times New Roman" w:cs="Times New Roman"/>
            <w:color w:val="1155CC"/>
            <w:sz w:val="24"/>
            <w:szCs w:val="24"/>
            <w:highlight w:val="white"/>
            <w:u w:val="single"/>
          </w:rPr>
          <w:t>https://doi.org/10.1186/s12913-022-07823-8</w:t>
        </w:r>
      </w:hyperlink>
      <w:r>
        <w:rPr>
          <w:rFonts w:ascii="Times New Roman" w:eastAsia="Times New Roman" w:hAnsi="Times New Roman" w:cs="Times New Roman"/>
          <w:color w:val="222222"/>
          <w:sz w:val="24"/>
          <w:szCs w:val="24"/>
          <w:highlight w:val="white"/>
        </w:rPr>
        <w:t xml:space="preserve"> </w:t>
      </w:r>
    </w:p>
    <w:p w14:paraId="0CEDE8B6"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Martyushev-</w:t>
      </w:r>
      <w:proofErr w:type="spellStart"/>
      <w:r>
        <w:rPr>
          <w:rFonts w:ascii="Times New Roman" w:eastAsia="Times New Roman" w:hAnsi="Times New Roman" w:cs="Times New Roman"/>
          <w:color w:val="222222"/>
          <w:sz w:val="24"/>
          <w:szCs w:val="24"/>
          <w:highlight w:val="white"/>
        </w:rPr>
        <w:t>Poklad</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Yankevich</w:t>
      </w:r>
      <w:proofErr w:type="spellEnd"/>
      <w:r>
        <w:rPr>
          <w:rFonts w:ascii="Times New Roman" w:eastAsia="Times New Roman" w:hAnsi="Times New Roman" w:cs="Times New Roman"/>
          <w:color w:val="222222"/>
          <w:sz w:val="24"/>
          <w:szCs w:val="24"/>
          <w:highlight w:val="white"/>
        </w:rPr>
        <w:t>, D. and Petrova, M. (2022) ‘Improving the effectiveness of healthcare: Diagnosis-</w:t>
      </w:r>
      <w:proofErr w:type="spellStart"/>
      <w:r>
        <w:rPr>
          <w:rFonts w:ascii="Times New Roman" w:eastAsia="Times New Roman" w:hAnsi="Times New Roman" w:cs="Times New Roman"/>
          <w:color w:val="222222"/>
          <w:sz w:val="24"/>
          <w:szCs w:val="24"/>
          <w:highlight w:val="white"/>
        </w:rPr>
        <w:t>centered</w:t>
      </w:r>
      <w:proofErr w:type="spellEnd"/>
      <w:r>
        <w:rPr>
          <w:rFonts w:ascii="Times New Roman" w:eastAsia="Times New Roman" w:hAnsi="Times New Roman" w:cs="Times New Roman"/>
          <w:color w:val="222222"/>
          <w:sz w:val="24"/>
          <w:szCs w:val="24"/>
          <w:highlight w:val="white"/>
        </w:rPr>
        <w:t xml:space="preserve"> care Vs. Person-</w:t>
      </w:r>
      <w:proofErr w:type="spellStart"/>
      <w:r>
        <w:rPr>
          <w:rFonts w:ascii="Times New Roman" w:eastAsia="Times New Roman" w:hAnsi="Times New Roman" w:cs="Times New Roman"/>
          <w:color w:val="222222"/>
          <w:sz w:val="24"/>
          <w:szCs w:val="24"/>
          <w:highlight w:val="white"/>
        </w:rPr>
        <w:t>centered</w:t>
      </w:r>
      <w:proofErr w:type="spellEnd"/>
      <w:r>
        <w:rPr>
          <w:rFonts w:ascii="Times New Roman" w:eastAsia="Times New Roman" w:hAnsi="Times New Roman" w:cs="Times New Roman"/>
          <w:color w:val="222222"/>
          <w:sz w:val="24"/>
          <w:szCs w:val="24"/>
          <w:highlight w:val="white"/>
        </w:rPr>
        <w:t xml:space="preserve"> health promotion, a long forgotten new model’. </w:t>
      </w:r>
      <w:r>
        <w:rPr>
          <w:rFonts w:ascii="Times New Roman" w:eastAsia="Times New Roman" w:hAnsi="Times New Roman" w:cs="Times New Roman"/>
          <w:i/>
          <w:color w:val="222222"/>
          <w:sz w:val="24"/>
          <w:szCs w:val="24"/>
          <w:highlight w:val="white"/>
        </w:rPr>
        <w:t>Frontiers in public health</w:t>
      </w:r>
      <w:r>
        <w:rPr>
          <w:rFonts w:ascii="Times New Roman" w:eastAsia="Times New Roman" w:hAnsi="Times New Roman" w:cs="Times New Roman"/>
          <w:color w:val="222222"/>
          <w:sz w:val="24"/>
          <w:szCs w:val="24"/>
          <w:highlight w:val="white"/>
        </w:rPr>
        <w:t>, 10, pp. 819096.</w:t>
      </w:r>
      <w:hyperlink r:id="rId22">
        <w:r w:rsidR="00F71B9C">
          <w:rPr>
            <w:rFonts w:ascii="Times New Roman" w:eastAsia="Times New Roman" w:hAnsi="Times New Roman" w:cs="Times New Roman"/>
            <w:color w:val="1155CC"/>
            <w:sz w:val="24"/>
            <w:szCs w:val="24"/>
            <w:highlight w:val="white"/>
            <w:u w:val="single"/>
          </w:rPr>
          <w:t>https://doi.org/10.3389/fpubh.2022.819096</w:t>
        </w:r>
      </w:hyperlink>
      <w:r>
        <w:rPr>
          <w:rFonts w:ascii="Times New Roman" w:eastAsia="Times New Roman" w:hAnsi="Times New Roman" w:cs="Times New Roman"/>
          <w:color w:val="222222"/>
          <w:sz w:val="24"/>
          <w:szCs w:val="24"/>
          <w:highlight w:val="white"/>
        </w:rPr>
        <w:t xml:space="preserve"> </w:t>
      </w:r>
    </w:p>
    <w:p w14:paraId="1E0545A4"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Miller, R., Glasby, J. and Dickinson, H. (2021) ‘Integrated health and social care in England: ten years on’. </w:t>
      </w:r>
      <w:r>
        <w:rPr>
          <w:rFonts w:ascii="Times New Roman" w:eastAsia="Times New Roman" w:hAnsi="Times New Roman" w:cs="Times New Roman"/>
          <w:i/>
          <w:color w:val="222222"/>
          <w:sz w:val="24"/>
          <w:szCs w:val="24"/>
          <w:highlight w:val="white"/>
        </w:rPr>
        <w:t>International journal of integrated care</w:t>
      </w:r>
      <w:r>
        <w:rPr>
          <w:rFonts w:ascii="Times New Roman" w:eastAsia="Times New Roman" w:hAnsi="Times New Roman" w:cs="Times New Roman"/>
          <w:color w:val="222222"/>
          <w:sz w:val="24"/>
          <w:szCs w:val="24"/>
          <w:highlight w:val="white"/>
        </w:rPr>
        <w:t>, 21(4), pp. 6.</w:t>
      </w:r>
      <w:hyperlink r:id="rId23">
        <w:r w:rsidR="00F71B9C">
          <w:rPr>
            <w:rFonts w:ascii="Times New Roman" w:eastAsia="Times New Roman" w:hAnsi="Times New Roman" w:cs="Times New Roman"/>
            <w:color w:val="1155CC"/>
            <w:sz w:val="24"/>
            <w:szCs w:val="24"/>
            <w:highlight w:val="white"/>
            <w:u w:val="single"/>
          </w:rPr>
          <w:t>https://doi.org/10.5334/ijic.5666</w:t>
        </w:r>
      </w:hyperlink>
      <w:r>
        <w:rPr>
          <w:rFonts w:ascii="Times New Roman" w:eastAsia="Times New Roman" w:hAnsi="Times New Roman" w:cs="Times New Roman"/>
          <w:color w:val="222222"/>
          <w:sz w:val="24"/>
          <w:szCs w:val="24"/>
          <w:highlight w:val="white"/>
        </w:rPr>
        <w:t xml:space="preserve"> </w:t>
      </w:r>
    </w:p>
    <w:p w14:paraId="4B4D6EE8"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NHS England (2023) </w:t>
      </w:r>
      <w:r>
        <w:rPr>
          <w:rFonts w:ascii="Times New Roman" w:eastAsia="Times New Roman" w:hAnsi="Times New Roman" w:cs="Times New Roman"/>
          <w:i/>
          <w:color w:val="000000"/>
          <w:sz w:val="24"/>
          <w:szCs w:val="24"/>
        </w:rPr>
        <w:t>Working in partnership with people and communities: statutory guidance.</w:t>
      </w:r>
      <w:r>
        <w:rPr>
          <w:rFonts w:ascii="Times New Roman" w:eastAsia="Times New Roman" w:hAnsi="Times New Roman" w:cs="Times New Roman"/>
          <w:color w:val="000000"/>
          <w:sz w:val="24"/>
          <w:szCs w:val="24"/>
        </w:rPr>
        <w:t xml:space="preserve"> Available at:</w:t>
      </w:r>
      <w:hyperlink r:id="rId24">
        <w:r w:rsidR="00F71B9C">
          <w:rPr>
            <w:rFonts w:ascii="Times New Roman" w:eastAsia="Times New Roman" w:hAnsi="Times New Roman" w:cs="Times New Roman"/>
            <w:color w:val="000000"/>
            <w:sz w:val="24"/>
            <w:szCs w:val="24"/>
          </w:rPr>
          <w:t xml:space="preserve"> </w:t>
        </w:r>
      </w:hyperlink>
      <w:hyperlink r:id="rId25">
        <w:r w:rsidR="00F71B9C">
          <w:rPr>
            <w:rFonts w:ascii="Times New Roman" w:eastAsia="Times New Roman" w:hAnsi="Times New Roman" w:cs="Times New Roman"/>
            <w:color w:val="1155CC"/>
            <w:sz w:val="24"/>
            <w:szCs w:val="24"/>
            <w:u w:val="single"/>
          </w:rPr>
          <w:t>https://www.england.nhs.uk/long-read/working-in-partnership-with-people-and-communities-statutory-guidance</w:t>
        </w:r>
      </w:hyperlink>
      <w:r>
        <w:rPr>
          <w:rFonts w:ascii="Times New Roman" w:eastAsia="Times New Roman" w:hAnsi="Times New Roman" w:cs="Times New Roman"/>
          <w:color w:val="000000"/>
          <w:sz w:val="24"/>
          <w:szCs w:val="24"/>
        </w:rPr>
        <w:t xml:space="preserve"> (Accessed: 6 November 2025).</w:t>
      </w:r>
    </w:p>
    <w:p w14:paraId="74A49B4F"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32323"/>
          <w:sz w:val="24"/>
          <w:szCs w:val="24"/>
          <w:highlight w:val="white"/>
        </w:rPr>
      </w:pPr>
      <w:r>
        <w:rPr>
          <w:rFonts w:ascii="Times New Roman" w:eastAsia="Times New Roman" w:hAnsi="Times New Roman" w:cs="Times New Roman"/>
          <w:color w:val="232323"/>
          <w:sz w:val="24"/>
          <w:szCs w:val="24"/>
          <w:highlight w:val="white"/>
        </w:rPr>
        <w:t xml:space="preserve">Nuffield Trust (2024) </w:t>
      </w:r>
      <w:r>
        <w:rPr>
          <w:rFonts w:ascii="Times New Roman" w:eastAsia="Times New Roman" w:hAnsi="Times New Roman" w:cs="Times New Roman"/>
          <w:i/>
          <w:color w:val="232323"/>
          <w:sz w:val="24"/>
          <w:szCs w:val="24"/>
          <w:highlight w:val="white"/>
        </w:rPr>
        <w:t>Do patients feel involved in decisions about their care?</w:t>
      </w:r>
      <w:r>
        <w:rPr>
          <w:rFonts w:ascii="Times New Roman" w:eastAsia="Times New Roman" w:hAnsi="Times New Roman" w:cs="Times New Roman"/>
          <w:color w:val="232323"/>
          <w:sz w:val="24"/>
          <w:szCs w:val="24"/>
          <w:highlight w:val="white"/>
        </w:rPr>
        <w:t xml:space="preserve"> Available at:</w:t>
      </w:r>
      <w:hyperlink r:id="rId26">
        <w:r w:rsidR="00F71B9C">
          <w:rPr>
            <w:rFonts w:ascii="Times New Roman" w:eastAsia="Times New Roman" w:hAnsi="Times New Roman" w:cs="Times New Roman"/>
            <w:color w:val="232323"/>
            <w:sz w:val="24"/>
            <w:szCs w:val="24"/>
            <w:highlight w:val="white"/>
          </w:rPr>
          <w:t xml:space="preserve"> </w:t>
        </w:r>
      </w:hyperlink>
      <w:hyperlink r:id="rId27">
        <w:r w:rsidR="00F71B9C">
          <w:rPr>
            <w:rFonts w:ascii="Times New Roman" w:eastAsia="Times New Roman" w:hAnsi="Times New Roman" w:cs="Times New Roman"/>
            <w:color w:val="1155CC"/>
            <w:sz w:val="24"/>
            <w:szCs w:val="24"/>
            <w:highlight w:val="white"/>
            <w:u w:val="single"/>
          </w:rPr>
          <w:t>https://www.nuffieldtrust.org.uk/resource/do-patients-feel-involved-in-decisions-about-their-care</w:t>
        </w:r>
      </w:hyperlink>
      <w:r>
        <w:rPr>
          <w:rFonts w:ascii="Times New Roman" w:eastAsia="Times New Roman" w:hAnsi="Times New Roman" w:cs="Times New Roman"/>
          <w:color w:val="232323"/>
          <w:sz w:val="24"/>
          <w:szCs w:val="24"/>
          <w:highlight w:val="white"/>
        </w:rPr>
        <w:t xml:space="preserve">  (Accessed: 6 November 2025).</w:t>
      </w:r>
    </w:p>
    <w:p w14:paraId="69E72E84"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O’Sullivan, L., </w:t>
      </w:r>
      <w:proofErr w:type="spellStart"/>
      <w:r>
        <w:rPr>
          <w:rFonts w:ascii="Times New Roman" w:eastAsia="Times New Roman" w:hAnsi="Times New Roman" w:cs="Times New Roman"/>
          <w:color w:val="222222"/>
          <w:sz w:val="24"/>
          <w:szCs w:val="24"/>
          <w:highlight w:val="white"/>
        </w:rPr>
        <w:t>Aldasoro</w:t>
      </w:r>
      <w:proofErr w:type="spellEnd"/>
      <w:r>
        <w:rPr>
          <w:rFonts w:ascii="Times New Roman" w:eastAsia="Times New Roman" w:hAnsi="Times New Roman" w:cs="Times New Roman"/>
          <w:color w:val="222222"/>
          <w:sz w:val="24"/>
          <w:szCs w:val="24"/>
          <w:highlight w:val="white"/>
        </w:rPr>
        <w:t xml:space="preserve">, E., O’Brien, Á., Nolan, M., McGovern, C. and Carroll, Á. (2022) ‘Ethical values and principles to guide the fair allocation of resources in response to a pandemic: a rapid systematic review.’ </w:t>
      </w:r>
      <w:r>
        <w:rPr>
          <w:rFonts w:ascii="Times New Roman" w:eastAsia="Times New Roman" w:hAnsi="Times New Roman" w:cs="Times New Roman"/>
          <w:i/>
          <w:color w:val="222222"/>
          <w:sz w:val="24"/>
          <w:szCs w:val="24"/>
          <w:highlight w:val="white"/>
        </w:rPr>
        <w:t>BMC Medical Ethics</w:t>
      </w:r>
      <w:r>
        <w:rPr>
          <w:rFonts w:ascii="Times New Roman" w:eastAsia="Times New Roman" w:hAnsi="Times New Roman" w:cs="Times New Roman"/>
          <w:color w:val="222222"/>
          <w:sz w:val="24"/>
          <w:szCs w:val="24"/>
          <w:highlight w:val="white"/>
        </w:rPr>
        <w:t>, 23(1), pp. 70.</w:t>
      </w:r>
      <w:hyperlink r:id="rId28">
        <w:r w:rsidR="00F71B9C">
          <w:rPr>
            <w:rFonts w:ascii="Times New Roman" w:eastAsia="Times New Roman" w:hAnsi="Times New Roman" w:cs="Times New Roman"/>
            <w:color w:val="1155CC"/>
            <w:sz w:val="24"/>
            <w:szCs w:val="24"/>
            <w:highlight w:val="white"/>
            <w:u w:val="single"/>
          </w:rPr>
          <w:t>https://doi.org/10.1186/s12910-022-00806-8</w:t>
        </w:r>
      </w:hyperlink>
      <w:r>
        <w:rPr>
          <w:rFonts w:ascii="Times New Roman" w:eastAsia="Times New Roman" w:hAnsi="Times New Roman" w:cs="Times New Roman"/>
          <w:color w:val="222222"/>
          <w:sz w:val="24"/>
          <w:szCs w:val="24"/>
          <w:highlight w:val="white"/>
        </w:rPr>
        <w:t xml:space="preserve"> </w:t>
      </w:r>
    </w:p>
    <w:p w14:paraId="64F071DE"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32323"/>
          <w:sz w:val="24"/>
          <w:szCs w:val="24"/>
          <w:highlight w:val="white"/>
        </w:rPr>
      </w:pPr>
      <w:r>
        <w:rPr>
          <w:rFonts w:ascii="Times New Roman" w:eastAsia="Times New Roman" w:hAnsi="Times New Roman" w:cs="Times New Roman"/>
          <w:color w:val="222222"/>
          <w:sz w:val="24"/>
          <w:szCs w:val="24"/>
          <w:highlight w:val="white"/>
        </w:rPr>
        <w:t xml:space="preserve">Petch, A., Cook, A. and Miller, E., 2013. Partnership working and outcomes: do health and social care partnerships deliver for users and </w:t>
      </w:r>
      <w:proofErr w:type="gramStart"/>
      <w:r>
        <w:rPr>
          <w:rFonts w:ascii="Times New Roman" w:eastAsia="Times New Roman" w:hAnsi="Times New Roman" w:cs="Times New Roman"/>
          <w:color w:val="222222"/>
          <w:sz w:val="24"/>
          <w:szCs w:val="24"/>
          <w:highlight w:val="white"/>
        </w:rPr>
        <w:t>carers?.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Health &amp; social care in the community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(6), pp.623-633.</w:t>
      </w:r>
      <w:r>
        <w:rPr>
          <w:rFonts w:ascii="Times New Roman" w:eastAsia="Times New Roman" w:hAnsi="Times New Roman" w:cs="Times New Roman"/>
          <w:i/>
          <w:color w:val="232323"/>
          <w:sz w:val="24"/>
          <w:szCs w:val="24"/>
          <w:highlight w:val="white"/>
        </w:rPr>
        <w:t xml:space="preserve">DOI: </w:t>
      </w:r>
      <w:r>
        <w:rPr>
          <w:rFonts w:ascii="Times New Roman" w:eastAsia="Times New Roman" w:hAnsi="Times New Roman" w:cs="Times New Roman"/>
          <w:color w:val="232323"/>
          <w:sz w:val="24"/>
          <w:szCs w:val="24"/>
          <w:highlight w:val="white"/>
        </w:rPr>
        <w:t xml:space="preserve">10.1111/hsc.12050 </w:t>
      </w:r>
    </w:p>
    <w:p w14:paraId="774D2B69"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Søgaard, M.B., Andresen, K. and Kristiansen, M. (2021) ‘Systematic review of patient-engagement interventions: potentials for enhancing person-centred care for older patients with multimorbidity’. </w:t>
      </w:r>
      <w:r>
        <w:rPr>
          <w:rFonts w:ascii="Times New Roman" w:eastAsia="Times New Roman" w:hAnsi="Times New Roman" w:cs="Times New Roman"/>
          <w:i/>
          <w:color w:val="222222"/>
          <w:sz w:val="24"/>
          <w:szCs w:val="24"/>
          <w:highlight w:val="white"/>
        </w:rPr>
        <w:t>BMJ open</w:t>
      </w:r>
      <w:r>
        <w:rPr>
          <w:rFonts w:ascii="Times New Roman" w:eastAsia="Times New Roman" w:hAnsi="Times New Roman" w:cs="Times New Roman"/>
          <w:color w:val="222222"/>
          <w:sz w:val="24"/>
          <w:szCs w:val="24"/>
          <w:highlight w:val="white"/>
        </w:rPr>
        <w:t>, 11(12), pp. e048558.</w:t>
      </w:r>
      <w:hyperlink r:id="rId29">
        <w:r w:rsidR="00F71B9C">
          <w:rPr>
            <w:rFonts w:ascii="Times New Roman" w:eastAsia="Times New Roman" w:hAnsi="Times New Roman" w:cs="Times New Roman"/>
            <w:color w:val="1155CC"/>
            <w:sz w:val="24"/>
            <w:szCs w:val="24"/>
            <w:highlight w:val="white"/>
            <w:u w:val="single"/>
          </w:rPr>
          <w:t>https://doi.org/10.1136/bmjopen-2020-048558</w:t>
        </w:r>
      </w:hyperlink>
      <w:r>
        <w:rPr>
          <w:rFonts w:ascii="Times New Roman" w:eastAsia="Times New Roman" w:hAnsi="Times New Roman" w:cs="Times New Roman"/>
          <w:color w:val="222222"/>
          <w:sz w:val="24"/>
          <w:szCs w:val="24"/>
          <w:highlight w:val="white"/>
        </w:rPr>
        <w:t xml:space="preserve"> </w:t>
      </w:r>
    </w:p>
    <w:p w14:paraId="66874C36"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Spector, H. (2022) ‘Autonomy and rights.’ In </w:t>
      </w:r>
      <w:r>
        <w:rPr>
          <w:rFonts w:ascii="Times New Roman" w:eastAsia="Times New Roman" w:hAnsi="Times New Roman" w:cs="Times New Roman"/>
          <w:i/>
          <w:color w:val="222222"/>
          <w:sz w:val="24"/>
          <w:szCs w:val="24"/>
          <w:highlight w:val="white"/>
        </w:rPr>
        <w:t>The Routledge Handbook of Autonomy</w:t>
      </w:r>
      <w:r>
        <w:rPr>
          <w:rFonts w:ascii="Times New Roman" w:eastAsia="Times New Roman" w:hAnsi="Times New Roman" w:cs="Times New Roman"/>
          <w:color w:val="222222"/>
          <w:sz w:val="24"/>
          <w:szCs w:val="24"/>
          <w:highlight w:val="white"/>
        </w:rPr>
        <w:t xml:space="preserve"> (pp. 313-323). Routledge.</w:t>
      </w:r>
    </w:p>
    <w:p w14:paraId="6F839133" w14:textId="77777777" w:rsidR="00F71B9C" w:rsidRDefault="00000000" w:rsidP="00190062">
      <w:pPr>
        <w:pBdr>
          <w:top w:val="nil"/>
          <w:left w:val="nil"/>
          <w:bottom w:val="nil"/>
          <w:right w:val="nil"/>
          <w:between w:val="nil"/>
        </w:pBdr>
        <w:spacing w:line="360" w:lineRule="auto"/>
        <w:jc w:val="both"/>
        <w:rPr>
          <w:rFonts w:ascii="Times New Roman" w:eastAsia="Times New Roman" w:hAnsi="Times New Roman" w:cs="Times New Roman"/>
          <w:color w:val="232323"/>
          <w:sz w:val="24"/>
          <w:szCs w:val="24"/>
          <w:highlight w:val="white"/>
        </w:rPr>
      </w:pPr>
      <w:r>
        <w:rPr>
          <w:rFonts w:ascii="Times New Roman" w:eastAsia="Times New Roman" w:hAnsi="Times New Roman" w:cs="Times New Roman"/>
          <w:color w:val="232323"/>
          <w:sz w:val="24"/>
          <w:szCs w:val="24"/>
          <w:highlight w:val="white"/>
        </w:rPr>
        <w:t xml:space="preserve">The Health Foundation (2023) </w:t>
      </w:r>
      <w:r>
        <w:rPr>
          <w:rFonts w:ascii="Times New Roman" w:eastAsia="Times New Roman" w:hAnsi="Times New Roman" w:cs="Times New Roman"/>
          <w:i/>
          <w:color w:val="232323"/>
          <w:sz w:val="24"/>
          <w:szCs w:val="24"/>
          <w:highlight w:val="white"/>
        </w:rPr>
        <w:t>Integrated Care Systems – What do they look like?</w:t>
      </w:r>
      <w:r>
        <w:rPr>
          <w:rFonts w:ascii="Times New Roman" w:eastAsia="Times New Roman" w:hAnsi="Times New Roman" w:cs="Times New Roman"/>
          <w:color w:val="232323"/>
          <w:sz w:val="24"/>
          <w:szCs w:val="24"/>
          <w:highlight w:val="white"/>
        </w:rPr>
        <w:t xml:space="preserve"> Available at:</w:t>
      </w:r>
      <w:hyperlink r:id="rId30">
        <w:r w:rsidR="00F71B9C">
          <w:rPr>
            <w:rFonts w:ascii="Times New Roman" w:eastAsia="Times New Roman" w:hAnsi="Times New Roman" w:cs="Times New Roman"/>
            <w:color w:val="232323"/>
            <w:sz w:val="24"/>
            <w:szCs w:val="24"/>
            <w:highlight w:val="white"/>
          </w:rPr>
          <w:t xml:space="preserve"> </w:t>
        </w:r>
      </w:hyperlink>
      <w:hyperlink r:id="rId31">
        <w:r w:rsidR="00F71B9C">
          <w:rPr>
            <w:rFonts w:ascii="Times New Roman" w:eastAsia="Times New Roman" w:hAnsi="Times New Roman" w:cs="Times New Roman"/>
            <w:color w:val="1155CC"/>
            <w:sz w:val="24"/>
            <w:szCs w:val="24"/>
            <w:highlight w:val="white"/>
            <w:u w:val="single"/>
          </w:rPr>
          <w:t>https://www.health.org.uk/reports-and-analysis/briefings/integrated-care-systems-what-do-they-look-like</w:t>
        </w:r>
      </w:hyperlink>
      <w:r>
        <w:rPr>
          <w:rFonts w:ascii="Times New Roman" w:eastAsia="Times New Roman" w:hAnsi="Times New Roman" w:cs="Times New Roman"/>
          <w:color w:val="232323"/>
          <w:sz w:val="24"/>
          <w:szCs w:val="24"/>
          <w:highlight w:val="white"/>
        </w:rPr>
        <w:t xml:space="preserve">  (Accessed: 6 November 2025).</w:t>
      </w:r>
    </w:p>
    <w:sectPr w:rsidR="00F71B9C" w:rsidSect="00190062">
      <w:footerReference w:type="default" r:id="rId32"/>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875CB" w14:textId="77777777" w:rsidR="003B3D3E" w:rsidRDefault="003B3D3E">
      <w:pPr>
        <w:spacing w:line="240" w:lineRule="auto"/>
      </w:pPr>
      <w:r>
        <w:separator/>
      </w:r>
    </w:p>
  </w:endnote>
  <w:endnote w:type="continuationSeparator" w:id="0">
    <w:p w14:paraId="1CAF0143" w14:textId="77777777" w:rsidR="003B3D3E" w:rsidRDefault="003B3D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0CB8750-3CE4-4786-957D-E75EF017A21D}"/>
  </w:font>
  <w:font w:name="Calibri">
    <w:panose1 w:val="020F0502020204030204"/>
    <w:charset w:val="00"/>
    <w:family w:val="swiss"/>
    <w:pitch w:val="variable"/>
    <w:sig w:usb0="E4002EFF" w:usb1="C200247B" w:usb2="00000009" w:usb3="00000000" w:csb0="000001FF" w:csb1="00000000"/>
    <w:embedRegular r:id="rId2" w:fontKey="{5DC2F2C9-C991-47C2-AF9F-04402330EFF8}"/>
    <w:embedBold r:id="rId3" w:fontKey="{4E5B85EC-6580-4704-84AF-EE31A1CC0629}"/>
  </w:font>
  <w:font w:name="Cambria">
    <w:panose1 w:val="02040503050406030204"/>
    <w:charset w:val="00"/>
    <w:family w:val="roman"/>
    <w:pitch w:val="variable"/>
    <w:sig w:usb0="E00006FF" w:usb1="420024FF" w:usb2="02000000" w:usb3="00000000" w:csb0="0000019F" w:csb1="00000000"/>
    <w:embedRegular r:id="rId4" w:fontKey="{2634DDA1-A322-4345-BD89-E2D75503CE0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82E4C9" w14:textId="77777777" w:rsidR="00F71B9C" w:rsidRDefault="00000000">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190062">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148FA8E5" w14:textId="77777777" w:rsidR="00F71B9C" w:rsidRDefault="00F71B9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EA035" w14:textId="77777777" w:rsidR="003B3D3E" w:rsidRDefault="003B3D3E">
      <w:pPr>
        <w:spacing w:line="240" w:lineRule="auto"/>
      </w:pPr>
      <w:r>
        <w:separator/>
      </w:r>
    </w:p>
  </w:footnote>
  <w:footnote w:type="continuationSeparator" w:id="0">
    <w:p w14:paraId="612184E1" w14:textId="77777777" w:rsidR="003B3D3E" w:rsidRDefault="003B3D3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B9C"/>
    <w:rsid w:val="00190062"/>
    <w:rsid w:val="003B3D3E"/>
    <w:rsid w:val="004C6A01"/>
    <w:rsid w:val="00760AC5"/>
    <w:rsid w:val="008E6498"/>
    <w:rsid w:val="008F2B18"/>
    <w:rsid w:val="00DC3A57"/>
    <w:rsid w:val="00F71B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34132"/>
  <w15:docId w15:val="{AE23B8CF-4A00-4CBB-A492-45D207410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706EE4"/>
    <w:tblPr>
      <w:tblCellMar>
        <w:top w:w="100" w:type="dxa"/>
        <w:left w:w="100" w:type="dxa"/>
        <w:bottom w:w="100" w:type="dxa"/>
        <w:right w:w="100" w:type="dxa"/>
      </w:tblCellMar>
    </w:tblPr>
  </w:style>
  <w:style w:type="paragraph" w:customStyle="1" w:styleId="Normal1">
    <w:name w:val="Normal1"/>
    <w:rsid w:val="00706EE4"/>
  </w:style>
  <w:style w:type="paragraph" w:styleId="CommentText">
    <w:name w:val="annotation text"/>
    <w:basedOn w:val="Normal"/>
    <w:link w:val="CommentTextChar"/>
    <w:uiPriority w:val="99"/>
    <w:semiHidden/>
    <w:unhideWhenUsed/>
    <w:rsid w:val="00706EE4"/>
    <w:pPr>
      <w:spacing w:line="240" w:lineRule="auto"/>
    </w:pPr>
    <w:rPr>
      <w:sz w:val="20"/>
      <w:szCs w:val="20"/>
    </w:rPr>
  </w:style>
  <w:style w:type="character" w:customStyle="1" w:styleId="CommentTextChar">
    <w:name w:val="Comment Text Char"/>
    <w:basedOn w:val="DefaultParagraphFont"/>
    <w:link w:val="CommentText"/>
    <w:uiPriority w:val="99"/>
    <w:semiHidden/>
    <w:rsid w:val="00706EE4"/>
    <w:rPr>
      <w:sz w:val="20"/>
      <w:szCs w:val="20"/>
    </w:rPr>
  </w:style>
  <w:style w:type="character" w:styleId="CommentReference">
    <w:name w:val="annotation reference"/>
    <w:basedOn w:val="DefaultParagraphFont"/>
    <w:uiPriority w:val="99"/>
    <w:semiHidden/>
    <w:unhideWhenUsed/>
    <w:rsid w:val="00706EE4"/>
    <w:rPr>
      <w:sz w:val="16"/>
      <w:szCs w:val="16"/>
    </w:rPr>
  </w:style>
  <w:style w:type="paragraph" w:styleId="BalloonText">
    <w:name w:val="Balloon Text"/>
    <w:basedOn w:val="Normal"/>
    <w:link w:val="BalloonTextChar"/>
    <w:uiPriority w:val="99"/>
    <w:semiHidden/>
    <w:unhideWhenUsed/>
    <w:rsid w:val="007D59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979"/>
    <w:rPr>
      <w:rFonts w:ascii="Tahoma" w:hAnsi="Tahoma" w:cs="Tahoma"/>
      <w:sz w:val="16"/>
      <w:szCs w:val="16"/>
    </w:rPr>
  </w:style>
  <w:style w:type="paragraph" w:styleId="Header">
    <w:name w:val="header"/>
    <w:basedOn w:val="Normal"/>
    <w:link w:val="HeaderChar"/>
    <w:uiPriority w:val="99"/>
    <w:semiHidden/>
    <w:unhideWhenUsed/>
    <w:rsid w:val="007D597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D5979"/>
  </w:style>
  <w:style w:type="paragraph" w:styleId="Footer">
    <w:name w:val="footer"/>
    <w:basedOn w:val="Normal"/>
    <w:link w:val="FooterChar"/>
    <w:uiPriority w:val="99"/>
    <w:unhideWhenUsed/>
    <w:rsid w:val="007D5979"/>
    <w:pPr>
      <w:tabs>
        <w:tab w:val="center" w:pos="4680"/>
        <w:tab w:val="right" w:pos="9360"/>
      </w:tabs>
      <w:spacing w:line="240" w:lineRule="auto"/>
    </w:pPr>
  </w:style>
  <w:style w:type="character" w:customStyle="1" w:styleId="FooterChar">
    <w:name w:val="Footer Char"/>
    <w:basedOn w:val="DefaultParagraphFont"/>
    <w:link w:val="Footer"/>
    <w:uiPriority w:val="99"/>
    <w:rsid w:val="007D5979"/>
  </w:style>
  <w:style w:type="paragraph" w:styleId="TOCHeading">
    <w:name w:val="TOC Heading"/>
    <w:basedOn w:val="Heading1"/>
    <w:next w:val="Normal"/>
    <w:uiPriority w:val="39"/>
    <w:semiHidden/>
    <w:unhideWhenUsed/>
    <w:qFormat/>
    <w:rsid w:val="00CD64F5"/>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D64F5"/>
    <w:pPr>
      <w:spacing w:after="100"/>
    </w:pPr>
  </w:style>
  <w:style w:type="character" w:styleId="Hyperlink">
    <w:name w:val="Hyperlink"/>
    <w:basedOn w:val="DefaultParagraphFont"/>
    <w:uiPriority w:val="99"/>
    <w:unhideWhenUsed/>
    <w:rsid w:val="00CD64F5"/>
    <w:rPr>
      <w:color w:val="0000FF" w:themeColor="hyperlink"/>
      <w:u w:val="single"/>
    </w:rPr>
  </w:style>
  <w:style w:type="paragraph" w:styleId="NormalWeb">
    <w:name w:val="Normal (Web)"/>
    <w:basedOn w:val="Normal"/>
    <w:uiPriority w:val="99"/>
    <w:unhideWhenUsed/>
    <w:rsid w:val="006B42B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state-of-health-and-adult-social-care-in-england-2022-to-2023?utm_source=chatgpt.com" TargetMode="External"/><Relationship Id="rId18" Type="http://schemas.openxmlformats.org/officeDocument/2006/relationships/hyperlink" Target="https://doi.org/10.1016/s2542-5196(22)00197-8" TargetMode="External"/><Relationship Id="rId26" Type="http://schemas.openxmlformats.org/officeDocument/2006/relationships/hyperlink" Target="https://www.nuffieldtrust.org.uk/resource/do-patients-feel-involved-in-decisions-about-their-care?utm_source=chatgpt.com" TargetMode="External"/><Relationship Id="rId3" Type="http://schemas.openxmlformats.org/officeDocument/2006/relationships/settings" Target="settings.xml"/><Relationship Id="rId21" Type="http://schemas.openxmlformats.org/officeDocument/2006/relationships/hyperlink" Target="https://doi.org/10.1186/s12913-022-07823-8"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publications/state-of-health-and-adult-social-care-in-england-2022-to-2023?utm_source=chatgpt.com" TargetMode="External"/><Relationship Id="rId17" Type="http://schemas.openxmlformats.org/officeDocument/2006/relationships/hyperlink" Target="https://doi.org/10.1080/09540261.2020.1845125" TargetMode="External"/><Relationship Id="rId25" Type="http://schemas.openxmlformats.org/officeDocument/2006/relationships/hyperlink" Target="https://www.england.nhs.uk/long-read/working-in-partnership-with-people-and-communities-statutory-guidance/?utm_source=chatgpt.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data-sharing-the-beating-heart-of-a-successful-public-sector" TargetMode="External"/><Relationship Id="rId20" Type="http://schemas.openxmlformats.org/officeDocument/2006/relationships/hyperlink" Target="https://doi.org/10.1186/s12875-023-02194-3" TargetMode="External"/><Relationship Id="rId29" Type="http://schemas.openxmlformats.org/officeDocument/2006/relationships/hyperlink" Target="https://doi.org/10.1136/bmjopen-2020-04855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ngland.nhs.uk/long-read/working-in-partnership-with-people-and-communities-statutory-guidance/?utm_source=chatgpt.com"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data-sharing-the-beating-heart-of-a-successful-public-sector?utm_source=chatgpt.com" TargetMode="External"/><Relationship Id="rId23" Type="http://schemas.openxmlformats.org/officeDocument/2006/relationships/hyperlink" Target="https://doi.org/10.5334/ijic.5666" TargetMode="External"/><Relationship Id="rId28" Type="http://schemas.openxmlformats.org/officeDocument/2006/relationships/hyperlink" Target="https://doi.org/10.1186/s12910-022-00806-8" TargetMode="External"/><Relationship Id="rId10" Type="http://schemas.openxmlformats.org/officeDocument/2006/relationships/image" Target="media/image4.png"/><Relationship Id="rId19" Type="http://schemas.openxmlformats.org/officeDocument/2006/relationships/hyperlink" Target="https://doi.org/10.2196/35684" TargetMode="External"/><Relationship Id="rId31" Type="http://schemas.openxmlformats.org/officeDocument/2006/relationships/hyperlink" Target="https://www.health.org.uk/reports-and-analysis/briefings/integrated-care-systems-what-do-they-look-lik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912-023-01246-4" TargetMode="External"/><Relationship Id="rId22" Type="http://schemas.openxmlformats.org/officeDocument/2006/relationships/hyperlink" Target="https://doi.org/10.3389/fpubh.2022.819096" TargetMode="External"/><Relationship Id="rId27" Type="http://schemas.openxmlformats.org/officeDocument/2006/relationships/hyperlink" Target="https://www.nuffieldtrust.org.uk/resource/do-patients-feel-involved-in-decisions-about-their-care" TargetMode="External"/><Relationship Id="rId30" Type="http://schemas.openxmlformats.org/officeDocument/2006/relationships/hyperlink" Target="https://www.health.org.uk/reports-and-analysis/briefings/integrated-care-systems-what-do-they-look-like?utm_source=chatgpt.com" TargetMode="Externa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YAqEVL0jR58MeGyASHIo2KRVw==">CgMxLjAyDmguejUxN3ptOXJpa204Mg5oLndnbTN5azljcTQyMjINaC4xdzZ1MGQ2c3RieTIOaC51aGJ1Z2Nwa2FjcXkyDmguYTJnemJ5djViZ3V2Mg5oLmxjbnNlbWdsbTBvaDIOaC5od3J6dG4xZmlvb2MyDmguOGczZGhxcjdlcm5hMg5oLjRuMDRqcTI1ZnJvazIOaC5lNHpqbHQxMXRyejg4AHIhMTlSTVRrM3VwZ252ZkwwZGVnZGVDbzZTSjgzZG9YMVo3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3263</Words>
  <Characters>18605</Characters>
  <Application>Microsoft Office Word</Application>
  <DocSecurity>0</DocSecurity>
  <Lines>155</Lines>
  <Paragraphs>43</Paragraphs>
  <ScaleCrop>false</ScaleCrop>
  <Company/>
  <LinksUpToDate>false</LinksUpToDate>
  <CharactersWithSpaces>21825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Bianca Florea</dc:creator>
  <cp:lastModifiedBy>Lilieana Lavinia Victoria (2412370)</cp:lastModifiedBy>
  <cp:revision>2</cp:revision>
  <dcterms:created xsi:type="dcterms:W3CDTF">2025-11-16T14:58:00Z</dcterms:created>
  <dcterms:modified xsi:type="dcterms:W3CDTF">2025-11-16T14:58:00Z</dcterms:modified>
</cp:coreProperties>
</file>