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5DCF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224DF">
              <w:rPr>
                <w:rFonts w:ascii="Times New Roman" w:hAnsi="Times New Roman" w:cs="Times New Roman"/>
                <w:b/>
                <w:color w:val="auto"/>
                <w:sz w:val="48"/>
              </w:rPr>
              <w:t xml:space="preserve">Aimee </w:t>
            </w:r>
            <w:proofErr w:type="spellStart"/>
            <w:r w:rsidR="009224DF">
              <w:rPr>
                <w:rFonts w:ascii="Times New Roman" w:hAnsi="Times New Roman" w:cs="Times New Roman"/>
                <w:b/>
                <w:color w:val="auto"/>
                <w:sz w:val="48"/>
              </w:rPr>
              <w:t>O’Marah</w:t>
            </w:r>
            <w:proofErr w:type="spellEnd"/>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104311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224DF">
              <w:rPr>
                <w:rFonts w:ascii="Times New Roman" w:hAnsi="Times New Roman" w:cs="Times New Roman"/>
                <w:b/>
                <w:color w:val="auto"/>
                <w:sz w:val="48"/>
              </w:rPr>
              <w:t xml:space="preserve"> 2431663@student.uwtsd.ac.uk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4B20A10" w14:textId="08DCA3D1" w:rsidR="009224D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91EC1E3" w14:textId="6E11840F" w:rsidR="009224DF" w:rsidRPr="005D3F07" w:rsidRDefault="009224D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2431663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A474036" w14:textId="77777777" w:rsidR="009224DF"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07C87D2A" w14:textId="77777777" w:rsidR="009224DF" w:rsidRDefault="009224DF" w:rsidP="00FF7EBB">
            <w:pPr>
              <w:jc w:val="both"/>
              <w:rPr>
                <w:sz w:val="24"/>
                <w:szCs w:val="24"/>
              </w:rPr>
            </w:pPr>
          </w:p>
          <w:p w14:paraId="31767153" w14:textId="77777777" w:rsidR="009224DF" w:rsidRDefault="009224DF" w:rsidP="009224DF">
            <w:pPr>
              <w:spacing w:line="360" w:lineRule="auto"/>
              <w:jc w:val="both"/>
              <w:rPr>
                <w:sz w:val="24"/>
                <w:szCs w:val="24"/>
              </w:rPr>
            </w:pPr>
            <w:r w:rsidRPr="00815E15">
              <w:rPr>
                <w:sz w:val="24"/>
                <w:szCs w:val="24"/>
              </w:rPr>
              <w:t xml:space="preserve">My understanding of adult safeguarding is that it guided by statutory guidance and national legislation, these are implemented through local authority (LA) policies and multi-agency procedures appointed to protect adults at risk from abuse or neglect. </w:t>
            </w:r>
          </w:p>
          <w:p w14:paraId="27E6586B" w14:textId="77777777" w:rsidR="009224DF" w:rsidRPr="00815E15" w:rsidRDefault="009224DF" w:rsidP="009224DF">
            <w:pPr>
              <w:spacing w:line="360" w:lineRule="auto"/>
              <w:jc w:val="both"/>
              <w:rPr>
                <w:sz w:val="24"/>
                <w:szCs w:val="24"/>
              </w:rPr>
            </w:pPr>
          </w:p>
          <w:p w14:paraId="4ADABD7D" w14:textId="77777777" w:rsidR="009224DF" w:rsidRDefault="009224DF" w:rsidP="009224DF">
            <w:pPr>
              <w:spacing w:line="360" w:lineRule="auto"/>
              <w:jc w:val="both"/>
              <w:rPr>
                <w:sz w:val="24"/>
                <w:szCs w:val="24"/>
              </w:rPr>
            </w:pPr>
            <w:r w:rsidRPr="00815E15">
              <w:rPr>
                <w:sz w:val="24"/>
                <w:szCs w:val="24"/>
              </w:rPr>
              <w:t xml:space="preserve">The national legislation in Wales is the Social Services and Well-being Wales Act (2014) (SSWBA) Part 7 Safeguarding places a legal duty on LA and partner agencies to safeguard adults who are at risk and to promote their well-being. Within the SSWBA is the definition of an ‘adult at risk’ of harm or abuse, which is an adult experiencing or at risk of experiencing abuse or neglect, has their own care and support needs, is unable to protect themselves because of those needs. The SSWBA provides the legal framework for identifying adults at risk, responding to safeguarding concerns and balancing protection with respect for individual rights, choice and autonomy, which meets Learning Outcome (LO) 3. The SSWBA sets out the responsibility to prevent abuse, to respond to concerns, with emphasises on the importance of prevention, early intervention and working in collaboration with people in need care and support, and other agencies such as health, police and third sector providers, which meets LO2. </w:t>
            </w:r>
          </w:p>
          <w:p w14:paraId="44A43C3A" w14:textId="77777777" w:rsidR="009224DF" w:rsidRPr="00815E15" w:rsidRDefault="009224DF" w:rsidP="009224DF">
            <w:pPr>
              <w:spacing w:line="360" w:lineRule="auto"/>
              <w:jc w:val="both"/>
              <w:rPr>
                <w:sz w:val="24"/>
                <w:szCs w:val="24"/>
              </w:rPr>
            </w:pPr>
          </w:p>
          <w:p w14:paraId="6BA75269" w14:textId="77777777" w:rsidR="009224DF" w:rsidRDefault="009224DF" w:rsidP="009224DF">
            <w:pPr>
              <w:spacing w:line="360" w:lineRule="auto"/>
              <w:jc w:val="both"/>
              <w:rPr>
                <w:sz w:val="24"/>
                <w:szCs w:val="24"/>
              </w:rPr>
            </w:pPr>
            <w:r w:rsidRPr="00815E15">
              <w:rPr>
                <w:sz w:val="24"/>
                <w:szCs w:val="24"/>
              </w:rPr>
              <w:t xml:space="preserve">The Wales Safeguarding Procedures </w:t>
            </w:r>
            <w:r>
              <w:rPr>
                <w:sz w:val="24"/>
                <w:szCs w:val="24"/>
              </w:rPr>
              <w:t xml:space="preserve">(2026) </w:t>
            </w:r>
            <w:r w:rsidRPr="00815E15">
              <w:rPr>
                <w:sz w:val="24"/>
                <w:szCs w:val="24"/>
              </w:rPr>
              <w:t xml:space="preserve">(WSP) supports the SSWBA for providing the framework for responding to safeguarding concerns.  It includes how safeguarding concerns </w:t>
            </w:r>
            <w:r w:rsidRPr="00815E15">
              <w:rPr>
                <w:sz w:val="24"/>
                <w:szCs w:val="24"/>
              </w:rPr>
              <w:lastRenderedPageBreak/>
              <w:t xml:space="preserve">should be reported, recorded, assessed and investigated. These procedures include key safeguarding principles such as person-centred practice, proportionality, prevention, partnership working and accountability (Social Care Wales, 2019).  </w:t>
            </w:r>
          </w:p>
          <w:p w14:paraId="0D118214" w14:textId="77777777" w:rsidR="009224DF" w:rsidRPr="00815E15" w:rsidRDefault="009224DF" w:rsidP="009224DF">
            <w:pPr>
              <w:spacing w:line="360" w:lineRule="auto"/>
              <w:jc w:val="both"/>
              <w:rPr>
                <w:sz w:val="24"/>
                <w:szCs w:val="24"/>
              </w:rPr>
            </w:pPr>
          </w:p>
          <w:p w14:paraId="73B7FD86" w14:textId="77777777" w:rsidR="009224DF" w:rsidRDefault="009224DF" w:rsidP="009224DF">
            <w:pPr>
              <w:spacing w:line="360" w:lineRule="auto"/>
              <w:jc w:val="both"/>
              <w:rPr>
                <w:sz w:val="24"/>
                <w:szCs w:val="24"/>
              </w:rPr>
            </w:pPr>
            <w:r w:rsidRPr="00815E15">
              <w:rPr>
                <w:sz w:val="24"/>
                <w:szCs w:val="24"/>
              </w:rPr>
              <w:t xml:space="preserve">At a local level, each LA has its own safeguarding policies and procedures that adhere to the SSWBA and WSP. These provide staff with clear instructions of how to recognise abuse or neglect, how to report these concerns, who to report to, timescales, roles and responsibilities. Local Safeguarding Adult Boards oversee how safeguarding is implemented, across the area and ensure agencies work together effectively. </w:t>
            </w:r>
          </w:p>
          <w:p w14:paraId="7485E9B9" w14:textId="77777777" w:rsidR="009224DF" w:rsidRPr="00815E15" w:rsidRDefault="009224DF" w:rsidP="009224DF">
            <w:pPr>
              <w:spacing w:line="360" w:lineRule="auto"/>
              <w:jc w:val="both"/>
              <w:rPr>
                <w:sz w:val="24"/>
                <w:szCs w:val="24"/>
              </w:rPr>
            </w:pPr>
          </w:p>
          <w:p w14:paraId="50645BB6" w14:textId="77777777" w:rsidR="009224DF" w:rsidRDefault="009224DF" w:rsidP="009224DF">
            <w:pPr>
              <w:spacing w:line="360" w:lineRule="auto"/>
              <w:jc w:val="both"/>
              <w:rPr>
                <w:sz w:val="24"/>
                <w:szCs w:val="24"/>
              </w:rPr>
            </w:pPr>
            <w:r>
              <w:rPr>
                <w:sz w:val="24"/>
                <w:szCs w:val="24"/>
              </w:rPr>
              <w:t xml:space="preserve">Consideration is </w:t>
            </w:r>
            <w:r w:rsidRPr="00815E15">
              <w:rPr>
                <w:sz w:val="24"/>
                <w:szCs w:val="24"/>
              </w:rPr>
              <w:t xml:space="preserve">given to The Mental Capacity Act (2005) (MCA) regarding measuring capacity. Any safeguarding arrangements should empower the adult at risk to make choices and to develop their capacity to respond to the safeguarding actions, adult safeguarding should be person-centred and if an individual is assessed as not having capacity, then Best Interest Decision processes should be followed, with the appointee of a trusted person or independent advocate to make decisions (MCA, 2005). An adult’s right to safety must be balanced with other rights such as rights to autonomy and liberty, and the right to family life (Human Rights Act, 1998). Adults have the right to decide if they want to be safeguarded, this decision is considered alongside the MCA, as adults have the right to decide not to protect themselves unless there a risk of significant harm (SSWBA, 2014). Whilst consent and participation are prioritized, there is also a duty for professionals to share information and act without consent when there is a significant risk of harm, which meets LO1. </w:t>
            </w:r>
          </w:p>
          <w:p w14:paraId="351F388C" w14:textId="77777777" w:rsidR="009224DF" w:rsidRPr="00815E15" w:rsidRDefault="009224DF" w:rsidP="009224DF">
            <w:pPr>
              <w:spacing w:line="360" w:lineRule="auto"/>
              <w:jc w:val="both"/>
              <w:rPr>
                <w:sz w:val="24"/>
                <w:szCs w:val="24"/>
              </w:rPr>
            </w:pPr>
          </w:p>
          <w:p w14:paraId="09C92E20" w14:textId="77777777" w:rsidR="009224DF" w:rsidRDefault="009224DF" w:rsidP="009224DF">
            <w:pPr>
              <w:spacing w:line="360" w:lineRule="auto"/>
              <w:jc w:val="both"/>
              <w:rPr>
                <w:sz w:val="24"/>
                <w:szCs w:val="24"/>
              </w:rPr>
            </w:pPr>
            <w:r w:rsidRPr="00815E15">
              <w:rPr>
                <w:sz w:val="24"/>
                <w:szCs w:val="24"/>
              </w:rPr>
              <w:t xml:space="preserve">Social workers play a key role in coordinating safeguarding responses, completing enquiries, undertaking risk assessments, contributing to multi-agency meetings and plans for safeguarding. Overall, my understanding of adults safeguarding is that adult safeguarding is a shared responsibility underpinned by national law and guidance as stated above, this is conducted ensuring the local policies protect adults at risk while protecting/promoting their rights and promoting their well-being. </w:t>
            </w:r>
          </w:p>
          <w:p w14:paraId="05FB3E3F" w14:textId="77777777" w:rsidR="009224DF" w:rsidRPr="00815E15" w:rsidRDefault="009224DF" w:rsidP="009224DF">
            <w:pPr>
              <w:spacing w:line="360" w:lineRule="auto"/>
              <w:jc w:val="both"/>
              <w:rPr>
                <w:sz w:val="24"/>
                <w:szCs w:val="24"/>
              </w:rPr>
            </w:pPr>
          </w:p>
          <w:p w14:paraId="746B2E04" w14:textId="77777777" w:rsidR="009224DF" w:rsidRDefault="009224DF" w:rsidP="00FF7EBB">
            <w:pPr>
              <w:jc w:val="both"/>
              <w:rPr>
                <w:b/>
                <w:bCs/>
                <w:sz w:val="24"/>
                <w:szCs w:val="24"/>
                <w:u w:val="single"/>
              </w:rPr>
            </w:pPr>
            <w:r>
              <w:rPr>
                <w:sz w:val="24"/>
                <w:szCs w:val="24"/>
              </w:rPr>
              <w:t xml:space="preserve"> </w:t>
            </w:r>
            <w:r w:rsidRPr="00815E15">
              <w:rPr>
                <w:b/>
                <w:bCs/>
                <w:sz w:val="24"/>
                <w:szCs w:val="24"/>
                <w:u w:val="single"/>
              </w:rPr>
              <w:t xml:space="preserve">Words </w:t>
            </w:r>
            <w:r>
              <w:rPr>
                <w:b/>
                <w:bCs/>
                <w:sz w:val="24"/>
                <w:szCs w:val="24"/>
                <w:u w:val="single"/>
              </w:rPr>
              <w:t>549</w:t>
            </w:r>
            <w:r>
              <w:rPr>
                <w:b/>
                <w:bCs/>
                <w:sz w:val="24"/>
                <w:szCs w:val="24"/>
                <w:u w:val="single"/>
              </w:rPr>
              <w:t xml:space="preserve"> </w:t>
            </w:r>
          </w:p>
          <w:p w14:paraId="4FF8EBF3" w14:textId="72E27338" w:rsidR="005A545C" w:rsidRDefault="005414F4" w:rsidP="00FF7EBB">
            <w:pPr>
              <w:jc w:val="both"/>
              <w:rPr>
                <w:sz w:val="24"/>
                <w:szCs w:val="24"/>
              </w:rPr>
            </w:pPr>
            <w:r w:rsidRPr="006108C9">
              <w:rPr>
                <w:i/>
                <w:sz w:val="24"/>
                <w:szCs w:val="24"/>
              </w:rPr>
              <w:lastRenderedPageBreak/>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9AECE91" w14:textId="77777777" w:rsidR="009224DF" w:rsidRDefault="009224DF" w:rsidP="00FC0334">
            <w:pPr>
              <w:jc w:val="both"/>
              <w:rPr>
                <w:sz w:val="24"/>
                <w:szCs w:val="24"/>
              </w:rPr>
            </w:pPr>
          </w:p>
          <w:p w14:paraId="1EB6A324" w14:textId="1A280104" w:rsidR="009224DF" w:rsidRDefault="009224DF" w:rsidP="009224DF">
            <w:pPr>
              <w:spacing w:line="360" w:lineRule="auto"/>
              <w:jc w:val="both"/>
              <w:rPr>
                <w:sz w:val="24"/>
                <w:szCs w:val="24"/>
              </w:rPr>
            </w:pPr>
            <w:r w:rsidRPr="0039717B">
              <w:rPr>
                <w:sz w:val="24"/>
                <w:szCs w:val="24"/>
              </w:rPr>
              <w:t xml:space="preserve">Both are governed by the </w:t>
            </w:r>
            <w:r w:rsidRPr="0039717B">
              <w:rPr>
                <w:sz w:val="24"/>
                <w:szCs w:val="24"/>
              </w:rPr>
              <w:t xml:space="preserve">SSWBA </w:t>
            </w:r>
            <w:r>
              <w:rPr>
                <w:sz w:val="24"/>
                <w:szCs w:val="24"/>
              </w:rPr>
              <w:t>(</w:t>
            </w:r>
            <w:r w:rsidRPr="0039717B">
              <w:rPr>
                <w:sz w:val="24"/>
                <w:szCs w:val="24"/>
              </w:rPr>
              <w:t>noted above</w:t>
            </w:r>
            <w:r>
              <w:rPr>
                <w:sz w:val="24"/>
                <w:szCs w:val="24"/>
              </w:rPr>
              <w:t xml:space="preserve">) </w:t>
            </w:r>
            <w:r w:rsidRPr="0039717B">
              <w:rPr>
                <w:sz w:val="24"/>
                <w:szCs w:val="24"/>
              </w:rPr>
              <w:t xml:space="preserve">and give definition for a child at risk of abuse and neglect, and an adult. The difference in safeguarding for adults at risk, is that all three of the criteria outlines above must be met to be at risk, whereas for children there is no requirement for care and support needs, therefore the thresholds are higher for adults than children. </w:t>
            </w:r>
          </w:p>
          <w:p w14:paraId="5F9D6355" w14:textId="77777777" w:rsidR="009224DF" w:rsidRPr="0039717B" w:rsidRDefault="009224DF" w:rsidP="009224DF">
            <w:pPr>
              <w:spacing w:line="360" w:lineRule="auto"/>
              <w:jc w:val="both"/>
              <w:rPr>
                <w:sz w:val="24"/>
                <w:szCs w:val="24"/>
              </w:rPr>
            </w:pPr>
          </w:p>
          <w:p w14:paraId="33F8AA1E" w14:textId="77777777" w:rsidR="009224DF" w:rsidRDefault="009224DF" w:rsidP="009224DF">
            <w:pPr>
              <w:spacing w:line="360" w:lineRule="auto"/>
              <w:jc w:val="both"/>
              <w:rPr>
                <w:sz w:val="24"/>
                <w:szCs w:val="24"/>
              </w:rPr>
            </w:pPr>
            <w:r w:rsidRPr="0039717B">
              <w:rPr>
                <w:sz w:val="24"/>
                <w:szCs w:val="24"/>
              </w:rPr>
              <w:t xml:space="preserve">In adults social care they are assumed to have capacity unless proven otherwise, consent is required for an assessment to take place, meaning adults can if they have capacity refuse support even if this puts them at risk (Scragg &amp; Mantell, 2011). Whereas in children’s social work decisions are made based on the best interests of the child, if a child is at risk the LA can intervene without parents’ consent. The LA also has powers to remove children from unsafe situations if the thresholds are met. </w:t>
            </w:r>
          </w:p>
          <w:p w14:paraId="65A30C80" w14:textId="77777777" w:rsidR="009224DF" w:rsidRPr="0039717B" w:rsidRDefault="009224DF" w:rsidP="009224DF">
            <w:pPr>
              <w:spacing w:line="360" w:lineRule="auto"/>
              <w:jc w:val="both"/>
              <w:rPr>
                <w:sz w:val="24"/>
                <w:szCs w:val="24"/>
              </w:rPr>
            </w:pPr>
          </w:p>
          <w:p w14:paraId="3B236EE8" w14:textId="77777777" w:rsidR="009224DF" w:rsidRDefault="009224DF" w:rsidP="009224DF">
            <w:pPr>
              <w:spacing w:line="360" w:lineRule="auto"/>
              <w:jc w:val="both"/>
              <w:rPr>
                <w:sz w:val="24"/>
                <w:szCs w:val="24"/>
              </w:rPr>
            </w:pPr>
            <w:r w:rsidRPr="0039717B">
              <w:rPr>
                <w:sz w:val="24"/>
                <w:szCs w:val="24"/>
              </w:rPr>
              <w:t xml:space="preserve">In safeguarding adults, the emphasis is on their own personal outcomes and empowering them to make their own choice with focus being on the least restrictive options the SSWBA outlines how social care for adults is to be supportive and balanced with rights. Whereas in children’s social work the safeguarding approach is more protective with the child’s safety, protection and prevention of harm being paramount. </w:t>
            </w:r>
          </w:p>
          <w:p w14:paraId="59627D0B" w14:textId="77777777" w:rsidR="009224DF" w:rsidRPr="0039717B" w:rsidRDefault="009224DF" w:rsidP="009224DF">
            <w:pPr>
              <w:spacing w:line="360" w:lineRule="auto"/>
              <w:jc w:val="both"/>
              <w:rPr>
                <w:sz w:val="24"/>
                <w:szCs w:val="24"/>
              </w:rPr>
            </w:pPr>
          </w:p>
          <w:p w14:paraId="3263E2C4" w14:textId="77777777" w:rsidR="009224DF" w:rsidRDefault="009224DF" w:rsidP="009224DF">
            <w:pPr>
              <w:spacing w:line="360" w:lineRule="auto"/>
              <w:jc w:val="both"/>
              <w:rPr>
                <w:sz w:val="24"/>
                <w:szCs w:val="24"/>
              </w:rPr>
            </w:pPr>
            <w:r w:rsidRPr="0039717B">
              <w:rPr>
                <w:sz w:val="24"/>
                <w:szCs w:val="24"/>
              </w:rPr>
              <w:t>Different to the MCA, in children’s social work Gillick competency</w:t>
            </w:r>
            <w:r>
              <w:rPr>
                <w:sz w:val="24"/>
                <w:szCs w:val="24"/>
              </w:rPr>
              <w:t xml:space="preserve"> (Griffith, 2016)</w:t>
            </w:r>
            <w:r w:rsidRPr="0039717B">
              <w:rPr>
                <w:sz w:val="24"/>
                <w:szCs w:val="24"/>
              </w:rPr>
              <w:t xml:space="preserve"> is a legal standard used to assess whether a child is mature enough to make their own decisions regarding medical treatment only. This is for a child under the age of 16 giving consent to their medical treatment providing they have sufficient understanding and intelligence to fully appreciate the implications of the treatment, for example if they are found to be Gillick </w:t>
            </w:r>
            <w:r w:rsidRPr="0039717B">
              <w:rPr>
                <w:sz w:val="24"/>
                <w:szCs w:val="24"/>
              </w:rPr>
              <w:lastRenderedPageBreak/>
              <w:t>competent they can legally get contraception without a parent’s consent, if they are not Gillick competent then parents’ consent must be obtained.</w:t>
            </w:r>
          </w:p>
          <w:p w14:paraId="3CFF55E4" w14:textId="77777777" w:rsidR="009224DF" w:rsidRPr="0039717B" w:rsidRDefault="009224DF" w:rsidP="009224DF">
            <w:pPr>
              <w:spacing w:line="360" w:lineRule="auto"/>
              <w:jc w:val="both"/>
              <w:rPr>
                <w:sz w:val="24"/>
                <w:szCs w:val="24"/>
              </w:rPr>
            </w:pPr>
          </w:p>
          <w:p w14:paraId="2A8ED9C1" w14:textId="77777777" w:rsidR="009224DF" w:rsidRDefault="009224DF" w:rsidP="009224DF">
            <w:pPr>
              <w:spacing w:line="360" w:lineRule="auto"/>
              <w:jc w:val="both"/>
              <w:rPr>
                <w:sz w:val="24"/>
                <w:szCs w:val="24"/>
              </w:rPr>
            </w:pPr>
            <w:r>
              <w:rPr>
                <w:sz w:val="24"/>
                <w:szCs w:val="24"/>
              </w:rPr>
              <w:t xml:space="preserve">According to the NSPCC (2023) </w:t>
            </w:r>
            <w:r w:rsidRPr="0039717B">
              <w:rPr>
                <w:sz w:val="24"/>
                <w:szCs w:val="24"/>
              </w:rPr>
              <w:t xml:space="preserve">The Fraser guideline is </w:t>
            </w:r>
            <w:proofErr w:type="gramStart"/>
            <w:r w:rsidRPr="0039717B">
              <w:rPr>
                <w:sz w:val="24"/>
                <w:szCs w:val="24"/>
              </w:rPr>
              <w:t>similar to</w:t>
            </w:r>
            <w:proofErr w:type="gramEnd"/>
            <w:r w:rsidRPr="0039717B">
              <w:rPr>
                <w:sz w:val="24"/>
                <w:szCs w:val="24"/>
              </w:rPr>
              <w:t xml:space="preserve"> Gillick competency, however, specifically addresses the capacity to consent to contraceptive advise and treatment for children under 16 years of age. However, there are thresholds as to what would constitute as a safeguarding issue resulting in a child having to be safeguarded regardless of their competency under the Gillick/Fraser guidelines. </w:t>
            </w:r>
          </w:p>
          <w:p w14:paraId="4544975B" w14:textId="77777777" w:rsidR="009224DF" w:rsidRPr="0039717B" w:rsidRDefault="009224DF" w:rsidP="009224DF">
            <w:pPr>
              <w:spacing w:line="360" w:lineRule="auto"/>
              <w:jc w:val="both"/>
              <w:rPr>
                <w:sz w:val="24"/>
                <w:szCs w:val="24"/>
              </w:rPr>
            </w:pPr>
          </w:p>
          <w:p w14:paraId="736F5A84" w14:textId="77777777" w:rsidR="009224DF" w:rsidRPr="0039717B" w:rsidRDefault="009224DF" w:rsidP="009224DF">
            <w:pPr>
              <w:spacing w:line="360" w:lineRule="auto"/>
              <w:jc w:val="both"/>
              <w:rPr>
                <w:sz w:val="24"/>
                <w:szCs w:val="24"/>
              </w:rPr>
            </w:pPr>
            <w:r w:rsidRPr="0039717B">
              <w:rPr>
                <w:sz w:val="24"/>
                <w:szCs w:val="24"/>
              </w:rPr>
              <w:t xml:space="preserve">In conclusion, whilst safeguarding children and adults are guided by the SSWBA and WSP with the shared aim of preventing harm. The safeguarding of children prioritises protection and welfare which often requires intervention without consent, whereas adult safeguarding focuses on empowerment autonomy, capacity and choice. Understanding this difference is central to proportionate and rights-bases practice in Wales. </w:t>
            </w:r>
          </w:p>
          <w:p w14:paraId="11F07FB4" w14:textId="77777777" w:rsidR="009224DF" w:rsidRDefault="009224DF" w:rsidP="009224DF">
            <w:pPr>
              <w:jc w:val="both"/>
              <w:rPr>
                <w:sz w:val="24"/>
                <w:szCs w:val="24"/>
              </w:rPr>
            </w:pPr>
          </w:p>
          <w:p w14:paraId="42097A0F" w14:textId="071BDB15" w:rsidR="009224DF" w:rsidRDefault="009224DF" w:rsidP="009224DF">
            <w:pPr>
              <w:jc w:val="both"/>
              <w:rPr>
                <w:sz w:val="24"/>
                <w:szCs w:val="24"/>
              </w:rPr>
            </w:pPr>
            <w:r w:rsidRPr="00DD0181">
              <w:rPr>
                <w:b/>
                <w:bCs/>
                <w:sz w:val="24"/>
                <w:szCs w:val="24"/>
                <w:u w:val="single"/>
              </w:rPr>
              <w:t>Words 43</w:t>
            </w:r>
            <w:r>
              <w:rPr>
                <w:b/>
                <w:bCs/>
                <w:sz w:val="24"/>
                <w:szCs w:val="24"/>
                <w:u w:val="single"/>
              </w:rPr>
              <w:t>4</w:t>
            </w:r>
          </w:p>
          <w:p w14:paraId="53E46D7F" w14:textId="77777777" w:rsidR="009224DF" w:rsidRDefault="009224DF" w:rsidP="00FC0334">
            <w:pPr>
              <w:jc w:val="both"/>
              <w:rPr>
                <w:i/>
                <w:sz w:val="24"/>
                <w:szCs w:val="24"/>
              </w:rPr>
            </w:pPr>
          </w:p>
          <w:p w14:paraId="6BA3DD84" w14:textId="52B06375"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F96ED" w14:textId="77777777" w:rsidR="006D7574" w:rsidRDefault="006D7574">
      <w:r>
        <w:separator/>
      </w:r>
    </w:p>
  </w:endnote>
  <w:endnote w:type="continuationSeparator" w:id="0">
    <w:p w14:paraId="4C7CB20A" w14:textId="77777777" w:rsidR="006D7574" w:rsidRDefault="006D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789B1" w14:textId="77777777" w:rsidR="006D7574" w:rsidRDefault="006D7574">
      <w:r>
        <w:separator/>
      </w:r>
    </w:p>
  </w:footnote>
  <w:footnote w:type="continuationSeparator" w:id="0">
    <w:p w14:paraId="7D8A4F94" w14:textId="77777777" w:rsidR="006D7574" w:rsidRDefault="006D7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7574"/>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94F"/>
    <w:rsid w:val="00920E5B"/>
    <w:rsid w:val="009224DF"/>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B5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1156</Words>
  <Characters>6591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Aimee Kate O'marah (PLANT)</cp:lastModifiedBy>
  <cp:revision>2</cp:revision>
  <cp:lastPrinted>2020-02-11T19:20:00Z</cp:lastPrinted>
  <dcterms:created xsi:type="dcterms:W3CDTF">2026-02-15T10:50:00Z</dcterms:created>
  <dcterms:modified xsi:type="dcterms:W3CDTF">2026-02-15T10:50:00Z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