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68B3C96E"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r w:rsidR="001B67F2">
        <w:rPr>
          <w:rFonts w:cs="Arial"/>
          <w:b/>
          <w:bCs/>
          <w:sz w:val="22"/>
          <w:szCs w:val="22"/>
        </w:rPr>
        <w:t>X</w:t>
      </w:r>
    </w:p>
    <w:p w14:paraId="107AB95E" w14:textId="544374CD" w:rsidR="005C6CD8" w:rsidRDefault="005C6CD8" w:rsidP="00D977FF">
      <w:pPr>
        <w:jc w:val="both"/>
        <w:rPr>
          <w:rFonts w:cs="Arial"/>
          <w:sz w:val="22"/>
          <w:szCs w:val="22"/>
        </w:rPr>
      </w:pPr>
    </w:p>
    <w:p w14:paraId="3AE4AF45" w14:textId="77777777" w:rsidR="001B67F2" w:rsidRPr="00B61956" w:rsidRDefault="001B67F2"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8"/>
        <w:gridCol w:w="3192"/>
      </w:tblGrid>
      <w:tr w:rsidR="005C6CD8" w:rsidRPr="00B61956" w14:paraId="26BA44B1" w14:textId="77777777" w:rsidTr="00D4485A">
        <w:tc>
          <w:tcPr>
            <w:tcW w:w="6242" w:type="dxa"/>
            <w:tcMar>
              <w:top w:w="0" w:type="dxa"/>
              <w:left w:w="108" w:type="dxa"/>
              <w:bottom w:w="0" w:type="dxa"/>
              <w:right w:w="108" w:type="dxa"/>
            </w:tcMar>
          </w:tcPr>
          <w:p w14:paraId="6CF2ABE3" w14:textId="34D27583" w:rsidR="005C6CD8" w:rsidRDefault="005C6CD8" w:rsidP="00D4485A">
            <w:pPr>
              <w:pStyle w:val="BodyText"/>
              <w:jc w:val="both"/>
              <w:rPr>
                <w:rFonts w:cs="Arial"/>
                <w:b/>
                <w:bCs/>
                <w:sz w:val="22"/>
                <w:szCs w:val="22"/>
              </w:rPr>
            </w:pPr>
            <w:r w:rsidRPr="00D012E7">
              <w:rPr>
                <w:rFonts w:cs="Arial"/>
                <w:b/>
                <w:bCs/>
                <w:sz w:val="22"/>
                <w:szCs w:val="22"/>
              </w:rPr>
              <w:t xml:space="preserve">NAME: </w:t>
            </w:r>
            <w:r w:rsidR="001B67F2">
              <w:rPr>
                <w:rFonts w:cs="Arial"/>
                <w:b/>
                <w:bCs/>
                <w:sz w:val="22"/>
                <w:szCs w:val="22"/>
              </w:rPr>
              <w:t>Gareth Hancock</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8E2573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B67F2">
              <w:rPr>
                <w:rFonts w:cs="Arial"/>
                <w:b/>
                <w:bCs/>
                <w:sz w:val="22"/>
                <w:szCs w:val="22"/>
              </w:rPr>
              <w:t>2024017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200BCD9"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B67F2">
              <w:rPr>
                <w:rFonts w:cs="Arial"/>
                <w:b/>
                <w:bCs/>
                <w:sz w:val="22"/>
                <w:szCs w:val="22"/>
              </w:rPr>
              <w:t xml:space="preserve"> What are the advantages and disadvantages of Online Child Abuse Activist Groups (OCAGs) and should Police forces work with them in detecting and apprehending potential child abusers? </w:t>
            </w:r>
          </w:p>
          <w:p w14:paraId="3159AC65" w14:textId="77777777" w:rsidR="001B67F2" w:rsidRDefault="001B67F2"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2E40D67" w14:textId="61E3259F" w:rsidR="001B67F2" w:rsidRDefault="001B67F2" w:rsidP="00D4485A">
            <w:pPr>
              <w:jc w:val="both"/>
              <w:rPr>
                <w:rFonts w:cs="Arial"/>
                <w:color w:val="FF0000"/>
                <w:sz w:val="22"/>
                <w:szCs w:val="22"/>
              </w:rPr>
            </w:pPr>
          </w:p>
          <w:p w14:paraId="4823A536" w14:textId="11E001E3" w:rsidR="005C6CD8" w:rsidRDefault="00855F22" w:rsidP="00D4485A">
            <w:pPr>
              <w:tabs>
                <w:tab w:val="left" w:pos="1860"/>
              </w:tabs>
              <w:jc w:val="both"/>
              <w:rPr>
                <w:rFonts w:cs="Arial"/>
                <w:sz w:val="22"/>
                <w:szCs w:val="22"/>
              </w:rPr>
            </w:pPr>
            <w:r>
              <w:rPr>
                <w:rFonts w:cs="Arial"/>
                <w:sz w:val="22"/>
                <w:szCs w:val="22"/>
              </w:rPr>
              <w:t>With the ease of accessibility to social media over the last several years vigilante groups that focus on luring potential paedophiles to public places with the belief they will be meeting an underage child for sex.</w:t>
            </w:r>
            <w:r w:rsidR="00883898">
              <w:rPr>
                <w:rFonts w:cs="Arial"/>
                <w:sz w:val="22"/>
                <w:szCs w:val="22"/>
              </w:rPr>
              <w:t xml:space="preserve"> </w:t>
            </w:r>
            <w:r>
              <w:rPr>
                <w:rFonts w:cs="Arial"/>
                <w:sz w:val="22"/>
                <w:szCs w:val="22"/>
              </w:rPr>
              <w:t xml:space="preserve">This is done by entering online chat rooms posing as an underage child and </w:t>
            </w:r>
            <w:r w:rsidR="00883898">
              <w:rPr>
                <w:rFonts w:cs="Arial"/>
                <w:sz w:val="22"/>
                <w:szCs w:val="22"/>
              </w:rPr>
              <w:t>actively</w:t>
            </w:r>
            <w:r>
              <w:rPr>
                <w:rFonts w:cs="Arial"/>
                <w:sz w:val="22"/>
                <w:szCs w:val="22"/>
              </w:rPr>
              <w:t xml:space="preserve"> seeking out and engaging with people until they </w:t>
            </w:r>
            <w:r w:rsidR="00883898">
              <w:rPr>
                <w:rFonts w:cs="Arial"/>
                <w:sz w:val="22"/>
                <w:szCs w:val="22"/>
              </w:rPr>
              <w:t>can</w:t>
            </w:r>
            <w:r>
              <w:rPr>
                <w:rFonts w:cs="Arial"/>
                <w:sz w:val="22"/>
                <w:szCs w:val="22"/>
              </w:rPr>
              <w:t xml:space="preserve"> find someone who is willing to </w:t>
            </w:r>
            <w:r w:rsidR="00883898">
              <w:rPr>
                <w:rFonts w:cs="Arial"/>
                <w:sz w:val="22"/>
                <w:szCs w:val="22"/>
              </w:rPr>
              <w:t>engage,</w:t>
            </w:r>
            <w:r>
              <w:rPr>
                <w:rFonts w:cs="Arial"/>
                <w:sz w:val="22"/>
                <w:szCs w:val="22"/>
              </w:rPr>
              <w:t xml:space="preserve"> and the conversation turns sexual. When confronted by the OCAG they are usually shown printed logs of these conversations and asked to explain with </w:t>
            </w:r>
            <w:r w:rsidR="00883898">
              <w:rPr>
                <w:rFonts w:cs="Arial"/>
                <w:sz w:val="22"/>
                <w:szCs w:val="22"/>
              </w:rPr>
              <w:t>the</w:t>
            </w:r>
            <w:r>
              <w:rPr>
                <w:rFonts w:cs="Arial"/>
                <w:sz w:val="22"/>
                <w:szCs w:val="22"/>
              </w:rPr>
              <w:t xml:space="preserve"> interaction </w:t>
            </w:r>
            <w:r w:rsidR="00883898">
              <w:rPr>
                <w:rFonts w:cs="Arial"/>
                <w:sz w:val="22"/>
                <w:szCs w:val="22"/>
              </w:rPr>
              <w:t>being posted online to sites such as Facebook.</w:t>
            </w:r>
            <w:r>
              <w:rPr>
                <w:rFonts w:cs="Arial"/>
                <w:sz w:val="22"/>
                <w:szCs w:val="22"/>
              </w:rPr>
              <w:t xml:space="preserve"> (</w:t>
            </w:r>
            <w:proofErr w:type="spellStart"/>
            <w:r>
              <w:rPr>
                <w:rFonts w:cs="Arial"/>
                <w:sz w:val="22"/>
                <w:szCs w:val="22"/>
              </w:rPr>
              <w:t>Purshouse</w:t>
            </w:r>
            <w:proofErr w:type="spellEnd"/>
            <w:r>
              <w:rPr>
                <w:rFonts w:cs="Arial"/>
                <w:sz w:val="22"/>
                <w:szCs w:val="22"/>
              </w:rPr>
              <w:t>, 2020).</w:t>
            </w:r>
          </w:p>
          <w:p w14:paraId="59B52786" w14:textId="754024EA" w:rsidR="00C1538B" w:rsidRDefault="00C1538B" w:rsidP="00D4485A">
            <w:pPr>
              <w:tabs>
                <w:tab w:val="left" w:pos="1860"/>
              </w:tabs>
              <w:jc w:val="both"/>
              <w:rPr>
                <w:rFonts w:cs="Arial"/>
                <w:sz w:val="22"/>
                <w:szCs w:val="22"/>
              </w:rPr>
            </w:pPr>
          </w:p>
          <w:p w14:paraId="38D50A16" w14:textId="24700057" w:rsidR="00C1538B" w:rsidRDefault="00C1538B" w:rsidP="00D4485A">
            <w:pPr>
              <w:tabs>
                <w:tab w:val="left" w:pos="1860"/>
              </w:tabs>
              <w:jc w:val="both"/>
              <w:rPr>
                <w:rFonts w:cs="Arial"/>
                <w:sz w:val="22"/>
                <w:szCs w:val="22"/>
              </w:rPr>
            </w:pPr>
            <w:r>
              <w:rPr>
                <w:rFonts w:cs="Arial"/>
                <w:sz w:val="22"/>
                <w:szCs w:val="22"/>
              </w:rPr>
              <w:t>A brief look at one such OCAGs profile on Facebook “Dark Justice” shows that their last video was viewed by two thousand nine hundred people, and on Twitter they have a following of over five thousand people</w:t>
            </w:r>
            <w:r w:rsidR="00E11DBF">
              <w:rPr>
                <w:rFonts w:cs="Arial"/>
                <w:sz w:val="22"/>
                <w:szCs w:val="22"/>
              </w:rPr>
              <w:t xml:space="preserve"> (Dark Justice,2023).</w:t>
            </w:r>
            <w:r>
              <w:rPr>
                <w:rFonts w:cs="Arial"/>
                <w:sz w:val="22"/>
                <w:szCs w:val="22"/>
              </w:rPr>
              <w:t xml:space="preserve"> With these numbers it shows a public interest to some degree, </w:t>
            </w:r>
            <w:r w:rsidR="00E11DBF">
              <w:rPr>
                <w:rFonts w:cs="Arial"/>
                <w:sz w:val="22"/>
                <w:szCs w:val="22"/>
              </w:rPr>
              <w:t>and</w:t>
            </w:r>
            <w:r>
              <w:rPr>
                <w:rFonts w:cs="Arial"/>
                <w:sz w:val="22"/>
                <w:szCs w:val="22"/>
              </w:rPr>
              <w:t xml:space="preserve"> by analysing their methods, looking deeper into the people they “capture” and studying the legal and ethical issues around these groups I can get a better understanding that can assist policing forces in gaining a better understanding of these groups. </w:t>
            </w:r>
          </w:p>
          <w:p w14:paraId="6A1C2D07" w14:textId="55F857CF" w:rsidR="00C1538B" w:rsidRDefault="00C1538B" w:rsidP="00D4485A">
            <w:pPr>
              <w:tabs>
                <w:tab w:val="left" w:pos="1860"/>
              </w:tabs>
              <w:jc w:val="both"/>
              <w:rPr>
                <w:rFonts w:cs="Arial"/>
                <w:sz w:val="22"/>
                <w:szCs w:val="22"/>
              </w:rPr>
            </w:pPr>
          </w:p>
          <w:p w14:paraId="334D7A1D" w14:textId="4C38EAA0" w:rsidR="00C1538B" w:rsidRDefault="00C1538B" w:rsidP="00D4485A">
            <w:pPr>
              <w:tabs>
                <w:tab w:val="left" w:pos="1860"/>
              </w:tabs>
              <w:jc w:val="both"/>
              <w:rPr>
                <w:rFonts w:cs="Arial"/>
                <w:sz w:val="22"/>
                <w:szCs w:val="22"/>
              </w:rPr>
            </w:pPr>
            <w:r>
              <w:rPr>
                <w:rFonts w:cs="Arial"/>
                <w:sz w:val="22"/>
                <w:szCs w:val="22"/>
              </w:rPr>
              <w:t xml:space="preserve">While reading </w:t>
            </w:r>
            <w:r w:rsidR="00E11DBF">
              <w:rPr>
                <w:rFonts w:cs="Arial"/>
                <w:sz w:val="22"/>
                <w:szCs w:val="22"/>
              </w:rPr>
              <w:t>background</w:t>
            </w:r>
            <w:r>
              <w:rPr>
                <w:rFonts w:cs="Arial"/>
                <w:sz w:val="22"/>
                <w:szCs w:val="22"/>
              </w:rPr>
              <w:t xml:space="preserve"> information on this topic I found papers covering the topic as a whole </w:t>
            </w:r>
            <w:r w:rsidR="00E11DBF">
              <w:rPr>
                <w:rFonts w:cs="Arial"/>
                <w:sz w:val="22"/>
                <w:szCs w:val="22"/>
              </w:rPr>
              <w:t>(Frampton 2020) and CPS guidelines around cases involving OCAGs (CPS 2020) as well as the social media page of one of the frequently mentioned groups “Dark Justice”</w:t>
            </w:r>
          </w:p>
          <w:p w14:paraId="6A7E48E2" w14:textId="4DCECECA" w:rsidR="00883898" w:rsidRDefault="00883898" w:rsidP="00D4485A">
            <w:pPr>
              <w:tabs>
                <w:tab w:val="left" w:pos="1860"/>
              </w:tabs>
              <w:jc w:val="both"/>
              <w:rPr>
                <w:rFonts w:cs="Arial"/>
                <w:sz w:val="22"/>
                <w:szCs w:val="22"/>
                <w:highlight w:val="yellow"/>
              </w:rPr>
            </w:pPr>
          </w:p>
          <w:p w14:paraId="7D7EF13E" w14:textId="77777777" w:rsidR="00883898" w:rsidRPr="00D012E7" w:rsidRDefault="00883898" w:rsidP="00D4485A">
            <w:pPr>
              <w:tabs>
                <w:tab w:val="left" w:pos="1860"/>
              </w:tabs>
              <w:jc w:val="both"/>
              <w:rPr>
                <w:rFonts w:cs="Arial"/>
                <w:sz w:val="22"/>
                <w:szCs w:val="22"/>
                <w:highlight w:val="yellow"/>
              </w:rPr>
            </w:pPr>
          </w:p>
          <w:p w14:paraId="1A85E4DB" w14:textId="7F7F6C71" w:rsidR="005C6CD8" w:rsidRPr="00C1538B" w:rsidRDefault="005C6CD8" w:rsidP="00D4485A">
            <w:pPr>
              <w:tabs>
                <w:tab w:val="left" w:pos="1860"/>
              </w:tabs>
              <w:jc w:val="both"/>
              <w:rPr>
                <w:rFonts w:asciiTheme="minorHAnsi" w:hAnsiTheme="minorHAnsi" w:cstheme="minorHAnsi"/>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22049E1A" w:rsidR="00F46F72" w:rsidRDefault="00E11DBF" w:rsidP="00D4485A">
            <w:pPr>
              <w:jc w:val="both"/>
              <w:rPr>
                <w:rFonts w:cs="Arial"/>
                <w:sz w:val="22"/>
                <w:szCs w:val="22"/>
              </w:rPr>
            </w:pPr>
            <w:r>
              <w:rPr>
                <w:rFonts w:cs="Arial"/>
                <w:sz w:val="22"/>
                <w:szCs w:val="22"/>
              </w:rPr>
              <w:t>From my research I want to answer:</w:t>
            </w:r>
          </w:p>
          <w:p w14:paraId="26321627" w14:textId="6A8898D0" w:rsidR="00E11DBF" w:rsidRDefault="00E11DBF" w:rsidP="00D4485A">
            <w:pPr>
              <w:jc w:val="both"/>
              <w:rPr>
                <w:rFonts w:cs="Arial"/>
                <w:sz w:val="22"/>
                <w:szCs w:val="22"/>
              </w:rPr>
            </w:pPr>
          </w:p>
          <w:p w14:paraId="155B666D" w14:textId="028D20B1" w:rsidR="00E11DBF" w:rsidRDefault="00E11DBF" w:rsidP="00D4485A">
            <w:pPr>
              <w:jc w:val="both"/>
              <w:rPr>
                <w:rFonts w:cs="Arial"/>
                <w:sz w:val="22"/>
                <w:szCs w:val="22"/>
              </w:rPr>
            </w:pPr>
            <w:r>
              <w:rPr>
                <w:rFonts w:cs="Arial"/>
                <w:sz w:val="22"/>
                <w:szCs w:val="22"/>
              </w:rPr>
              <w:t xml:space="preserve">What are OCAGs doing that is positive (Criminal detection, Prosecution, Conviction) </w:t>
            </w:r>
          </w:p>
          <w:p w14:paraId="7B2BD055" w14:textId="73B3915C" w:rsidR="00E11DBF" w:rsidRDefault="00E11DBF" w:rsidP="00D4485A">
            <w:pPr>
              <w:jc w:val="both"/>
              <w:rPr>
                <w:rFonts w:cs="Arial"/>
                <w:sz w:val="22"/>
                <w:szCs w:val="22"/>
              </w:rPr>
            </w:pPr>
            <w:r>
              <w:rPr>
                <w:rFonts w:cs="Arial"/>
                <w:sz w:val="22"/>
                <w:szCs w:val="22"/>
              </w:rPr>
              <w:t xml:space="preserve">What are OCAGs doing that is negative (Entrapment, Types of people who are “Caught”) </w:t>
            </w:r>
          </w:p>
          <w:p w14:paraId="4ADC6CE2" w14:textId="6C7FE0BC" w:rsidR="00E11DBF" w:rsidRDefault="00E11DBF" w:rsidP="00D4485A">
            <w:pPr>
              <w:jc w:val="both"/>
              <w:rPr>
                <w:rFonts w:cs="Arial"/>
                <w:sz w:val="22"/>
                <w:szCs w:val="22"/>
              </w:rPr>
            </w:pPr>
            <w:r>
              <w:rPr>
                <w:rFonts w:cs="Arial"/>
                <w:sz w:val="22"/>
                <w:szCs w:val="22"/>
              </w:rPr>
              <w:t>What are the ethical issues in relation to the methods of OCAGs</w:t>
            </w:r>
          </w:p>
          <w:p w14:paraId="00DD8EE7" w14:textId="3015BFE4" w:rsidR="00E11DBF" w:rsidRDefault="00E11DBF" w:rsidP="00D4485A">
            <w:pPr>
              <w:jc w:val="both"/>
              <w:rPr>
                <w:rFonts w:cs="Arial"/>
                <w:sz w:val="22"/>
                <w:szCs w:val="22"/>
              </w:rPr>
            </w:pPr>
            <w:r>
              <w:rPr>
                <w:rFonts w:cs="Arial"/>
                <w:sz w:val="22"/>
                <w:szCs w:val="22"/>
              </w:rPr>
              <w:t>What would be the ethical issues if Police forces worked closer with these groups?</w:t>
            </w:r>
          </w:p>
          <w:p w14:paraId="4D6F61F9" w14:textId="450E669F" w:rsidR="00E11DBF" w:rsidRDefault="00E11DBF" w:rsidP="00D4485A">
            <w:pPr>
              <w:jc w:val="both"/>
              <w:rPr>
                <w:rFonts w:cs="Arial"/>
                <w:sz w:val="22"/>
                <w:szCs w:val="22"/>
              </w:rPr>
            </w:pPr>
          </w:p>
          <w:p w14:paraId="669899F4" w14:textId="77777777" w:rsidR="005C6CD8" w:rsidRPr="00D012E7" w:rsidRDefault="005C6CD8" w:rsidP="00A05F33">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CF4D781" w14:textId="77777777" w:rsidR="00E11DBF" w:rsidRDefault="00E11DBF" w:rsidP="00E11DBF">
            <w:pPr>
              <w:tabs>
                <w:tab w:val="left" w:pos="1860"/>
              </w:tabs>
              <w:jc w:val="both"/>
              <w:rPr>
                <w:rFonts w:cs="Arial"/>
                <w:sz w:val="22"/>
                <w:szCs w:val="22"/>
              </w:rPr>
            </w:pPr>
          </w:p>
          <w:p w14:paraId="6BA27BCC" w14:textId="53743A7E" w:rsidR="00E11DBF" w:rsidRDefault="00E11DBF" w:rsidP="00E11DBF">
            <w:pPr>
              <w:tabs>
                <w:tab w:val="left" w:pos="1860"/>
              </w:tabs>
              <w:jc w:val="both"/>
              <w:rPr>
                <w:rFonts w:cs="Arial"/>
                <w:sz w:val="22"/>
                <w:szCs w:val="22"/>
              </w:rPr>
            </w:pPr>
            <w:r>
              <w:rPr>
                <w:rFonts w:cs="Arial"/>
                <w:sz w:val="22"/>
                <w:szCs w:val="22"/>
              </w:rPr>
              <w:t xml:space="preserve">While reading background information on this topic I found papers covering the </w:t>
            </w:r>
            <w:proofErr w:type="gramStart"/>
            <w:r>
              <w:rPr>
                <w:rFonts w:cs="Arial"/>
                <w:sz w:val="22"/>
                <w:szCs w:val="22"/>
              </w:rPr>
              <w:t>topic as a whole</w:t>
            </w:r>
            <w:proofErr w:type="gramEnd"/>
            <w:r>
              <w:rPr>
                <w:rFonts w:cs="Arial"/>
                <w:sz w:val="22"/>
                <w:szCs w:val="22"/>
              </w:rPr>
              <w:t xml:space="preserve"> (Frampton 2020) and CPS guidelines around cases involving OCAGs (CPS 2020) as well as the social media page of one of the frequently mentioned groups “Dark Justice”</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E9A7900" w14:textId="6720CD1D" w:rsidR="00A05F33" w:rsidRDefault="00A05F33" w:rsidP="00D4485A">
            <w:pPr>
              <w:rPr>
                <w:rFonts w:cs="Arial"/>
                <w:color w:val="FF0000"/>
                <w:sz w:val="22"/>
                <w:szCs w:val="22"/>
              </w:rPr>
            </w:pPr>
          </w:p>
          <w:p w14:paraId="7069C2C0" w14:textId="026CCB77" w:rsidR="00A05F33" w:rsidRPr="00A05F33" w:rsidRDefault="00A05F33" w:rsidP="00D4485A">
            <w:pPr>
              <w:rPr>
                <w:rFonts w:cs="Arial"/>
                <w:sz w:val="22"/>
                <w:szCs w:val="22"/>
              </w:rPr>
            </w:pPr>
            <w:r>
              <w:rPr>
                <w:rFonts w:cs="Arial"/>
                <w:sz w:val="22"/>
                <w:szCs w:val="22"/>
              </w:rPr>
              <w:t>I will predominantly be using both academic and social media sources. I have arranged an attachment with the Police Online Investigations Teams</w:t>
            </w:r>
            <w:r w:rsidR="00BA7F7C">
              <w:rPr>
                <w:rFonts w:cs="Arial"/>
                <w:sz w:val="22"/>
                <w:szCs w:val="22"/>
              </w:rPr>
              <w:t xml:space="preserve"> (POLIT)</w:t>
            </w:r>
            <w:r>
              <w:rPr>
                <w:rFonts w:cs="Arial"/>
                <w:sz w:val="22"/>
                <w:szCs w:val="22"/>
              </w:rPr>
              <w:t xml:space="preserve"> where I will be able to get </w:t>
            </w:r>
            <w:r>
              <w:rPr>
                <w:rFonts w:cs="Arial"/>
                <w:sz w:val="22"/>
                <w:szCs w:val="22"/>
              </w:rPr>
              <w:t>first-hand</w:t>
            </w:r>
            <w:r>
              <w:rPr>
                <w:rFonts w:cs="Arial"/>
                <w:sz w:val="22"/>
                <w:szCs w:val="22"/>
              </w:rPr>
              <w:t xml:space="preserve"> experience working with officers </w:t>
            </w:r>
            <w:r w:rsidR="00BA7F7C">
              <w:rPr>
                <w:rFonts w:cs="Arial"/>
                <w:sz w:val="22"/>
                <w:szCs w:val="22"/>
              </w:rPr>
              <w:t>whose</w:t>
            </w:r>
            <w:r>
              <w:rPr>
                <w:rFonts w:cs="Arial"/>
                <w:sz w:val="22"/>
                <w:szCs w:val="22"/>
              </w:rPr>
              <w:t xml:space="preserve"> main role is to detect, collect evidence and eventually arrest paedophiles. While there I can gather more information from a Policing </w:t>
            </w:r>
            <w:r>
              <w:rPr>
                <w:rFonts w:cs="Arial"/>
                <w:sz w:val="22"/>
                <w:szCs w:val="22"/>
              </w:rPr>
              <w:t>viewpoint</w:t>
            </w:r>
            <w:r>
              <w:rPr>
                <w:rFonts w:cs="Arial"/>
                <w:sz w:val="22"/>
                <w:szCs w:val="22"/>
              </w:rPr>
              <w:t xml:space="preserve"> of OCAGs and their role in criminal justice.</w:t>
            </w:r>
            <w:r>
              <w:rPr>
                <w:rFonts w:cs="Arial"/>
                <w:sz w:val="22"/>
                <w:szCs w:val="22"/>
              </w:rPr>
              <w:t xml:space="preserve"> Given the nature of my topic around child abuse I will also be seeking an attachment with Public Protection Unit</w:t>
            </w:r>
            <w:r w:rsidR="00BA7F7C">
              <w:rPr>
                <w:rFonts w:cs="Arial"/>
                <w:sz w:val="22"/>
                <w:szCs w:val="22"/>
              </w:rPr>
              <w:t xml:space="preserve"> (PPU)</w:t>
            </w:r>
            <w:r>
              <w:rPr>
                <w:rFonts w:cs="Arial"/>
                <w:sz w:val="22"/>
                <w:szCs w:val="22"/>
              </w:rPr>
              <w:t xml:space="preserve"> so I can see what safeguarding measures would usually be put in place for the protection of child abuse victims, </w:t>
            </w:r>
            <w:proofErr w:type="gramStart"/>
            <w:r>
              <w:rPr>
                <w:rFonts w:cs="Arial"/>
                <w:sz w:val="22"/>
                <w:szCs w:val="22"/>
              </w:rPr>
              <w:t>and also</w:t>
            </w:r>
            <w:proofErr w:type="gramEnd"/>
            <w:r>
              <w:rPr>
                <w:rFonts w:cs="Arial"/>
                <w:sz w:val="22"/>
                <w:szCs w:val="22"/>
              </w:rPr>
              <w:t xml:space="preserve"> what measures are put in place to protect suspects from the public.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D22438F" w14:textId="2686C767" w:rsidR="00A05F33" w:rsidRDefault="00A05F33" w:rsidP="00D4485A">
            <w:pPr>
              <w:rPr>
                <w:rFonts w:cstheme="minorHAnsi"/>
                <w:color w:val="FF0000"/>
                <w:sz w:val="22"/>
                <w:szCs w:val="22"/>
              </w:rPr>
            </w:pPr>
          </w:p>
          <w:p w14:paraId="1B9C770A" w14:textId="08CBD8B8" w:rsidR="00A05F33" w:rsidRPr="00A05F33" w:rsidRDefault="00A05F33" w:rsidP="00D4485A">
            <w:pPr>
              <w:rPr>
                <w:rFonts w:asciiTheme="minorHAnsi" w:hAnsiTheme="minorHAnsi" w:cstheme="minorHAnsi"/>
                <w:sz w:val="22"/>
                <w:szCs w:val="22"/>
              </w:rPr>
            </w:pPr>
            <w:r>
              <w:rPr>
                <w:rFonts w:cstheme="minorHAnsi"/>
                <w:sz w:val="22"/>
                <w:szCs w:val="22"/>
              </w:rPr>
              <w:t xml:space="preserve">As part of my research I will seek attachments to specialist units who work with victims of child abuse, and the suspects who are suspected to be guilty of child abuse. While working with these teams I will be seeking perspectives from them. </w:t>
            </w:r>
            <w:r w:rsidR="00BA7F7C">
              <w:rPr>
                <w:rFonts w:cstheme="minorHAnsi"/>
                <w:sz w:val="22"/>
                <w:szCs w:val="22"/>
              </w:rPr>
              <w:t xml:space="preserve">These expert views will assist best with answering my objective questions.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6C64743" w14:textId="77777777" w:rsidR="00BA7F7C" w:rsidRDefault="00BA7F7C" w:rsidP="00D4485A">
            <w:pPr>
              <w:jc w:val="both"/>
              <w:rPr>
                <w:rFonts w:cs="Arial"/>
                <w:color w:val="FF0000"/>
                <w:sz w:val="22"/>
                <w:szCs w:val="22"/>
              </w:rPr>
            </w:pPr>
          </w:p>
          <w:p w14:paraId="2F2E73D7" w14:textId="77777777" w:rsidR="00BA7F7C" w:rsidRDefault="00BA7F7C" w:rsidP="00D4485A">
            <w:pPr>
              <w:jc w:val="both"/>
              <w:rPr>
                <w:rFonts w:cs="Arial"/>
                <w:sz w:val="22"/>
                <w:szCs w:val="22"/>
              </w:rPr>
            </w:pPr>
            <w:r>
              <w:rPr>
                <w:rFonts w:cs="Arial"/>
                <w:sz w:val="22"/>
                <w:szCs w:val="22"/>
              </w:rPr>
              <w:t xml:space="preserve">While working with the POLIT team I will be subject to viewing evidence of real child abuse victims. If discussing any of these cases I will need to be careful not to disclose any personal information. </w:t>
            </w:r>
          </w:p>
          <w:p w14:paraId="4A67F346" w14:textId="77777777" w:rsidR="00BA7F7C" w:rsidRDefault="00BA7F7C" w:rsidP="00D4485A">
            <w:pPr>
              <w:jc w:val="both"/>
              <w:rPr>
                <w:rFonts w:cs="Arial"/>
                <w:sz w:val="22"/>
                <w:szCs w:val="22"/>
              </w:rPr>
            </w:pPr>
          </w:p>
          <w:p w14:paraId="3A8D2F69" w14:textId="3EA211BA" w:rsidR="00BA7F7C" w:rsidRPr="00BA7F7C" w:rsidRDefault="00BA7F7C" w:rsidP="00D4485A">
            <w:pPr>
              <w:jc w:val="both"/>
              <w:rPr>
                <w:rFonts w:cs="Arial"/>
                <w:sz w:val="22"/>
                <w:szCs w:val="22"/>
              </w:rPr>
            </w:pPr>
            <w:r>
              <w:rPr>
                <w:rFonts w:cs="Arial"/>
                <w:sz w:val="22"/>
                <w:szCs w:val="22"/>
              </w:rPr>
              <w:t xml:space="preserve">As part of my research, I will be viewing “Paedophile Hunter” videos. This may present ethical issues as many of these videos are monetised meaning I am potentially rewarding the groups for carrying out ethically and legally ambiguous activities.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FA63104" w14:textId="77777777" w:rsidR="00D4485A" w:rsidRDefault="00D4485A" w:rsidP="00D4485A">
            <w:pPr>
              <w:jc w:val="both"/>
              <w:rPr>
                <w:rFonts w:cs="Arial"/>
                <w:color w:val="FF0000"/>
                <w:sz w:val="22"/>
                <w:szCs w:val="22"/>
              </w:rPr>
            </w:pPr>
          </w:p>
          <w:p w14:paraId="028DC057" w14:textId="77777777" w:rsidR="00BA7F7C" w:rsidRDefault="00BA7F7C" w:rsidP="00D4485A">
            <w:pPr>
              <w:jc w:val="both"/>
              <w:rPr>
                <w:rFonts w:cs="Arial"/>
                <w:sz w:val="22"/>
                <w:szCs w:val="22"/>
              </w:rPr>
            </w:pPr>
            <w:r w:rsidRPr="00BA7F7C">
              <w:rPr>
                <w:rFonts w:cs="Arial"/>
                <w:sz w:val="22"/>
                <w:szCs w:val="22"/>
              </w:rPr>
              <w:lastRenderedPageBreak/>
              <w:t xml:space="preserve">Due to the nature </w:t>
            </w:r>
            <w:r>
              <w:rPr>
                <w:rFonts w:cs="Arial"/>
                <w:sz w:val="22"/>
                <w:szCs w:val="22"/>
              </w:rPr>
              <w:t xml:space="preserve">of working with a response unit in a busy area, the attachments are not guaranteed and knowing an exact time for these attachments will likely be short notice. If I do get to work with these teams it will be for a period of 6 days. </w:t>
            </w:r>
          </w:p>
          <w:p w14:paraId="2C1090FD" w14:textId="77777777" w:rsidR="00BA7F7C" w:rsidRDefault="00BA7F7C" w:rsidP="00D4485A">
            <w:pPr>
              <w:jc w:val="both"/>
              <w:rPr>
                <w:rFonts w:cs="Arial"/>
                <w:sz w:val="22"/>
                <w:szCs w:val="22"/>
              </w:rPr>
            </w:pPr>
          </w:p>
          <w:p w14:paraId="5652837C" w14:textId="1318736B" w:rsidR="00BA7F7C" w:rsidRPr="00D4485A" w:rsidRDefault="00BA7F7C" w:rsidP="00D4485A">
            <w:pPr>
              <w:jc w:val="both"/>
              <w:rPr>
                <w:rFonts w:cs="Arial"/>
                <w:sz w:val="22"/>
                <w:szCs w:val="22"/>
              </w:rPr>
            </w:pPr>
            <w:r w:rsidRPr="00BA7F7C">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25F9337B" w:rsidR="00D4485A" w:rsidRPr="00D4485A" w:rsidRDefault="00D4485A" w:rsidP="00D4485A">
            <w:pPr>
              <w:jc w:val="both"/>
              <w:rPr>
                <w:rFonts w:cs="Arial"/>
                <w:b/>
                <w:bCs/>
                <w:color w:val="FF0000"/>
                <w:sz w:val="22"/>
                <w:szCs w:val="22"/>
              </w:rPr>
            </w:pPr>
          </w:p>
          <w:p w14:paraId="51DC757E" w14:textId="73AEEB3D" w:rsidR="00D4485A" w:rsidRDefault="00D4485A" w:rsidP="00D4485A">
            <w:pPr>
              <w:jc w:val="both"/>
              <w:rPr>
                <w:rFonts w:asciiTheme="minorHAnsi" w:hAnsiTheme="minorHAnsi" w:cstheme="minorHAnsi"/>
                <w:b/>
                <w:bCs/>
                <w:sz w:val="22"/>
                <w:szCs w:val="22"/>
              </w:rPr>
            </w:pPr>
          </w:p>
          <w:p w14:paraId="4426C9B1" w14:textId="699E897D" w:rsidR="00C1538B" w:rsidRDefault="00C1538B" w:rsidP="00C1538B">
            <w:pPr>
              <w:rPr>
                <w:rFonts w:asciiTheme="minorHAnsi" w:hAnsiTheme="minorHAnsi" w:cstheme="minorHAnsi"/>
                <w:sz w:val="22"/>
                <w:szCs w:val="18"/>
              </w:rPr>
            </w:pPr>
            <w:r w:rsidRPr="00883898">
              <w:rPr>
                <w:rFonts w:asciiTheme="minorHAnsi" w:hAnsiTheme="minorHAnsi" w:cstheme="minorHAnsi"/>
                <w:sz w:val="22"/>
                <w:szCs w:val="22"/>
              </w:rPr>
              <w:t xml:space="preserve">CPS (2020) </w:t>
            </w:r>
            <w:r w:rsidRPr="00883898">
              <w:rPr>
                <w:rFonts w:asciiTheme="minorHAnsi" w:hAnsiTheme="minorHAnsi" w:cstheme="minorHAnsi"/>
                <w:i/>
                <w:iCs/>
                <w:sz w:val="22"/>
                <w:szCs w:val="22"/>
              </w:rPr>
              <w:t xml:space="preserve">Online Child Abuse Activist Groups on the internet, </w:t>
            </w:r>
            <w:r w:rsidRPr="00883898">
              <w:rPr>
                <w:rFonts w:asciiTheme="minorHAnsi" w:hAnsiTheme="minorHAnsi" w:cstheme="minorHAnsi"/>
                <w:sz w:val="22"/>
                <w:szCs w:val="22"/>
              </w:rPr>
              <w:t>Available at:</w:t>
            </w:r>
            <w:r>
              <w:rPr>
                <w:rFonts w:asciiTheme="minorHAnsi" w:hAnsiTheme="minorHAnsi" w:cstheme="minorHAnsi"/>
                <w:b/>
                <w:bCs/>
                <w:sz w:val="22"/>
                <w:szCs w:val="22"/>
              </w:rPr>
              <w:t xml:space="preserve"> </w:t>
            </w:r>
            <w:hyperlink r:id="rId12" w:history="1">
              <w:r w:rsidR="00E11DBF" w:rsidRPr="00DC4809">
                <w:rPr>
                  <w:rStyle w:val="Hyperlink"/>
                  <w:rFonts w:asciiTheme="minorHAnsi" w:hAnsiTheme="minorHAnsi" w:cstheme="minorHAnsi"/>
                  <w:sz w:val="22"/>
                  <w:szCs w:val="18"/>
                </w:rPr>
                <w:t>https://www.cps.gov.uk/legal-guidance/online-child-abuse-activist-groups-internet</w:t>
              </w:r>
            </w:hyperlink>
          </w:p>
          <w:p w14:paraId="020D712E" w14:textId="58BBB359" w:rsidR="00E11DBF" w:rsidRDefault="00E11DBF" w:rsidP="00C1538B">
            <w:pPr>
              <w:rPr>
                <w:rFonts w:asciiTheme="minorHAnsi" w:hAnsiTheme="minorHAnsi" w:cstheme="minorHAnsi"/>
                <w:sz w:val="22"/>
                <w:szCs w:val="18"/>
              </w:rPr>
            </w:pPr>
          </w:p>
          <w:p w14:paraId="33DC3BAC" w14:textId="1040531E" w:rsidR="00E11DBF" w:rsidRDefault="00E11DBF" w:rsidP="00C1538B">
            <w:pPr>
              <w:rPr>
                <w:rFonts w:asciiTheme="minorHAnsi" w:hAnsiTheme="minorHAnsi" w:cstheme="minorHAnsi"/>
                <w:sz w:val="22"/>
                <w:szCs w:val="18"/>
              </w:rPr>
            </w:pPr>
            <w:r>
              <w:rPr>
                <w:rFonts w:asciiTheme="minorHAnsi" w:hAnsiTheme="minorHAnsi" w:cstheme="minorHAnsi"/>
                <w:sz w:val="22"/>
                <w:szCs w:val="18"/>
              </w:rPr>
              <w:t xml:space="preserve">Dark Justice (2023) Facebook Page Available at </w:t>
            </w:r>
            <w:r w:rsidRPr="00E11DBF">
              <w:rPr>
                <w:rFonts w:asciiTheme="minorHAnsi" w:hAnsiTheme="minorHAnsi" w:cstheme="minorHAnsi"/>
                <w:sz w:val="22"/>
                <w:szCs w:val="18"/>
              </w:rPr>
              <w:t>https://www.facebook.com/DarkJusticeUK/?locale=en_GB</w:t>
            </w:r>
          </w:p>
          <w:p w14:paraId="2C4D418E" w14:textId="2D5F7BE6" w:rsidR="00E11DBF" w:rsidRDefault="00E11DBF" w:rsidP="00C1538B">
            <w:pPr>
              <w:rPr>
                <w:rFonts w:asciiTheme="minorHAnsi" w:hAnsiTheme="minorHAnsi" w:cstheme="minorHAnsi"/>
                <w:szCs w:val="18"/>
              </w:rPr>
            </w:pPr>
          </w:p>
          <w:p w14:paraId="4320F574" w14:textId="5CFFA0F3" w:rsidR="00E11DBF" w:rsidRDefault="00E11DBF" w:rsidP="00C1538B">
            <w:pPr>
              <w:rPr>
                <w:rFonts w:asciiTheme="minorHAnsi" w:hAnsiTheme="minorHAnsi" w:cstheme="minorHAnsi"/>
                <w:szCs w:val="18"/>
              </w:rPr>
            </w:pPr>
            <w:r>
              <w:rPr>
                <w:rFonts w:asciiTheme="minorHAnsi" w:hAnsiTheme="minorHAnsi" w:cstheme="minorHAnsi"/>
                <w:szCs w:val="18"/>
              </w:rPr>
              <w:t xml:space="preserve">Dark Justice (2023) Twitter page available at </w:t>
            </w:r>
            <w:hyperlink r:id="rId13" w:history="1">
              <w:r w:rsidRPr="00DC4809">
                <w:rPr>
                  <w:rStyle w:val="Hyperlink"/>
                  <w:rFonts w:asciiTheme="minorHAnsi" w:hAnsiTheme="minorHAnsi" w:cstheme="minorHAnsi"/>
                  <w:szCs w:val="18"/>
                </w:rPr>
                <w:t>https://twitter.com/darkjustice_?lang=en</w:t>
              </w:r>
            </w:hyperlink>
          </w:p>
          <w:p w14:paraId="61F7AA9E" w14:textId="2D90E020" w:rsidR="00E11DBF" w:rsidRDefault="00E11DBF" w:rsidP="00C1538B"/>
          <w:p w14:paraId="29F2FB47" w14:textId="77777777" w:rsidR="00E11DBF" w:rsidRDefault="00E11DBF" w:rsidP="00C1538B"/>
          <w:p w14:paraId="18837727" w14:textId="067EE49E" w:rsidR="00C1538B" w:rsidRDefault="00C1538B" w:rsidP="00D4485A">
            <w:pPr>
              <w:jc w:val="both"/>
              <w:rPr>
                <w:rFonts w:asciiTheme="minorHAnsi" w:hAnsiTheme="minorHAnsi" w:cstheme="minorHAnsi"/>
                <w:b/>
                <w:bCs/>
                <w:sz w:val="22"/>
                <w:szCs w:val="22"/>
              </w:rPr>
            </w:pPr>
          </w:p>
          <w:p w14:paraId="4D1545E2" w14:textId="77777777" w:rsidR="00C1538B" w:rsidRDefault="00C1538B" w:rsidP="00D4485A">
            <w:pPr>
              <w:jc w:val="both"/>
              <w:rPr>
                <w:rFonts w:asciiTheme="minorHAnsi" w:hAnsiTheme="minorHAnsi" w:cstheme="minorHAnsi"/>
                <w:b/>
                <w:bCs/>
                <w:sz w:val="22"/>
                <w:szCs w:val="22"/>
              </w:rPr>
            </w:pPr>
          </w:p>
          <w:p w14:paraId="11CC66B3" w14:textId="092256CC" w:rsidR="00493F66" w:rsidRDefault="00493F66" w:rsidP="00D4485A">
            <w:pPr>
              <w:jc w:val="both"/>
              <w:rPr>
                <w:rFonts w:asciiTheme="minorHAnsi" w:hAnsiTheme="minorHAnsi" w:cstheme="minorHAnsi"/>
                <w:sz w:val="22"/>
                <w:szCs w:val="22"/>
              </w:rPr>
            </w:pPr>
            <w:r w:rsidRPr="00855F22">
              <w:rPr>
                <w:rFonts w:asciiTheme="minorHAnsi" w:hAnsiTheme="minorHAnsi" w:cstheme="minorHAnsi"/>
                <w:sz w:val="22"/>
                <w:szCs w:val="22"/>
              </w:rPr>
              <w:t>L. Frampton (2020)</w:t>
            </w:r>
            <w:r>
              <w:rPr>
                <w:rFonts w:asciiTheme="minorHAnsi" w:hAnsiTheme="minorHAnsi" w:cstheme="minorHAnsi"/>
                <w:b/>
                <w:bCs/>
                <w:sz w:val="22"/>
                <w:szCs w:val="22"/>
              </w:rPr>
              <w:t xml:space="preserve"> </w:t>
            </w:r>
            <w:r w:rsidRPr="00493F66">
              <w:rPr>
                <w:rFonts w:asciiTheme="minorHAnsi" w:hAnsiTheme="minorHAnsi" w:cstheme="minorHAnsi"/>
                <w:sz w:val="22"/>
                <w:szCs w:val="22"/>
              </w:rPr>
              <w:t xml:space="preserve">The Hunters and </w:t>
            </w:r>
            <w:r w:rsidRPr="00855F22">
              <w:rPr>
                <w:rFonts w:asciiTheme="minorHAnsi" w:hAnsiTheme="minorHAnsi" w:cstheme="minorHAnsi"/>
                <w:i/>
                <w:iCs/>
                <w:sz w:val="22"/>
                <w:szCs w:val="22"/>
              </w:rPr>
              <w:t>The Hunted. Exploring Practitioner and Public Attitudes Towards Paedophile Hunting Groups and the Implications for Risk Management.</w:t>
            </w:r>
            <w:r>
              <w:rPr>
                <w:rFonts w:asciiTheme="minorHAnsi" w:hAnsiTheme="minorHAnsi" w:cstheme="minorHAnsi"/>
                <w:sz w:val="22"/>
                <w:szCs w:val="22"/>
              </w:rPr>
              <w:t xml:space="preserve"> Available</w:t>
            </w:r>
            <w:r w:rsidR="00855F22">
              <w:rPr>
                <w:rFonts w:asciiTheme="minorHAnsi" w:hAnsiTheme="minorHAnsi" w:cstheme="minorHAnsi"/>
                <w:sz w:val="22"/>
                <w:szCs w:val="22"/>
              </w:rPr>
              <w:t xml:space="preserve"> </w:t>
            </w:r>
            <w:r>
              <w:rPr>
                <w:rFonts w:asciiTheme="minorHAnsi" w:hAnsiTheme="minorHAnsi" w:cstheme="minorHAnsi"/>
                <w:sz w:val="22"/>
                <w:szCs w:val="22"/>
              </w:rPr>
              <w:t>at</w:t>
            </w:r>
            <w:r w:rsidR="00855F22">
              <w:rPr>
                <w:rFonts w:asciiTheme="minorHAnsi" w:hAnsiTheme="minorHAnsi" w:cstheme="minorHAnsi"/>
                <w:sz w:val="22"/>
                <w:szCs w:val="22"/>
              </w:rPr>
              <w:t>:</w:t>
            </w:r>
            <w:r>
              <w:rPr>
                <w:rFonts w:asciiTheme="minorHAnsi" w:hAnsiTheme="minorHAnsi" w:cstheme="minorHAnsi"/>
                <w:sz w:val="22"/>
                <w:szCs w:val="22"/>
              </w:rPr>
              <w:t xml:space="preserve"> </w:t>
            </w:r>
            <w:hyperlink r:id="rId14" w:history="1">
              <w:r w:rsidR="00855F22" w:rsidRPr="00DC4809">
                <w:rPr>
                  <w:rStyle w:val="Hyperlink"/>
                  <w:rFonts w:asciiTheme="minorHAnsi" w:hAnsiTheme="minorHAnsi" w:cstheme="minorHAnsi"/>
                  <w:sz w:val="22"/>
                  <w:szCs w:val="22"/>
                </w:rPr>
                <w:t>https://pure.port.ac.uk/ws/portalfiles/portal/27089150/The_Hunters_and_The_Hunted._Exploring_Practitioner_and_Public_Attitudes_Towards_Paedophile_Hunting_Groups_and_the_Implications_for_Risk_Management.pdf</w:t>
              </w:r>
            </w:hyperlink>
          </w:p>
          <w:p w14:paraId="17B1EA77" w14:textId="77777777" w:rsidR="00855F22" w:rsidRDefault="00855F22" w:rsidP="00D4485A">
            <w:pPr>
              <w:jc w:val="both"/>
              <w:rPr>
                <w:rFonts w:asciiTheme="minorHAnsi" w:hAnsiTheme="minorHAnsi" w:cstheme="minorHAnsi"/>
                <w:b/>
                <w:bCs/>
                <w:sz w:val="22"/>
                <w:szCs w:val="22"/>
              </w:rPr>
            </w:pPr>
          </w:p>
          <w:p w14:paraId="0F7FE0C1" w14:textId="7ED4CC8F" w:rsidR="00855F22" w:rsidRDefault="00855F22" w:rsidP="00855F22">
            <w:pPr>
              <w:pStyle w:val="Heading1"/>
              <w:shd w:val="clear" w:color="auto" w:fill="FFFFFF"/>
              <w:rPr>
                <w:rFonts w:asciiTheme="minorHAnsi" w:hAnsiTheme="minorHAnsi" w:cstheme="minorHAnsi"/>
                <w:b w:val="0"/>
                <w:bCs w:val="0"/>
                <w:i/>
                <w:iCs/>
                <w:color w:val="1C1D1E"/>
                <w:sz w:val="22"/>
                <w:szCs w:val="22"/>
              </w:rPr>
            </w:pPr>
            <w:r>
              <w:rPr>
                <w:rFonts w:asciiTheme="minorHAnsi" w:hAnsiTheme="minorHAnsi" w:cstheme="minorHAnsi"/>
                <w:b w:val="0"/>
                <w:bCs w:val="0"/>
                <w:sz w:val="22"/>
                <w:szCs w:val="22"/>
              </w:rPr>
              <w:t xml:space="preserve">J. </w:t>
            </w:r>
            <w:proofErr w:type="spellStart"/>
            <w:r>
              <w:rPr>
                <w:rFonts w:asciiTheme="minorHAnsi" w:hAnsiTheme="minorHAnsi" w:cstheme="minorHAnsi"/>
                <w:b w:val="0"/>
                <w:bCs w:val="0"/>
                <w:sz w:val="22"/>
                <w:szCs w:val="22"/>
              </w:rPr>
              <w:t>Purshouse</w:t>
            </w:r>
            <w:proofErr w:type="spellEnd"/>
            <w:r>
              <w:rPr>
                <w:rFonts w:asciiTheme="minorHAnsi" w:hAnsiTheme="minorHAnsi" w:cstheme="minorHAnsi"/>
                <w:b w:val="0"/>
                <w:bCs w:val="0"/>
                <w:sz w:val="22"/>
                <w:szCs w:val="22"/>
              </w:rPr>
              <w:t xml:space="preserve"> (2020) </w:t>
            </w:r>
            <w:r w:rsidRPr="00855F22">
              <w:rPr>
                <w:rFonts w:asciiTheme="minorHAnsi" w:hAnsiTheme="minorHAnsi" w:cstheme="minorHAnsi"/>
                <w:b w:val="0"/>
                <w:bCs w:val="0"/>
                <w:i/>
                <w:iCs/>
                <w:color w:val="1C1D1E"/>
                <w:sz w:val="22"/>
                <w:szCs w:val="22"/>
              </w:rPr>
              <w:t>‘Paedophile Hunters’, Criminal Procedure, and Fundamental Human Rights</w:t>
            </w:r>
            <w:r w:rsidRPr="00855F22">
              <w:rPr>
                <w:rFonts w:asciiTheme="minorHAnsi" w:hAnsiTheme="minorHAnsi" w:cstheme="minorHAnsi"/>
                <w:b w:val="0"/>
                <w:bCs w:val="0"/>
                <w:i/>
                <w:iCs/>
                <w:color w:val="1C1D1E"/>
                <w:sz w:val="22"/>
                <w:szCs w:val="22"/>
              </w:rPr>
              <w:t>, available at</w:t>
            </w:r>
            <w:r>
              <w:rPr>
                <w:rFonts w:asciiTheme="minorHAnsi" w:hAnsiTheme="minorHAnsi" w:cstheme="minorHAnsi"/>
                <w:b w:val="0"/>
                <w:bCs w:val="0"/>
                <w:i/>
                <w:iCs/>
                <w:color w:val="1C1D1E"/>
                <w:sz w:val="22"/>
                <w:szCs w:val="22"/>
              </w:rPr>
              <w:t xml:space="preserve"> </w:t>
            </w:r>
            <w:hyperlink r:id="rId15" w:history="1">
              <w:r w:rsidR="00883898" w:rsidRPr="00DC4809">
                <w:rPr>
                  <w:rStyle w:val="Hyperlink"/>
                  <w:rFonts w:asciiTheme="minorHAnsi" w:hAnsiTheme="minorHAnsi" w:cstheme="minorHAnsi"/>
                  <w:b w:val="0"/>
                  <w:bCs w:val="0"/>
                  <w:i/>
                  <w:iCs/>
                  <w:sz w:val="22"/>
                  <w:szCs w:val="22"/>
                </w:rPr>
                <w:t>https://onlinelibrary.wiley.com/doi/full/10.1111/jols.12235#:~:text=Although%20there%20are%20variances%20in,an%20ostensible%20illicit%20sexual%20encounter</w:t>
              </w:r>
            </w:hyperlink>
            <w:r w:rsidRPr="00855F22">
              <w:rPr>
                <w:rFonts w:asciiTheme="minorHAnsi" w:hAnsiTheme="minorHAnsi" w:cstheme="minorHAnsi"/>
                <w:b w:val="0"/>
                <w:bCs w:val="0"/>
                <w:i/>
                <w:iCs/>
                <w:color w:val="1C1D1E"/>
                <w:sz w:val="22"/>
                <w:szCs w:val="22"/>
              </w:rPr>
              <w:t>.</w:t>
            </w:r>
          </w:p>
          <w:p w14:paraId="1AF30D7B" w14:textId="44B880B6" w:rsidR="00883898" w:rsidRDefault="00883898" w:rsidP="00883898"/>
          <w:p w14:paraId="529F9C00" w14:textId="7417D134" w:rsidR="00883898" w:rsidRPr="00883898" w:rsidRDefault="00883898" w:rsidP="00883898">
            <w:pPr>
              <w:pStyle w:val="Heading1"/>
              <w:shd w:val="clear" w:color="auto" w:fill="FFFFFF"/>
              <w:spacing w:before="0" w:after="0"/>
              <w:rPr>
                <w:rFonts w:ascii="Lato" w:hAnsi="Lato"/>
                <w:b w:val="0"/>
                <w:bCs w:val="0"/>
                <w:color w:val="002554"/>
                <w:sz w:val="46"/>
                <w:szCs w:val="46"/>
                <w:lang w:eastAsia="en-GB"/>
              </w:rPr>
            </w:pPr>
          </w:p>
          <w:p w14:paraId="752E9C35" w14:textId="50308889" w:rsidR="00883898" w:rsidRPr="00883898" w:rsidRDefault="00883898" w:rsidP="00883898">
            <w:pPr>
              <w:rPr>
                <w:rFonts w:asciiTheme="minorHAnsi" w:hAnsiTheme="minorHAnsi" w:cstheme="minorHAnsi"/>
                <w:sz w:val="22"/>
                <w:szCs w:val="22"/>
              </w:rPr>
            </w:pPr>
          </w:p>
          <w:p w14:paraId="74269233" w14:textId="37DDF6C0" w:rsidR="00855F22" w:rsidRDefault="00855F22"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82347" w14:textId="77777777" w:rsidR="003C1981" w:rsidRDefault="003C1981">
      <w:r>
        <w:separator/>
      </w:r>
    </w:p>
  </w:endnote>
  <w:endnote w:type="continuationSeparator" w:id="0">
    <w:p w14:paraId="3688198D" w14:textId="77777777" w:rsidR="003C1981" w:rsidRDefault="003C1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3DD50" w14:textId="77777777" w:rsidR="003C1981" w:rsidRDefault="003C1981">
      <w:r>
        <w:separator/>
      </w:r>
    </w:p>
  </w:footnote>
  <w:footnote w:type="continuationSeparator" w:id="0">
    <w:p w14:paraId="168766E6" w14:textId="77777777" w:rsidR="003C1981" w:rsidRDefault="003C1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67F2"/>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19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3F66"/>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2F7"/>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0CE5"/>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55F22"/>
    <w:rsid w:val="0086009E"/>
    <w:rsid w:val="008619B8"/>
    <w:rsid w:val="00864CBC"/>
    <w:rsid w:val="0087109F"/>
    <w:rsid w:val="00872587"/>
    <w:rsid w:val="00873270"/>
    <w:rsid w:val="00876FF4"/>
    <w:rsid w:val="00880334"/>
    <w:rsid w:val="00883898"/>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5F33"/>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A7F7C"/>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538B"/>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1DBF"/>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43551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19618747">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0437392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witter.com/darkjustice_?lang=en"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ps.gov.uk/legal-guidance/online-child-abuse-activist-groups-interne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onlinelibrary.wiley.com/doi/full/10.1111/jols.12235#:~:text=Although%20there%20are%20variances%20in,an%20ostensible%20illicit%20sexual%20encounter"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ure.port.ac.uk/ws/portalfiles/portal/27089150/The_Hunters_and_The_Hunted._Exploring_Practitioner_and_Public_Attitudes_Towards_Paedophile_Hunting_Groups_and_the_Implications_for_Risk_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Gareth Hancock (2024017)</cp:lastModifiedBy>
  <cp:revision>2</cp:revision>
  <cp:lastPrinted>2022-03-21T13:46:00Z</cp:lastPrinted>
  <dcterms:created xsi:type="dcterms:W3CDTF">2023-02-27T14:35:00Z</dcterms:created>
  <dcterms:modified xsi:type="dcterms:W3CDTF">2023-02-27T14:35:00Z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