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8926" w:type="dxa"/>
        <w:jc w:val="center"/>
        <w:tblLook w:val="04A0" w:firstRow="1" w:lastRow="0" w:firstColumn="1" w:lastColumn="0" w:noHBand="0" w:noVBand="1"/>
      </w:tblPr>
      <w:tblGrid>
        <w:gridCol w:w="2785"/>
        <w:gridCol w:w="6141"/>
      </w:tblGrid>
      <w:tr w:rsidR="0071285A" w:rsidRPr="0071285A" w14:paraId="157DEC7E" w14:textId="77777777" w:rsidTr="00761799">
        <w:trPr>
          <w:trHeight w:val="680"/>
          <w:jc w:val="center"/>
        </w:trPr>
        <w:tc>
          <w:tcPr>
            <w:tcW w:w="2785" w:type="dxa"/>
            <w:tcBorders>
              <w:top w:val="single" w:sz="4" w:space="0" w:color="auto"/>
              <w:left w:val="single" w:sz="4" w:space="0" w:color="auto"/>
              <w:bottom w:val="single" w:sz="4" w:space="0" w:color="auto"/>
              <w:right w:val="single" w:sz="4" w:space="0" w:color="auto"/>
            </w:tcBorders>
            <w:noWrap/>
            <w:vAlign w:val="center"/>
            <w:hideMark/>
          </w:tcPr>
          <w:p w14:paraId="584F5128" w14:textId="6CE6E4C0" w:rsidR="0071285A" w:rsidRPr="0071285A" w:rsidRDefault="00E56E78" w:rsidP="0071285A">
            <w:pPr>
              <w:spacing w:line="360" w:lineRule="auto"/>
              <w:rPr>
                <w:rFonts w:ascii="Arial" w:eastAsia="Calibri" w:hAnsi="Arial" w:cs="Arial"/>
                <w:b/>
                <w:bCs/>
                <w:kern w:val="0"/>
                <w:sz w:val="22"/>
                <w:szCs w:val="22"/>
                <w14:ligatures w14:val="none"/>
              </w:rPr>
            </w:pPr>
            <w:r>
              <w:rPr>
                <w:rFonts w:ascii="Arial" w:eastAsia="Calibri" w:hAnsi="Arial" w:cs="Arial"/>
                <w:b/>
                <w:bCs/>
                <w:kern w:val="0"/>
                <w:sz w:val="22"/>
                <w:szCs w:val="22"/>
                <w14:ligatures w14:val="none"/>
              </w:rPr>
              <w:t xml:space="preserve"> </w:t>
            </w:r>
            <w:r w:rsidR="0071285A" w:rsidRPr="0071285A">
              <w:rPr>
                <w:rFonts w:ascii="Arial" w:eastAsia="Calibri" w:hAnsi="Arial" w:cs="Arial"/>
                <w:b/>
                <w:bCs/>
                <w:kern w:val="0"/>
                <w:sz w:val="22"/>
                <w:szCs w:val="22"/>
                <w14:ligatures w14:val="none"/>
              </w:rPr>
              <w:t>NAME</w:t>
            </w:r>
          </w:p>
        </w:tc>
        <w:tc>
          <w:tcPr>
            <w:tcW w:w="6141" w:type="dxa"/>
            <w:tcBorders>
              <w:top w:val="single" w:sz="4" w:space="0" w:color="auto"/>
              <w:left w:val="nil"/>
              <w:bottom w:val="single" w:sz="4" w:space="0" w:color="auto"/>
              <w:right w:val="single" w:sz="4" w:space="0" w:color="auto"/>
            </w:tcBorders>
            <w:noWrap/>
            <w:vAlign w:val="center"/>
            <w:hideMark/>
          </w:tcPr>
          <w:p w14:paraId="75E962BD" w14:textId="64217D94" w:rsidR="0071285A" w:rsidRPr="0071285A" w:rsidRDefault="0071285A" w:rsidP="0071285A">
            <w:pPr>
              <w:spacing w:line="360" w:lineRule="auto"/>
              <w:rPr>
                <w:rFonts w:ascii="Arial" w:eastAsia="Calibri" w:hAnsi="Arial" w:cs="Arial"/>
                <w:b/>
                <w:bCs/>
                <w:kern w:val="0"/>
                <w:sz w:val="22"/>
                <w:szCs w:val="22"/>
                <w14:ligatures w14:val="none"/>
              </w:rPr>
            </w:pPr>
            <w:r w:rsidRPr="0071285A">
              <w:rPr>
                <w:rFonts w:ascii="Arial" w:eastAsia="Calibri" w:hAnsi="Arial" w:cs="Arial"/>
                <w:b/>
                <w:bCs/>
                <w:kern w:val="0"/>
                <w:sz w:val="22"/>
                <w:szCs w:val="22"/>
                <w14:ligatures w14:val="none"/>
              </w:rPr>
              <w:t> </w:t>
            </w:r>
            <w:r w:rsidR="00FA2203">
              <w:rPr>
                <w:rFonts w:ascii="Arial" w:eastAsia="Calibri" w:hAnsi="Arial" w:cs="Arial"/>
                <w:b/>
                <w:bCs/>
                <w:kern w:val="0"/>
                <w:sz w:val="22"/>
                <w:szCs w:val="22"/>
                <w14:ligatures w14:val="none"/>
              </w:rPr>
              <w:t>VIVIAN BIOH</w:t>
            </w:r>
          </w:p>
        </w:tc>
      </w:tr>
      <w:tr w:rsidR="0071285A" w:rsidRPr="0071285A" w14:paraId="04E5C6B0" w14:textId="77777777" w:rsidTr="00761799">
        <w:trPr>
          <w:trHeight w:val="680"/>
          <w:jc w:val="center"/>
        </w:trPr>
        <w:tc>
          <w:tcPr>
            <w:tcW w:w="2785" w:type="dxa"/>
            <w:tcBorders>
              <w:top w:val="nil"/>
              <w:left w:val="single" w:sz="4" w:space="0" w:color="auto"/>
              <w:bottom w:val="single" w:sz="4" w:space="0" w:color="auto"/>
              <w:right w:val="single" w:sz="4" w:space="0" w:color="auto"/>
            </w:tcBorders>
            <w:noWrap/>
            <w:vAlign w:val="center"/>
            <w:hideMark/>
          </w:tcPr>
          <w:p w14:paraId="1AE64CC2" w14:textId="77777777" w:rsidR="0071285A" w:rsidRPr="0071285A" w:rsidRDefault="0071285A" w:rsidP="0071285A">
            <w:pPr>
              <w:spacing w:line="360" w:lineRule="auto"/>
              <w:rPr>
                <w:rFonts w:ascii="Arial" w:eastAsia="Calibri" w:hAnsi="Arial" w:cs="Arial"/>
                <w:b/>
                <w:bCs/>
                <w:kern w:val="0"/>
                <w:sz w:val="22"/>
                <w:szCs w:val="22"/>
                <w14:ligatures w14:val="none"/>
              </w:rPr>
            </w:pPr>
            <w:r w:rsidRPr="0071285A">
              <w:rPr>
                <w:rFonts w:ascii="Arial" w:eastAsia="Calibri" w:hAnsi="Arial" w:cs="Arial"/>
                <w:b/>
                <w:bCs/>
                <w:kern w:val="0"/>
                <w:sz w:val="22"/>
                <w:szCs w:val="22"/>
                <w14:ligatures w14:val="none"/>
              </w:rPr>
              <w:t>STUDENT No.</w:t>
            </w:r>
          </w:p>
        </w:tc>
        <w:tc>
          <w:tcPr>
            <w:tcW w:w="6141" w:type="dxa"/>
            <w:tcBorders>
              <w:top w:val="nil"/>
              <w:left w:val="nil"/>
              <w:bottom w:val="single" w:sz="4" w:space="0" w:color="auto"/>
              <w:right w:val="single" w:sz="4" w:space="0" w:color="auto"/>
            </w:tcBorders>
            <w:noWrap/>
            <w:vAlign w:val="center"/>
            <w:hideMark/>
          </w:tcPr>
          <w:p w14:paraId="101B5DAF" w14:textId="23D67970" w:rsidR="0071285A" w:rsidRPr="0071285A" w:rsidRDefault="0071285A" w:rsidP="0071285A">
            <w:pPr>
              <w:spacing w:line="360" w:lineRule="auto"/>
              <w:rPr>
                <w:rFonts w:ascii="Arial" w:eastAsia="Calibri" w:hAnsi="Arial" w:cs="Arial"/>
                <w:b/>
                <w:bCs/>
                <w:kern w:val="0"/>
                <w:sz w:val="22"/>
                <w:szCs w:val="22"/>
                <w14:ligatures w14:val="none"/>
              </w:rPr>
            </w:pPr>
            <w:r w:rsidRPr="0071285A">
              <w:rPr>
                <w:rFonts w:ascii="Arial" w:eastAsia="Calibri" w:hAnsi="Arial" w:cs="Arial"/>
                <w:b/>
                <w:bCs/>
                <w:kern w:val="0"/>
                <w:sz w:val="22"/>
                <w:szCs w:val="22"/>
                <w14:ligatures w14:val="none"/>
              </w:rPr>
              <w:t> </w:t>
            </w:r>
            <w:r w:rsidR="00CF6FC9">
              <w:rPr>
                <w:rFonts w:ascii="Arial" w:eastAsia="Calibri" w:hAnsi="Arial" w:cs="Arial"/>
                <w:b/>
                <w:bCs/>
                <w:kern w:val="0"/>
                <w:sz w:val="22"/>
                <w:szCs w:val="22"/>
                <w14:ligatures w14:val="none"/>
              </w:rPr>
              <w:t>24</w:t>
            </w:r>
            <w:r w:rsidR="0085459F">
              <w:rPr>
                <w:rFonts w:ascii="Arial" w:eastAsia="Calibri" w:hAnsi="Arial" w:cs="Arial"/>
                <w:b/>
                <w:bCs/>
                <w:kern w:val="0"/>
                <w:sz w:val="22"/>
                <w:szCs w:val="22"/>
                <w14:ligatures w14:val="none"/>
              </w:rPr>
              <w:t>32999</w:t>
            </w:r>
          </w:p>
        </w:tc>
      </w:tr>
      <w:tr w:rsidR="0071285A" w:rsidRPr="0071285A" w14:paraId="69C87EF1" w14:textId="77777777" w:rsidTr="00761799">
        <w:trPr>
          <w:trHeight w:val="680"/>
          <w:jc w:val="center"/>
        </w:trPr>
        <w:tc>
          <w:tcPr>
            <w:tcW w:w="2785" w:type="dxa"/>
            <w:tcBorders>
              <w:top w:val="nil"/>
              <w:left w:val="single" w:sz="4" w:space="0" w:color="auto"/>
              <w:bottom w:val="single" w:sz="4" w:space="0" w:color="auto"/>
              <w:right w:val="single" w:sz="4" w:space="0" w:color="auto"/>
            </w:tcBorders>
            <w:noWrap/>
            <w:vAlign w:val="center"/>
            <w:hideMark/>
          </w:tcPr>
          <w:p w14:paraId="7E0405AE" w14:textId="77777777" w:rsidR="0071285A" w:rsidRPr="0071285A" w:rsidRDefault="0071285A" w:rsidP="0071285A">
            <w:pPr>
              <w:spacing w:line="360" w:lineRule="auto"/>
              <w:rPr>
                <w:rFonts w:ascii="Arial" w:eastAsia="Calibri" w:hAnsi="Arial" w:cs="Arial"/>
                <w:b/>
                <w:bCs/>
                <w:kern w:val="0"/>
                <w:sz w:val="22"/>
                <w:szCs w:val="22"/>
                <w14:ligatures w14:val="none"/>
              </w:rPr>
            </w:pPr>
            <w:r w:rsidRPr="0071285A">
              <w:rPr>
                <w:rFonts w:ascii="Arial" w:eastAsia="Calibri" w:hAnsi="Arial" w:cs="Arial"/>
                <w:b/>
                <w:bCs/>
                <w:kern w:val="0"/>
                <w:sz w:val="22"/>
                <w:szCs w:val="22"/>
                <w14:ligatures w14:val="none"/>
              </w:rPr>
              <w:t>MODULE CODE</w:t>
            </w:r>
          </w:p>
        </w:tc>
        <w:tc>
          <w:tcPr>
            <w:tcW w:w="6141" w:type="dxa"/>
            <w:tcBorders>
              <w:top w:val="nil"/>
              <w:left w:val="nil"/>
              <w:bottom w:val="single" w:sz="4" w:space="0" w:color="auto"/>
              <w:right w:val="single" w:sz="4" w:space="0" w:color="auto"/>
            </w:tcBorders>
            <w:noWrap/>
            <w:vAlign w:val="center"/>
            <w:hideMark/>
          </w:tcPr>
          <w:p w14:paraId="7B5AE9CE" w14:textId="1293A63F" w:rsidR="0071285A" w:rsidRPr="0071285A" w:rsidRDefault="0071285A" w:rsidP="0071285A">
            <w:pPr>
              <w:spacing w:line="360" w:lineRule="auto"/>
              <w:rPr>
                <w:rFonts w:ascii="Arial" w:eastAsia="Calibri" w:hAnsi="Arial" w:cs="Arial"/>
                <w:b/>
                <w:bCs/>
                <w:kern w:val="0"/>
                <w:sz w:val="22"/>
                <w:szCs w:val="22"/>
                <w14:ligatures w14:val="none"/>
              </w:rPr>
            </w:pPr>
            <w:r w:rsidRPr="0071285A">
              <w:rPr>
                <w:rFonts w:ascii="Arial" w:eastAsia="Calibri" w:hAnsi="Arial" w:cs="Arial"/>
                <w:b/>
                <w:bCs/>
                <w:kern w:val="0"/>
                <w:sz w:val="22"/>
                <w:szCs w:val="22"/>
                <w14:ligatures w14:val="none"/>
              </w:rPr>
              <w:t> </w:t>
            </w:r>
            <w:r w:rsidR="00F3077A">
              <w:rPr>
                <w:rFonts w:ascii="Arial" w:eastAsia="Calibri" w:hAnsi="Arial" w:cs="Arial"/>
                <w:b/>
                <w:bCs/>
                <w:kern w:val="0"/>
                <w:sz w:val="22"/>
                <w:szCs w:val="22"/>
                <w14:ligatures w14:val="none"/>
              </w:rPr>
              <w:t>LCH</w:t>
            </w:r>
            <w:r w:rsidR="00965E8B">
              <w:rPr>
                <w:rFonts w:ascii="Arial" w:eastAsia="Calibri" w:hAnsi="Arial" w:cs="Arial"/>
                <w:b/>
                <w:bCs/>
                <w:kern w:val="0"/>
                <w:sz w:val="22"/>
                <w:szCs w:val="22"/>
                <w14:ligatures w14:val="none"/>
              </w:rPr>
              <w:t>S4010</w:t>
            </w:r>
          </w:p>
        </w:tc>
      </w:tr>
      <w:tr w:rsidR="0071285A" w:rsidRPr="0071285A" w14:paraId="687EBBE5" w14:textId="77777777" w:rsidTr="00761799">
        <w:trPr>
          <w:trHeight w:val="680"/>
          <w:jc w:val="center"/>
        </w:trPr>
        <w:tc>
          <w:tcPr>
            <w:tcW w:w="2785" w:type="dxa"/>
            <w:tcBorders>
              <w:top w:val="nil"/>
              <w:left w:val="single" w:sz="4" w:space="0" w:color="auto"/>
              <w:bottom w:val="single" w:sz="4" w:space="0" w:color="auto"/>
              <w:right w:val="single" w:sz="4" w:space="0" w:color="auto"/>
            </w:tcBorders>
            <w:noWrap/>
            <w:vAlign w:val="center"/>
            <w:hideMark/>
          </w:tcPr>
          <w:p w14:paraId="4BBACE2C" w14:textId="77777777" w:rsidR="0071285A" w:rsidRPr="0071285A" w:rsidRDefault="0071285A" w:rsidP="0071285A">
            <w:pPr>
              <w:spacing w:line="360" w:lineRule="auto"/>
              <w:rPr>
                <w:rFonts w:ascii="Arial" w:eastAsia="Calibri" w:hAnsi="Arial" w:cs="Arial"/>
                <w:b/>
                <w:bCs/>
                <w:kern w:val="0"/>
                <w:sz w:val="22"/>
                <w:szCs w:val="22"/>
                <w14:ligatures w14:val="none"/>
              </w:rPr>
            </w:pPr>
            <w:r w:rsidRPr="0071285A">
              <w:rPr>
                <w:rFonts w:ascii="Arial" w:eastAsia="Calibri" w:hAnsi="Arial" w:cs="Arial"/>
                <w:b/>
                <w:bCs/>
                <w:kern w:val="0"/>
                <w:sz w:val="22"/>
                <w:szCs w:val="22"/>
                <w14:ligatures w14:val="none"/>
              </w:rPr>
              <w:t>COURSE TITLE</w:t>
            </w:r>
          </w:p>
        </w:tc>
        <w:tc>
          <w:tcPr>
            <w:tcW w:w="6141" w:type="dxa"/>
            <w:tcBorders>
              <w:top w:val="nil"/>
              <w:left w:val="nil"/>
              <w:bottom w:val="single" w:sz="4" w:space="0" w:color="auto"/>
              <w:right w:val="single" w:sz="4" w:space="0" w:color="auto"/>
            </w:tcBorders>
            <w:noWrap/>
            <w:vAlign w:val="center"/>
            <w:hideMark/>
          </w:tcPr>
          <w:p w14:paraId="58845A08" w14:textId="73900AE1" w:rsidR="0071285A" w:rsidRPr="0071285A" w:rsidRDefault="0071285A" w:rsidP="0071285A">
            <w:pPr>
              <w:spacing w:line="360" w:lineRule="auto"/>
              <w:rPr>
                <w:rFonts w:ascii="Arial" w:eastAsia="Calibri" w:hAnsi="Arial" w:cs="Arial"/>
                <w:b/>
                <w:bCs/>
                <w:kern w:val="0"/>
                <w:sz w:val="22"/>
                <w:szCs w:val="22"/>
                <w14:ligatures w14:val="none"/>
              </w:rPr>
            </w:pPr>
            <w:r w:rsidRPr="0071285A">
              <w:rPr>
                <w:rFonts w:ascii="Arial" w:eastAsia="Calibri" w:hAnsi="Arial" w:cs="Arial"/>
                <w:b/>
                <w:bCs/>
                <w:kern w:val="0"/>
                <w:sz w:val="22"/>
                <w:szCs w:val="22"/>
                <w14:ligatures w14:val="none"/>
              </w:rPr>
              <w:t> </w:t>
            </w:r>
            <w:r w:rsidR="00CC28CA">
              <w:rPr>
                <w:rFonts w:ascii="Arial" w:eastAsia="Calibri" w:hAnsi="Arial" w:cs="Arial"/>
                <w:b/>
                <w:bCs/>
                <w:kern w:val="0"/>
                <w:sz w:val="22"/>
                <w:szCs w:val="22"/>
                <w14:ligatures w14:val="none"/>
              </w:rPr>
              <w:t>PSYCHOLOGY IN HEALTH AND SOCIAL CARE</w:t>
            </w:r>
          </w:p>
        </w:tc>
      </w:tr>
      <w:tr w:rsidR="0071285A" w:rsidRPr="0071285A" w14:paraId="13C545A1" w14:textId="77777777" w:rsidTr="00761799">
        <w:trPr>
          <w:trHeight w:val="680"/>
          <w:jc w:val="center"/>
        </w:trPr>
        <w:tc>
          <w:tcPr>
            <w:tcW w:w="2785" w:type="dxa"/>
            <w:tcBorders>
              <w:top w:val="nil"/>
              <w:left w:val="single" w:sz="4" w:space="0" w:color="auto"/>
              <w:bottom w:val="single" w:sz="4" w:space="0" w:color="auto"/>
              <w:right w:val="single" w:sz="4" w:space="0" w:color="auto"/>
            </w:tcBorders>
            <w:noWrap/>
            <w:vAlign w:val="center"/>
            <w:hideMark/>
          </w:tcPr>
          <w:p w14:paraId="60FB3BF9" w14:textId="77777777" w:rsidR="0071285A" w:rsidRPr="0071285A" w:rsidRDefault="0071285A" w:rsidP="0071285A">
            <w:pPr>
              <w:spacing w:line="360" w:lineRule="auto"/>
              <w:rPr>
                <w:rFonts w:ascii="Arial" w:eastAsia="Calibri" w:hAnsi="Arial" w:cs="Arial"/>
                <w:b/>
                <w:bCs/>
                <w:kern w:val="0"/>
                <w:sz w:val="22"/>
                <w:szCs w:val="22"/>
                <w14:ligatures w14:val="none"/>
              </w:rPr>
            </w:pPr>
            <w:r w:rsidRPr="0071285A">
              <w:rPr>
                <w:rFonts w:ascii="Arial" w:eastAsia="Calibri" w:hAnsi="Arial" w:cs="Arial"/>
                <w:b/>
                <w:bCs/>
                <w:kern w:val="0"/>
                <w:sz w:val="22"/>
                <w:szCs w:val="22"/>
                <w14:ligatures w14:val="none"/>
              </w:rPr>
              <w:t>LECTURER’S NAME</w:t>
            </w:r>
          </w:p>
        </w:tc>
        <w:tc>
          <w:tcPr>
            <w:tcW w:w="6141" w:type="dxa"/>
            <w:tcBorders>
              <w:top w:val="nil"/>
              <w:left w:val="nil"/>
              <w:bottom w:val="single" w:sz="4" w:space="0" w:color="auto"/>
              <w:right w:val="single" w:sz="4" w:space="0" w:color="auto"/>
            </w:tcBorders>
            <w:noWrap/>
            <w:vAlign w:val="center"/>
            <w:hideMark/>
          </w:tcPr>
          <w:p w14:paraId="21389BFF" w14:textId="77DF5457" w:rsidR="0071285A" w:rsidRPr="0071285A" w:rsidRDefault="0071285A" w:rsidP="0071285A">
            <w:pPr>
              <w:spacing w:line="360" w:lineRule="auto"/>
              <w:rPr>
                <w:rFonts w:ascii="Arial" w:eastAsia="Calibri" w:hAnsi="Arial" w:cs="Arial"/>
                <w:b/>
                <w:bCs/>
                <w:kern w:val="0"/>
                <w:sz w:val="22"/>
                <w:szCs w:val="22"/>
                <w14:ligatures w14:val="none"/>
              </w:rPr>
            </w:pPr>
            <w:r w:rsidRPr="0071285A">
              <w:rPr>
                <w:rFonts w:ascii="Arial" w:eastAsia="Calibri" w:hAnsi="Arial" w:cs="Arial"/>
                <w:b/>
                <w:bCs/>
                <w:kern w:val="0"/>
                <w:sz w:val="22"/>
                <w:szCs w:val="22"/>
                <w14:ligatures w14:val="none"/>
              </w:rPr>
              <w:t> </w:t>
            </w:r>
            <w:r w:rsidR="00EB5C90">
              <w:rPr>
                <w:rFonts w:ascii="Arial" w:eastAsia="Calibri" w:hAnsi="Arial" w:cs="Arial"/>
                <w:b/>
                <w:bCs/>
                <w:kern w:val="0"/>
                <w:sz w:val="22"/>
                <w:szCs w:val="22"/>
                <w14:ligatures w14:val="none"/>
              </w:rPr>
              <w:t>P</w:t>
            </w:r>
            <w:r w:rsidR="00005AA9">
              <w:rPr>
                <w:rFonts w:ascii="Arial" w:eastAsia="Calibri" w:hAnsi="Arial" w:cs="Arial"/>
                <w:b/>
                <w:bCs/>
                <w:kern w:val="0"/>
                <w:sz w:val="22"/>
                <w:szCs w:val="22"/>
                <w14:ligatures w14:val="none"/>
              </w:rPr>
              <w:t>RABJOT KAUR SAHOTA</w:t>
            </w:r>
          </w:p>
        </w:tc>
      </w:tr>
      <w:tr w:rsidR="0071285A" w:rsidRPr="0071285A" w14:paraId="63555307" w14:textId="77777777" w:rsidTr="00761799">
        <w:trPr>
          <w:trHeight w:val="680"/>
          <w:jc w:val="center"/>
        </w:trPr>
        <w:tc>
          <w:tcPr>
            <w:tcW w:w="2785" w:type="dxa"/>
            <w:tcBorders>
              <w:top w:val="nil"/>
              <w:left w:val="single" w:sz="4" w:space="0" w:color="auto"/>
              <w:bottom w:val="single" w:sz="4" w:space="0" w:color="auto"/>
              <w:right w:val="single" w:sz="4" w:space="0" w:color="auto"/>
            </w:tcBorders>
            <w:noWrap/>
            <w:vAlign w:val="center"/>
            <w:hideMark/>
          </w:tcPr>
          <w:p w14:paraId="120CE99D" w14:textId="77777777" w:rsidR="0071285A" w:rsidRPr="0071285A" w:rsidRDefault="0071285A" w:rsidP="0071285A">
            <w:pPr>
              <w:spacing w:line="360" w:lineRule="auto"/>
              <w:rPr>
                <w:rFonts w:ascii="Arial" w:eastAsia="Calibri" w:hAnsi="Arial" w:cs="Arial"/>
                <w:b/>
                <w:bCs/>
                <w:kern w:val="0"/>
                <w:sz w:val="22"/>
                <w:szCs w:val="22"/>
                <w14:ligatures w14:val="none"/>
              </w:rPr>
            </w:pPr>
            <w:r w:rsidRPr="0071285A">
              <w:rPr>
                <w:rFonts w:ascii="Arial" w:eastAsia="Calibri" w:hAnsi="Arial" w:cs="Arial"/>
                <w:b/>
                <w:bCs/>
                <w:kern w:val="0"/>
                <w:sz w:val="22"/>
                <w:szCs w:val="22"/>
                <w14:ligatures w14:val="none"/>
              </w:rPr>
              <w:t xml:space="preserve">ASSIGNMENT TITLE  </w:t>
            </w:r>
          </w:p>
        </w:tc>
        <w:tc>
          <w:tcPr>
            <w:tcW w:w="6141" w:type="dxa"/>
            <w:tcBorders>
              <w:top w:val="nil"/>
              <w:left w:val="nil"/>
              <w:bottom w:val="single" w:sz="4" w:space="0" w:color="auto"/>
              <w:right w:val="single" w:sz="4" w:space="0" w:color="auto"/>
            </w:tcBorders>
            <w:noWrap/>
            <w:vAlign w:val="center"/>
            <w:hideMark/>
          </w:tcPr>
          <w:p w14:paraId="146AE163" w14:textId="3041490E" w:rsidR="0071285A" w:rsidRPr="0071285A" w:rsidRDefault="0071285A" w:rsidP="0071285A">
            <w:pPr>
              <w:spacing w:line="360" w:lineRule="auto"/>
              <w:rPr>
                <w:rFonts w:ascii="Arial" w:eastAsia="Calibri" w:hAnsi="Arial" w:cs="Arial"/>
                <w:b/>
                <w:bCs/>
                <w:kern w:val="0"/>
                <w:sz w:val="22"/>
                <w:szCs w:val="22"/>
                <w14:ligatures w14:val="none"/>
              </w:rPr>
            </w:pPr>
            <w:r w:rsidRPr="0071285A">
              <w:rPr>
                <w:rFonts w:ascii="Arial" w:eastAsia="Calibri" w:hAnsi="Arial" w:cs="Arial"/>
                <w:b/>
                <w:bCs/>
                <w:kern w:val="0"/>
                <w:sz w:val="22"/>
                <w:szCs w:val="22"/>
                <w14:ligatures w14:val="none"/>
              </w:rPr>
              <w:t> </w:t>
            </w:r>
            <w:r w:rsidR="00FB0748">
              <w:rPr>
                <w:rFonts w:ascii="Arial" w:eastAsia="Calibri" w:hAnsi="Arial" w:cs="Arial"/>
                <w:b/>
                <w:bCs/>
                <w:kern w:val="0"/>
                <w:sz w:val="22"/>
                <w:szCs w:val="22"/>
                <w14:ligatures w14:val="none"/>
              </w:rPr>
              <w:t>BIBLIOGRAPHY</w:t>
            </w:r>
            <w:r w:rsidR="00CC44E5">
              <w:rPr>
                <w:rFonts w:ascii="Arial" w:eastAsia="Calibri" w:hAnsi="Arial" w:cs="Arial"/>
                <w:b/>
                <w:bCs/>
                <w:kern w:val="0"/>
                <w:sz w:val="22"/>
                <w:szCs w:val="22"/>
                <w14:ligatures w14:val="none"/>
              </w:rPr>
              <w:t xml:space="preserve"> AND REPORT</w:t>
            </w:r>
          </w:p>
        </w:tc>
      </w:tr>
    </w:tbl>
    <w:p w14:paraId="67DE3CAA" w14:textId="77777777" w:rsidR="0071285A" w:rsidRDefault="0071285A" w:rsidP="0003361E">
      <w:pPr>
        <w:jc w:val="both"/>
        <w:rPr>
          <w:b/>
          <w:bCs/>
        </w:rPr>
      </w:pPr>
    </w:p>
    <w:p w14:paraId="0E5B890A" w14:textId="77777777" w:rsidR="0071285A" w:rsidRDefault="0071285A" w:rsidP="0003361E">
      <w:pPr>
        <w:jc w:val="both"/>
        <w:rPr>
          <w:b/>
          <w:bCs/>
        </w:rPr>
      </w:pPr>
    </w:p>
    <w:p w14:paraId="5F4BBE63" w14:textId="77777777" w:rsidR="0071285A" w:rsidRDefault="0071285A" w:rsidP="0003361E">
      <w:pPr>
        <w:jc w:val="both"/>
        <w:rPr>
          <w:b/>
          <w:bCs/>
        </w:rPr>
      </w:pPr>
    </w:p>
    <w:p w14:paraId="121A58AE" w14:textId="77777777" w:rsidR="0071285A" w:rsidRDefault="0071285A" w:rsidP="0003361E">
      <w:pPr>
        <w:jc w:val="both"/>
        <w:rPr>
          <w:b/>
          <w:bCs/>
        </w:rPr>
      </w:pPr>
    </w:p>
    <w:p w14:paraId="0D649F4D" w14:textId="77777777" w:rsidR="0071285A" w:rsidRDefault="0071285A" w:rsidP="0003361E">
      <w:pPr>
        <w:jc w:val="both"/>
        <w:rPr>
          <w:b/>
          <w:bCs/>
        </w:rPr>
      </w:pPr>
    </w:p>
    <w:p w14:paraId="792D5B28" w14:textId="77777777" w:rsidR="0071285A" w:rsidRDefault="0071285A" w:rsidP="0003361E">
      <w:pPr>
        <w:jc w:val="both"/>
        <w:rPr>
          <w:b/>
          <w:bCs/>
        </w:rPr>
      </w:pPr>
    </w:p>
    <w:p w14:paraId="44F6E06E" w14:textId="77777777" w:rsidR="0071285A" w:rsidRDefault="0071285A" w:rsidP="0003361E">
      <w:pPr>
        <w:jc w:val="both"/>
        <w:rPr>
          <w:b/>
          <w:bCs/>
        </w:rPr>
      </w:pPr>
    </w:p>
    <w:p w14:paraId="56098947" w14:textId="77777777" w:rsidR="0071285A" w:rsidRDefault="0071285A" w:rsidP="0003361E">
      <w:pPr>
        <w:jc w:val="both"/>
        <w:rPr>
          <w:b/>
          <w:bCs/>
        </w:rPr>
      </w:pPr>
    </w:p>
    <w:p w14:paraId="3DF6F15C" w14:textId="77777777" w:rsidR="0071285A" w:rsidRDefault="0071285A" w:rsidP="0003361E">
      <w:pPr>
        <w:jc w:val="both"/>
        <w:rPr>
          <w:b/>
          <w:bCs/>
        </w:rPr>
      </w:pPr>
    </w:p>
    <w:p w14:paraId="2DE5EA97" w14:textId="77777777" w:rsidR="0071285A" w:rsidRDefault="0071285A" w:rsidP="0003361E">
      <w:pPr>
        <w:jc w:val="both"/>
        <w:rPr>
          <w:b/>
          <w:bCs/>
        </w:rPr>
      </w:pPr>
    </w:p>
    <w:p w14:paraId="1750F724" w14:textId="77777777" w:rsidR="0071285A" w:rsidRDefault="0071285A" w:rsidP="0003361E">
      <w:pPr>
        <w:jc w:val="both"/>
        <w:rPr>
          <w:b/>
          <w:bCs/>
        </w:rPr>
      </w:pPr>
    </w:p>
    <w:p w14:paraId="01C6B702" w14:textId="77777777" w:rsidR="0071285A" w:rsidRDefault="0071285A" w:rsidP="0003361E">
      <w:pPr>
        <w:jc w:val="both"/>
        <w:rPr>
          <w:b/>
          <w:bCs/>
        </w:rPr>
      </w:pPr>
    </w:p>
    <w:p w14:paraId="7E533E0E" w14:textId="77777777" w:rsidR="0071285A" w:rsidRDefault="0071285A" w:rsidP="0003361E">
      <w:pPr>
        <w:jc w:val="both"/>
        <w:rPr>
          <w:b/>
          <w:bCs/>
        </w:rPr>
      </w:pPr>
    </w:p>
    <w:p w14:paraId="1320EEFF" w14:textId="77777777" w:rsidR="0071285A" w:rsidRDefault="0071285A" w:rsidP="0003361E">
      <w:pPr>
        <w:jc w:val="both"/>
        <w:rPr>
          <w:b/>
          <w:bCs/>
        </w:rPr>
      </w:pPr>
    </w:p>
    <w:p w14:paraId="71A66CA9" w14:textId="77777777" w:rsidR="0071285A" w:rsidRDefault="0071285A" w:rsidP="0003361E">
      <w:pPr>
        <w:jc w:val="both"/>
        <w:rPr>
          <w:b/>
          <w:bCs/>
        </w:rPr>
      </w:pPr>
    </w:p>
    <w:p w14:paraId="1C0B7921" w14:textId="77777777" w:rsidR="0071285A" w:rsidRDefault="0071285A" w:rsidP="0003361E">
      <w:pPr>
        <w:jc w:val="both"/>
        <w:rPr>
          <w:b/>
          <w:bCs/>
        </w:rPr>
      </w:pPr>
    </w:p>
    <w:p w14:paraId="57928867" w14:textId="77777777" w:rsidR="0071285A" w:rsidRDefault="0071285A" w:rsidP="0003361E">
      <w:pPr>
        <w:jc w:val="both"/>
        <w:rPr>
          <w:b/>
          <w:bCs/>
        </w:rPr>
      </w:pPr>
    </w:p>
    <w:p w14:paraId="13B893D6" w14:textId="77777777" w:rsidR="0071285A" w:rsidRDefault="0071285A" w:rsidP="0003361E">
      <w:pPr>
        <w:jc w:val="both"/>
        <w:rPr>
          <w:b/>
          <w:bCs/>
        </w:rPr>
      </w:pPr>
    </w:p>
    <w:p w14:paraId="04D607EF" w14:textId="7F445713" w:rsidR="00126CD5" w:rsidRPr="0071285A" w:rsidRDefault="0003361E" w:rsidP="0071285A">
      <w:pPr>
        <w:spacing w:line="360" w:lineRule="auto"/>
        <w:jc w:val="both"/>
        <w:rPr>
          <w:rFonts w:ascii="Arial" w:hAnsi="Arial" w:cs="Arial"/>
          <w:b/>
          <w:bCs/>
          <w:sz w:val="22"/>
          <w:szCs w:val="22"/>
        </w:rPr>
      </w:pPr>
      <w:r w:rsidRPr="0071285A">
        <w:rPr>
          <w:rFonts w:ascii="Arial" w:hAnsi="Arial" w:cs="Arial"/>
          <w:b/>
          <w:bCs/>
          <w:sz w:val="22"/>
          <w:szCs w:val="22"/>
        </w:rPr>
        <w:lastRenderedPageBreak/>
        <w:t>Part A: Annotated Bibliography</w:t>
      </w:r>
    </w:p>
    <w:p w14:paraId="729FAF82" w14:textId="3DF8D710" w:rsidR="00126CD5" w:rsidRPr="0071285A" w:rsidRDefault="00126CD5" w:rsidP="0071285A">
      <w:pPr>
        <w:pStyle w:val="ListParagraph"/>
        <w:numPr>
          <w:ilvl w:val="0"/>
          <w:numId w:val="10"/>
        </w:numPr>
        <w:spacing w:line="360" w:lineRule="auto"/>
        <w:jc w:val="both"/>
        <w:rPr>
          <w:rFonts w:ascii="Arial" w:hAnsi="Arial" w:cs="Arial"/>
          <w:b/>
          <w:bCs/>
          <w:sz w:val="22"/>
          <w:szCs w:val="22"/>
        </w:rPr>
      </w:pPr>
      <w:r w:rsidRPr="0071285A">
        <w:rPr>
          <w:rFonts w:ascii="Arial" w:hAnsi="Arial" w:cs="Arial"/>
          <w:b/>
          <w:bCs/>
          <w:sz w:val="22"/>
          <w:szCs w:val="22"/>
        </w:rPr>
        <w:t xml:space="preserve">Sneed, J.R., Whitbourne, S.K. and </w:t>
      </w:r>
      <w:proofErr w:type="spellStart"/>
      <w:r w:rsidRPr="0071285A">
        <w:rPr>
          <w:rFonts w:ascii="Arial" w:hAnsi="Arial" w:cs="Arial"/>
          <w:b/>
          <w:bCs/>
          <w:sz w:val="22"/>
          <w:szCs w:val="22"/>
        </w:rPr>
        <w:t>Culang</w:t>
      </w:r>
      <w:proofErr w:type="spellEnd"/>
      <w:r w:rsidRPr="0071285A">
        <w:rPr>
          <w:rFonts w:ascii="Arial" w:hAnsi="Arial" w:cs="Arial"/>
          <w:b/>
          <w:bCs/>
          <w:sz w:val="22"/>
          <w:szCs w:val="22"/>
        </w:rPr>
        <w:t>, M.E., 2006. Trust, identity</w:t>
      </w:r>
      <w:r w:rsidR="00BB4A7A">
        <w:rPr>
          <w:rFonts w:ascii="Arial" w:hAnsi="Arial" w:cs="Arial"/>
          <w:b/>
          <w:bCs/>
          <w:sz w:val="22"/>
          <w:szCs w:val="22"/>
        </w:rPr>
        <w:t xml:space="preserve"> and </w:t>
      </w:r>
      <w:r w:rsidRPr="0071285A">
        <w:rPr>
          <w:rFonts w:ascii="Arial" w:hAnsi="Arial" w:cs="Arial"/>
          <w:b/>
          <w:bCs/>
          <w:sz w:val="22"/>
          <w:szCs w:val="22"/>
        </w:rPr>
        <w:t>ego integrity: Modeling Erikson's core stages over 34 years. Journal of Adult Development, 13(3), pp.148-157.</w:t>
      </w:r>
    </w:p>
    <w:p w14:paraId="2C6A945E" w14:textId="77777777" w:rsidR="0003361E" w:rsidRPr="0071285A" w:rsidRDefault="0003361E" w:rsidP="0071285A">
      <w:pPr>
        <w:numPr>
          <w:ilvl w:val="0"/>
          <w:numId w:val="19"/>
        </w:numPr>
        <w:spacing w:line="360" w:lineRule="auto"/>
        <w:jc w:val="both"/>
        <w:rPr>
          <w:rFonts w:ascii="Arial" w:hAnsi="Arial" w:cs="Arial"/>
          <w:sz w:val="22"/>
          <w:szCs w:val="22"/>
        </w:rPr>
      </w:pPr>
      <w:r w:rsidRPr="0071285A">
        <w:rPr>
          <w:rFonts w:ascii="Arial" w:hAnsi="Arial" w:cs="Arial"/>
          <w:b/>
          <w:bCs/>
          <w:sz w:val="22"/>
          <w:szCs w:val="22"/>
        </w:rPr>
        <w:t>Concise summary of the source's key arguments or findings</w:t>
      </w:r>
    </w:p>
    <w:p w14:paraId="0FCA97AB" w14:textId="77AA726E" w:rsidR="0003361E" w:rsidRPr="0071285A" w:rsidRDefault="0003361E" w:rsidP="0071285A">
      <w:pPr>
        <w:spacing w:line="360" w:lineRule="auto"/>
        <w:jc w:val="both"/>
        <w:rPr>
          <w:rFonts w:ascii="Arial" w:hAnsi="Arial" w:cs="Arial"/>
          <w:sz w:val="22"/>
          <w:szCs w:val="22"/>
        </w:rPr>
      </w:pPr>
      <w:r w:rsidRPr="0071285A">
        <w:rPr>
          <w:rFonts w:ascii="Arial" w:hAnsi="Arial" w:cs="Arial"/>
          <w:sz w:val="22"/>
          <w:szCs w:val="22"/>
        </w:rPr>
        <w:t>This article uses structural equation modeling to test Erikson's psychosocial development theory across adult lifespan stages. Researchers surveyed 346 adults aged 18-88, examining how identity formation, intimacy, generativity</w:t>
      </w:r>
      <w:r w:rsidR="00BB4A7A">
        <w:rPr>
          <w:rFonts w:ascii="Arial" w:hAnsi="Arial" w:cs="Arial"/>
          <w:sz w:val="22"/>
          <w:szCs w:val="22"/>
        </w:rPr>
        <w:t xml:space="preserve"> and </w:t>
      </w:r>
      <w:r w:rsidRPr="0071285A">
        <w:rPr>
          <w:rFonts w:ascii="Arial" w:hAnsi="Arial" w:cs="Arial"/>
          <w:sz w:val="22"/>
          <w:szCs w:val="22"/>
        </w:rPr>
        <w:t>ego integrity influence psychological wellbeing. Findings showed that strong identity achievement during young adulthood correlated with significantly higher ego integrity in older age, confirming Erikson's sequential developmental stages. Generativity emerged as a crucial bridge between midlife development and achieving ego integrity versus despair in late adulthood.</w:t>
      </w:r>
    </w:p>
    <w:p w14:paraId="6A293377" w14:textId="77777777" w:rsidR="0003361E" w:rsidRPr="0071285A" w:rsidRDefault="0003361E" w:rsidP="0071285A">
      <w:pPr>
        <w:numPr>
          <w:ilvl w:val="0"/>
          <w:numId w:val="20"/>
        </w:numPr>
        <w:spacing w:line="360" w:lineRule="auto"/>
        <w:jc w:val="both"/>
        <w:rPr>
          <w:rFonts w:ascii="Arial" w:hAnsi="Arial" w:cs="Arial"/>
          <w:sz w:val="22"/>
          <w:szCs w:val="22"/>
        </w:rPr>
      </w:pPr>
      <w:r w:rsidRPr="0071285A">
        <w:rPr>
          <w:rFonts w:ascii="Arial" w:hAnsi="Arial" w:cs="Arial"/>
          <w:b/>
          <w:bCs/>
          <w:sz w:val="22"/>
          <w:szCs w:val="22"/>
        </w:rPr>
        <w:t>Critical comment on its relevance to supporting older adults in health and social care settings</w:t>
      </w:r>
    </w:p>
    <w:p w14:paraId="49A84CD9" w14:textId="2F44350D" w:rsidR="0003361E" w:rsidRPr="0071285A" w:rsidRDefault="0003361E" w:rsidP="0071285A">
      <w:pPr>
        <w:spacing w:line="360" w:lineRule="auto"/>
        <w:jc w:val="both"/>
        <w:rPr>
          <w:rFonts w:ascii="Arial" w:hAnsi="Arial" w:cs="Arial"/>
          <w:sz w:val="22"/>
          <w:szCs w:val="22"/>
        </w:rPr>
      </w:pPr>
      <w:r w:rsidRPr="0071285A">
        <w:rPr>
          <w:rFonts w:ascii="Arial" w:hAnsi="Arial" w:cs="Arial"/>
          <w:sz w:val="22"/>
          <w:szCs w:val="22"/>
        </w:rPr>
        <w:t>This research demonstrates that current psychological wellbeing connects to lifelong experiences rather than just present circumstances, encouraging biographical approaches where practitioners know service users' life stories. When older adults struggle with despair, life review interventions could facilitate reflection and ego integrity achievement. Recognizing generativity needs suggests care settings should enable meaningful contribution</w:t>
      </w:r>
      <w:r w:rsidR="003A7234" w:rsidRPr="0071285A">
        <w:rPr>
          <w:rFonts w:ascii="Arial" w:hAnsi="Arial" w:cs="Arial"/>
          <w:sz w:val="22"/>
          <w:szCs w:val="22"/>
        </w:rPr>
        <w:t xml:space="preserve"> </w:t>
      </w:r>
      <w:r w:rsidRPr="0071285A">
        <w:rPr>
          <w:rFonts w:ascii="Arial" w:hAnsi="Arial" w:cs="Arial"/>
          <w:sz w:val="22"/>
          <w:szCs w:val="22"/>
        </w:rPr>
        <w:t>through mentoring, knowledge sharing</w:t>
      </w:r>
      <w:r w:rsidR="00BB4A7A">
        <w:rPr>
          <w:rFonts w:ascii="Arial" w:hAnsi="Arial" w:cs="Arial"/>
          <w:sz w:val="22"/>
          <w:szCs w:val="22"/>
        </w:rPr>
        <w:t xml:space="preserve"> or </w:t>
      </w:r>
      <w:r w:rsidRPr="0071285A">
        <w:rPr>
          <w:rFonts w:ascii="Arial" w:hAnsi="Arial" w:cs="Arial"/>
          <w:sz w:val="22"/>
          <w:szCs w:val="22"/>
        </w:rPr>
        <w:t>guiding others</w:t>
      </w:r>
      <w:r w:rsidR="003A7234" w:rsidRPr="0071285A">
        <w:rPr>
          <w:rFonts w:ascii="Arial" w:hAnsi="Arial" w:cs="Arial"/>
          <w:sz w:val="22"/>
          <w:szCs w:val="22"/>
        </w:rPr>
        <w:t xml:space="preserve">, </w:t>
      </w:r>
      <w:r w:rsidRPr="0071285A">
        <w:rPr>
          <w:rFonts w:ascii="Arial" w:hAnsi="Arial" w:cs="Arial"/>
          <w:sz w:val="22"/>
          <w:szCs w:val="22"/>
        </w:rPr>
        <w:t>rather than positioning older people solely as passive care recipients.</w:t>
      </w:r>
    </w:p>
    <w:p w14:paraId="43C0EFFA" w14:textId="77777777" w:rsidR="00126CD5" w:rsidRPr="0071285A" w:rsidRDefault="00126CD5" w:rsidP="0071285A">
      <w:pPr>
        <w:spacing w:line="360" w:lineRule="auto"/>
        <w:jc w:val="both"/>
        <w:rPr>
          <w:rFonts w:ascii="Arial" w:hAnsi="Arial" w:cs="Arial"/>
          <w:sz w:val="22"/>
          <w:szCs w:val="22"/>
        </w:rPr>
      </w:pPr>
    </w:p>
    <w:p w14:paraId="632E0437" w14:textId="61B2BFA5" w:rsidR="00BD26DE" w:rsidRPr="0071285A" w:rsidRDefault="00126CD5" w:rsidP="0071285A">
      <w:pPr>
        <w:spacing w:line="360" w:lineRule="auto"/>
        <w:jc w:val="both"/>
        <w:rPr>
          <w:rFonts w:ascii="Arial" w:hAnsi="Arial" w:cs="Arial"/>
          <w:b/>
          <w:bCs/>
          <w:sz w:val="22"/>
          <w:szCs w:val="22"/>
        </w:rPr>
      </w:pPr>
      <w:r w:rsidRPr="0071285A">
        <w:rPr>
          <w:rFonts w:ascii="Arial" w:hAnsi="Arial" w:cs="Arial"/>
          <w:b/>
          <w:bCs/>
          <w:sz w:val="22"/>
          <w:szCs w:val="22"/>
        </w:rPr>
        <w:t xml:space="preserve">2. </w:t>
      </w:r>
      <w:r w:rsidR="00BD26DE" w:rsidRPr="0071285A">
        <w:rPr>
          <w:rFonts w:ascii="Arial" w:hAnsi="Arial" w:cs="Arial"/>
          <w:b/>
          <w:bCs/>
          <w:sz w:val="22"/>
          <w:szCs w:val="22"/>
        </w:rPr>
        <w:t xml:space="preserve">Butler, R.N. and Gleason, H.P. eds., 1985. </w:t>
      </w:r>
      <w:r w:rsidR="00BD26DE" w:rsidRPr="0071285A">
        <w:rPr>
          <w:rFonts w:ascii="Arial" w:hAnsi="Arial" w:cs="Arial"/>
          <w:b/>
          <w:bCs/>
          <w:i/>
          <w:iCs/>
          <w:sz w:val="22"/>
          <w:szCs w:val="22"/>
        </w:rPr>
        <w:t>Productive aging: Enhancing vitality in later life</w:t>
      </w:r>
      <w:r w:rsidR="00BD26DE" w:rsidRPr="0071285A">
        <w:rPr>
          <w:rFonts w:ascii="Arial" w:hAnsi="Arial" w:cs="Arial"/>
          <w:b/>
          <w:bCs/>
          <w:sz w:val="22"/>
          <w:szCs w:val="22"/>
        </w:rPr>
        <w:t>. New York: Springer Publishing Company.</w:t>
      </w:r>
    </w:p>
    <w:p w14:paraId="7764A465" w14:textId="77777777" w:rsidR="00BD26DE" w:rsidRPr="0071285A" w:rsidRDefault="00BD26DE" w:rsidP="0071285A">
      <w:pPr>
        <w:numPr>
          <w:ilvl w:val="0"/>
          <w:numId w:val="23"/>
        </w:numPr>
        <w:spacing w:line="360" w:lineRule="auto"/>
        <w:jc w:val="both"/>
        <w:rPr>
          <w:rFonts w:ascii="Arial" w:hAnsi="Arial" w:cs="Arial"/>
          <w:b/>
          <w:bCs/>
          <w:sz w:val="22"/>
          <w:szCs w:val="22"/>
        </w:rPr>
      </w:pPr>
      <w:r w:rsidRPr="0071285A">
        <w:rPr>
          <w:rFonts w:ascii="Arial" w:hAnsi="Arial" w:cs="Arial"/>
          <w:b/>
          <w:bCs/>
          <w:sz w:val="22"/>
          <w:szCs w:val="22"/>
        </w:rPr>
        <w:t>Concise summary of the source's key arguments or findings</w:t>
      </w:r>
    </w:p>
    <w:p w14:paraId="6B039E8A" w14:textId="20B34A71" w:rsidR="00BD26DE" w:rsidRPr="0071285A" w:rsidRDefault="00BD26DE" w:rsidP="0071285A">
      <w:pPr>
        <w:spacing w:line="360" w:lineRule="auto"/>
        <w:jc w:val="both"/>
        <w:rPr>
          <w:rFonts w:ascii="Arial" w:hAnsi="Arial" w:cs="Arial"/>
          <w:sz w:val="22"/>
          <w:szCs w:val="22"/>
        </w:rPr>
      </w:pPr>
      <w:r w:rsidRPr="0071285A">
        <w:rPr>
          <w:rFonts w:ascii="Arial" w:hAnsi="Arial" w:cs="Arial"/>
          <w:sz w:val="22"/>
          <w:szCs w:val="22"/>
        </w:rPr>
        <w:t xml:space="preserve">This edited volume explores Havighurst's activity theory, proposing that successful ageing depends on maintaining active engagement and social participation </w:t>
      </w:r>
      <w:proofErr w:type="gramStart"/>
      <w:r w:rsidRPr="0071285A">
        <w:rPr>
          <w:rFonts w:ascii="Arial" w:hAnsi="Arial" w:cs="Arial"/>
          <w:sz w:val="22"/>
          <w:szCs w:val="22"/>
        </w:rPr>
        <w:t>similar to</w:t>
      </w:r>
      <w:proofErr w:type="gramEnd"/>
      <w:r w:rsidRPr="0071285A">
        <w:rPr>
          <w:rFonts w:ascii="Arial" w:hAnsi="Arial" w:cs="Arial"/>
          <w:sz w:val="22"/>
          <w:szCs w:val="22"/>
        </w:rPr>
        <w:t xml:space="preserve"> middle age. The authors argue that life satisfaction in older adulthood correlates directly with continued activity levels across social, physical</w:t>
      </w:r>
      <w:r w:rsidR="00BB4A7A">
        <w:rPr>
          <w:rFonts w:ascii="Arial" w:hAnsi="Arial" w:cs="Arial"/>
          <w:sz w:val="22"/>
          <w:szCs w:val="22"/>
        </w:rPr>
        <w:t xml:space="preserve"> and </w:t>
      </w:r>
      <w:r w:rsidRPr="0071285A">
        <w:rPr>
          <w:rFonts w:ascii="Arial" w:hAnsi="Arial" w:cs="Arial"/>
          <w:sz w:val="22"/>
          <w:szCs w:val="22"/>
        </w:rPr>
        <w:t>intellectual domains. Research presented demonstrates that older adults who remain socially connected, pursue hobbies, volunteer</w:t>
      </w:r>
      <w:r w:rsidR="00BB4A7A">
        <w:rPr>
          <w:rFonts w:ascii="Arial" w:hAnsi="Arial" w:cs="Arial"/>
          <w:sz w:val="22"/>
          <w:szCs w:val="22"/>
        </w:rPr>
        <w:t xml:space="preserve"> or </w:t>
      </w:r>
      <w:r w:rsidRPr="0071285A">
        <w:rPr>
          <w:rFonts w:ascii="Arial" w:hAnsi="Arial" w:cs="Arial"/>
          <w:sz w:val="22"/>
          <w:szCs w:val="22"/>
        </w:rPr>
        <w:t xml:space="preserve">maintain employment report higher wellbeing than those who disengage. The theory challenges disengagement </w:t>
      </w:r>
      <w:r w:rsidRPr="0071285A">
        <w:rPr>
          <w:rFonts w:ascii="Arial" w:hAnsi="Arial" w:cs="Arial"/>
          <w:sz w:val="22"/>
          <w:szCs w:val="22"/>
        </w:rPr>
        <w:lastRenderedPageBreak/>
        <w:t>perspectives, suggesting that withdrawal from activities stems from societal constraints rather than natural ageing processes.</w:t>
      </w:r>
    </w:p>
    <w:p w14:paraId="04E60B0C" w14:textId="77777777" w:rsidR="00BD26DE" w:rsidRPr="0071285A" w:rsidRDefault="00BD26DE" w:rsidP="0071285A">
      <w:pPr>
        <w:numPr>
          <w:ilvl w:val="0"/>
          <w:numId w:val="24"/>
        </w:numPr>
        <w:spacing w:line="360" w:lineRule="auto"/>
        <w:jc w:val="both"/>
        <w:rPr>
          <w:rFonts w:ascii="Arial" w:hAnsi="Arial" w:cs="Arial"/>
          <w:b/>
          <w:bCs/>
          <w:sz w:val="22"/>
          <w:szCs w:val="22"/>
        </w:rPr>
      </w:pPr>
      <w:r w:rsidRPr="0071285A">
        <w:rPr>
          <w:rFonts w:ascii="Arial" w:hAnsi="Arial" w:cs="Arial"/>
          <w:b/>
          <w:bCs/>
          <w:sz w:val="22"/>
          <w:szCs w:val="22"/>
        </w:rPr>
        <w:t>Critical comment on its relevance to supporting older adults in health and social care settings</w:t>
      </w:r>
    </w:p>
    <w:p w14:paraId="7C4428FA" w14:textId="7928EA80" w:rsidR="0003361E" w:rsidRPr="0071285A" w:rsidRDefault="00BD26DE" w:rsidP="0071285A">
      <w:pPr>
        <w:spacing w:line="360" w:lineRule="auto"/>
        <w:jc w:val="both"/>
        <w:rPr>
          <w:rFonts w:ascii="Arial" w:hAnsi="Arial" w:cs="Arial"/>
          <w:sz w:val="22"/>
          <w:szCs w:val="22"/>
        </w:rPr>
      </w:pPr>
      <w:r w:rsidRPr="0071285A">
        <w:rPr>
          <w:rFonts w:ascii="Arial" w:hAnsi="Arial" w:cs="Arial"/>
          <w:sz w:val="22"/>
          <w:szCs w:val="22"/>
        </w:rPr>
        <w:t>Activity theory encourages care settings to provide diverse meaningful activities matching residents' interests and abilities rather than assuming older people prefer passive rest. This perspective supports creating opportunities for continued learning, social interaction</w:t>
      </w:r>
      <w:r w:rsidR="00BB4A7A">
        <w:rPr>
          <w:rFonts w:ascii="Arial" w:hAnsi="Arial" w:cs="Arial"/>
          <w:sz w:val="22"/>
          <w:szCs w:val="22"/>
        </w:rPr>
        <w:t xml:space="preserve"> and </w:t>
      </w:r>
      <w:r w:rsidRPr="0071285A">
        <w:rPr>
          <w:rFonts w:ascii="Arial" w:hAnsi="Arial" w:cs="Arial"/>
          <w:sz w:val="22"/>
          <w:szCs w:val="22"/>
        </w:rPr>
        <w:t>purposeful occupation. However, practitioners must recognize individual differences</w:t>
      </w:r>
      <w:r w:rsidR="0071285A">
        <w:rPr>
          <w:rFonts w:ascii="Arial" w:hAnsi="Arial" w:cs="Arial"/>
          <w:sz w:val="22"/>
          <w:szCs w:val="22"/>
        </w:rPr>
        <w:t xml:space="preserve"> as </w:t>
      </w:r>
      <w:r w:rsidRPr="0071285A">
        <w:rPr>
          <w:rFonts w:ascii="Arial" w:hAnsi="Arial" w:cs="Arial"/>
          <w:sz w:val="22"/>
          <w:szCs w:val="22"/>
        </w:rPr>
        <w:t>some genuinely prefer quieter lifestyles without indicating poor adjustment. The theory risks creating pressure to remain constantly active, potentially invalidating legitimate needs for rest or reflection during later life.</w:t>
      </w:r>
    </w:p>
    <w:p w14:paraId="38A072B3" w14:textId="77777777" w:rsidR="00126CD5" w:rsidRPr="0071285A" w:rsidRDefault="00126CD5" w:rsidP="0071285A">
      <w:pPr>
        <w:spacing w:line="360" w:lineRule="auto"/>
        <w:jc w:val="both"/>
        <w:rPr>
          <w:rFonts w:ascii="Arial" w:hAnsi="Arial" w:cs="Arial"/>
          <w:sz w:val="22"/>
          <w:szCs w:val="22"/>
        </w:rPr>
      </w:pPr>
    </w:p>
    <w:p w14:paraId="7BBB4BAB" w14:textId="50BEBDE3" w:rsidR="00410E2A" w:rsidRPr="0071285A" w:rsidRDefault="00126CD5" w:rsidP="0071285A">
      <w:pPr>
        <w:spacing w:line="360" w:lineRule="auto"/>
        <w:jc w:val="both"/>
        <w:rPr>
          <w:rFonts w:ascii="Arial" w:hAnsi="Arial" w:cs="Arial"/>
          <w:b/>
          <w:bCs/>
          <w:sz w:val="22"/>
          <w:szCs w:val="22"/>
        </w:rPr>
      </w:pPr>
      <w:r w:rsidRPr="0071285A">
        <w:rPr>
          <w:rFonts w:ascii="Arial" w:hAnsi="Arial" w:cs="Arial"/>
          <w:b/>
          <w:bCs/>
          <w:sz w:val="22"/>
          <w:szCs w:val="22"/>
        </w:rPr>
        <w:t xml:space="preserve">3. </w:t>
      </w:r>
      <w:r w:rsidR="00410E2A" w:rsidRPr="0071285A">
        <w:rPr>
          <w:rFonts w:ascii="Arial" w:hAnsi="Arial" w:cs="Arial"/>
          <w:b/>
          <w:bCs/>
          <w:sz w:val="22"/>
          <w:szCs w:val="22"/>
        </w:rPr>
        <w:t xml:space="preserve">Mikulincer, M. and Shaver, P.R., 2012. An attachment perspective on psychopathology. </w:t>
      </w:r>
      <w:r w:rsidR="00410E2A" w:rsidRPr="0071285A">
        <w:rPr>
          <w:rFonts w:ascii="Arial" w:hAnsi="Arial" w:cs="Arial"/>
          <w:b/>
          <w:bCs/>
          <w:i/>
          <w:iCs/>
          <w:sz w:val="22"/>
          <w:szCs w:val="22"/>
        </w:rPr>
        <w:t>World Psychiatry</w:t>
      </w:r>
      <w:r w:rsidR="00410E2A" w:rsidRPr="0071285A">
        <w:rPr>
          <w:rFonts w:ascii="Arial" w:hAnsi="Arial" w:cs="Arial"/>
          <w:b/>
          <w:bCs/>
          <w:sz w:val="22"/>
          <w:szCs w:val="22"/>
        </w:rPr>
        <w:t>, 11(1), pp.11-15.</w:t>
      </w:r>
    </w:p>
    <w:p w14:paraId="5B52DD73" w14:textId="77777777" w:rsidR="00410E2A" w:rsidRPr="0071285A" w:rsidRDefault="00410E2A" w:rsidP="0071285A">
      <w:pPr>
        <w:numPr>
          <w:ilvl w:val="0"/>
          <w:numId w:val="25"/>
        </w:numPr>
        <w:spacing w:line="360" w:lineRule="auto"/>
        <w:jc w:val="both"/>
        <w:rPr>
          <w:rFonts w:ascii="Arial" w:hAnsi="Arial" w:cs="Arial"/>
          <w:b/>
          <w:bCs/>
          <w:sz w:val="22"/>
          <w:szCs w:val="22"/>
        </w:rPr>
      </w:pPr>
      <w:r w:rsidRPr="0071285A">
        <w:rPr>
          <w:rFonts w:ascii="Arial" w:hAnsi="Arial" w:cs="Arial"/>
          <w:b/>
          <w:bCs/>
          <w:sz w:val="22"/>
          <w:szCs w:val="22"/>
        </w:rPr>
        <w:t>Concise summary of the source's key arguments or findings</w:t>
      </w:r>
    </w:p>
    <w:p w14:paraId="15066836" w14:textId="28E1AE64" w:rsidR="00410E2A" w:rsidRPr="0071285A" w:rsidRDefault="00410E2A" w:rsidP="0071285A">
      <w:pPr>
        <w:spacing w:line="360" w:lineRule="auto"/>
        <w:jc w:val="both"/>
        <w:rPr>
          <w:rFonts w:ascii="Arial" w:hAnsi="Arial" w:cs="Arial"/>
          <w:sz w:val="22"/>
          <w:szCs w:val="22"/>
        </w:rPr>
      </w:pPr>
      <w:r w:rsidRPr="0071285A">
        <w:rPr>
          <w:rFonts w:ascii="Arial" w:hAnsi="Arial" w:cs="Arial"/>
          <w:sz w:val="22"/>
          <w:szCs w:val="22"/>
        </w:rPr>
        <w:t>This article extends Bowlby's attachment theory to adult mental health, examining how early attachment patterns influence psychological functioning across the lifespan. The authors demonstrate that secure attachment</w:t>
      </w:r>
      <w:r w:rsidR="0071285A">
        <w:rPr>
          <w:rFonts w:ascii="Arial" w:hAnsi="Arial" w:cs="Arial"/>
          <w:sz w:val="22"/>
          <w:szCs w:val="22"/>
        </w:rPr>
        <w:t xml:space="preserve"> </w:t>
      </w:r>
      <w:r w:rsidRPr="0071285A">
        <w:rPr>
          <w:rFonts w:ascii="Arial" w:hAnsi="Arial" w:cs="Arial"/>
          <w:sz w:val="22"/>
          <w:szCs w:val="22"/>
        </w:rPr>
        <w:t>formed through consistent</w:t>
      </w:r>
      <w:r w:rsidR="0071285A">
        <w:rPr>
          <w:rFonts w:ascii="Arial" w:hAnsi="Arial" w:cs="Arial"/>
          <w:sz w:val="22"/>
          <w:szCs w:val="22"/>
        </w:rPr>
        <w:t xml:space="preserve"> and</w:t>
      </w:r>
      <w:r w:rsidRPr="0071285A">
        <w:rPr>
          <w:rFonts w:ascii="Arial" w:hAnsi="Arial" w:cs="Arial"/>
          <w:sz w:val="22"/>
          <w:szCs w:val="22"/>
        </w:rPr>
        <w:t xml:space="preserve"> responsive caregiving</w:t>
      </w:r>
      <w:r w:rsidR="0071285A">
        <w:rPr>
          <w:rFonts w:ascii="Arial" w:hAnsi="Arial" w:cs="Arial"/>
          <w:sz w:val="22"/>
          <w:szCs w:val="22"/>
        </w:rPr>
        <w:t xml:space="preserve"> </w:t>
      </w:r>
      <w:r w:rsidRPr="0071285A">
        <w:rPr>
          <w:rFonts w:ascii="Arial" w:hAnsi="Arial" w:cs="Arial"/>
          <w:sz w:val="22"/>
          <w:szCs w:val="22"/>
        </w:rPr>
        <w:t>predicts better emotional regulation and relationship quality in older adulthood. Conversely, insecure attachment patterns (anxious or avoidant) correlate with increased vulnerability to depression, anxiety</w:t>
      </w:r>
      <w:r w:rsidR="00BB4A7A">
        <w:rPr>
          <w:rFonts w:ascii="Arial" w:hAnsi="Arial" w:cs="Arial"/>
          <w:sz w:val="22"/>
          <w:szCs w:val="22"/>
        </w:rPr>
        <w:t xml:space="preserve"> and </w:t>
      </w:r>
      <w:r w:rsidRPr="0071285A">
        <w:rPr>
          <w:rFonts w:ascii="Arial" w:hAnsi="Arial" w:cs="Arial"/>
          <w:sz w:val="22"/>
          <w:szCs w:val="22"/>
        </w:rPr>
        <w:t>difficulty forming supportive relationships later in life.</w:t>
      </w:r>
    </w:p>
    <w:p w14:paraId="31D89485" w14:textId="77777777" w:rsidR="00410E2A" w:rsidRPr="0071285A" w:rsidRDefault="00410E2A" w:rsidP="0071285A">
      <w:pPr>
        <w:numPr>
          <w:ilvl w:val="0"/>
          <w:numId w:val="26"/>
        </w:numPr>
        <w:spacing w:line="360" w:lineRule="auto"/>
        <w:jc w:val="both"/>
        <w:rPr>
          <w:rFonts w:ascii="Arial" w:hAnsi="Arial" w:cs="Arial"/>
          <w:b/>
          <w:bCs/>
          <w:sz w:val="22"/>
          <w:szCs w:val="22"/>
        </w:rPr>
      </w:pPr>
      <w:r w:rsidRPr="0071285A">
        <w:rPr>
          <w:rFonts w:ascii="Arial" w:hAnsi="Arial" w:cs="Arial"/>
          <w:b/>
          <w:bCs/>
          <w:sz w:val="22"/>
          <w:szCs w:val="22"/>
        </w:rPr>
        <w:t>Critical comment on its relevance to supporting older adults in health and social care settings</w:t>
      </w:r>
    </w:p>
    <w:p w14:paraId="504FE473" w14:textId="6EF9C3E7" w:rsidR="00126CD5" w:rsidRPr="0071285A" w:rsidRDefault="00410E2A" w:rsidP="0071285A">
      <w:pPr>
        <w:spacing w:line="360" w:lineRule="auto"/>
        <w:jc w:val="both"/>
        <w:rPr>
          <w:rFonts w:ascii="Arial" w:hAnsi="Arial" w:cs="Arial"/>
          <w:sz w:val="22"/>
          <w:szCs w:val="22"/>
        </w:rPr>
      </w:pPr>
      <w:r w:rsidRPr="0071285A">
        <w:rPr>
          <w:rFonts w:ascii="Arial" w:hAnsi="Arial" w:cs="Arial"/>
          <w:sz w:val="22"/>
          <w:szCs w:val="22"/>
        </w:rPr>
        <w:t>Understanding residents</w:t>
      </w:r>
      <w:proofErr w:type="gramStart"/>
      <w:r w:rsidRPr="0071285A">
        <w:rPr>
          <w:rFonts w:ascii="Arial" w:hAnsi="Arial" w:cs="Arial"/>
          <w:sz w:val="22"/>
          <w:szCs w:val="22"/>
        </w:rPr>
        <w:t>' attachment</w:t>
      </w:r>
      <w:proofErr w:type="gramEnd"/>
      <w:r w:rsidRPr="0071285A">
        <w:rPr>
          <w:rFonts w:ascii="Arial" w:hAnsi="Arial" w:cs="Arial"/>
          <w:sz w:val="22"/>
          <w:szCs w:val="22"/>
        </w:rPr>
        <w:t xml:space="preserve"> histories helps practitioners recognize why some older adults struggle trusting care staff or forming relationships within residential settings. Those with insecure attachment may require patience and consistency to develop trust. Care workers can provide corrective attachment </w:t>
      </w:r>
      <w:proofErr w:type="gramStart"/>
      <w:r w:rsidRPr="0071285A">
        <w:rPr>
          <w:rFonts w:ascii="Arial" w:hAnsi="Arial" w:cs="Arial"/>
          <w:sz w:val="22"/>
          <w:szCs w:val="22"/>
        </w:rPr>
        <w:t>experiences</w:t>
      </w:r>
      <w:proofErr w:type="gramEnd"/>
      <w:r w:rsidRPr="0071285A">
        <w:rPr>
          <w:rFonts w:ascii="Arial" w:hAnsi="Arial" w:cs="Arial"/>
          <w:sz w:val="22"/>
          <w:szCs w:val="22"/>
        </w:rPr>
        <w:t xml:space="preserve"> through reliable, responsive caregiving. However, practitioners shouldn't assume attachment patterns are fixed</w:t>
      </w:r>
      <w:r w:rsidR="00174C48">
        <w:rPr>
          <w:rFonts w:ascii="Arial" w:hAnsi="Arial" w:cs="Arial"/>
          <w:sz w:val="22"/>
          <w:szCs w:val="22"/>
        </w:rPr>
        <w:t xml:space="preserve"> as </w:t>
      </w:r>
      <w:r w:rsidRPr="0071285A">
        <w:rPr>
          <w:rFonts w:ascii="Arial" w:hAnsi="Arial" w:cs="Arial"/>
          <w:sz w:val="22"/>
          <w:szCs w:val="22"/>
        </w:rPr>
        <w:t>therapeutic relationships can promote security even in later life.</w:t>
      </w:r>
    </w:p>
    <w:p w14:paraId="3EB9ABFA" w14:textId="77777777" w:rsidR="00126CD5" w:rsidRPr="0071285A" w:rsidRDefault="00126CD5" w:rsidP="0071285A">
      <w:pPr>
        <w:spacing w:line="360" w:lineRule="auto"/>
        <w:jc w:val="both"/>
        <w:rPr>
          <w:rFonts w:ascii="Arial" w:hAnsi="Arial" w:cs="Arial"/>
          <w:sz w:val="22"/>
          <w:szCs w:val="22"/>
        </w:rPr>
      </w:pPr>
    </w:p>
    <w:p w14:paraId="1DCC323B" w14:textId="0C44D81B" w:rsidR="00410E2A" w:rsidRPr="0071285A" w:rsidRDefault="00126CD5" w:rsidP="0071285A">
      <w:pPr>
        <w:spacing w:line="360" w:lineRule="auto"/>
        <w:jc w:val="both"/>
        <w:rPr>
          <w:rFonts w:ascii="Arial" w:hAnsi="Arial" w:cs="Arial"/>
          <w:b/>
          <w:bCs/>
          <w:sz w:val="22"/>
          <w:szCs w:val="22"/>
        </w:rPr>
      </w:pPr>
      <w:r w:rsidRPr="0071285A">
        <w:rPr>
          <w:rFonts w:ascii="Arial" w:hAnsi="Arial" w:cs="Arial"/>
          <w:b/>
          <w:bCs/>
          <w:sz w:val="22"/>
          <w:szCs w:val="22"/>
        </w:rPr>
        <w:lastRenderedPageBreak/>
        <w:t xml:space="preserve">4. </w:t>
      </w:r>
      <w:r w:rsidR="00410E2A" w:rsidRPr="0071285A">
        <w:rPr>
          <w:rFonts w:ascii="Arial" w:hAnsi="Arial" w:cs="Arial"/>
          <w:b/>
          <w:bCs/>
          <w:sz w:val="22"/>
          <w:szCs w:val="22"/>
        </w:rPr>
        <w:t xml:space="preserve">Rowe, J.W. and Kahn, R.L., 1997. Successful aging. </w:t>
      </w:r>
      <w:r w:rsidR="00410E2A" w:rsidRPr="0071285A">
        <w:rPr>
          <w:rFonts w:ascii="Arial" w:hAnsi="Arial" w:cs="Arial"/>
          <w:b/>
          <w:bCs/>
          <w:i/>
          <w:iCs/>
          <w:sz w:val="22"/>
          <w:szCs w:val="22"/>
        </w:rPr>
        <w:t>The Gerontologist</w:t>
      </w:r>
      <w:r w:rsidR="00410E2A" w:rsidRPr="0071285A">
        <w:rPr>
          <w:rFonts w:ascii="Arial" w:hAnsi="Arial" w:cs="Arial"/>
          <w:b/>
          <w:bCs/>
          <w:sz w:val="22"/>
          <w:szCs w:val="22"/>
        </w:rPr>
        <w:t>, 37(4), pp.433-440.</w:t>
      </w:r>
    </w:p>
    <w:p w14:paraId="3DAFC28C" w14:textId="77777777" w:rsidR="00410E2A" w:rsidRPr="0071285A" w:rsidRDefault="00410E2A" w:rsidP="0071285A">
      <w:pPr>
        <w:numPr>
          <w:ilvl w:val="0"/>
          <w:numId w:val="29"/>
        </w:numPr>
        <w:spacing w:line="360" w:lineRule="auto"/>
        <w:jc w:val="both"/>
        <w:rPr>
          <w:rFonts w:ascii="Arial" w:hAnsi="Arial" w:cs="Arial"/>
          <w:b/>
          <w:bCs/>
          <w:sz w:val="22"/>
          <w:szCs w:val="22"/>
        </w:rPr>
      </w:pPr>
      <w:r w:rsidRPr="0071285A">
        <w:rPr>
          <w:rFonts w:ascii="Arial" w:hAnsi="Arial" w:cs="Arial"/>
          <w:b/>
          <w:bCs/>
          <w:sz w:val="22"/>
          <w:szCs w:val="22"/>
        </w:rPr>
        <w:t>Concise summary of the source's key arguments or findings</w:t>
      </w:r>
    </w:p>
    <w:p w14:paraId="1AC748C8" w14:textId="6105CD74" w:rsidR="00410E2A" w:rsidRPr="0071285A" w:rsidRDefault="00410E2A" w:rsidP="0071285A">
      <w:pPr>
        <w:spacing w:line="360" w:lineRule="auto"/>
        <w:jc w:val="both"/>
        <w:rPr>
          <w:rFonts w:ascii="Arial" w:hAnsi="Arial" w:cs="Arial"/>
          <w:sz w:val="22"/>
          <w:szCs w:val="22"/>
        </w:rPr>
      </w:pPr>
      <w:r w:rsidRPr="0071285A">
        <w:rPr>
          <w:rFonts w:ascii="Arial" w:hAnsi="Arial" w:cs="Arial"/>
          <w:sz w:val="22"/>
          <w:szCs w:val="22"/>
        </w:rPr>
        <w:t>Rowe and Kahn present a positive psychology framework defining successful ageing through three key components: avoiding disease and disability, maintaining high cognitive and physical function</w:t>
      </w:r>
      <w:r w:rsidR="00BB4A7A">
        <w:rPr>
          <w:rFonts w:ascii="Arial" w:hAnsi="Arial" w:cs="Arial"/>
          <w:sz w:val="22"/>
          <w:szCs w:val="22"/>
        </w:rPr>
        <w:t xml:space="preserve"> and </w:t>
      </w:r>
      <w:r w:rsidRPr="0071285A">
        <w:rPr>
          <w:rFonts w:ascii="Arial" w:hAnsi="Arial" w:cs="Arial"/>
          <w:sz w:val="22"/>
          <w:szCs w:val="22"/>
        </w:rPr>
        <w:t>active engagement with life. Their research challenges traditional deficit models by demonstrating that many age-related declines result from lifestyle factors and environmental conditions rather than inevitable biological processes. The authors emphasize individual agency in shaping ageing experiences through health behaviors, maintaining social connections</w:t>
      </w:r>
      <w:r w:rsidR="00BB4A7A">
        <w:rPr>
          <w:rFonts w:ascii="Arial" w:hAnsi="Arial" w:cs="Arial"/>
          <w:sz w:val="22"/>
          <w:szCs w:val="22"/>
        </w:rPr>
        <w:t xml:space="preserve"> and </w:t>
      </w:r>
      <w:r w:rsidRPr="0071285A">
        <w:rPr>
          <w:rFonts w:ascii="Arial" w:hAnsi="Arial" w:cs="Arial"/>
          <w:sz w:val="22"/>
          <w:szCs w:val="22"/>
        </w:rPr>
        <w:t>pursuing continued purposeful activity. Their work highlights that older adults possess considerable capacity to influence their own wellbeing trajectories.</w:t>
      </w:r>
    </w:p>
    <w:p w14:paraId="6A3FE4EA" w14:textId="77777777" w:rsidR="00410E2A" w:rsidRPr="0071285A" w:rsidRDefault="00410E2A" w:rsidP="0071285A">
      <w:pPr>
        <w:numPr>
          <w:ilvl w:val="0"/>
          <w:numId w:val="30"/>
        </w:numPr>
        <w:spacing w:line="360" w:lineRule="auto"/>
        <w:jc w:val="both"/>
        <w:rPr>
          <w:rFonts w:ascii="Arial" w:hAnsi="Arial" w:cs="Arial"/>
          <w:b/>
          <w:bCs/>
          <w:sz w:val="22"/>
          <w:szCs w:val="22"/>
        </w:rPr>
      </w:pPr>
      <w:r w:rsidRPr="0071285A">
        <w:rPr>
          <w:rFonts w:ascii="Arial" w:hAnsi="Arial" w:cs="Arial"/>
          <w:b/>
          <w:bCs/>
          <w:sz w:val="22"/>
          <w:szCs w:val="22"/>
        </w:rPr>
        <w:t>Critical comment on its relevance to supporting older adults in health and social care settings</w:t>
      </w:r>
    </w:p>
    <w:p w14:paraId="303DD10E" w14:textId="4542E2FE" w:rsidR="00410E2A" w:rsidRDefault="00410E2A" w:rsidP="0071285A">
      <w:pPr>
        <w:spacing w:line="360" w:lineRule="auto"/>
        <w:jc w:val="both"/>
        <w:rPr>
          <w:rFonts w:ascii="Arial" w:hAnsi="Arial" w:cs="Arial"/>
          <w:sz w:val="22"/>
          <w:szCs w:val="22"/>
        </w:rPr>
      </w:pPr>
      <w:r w:rsidRPr="0071285A">
        <w:rPr>
          <w:rFonts w:ascii="Arial" w:hAnsi="Arial" w:cs="Arial"/>
          <w:sz w:val="22"/>
          <w:szCs w:val="22"/>
        </w:rPr>
        <w:t xml:space="preserve">This </w:t>
      </w:r>
      <w:proofErr w:type="gramStart"/>
      <w:r w:rsidRPr="0071285A">
        <w:rPr>
          <w:rFonts w:ascii="Arial" w:hAnsi="Arial" w:cs="Arial"/>
          <w:sz w:val="22"/>
          <w:szCs w:val="22"/>
        </w:rPr>
        <w:t>strengths</w:t>
      </w:r>
      <w:proofErr w:type="gramEnd"/>
      <w:r w:rsidRPr="0071285A">
        <w:rPr>
          <w:rFonts w:ascii="Arial" w:hAnsi="Arial" w:cs="Arial"/>
          <w:sz w:val="22"/>
          <w:szCs w:val="22"/>
        </w:rPr>
        <w:t>-based approach encourages practitioners to focus on residents' capabilities rather than limitations, supporting them in maintaining function and engagement. Care plans should incorporate activities promoting cognitive stimulation, physical activity</w:t>
      </w:r>
      <w:r w:rsidR="00BB4A7A">
        <w:rPr>
          <w:rFonts w:ascii="Arial" w:hAnsi="Arial" w:cs="Arial"/>
          <w:sz w:val="22"/>
          <w:szCs w:val="22"/>
        </w:rPr>
        <w:t xml:space="preserve"> and </w:t>
      </w:r>
      <w:r w:rsidRPr="0071285A">
        <w:rPr>
          <w:rFonts w:ascii="Arial" w:hAnsi="Arial" w:cs="Arial"/>
          <w:sz w:val="22"/>
          <w:szCs w:val="22"/>
        </w:rPr>
        <w:t xml:space="preserve">social connection. However, the framework risks </w:t>
      </w:r>
      <w:proofErr w:type="gramStart"/>
      <w:r w:rsidRPr="0071285A">
        <w:rPr>
          <w:rFonts w:ascii="Arial" w:hAnsi="Arial" w:cs="Arial"/>
          <w:sz w:val="22"/>
          <w:szCs w:val="22"/>
        </w:rPr>
        <w:t>implying</w:t>
      </w:r>
      <w:proofErr w:type="gramEnd"/>
      <w:r w:rsidRPr="0071285A">
        <w:rPr>
          <w:rFonts w:ascii="Arial" w:hAnsi="Arial" w:cs="Arial"/>
          <w:sz w:val="22"/>
          <w:szCs w:val="22"/>
        </w:rPr>
        <w:t xml:space="preserve"> that health difficulties reflect personal failure rather than circumstances. Practitioners must balance promoting active ageing while validating genuine limitations, respecting diverse definitions of successful living</w:t>
      </w:r>
      <w:r w:rsidR="00BB4A7A">
        <w:rPr>
          <w:rFonts w:ascii="Arial" w:hAnsi="Arial" w:cs="Arial"/>
          <w:sz w:val="22"/>
          <w:szCs w:val="22"/>
        </w:rPr>
        <w:t xml:space="preserve"> and </w:t>
      </w:r>
      <w:r w:rsidRPr="0071285A">
        <w:rPr>
          <w:rFonts w:ascii="Arial" w:hAnsi="Arial" w:cs="Arial"/>
          <w:sz w:val="22"/>
          <w:szCs w:val="22"/>
        </w:rPr>
        <w:t>avoiding judgmental attitudes toward those experiencing unavoidable decline.</w:t>
      </w:r>
    </w:p>
    <w:p w14:paraId="164B4C1B" w14:textId="77777777" w:rsidR="00B84405" w:rsidRDefault="00B84405" w:rsidP="0071285A">
      <w:pPr>
        <w:spacing w:line="360" w:lineRule="auto"/>
        <w:jc w:val="both"/>
        <w:rPr>
          <w:rFonts w:ascii="Arial" w:hAnsi="Arial" w:cs="Arial"/>
          <w:sz w:val="22"/>
          <w:szCs w:val="22"/>
        </w:rPr>
      </w:pPr>
    </w:p>
    <w:p w14:paraId="3A87FCC2" w14:textId="77777777" w:rsidR="00B84405" w:rsidRDefault="00B84405" w:rsidP="0071285A">
      <w:pPr>
        <w:spacing w:line="360" w:lineRule="auto"/>
        <w:jc w:val="both"/>
        <w:rPr>
          <w:rFonts w:ascii="Arial" w:hAnsi="Arial" w:cs="Arial"/>
          <w:sz w:val="22"/>
          <w:szCs w:val="22"/>
        </w:rPr>
      </w:pPr>
    </w:p>
    <w:p w14:paraId="10438C11" w14:textId="77777777" w:rsidR="00B84405" w:rsidRDefault="00B84405" w:rsidP="0071285A">
      <w:pPr>
        <w:spacing w:line="360" w:lineRule="auto"/>
        <w:jc w:val="both"/>
        <w:rPr>
          <w:rFonts w:ascii="Arial" w:hAnsi="Arial" w:cs="Arial"/>
          <w:sz w:val="22"/>
          <w:szCs w:val="22"/>
        </w:rPr>
      </w:pPr>
    </w:p>
    <w:p w14:paraId="38D3021F" w14:textId="77777777" w:rsidR="00B84405" w:rsidRDefault="00B84405" w:rsidP="0071285A">
      <w:pPr>
        <w:spacing w:line="360" w:lineRule="auto"/>
        <w:jc w:val="both"/>
        <w:rPr>
          <w:rFonts w:ascii="Arial" w:hAnsi="Arial" w:cs="Arial"/>
          <w:sz w:val="22"/>
          <w:szCs w:val="22"/>
        </w:rPr>
      </w:pPr>
    </w:p>
    <w:p w14:paraId="6D135020" w14:textId="77777777" w:rsidR="00B84405" w:rsidRDefault="00B84405" w:rsidP="0071285A">
      <w:pPr>
        <w:spacing w:line="360" w:lineRule="auto"/>
        <w:jc w:val="both"/>
        <w:rPr>
          <w:rFonts w:ascii="Arial" w:hAnsi="Arial" w:cs="Arial"/>
          <w:sz w:val="22"/>
          <w:szCs w:val="22"/>
        </w:rPr>
      </w:pPr>
    </w:p>
    <w:p w14:paraId="2713F2F9" w14:textId="77777777" w:rsidR="00B84405" w:rsidRDefault="00B84405" w:rsidP="0071285A">
      <w:pPr>
        <w:spacing w:line="360" w:lineRule="auto"/>
        <w:jc w:val="both"/>
        <w:rPr>
          <w:rFonts w:ascii="Arial" w:hAnsi="Arial" w:cs="Arial"/>
          <w:sz w:val="22"/>
          <w:szCs w:val="22"/>
        </w:rPr>
      </w:pPr>
    </w:p>
    <w:p w14:paraId="63F7A3C1" w14:textId="77777777" w:rsidR="00B84405" w:rsidRDefault="00B84405" w:rsidP="0071285A">
      <w:pPr>
        <w:spacing w:line="360" w:lineRule="auto"/>
        <w:jc w:val="both"/>
        <w:rPr>
          <w:rFonts w:ascii="Arial" w:hAnsi="Arial" w:cs="Arial"/>
          <w:sz w:val="22"/>
          <w:szCs w:val="22"/>
        </w:rPr>
      </w:pPr>
    </w:p>
    <w:p w14:paraId="1E58A0AA" w14:textId="77777777" w:rsidR="00B84405" w:rsidRDefault="00B84405" w:rsidP="0071285A">
      <w:pPr>
        <w:spacing w:line="360" w:lineRule="auto"/>
        <w:jc w:val="both"/>
        <w:rPr>
          <w:rFonts w:ascii="Arial" w:hAnsi="Arial" w:cs="Arial"/>
          <w:sz w:val="22"/>
          <w:szCs w:val="22"/>
        </w:rPr>
      </w:pPr>
    </w:p>
    <w:p w14:paraId="44BC63F1" w14:textId="77777777" w:rsidR="00B84405" w:rsidRDefault="00B84405" w:rsidP="0071285A">
      <w:pPr>
        <w:spacing w:line="360" w:lineRule="auto"/>
        <w:jc w:val="both"/>
        <w:rPr>
          <w:rFonts w:ascii="Arial" w:hAnsi="Arial" w:cs="Arial"/>
          <w:sz w:val="22"/>
          <w:szCs w:val="22"/>
        </w:rPr>
      </w:pPr>
    </w:p>
    <w:p w14:paraId="236C99C0" w14:textId="77777777" w:rsidR="00B84405" w:rsidRPr="000710C1" w:rsidRDefault="00B84405" w:rsidP="00B84405">
      <w:pPr>
        <w:spacing w:line="360" w:lineRule="auto"/>
        <w:jc w:val="both"/>
        <w:rPr>
          <w:rFonts w:ascii="Arial" w:hAnsi="Arial" w:cs="Arial"/>
          <w:b/>
          <w:bCs/>
          <w:sz w:val="22"/>
          <w:szCs w:val="22"/>
        </w:rPr>
      </w:pPr>
      <w:r w:rsidRPr="000710C1">
        <w:rPr>
          <w:rFonts w:ascii="Arial" w:hAnsi="Arial" w:cs="Arial"/>
          <w:b/>
          <w:bCs/>
          <w:sz w:val="22"/>
          <w:szCs w:val="22"/>
        </w:rPr>
        <w:lastRenderedPageBreak/>
        <w:t xml:space="preserve">Part B: Short Report (750 words) </w:t>
      </w:r>
    </w:p>
    <w:p w14:paraId="1853303F" w14:textId="26D537F1" w:rsidR="00B84405" w:rsidRPr="000710C1" w:rsidRDefault="00B84405" w:rsidP="00B84405">
      <w:pPr>
        <w:spacing w:line="360" w:lineRule="auto"/>
        <w:jc w:val="both"/>
        <w:rPr>
          <w:rFonts w:ascii="Arial" w:hAnsi="Arial" w:cs="Arial"/>
          <w:b/>
          <w:bCs/>
          <w:sz w:val="22"/>
          <w:szCs w:val="22"/>
        </w:rPr>
      </w:pPr>
      <w:r w:rsidRPr="000710C1">
        <w:rPr>
          <w:rFonts w:ascii="Arial" w:hAnsi="Arial" w:cs="Arial"/>
          <w:b/>
          <w:bCs/>
          <w:sz w:val="22"/>
          <w:szCs w:val="22"/>
        </w:rPr>
        <w:t xml:space="preserve">Write a report aimed at health and social care professionals working in an older </w:t>
      </w:r>
      <w:r w:rsidR="00B06B4C" w:rsidRPr="000710C1">
        <w:rPr>
          <w:rFonts w:ascii="Arial" w:hAnsi="Arial" w:cs="Arial"/>
          <w:b/>
          <w:bCs/>
          <w:sz w:val="22"/>
          <w:szCs w:val="22"/>
        </w:rPr>
        <w:t>adult’s</w:t>
      </w:r>
      <w:r w:rsidRPr="000710C1">
        <w:rPr>
          <w:rFonts w:ascii="Arial" w:hAnsi="Arial" w:cs="Arial"/>
          <w:b/>
          <w:bCs/>
          <w:sz w:val="22"/>
          <w:szCs w:val="22"/>
        </w:rPr>
        <w:t xml:space="preserve"> care home.</w:t>
      </w:r>
    </w:p>
    <w:p w14:paraId="4A6E9E07" w14:textId="77777777" w:rsidR="00B84405" w:rsidRPr="000710C1" w:rsidRDefault="00B84405" w:rsidP="00B84405">
      <w:pPr>
        <w:spacing w:line="360" w:lineRule="auto"/>
        <w:jc w:val="center"/>
        <w:rPr>
          <w:rFonts w:ascii="Arial" w:hAnsi="Arial" w:cs="Arial"/>
          <w:sz w:val="22"/>
          <w:szCs w:val="22"/>
        </w:rPr>
      </w:pPr>
      <w:r w:rsidRPr="000710C1">
        <w:rPr>
          <w:rFonts w:ascii="Arial" w:hAnsi="Arial" w:cs="Arial"/>
          <w:b/>
          <w:bCs/>
          <w:sz w:val="22"/>
          <w:szCs w:val="22"/>
        </w:rPr>
        <w:t>Applying Erikson's Psychosocial Theory to Support Wellbeing in Residential Care</w:t>
      </w:r>
    </w:p>
    <w:p w14:paraId="10B154C7" w14:textId="77777777" w:rsidR="00B84405" w:rsidRPr="000710C1" w:rsidRDefault="00B84405" w:rsidP="00B84405">
      <w:pPr>
        <w:pStyle w:val="ListParagraph"/>
        <w:numPr>
          <w:ilvl w:val="0"/>
          <w:numId w:val="31"/>
        </w:numPr>
        <w:spacing w:line="360" w:lineRule="auto"/>
        <w:jc w:val="both"/>
        <w:rPr>
          <w:rFonts w:ascii="Arial" w:hAnsi="Arial" w:cs="Arial"/>
          <w:b/>
          <w:bCs/>
          <w:sz w:val="22"/>
          <w:szCs w:val="22"/>
        </w:rPr>
      </w:pPr>
      <w:r w:rsidRPr="000710C1">
        <w:rPr>
          <w:rFonts w:ascii="Arial" w:hAnsi="Arial" w:cs="Arial"/>
          <w:b/>
          <w:bCs/>
          <w:sz w:val="22"/>
          <w:szCs w:val="22"/>
        </w:rPr>
        <w:t>Understanding Erikson's Theory in Residential Care</w:t>
      </w:r>
    </w:p>
    <w:p w14:paraId="7E0E0EC9" w14:textId="77777777" w:rsidR="00B84405" w:rsidRPr="000710C1" w:rsidRDefault="00B84405" w:rsidP="00B84405">
      <w:pPr>
        <w:spacing w:line="360" w:lineRule="auto"/>
        <w:jc w:val="both"/>
        <w:rPr>
          <w:rFonts w:ascii="Arial" w:hAnsi="Arial" w:cs="Arial"/>
          <w:sz w:val="22"/>
          <w:szCs w:val="22"/>
        </w:rPr>
      </w:pPr>
      <w:r w:rsidRPr="000710C1">
        <w:rPr>
          <w:rFonts w:ascii="Arial" w:hAnsi="Arial" w:cs="Arial"/>
          <w:sz w:val="22"/>
          <w:szCs w:val="22"/>
        </w:rPr>
        <w:t>Working with older adults in residential care homes requires understanding not just their current needs but the entire life journey that brought them here. Erikson's psychosocial development theory offers valuable insights for care professionals seeking to enhance psychological wellbeing among residents. According to Erikson, older adulthood represents the final developmental stage where individuals face the challenge of achieving ego integrity versus falling into despair (Erikson, 1982). Understanding this framework can fundamentally change how we approach daily care and support.</w:t>
      </w:r>
    </w:p>
    <w:p w14:paraId="7C5A3392" w14:textId="69E93261" w:rsidR="00B84405" w:rsidRPr="000710C1" w:rsidRDefault="00B84405" w:rsidP="00B84405">
      <w:pPr>
        <w:spacing w:line="360" w:lineRule="auto"/>
        <w:jc w:val="both"/>
        <w:rPr>
          <w:rFonts w:ascii="Arial" w:hAnsi="Arial" w:cs="Arial"/>
          <w:sz w:val="22"/>
          <w:szCs w:val="22"/>
        </w:rPr>
      </w:pPr>
      <w:r w:rsidRPr="000710C1">
        <w:rPr>
          <w:rFonts w:ascii="Arial" w:hAnsi="Arial" w:cs="Arial"/>
          <w:sz w:val="22"/>
          <w:szCs w:val="22"/>
        </w:rPr>
        <w:t>Erikson proposed that ego integrity involves looking back on one's life with a sense of completeness and satisfaction, accepting both accomplishments and failures as part of a meaningful whole. When people achieve this, they experience wisdom and peace even when facing mortality. Conversely, those who view their lives with regret, focusing on missed opportunities and mistakes, experience despair</w:t>
      </w:r>
      <w:r w:rsidR="00ED424E">
        <w:rPr>
          <w:rFonts w:ascii="Arial" w:hAnsi="Arial" w:cs="Arial"/>
          <w:sz w:val="22"/>
          <w:szCs w:val="22"/>
        </w:rPr>
        <w:t xml:space="preserve">, </w:t>
      </w:r>
      <w:r w:rsidRPr="000710C1">
        <w:rPr>
          <w:rFonts w:ascii="Arial" w:hAnsi="Arial" w:cs="Arial"/>
          <w:sz w:val="22"/>
          <w:szCs w:val="22"/>
        </w:rPr>
        <w:t>a profound sense that time has run out to make things right (</w:t>
      </w:r>
      <w:proofErr w:type="spellStart"/>
      <w:r w:rsidRPr="000710C1">
        <w:rPr>
          <w:rFonts w:ascii="Arial" w:hAnsi="Arial" w:cs="Arial"/>
          <w:sz w:val="22"/>
          <w:szCs w:val="22"/>
        </w:rPr>
        <w:t>Torges</w:t>
      </w:r>
      <w:proofErr w:type="spellEnd"/>
      <w:r w:rsidRPr="000710C1">
        <w:rPr>
          <w:rFonts w:ascii="Arial" w:hAnsi="Arial" w:cs="Arial"/>
          <w:sz w:val="22"/>
          <w:szCs w:val="22"/>
        </w:rPr>
        <w:t xml:space="preserve"> </w:t>
      </w:r>
      <w:r w:rsidRPr="009E4307">
        <w:rPr>
          <w:rFonts w:ascii="Arial" w:hAnsi="Arial" w:cs="Arial"/>
          <w:i/>
          <w:iCs/>
          <w:sz w:val="22"/>
          <w:szCs w:val="22"/>
        </w:rPr>
        <w:t>et al</w:t>
      </w:r>
      <w:r w:rsidRPr="000710C1">
        <w:rPr>
          <w:rFonts w:ascii="Arial" w:hAnsi="Arial" w:cs="Arial"/>
          <w:sz w:val="22"/>
          <w:szCs w:val="22"/>
        </w:rPr>
        <w:t>., 2008). For care home residents, this psychological task becomes particularly pressing as they confront increased dependency, health challenges</w:t>
      </w:r>
      <w:r w:rsidR="00BB4A7A">
        <w:rPr>
          <w:rFonts w:ascii="Arial" w:hAnsi="Arial" w:cs="Arial"/>
          <w:sz w:val="22"/>
          <w:szCs w:val="22"/>
        </w:rPr>
        <w:t xml:space="preserve"> and </w:t>
      </w:r>
      <w:r w:rsidRPr="000710C1">
        <w:rPr>
          <w:rFonts w:ascii="Arial" w:hAnsi="Arial" w:cs="Arial"/>
          <w:sz w:val="22"/>
          <w:szCs w:val="22"/>
        </w:rPr>
        <w:t>awareness of life's finite nature.</w:t>
      </w:r>
    </w:p>
    <w:p w14:paraId="2B79604D" w14:textId="1BD0BB49" w:rsidR="00B84405" w:rsidRPr="000710C1" w:rsidRDefault="00B84405" w:rsidP="00B84405">
      <w:pPr>
        <w:spacing w:line="360" w:lineRule="auto"/>
        <w:jc w:val="both"/>
        <w:rPr>
          <w:rFonts w:ascii="Arial" w:hAnsi="Arial" w:cs="Arial"/>
          <w:sz w:val="22"/>
          <w:szCs w:val="22"/>
        </w:rPr>
      </w:pPr>
      <w:r w:rsidRPr="000710C1">
        <w:rPr>
          <w:rFonts w:ascii="Arial" w:hAnsi="Arial" w:cs="Arial"/>
          <w:sz w:val="22"/>
          <w:szCs w:val="22"/>
        </w:rPr>
        <w:t>The theory also highlights generativity, typically associated with middle adulthood but remaining relevant in later life. Generativity involves the desire to guide younger generations, contribute something lasting to society</w:t>
      </w:r>
      <w:r w:rsidR="00BB4A7A">
        <w:rPr>
          <w:rFonts w:ascii="Arial" w:hAnsi="Arial" w:cs="Arial"/>
          <w:sz w:val="22"/>
          <w:szCs w:val="22"/>
        </w:rPr>
        <w:t xml:space="preserve"> and </w:t>
      </w:r>
      <w:r w:rsidRPr="000710C1">
        <w:rPr>
          <w:rFonts w:ascii="Arial" w:hAnsi="Arial" w:cs="Arial"/>
          <w:sz w:val="22"/>
          <w:szCs w:val="22"/>
        </w:rPr>
        <w:t xml:space="preserve">feel that one's life has mattered beyond personal achievements (Sneed </w:t>
      </w:r>
      <w:r w:rsidRPr="009E4307">
        <w:rPr>
          <w:rFonts w:ascii="Arial" w:hAnsi="Arial" w:cs="Arial"/>
          <w:i/>
          <w:iCs/>
          <w:sz w:val="22"/>
          <w:szCs w:val="22"/>
        </w:rPr>
        <w:t>et al</w:t>
      </w:r>
      <w:r w:rsidRPr="000710C1">
        <w:rPr>
          <w:rFonts w:ascii="Arial" w:hAnsi="Arial" w:cs="Arial"/>
          <w:sz w:val="22"/>
          <w:szCs w:val="22"/>
        </w:rPr>
        <w:t>., 2006). Older adults who maintain generative involvement</w:t>
      </w:r>
      <w:r w:rsidR="00ED424E">
        <w:rPr>
          <w:rFonts w:ascii="Arial" w:hAnsi="Arial" w:cs="Arial"/>
          <w:sz w:val="22"/>
          <w:szCs w:val="22"/>
        </w:rPr>
        <w:t xml:space="preserve"> </w:t>
      </w:r>
      <w:r w:rsidRPr="000710C1">
        <w:rPr>
          <w:rFonts w:ascii="Arial" w:hAnsi="Arial" w:cs="Arial"/>
          <w:sz w:val="22"/>
          <w:szCs w:val="22"/>
        </w:rPr>
        <w:t>through mentoring, sharing knowledge</w:t>
      </w:r>
      <w:r w:rsidR="00BB4A7A">
        <w:rPr>
          <w:rFonts w:ascii="Arial" w:hAnsi="Arial" w:cs="Arial"/>
          <w:sz w:val="22"/>
          <w:szCs w:val="22"/>
        </w:rPr>
        <w:t xml:space="preserve"> or </w:t>
      </w:r>
      <w:r w:rsidRPr="000710C1">
        <w:rPr>
          <w:rFonts w:ascii="Arial" w:hAnsi="Arial" w:cs="Arial"/>
          <w:sz w:val="22"/>
          <w:szCs w:val="22"/>
        </w:rPr>
        <w:t>supporting others</w:t>
      </w:r>
      <w:r w:rsidR="00ED424E">
        <w:rPr>
          <w:rFonts w:ascii="Arial" w:hAnsi="Arial" w:cs="Arial"/>
          <w:sz w:val="22"/>
          <w:szCs w:val="22"/>
        </w:rPr>
        <w:t xml:space="preserve">, </w:t>
      </w:r>
      <w:r w:rsidRPr="000710C1">
        <w:rPr>
          <w:rFonts w:ascii="Arial" w:hAnsi="Arial" w:cs="Arial"/>
          <w:sz w:val="22"/>
          <w:szCs w:val="22"/>
        </w:rPr>
        <w:t>tend to experience greater life satisfaction and move more successfully toward ego integrity.</w:t>
      </w:r>
    </w:p>
    <w:p w14:paraId="6A7031FA" w14:textId="77777777" w:rsidR="00B84405" w:rsidRPr="000710C1" w:rsidRDefault="00B84405" w:rsidP="00B84405">
      <w:pPr>
        <w:pStyle w:val="ListParagraph"/>
        <w:numPr>
          <w:ilvl w:val="0"/>
          <w:numId w:val="31"/>
        </w:numPr>
        <w:spacing w:line="360" w:lineRule="auto"/>
        <w:jc w:val="both"/>
        <w:rPr>
          <w:rFonts w:ascii="Arial" w:hAnsi="Arial" w:cs="Arial"/>
          <w:b/>
          <w:bCs/>
          <w:sz w:val="22"/>
          <w:szCs w:val="22"/>
        </w:rPr>
      </w:pPr>
      <w:r w:rsidRPr="000710C1">
        <w:rPr>
          <w:rFonts w:ascii="Arial" w:hAnsi="Arial" w:cs="Arial"/>
          <w:b/>
          <w:bCs/>
          <w:sz w:val="22"/>
          <w:szCs w:val="22"/>
        </w:rPr>
        <w:t>Case Study</w:t>
      </w:r>
    </w:p>
    <w:p w14:paraId="6D3A3303" w14:textId="52F94A72" w:rsidR="00B84405" w:rsidRPr="000710C1" w:rsidRDefault="00B84405" w:rsidP="00B84405">
      <w:pPr>
        <w:pStyle w:val="font-claude-response-body"/>
        <w:spacing w:line="360" w:lineRule="auto"/>
        <w:ind w:left="360"/>
        <w:jc w:val="both"/>
        <w:rPr>
          <w:rFonts w:ascii="Arial" w:hAnsi="Arial" w:cs="Arial"/>
          <w:sz w:val="22"/>
          <w:szCs w:val="22"/>
        </w:rPr>
      </w:pPr>
      <w:r w:rsidRPr="000710C1">
        <w:rPr>
          <w:rFonts w:ascii="Arial" w:hAnsi="Arial" w:cs="Arial"/>
          <w:sz w:val="22"/>
          <w:szCs w:val="22"/>
        </w:rPr>
        <w:t xml:space="preserve">Consider Mr. Okonkwo, a 79-year-old resident who spent forty years as a civil engineer before retiring. When he arrived at the care home following his wife's death, he became increasingly withdrawn and irritable. Staff initially attributed this to grief and adjustment difficulties, </w:t>
      </w:r>
      <w:r w:rsidRPr="000710C1">
        <w:rPr>
          <w:rFonts w:ascii="Arial" w:hAnsi="Arial" w:cs="Arial"/>
          <w:sz w:val="22"/>
          <w:szCs w:val="22"/>
        </w:rPr>
        <w:lastRenderedPageBreak/>
        <w:t xml:space="preserve">responding with kindness but leaving him to his quietness. However, his low mood persisted for </w:t>
      </w:r>
      <w:proofErr w:type="gramStart"/>
      <w:r w:rsidRPr="000710C1">
        <w:rPr>
          <w:rFonts w:ascii="Arial" w:hAnsi="Arial" w:cs="Arial"/>
          <w:sz w:val="22"/>
          <w:szCs w:val="22"/>
        </w:rPr>
        <w:t>months</w:t>
      </w:r>
      <w:proofErr w:type="gramEnd"/>
      <w:r w:rsidR="00BB4A7A">
        <w:rPr>
          <w:rFonts w:ascii="Arial" w:hAnsi="Arial" w:cs="Arial"/>
          <w:sz w:val="22"/>
          <w:szCs w:val="22"/>
        </w:rPr>
        <w:t xml:space="preserve"> and </w:t>
      </w:r>
      <w:r w:rsidRPr="000710C1">
        <w:rPr>
          <w:rFonts w:ascii="Arial" w:hAnsi="Arial" w:cs="Arial"/>
          <w:sz w:val="22"/>
          <w:szCs w:val="22"/>
        </w:rPr>
        <w:t>he frequently made comments suggesting he felt his life had been wasted, that he'd worked too hard and missed important family moments.</w:t>
      </w:r>
    </w:p>
    <w:p w14:paraId="6CC3E935" w14:textId="77777777" w:rsidR="00B84405" w:rsidRPr="000710C1" w:rsidRDefault="00B84405" w:rsidP="00B84405">
      <w:pPr>
        <w:pStyle w:val="font-claude-response-body"/>
        <w:spacing w:line="360" w:lineRule="auto"/>
        <w:ind w:left="360"/>
        <w:jc w:val="both"/>
        <w:rPr>
          <w:rFonts w:ascii="Arial" w:hAnsi="Arial" w:cs="Arial"/>
          <w:sz w:val="22"/>
          <w:szCs w:val="22"/>
        </w:rPr>
      </w:pPr>
      <w:r w:rsidRPr="000710C1">
        <w:rPr>
          <w:rFonts w:ascii="Arial" w:hAnsi="Arial" w:cs="Arial"/>
          <w:sz w:val="22"/>
          <w:szCs w:val="22"/>
        </w:rPr>
        <w:t xml:space="preserve">A care worker familiar with Erikson's theory recognized these statements as expressions of despair rather than simple grief. She began encouraging Mr. Okonkwo to talk about his career, asking specific questions about projects he'd worked on. Initially reluctant, he eventually </w:t>
      </w:r>
      <w:proofErr w:type="gramStart"/>
      <w:r w:rsidRPr="000710C1">
        <w:rPr>
          <w:rFonts w:ascii="Arial" w:hAnsi="Arial" w:cs="Arial"/>
          <w:sz w:val="22"/>
          <w:szCs w:val="22"/>
        </w:rPr>
        <w:t>opened up</w:t>
      </w:r>
      <w:proofErr w:type="gramEnd"/>
      <w:r w:rsidRPr="000710C1">
        <w:rPr>
          <w:rFonts w:ascii="Arial" w:hAnsi="Arial" w:cs="Arial"/>
          <w:sz w:val="22"/>
          <w:szCs w:val="22"/>
        </w:rPr>
        <w:t xml:space="preserve"> about designing a major bridge still used by thousands daily. The care worker suggested he might enjoy mentoring a young maintenance staff member interested in construction. Mr. Okonkwo seemed skeptical but agreed. Over subsequent weeks, he began teaching the young man about structural principles, even sketching diagrams to explain concepts. His mood visibly improved as he rediscovered purpose through this generative relationship (Hearn </w:t>
      </w:r>
      <w:r w:rsidRPr="00ED424E">
        <w:rPr>
          <w:rFonts w:ascii="Arial" w:hAnsi="Arial" w:cs="Arial"/>
          <w:i/>
          <w:iCs/>
          <w:sz w:val="22"/>
          <w:szCs w:val="22"/>
        </w:rPr>
        <w:t>et al</w:t>
      </w:r>
      <w:r w:rsidRPr="000710C1">
        <w:rPr>
          <w:rFonts w:ascii="Arial" w:hAnsi="Arial" w:cs="Arial"/>
          <w:sz w:val="22"/>
          <w:szCs w:val="22"/>
        </w:rPr>
        <w:t>., 2012).</w:t>
      </w:r>
    </w:p>
    <w:p w14:paraId="32D67E7B" w14:textId="510F16C8" w:rsidR="00B84405" w:rsidRPr="000710C1" w:rsidRDefault="00B84405" w:rsidP="00B84405">
      <w:pPr>
        <w:pStyle w:val="font-claude-response-body"/>
        <w:spacing w:line="360" w:lineRule="auto"/>
        <w:ind w:left="360"/>
        <w:jc w:val="both"/>
        <w:rPr>
          <w:rFonts w:ascii="Arial" w:hAnsi="Arial" w:cs="Arial"/>
          <w:sz w:val="22"/>
          <w:szCs w:val="22"/>
        </w:rPr>
      </w:pPr>
      <w:r w:rsidRPr="000710C1">
        <w:rPr>
          <w:rFonts w:ascii="Arial" w:hAnsi="Arial" w:cs="Arial"/>
          <w:sz w:val="22"/>
          <w:szCs w:val="22"/>
        </w:rPr>
        <w:t xml:space="preserve">Staff also introduced structured life review sessions where Mr. Okonkwo could reflect systematically on different life periods, facilitated by a trained support worker. Rather than dwelling exclusively on regrets, these sessions helped him recognize how his dedication to work had provided family security and contributed to community infrastructure. This balanced perspective supported movement toward ego integrity, helping him accept his life's totality rather than fixating on what might have been different (Westerhof </w:t>
      </w:r>
      <w:r w:rsidRPr="00ED424E">
        <w:rPr>
          <w:rFonts w:ascii="Arial" w:hAnsi="Arial" w:cs="Arial"/>
          <w:i/>
          <w:iCs/>
          <w:sz w:val="22"/>
          <w:szCs w:val="22"/>
        </w:rPr>
        <w:t>et al</w:t>
      </w:r>
      <w:r w:rsidRPr="000710C1">
        <w:rPr>
          <w:rFonts w:ascii="Arial" w:hAnsi="Arial" w:cs="Arial"/>
          <w:sz w:val="22"/>
          <w:szCs w:val="22"/>
        </w:rPr>
        <w:t xml:space="preserve">., 2010). Within four months, his depressive symptoms decreased </w:t>
      </w:r>
      <w:proofErr w:type="gramStart"/>
      <w:r w:rsidRPr="000710C1">
        <w:rPr>
          <w:rFonts w:ascii="Arial" w:hAnsi="Arial" w:cs="Arial"/>
          <w:sz w:val="22"/>
          <w:szCs w:val="22"/>
        </w:rPr>
        <w:t>significantly</w:t>
      </w:r>
      <w:proofErr w:type="gramEnd"/>
      <w:r w:rsidR="00BB4A7A">
        <w:rPr>
          <w:rFonts w:ascii="Arial" w:hAnsi="Arial" w:cs="Arial"/>
          <w:sz w:val="22"/>
          <w:szCs w:val="22"/>
        </w:rPr>
        <w:t xml:space="preserve"> and </w:t>
      </w:r>
      <w:r w:rsidRPr="000710C1">
        <w:rPr>
          <w:rFonts w:ascii="Arial" w:hAnsi="Arial" w:cs="Arial"/>
          <w:sz w:val="22"/>
          <w:szCs w:val="22"/>
        </w:rPr>
        <w:t>family members reported he seemed more at peace.</w:t>
      </w:r>
    </w:p>
    <w:p w14:paraId="69BF01A2" w14:textId="77777777" w:rsidR="00B84405" w:rsidRPr="000710C1" w:rsidRDefault="00B84405" w:rsidP="00B84405">
      <w:pPr>
        <w:pStyle w:val="ListParagraph"/>
        <w:numPr>
          <w:ilvl w:val="0"/>
          <w:numId w:val="31"/>
        </w:numPr>
        <w:spacing w:line="360" w:lineRule="auto"/>
        <w:jc w:val="both"/>
        <w:rPr>
          <w:rFonts w:ascii="Arial" w:hAnsi="Arial" w:cs="Arial"/>
          <w:b/>
          <w:bCs/>
          <w:sz w:val="22"/>
          <w:szCs w:val="22"/>
        </w:rPr>
      </w:pPr>
      <w:r w:rsidRPr="000710C1">
        <w:rPr>
          <w:rFonts w:ascii="Arial" w:hAnsi="Arial" w:cs="Arial"/>
          <w:b/>
          <w:bCs/>
          <w:sz w:val="22"/>
          <w:szCs w:val="22"/>
        </w:rPr>
        <w:t xml:space="preserve">Challenge professionals may face when applying this theory and </w:t>
      </w:r>
      <w:proofErr w:type="gramStart"/>
      <w:r w:rsidRPr="000710C1">
        <w:rPr>
          <w:rFonts w:ascii="Arial" w:hAnsi="Arial" w:cs="Arial"/>
          <w:b/>
          <w:bCs/>
          <w:sz w:val="22"/>
          <w:szCs w:val="22"/>
        </w:rPr>
        <w:t>suggests</w:t>
      </w:r>
      <w:proofErr w:type="gramEnd"/>
      <w:r w:rsidRPr="000710C1">
        <w:rPr>
          <w:rFonts w:ascii="Arial" w:hAnsi="Arial" w:cs="Arial"/>
          <w:b/>
          <w:bCs/>
          <w:sz w:val="22"/>
          <w:szCs w:val="22"/>
        </w:rPr>
        <w:t xml:space="preserve"> a strategy to overcome it</w:t>
      </w:r>
    </w:p>
    <w:p w14:paraId="5FAE9298" w14:textId="05FEF4AD" w:rsidR="00B84405" w:rsidRPr="000710C1" w:rsidRDefault="00B84405" w:rsidP="00B84405">
      <w:pPr>
        <w:spacing w:line="360" w:lineRule="auto"/>
        <w:jc w:val="both"/>
        <w:rPr>
          <w:rFonts w:ascii="Arial" w:hAnsi="Arial" w:cs="Arial"/>
          <w:sz w:val="22"/>
          <w:szCs w:val="22"/>
        </w:rPr>
      </w:pPr>
      <w:r w:rsidRPr="000710C1">
        <w:rPr>
          <w:rFonts w:ascii="Arial" w:hAnsi="Arial" w:cs="Arial"/>
          <w:sz w:val="22"/>
          <w:szCs w:val="22"/>
        </w:rPr>
        <w:t>The primary challenge in applying Erikson's theory involves time constraints and limited training. Life review interventions require dedicated time for meaningful conversations about residents' pasts</w:t>
      </w:r>
      <w:r w:rsidR="00ED424E">
        <w:rPr>
          <w:rFonts w:ascii="Arial" w:hAnsi="Arial" w:cs="Arial"/>
          <w:sz w:val="22"/>
          <w:szCs w:val="22"/>
        </w:rPr>
        <w:t xml:space="preserve">, which is </w:t>
      </w:r>
      <w:r w:rsidRPr="000710C1">
        <w:rPr>
          <w:rFonts w:ascii="Arial" w:hAnsi="Arial" w:cs="Arial"/>
          <w:sz w:val="22"/>
          <w:szCs w:val="22"/>
        </w:rPr>
        <w:t>difficult when staff face pressure completing physical care tasks. Additionally, facilitating life review effectively requires skills in active listening, managing difficult emotions when residents discuss regrets or trauma</w:t>
      </w:r>
      <w:r w:rsidR="00BB4A7A">
        <w:rPr>
          <w:rFonts w:ascii="Arial" w:hAnsi="Arial" w:cs="Arial"/>
          <w:sz w:val="22"/>
          <w:szCs w:val="22"/>
        </w:rPr>
        <w:t xml:space="preserve"> and </w:t>
      </w:r>
      <w:r w:rsidRPr="000710C1">
        <w:rPr>
          <w:rFonts w:ascii="Arial" w:hAnsi="Arial" w:cs="Arial"/>
          <w:sz w:val="22"/>
          <w:szCs w:val="22"/>
        </w:rPr>
        <w:t>guiding conversations toward balanced reflection rather than rumination (</w:t>
      </w:r>
      <w:proofErr w:type="spellStart"/>
      <w:r w:rsidRPr="000710C1">
        <w:rPr>
          <w:rFonts w:ascii="Arial" w:hAnsi="Arial" w:cs="Arial"/>
          <w:sz w:val="22"/>
          <w:szCs w:val="22"/>
        </w:rPr>
        <w:t>Bohlmeijer</w:t>
      </w:r>
      <w:proofErr w:type="spellEnd"/>
      <w:r w:rsidRPr="000710C1">
        <w:rPr>
          <w:rFonts w:ascii="Arial" w:hAnsi="Arial" w:cs="Arial"/>
          <w:sz w:val="22"/>
          <w:szCs w:val="22"/>
        </w:rPr>
        <w:t xml:space="preserve"> </w:t>
      </w:r>
      <w:r w:rsidRPr="00ED424E">
        <w:rPr>
          <w:rFonts w:ascii="Arial" w:hAnsi="Arial" w:cs="Arial"/>
          <w:i/>
          <w:iCs/>
          <w:sz w:val="22"/>
          <w:szCs w:val="22"/>
        </w:rPr>
        <w:t>et al</w:t>
      </w:r>
      <w:r w:rsidRPr="000710C1">
        <w:rPr>
          <w:rFonts w:ascii="Arial" w:hAnsi="Arial" w:cs="Arial"/>
          <w:sz w:val="22"/>
          <w:szCs w:val="22"/>
        </w:rPr>
        <w:t>., 2007).</w:t>
      </w:r>
    </w:p>
    <w:p w14:paraId="473ABCE4" w14:textId="6DAA72C0" w:rsidR="00B84405" w:rsidRPr="000710C1" w:rsidRDefault="00B84405" w:rsidP="00B84405">
      <w:pPr>
        <w:spacing w:line="360" w:lineRule="auto"/>
        <w:jc w:val="both"/>
        <w:rPr>
          <w:rFonts w:ascii="Arial" w:hAnsi="Arial" w:cs="Arial"/>
          <w:sz w:val="22"/>
          <w:szCs w:val="22"/>
        </w:rPr>
      </w:pPr>
      <w:r w:rsidRPr="000710C1">
        <w:rPr>
          <w:rFonts w:ascii="Arial" w:hAnsi="Arial" w:cs="Arial"/>
          <w:sz w:val="22"/>
          <w:szCs w:val="22"/>
        </w:rPr>
        <w:t xml:space="preserve">One practical strategy involves integrating biographical work into existing routines rather than viewing it separately. During morning care or mealtimes, staff can ask open-ended questions about residents' earlier lives, gradually building understanding. Care homes might create visual </w:t>
      </w:r>
      <w:r w:rsidRPr="000710C1">
        <w:rPr>
          <w:rFonts w:ascii="Arial" w:hAnsi="Arial" w:cs="Arial"/>
          <w:sz w:val="22"/>
          <w:szCs w:val="22"/>
        </w:rPr>
        <w:lastRenderedPageBreak/>
        <w:t>life story displays in residents' rooms, developed collaboratively with families, serving as conversation prompts. For structured life review work, homes could partner with universities to offer staff workshops on facilitation techniques</w:t>
      </w:r>
      <w:r w:rsidR="00BB4A7A">
        <w:rPr>
          <w:rFonts w:ascii="Arial" w:hAnsi="Arial" w:cs="Arial"/>
          <w:sz w:val="22"/>
          <w:szCs w:val="22"/>
        </w:rPr>
        <w:t xml:space="preserve"> or </w:t>
      </w:r>
      <w:r w:rsidRPr="000710C1">
        <w:rPr>
          <w:rFonts w:ascii="Arial" w:hAnsi="Arial" w:cs="Arial"/>
          <w:sz w:val="22"/>
          <w:szCs w:val="22"/>
        </w:rPr>
        <w:t xml:space="preserve">engage external practitioners like counselors (Westerhof and </w:t>
      </w:r>
      <w:proofErr w:type="spellStart"/>
      <w:r w:rsidRPr="000710C1">
        <w:rPr>
          <w:rFonts w:ascii="Arial" w:hAnsi="Arial" w:cs="Arial"/>
          <w:sz w:val="22"/>
          <w:szCs w:val="22"/>
        </w:rPr>
        <w:t>Bohlmeijer</w:t>
      </w:r>
      <w:proofErr w:type="spellEnd"/>
      <w:r w:rsidRPr="000710C1">
        <w:rPr>
          <w:rFonts w:ascii="Arial" w:hAnsi="Arial" w:cs="Arial"/>
          <w:sz w:val="22"/>
          <w:szCs w:val="22"/>
        </w:rPr>
        <w:t>, 2014).</w:t>
      </w:r>
    </w:p>
    <w:p w14:paraId="336D5158" w14:textId="2A51C422" w:rsidR="00B84405" w:rsidRDefault="00B84405" w:rsidP="00B84405">
      <w:pPr>
        <w:spacing w:line="360" w:lineRule="auto"/>
        <w:jc w:val="both"/>
        <w:rPr>
          <w:rFonts w:ascii="Arial" w:hAnsi="Arial" w:cs="Arial"/>
          <w:sz w:val="22"/>
          <w:szCs w:val="22"/>
        </w:rPr>
      </w:pPr>
      <w:r w:rsidRPr="000710C1">
        <w:rPr>
          <w:rFonts w:ascii="Arial" w:hAnsi="Arial" w:cs="Arial"/>
          <w:sz w:val="22"/>
          <w:szCs w:val="22"/>
        </w:rPr>
        <w:t>Supporting generativity requires relatively simple adjustments</w:t>
      </w:r>
      <w:r w:rsidR="00ED424E">
        <w:rPr>
          <w:rFonts w:ascii="Arial" w:hAnsi="Arial" w:cs="Arial"/>
          <w:sz w:val="22"/>
          <w:szCs w:val="22"/>
        </w:rPr>
        <w:t xml:space="preserve"> in </w:t>
      </w:r>
      <w:r w:rsidRPr="000710C1">
        <w:rPr>
          <w:rFonts w:ascii="Arial" w:hAnsi="Arial" w:cs="Arial"/>
          <w:sz w:val="22"/>
          <w:szCs w:val="22"/>
        </w:rPr>
        <w:t>pairing residents with newer arrivals for peer support, inviting them to share skills</w:t>
      </w:r>
      <w:r w:rsidR="00BB4A7A">
        <w:rPr>
          <w:rFonts w:ascii="Arial" w:hAnsi="Arial" w:cs="Arial"/>
          <w:sz w:val="22"/>
          <w:szCs w:val="22"/>
        </w:rPr>
        <w:t xml:space="preserve"> or </w:t>
      </w:r>
      <w:r w:rsidRPr="000710C1">
        <w:rPr>
          <w:rFonts w:ascii="Arial" w:hAnsi="Arial" w:cs="Arial"/>
          <w:sz w:val="22"/>
          <w:szCs w:val="22"/>
        </w:rPr>
        <w:t>creating roles where their accumulated wisdom benefits the community, directly supporting ego integrity achievement.</w:t>
      </w:r>
    </w:p>
    <w:p w14:paraId="2BEAE4FF" w14:textId="77777777" w:rsidR="005C1D72" w:rsidRDefault="005C1D72" w:rsidP="00B84405">
      <w:pPr>
        <w:spacing w:line="360" w:lineRule="auto"/>
        <w:jc w:val="both"/>
        <w:rPr>
          <w:rFonts w:ascii="Arial" w:hAnsi="Arial" w:cs="Arial"/>
          <w:sz w:val="22"/>
          <w:szCs w:val="22"/>
        </w:rPr>
      </w:pPr>
    </w:p>
    <w:p w14:paraId="31403C76" w14:textId="77777777" w:rsidR="00A3091C" w:rsidRDefault="00A3091C" w:rsidP="00B84405">
      <w:pPr>
        <w:spacing w:line="360" w:lineRule="auto"/>
        <w:jc w:val="both"/>
        <w:rPr>
          <w:rFonts w:ascii="Arial" w:hAnsi="Arial" w:cs="Arial"/>
          <w:b/>
          <w:bCs/>
          <w:sz w:val="22"/>
          <w:szCs w:val="22"/>
        </w:rPr>
      </w:pPr>
    </w:p>
    <w:p w14:paraId="56E8AF6B" w14:textId="77777777" w:rsidR="00A3091C" w:rsidRDefault="00A3091C" w:rsidP="00B84405">
      <w:pPr>
        <w:spacing w:line="360" w:lineRule="auto"/>
        <w:jc w:val="both"/>
        <w:rPr>
          <w:rFonts w:ascii="Arial" w:hAnsi="Arial" w:cs="Arial"/>
          <w:b/>
          <w:bCs/>
          <w:sz w:val="22"/>
          <w:szCs w:val="22"/>
        </w:rPr>
      </w:pPr>
    </w:p>
    <w:p w14:paraId="586C5261" w14:textId="77777777" w:rsidR="00A3091C" w:rsidRDefault="00A3091C" w:rsidP="00B84405">
      <w:pPr>
        <w:spacing w:line="360" w:lineRule="auto"/>
        <w:jc w:val="both"/>
        <w:rPr>
          <w:rFonts w:ascii="Arial" w:hAnsi="Arial" w:cs="Arial"/>
          <w:b/>
          <w:bCs/>
          <w:sz w:val="22"/>
          <w:szCs w:val="22"/>
        </w:rPr>
      </w:pPr>
    </w:p>
    <w:p w14:paraId="18C6C461" w14:textId="77777777" w:rsidR="00A3091C" w:rsidRDefault="00A3091C" w:rsidP="00B84405">
      <w:pPr>
        <w:spacing w:line="360" w:lineRule="auto"/>
        <w:jc w:val="both"/>
        <w:rPr>
          <w:rFonts w:ascii="Arial" w:hAnsi="Arial" w:cs="Arial"/>
          <w:b/>
          <w:bCs/>
          <w:sz w:val="22"/>
          <w:szCs w:val="22"/>
        </w:rPr>
      </w:pPr>
    </w:p>
    <w:p w14:paraId="6FD835B5" w14:textId="77777777" w:rsidR="00A3091C" w:rsidRDefault="00A3091C" w:rsidP="00B84405">
      <w:pPr>
        <w:spacing w:line="360" w:lineRule="auto"/>
        <w:jc w:val="both"/>
        <w:rPr>
          <w:rFonts w:ascii="Arial" w:hAnsi="Arial" w:cs="Arial"/>
          <w:b/>
          <w:bCs/>
          <w:sz w:val="22"/>
          <w:szCs w:val="22"/>
        </w:rPr>
      </w:pPr>
    </w:p>
    <w:p w14:paraId="66729DA5" w14:textId="77777777" w:rsidR="00A3091C" w:rsidRDefault="00A3091C" w:rsidP="00B84405">
      <w:pPr>
        <w:spacing w:line="360" w:lineRule="auto"/>
        <w:jc w:val="both"/>
        <w:rPr>
          <w:rFonts w:ascii="Arial" w:hAnsi="Arial" w:cs="Arial"/>
          <w:b/>
          <w:bCs/>
          <w:sz w:val="22"/>
          <w:szCs w:val="22"/>
        </w:rPr>
      </w:pPr>
    </w:p>
    <w:p w14:paraId="4040EB86" w14:textId="77777777" w:rsidR="00A3091C" w:rsidRDefault="00A3091C" w:rsidP="00B84405">
      <w:pPr>
        <w:spacing w:line="360" w:lineRule="auto"/>
        <w:jc w:val="both"/>
        <w:rPr>
          <w:rFonts w:ascii="Arial" w:hAnsi="Arial" w:cs="Arial"/>
          <w:b/>
          <w:bCs/>
          <w:sz w:val="22"/>
          <w:szCs w:val="22"/>
        </w:rPr>
      </w:pPr>
    </w:p>
    <w:p w14:paraId="0B9E3EA0" w14:textId="77777777" w:rsidR="00A3091C" w:rsidRDefault="00A3091C" w:rsidP="00B84405">
      <w:pPr>
        <w:spacing w:line="360" w:lineRule="auto"/>
        <w:jc w:val="both"/>
        <w:rPr>
          <w:rFonts w:ascii="Arial" w:hAnsi="Arial" w:cs="Arial"/>
          <w:b/>
          <w:bCs/>
          <w:sz w:val="22"/>
          <w:szCs w:val="22"/>
        </w:rPr>
      </w:pPr>
    </w:p>
    <w:p w14:paraId="1F967C32" w14:textId="77777777" w:rsidR="00A3091C" w:rsidRDefault="00A3091C" w:rsidP="00B84405">
      <w:pPr>
        <w:spacing w:line="360" w:lineRule="auto"/>
        <w:jc w:val="both"/>
        <w:rPr>
          <w:rFonts w:ascii="Arial" w:hAnsi="Arial" w:cs="Arial"/>
          <w:b/>
          <w:bCs/>
          <w:sz w:val="22"/>
          <w:szCs w:val="22"/>
        </w:rPr>
      </w:pPr>
    </w:p>
    <w:p w14:paraId="5D71575C" w14:textId="77777777" w:rsidR="00A3091C" w:rsidRDefault="00A3091C" w:rsidP="00B84405">
      <w:pPr>
        <w:spacing w:line="360" w:lineRule="auto"/>
        <w:jc w:val="both"/>
        <w:rPr>
          <w:rFonts w:ascii="Arial" w:hAnsi="Arial" w:cs="Arial"/>
          <w:b/>
          <w:bCs/>
          <w:sz w:val="22"/>
          <w:szCs w:val="22"/>
        </w:rPr>
      </w:pPr>
    </w:p>
    <w:p w14:paraId="5C0BE390" w14:textId="77777777" w:rsidR="00A3091C" w:rsidRDefault="00A3091C" w:rsidP="00B84405">
      <w:pPr>
        <w:spacing w:line="360" w:lineRule="auto"/>
        <w:jc w:val="both"/>
        <w:rPr>
          <w:rFonts w:ascii="Arial" w:hAnsi="Arial" w:cs="Arial"/>
          <w:b/>
          <w:bCs/>
          <w:sz w:val="22"/>
          <w:szCs w:val="22"/>
        </w:rPr>
      </w:pPr>
    </w:p>
    <w:p w14:paraId="7D6D0879" w14:textId="77777777" w:rsidR="00A3091C" w:rsidRDefault="00A3091C" w:rsidP="00B84405">
      <w:pPr>
        <w:spacing w:line="360" w:lineRule="auto"/>
        <w:jc w:val="both"/>
        <w:rPr>
          <w:rFonts w:ascii="Arial" w:hAnsi="Arial" w:cs="Arial"/>
          <w:b/>
          <w:bCs/>
          <w:sz w:val="22"/>
          <w:szCs w:val="22"/>
        </w:rPr>
      </w:pPr>
    </w:p>
    <w:p w14:paraId="046AAA3C" w14:textId="77777777" w:rsidR="00A3091C" w:rsidRDefault="00A3091C" w:rsidP="00B84405">
      <w:pPr>
        <w:spacing w:line="360" w:lineRule="auto"/>
        <w:jc w:val="both"/>
        <w:rPr>
          <w:rFonts w:ascii="Arial" w:hAnsi="Arial" w:cs="Arial"/>
          <w:b/>
          <w:bCs/>
          <w:sz w:val="22"/>
          <w:szCs w:val="22"/>
        </w:rPr>
      </w:pPr>
    </w:p>
    <w:p w14:paraId="363B44B7" w14:textId="77777777" w:rsidR="00A3091C" w:rsidRDefault="00A3091C" w:rsidP="00B84405">
      <w:pPr>
        <w:spacing w:line="360" w:lineRule="auto"/>
        <w:jc w:val="both"/>
        <w:rPr>
          <w:rFonts w:ascii="Arial" w:hAnsi="Arial" w:cs="Arial"/>
          <w:b/>
          <w:bCs/>
          <w:sz w:val="22"/>
          <w:szCs w:val="22"/>
        </w:rPr>
      </w:pPr>
    </w:p>
    <w:p w14:paraId="0595C50F" w14:textId="77777777" w:rsidR="00A3091C" w:rsidRDefault="00A3091C" w:rsidP="00B84405">
      <w:pPr>
        <w:spacing w:line="360" w:lineRule="auto"/>
        <w:jc w:val="both"/>
        <w:rPr>
          <w:rFonts w:ascii="Arial" w:hAnsi="Arial" w:cs="Arial"/>
          <w:b/>
          <w:bCs/>
          <w:sz w:val="22"/>
          <w:szCs w:val="22"/>
        </w:rPr>
      </w:pPr>
    </w:p>
    <w:p w14:paraId="179B8C62" w14:textId="77777777" w:rsidR="00A3091C" w:rsidRDefault="00A3091C" w:rsidP="00B84405">
      <w:pPr>
        <w:spacing w:line="360" w:lineRule="auto"/>
        <w:jc w:val="both"/>
        <w:rPr>
          <w:rFonts w:ascii="Arial" w:hAnsi="Arial" w:cs="Arial"/>
          <w:b/>
          <w:bCs/>
          <w:sz w:val="22"/>
          <w:szCs w:val="22"/>
        </w:rPr>
      </w:pPr>
    </w:p>
    <w:p w14:paraId="5C05E7D6" w14:textId="77777777" w:rsidR="00A3091C" w:rsidRDefault="00A3091C" w:rsidP="00B84405">
      <w:pPr>
        <w:spacing w:line="360" w:lineRule="auto"/>
        <w:jc w:val="both"/>
        <w:rPr>
          <w:rFonts w:ascii="Arial" w:hAnsi="Arial" w:cs="Arial"/>
          <w:b/>
          <w:bCs/>
          <w:sz w:val="22"/>
          <w:szCs w:val="22"/>
        </w:rPr>
      </w:pPr>
    </w:p>
    <w:p w14:paraId="1C91EC23" w14:textId="77777777" w:rsidR="00A3091C" w:rsidRDefault="00A3091C" w:rsidP="00B84405">
      <w:pPr>
        <w:spacing w:line="360" w:lineRule="auto"/>
        <w:jc w:val="both"/>
        <w:rPr>
          <w:rFonts w:ascii="Arial" w:hAnsi="Arial" w:cs="Arial"/>
          <w:b/>
          <w:bCs/>
          <w:sz w:val="22"/>
          <w:szCs w:val="22"/>
        </w:rPr>
      </w:pPr>
    </w:p>
    <w:p w14:paraId="0EBC5CD0" w14:textId="699BE44A" w:rsidR="005C1D72" w:rsidRDefault="005C1D72" w:rsidP="00B84405">
      <w:pPr>
        <w:spacing w:line="360" w:lineRule="auto"/>
        <w:jc w:val="both"/>
        <w:rPr>
          <w:rFonts w:ascii="Arial" w:hAnsi="Arial" w:cs="Arial"/>
          <w:b/>
          <w:bCs/>
          <w:sz w:val="22"/>
          <w:szCs w:val="22"/>
        </w:rPr>
      </w:pPr>
      <w:r w:rsidRPr="005C1D72">
        <w:rPr>
          <w:rFonts w:ascii="Arial" w:hAnsi="Arial" w:cs="Arial"/>
          <w:b/>
          <w:bCs/>
          <w:sz w:val="22"/>
          <w:szCs w:val="22"/>
        </w:rPr>
        <w:lastRenderedPageBreak/>
        <w:t xml:space="preserve">References </w:t>
      </w:r>
    </w:p>
    <w:p w14:paraId="007D02E7" w14:textId="77777777" w:rsidR="000F31F5" w:rsidRDefault="000F31F5" w:rsidP="00005555">
      <w:pPr>
        <w:spacing w:line="360" w:lineRule="auto"/>
        <w:jc w:val="both"/>
        <w:rPr>
          <w:rFonts w:ascii="Arial" w:hAnsi="Arial" w:cs="Arial"/>
          <w:sz w:val="22"/>
          <w:szCs w:val="22"/>
        </w:rPr>
      </w:pPr>
      <w:proofErr w:type="spellStart"/>
      <w:r w:rsidRPr="00005555">
        <w:rPr>
          <w:rFonts w:ascii="Arial" w:hAnsi="Arial" w:cs="Arial"/>
          <w:sz w:val="22"/>
          <w:szCs w:val="22"/>
        </w:rPr>
        <w:t>Bohlmeijer</w:t>
      </w:r>
      <w:proofErr w:type="spellEnd"/>
      <w:r w:rsidRPr="00005555">
        <w:rPr>
          <w:rFonts w:ascii="Arial" w:hAnsi="Arial" w:cs="Arial"/>
          <w:sz w:val="22"/>
          <w:szCs w:val="22"/>
        </w:rPr>
        <w:t>, E., Roemer, M., Cuijpers, P. and Smit, F., 2007. The effects of reminiscence on psychological well-being in older adults: A meta-analysis. </w:t>
      </w:r>
      <w:r w:rsidRPr="00005555">
        <w:rPr>
          <w:rFonts w:ascii="Arial" w:hAnsi="Arial" w:cs="Arial"/>
          <w:i/>
          <w:iCs/>
          <w:sz w:val="22"/>
          <w:szCs w:val="22"/>
        </w:rPr>
        <w:t>Aging and Mental Health</w:t>
      </w:r>
      <w:r w:rsidRPr="00005555">
        <w:rPr>
          <w:rFonts w:ascii="Arial" w:hAnsi="Arial" w:cs="Arial"/>
          <w:sz w:val="22"/>
          <w:szCs w:val="22"/>
        </w:rPr>
        <w:t>, </w:t>
      </w:r>
      <w:r w:rsidRPr="00005555">
        <w:rPr>
          <w:rFonts w:ascii="Arial" w:hAnsi="Arial" w:cs="Arial"/>
          <w:i/>
          <w:iCs/>
          <w:sz w:val="22"/>
          <w:szCs w:val="22"/>
        </w:rPr>
        <w:t>11</w:t>
      </w:r>
      <w:r w:rsidRPr="00005555">
        <w:rPr>
          <w:rFonts w:ascii="Arial" w:hAnsi="Arial" w:cs="Arial"/>
          <w:sz w:val="22"/>
          <w:szCs w:val="22"/>
        </w:rPr>
        <w:t>(3), pp.291-300.</w:t>
      </w:r>
    </w:p>
    <w:p w14:paraId="56E50B2B" w14:textId="77777777" w:rsidR="000F31F5" w:rsidRDefault="000F31F5" w:rsidP="00B84405">
      <w:pPr>
        <w:spacing w:line="360" w:lineRule="auto"/>
        <w:jc w:val="both"/>
        <w:rPr>
          <w:rFonts w:ascii="Arial" w:hAnsi="Arial" w:cs="Arial"/>
          <w:sz w:val="22"/>
          <w:szCs w:val="22"/>
        </w:rPr>
      </w:pPr>
      <w:r w:rsidRPr="005C1D72">
        <w:rPr>
          <w:rFonts w:ascii="Arial" w:hAnsi="Arial" w:cs="Arial"/>
          <w:sz w:val="22"/>
          <w:szCs w:val="22"/>
        </w:rPr>
        <w:t xml:space="preserve">Butler, R.N. and Gleason, H.P. eds., 1985. </w:t>
      </w:r>
      <w:r w:rsidRPr="005C1D72">
        <w:rPr>
          <w:rFonts w:ascii="Arial" w:hAnsi="Arial" w:cs="Arial"/>
          <w:i/>
          <w:iCs/>
          <w:sz w:val="22"/>
          <w:szCs w:val="22"/>
        </w:rPr>
        <w:t>Productive aging: Enhancing vitality in later life</w:t>
      </w:r>
      <w:r w:rsidRPr="005C1D72">
        <w:rPr>
          <w:rFonts w:ascii="Arial" w:hAnsi="Arial" w:cs="Arial"/>
          <w:sz w:val="22"/>
          <w:szCs w:val="22"/>
        </w:rPr>
        <w:t>. New York: Springer Publishing Company.</w:t>
      </w:r>
    </w:p>
    <w:p w14:paraId="2BEA53C1" w14:textId="77777777" w:rsidR="000F31F5" w:rsidRDefault="000F31F5" w:rsidP="00005555">
      <w:pPr>
        <w:spacing w:line="360" w:lineRule="auto"/>
        <w:jc w:val="both"/>
        <w:rPr>
          <w:rFonts w:ascii="Arial" w:hAnsi="Arial" w:cs="Arial"/>
          <w:sz w:val="22"/>
          <w:szCs w:val="22"/>
        </w:rPr>
      </w:pPr>
      <w:r w:rsidRPr="00005555">
        <w:rPr>
          <w:rFonts w:ascii="Arial" w:hAnsi="Arial" w:cs="Arial"/>
          <w:sz w:val="22"/>
          <w:szCs w:val="22"/>
        </w:rPr>
        <w:t xml:space="preserve">Erikson, E.H., 1982. The life cycle </w:t>
      </w:r>
      <w:proofErr w:type="gramStart"/>
      <w:r w:rsidRPr="00005555">
        <w:rPr>
          <w:rFonts w:ascii="Arial" w:hAnsi="Arial" w:cs="Arial"/>
          <w:sz w:val="22"/>
          <w:szCs w:val="22"/>
        </w:rPr>
        <w:t>completed</w:t>
      </w:r>
      <w:proofErr w:type="gramEnd"/>
      <w:r w:rsidRPr="00005555">
        <w:rPr>
          <w:rFonts w:ascii="Arial" w:hAnsi="Arial" w:cs="Arial"/>
          <w:sz w:val="22"/>
          <w:szCs w:val="22"/>
        </w:rPr>
        <w:t>. New York: W. W. </w:t>
      </w:r>
      <w:r w:rsidRPr="00005555">
        <w:rPr>
          <w:rFonts w:ascii="Arial" w:hAnsi="Arial" w:cs="Arial"/>
          <w:i/>
          <w:iCs/>
          <w:sz w:val="22"/>
          <w:szCs w:val="22"/>
        </w:rPr>
        <w:t>W. Norton &amp;</w:t>
      </w:r>
      <w:r w:rsidRPr="00005555">
        <w:rPr>
          <w:rFonts w:ascii="Arial" w:hAnsi="Arial" w:cs="Arial"/>
          <w:sz w:val="22"/>
          <w:szCs w:val="22"/>
        </w:rPr>
        <w:t>.</w:t>
      </w:r>
    </w:p>
    <w:p w14:paraId="579BDDF7" w14:textId="77777777" w:rsidR="000F31F5" w:rsidRDefault="000F31F5" w:rsidP="00005555">
      <w:pPr>
        <w:spacing w:line="360" w:lineRule="auto"/>
        <w:jc w:val="both"/>
        <w:rPr>
          <w:rFonts w:ascii="Arial" w:hAnsi="Arial" w:cs="Arial"/>
          <w:sz w:val="22"/>
          <w:szCs w:val="22"/>
        </w:rPr>
      </w:pPr>
      <w:r w:rsidRPr="00005555">
        <w:rPr>
          <w:rFonts w:ascii="Arial" w:hAnsi="Arial" w:cs="Arial"/>
          <w:sz w:val="22"/>
          <w:szCs w:val="22"/>
        </w:rPr>
        <w:t>Hearn, S., Saulnier, G., Strayer, J., Glenham, M., Koopman, R. and Marcia, J.E., 2012. Between integrity and despair: Toward construct validation of Erikson’s eighth stage. </w:t>
      </w:r>
      <w:r w:rsidRPr="00005555">
        <w:rPr>
          <w:rFonts w:ascii="Arial" w:hAnsi="Arial" w:cs="Arial"/>
          <w:i/>
          <w:iCs/>
          <w:sz w:val="22"/>
          <w:szCs w:val="22"/>
        </w:rPr>
        <w:t>Journal of Adult Development</w:t>
      </w:r>
      <w:r w:rsidRPr="00005555">
        <w:rPr>
          <w:rFonts w:ascii="Arial" w:hAnsi="Arial" w:cs="Arial"/>
          <w:sz w:val="22"/>
          <w:szCs w:val="22"/>
        </w:rPr>
        <w:t>, </w:t>
      </w:r>
      <w:r w:rsidRPr="00005555">
        <w:rPr>
          <w:rFonts w:ascii="Arial" w:hAnsi="Arial" w:cs="Arial"/>
          <w:i/>
          <w:iCs/>
          <w:sz w:val="22"/>
          <w:szCs w:val="22"/>
        </w:rPr>
        <w:t>19</w:t>
      </w:r>
      <w:r w:rsidRPr="00005555">
        <w:rPr>
          <w:rFonts w:ascii="Arial" w:hAnsi="Arial" w:cs="Arial"/>
          <w:sz w:val="22"/>
          <w:szCs w:val="22"/>
        </w:rPr>
        <w:t>(1), pp.1-20.</w:t>
      </w:r>
    </w:p>
    <w:p w14:paraId="119F382E" w14:textId="77777777" w:rsidR="000F31F5" w:rsidRPr="005C1D72" w:rsidRDefault="000F31F5" w:rsidP="00B84405">
      <w:pPr>
        <w:spacing w:line="360" w:lineRule="auto"/>
        <w:jc w:val="both"/>
        <w:rPr>
          <w:rFonts w:ascii="Arial" w:hAnsi="Arial" w:cs="Arial"/>
          <w:sz w:val="22"/>
          <w:szCs w:val="22"/>
        </w:rPr>
      </w:pPr>
      <w:r w:rsidRPr="005C1D72">
        <w:rPr>
          <w:rFonts w:ascii="Arial" w:hAnsi="Arial" w:cs="Arial"/>
          <w:sz w:val="22"/>
          <w:szCs w:val="22"/>
        </w:rPr>
        <w:t xml:space="preserve">Mikulincer, M. and Shaver, P.R., 2012. An attachment perspective on psychopathology. </w:t>
      </w:r>
      <w:r w:rsidRPr="005C1D72">
        <w:rPr>
          <w:rFonts w:ascii="Arial" w:hAnsi="Arial" w:cs="Arial"/>
          <w:i/>
          <w:iCs/>
          <w:sz w:val="22"/>
          <w:szCs w:val="22"/>
        </w:rPr>
        <w:t>World Psychiatry</w:t>
      </w:r>
      <w:r w:rsidRPr="005C1D72">
        <w:rPr>
          <w:rFonts w:ascii="Arial" w:hAnsi="Arial" w:cs="Arial"/>
          <w:sz w:val="22"/>
          <w:szCs w:val="22"/>
        </w:rPr>
        <w:t>, 11(1), pp.11-15.</w:t>
      </w:r>
    </w:p>
    <w:p w14:paraId="243B0252" w14:textId="77777777" w:rsidR="000F31F5" w:rsidRPr="005C1D72" w:rsidRDefault="000F31F5" w:rsidP="00B84405">
      <w:pPr>
        <w:spacing w:line="360" w:lineRule="auto"/>
        <w:jc w:val="both"/>
        <w:rPr>
          <w:rFonts w:ascii="Arial" w:hAnsi="Arial" w:cs="Arial"/>
          <w:sz w:val="22"/>
          <w:szCs w:val="22"/>
        </w:rPr>
      </w:pPr>
      <w:r w:rsidRPr="005C1D72">
        <w:rPr>
          <w:rFonts w:ascii="Arial" w:hAnsi="Arial" w:cs="Arial"/>
          <w:sz w:val="22"/>
          <w:szCs w:val="22"/>
        </w:rPr>
        <w:t xml:space="preserve">Rowe, J.W. and Kahn, R.L., 1997. Successful aging. </w:t>
      </w:r>
      <w:r w:rsidRPr="005C1D72">
        <w:rPr>
          <w:rFonts w:ascii="Arial" w:hAnsi="Arial" w:cs="Arial"/>
          <w:i/>
          <w:iCs/>
          <w:sz w:val="22"/>
          <w:szCs w:val="22"/>
        </w:rPr>
        <w:t>The Gerontologist</w:t>
      </w:r>
      <w:r w:rsidRPr="005C1D72">
        <w:rPr>
          <w:rFonts w:ascii="Arial" w:hAnsi="Arial" w:cs="Arial"/>
          <w:sz w:val="22"/>
          <w:szCs w:val="22"/>
        </w:rPr>
        <w:t>, 37(4), pp.433-440.</w:t>
      </w:r>
    </w:p>
    <w:p w14:paraId="06D4D3D1" w14:textId="29C11CA3" w:rsidR="000F31F5" w:rsidRPr="005C1D72" w:rsidRDefault="000F31F5" w:rsidP="00B84405">
      <w:pPr>
        <w:spacing w:line="360" w:lineRule="auto"/>
        <w:jc w:val="both"/>
        <w:rPr>
          <w:rFonts w:ascii="Arial" w:hAnsi="Arial" w:cs="Arial"/>
          <w:sz w:val="22"/>
          <w:szCs w:val="22"/>
        </w:rPr>
      </w:pPr>
      <w:r w:rsidRPr="005C1D72">
        <w:rPr>
          <w:rFonts w:ascii="Arial" w:hAnsi="Arial" w:cs="Arial"/>
          <w:sz w:val="22"/>
          <w:szCs w:val="22"/>
        </w:rPr>
        <w:t xml:space="preserve">Sneed, J.R., Whitbourne, S.K. and </w:t>
      </w:r>
      <w:proofErr w:type="spellStart"/>
      <w:r w:rsidRPr="005C1D72">
        <w:rPr>
          <w:rFonts w:ascii="Arial" w:hAnsi="Arial" w:cs="Arial"/>
          <w:sz w:val="22"/>
          <w:szCs w:val="22"/>
        </w:rPr>
        <w:t>Culang</w:t>
      </w:r>
      <w:proofErr w:type="spellEnd"/>
      <w:r w:rsidRPr="005C1D72">
        <w:rPr>
          <w:rFonts w:ascii="Arial" w:hAnsi="Arial" w:cs="Arial"/>
          <w:sz w:val="22"/>
          <w:szCs w:val="22"/>
        </w:rPr>
        <w:t>, M.E., 2006. Trust, identity</w:t>
      </w:r>
      <w:r w:rsidR="00BB4A7A">
        <w:rPr>
          <w:rFonts w:ascii="Arial" w:hAnsi="Arial" w:cs="Arial"/>
          <w:sz w:val="22"/>
          <w:szCs w:val="22"/>
        </w:rPr>
        <w:t xml:space="preserve"> and </w:t>
      </w:r>
      <w:r w:rsidRPr="005C1D72">
        <w:rPr>
          <w:rFonts w:ascii="Arial" w:hAnsi="Arial" w:cs="Arial"/>
          <w:sz w:val="22"/>
          <w:szCs w:val="22"/>
        </w:rPr>
        <w:t>ego integrity: Modeling Erikson's core stages over 34 years. Journal of Adult Development, 13(3), pp.148-157.</w:t>
      </w:r>
    </w:p>
    <w:p w14:paraId="2DCEAC1A" w14:textId="77777777" w:rsidR="000F31F5" w:rsidRDefault="000F31F5" w:rsidP="00005555">
      <w:pPr>
        <w:spacing w:line="360" w:lineRule="auto"/>
        <w:jc w:val="both"/>
        <w:rPr>
          <w:rFonts w:ascii="Arial" w:hAnsi="Arial" w:cs="Arial"/>
          <w:sz w:val="22"/>
          <w:szCs w:val="22"/>
        </w:rPr>
      </w:pPr>
      <w:proofErr w:type="spellStart"/>
      <w:r w:rsidRPr="00005555">
        <w:rPr>
          <w:rFonts w:ascii="Arial" w:hAnsi="Arial" w:cs="Arial"/>
          <w:sz w:val="22"/>
          <w:szCs w:val="22"/>
        </w:rPr>
        <w:t>Torges</w:t>
      </w:r>
      <w:proofErr w:type="spellEnd"/>
      <w:r w:rsidRPr="00005555">
        <w:rPr>
          <w:rFonts w:ascii="Arial" w:hAnsi="Arial" w:cs="Arial"/>
          <w:sz w:val="22"/>
          <w:szCs w:val="22"/>
        </w:rPr>
        <w:t>, C.M., Stewart, A.J. and Duncan, L.E., 2008. Achieving ego integrity: Personality development in late midlife. </w:t>
      </w:r>
      <w:r w:rsidRPr="00005555">
        <w:rPr>
          <w:rFonts w:ascii="Arial" w:hAnsi="Arial" w:cs="Arial"/>
          <w:i/>
          <w:iCs/>
          <w:sz w:val="22"/>
          <w:szCs w:val="22"/>
        </w:rPr>
        <w:t>Journal of Research in Personality</w:t>
      </w:r>
      <w:r w:rsidRPr="00005555">
        <w:rPr>
          <w:rFonts w:ascii="Arial" w:hAnsi="Arial" w:cs="Arial"/>
          <w:sz w:val="22"/>
          <w:szCs w:val="22"/>
        </w:rPr>
        <w:t>, </w:t>
      </w:r>
      <w:r w:rsidRPr="00005555">
        <w:rPr>
          <w:rFonts w:ascii="Arial" w:hAnsi="Arial" w:cs="Arial"/>
          <w:i/>
          <w:iCs/>
          <w:sz w:val="22"/>
          <w:szCs w:val="22"/>
        </w:rPr>
        <w:t>42</w:t>
      </w:r>
      <w:r w:rsidRPr="00005555">
        <w:rPr>
          <w:rFonts w:ascii="Arial" w:hAnsi="Arial" w:cs="Arial"/>
          <w:sz w:val="22"/>
          <w:szCs w:val="22"/>
        </w:rPr>
        <w:t>(4), pp.1004-1019.</w:t>
      </w:r>
    </w:p>
    <w:p w14:paraId="6CAD3D9B" w14:textId="77777777" w:rsidR="000F31F5" w:rsidRPr="00005555" w:rsidRDefault="000F31F5" w:rsidP="00005555">
      <w:pPr>
        <w:spacing w:line="360" w:lineRule="auto"/>
        <w:jc w:val="both"/>
        <w:rPr>
          <w:rFonts w:ascii="Arial" w:hAnsi="Arial" w:cs="Arial"/>
          <w:sz w:val="22"/>
          <w:szCs w:val="22"/>
        </w:rPr>
      </w:pPr>
      <w:r w:rsidRPr="00005555">
        <w:rPr>
          <w:rFonts w:ascii="Arial" w:hAnsi="Arial" w:cs="Arial"/>
          <w:sz w:val="22"/>
          <w:szCs w:val="22"/>
        </w:rPr>
        <w:t xml:space="preserve">Westerhof, G.J. and </w:t>
      </w:r>
      <w:proofErr w:type="spellStart"/>
      <w:r w:rsidRPr="00005555">
        <w:rPr>
          <w:rFonts w:ascii="Arial" w:hAnsi="Arial" w:cs="Arial"/>
          <w:sz w:val="22"/>
          <w:szCs w:val="22"/>
        </w:rPr>
        <w:t>Bohlmeijer</w:t>
      </w:r>
      <w:proofErr w:type="spellEnd"/>
      <w:r w:rsidRPr="00005555">
        <w:rPr>
          <w:rFonts w:ascii="Arial" w:hAnsi="Arial" w:cs="Arial"/>
          <w:sz w:val="22"/>
          <w:szCs w:val="22"/>
        </w:rPr>
        <w:t>, E.T., 2014. Celebrating fifty years of research and applications in reminiscence and life review: State of the art and new directions. </w:t>
      </w:r>
      <w:r w:rsidRPr="00005555">
        <w:rPr>
          <w:rFonts w:ascii="Arial" w:hAnsi="Arial" w:cs="Arial"/>
          <w:i/>
          <w:iCs/>
          <w:sz w:val="22"/>
          <w:szCs w:val="22"/>
        </w:rPr>
        <w:t>Journal of Aging studies</w:t>
      </w:r>
      <w:r w:rsidRPr="00005555">
        <w:rPr>
          <w:rFonts w:ascii="Arial" w:hAnsi="Arial" w:cs="Arial"/>
          <w:sz w:val="22"/>
          <w:szCs w:val="22"/>
        </w:rPr>
        <w:t>, </w:t>
      </w:r>
      <w:r w:rsidRPr="00005555">
        <w:rPr>
          <w:rFonts w:ascii="Arial" w:hAnsi="Arial" w:cs="Arial"/>
          <w:i/>
          <w:iCs/>
          <w:sz w:val="22"/>
          <w:szCs w:val="22"/>
        </w:rPr>
        <w:t>29</w:t>
      </w:r>
      <w:r w:rsidRPr="00005555">
        <w:rPr>
          <w:rFonts w:ascii="Arial" w:hAnsi="Arial" w:cs="Arial"/>
          <w:sz w:val="22"/>
          <w:szCs w:val="22"/>
        </w:rPr>
        <w:t>, pp.107-114.</w:t>
      </w:r>
    </w:p>
    <w:p w14:paraId="4D214D2F" w14:textId="77777777" w:rsidR="000F31F5" w:rsidRPr="005C1D72" w:rsidRDefault="000F31F5" w:rsidP="00B84405">
      <w:pPr>
        <w:spacing w:line="360" w:lineRule="auto"/>
        <w:jc w:val="both"/>
        <w:rPr>
          <w:rFonts w:ascii="Arial" w:hAnsi="Arial" w:cs="Arial"/>
          <w:sz w:val="22"/>
          <w:szCs w:val="22"/>
        </w:rPr>
      </w:pPr>
      <w:r w:rsidRPr="00005555">
        <w:rPr>
          <w:rFonts w:ascii="Arial" w:hAnsi="Arial" w:cs="Arial"/>
          <w:sz w:val="22"/>
          <w:szCs w:val="22"/>
        </w:rPr>
        <w:t xml:space="preserve">Westerhof, G.J., </w:t>
      </w:r>
      <w:proofErr w:type="spellStart"/>
      <w:r w:rsidRPr="00005555">
        <w:rPr>
          <w:rFonts w:ascii="Arial" w:hAnsi="Arial" w:cs="Arial"/>
          <w:sz w:val="22"/>
          <w:szCs w:val="22"/>
        </w:rPr>
        <w:t>Bohlmeijer</w:t>
      </w:r>
      <w:proofErr w:type="spellEnd"/>
      <w:r w:rsidRPr="00005555">
        <w:rPr>
          <w:rFonts w:ascii="Arial" w:hAnsi="Arial" w:cs="Arial"/>
          <w:sz w:val="22"/>
          <w:szCs w:val="22"/>
        </w:rPr>
        <w:t>, E. and Webster, J.D., 2010. Reminiscence and mental health: A review of recent progress in theory, research and interventions. </w:t>
      </w:r>
      <w:r w:rsidRPr="00005555">
        <w:rPr>
          <w:rFonts w:ascii="Arial" w:hAnsi="Arial" w:cs="Arial"/>
          <w:i/>
          <w:iCs/>
          <w:sz w:val="22"/>
          <w:szCs w:val="22"/>
        </w:rPr>
        <w:t>Ageing &amp; Society</w:t>
      </w:r>
      <w:r w:rsidRPr="00005555">
        <w:rPr>
          <w:rFonts w:ascii="Arial" w:hAnsi="Arial" w:cs="Arial"/>
          <w:sz w:val="22"/>
          <w:szCs w:val="22"/>
        </w:rPr>
        <w:t>, </w:t>
      </w:r>
      <w:r w:rsidRPr="00005555">
        <w:rPr>
          <w:rFonts w:ascii="Arial" w:hAnsi="Arial" w:cs="Arial"/>
          <w:i/>
          <w:iCs/>
          <w:sz w:val="22"/>
          <w:szCs w:val="22"/>
        </w:rPr>
        <w:t>30</w:t>
      </w:r>
      <w:r w:rsidRPr="00005555">
        <w:rPr>
          <w:rFonts w:ascii="Arial" w:hAnsi="Arial" w:cs="Arial"/>
          <w:sz w:val="22"/>
          <w:szCs w:val="22"/>
        </w:rPr>
        <w:t>(4), pp.697-721.</w:t>
      </w:r>
    </w:p>
    <w:p w14:paraId="2BE094DF" w14:textId="77777777" w:rsidR="00B84405" w:rsidRPr="0071285A" w:rsidRDefault="00B84405" w:rsidP="0071285A">
      <w:pPr>
        <w:spacing w:line="360" w:lineRule="auto"/>
        <w:jc w:val="both"/>
        <w:rPr>
          <w:rFonts w:ascii="Arial" w:hAnsi="Arial" w:cs="Arial"/>
          <w:sz w:val="22"/>
          <w:szCs w:val="22"/>
        </w:rPr>
      </w:pPr>
    </w:p>
    <w:p w14:paraId="7ABD4622" w14:textId="4E89DD14" w:rsidR="00410E2A" w:rsidRPr="00410E2A" w:rsidRDefault="00410E2A" w:rsidP="00410E2A">
      <w:pPr>
        <w:jc w:val="both"/>
        <w:rPr>
          <w:b/>
          <w:bCs/>
        </w:rPr>
      </w:pPr>
    </w:p>
    <w:p w14:paraId="52AE54CA" w14:textId="4A388248" w:rsidR="00126CD5" w:rsidRPr="00126CD5" w:rsidRDefault="00126CD5" w:rsidP="00410E2A">
      <w:pPr>
        <w:jc w:val="both"/>
      </w:pPr>
    </w:p>
    <w:p w14:paraId="7153C6D3" w14:textId="77777777" w:rsidR="00AF422D" w:rsidRPr="00126CD5" w:rsidRDefault="00AF422D" w:rsidP="0003361E">
      <w:pPr>
        <w:jc w:val="both"/>
      </w:pPr>
    </w:p>
    <w:sectPr w:rsidR="00AF422D" w:rsidRPr="00126CD5">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61EA89" w14:textId="77777777" w:rsidR="00BA10FD" w:rsidRDefault="00BA10FD" w:rsidP="000F31F5">
      <w:pPr>
        <w:spacing w:after="0" w:line="240" w:lineRule="auto"/>
      </w:pPr>
      <w:r>
        <w:separator/>
      </w:r>
    </w:p>
  </w:endnote>
  <w:endnote w:type="continuationSeparator" w:id="0">
    <w:p w14:paraId="42F63F2F" w14:textId="77777777" w:rsidR="00BA10FD" w:rsidRDefault="00BA10FD" w:rsidP="000F31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5936977"/>
      <w:docPartObj>
        <w:docPartGallery w:val="Page Numbers (Bottom of Page)"/>
        <w:docPartUnique/>
      </w:docPartObj>
    </w:sdtPr>
    <w:sdtEndPr>
      <w:rPr>
        <w:noProof/>
      </w:rPr>
    </w:sdtEndPr>
    <w:sdtContent>
      <w:p w14:paraId="0AFD52C4" w14:textId="65A60868" w:rsidR="000F31F5" w:rsidRDefault="000F31F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5F45CC" w14:textId="77777777" w:rsidR="000F31F5" w:rsidRDefault="000F31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36EA29" w14:textId="77777777" w:rsidR="00BA10FD" w:rsidRDefault="00BA10FD" w:rsidP="000F31F5">
      <w:pPr>
        <w:spacing w:after="0" w:line="240" w:lineRule="auto"/>
      </w:pPr>
      <w:r>
        <w:separator/>
      </w:r>
    </w:p>
  </w:footnote>
  <w:footnote w:type="continuationSeparator" w:id="0">
    <w:p w14:paraId="4C5FDC08" w14:textId="77777777" w:rsidR="00BA10FD" w:rsidRDefault="00BA10FD" w:rsidP="000F31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834FA"/>
    <w:multiLevelType w:val="multilevel"/>
    <w:tmpl w:val="17CEC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036E2E"/>
    <w:multiLevelType w:val="multilevel"/>
    <w:tmpl w:val="5DEC8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A93920"/>
    <w:multiLevelType w:val="multilevel"/>
    <w:tmpl w:val="A5229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2E63FC"/>
    <w:multiLevelType w:val="multilevel"/>
    <w:tmpl w:val="EB7EE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901E36"/>
    <w:multiLevelType w:val="multilevel"/>
    <w:tmpl w:val="51489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FB481F"/>
    <w:multiLevelType w:val="multilevel"/>
    <w:tmpl w:val="42843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953AD8"/>
    <w:multiLevelType w:val="multilevel"/>
    <w:tmpl w:val="74BE0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827C6D"/>
    <w:multiLevelType w:val="multilevel"/>
    <w:tmpl w:val="82767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405589"/>
    <w:multiLevelType w:val="hybridMultilevel"/>
    <w:tmpl w:val="5420E2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FC156DF"/>
    <w:multiLevelType w:val="multilevel"/>
    <w:tmpl w:val="ECAC1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985FC5"/>
    <w:multiLevelType w:val="multilevel"/>
    <w:tmpl w:val="82A21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BA4197"/>
    <w:multiLevelType w:val="multilevel"/>
    <w:tmpl w:val="EC0E6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EE40A8A"/>
    <w:multiLevelType w:val="multilevel"/>
    <w:tmpl w:val="127EC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07E0031"/>
    <w:multiLevelType w:val="multilevel"/>
    <w:tmpl w:val="048E3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DBE5517"/>
    <w:multiLevelType w:val="hybridMultilevel"/>
    <w:tmpl w:val="3B32584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0827E1C"/>
    <w:multiLevelType w:val="multilevel"/>
    <w:tmpl w:val="B588A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08E4634"/>
    <w:multiLevelType w:val="multilevel"/>
    <w:tmpl w:val="1AC8B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15A697B"/>
    <w:multiLevelType w:val="multilevel"/>
    <w:tmpl w:val="A0D48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84F34BF"/>
    <w:multiLevelType w:val="multilevel"/>
    <w:tmpl w:val="7124E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B55305B"/>
    <w:multiLevelType w:val="multilevel"/>
    <w:tmpl w:val="B2B69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54D2E70"/>
    <w:multiLevelType w:val="multilevel"/>
    <w:tmpl w:val="84425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5B5419A"/>
    <w:multiLevelType w:val="multilevel"/>
    <w:tmpl w:val="D7A44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D2D602E"/>
    <w:multiLevelType w:val="multilevel"/>
    <w:tmpl w:val="24F8A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F406CFB"/>
    <w:multiLevelType w:val="multilevel"/>
    <w:tmpl w:val="2A569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55B2B45"/>
    <w:multiLevelType w:val="multilevel"/>
    <w:tmpl w:val="6C7C5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55E1BB4"/>
    <w:multiLevelType w:val="multilevel"/>
    <w:tmpl w:val="F9FCC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EE8070C"/>
    <w:multiLevelType w:val="multilevel"/>
    <w:tmpl w:val="1C88F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EFE609A"/>
    <w:multiLevelType w:val="multilevel"/>
    <w:tmpl w:val="7B166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F195B4E"/>
    <w:multiLevelType w:val="multilevel"/>
    <w:tmpl w:val="11428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94C1AA2"/>
    <w:multiLevelType w:val="multilevel"/>
    <w:tmpl w:val="F620B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F595446"/>
    <w:multiLevelType w:val="hybridMultilevel"/>
    <w:tmpl w:val="6AD298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94614631">
    <w:abstractNumId w:val="30"/>
  </w:num>
  <w:num w:numId="2" w16cid:durableId="1091776494">
    <w:abstractNumId w:val="20"/>
  </w:num>
  <w:num w:numId="3" w16cid:durableId="911310190">
    <w:abstractNumId w:val="28"/>
  </w:num>
  <w:num w:numId="4" w16cid:durableId="1847555223">
    <w:abstractNumId w:val="12"/>
  </w:num>
  <w:num w:numId="5" w16cid:durableId="1924223680">
    <w:abstractNumId w:val="6"/>
  </w:num>
  <w:num w:numId="6" w16cid:durableId="1661227757">
    <w:abstractNumId w:val="21"/>
  </w:num>
  <w:num w:numId="7" w16cid:durableId="1950353999">
    <w:abstractNumId w:val="5"/>
  </w:num>
  <w:num w:numId="8" w16cid:durableId="1716418615">
    <w:abstractNumId w:val="10"/>
  </w:num>
  <w:num w:numId="9" w16cid:durableId="1420566419">
    <w:abstractNumId w:val="11"/>
  </w:num>
  <w:num w:numId="10" w16cid:durableId="815029765">
    <w:abstractNumId w:val="14"/>
  </w:num>
  <w:num w:numId="11" w16cid:durableId="1791244383">
    <w:abstractNumId w:val="27"/>
  </w:num>
  <w:num w:numId="12" w16cid:durableId="1820225506">
    <w:abstractNumId w:val="25"/>
  </w:num>
  <w:num w:numId="13" w16cid:durableId="1589535955">
    <w:abstractNumId w:val="24"/>
  </w:num>
  <w:num w:numId="14" w16cid:durableId="336736286">
    <w:abstractNumId w:val="13"/>
  </w:num>
  <w:num w:numId="15" w16cid:durableId="1792823761">
    <w:abstractNumId w:val="2"/>
  </w:num>
  <w:num w:numId="16" w16cid:durableId="336536993">
    <w:abstractNumId w:val="4"/>
  </w:num>
  <w:num w:numId="17" w16cid:durableId="190805128">
    <w:abstractNumId w:val="0"/>
  </w:num>
  <w:num w:numId="18" w16cid:durableId="46104072">
    <w:abstractNumId w:val="23"/>
  </w:num>
  <w:num w:numId="19" w16cid:durableId="1574974425">
    <w:abstractNumId w:val="3"/>
  </w:num>
  <w:num w:numId="20" w16cid:durableId="387263838">
    <w:abstractNumId w:val="18"/>
  </w:num>
  <w:num w:numId="21" w16cid:durableId="1513837455">
    <w:abstractNumId w:val="15"/>
  </w:num>
  <w:num w:numId="22" w16cid:durableId="993067849">
    <w:abstractNumId w:val="22"/>
  </w:num>
  <w:num w:numId="23" w16cid:durableId="2027830908">
    <w:abstractNumId w:val="1"/>
  </w:num>
  <w:num w:numId="24" w16cid:durableId="1540898186">
    <w:abstractNumId w:val="26"/>
  </w:num>
  <w:num w:numId="25" w16cid:durableId="1284120245">
    <w:abstractNumId w:val="17"/>
  </w:num>
  <w:num w:numId="26" w16cid:durableId="1136723727">
    <w:abstractNumId w:val="16"/>
  </w:num>
  <w:num w:numId="27" w16cid:durableId="1637956404">
    <w:abstractNumId w:val="19"/>
  </w:num>
  <w:num w:numId="28" w16cid:durableId="57284174">
    <w:abstractNumId w:val="29"/>
  </w:num>
  <w:num w:numId="29" w16cid:durableId="256671342">
    <w:abstractNumId w:val="7"/>
  </w:num>
  <w:num w:numId="30" w16cid:durableId="1341422254">
    <w:abstractNumId w:val="9"/>
  </w:num>
  <w:num w:numId="31" w16cid:durableId="135511545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E2NTc2MjQwNTM1MzRQ0lEKTi0uzszPAykwrAUAWl9zCiwAAAA="/>
  </w:docVars>
  <w:rsids>
    <w:rsidRoot w:val="00C25DA3"/>
    <w:rsid w:val="00005555"/>
    <w:rsid w:val="00005AA9"/>
    <w:rsid w:val="0003361E"/>
    <w:rsid w:val="000F31F5"/>
    <w:rsid w:val="00126CD5"/>
    <w:rsid w:val="00174C48"/>
    <w:rsid w:val="00197C65"/>
    <w:rsid w:val="003A7234"/>
    <w:rsid w:val="003E5EB4"/>
    <w:rsid w:val="00410E2A"/>
    <w:rsid w:val="00421F38"/>
    <w:rsid w:val="004C5A13"/>
    <w:rsid w:val="005013C5"/>
    <w:rsid w:val="005C1D72"/>
    <w:rsid w:val="00607431"/>
    <w:rsid w:val="0071285A"/>
    <w:rsid w:val="0085459F"/>
    <w:rsid w:val="008B4F65"/>
    <w:rsid w:val="00926295"/>
    <w:rsid w:val="00940903"/>
    <w:rsid w:val="00965E8B"/>
    <w:rsid w:val="009E4307"/>
    <w:rsid w:val="00A3091C"/>
    <w:rsid w:val="00AA1EE0"/>
    <w:rsid w:val="00AF422D"/>
    <w:rsid w:val="00AF76EC"/>
    <w:rsid w:val="00B06B4C"/>
    <w:rsid w:val="00B84405"/>
    <w:rsid w:val="00B85A79"/>
    <w:rsid w:val="00BA10FD"/>
    <w:rsid w:val="00BB4A7A"/>
    <w:rsid w:val="00BD26DE"/>
    <w:rsid w:val="00C25DA3"/>
    <w:rsid w:val="00CC28CA"/>
    <w:rsid w:val="00CC44E5"/>
    <w:rsid w:val="00CF6FC9"/>
    <w:rsid w:val="00E56E78"/>
    <w:rsid w:val="00EA565D"/>
    <w:rsid w:val="00EB5C90"/>
    <w:rsid w:val="00EC676A"/>
    <w:rsid w:val="00ED424E"/>
    <w:rsid w:val="00F3077A"/>
    <w:rsid w:val="00F62DF8"/>
    <w:rsid w:val="00FA2203"/>
    <w:rsid w:val="00FB0748"/>
    <w:rsid w:val="00FD24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ACB4C6"/>
  <w15:chartTrackingRefBased/>
  <w15:docId w15:val="{C1FF340A-B499-4C6A-9C10-41A37529A4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5DA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25DA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25DA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25DA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25DA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25D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5D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5D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5D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5DA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25DA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25DA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25DA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25DA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25D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5D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5D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5DA3"/>
    <w:rPr>
      <w:rFonts w:eastAsiaTheme="majorEastAsia" w:cstheme="majorBidi"/>
      <w:color w:val="272727" w:themeColor="text1" w:themeTint="D8"/>
    </w:rPr>
  </w:style>
  <w:style w:type="paragraph" w:styleId="Title">
    <w:name w:val="Title"/>
    <w:basedOn w:val="Normal"/>
    <w:next w:val="Normal"/>
    <w:link w:val="TitleChar"/>
    <w:uiPriority w:val="10"/>
    <w:qFormat/>
    <w:rsid w:val="00C25D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5D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5D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5D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5DA3"/>
    <w:pPr>
      <w:spacing w:before="160"/>
      <w:jc w:val="center"/>
    </w:pPr>
    <w:rPr>
      <w:i/>
      <w:iCs/>
      <w:color w:val="404040" w:themeColor="text1" w:themeTint="BF"/>
    </w:rPr>
  </w:style>
  <w:style w:type="character" w:customStyle="1" w:styleId="QuoteChar">
    <w:name w:val="Quote Char"/>
    <w:basedOn w:val="DefaultParagraphFont"/>
    <w:link w:val="Quote"/>
    <w:uiPriority w:val="29"/>
    <w:rsid w:val="00C25DA3"/>
    <w:rPr>
      <w:i/>
      <w:iCs/>
      <w:color w:val="404040" w:themeColor="text1" w:themeTint="BF"/>
    </w:rPr>
  </w:style>
  <w:style w:type="paragraph" w:styleId="ListParagraph">
    <w:name w:val="List Paragraph"/>
    <w:basedOn w:val="Normal"/>
    <w:uiPriority w:val="34"/>
    <w:qFormat/>
    <w:rsid w:val="00C25DA3"/>
    <w:pPr>
      <w:ind w:left="720"/>
      <w:contextualSpacing/>
    </w:pPr>
  </w:style>
  <w:style w:type="character" w:styleId="IntenseEmphasis">
    <w:name w:val="Intense Emphasis"/>
    <w:basedOn w:val="DefaultParagraphFont"/>
    <w:uiPriority w:val="21"/>
    <w:qFormat/>
    <w:rsid w:val="00C25DA3"/>
    <w:rPr>
      <w:i/>
      <w:iCs/>
      <w:color w:val="2F5496" w:themeColor="accent1" w:themeShade="BF"/>
    </w:rPr>
  </w:style>
  <w:style w:type="paragraph" w:styleId="IntenseQuote">
    <w:name w:val="Intense Quote"/>
    <w:basedOn w:val="Normal"/>
    <w:next w:val="Normal"/>
    <w:link w:val="IntenseQuoteChar"/>
    <w:uiPriority w:val="30"/>
    <w:qFormat/>
    <w:rsid w:val="00C25DA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25DA3"/>
    <w:rPr>
      <w:i/>
      <w:iCs/>
      <w:color w:val="2F5496" w:themeColor="accent1" w:themeShade="BF"/>
    </w:rPr>
  </w:style>
  <w:style w:type="character" w:styleId="IntenseReference">
    <w:name w:val="Intense Reference"/>
    <w:basedOn w:val="DefaultParagraphFont"/>
    <w:uiPriority w:val="32"/>
    <w:qFormat/>
    <w:rsid w:val="00C25DA3"/>
    <w:rPr>
      <w:b/>
      <w:bCs/>
      <w:smallCaps/>
      <w:color w:val="2F5496" w:themeColor="accent1" w:themeShade="BF"/>
      <w:spacing w:val="5"/>
    </w:rPr>
  </w:style>
  <w:style w:type="paragraph" w:customStyle="1" w:styleId="font-claude-response-body">
    <w:name w:val="font-claude-response-body"/>
    <w:basedOn w:val="Normal"/>
    <w:rsid w:val="00B84405"/>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Header">
    <w:name w:val="header"/>
    <w:basedOn w:val="Normal"/>
    <w:link w:val="HeaderChar"/>
    <w:uiPriority w:val="99"/>
    <w:unhideWhenUsed/>
    <w:rsid w:val="000F31F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F31F5"/>
  </w:style>
  <w:style w:type="paragraph" w:styleId="Footer">
    <w:name w:val="footer"/>
    <w:basedOn w:val="Normal"/>
    <w:link w:val="FooterChar"/>
    <w:uiPriority w:val="99"/>
    <w:unhideWhenUsed/>
    <w:rsid w:val="000F31F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F31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1259</TotalTime>
  <Pages>8</Pages>
  <Words>1993</Words>
  <Characters>11365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vivian Bioh</cp:lastModifiedBy>
  <cp:revision>25</cp:revision>
  <dcterms:created xsi:type="dcterms:W3CDTF">2026-01-30T22:17:00Z</dcterms:created>
  <dcterms:modified xsi:type="dcterms:W3CDTF">2026-03-19T17:56:00Z</dcterms:modified>
</cp:coreProperties>
</file>